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F275C">
      <w:pPr>
        <w:spacing w:line="360" w:lineRule="auto"/>
        <w:ind w:left="570" w:hanging="570"/>
        <w:jc w:val="center"/>
        <w:rPr>
          <w:rFonts w:hint="eastAsia" w:ascii="宋体" w:hAnsi="宋体" w:eastAsia="宋体" w:cs="Times New Roman"/>
          <w:color w:val="auto"/>
          <w:kern w:val="0"/>
          <w:sz w:val="60"/>
          <w:szCs w:val="60"/>
          <w:highlight w:val="none"/>
        </w:rPr>
      </w:pPr>
    </w:p>
    <w:p w14:paraId="2E06F200">
      <w:pPr>
        <w:spacing w:after="312" w:line="720" w:lineRule="auto"/>
        <w:ind w:left="785" w:hanging="785"/>
        <w:jc w:val="center"/>
        <w:rPr>
          <w:rFonts w:hint="eastAsia" w:ascii="宋体" w:hAnsi="宋体" w:eastAsia="宋体" w:cs="Times New Roman"/>
          <w:b/>
          <w:color w:val="auto"/>
          <w:kern w:val="0"/>
          <w:sz w:val="60"/>
          <w:szCs w:val="60"/>
          <w:highlight w:val="none"/>
        </w:rPr>
      </w:pPr>
      <w:r>
        <w:rPr>
          <w:rFonts w:hint="eastAsia" w:ascii="宋体" w:hAnsi="宋体" w:eastAsia="宋体" w:cs="Times New Roman"/>
          <w:b/>
          <w:color w:val="auto"/>
          <w:spacing w:val="112"/>
          <w:kern w:val="0"/>
          <w:sz w:val="60"/>
          <w:szCs w:val="60"/>
          <w:highlight w:val="none"/>
        </w:rPr>
        <w:t>常州市政府采购项</w:t>
      </w:r>
      <w:r>
        <w:rPr>
          <w:rFonts w:hint="eastAsia" w:ascii="宋体" w:hAnsi="宋体" w:eastAsia="宋体" w:cs="Times New Roman"/>
          <w:b/>
          <w:color w:val="auto"/>
          <w:spacing w:val="5"/>
          <w:kern w:val="0"/>
          <w:sz w:val="60"/>
          <w:szCs w:val="60"/>
          <w:highlight w:val="none"/>
        </w:rPr>
        <w:t>目</w:t>
      </w:r>
    </w:p>
    <w:p w14:paraId="2E2030AD">
      <w:pPr>
        <w:spacing w:after="312" w:line="720" w:lineRule="auto"/>
        <w:ind w:left="1028" w:hanging="1028"/>
        <w:jc w:val="center"/>
        <w:rPr>
          <w:rFonts w:hint="eastAsia" w:ascii="宋体" w:hAnsi="宋体" w:eastAsia="宋体" w:cs="Times New Roman"/>
          <w:b/>
          <w:color w:val="auto"/>
          <w:kern w:val="0"/>
          <w:sz w:val="60"/>
          <w:szCs w:val="60"/>
          <w:highlight w:val="none"/>
        </w:rPr>
      </w:pPr>
      <w:r>
        <w:rPr>
          <w:rFonts w:hint="eastAsia" w:ascii="宋体" w:hAnsi="宋体" w:eastAsia="宋体" w:cs="Times New Roman"/>
          <w:b/>
          <w:color w:val="auto"/>
          <w:spacing w:val="240"/>
          <w:kern w:val="0"/>
          <w:sz w:val="60"/>
          <w:szCs w:val="60"/>
          <w:highlight w:val="none"/>
        </w:rPr>
        <w:t>公开招标文</w:t>
      </w:r>
      <w:r>
        <w:rPr>
          <w:rFonts w:hint="eastAsia" w:ascii="宋体" w:hAnsi="宋体" w:eastAsia="宋体" w:cs="Times New Roman"/>
          <w:b/>
          <w:color w:val="auto"/>
          <w:spacing w:val="3"/>
          <w:kern w:val="0"/>
          <w:sz w:val="60"/>
          <w:szCs w:val="60"/>
          <w:highlight w:val="none"/>
        </w:rPr>
        <w:t>件</w:t>
      </w:r>
    </w:p>
    <w:p w14:paraId="29A5836A">
      <w:pPr>
        <w:spacing w:line="360" w:lineRule="auto"/>
        <w:ind w:left="570" w:hanging="570"/>
        <w:jc w:val="center"/>
        <w:rPr>
          <w:rFonts w:hint="eastAsia" w:ascii="宋体" w:hAnsi="宋体" w:eastAsia="宋体" w:cs="Times New Roman"/>
          <w:color w:val="auto"/>
          <w:kern w:val="0"/>
          <w:sz w:val="60"/>
          <w:szCs w:val="60"/>
          <w:highlight w:val="none"/>
        </w:rPr>
      </w:pPr>
    </w:p>
    <w:p w14:paraId="211B6F04">
      <w:pPr>
        <w:spacing w:line="360" w:lineRule="auto"/>
        <w:rPr>
          <w:rFonts w:hint="eastAsia" w:ascii="宋体" w:hAnsi="宋体" w:eastAsia="宋体" w:cs="Times New Roman"/>
          <w:color w:val="auto"/>
          <w:kern w:val="0"/>
          <w:sz w:val="60"/>
          <w:szCs w:val="60"/>
          <w:highlight w:val="none"/>
        </w:rPr>
      </w:pPr>
    </w:p>
    <w:p w14:paraId="1E8A43C4">
      <w:pPr>
        <w:tabs>
          <w:tab w:val="left" w:pos="5609"/>
        </w:tabs>
        <w:spacing w:line="360" w:lineRule="auto"/>
        <w:ind w:left="285" w:hanging="285"/>
        <w:jc w:val="left"/>
        <w:rPr>
          <w:rFonts w:hint="eastAsia" w:ascii="宋体" w:hAnsi="宋体" w:eastAsia="宋体" w:cs="Times New Roman"/>
          <w:bCs/>
          <w:color w:val="auto"/>
          <w:kern w:val="0"/>
          <w:sz w:val="30"/>
          <w:szCs w:val="30"/>
          <w:highlight w:val="none"/>
          <w:lang w:eastAsia="zh-CN"/>
        </w:rPr>
      </w:pPr>
      <w:r>
        <w:rPr>
          <w:rFonts w:hint="default" w:ascii="宋体" w:hAnsi="宋体" w:eastAsia="宋体" w:cs="Times New Roman"/>
          <w:bCs/>
          <w:color w:val="auto"/>
          <w:kern w:val="0"/>
          <w:sz w:val="30"/>
          <w:szCs w:val="30"/>
          <w:highlight w:val="none"/>
        </w:rPr>
        <w:t>项目名称：</w:t>
      </w:r>
      <w:r>
        <w:rPr>
          <w:rFonts w:hint="eastAsia" w:ascii="宋体" w:hAnsi="宋体" w:eastAsia="宋体" w:cs="Times New Roman"/>
          <w:bCs/>
          <w:color w:val="auto"/>
          <w:kern w:val="0"/>
          <w:sz w:val="30"/>
          <w:szCs w:val="30"/>
          <w:highlight w:val="none"/>
          <w:lang w:eastAsia="zh-CN"/>
        </w:rPr>
        <w:t>2026-2027年常州经济开发区排水管理服务项目</w:t>
      </w:r>
    </w:p>
    <w:p w14:paraId="02DD5225">
      <w:pPr>
        <w:tabs>
          <w:tab w:val="left" w:pos="5609"/>
        </w:tabs>
        <w:spacing w:line="360" w:lineRule="auto"/>
        <w:ind w:left="1500" w:hanging="1500"/>
        <w:jc w:val="left"/>
        <w:rPr>
          <w:rFonts w:hint="default" w:ascii="宋体" w:hAnsi="宋体" w:eastAsia="宋体" w:cs="Times New Roman"/>
          <w:bCs/>
          <w:color w:val="auto"/>
          <w:kern w:val="0"/>
          <w:szCs w:val="22"/>
          <w:highlight w:val="none"/>
          <w:lang w:val="en-US" w:eastAsia="zh-CN"/>
        </w:rPr>
      </w:pPr>
      <w:r>
        <w:rPr>
          <w:rFonts w:hint="default" w:ascii="宋体" w:hAnsi="宋体" w:eastAsia="宋体" w:cs="Times New Roman"/>
          <w:bCs/>
          <w:color w:val="auto"/>
          <w:kern w:val="0"/>
          <w:sz w:val="30"/>
          <w:szCs w:val="30"/>
          <w:highlight w:val="none"/>
        </w:rPr>
        <w:t>项目编号：JSZC-320412056-HFRQ-G2026-0001</w:t>
      </w:r>
    </w:p>
    <w:p w14:paraId="7C1C55E3">
      <w:pPr>
        <w:tabs>
          <w:tab w:val="left" w:pos="5609"/>
        </w:tabs>
        <w:spacing w:line="360" w:lineRule="auto"/>
        <w:ind w:left="285" w:hanging="285"/>
        <w:jc w:val="left"/>
        <w:rPr>
          <w:rFonts w:hint="eastAsia" w:ascii="宋体" w:hAnsi="宋体" w:eastAsia="宋体" w:cs="Times New Roman"/>
          <w:bCs/>
          <w:color w:val="auto"/>
          <w:kern w:val="0"/>
          <w:sz w:val="30"/>
          <w:szCs w:val="30"/>
          <w:highlight w:val="none"/>
          <w:lang w:eastAsia="zh-CN"/>
        </w:rPr>
      </w:pPr>
      <w:r>
        <w:rPr>
          <w:rFonts w:hint="default" w:ascii="宋体" w:hAnsi="宋体" w:eastAsia="宋体" w:cs="Times New Roman"/>
          <w:bCs/>
          <w:color w:val="auto"/>
          <w:kern w:val="0"/>
          <w:sz w:val="30"/>
          <w:szCs w:val="30"/>
          <w:highlight w:val="none"/>
        </w:rPr>
        <w:t>采 购 人：</w:t>
      </w:r>
      <w:r>
        <w:rPr>
          <w:rFonts w:hint="eastAsia" w:ascii="宋体" w:hAnsi="宋体" w:eastAsia="宋体" w:cs="Times New Roman"/>
          <w:bCs/>
          <w:color w:val="auto"/>
          <w:kern w:val="0"/>
          <w:sz w:val="30"/>
          <w:szCs w:val="30"/>
          <w:highlight w:val="none"/>
          <w:lang w:eastAsia="zh-CN"/>
        </w:rPr>
        <w:t>江苏常州经济开发区农业农村工作局</w:t>
      </w:r>
    </w:p>
    <w:p w14:paraId="53E5366D">
      <w:pPr>
        <w:tabs>
          <w:tab w:val="left" w:pos="3240"/>
          <w:tab w:val="left" w:pos="3420"/>
        </w:tabs>
        <w:spacing w:line="360" w:lineRule="auto"/>
        <w:ind w:left="285" w:hanging="285"/>
        <w:jc w:val="left"/>
        <w:rPr>
          <w:rFonts w:hint="eastAsia" w:ascii="宋体" w:hAnsi="宋体" w:eastAsia="宋体"/>
          <w:bCs/>
          <w:color w:val="auto"/>
          <w:sz w:val="30"/>
          <w:szCs w:val="30"/>
          <w:highlight w:val="none"/>
          <w:lang w:eastAsia="zh-CN"/>
        </w:rPr>
        <w:sectPr>
          <w:headerReference r:id="rId3" w:type="default"/>
          <w:footerReference r:id="rId4" w:type="default"/>
          <w:pgSz w:w="11906" w:h="16838"/>
          <w:pgMar w:top="1440" w:right="1800" w:bottom="1440" w:left="1800" w:header="851" w:footer="992" w:gutter="0"/>
          <w:cols w:space="425" w:num="1"/>
          <w:docGrid w:linePitch="360" w:charSpace="0"/>
        </w:sectPr>
      </w:pPr>
      <w:r>
        <w:rPr>
          <w:rFonts w:hint="eastAsia" w:ascii="宋体" w:hAnsi="宋体" w:eastAsia="宋体" w:cs="Times New Roman"/>
          <w:bCs/>
          <w:color w:val="auto"/>
          <w:kern w:val="0"/>
          <w:sz w:val="30"/>
          <w:szCs w:val="30"/>
          <w:highlight w:val="none"/>
        </w:rPr>
        <w:t>采购</w:t>
      </w:r>
      <w:r>
        <w:rPr>
          <w:rFonts w:hint="default" w:ascii="宋体" w:hAnsi="宋体" w:eastAsia="宋体" w:cs="Times New Roman"/>
          <w:bCs/>
          <w:color w:val="auto"/>
          <w:kern w:val="0"/>
          <w:sz w:val="30"/>
          <w:szCs w:val="30"/>
          <w:highlight w:val="none"/>
        </w:rPr>
        <w:t>代理机构：</w:t>
      </w:r>
      <w:r>
        <w:rPr>
          <w:rFonts w:hint="eastAsia" w:ascii="宋体" w:hAnsi="宋体" w:eastAsia="宋体" w:cs="Times New Roman"/>
          <w:color w:val="auto"/>
          <w:kern w:val="0"/>
          <w:sz w:val="30"/>
          <w:szCs w:val="30"/>
          <w:highlight w:val="none"/>
          <w:lang w:eastAsia="zh-CN"/>
        </w:rPr>
        <w:t>江苏昊丰润全建设项目管理有限公司</w:t>
      </w:r>
    </w:p>
    <w:p w14:paraId="4A0791CD">
      <w:pPr>
        <w:widowControl/>
        <w:ind w:left="343" w:hanging="343"/>
        <w:jc w:val="center"/>
        <w:rPr>
          <w:rFonts w:hint="eastAsia" w:ascii="宋体" w:hAnsi="宋体" w:eastAsia="宋体" w:cs="Times New Roman"/>
          <w:b/>
          <w:bCs/>
          <w:color w:val="auto"/>
          <w:kern w:val="0"/>
          <w:sz w:val="36"/>
          <w:szCs w:val="36"/>
          <w:highlight w:val="none"/>
        </w:rPr>
      </w:pPr>
      <w:r>
        <w:rPr>
          <w:rFonts w:hint="default" w:ascii="宋体" w:hAnsi="宋体" w:eastAsia="宋体" w:cs="Times New Roman"/>
          <w:b/>
          <w:bCs/>
          <w:color w:val="auto"/>
          <w:kern w:val="0"/>
          <w:sz w:val="36"/>
          <w:szCs w:val="36"/>
          <w:highlight w:val="none"/>
        </w:rPr>
        <w:t>目录</w:t>
      </w:r>
    </w:p>
    <w:p w14:paraId="7F8F2C32">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val="0"/>
          <w:bCs/>
          <w:color w:val="auto"/>
          <w:sz w:val="36"/>
          <w:szCs w:val="36"/>
          <w:highlight w:val="none"/>
        </w:rPr>
        <w:fldChar w:fldCharType="begin"/>
      </w:r>
      <w:r>
        <w:rPr>
          <w:rFonts w:hint="default" w:ascii="宋体" w:hAnsi="宋体" w:eastAsia="宋体" w:cs="宋体"/>
          <w:b w:val="0"/>
          <w:bCs/>
          <w:color w:val="auto"/>
          <w:sz w:val="36"/>
          <w:szCs w:val="36"/>
          <w:highlight w:val="none"/>
        </w:rPr>
        <w:instrText xml:space="preserve"> TOC \o "1-1" \h \z \u </w:instrText>
      </w:r>
      <w:r>
        <w:rPr>
          <w:rFonts w:hint="default" w:ascii="宋体" w:hAnsi="宋体" w:eastAsia="宋体" w:cs="宋体"/>
          <w:b w:val="0"/>
          <w:bCs/>
          <w:color w:val="auto"/>
          <w:sz w:val="36"/>
          <w:szCs w:val="36"/>
          <w:highlight w:val="none"/>
        </w:rPr>
        <w:fldChar w:fldCharType="separate"/>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"_Toc32652" \o "#_Toc32652"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第一章</w:t>
      </w:r>
      <w:r>
        <w:rPr>
          <w:rFonts w:hint="eastAsia" w:ascii="宋体" w:hAnsi="宋体" w:eastAsia="宋体" w:cs="宋体"/>
          <w:b/>
          <w:color w:val="auto"/>
          <w:sz w:val="32"/>
          <w:szCs w:val="22"/>
          <w:highlight w:val="none"/>
        </w:rPr>
        <w:t xml:space="preserve"> 投标邀请</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_Toc32652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1</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27D52334">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"_Toc14667" \o "#_Toc14667" </w:instrText>
      </w:r>
      <w:r>
        <w:rPr>
          <w:rFonts w:hint="default" w:ascii="宋体" w:hAnsi="宋体" w:eastAsia="宋体" w:cs="宋体"/>
          <w:b/>
          <w:color w:val="auto"/>
          <w:sz w:val="32"/>
          <w:szCs w:val="22"/>
          <w:highlight w:val="none"/>
        </w:rPr>
        <w:fldChar w:fldCharType="separate"/>
      </w:r>
      <w:r>
        <w:rPr>
          <w:rFonts w:hint="eastAsia" w:ascii="宋体" w:hAnsi="宋体" w:eastAsia="宋体" w:cs="宋体"/>
          <w:b/>
          <w:color w:val="auto"/>
          <w:sz w:val="32"/>
          <w:szCs w:val="22"/>
          <w:highlight w:val="none"/>
        </w:rPr>
        <w:t>第二章 投标人须知</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_Toc14667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5</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05E888EC">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"_Toc32203" \o "#_Toc32203"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第三章</w:t>
      </w:r>
      <w:r>
        <w:rPr>
          <w:rFonts w:hint="eastAsia" w:ascii="宋体" w:hAnsi="宋体" w:eastAsia="宋体" w:cs="宋体"/>
          <w:b/>
          <w:color w:val="auto"/>
          <w:sz w:val="32"/>
          <w:szCs w:val="22"/>
          <w:highlight w:val="none"/>
        </w:rPr>
        <w:t xml:space="preserve"> 资格审查</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_Toc32203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21</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39619742">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"_Toc15236" \o "#_Toc15236"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第</w:t>
      </w:r>
      <w:r>
        <w:rPr>
          <w:rFonts w:hint="eastAsia" w:ascii="宋体" w:hAnsi="宋体" w:eastAsia="宋体" w:cs="宋体"/>
          <w:b/>
          <w:color w:val="auto"/>
          <w:sz w:val="32"/>
          <w:szCs w:val="22"/>
          <w:highlight w:val="none"/>
        </w:rPr>
        <w:t>四</w:t>
      </w:r>
      <w:r>
        <w:rPr>
          <w:rFonts w:hint="default" w:ascii="宋体" w:hAnsi="宋体" w:eastAsia="宋体" w:cs="宋体"/>
          <w:b/>
          <w:color w:val="auto"/>
          <w:sz w:val="32"/>
          <w:szCs w:val="22"/>
          <w:highlight w:val="none"/>
        </w:rPr>
        <w:t>章评</w:t>
      </w:r>
      <w:r>
        <w:rPr>
          <w:rFonts w:hint="eastAsia" w:ascii="宋体" w:hAnsi="宋体" w:eastAsia="宋体" w:cs="宋体"/>
          <w:b/>
          <w:color w:val="auto"/>
          <w:sz w:val="32"/>
          <w:szCs w:val="22"/>
          <w:highlight w:val="none"/>
        </w:rPr>
        <w:t>标程序、评标</w:t>
      </w:r>
      <w:r>
        <w:rPr>
          <w:rFonts w:hint="default" w:ascii="宋体" w:hAnsi="宋体" w:eastAsia="宋体" w:cs="宋体"/>
          <w:b/>
          <w:color w:val="auto"/>
          <w:sz w:val="32"/>
          <w:szCs w:val="22"/>
          <w:highlight w:val="none"/>
        </w:rPr>
        <w:t>方法和评</w:t>
      </w:r>
      <w:r>
        <w:rPr>
          <w:rFonts w:hint="eastAsia" w:ascii="宋体" w:hAnsi="宋体" w:eastAsia="宋体" w:cs="宋体"/>
          <w:b/>
          <w:color w:val="auto"/>
          <w:sz w:val="32"/>
          <w:szCs w:val="22"/>
          <w:highlight w:val="none"/>
        </w:rPr>
        <w:t>标</w:t>
      </w:r>
      <w:r>
        <w:rPr>
          <w:rFonts w:hint="default" w:ascii="宋体" w:hAnsi="宋体" w:eastAsia="宋体" w:cs="宋体"/>
          <w:b/>
          <w:color w:val="auto"/>
          <w:sz w:val="32"/>
          <w:szCs w:val="22"/>
          <w:highlight w:val="none"/>
        </w:rPr>
        <w:t>标准</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_Toc15236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23</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5DC21A2C">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"_Toc32609" \o "#_Toc32609" </w:instrText>
      </w:r>
      <w:r>
        <w:rPr>
          <w:rFonts w:hint="default" w:ascii="宋体" w:hAnsi="宋体" w:eastAsia="宋体" w:cs="宋体"/>
          <w:b/>
          <w:color w:val="auto"/>
          <w:sz w:val="32"/>
          <w:szCs w:val="22"/>
          <w:highlight w:val="none"/>
        </w:rPr>
        <w:fldChar w:fldCharType="separate"/>
      </w:r>
      <w:r>
        <w:rPr>
          <w:rFonts w:hint="eastAsia" w:ascii="宋体" w:hAnsi="宋体" w:eastAsia="宋体" w:cs="宋体"/>
          <w:b/>
          <w:color w:val="auto"/>
          <w:sz w:val="32"/>
          <w:szCs w:val="22"/>
          <w:highlight w:val="none"/>
        </w:rPr>
        <w:t>第五章 采购需求</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_Toc32609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34</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773F3FB5">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"_Toc8351" \o "#_Toc8351"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第</w:t>
      </w:r>
      <w:r>
        <w:rPr>
          <w:rFonts w:hint="eastAsia" w:ascii="宋体" w:hAnsi="宋体" w:eastAsia="宋体" w:cs="宋体"/>
          <w:b/>
          <w:color w:val="auto"/>
          <w:sz w:val="32"/>
          <w:szCs w:val="22"/>
          <w:highlight w:val="none"/>
        </w:rPr>
        <w:t>六</w:t>
      </w:r>
      <w:r>
        <w:rPr>
          <w:rFonts w:hint="default" w:ascii="宋体" w:hAnsi="宋体" w:eastAsia="宋体" w:cs="宋体"/>
          <w:b/>
          <w:color w:val="auto"/>
          <w:sz w:val="32"/>
          <w:szCs w:val="22"/>
          <w:highlight w:val="none"/>
        </w:rPr>
        <w:t>章</w:t>
      </w:r>
      <w:r>
        <w:rPr>
          <w:rFonts w:hint="eastAsia" w:ascii="宋体" w:hAnsi="宋体" w:eastAsia="宋体" w:cs="宋体"/>
          <w:b/>
          <w:color w:val="auto"/>
          <w:sz w:val="32"/>
          <w:szCs w:val="22"/>
          <w:highlight w:val="none"/>
        </w:rPr>
        <w:t xml:space="preserve"> 拟签订的合同文本</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_Toc8351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42</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7C3218AA">
      <w:pPr>
        <w:widowControl w:val="0"/>
        <w:tabs>
          <w:tab w:val="right" w:leader="dot" w:pos="8306"/>
        </w:tabs>
        <w:jc w:val="both"/>
        <w:rPr>
          <w:rFonts w:hint="eastAsia" w:ascii="宋体" w:hAnsi="宋体" w:eastAsia="宋体" w:cs="宋体"/>
          <w:b/>
          <w:color w:val="auto"/>
          <w:sz w:val="32"/>
          <w:szCs w:val="22"/>
          <w:highlight w:val="none"/>
        </w:rPr>
      </w:pP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HYPERLINK \l "_Toc2704" \o "#_Toc2704"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第</w:t>
      </w:r>
      <w:r>
        <w:rPr>
          <w:rFonts w:hint="eastAsia" w:ascii="宋体" w:hAnsi="宋体" w:eastAsia="宋体" w:cs="宋体"/>
          <w:b/>
          <w:color w:val="auto"/>
          <w:sz w:val="32"/>
          <w:szCs w:val="22"/>
          <w:highlight w:val="none"/>
        </w:rPr>
        <w:t>七</w:t>
      </w:r>
      <w:r>
        <w:rPr>
          <w:rFonts w:hint="default" w:ascii="宋体" w:hAnsi="宋体" w:eastAsia="宋体" w:cs="宋体"/>
          <w:b/>
          <w:color w:val="auto"/>
          <w:sz w:val="32"/>
          <w:szCs w:val="22"/>
          <w:highlight w:val="none"/>
        </w:rPr>
        <w:t>章</w:t>
      </w:r>
      <w:r>
        <w:rPr>
          <w:rFonts w:hint="eastAsia" w:ascii="宋体" w:hAnsi="宋体" w:eastAsia="宋体" w:cs="宋体"/>
          <w:b/>
          <w:color w:val="auto"/>
          <w:sz w:val="32"/>
          <w:szCs w:val="22"/>
          <w:highlight w:val="none"/>
        </w:rPr>
        <w:t xml:space="preserve"> 投标</w:t>
      </w:r>
      <w:r>
        <w:rPr>
          <w:rFonts w:hint="default" w:ascii="宋体" w:hAnsi="宋体" w:eastAsia="宋体" w:cs="宋体"/>
          <w:b/>
          <w:color w:val="auto"/>
          <w:sz w:val="32"/>
          <w:szCs w:val="22"/>
          <w:highlight w:val="none"/>
        </w:rPr>
        <w:t>文件格式</w:t>
      </w:r>
      <w:r>
        <w:rPr>
          <w:rFonts w:hint="default" w:ascii="宋体" w:hAnsi="宋体" w:eastAsia="宋体" w:cs="宋体"/>
          <w:b/>
          <w:color w:val="auto"/>
          <w:sz w:val="32"/>
          <w:szCs w:val="22"/>
          <w:highlight w:val="none"/>
        </w:rPr>
        <w:tab/>
      </w:r>
      <w:r>
        <w:rPr>
          <w:rFonts w:hint="default" w:ascii="宋体" w:hAnsi="宋体" w:eastAsia="宋体" w:cs="宋体"/>
          <w:b/>
          <w:color w:val="auto"/>
          <w:sz w:val="32"/>
          <w:szCs w:val="22"/>
          <w:highlight w:val="none"/>
        </w:rPr>
        <w:fldChar w:fldCharType="begin"/>
      </w:r>
      <w:r>
        <w:rPr>
          <w:rFonts w:hint="default" w:ascii="宋体" w:hAnsi="宋体" w:eastAsia="宋体" w:cs="宋体"/>
          <w:b/>
          <w:color w:val="auto"/>
          <w:sz w:val="32"/>
          <w:szCs w:val="22"/>
          <w:highlight w:val="none"/>
        </w:rPr>
        <w:instrText xml:space="preserve"> PAGEREF _Toc2704 \h </w:instrText>
      </w:r>
      <w:r>
        <w:rPr>
          <w:rFonts w:hint="default" w:ascii="宋体" w:hAnsi="宋体" w:eastAsia="宋体" w:cs="宋体"/>
          <w:b/>
          <w:color w:val="auto"/>
          <w:sz w:val="32"/>
          <w:szCs w:val="22"/>
          <w:highlight w:val="none"/>
        </w:rPr>
        <w:fldChar w:fldCharType="separate"/>
      </w:r>
      <w:r>
        <w:rPr>
          <w:rFonts w:hint="default" w:ascii="宋体" w:hAnsi="宋体" w:eastAsia="宋体" w:cs="宋体"/>
          <w:b/>
          <w:color w:val="auto"/>
          <w:sz w:val="32"/>
          <w:szCs w:val="22"/>
          <w:highlight w:val="none"/>
        </w:rPr>
        <w:t>51</w:t>
      </w:r>
      <w:r>
        <w:rPr>
          <w:rFonts w:hint="default" w:ascii="宋体" w:hAnsi="宋体" w:eastAsia="宋体" w:cs="宋体"/>
          <w:b/>
          <w:color w:val="auto"/>
          <w:sz w:val="32"/>
          <w:szCs w:val="22"/>
          <w:highlight w:val="none"/>
        </w:rPr>
        <w:fldChar w:fldCharType="end"/>
      </w:r>
      <w:r>
        <w:rPr>
          <w:rFonts w:hint="default" w:ascii="宋体" w:hAnsi="宋体" w:eastAsia="宋体" w:cs="宋体"/>
          <w:b/>
          <w:color w:val="auto"/>
          <w:sz w:val="32"/>
          <w:szCs w:val="22"/>
          <w:highlight w:val="none"/>
        </w:rPr>
        <w:fldChar w:fldCharType="end"/>
      </w:r>
    </w:p>
    <w:p w14:paraId="4B10552A">
      <w:pPr>
        <w:widowControl/>
        <w:ind w:left="199" w:hanging="199"/>
        <w:rPr>
          <w:rFonts w:hint="eastAsia" w:ascii="宋体" w:hAnsi="宋体" w:eastAsia="宋体"/>
          <w:bCs/>
          <w:color w:val="auto"/>
          <w:sz w:val="36"/>
          <w:szCs w:val="36"/>
          <w:highlight w:val="none"/>
        </w:rPr>
        <w:sectPr>
          <w:footerReference r:id="rId5" w:type="default"/>
          <w:pgSz w:w="11906" w:h="16838"/>
          <w:pgMar w:top="1440" w:right="1800" w:bottom="1440" w:left="1800" w:header="851" w:footer="992" w:gutter="0"/>
          <w:pgNumType w:fmt="decimal" w:start="1"/>
          <w:cols w:space="425" w:num="1"/>
          <w:docGrid w:linePitch="360" w:charSpace="0"/>
        </w:sectPr>
      </w:pPr>
      <w:r>
        <w:rPr>
          <w:rFonts w:hint="default" w:ascii="宋体" w:hAnsi="宋体" w:eastAsia="宋体" w:cs="宋体"/>
          <w:bCs/>
          <w:color w:val="auto"/>
          <w:kern w:val="0"/>
          <w:szCs w:val="36"/>
          <w:highlight w:val="none"/>
        </w:rPr>
        <w:fldChar w:fldCharType="end"/>
      </w:r>
      <w:bookmarkStart w:id="524" w:name="_GoBack"/>
      <w:bookmarkEnd w:id="524"/>
    </w:p>
    <w:p w14:paraId="0D764665">
      <w:pPr>
        <w:widowControl w:val="0"/>
        <w:spacing w:line="360" w:lineRule="auto"/>
        <w:ind w:left="343" w:hanging="343"/>
        <w:jc w:val="center"/>
        <w:outlineLvl w:val="0"/>
        <w:rPr>
          <w:rFonts w:hint="eastAsia" w:ascii="宋体" w:hAnsi="宋体" w:eastAsia="宋体" w:cs="Times New Roman"/>
          <w:b/>
          <w:color w:val="auto"/>
          <w:sz w:val="60"/>
          <w:szCs w:val="60"/>
          <w:highlight w:val="none"/>
        </w:rPr>
      </w:pPr>
      <w:bookmarkStart w:id="0" w:name="_Toc32652"/>
      <w:r>
        <w:rPr>
          <w:rFonts w:hint="default" w:ascii="宋体" w:hAnsi="宋体" w:eastAsia="宋体" w:cs="Times New Roman"/>
          <w:b/>
          <w:color w:val="auto"/>
          <w:sz w:val="36"/>
          <w:szCs w:val="36"/>
          <w:highlight w:val="none"/>
        </w:rPr>
        <w:t>第一章</w:t>
      </w:r>
      <w:r>
        <w:rPr>
          <w:rFonts w:hint="eastAsia" w:ascii="宋体" w:hAnsi="宋体" w:eastAsia="宋体" w:cs="Times New Roman"/>
          <w:b/>
          <w:color w:val="auto"/>
          <w:sz w:val="36"/>
          <w:szCs w:val="36"/>
          <w:highlight w:val="none"/>
        </w:rPr>
        <w:t xml:space="preserve"> 投标邀请</w:t>
      </w:r>
      <w:bookmarkEnd w:id="0"/>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C94F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noWrap w:val="0"/>
            <w:vAlign w:val="center"/>
          </w:tcPr>
          <w:p w14:paraId="148DCE94">
            <w:pPr>
              <w:spacing w:line="360" w:lineRule="auto"/>
              <w:ind w:left="232" w:hanging="232"/>
              <w:rPr>
                <w:rFonts w:hint="eastAsia" w:ascii="宋体" w:hAnsi="宋体" w:eastAsia="宋体" w:cs="仿宋_GB2312"/>
                <w:bCs/>
                <w:color w:val="auto"/>
                <w:spacing w:val="2"/>
                <w:kern w:val="0"/>
                <w:sz w:val="24"/>
                <w:szCs w:val="22"/>
                <w:highlight w:val="none"/>
              </w:rPr>
            </w:pPr>
            <w:r>
              <w:rPr>
                <w:rFonts w:hint="eastAsia" w:ascii="宋体" w:hAnsi="宋体" w:eastAsia="宋体" w:cs="仿宋_GB2312"/>
                <w:bCs/>
                <w:color w:val="auto"/>
                <w:spacing w:val="2"/>
                <w:kern w:val="0"/>
                <w:sz w:val="24"/>
                <w:szCs w:val="22"/>
                <w:highlight w:val="none"/>
              </w:rPr>
              <w:t>项目概况</w:t>
            </w:r>
          </w:p>
          <w:p w14:paraId="33E80B83">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eastAsia="zh-CN"/>
              </w:rPr>
              <w:t>2026-2027年常州经济开发区排水管理服务项目</w:t>
            </w:r>
            <w:r>
              <w:rPr>
                <w:rFonts w:hint="default" w:ascii="宋体" w:hAnsi="宋体" w:eastAsia="宋体" w:cs="Times New Roman"/>
                <w:color w:val="auto"/>
                <w:kern w:val="0"/>
                <w:sz w:val="24"/>
                <w:szCs w:val="24"/>
                <w:highlight w:val="none"/>
              </w:rPr>
              <w:t>的潜在</w:t>
            </w:r>
            <w:r>
              <w:rPr>
                <w:rFonts w:hint="eastAsia" w:ascii="宋体" w:hAnsi="宋体" w:eastAsia="宋体" w:cs="Times New Roman"/>
                <w:color w:val="auto"/>
                <w:kern w:val="0"/>
                <w:sz w:val="24"/>
                <w:szCs w:val="24"/>
                <w:highlight w:val="none"/>
              </w:rPr>
              <w:t>投标人</w:t>
            </w:r>
            <w:r>
              <w:rPr>
                <w:rFonts w:hint="default" w:ascii="宋体" w:hAnsi="宋体" w:eastAsia="宋体" w:cs="Times New Roman"/>
                <w:color w:val="auto"/>
                <w:kern w:val="0"/>
                <w:sz w:val="24"/>
                <w:szCs w:val="24"/>
                <w:highlight w:val="none"/>
              </w:rPr>
              <w:t>应在</w:t>
            </w:r>
            <w:r>
              <w:rPr>
                <w:rFonts w:hint="eastAsia" w:ascii="宋体" w:hAnsi="宋体" w:eastAsia="宋体" w:cs="Times New Roman"/>
                <w:color w:val="auto"/>
                <w:kern w:val="0"/>
                <w:sz w:val="24"/>
                <w:szCs w:val="24"/>
                <w:highlight w:val="none"/>
              </w:rPr>
              <w:t>“苏采云”系统</w:t>
            </w:r>
            <w:r>
              <w:rPr>
                <w:rFonts w:hint="default" w:ascii="宋体" w:hAnsi="宋体" w:eastAsia="宋体" w:cs="Times New Roman"/>
                <w:color w:val="auto"/>
                <w:kern w:val="0"/>
                <w:sz w:val="24"/>
                <w:szCs w:val="24"/>
                <w:highlight w:val="none"/>
              </w:rPr>
              <w:t>获取</w:t>
            </w:r>
            <w:r>
              <w:rPr>
                <w:rFonts w:hint="eastAsia" w:ascii="宋体" w:hAnsi="宋体" w:eastAsia="宋体" w:cs="Times New Roman"/>
                <w:color w:val="auto"/>
                <w:kern w:val="0"/>
                <w:sz w:val="24"/>
                <w:szCs w:val="24"/>
                <w:highlight w:val="none"/>
              </w:rPr>
              <w:t>招标</w:t>
            </w:r>
            <w:r>
              <w:rPr>
                <w:rFonts w:hint="default" w:ascii="宋体" w:hAnsi="宋体" w:eastAsia="宋体" w:cs="Times New Roman"/>
                <w:color w:val="auto"/>
                <w:kern w:val="0"/>
                <w:sz w:val="24"/>
                <w:szCs w:val="24"/>
                <w:highlight w:val="none"/>
              </w:rPr>
              <w:t>文件，并于</w:t>
            </w:r>
            <w:r>
              <w:rPr>
                <w:rFonts w:hint="eastAsia" w:ascii="宋体" w:hAnsi="宋体" w:eastAsia="宋体" w:cs="Times New Roman"/>
                <w:color w:val="auto"/>
                <w:kern w:val="0"/>
                <w:sz w:val="24"/>
                <w:szCs w:val="24"/>
                <w:highlight w:val="none"/>
              </w:rPr>
              <w:t>2026年</w:t>
            </w:r>
            <w:r>
              <w:rPr>
                <w:rFonts w:hint="eastAsia" w:ascii="宋体" w:hAnsi="宋体" w:eastAsia="宋体" w:cs="Times New Roman"/>
                <w:color w:val="auto"/>
                <w:kern w:val="0"/>
                <w:sz w:val="24"/>
                <w:szCs w:val="24"/>
                <w:highlight w:val="none"/>
                <w:lang w:val="en-US" w:eastAsia="zh-CN"/>
              </w:rPr>
              <w:t>9</w:t>
            </w:r>
            <w:r>
              <w:rPr>
                <w:rFonts w:hint="eastAsia" w:ascii="宋体" w:hAnsi="宋体" w:eastAsia="宋体" w:cs="Times New Roman"/>
                <w:color w:val="auto"/>
                <w:kern w:val="0"/>
                <w:sz w:val="24"/>
                <w:szCs w:val="24"/>
                <w:highlight w:val="none"/>
              </w:rPr>
              <w:t>月</w:t>
            </w:r>
            <w:r>
              <w:rPr>
                <w:rFonts w:hint="eastAsia" w:ascii="宋体" w:hAnsi="宋体" w:eastAsia="宋体" w:cs="Times New Roman"/>
                <w:color w:val="auto"/>
                <w:kern w:val="0"/>
                <w:sz w:val="24"/>
                <w:szCs w:val="24"/>
                <w:highlight w:val="none"/>
                <w:lang w:val="en-US" w:eastAsia="zh-CN"/>
              </w:rPr>
              <w:t>24</w:t>
            </w:r>
            <w:r>
              <w:rPr>
                <w:rFonts w:hint="eastAsia" w:ascii="宋体" w:hAnsi="宋体" w:eastAsia="宋体" w:cs="Times New Roman"/>
                <w:color w:val="auto"/>
                <w:kern w:val="0"/>
                <w:sz w:val="24"/>
                <w:szCs w:val="24"/>
                <w:highlight w:val="none"/>
              </w:rPr>
              <w:t>日14点</w:t>
            </w:r>
            <w:r>
              <w:rPr>
                <w:rFonts w:hint="eastAsia" w:ascii="宋体" w:hAnsi="宋体" w:eastAsia="宋体" w:cs="Times New Roman"/>
                <w:color w:val="auto"/>
                <w:kern w:val="0"/>
                <w:sz w:val="24"/>
                <w:szCs w:val="24"/>
                <w:highlight w:val="none"/>
              </w:rPr>
              <w:t>00分</w:t>
            </w:r>
            <w:r>
              <w:rPr>
                <w:rFonts w:hint="default" w:ascii="宋体" w:hAnsi="宋体" w:eastAsia="宋体" w:cs="Times New Roman"/>
                <w:color w:val="auto"/>
                <w:kern w:val="0"/>
                <w:sz w:val="24"/>
                <w:szCs w:val="24"/>
                <w:highlight w:val="none"/>
              </w:rPr>
              <w:t>（北京时间）前提交</w:t>
            </w:r>
            <w:r>
              <w:rPr>
                <w:rFonts w:hint="eastAsia" w:ascii="宋体" w:hAnsi="宋体" w:eastAsia="宋体" w:cs="Times New Roman"/>
                <w:color w:val="auto"/>
                <w:kern w:val="0"/>
                <w:sz w:val="24"/>
                <w:szCs w:val="24"/>
                <w:highlight w:val="none"/>
              </w:rPr>
              <w:t>投标</w:t>
            </w:r>
            <w:r>
              <w:rPr>
                <w:rFonts w:hint="default" w:ascii="宋体" w:hAnsi="宋体" w:eastAsia="宋体" w:cs="Times New Roman"/>
                <w:color w:val="auto"/>
                <w:kern w:val="0"/>
                <w:sz w:val="24"/>
                <w:szCs w:val="24"/>
                <w:highlight w:val="none"/>
              </w:rPr>
              <w:t>文件。</w:t>
            </w:r>
          </w:p>
        </w:tc>
      </w:tr>
    </w:tbl>
    <w:p w14:paraId="748BE243">
      <w:pPr>
        <w:spacing w:line="360" w:lineRule="auto"/>
        <w:ind w:left="229" w:hanging="229"/>
        <w:rPr>
          <w:rFonts w:hint="eastAsia" w:ascii="宋体" w:hAnsi="宋体" w:eastAsia="宋体" w:cs="Times New Roman"/>
          <w:b/>
          <w:color w:val="auto"/>
          <w:kern w:val="0"/>
          <w:sz w:val="24"/>
          <w:szCs w:val="24"/>
          <w:highlight w:val="none"/>
        </w:rPr>
      </w:pPr>
      <w:r>
        <w:rPr>
          <w:rFonts w:hint="default" w:ascii="宋体" w:hAnsi="宋体" w:eastAsia="宋体" w:cs="Times New Roman"/>
          <w:b/>
          <w:color w:val="auto"/>
          <w:kern w:val="0"/>
          <w:sz w:val="24"/>
          <w:szCs w:val="24"/>
          <w:highlight w:val="none"/>
        </w:rPr>
        <w:t>一</w:t>
      </w:r>
      <w:r>
        <w:rPr>
          <w:rFonts w:hint="eastAsia" w:ascii="宋体" w:hAnsi="宋体" w:eastAsia="宋体" w:cs="Times New Roman"/>
          <w:b/>
          <w:color w:val="auto"/>
          <w:kern w:val="0"/>
          <w:sz w:val="24"/>
          <w:szCs w:val="24"/>
          <w:highlight w:val="none"/>
        </w:rPr>
        <w:t>、</w:t>
      </w:r>
      <w:r>
        <w:rPr>
          <w:rFonts w:hint="default" w:ascii="宋体" w:hAnsi="宋体" w:eastAsia="宋体" w:cs="Times New Roman"/>
          <w:b/>
          <w:color w:val="auto"/>
          <w:kern w:val="0"/>
          <w:sz w:val="24"/>
          <w:szCs w:val="24"/>
          <w:highlight w:val="none"/>
        </w:rPr>
        <w:t>项目基本情况</w:t>
      </w:r>
    </w:p>
    <w:p w14:paraId="1235BD93">
      <w:pPr>
        <w:spacing w:line="360" w:lineRule="auto"/>
        <w:ind w:firstLine="480"/>
        <w:rPr>
          <w:rFonts w:hint="default" w:ascii="宋体" w:hAnsi="宋体" w:eastAsia="宋体" w:cs="Times New Roman"/>
          <w:color w:val="auto"/>
          <w:kern w:val="0"/>
          <w:sz w:val="24"/>
          <w:szCs w:val="24"/>
          <w:highlight w:val="none"/>
          <w:lang w:val="en-US" w:eastAsia="zh-CN"/>
        </w:rPr>
      </w:pPr>
      <w:r>
        <w:rPr>
          <w:rFonts w:hint="default" w:ascii="宋体" w:hAnsi="宋体" w:eastAsia="宋体" w:cs="Times New Roman"/>
          <w:color w:val="auto"/>
          <w:kern w:val="0"/>
          <w:sz w:val="24"/>
          <w:szCs w:val="24"/>
          <w:highlight w:val="none"/>
        </w:rPr>
        <w:t>1.项目编号：JSZC-320412056-HFRQ-G2026-0001</w:t>
      </w:r>
    </w:p>
    <w:p w14:paraId="7819312F">
      <w:pPr>
        <w:spacing w:line="360" w:lineRule="auto"/>
        <w:ind w:firstLine="480"/>
        <w:rPr>
          <w:rFonts w:hint="eastAsia" w:ascii="宋体" w:hAnsi="宋体" w:eastAsia="宋体" w:cs="Times New Roman"/>
          <w:bCs/>
          <w:color w:val="auto"/>
          <w:kern w:val="0"/>
          <w:sz w:val="24"/>
          <w:szCs w:val="22"/>
          <w:highlight w:val="none"/>
          <w:lang w:eastAsia="zh-CN"/>
        </w:rPr>
      </w:pPr>
      <w:r>
        <w:rPr>
          <w:rFonts w:hint="default" w:ascii="宋体" w:hAnsi="宋体" w:eastAsia="宋体" w:cs="Times New Roman"/>
          <w:color w:val="auto"/>
          <w:kern w:val="0"/>
          <w:sz w:val="24"/>
          <w:szCs w:val="24"/>
          <w:highlight w:val="none"/>
        </w:rPr>
        <w:t>2.项目名称：</w:t>
      </w:r>
      <w:r>
        <w:rPr>
          <w:rFonts w:hint="eastAsia" w:ascii="宋体" w:hAnsi="宋体" w:eastAsia="宋体" w:cs="Times New Roman"/>
          <w:bCs/>
          <w:color w:val="auto"/>
          <w:kern w:val="0"/>
          <w:sz w:val="24"/>
          <w:szCs w:val="22"/>
          <w:highlight w:val="none"/>
          <w:lang w:eastAsia="zh-CN"/>
        </w:rPr>
        <w:t>2026-2027年常州经济开发区排水管理服务项目</w:t>
      </w:r>
    </w:p>
    <w:p w14:paraId="30710953">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3.采购方式：</w:t>
      </w:r>
      <w:r>
        <w:rPr>
          <w:rFonts w:hint="eastAsia" w:ascii="宋体" w:hAnsi="宋体" w:eastAsia="宋体" w:cs="Times New Roman"/>
          <w:color w:val="auto"/>
          <w:kern w:val="0"/>
          <w:sz w:val="24"/>
          <w:szCs w:val="24"/>
          <w:highlight w:val="none"/>
        </w:rPr>
        <w:t>公开招标</w:t>
      </w:r>
    </w:p>
    <w:p w14:paraId="666971C1">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4.项目预算：</w:t>
      </w:r>
      <w:r>
        <w:rPr>
          <w:rFonts w:hint="eastAsia" w:ascii="宋体" w:hAnsi="宋体" w:eastAsia="宋体" w:cs="Times New Roman"/>
          <w:color w:val="auto"/>
          <w:kern w:val="0"/>
          <w:sz w:val="24"/>
          <w:szCs w:val="24"/>
          <w:highlight w:val="none"/>
          <w:lang w:val="en-US" w:eastAsia="zh-CN"/>
        </w:rPr>
        <w:t>300</w:t>
      </w:r>
      <w:r>
        <w:rPr>
          <w:rFonts w:hint="eastAsia" w:ascii="宋体" w:hAnsi="宋体" w:eastAsia="宋体" w:cs="Times New Roman"/>
          <w:color w:val="auto"/>
          <w:kern w:val="0"/>
          <w:sz w:val="24"/>
          <w:szCs w:val="24"/>
          <w:highlight w:val="none"/>
        </w:rPr>
        <w:t>万元</w:t>
      </w:r>
    </w:p>
    <w:p w14:paraId="5504F93A">
      <w:pPr>
        <w:spacing w:line="360" w:lineRule="auto"/>
        <w:ind w:firstLine="480"/>
        <w:rPr>
          <w:rFonts w:hint="eastAsia" w:ascii="宋体" w:hAnsi="宋体" w:eastAsia="宋体" w:cs="Times New Roman"/>
          <w:color w:val="auto"/>
          <w:kern w:val="0"/>
          <w:sz w:val="24"/>
          <w:szCs w:val="24"/>
          <w:highlight w:val="none"/>
        </w:rPr>
      </w:pPr>
      <w:bookmarkStart w:id="1" w:name="OLE_LINK1"/>
      <w:r>
        <w:rPr>
          <w:rFonts w:hint="eastAsia" w:ascii="宋体" w:hAnsi="宋体" w:eastAsia="宋体" w:cs="Times New Roman"/>
          <w:color w:val="auto"/>
          <w:kern w:val="0"/>
          <w:sz w:val="24"/>
          <w:szCs w:val="24"/>
          <w:highlight w:val="none"/>
        </w:rPr>
        <w:t>5.最高限价</w:t>
      </w:r>
      <w:r>
        <w:rPr>
          <w:rFonts w:hint="default" w:ascii="宋体" w:hAnsi="宋体" w:eastAsia="宋体" w:cs="Times New Roman"/>
          <w:color w:val="auto"/>
          <w:kern w:val="0"/>
          <w:sz w:val="24"/>
          <w:szCs w:val="24"/>
          <w:highlight w:val="none"/>
        </w:rPr>
        <w:t>：</w:t>
      </w:r>
      <w:bookmarkEnd w:id="1"/>
      <w:r>
        <w:rPr>
          <w:rFonts w:hint="eastAsia" w:ascii="宋体" w:hAnsi="宋体" w:eastAsia="宋体" w:cs="Times New Roman"/>
          <w:color w:val="auto"/>
          <w:kern w:val="0"/>
          <w:sz w:val="24"/>
          <w:szCs w:val="24"/>
          <w:highlight w:val="none"/>
          <w:lang w:val="en-US" w:eastAsia="zh-CN"/>
        </w:rPr>
        <w:t>300</w:t>
      </w:r>
      <w:r>
        <w:rPr>
          <w:rFonts w:hint="eastAsia" w:ascii="宋体" w:hAnsi="宋体" w:eastAsia="宋体" w:cs="Times New Roman"/>
          <w:color w:val="auto"/>
          <w:kern w:val="0"/>
          <w:sz w:val="24"/>
          <w:szCs w:val="24"/>
          <w:highlight w:val="none"/>
        </w:rPr>
        <w:t>万元（其</w:t>
      </w:r>
      <w:r>
        <w:rPr>
          <w:rFonts w:hint="eastAsia" w:ascii="宋体" w:hAnsi="宋体" w:eastAsia="宋体" w:cs="宋体"/>
          <w:color w:val="auto"/>
          <w:kern w:val="0"/>
          <w:sz w:val="24"/>
          <w:szCs w:val="24"/>
          <w:highlight w:val="none"/>
        </w:rPr>
        <w:t>中包含</w:t>
      </w:r>
      <w:r>
        <w:rPr>
          <w:rFonts w:hint="default" w:ascii="宋体" w:hAnsi="宋体" w:eastAsia="宋体" w:cs="宋体"/>
          <w:color w:val="auto"/>
          <w:kern w:val="0"/>
          <w:sz w:val="24"/>
          <w:szCs w:val="24"/>
          <w:highlight w:val="none"/>
        </w:rPr>
        <w:t>日常排水综合管理基础服务</w:t>
      </w:r>
      <w:r>
        <w:rPr>
          <w:rFonts w:hint="eastAsia" w:ascii="宋体" w:hAnsi="宋体" w:eastAsia="宋体" w:cs="宋体"/>
          <w:color w:val="auto"/>
          <w:kern w:val="0"/>
          <w:sz w:val="24"/>
          <w:szCs w:val="24"/>
          <w:highlight w:val="none"/>
          <w:lang w:val="en-US" w:eastAsia="zh-CN"/>
        </w:rPr>
        <w:t>部分限价240</w:t>
      </w:r>
      <w:r>
        <w:rPr>
          <w:rFonts w:hint="eastAsia" w:ascii="宋体" w:hAnsi="宋体" w:eastAsia="宋体" w:cs="宋体"/>
          <w:color w:val="auto"/>
          <w:kern w:val="0"/>
          <w:sz w:val="24"/>
          <w:szCs w:val="24"/>
          <w:highlight w:val="none"/>
        </w:rPr>
        <w:t>万元；</w:t>
      </w:r>
      <w:r>
        <w:rPr>
          <w:rFonts w:hint="default" w:ascii="宋体" w:hAnsi="宋体" w:eastAsia="宋体" w:cs="宋体"/>
          <w:color w:val="auto"/>
          <w:kern w:val="0"/>
          <w:sz w:val="24"/>
          <w:szCs w:val="24"/>
          <w:highlight w:val="none"/>
        </w:rPr>
        <w:t>重点片区排水问题摸排及优化提升方案编制服务</w:t>
      </w:r>
      <w:r>
        <w:rPr>
          <w:rFonts w:hint="eastAsia" w:ascii="宋体" w:hAnsi="宋体" w:eastAsia="宋体" w:cs="宋体"/>
          <w:color w:val="auto"/>
          <w:kern w:val="0"/>
          <w:sz w:val="24"/>
          <w:szCs w:val="24"/>
          <w:highlight w:val="none"/>
        </w:rPr>
        <w:t>部分</w:t>
      </w:r>
      <w:r>
        <w:rPr>
          <w:rFonts w:hint="eastAsia" w:ascii="宋体" w:hAnsi="宋体" w:eastAsia="宋体" w:cs="宋体"/>
          <w:color w:val="auto"/>
          <w:kern w:val="0"/>
          <w:sz w:val="24"/>
          <w:szCs w:val="24"/>
          <w:highlight w:val="none"/>
          <w:lang w:val="en-US" w:eastAsia="zh-CN"/>
        </w:rPr>
        <w:t>限价40</w:t>
      </w:r>
      <w:r>
        <w:rPr>
          <w:rFonts w:hint="eastAsia" w:ascii="宋体" w:hAnsi="宋体" w:eastAsia="宋体" w:cs="宋体"/>
          <w:color w:val="auto"/>
          <w:kern w:val="0"/>
          <w:sz w:val="24"/>
          <w:szCs w:val="24"/>
          <w:highlight w:val="none"/>
        </w:rPr>
        <w:t>万元；污水厂、农村生活污水处理设施、企业排水及河道水质检测</w:t>
      </w:r>
      <w:r>
        <w:rPr>
          <w:rFonts w:hint="eastAsia" w:ascii="宋体" w:hAnsi="宋体" w:eastAsia="宋体" w:cs="宋体"/>
          <w:color w:val="auto"/>
          <w:kern w:val="0"/>
          <w:sz w:val="24"/>
          <w:szCs w:val="24"/>
          <w:highlight w:val="none"/>
          <w:lang w:val="en-US" w:eastAsia="zh-CN"/>
        </w:rPr>
        <w:t>部分限价</w:t>
      </w:r>
      <w:r>
        <w:rPr>
          <w:rFonts w:hint="eastAsia" w:ascii="宋体" w:hAnsi="宋体" w:eastAsia="宋体" w:cs="宋体"/>
          <w:color w:val="auto"/>
          <w:kern w:val="0"/>
          <w:sz w:val="24"/>
          <w:szCs w:val="24"/>
          <w:highlight w:val="none"/>
        </w:rPr>
        <w:t>20万元）</w:t>
      </w:r>
    </w:p>
    <w:p w14:paraId="5FC9181B">
      <w:pPr>
        <w:spacing w:line="360" w:lineRule="auto"/>
        <w:ind w:firstLine="48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w:t>
      </w:r>
      <w:r>
        <w:rPr>
          <w:rFonts w:hint="default" w:ascii="宋体" w:hAnsi="宋体" w:eastAsia="宋体" w:cs="Times New Roman"/>
          <w:color w:val="auto"/>
          <w:kern w:val="0"/>
          <w:sz w:val="24"/>
          <w:szCs w:val="24"/>
          <w:highlight w:val="none"/>
        </w:rPr>
        <w:t>.采购需求：主要</w:t>
      </w:r>
      <w:r>
        <w:rPr>
          <w:rFonts w:hint="eastAsia" w:ascii="宋体" w:hAnsi="宋体" w:eastAsia="宋体" w:cs="Times New Roman"/>
          <w:color w:val="auto"/>
          <w:kern w:val="0"/>
          <w:sz w:val="24"/>
          <w:szCs w:val="24"/>
          <w:highlight w:val="none"/>
          <w:lang w:val="en-US" w:eastAsia="zh-CN"/>
        </w:rPr>
        <w:t>服务</w:t>
      </w:r>
      <w:r>
        <w:rPr>
          <w:rFonts w:hint="default" w:ascii="宋体" w:hAnsi="宋体" w:eastAsia="宋体" w:cs="Times New Roman"/>
          <w:color w:val="auto"/>
          <w:kern w:val="0"/>
          <w:sz w:val="24"/>
          <w:szCs w:val="24"/>
          <w:highlight w:val="none"/>
        </w:rPr>
        <w:t>内容为协助开展排水许可服务，协助开展排水户常态化巡查，协助协调处置水污染突发情况，协助推进雨水系统及防汛排涝管理，协助做好污水提质增效、宣传及综合配套等相关工作。</w:t>
      </w:r>
    </w:p>
    <w:p w14:paraId="76196245">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7</w:t>
      </w:r>
      <w:r>
        <w:rPr>
          <w:rFonts w:hint="eastAsia" w:ascii="宋体" w:hAnsi="宋体" w:eastAsia="宋体" w:cs="Times New Roman"/>
          <w:color w:val="auto"/>
          <w:kern w:val="0"/>
          <w:sz w:val="24"/>
          <w:szCs w:val="24"/>
          <w:highlight w:val="none"/>
        </w:rPr>
        <w:t>.合同履行期限：</w:t>
      </w:r>
      <w:r>
        <w:rPr>
          <w:rFonts w:hint="eastAsia" w:ascii="宋体" w:hAnsi="宋体" w:eastAsia="宋体" w:cs="Times New Roman"/>
          <w:color w:val="auto"/>
          <w:kern w:val="0"/>
          <w:sz w:val="24"/>
          <w:szCs w:val="24"/>
          <w:highlight w:val="none"/>
          <w:lang w:val="en-US" w:eastAsia="zh-CN"/>
        </w:rPr>
        <w:t>一年</w:t>
      </w:r>
      <w:r>
        <w:rPr>
          <w:rFonts w:hint="eastAsia" w:ascii="宋体" w:hAnsi="宋体" w:eastAsia="宋体" w:cs="Times New Roman"/>
          <w:color w:val="auto"/>
          <w:kern w:val="0"/>
          <w:sz w:val="24"/>
          <w:szCs w:val="24"/>
          <w:highlight w:val="none"/>
        </w:rPr>
        <w:t>。</w:t>
      </w:r>
    </w:p>
    <w:p w14:paraId="4BCAD5A0">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 xml:space="preserve">8.本项目是否接受联合体：□是  </w:t>
      </w: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否。</w:t>
      </w:r>
    </w:p>
    <w:p w14:paraId="311DB819">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9</w:t>
      </w: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本项目是否接受</w:t>
      </w:r>
      <w:r>
        <w:rPr>
          <w:rFonts w:hint="eastAsia" w:ascii="宋体" w:hAnsi="宋体" w:eastAsia="宋体" w:cs="Times New Roman"/>
          <w:color w:val="auto"/>
          <w:kern w:val="0"/>
          <w:sz w:val="24"/>
          <w:szCs w:val="24"/>
          <w:highlight w:val="none"/>
        </w:rPr>
        <w:t>进口产品响应</w:t>
      </w:r>
      <w:r>
        <w:rPr>
          <w:rFonts w:hint="default" w:ascii="宋体" w:hAnsi="宋体" w:eastAsia="宋体" w:cs="Times New Roman"/>
          <w:color w:val="auto"/>
          <w:kern w:val="0"/>
          <w:sz w:val="24"/>
          <w:szCs w:val="24"/>
          <w:highlight w:val="none"/>
        </w:rPr>
        <w:t>：□是  ■否</w:t>
      </w:r>
      <w:r>
        <w:rPr>
          <w:rFonts w:hint="eastAsia" w:ascii="宋体" w:hAnsi="宋体" w:eastAsia="宋体" w:cs="Times New Roman"/>
          <w:color w:val="auto"/>
          <w:kern w:val="0"/>
          <w:sz w:val="24"/>
          <w:szCs w:val="24"/>
          <w:highlight w:val="none"/>
        </w:rPr>
        <w:t>。</w:t>
      </w:r>
    </w:p>
    <w:p w14:paraId="0EE5561A">
      <w:pPr>
        <w:spacing w:line="360" w:lineRule="auto"/>
        <w:ind w:left="229" w:hanging="229"/>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二、申请人的资格要求（须同时满足）</w:t>
      </w:r>
    </w:p>
    <w:p w14:paraId="6B05F83F">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1.满足《中华人民共和国政府采购法》第二十二条规定</w:t>
      </w:r>
      <w:r>
        <w:rPr>
          <w:rFonts w:hint="eastAsia" w:ascii="宋体" w:hAnsi="宋体" w:eastAsia="宋体" w:cs="Times New Roman"/>
          <w:color w:val="auto"/>
          <w:kern w:val="0"/>
          <w:sz w:val="24"/>
          <w:szCs w:val="24"/>
          <w:highlight w:val="none"/>
        </w:rPr>
        <w:t>以及下列情形：</w:t>
      </w:r>
    </w:p>
    <w:p w14:paraId="2B9AAC63">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1.1未被“信用中国”网站（WWW.creditchina.gov.cn）或“中国政府采购网”网站（www.ccgp.gov.cn）列入失信被执行人、重大税收违法案件当事人名单、政府采购严重失信行为记录名单；</w:t>
      </w:r>
    </w:p>
    <w:p w14:paraId="7688F037">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429BFDAB">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2.落实政府采购政策需满足的资格要求：</w:t>
      </w:r>
    </w:p>
    <w:p w14:paraId="7264C692">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2.1 中小企业政策</w:t>
      </w:r>
    </w:p>
    <w:p w14:paraId="089DC091">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本项目不专门面向中小企业预留采购份额。</w:t>
      </w:r>
    </w:p>
    <w:p w14:paraId="53A228DC">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 xml:space="preserve">■本项目专门面向  </w:t>
      </w: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 xml:space="preserve">中小 </w:t>
      </w: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小微企业  采购。即：提供的货物全部由符合政策要求的中小/小微企业制造、服务全部由符合政策要求的中小/小微企业承接。</w:t>
      </w:r>
    </w:p>
    <w:p w14:paraId="45486512">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Times New Roman"/>
          <w:color w:val="auto"/>
          <w:kern w:val="0"/>
          <w:sz w:val="24"/>
          <w:szCs w:val="24"/>
          <w:highlight w:val="none"/>
          <w:u w:val="single"/>
        </w:rPr>
        <w:t xml:space="preserve">  /  </w:t>
      </w:r>
      <w:r>
        <w:rPr>
          <w:rFonts w:hint="eastAsia" w:ascii="宋体" w:hAnsi="宋体" w:eastAsia="宋体" w:cs="Times New Roman"/>
          <w:color w:val="auto"/>
          <w:kern w:val="0"/>
          <w:sz w:val="24"/>
          <w:szCs w:val="24"/>
          <w:highlight w:val="none"/>
        </w:rPr>
        <w:t>。</w:t>
      </w:r>
    </w:p>
    <w:p w14:paraId="352989C7">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2.2 其它落实政府采购政策的资格要求（如有）：</w:t>
      </w:r>
      <w:r>
        <w:rPr>
          <w:rFonts w:hint="eastAsia" w:ascii="宋体" w:hAnsi="宋体" w:eastAsia="宋体" w:cs="Times New Roman"/>
          <w:color w:val="auto"/>
          <w:kern w:val="0"/>
          <w:sz w:val="24"/>
          <w:szCs w:val="24"/>
          <w:highlight w:val="none"/>
          <w:u w:val="single"/>
        </w:rPr>
        <w:t xml:space="preserve">  /  </w:t>
      </w:r>
      <w:r>
        <w:rPr>
          <w:rFonts w:hint="eastAsia" w:ascii="宋体" w:hAnsi="宋体" w:eastAsia="宋体" w:cs="Times New Roman"/>
          <w:color w:val="auto"/>
          <w:kern w:val="0"/>
          <w:sz w:val="24"/>
          <w:szCs w:val="24"/>
          <w:highlight w:val="none"/>
        </w:rPr>
        <w:t>。</w:t>
      </w:r>
    </w:p>
    <w:p w14:paraId="7785C4C5">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3.本项目的特定资格要求：</w:t>
      </w:r>
    </w:p>
    <w:p w14:paraId="43884B78">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3.1本项目是否接受分支机构参与</w:t>
      </w:r>
      <w:r>
        <w:rPr>
          <w:rFonts w:hint="eastAsia" w:ascii="宋体" w:hAnsi="宋体" w:eastAsia="宋体" w:cs="Times New Roman"/>
          <w:color w:val="auto"/>
          <w:kern w:val="0"/>
          <w:sz w:val="24"/>
          <w:szCs w:val="24"/>
          <w:highlight w:val="none"/>
        </w:rPr>
        <w:t>投标</w:t>
      </w:r>
      <w:r>
        <w:rPr>
          <w:rFonts w:hint="default"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 xml:space="preserve">是   </w:t>
      </w: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否；</w:t>
      </w:r>
    </w:p>
    <w:p w14:paraId="0A2E9D33">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3.2 本项目是否属于政府购买服务：</w:t>
      </w:r>
    </w:p>
    <w:p w14:paraId="74A4EB06">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否</w:t>
      </w:r>
    </w:p>
    <w:p w14:paraId="2C738281">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是，公益一类事业单位、使用事业编制且由财政拨款保障的群团组织，不得作为承接主体；</w:t>
      </w:r>
    </w:p>
    <w:p w14:paraId="785351E8">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3.3其他特定资格要求：</w:t>
      </w:r>
      <w:r>
        <w:rPr>
          <w:rFonts w:hint="eastAsia" w:ascii="宋体" w:hAnsi="宋体" w:eastAsia="宋体" w:cs="Times New Roman"/>
          <w:color w:val="auto"/>
          <w:kern w:val="0"/>
          <w:sz w:val="24"/>
          <w:szCs w:val="24"/>
          <w:highlight w:val="none"/>
        </w:rPr>
        <w:t>无。</w:t>
      </w:r>
    </w:p>
    <w:p w14:paraId="00A20BF2">
      <w:pPr>
        <w:spacing w:line="360" w:lineRule="auto"/>
        <w:ind w:left="229" w:hanging="229"/>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三、获取招标文件</w:t>
      </w:r>
    </w:p>
    <w:p w14:paraId="0B90547C">
      <w:pPr>
        <w:widowControl w:val="0"/>
        <w:ind w:firstLine="480"/>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1.时间：</w:t>
      </w:r>
      <w:r>
        <w:rPr>
          <w:rFonts w:hint="eastAsia" w:ascii="宋体" w:hAnsi="宋体" w:eastAsia="宋体" w:cs="宋体"/>
          <w:color w:val="auto"/>
          <w:sz w:val="24"/>
          <w:szCs w:val="24"/>
          <w:highlight w:val="none"/>
        </w:rPr>
        <w:t>自招标文件公告发布之日起5个工作日。</w:t>
      </w:r>
    </w:p>
    <w:p w14:paraId="00B2CABF">
      <w:pPr>
        <w:spacing w:line="360" w:lineRule="auto"/>
        <w:ind w:firstLine="480"/>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2.地点：</w:t>
      </w:r>
      <w:r>
        <w:rPr>
          <w:rFonts w:hint="eastAsia" w:ascii="宋体" w:hAnsi="宋体" w:eastAsia="宋体" w:cs="Times New Roman"/>
          <w:color w:val="auto"/>
          <w:kern w:val="0"/>
          <w:sz w:val="24"/>
          <w:szCs w:val="22"/>
          <w:highlight w:val="none"/>
        </w:rPr>
        <w:t>“苏采云”系统</w:t>
      </w:r>
    </w:p>
    <w:p w14:paraId="0851B58C">
      <w:pPr>
        <w:spacing w:line="360" w:lineRule="auto"/>
        <w:ind w:firstLine="480"/>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3.方式：供应商持CA数字认证证书登录</w:t>
      </w:r>
      <w:r>
        <w:rPr>
          <w:rFonts w:hint="eastAsia" w:ascii="宋体" w:hAnsi="宋体" w:eastAsia="宋体" w:cs="Times New Roman"/>
          <w:color w:val="auto"/>
          <w:kern w:val="0"/>
          <w:sz w:val="24"/>
          <w:szCs w:val="22"/>
          <w:highlight w:val="none"/>
        </w:rPr>
        <w:t>“苏采云”系统（http://jszfcg.jsczt.cn/jszc/login）</w:t>
      </w:r>
      <w:r>
        <w:rPr>
          <w:rFonts w:hint="default" w:ascii="宋体" w:hAnsi="宋体" w:eastAsia="宋体" w:cs="Times New Roman"/>
          <w:color w:val="auto"/>
          <w:kern w:val="0"/>
          <w:sz w:val="24"/>
          <w:szCs w:val="22"/>
          <w:highlight w:val="none"/>
        </w:rPr>
        <w:t>获取电子版招标文件。</w:t>
      </w:r>
    </w:p>
    <w:p w14:paraId="732F06AC">
      <w:pPr>
        <w:spacing w:line="360" w:lineRule="auto"/>
        <w:ind w:firstLine="480"/>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4.售价：</w:t>
      </w:r>
      <w:r>
        <w:rPr>
          <w:rFonts w:hint="eastAsia" w:ascii="宋体" w:hAnsi="宋体" w:eastAsia="宋体" w:cs="Times New Roman"/>
          <w:color w:val="auto"/>
          <w:kern w:val="0"/>
          <w:sz w:val="24"/>
          <w:szCs w:val="22"/>
          <w:highlight w:val="none"/>
        </w:rPr>
        <w:t>0元</w:t>
      </w:r>
      <w:r>
        <w:rPr>
          <w:rFonts w:hint="default" w:ascii="宋体" w:hAnsi="宋体" w:eastAsia="宋体" w:cs="Times New Roman"/>
          <w:color w:val="auto"/>
          <w:kern w:val="0"/>
          <w:sz w:val="24"/>
          <w:szCs w:val="22"/>
          <w:highlight w:val="none"/>
        </w:rPr>
        <w:t>。</w:t>
      </w:r>
    </w:p>
    <w:p w14:paraId="0F3D1512">
      <w:pPr>
        <w:spacing w:line="360" w:lineRule="auto"/>
        <w:ind w:left="229" w:hanging="229"/>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四、</w:t>
      </w:r>
      <w:r>
        <w:rPr>
          <w:rFonts w:hint="default" w:ascii="宋体" w:hAnsi="宋体" w:eastAsia="宋体" w:cs="Times New Roman"/>
          <w:b/>
          <w:color w:val="auto"/>
          <w:kern w:val="0"/>
          <w:sz w:val="24"/>
          <w:szCs w:val="24"/>
          <w:highlight w:val="none"/>
        </w:rPr>
        <w:t>提交投标文件截止时间、开标时间和地点</w:t>
      </w:r>
    </w:p>
    <w:p w14:paraId="54D6B126">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2"/>
          <w:highlight w:val="none"/>
        </w:rPr>
        <w:t>投标截止时间、开标时间：</w:t>
      </w:r>
      <w:r>
        <w:rPr>
          <w:rFonts w:hint="eastAsia" w:ascii="宋体" w:hAnsi="宋体" w:eastAsia="宋体" w:cs="Times New Roman"/>
          <w:color w:val="auto"/>
          <w:kern w:val="0"/>
          <w:sz w:val="24"/>
          <w:szCs w:val="24"/>
          <w:highlight w:val="none"/>
        </w:rPr>
        <w:t>2026年</w:t>
      </w:r>
      <w:r>
        <w:rPr>
          <w:rFonts w:hint="eastAsia" w:ascii="宋体" w:hAnsi="宋体" w:eastAsia="宋体" w:cs="Times New Roman"/>
          <w:color w:val="auto"/>
          <w:kern w:val="0"/>
          <w:sz w:val="24"/>
          <w:szCs w:val="24"/>
          <w:highlight w:val="none"/>
          <w:lang w:val="en-US" w:eastAsia="zh-CN"/>
        </w:rPr>
        <w:t>9</w:t>
      </w:r>
      <w:r>
        <w:rPr>
          <w:rFonts w:hint="eastAsia" w:ascii="宋体" w:hAnsi="宋体" w:eastAsia="宋体" w:cs="Times New Roman"/>
          <w:color w:val="auto"/>
          <w:kern w:val="0"/>
          <w:sz w:val="24"/>
          <w:szCs w:val="24"/>
          <w:highlight w:val="none"/>
        </w:rPr>
        <w:t>月</w:t>
      </w:r>
      <w:r>
        <w:rPr>
          <w:rFonts w:hint="eastAsia" w:ascii="宋体" w:hAnsi="宋体" w:eastAsia="宋体" w:cs="Times New Roman"/>
          <w:color w:val="auto"/>
          <w:kern w:val="0"/>
          <w:sz w:val="24"/>
          <w:szCs w:val="24"/>
          <w:highlight w:val="none"/>
          <w:lang w:val="en-US" w:eastAsia="zh-CN"/>
        </w:rPr>
        <w:t>24</w:t>
      </w:r>
      <w:r>
        <w:rPr>
          <w:rFonts w:hint="eastAsia" w:ascii="宋体" w:hAnsi="宋体" w:eastAsia="宋体" w:cs="Times New Roman"/>
          <w:color w:val="auto"/>
          <w:kern w:val="0"/>
          <w:sz w:val="24"/>
          <w:szCs w:val="24"/>
          <w:highlight w:val="none"/>
        </w:rPr>
        <w:t>日14点00分</w:t>
      </w:r>
      <w:r>
        <w:rPr>
          <w:rFonts w:hint="default" w:ascii="宋体" w:hAnsi="宋体" w:eastAsia="宋体" w:cs="Times New Roman"/>
          <w:color w:val="auto"/>
          <w:kern w:val="0"/>
          <w:sz w:val="24"/>
          <w:szCs w:val="24"/>
          <w:highlight w:val="none"/>
        </w:rPr>
        <w:t>（北京时间）。</w:t>
      </w:r>
    </w:p>
    <w:p w14:paraId="7DC876C4">
      <w:pPr>
        <w:widowControl w:val="0"/>
        <w:ind w:firstLine="480"/>
        <w:jc w:val="left"/>
        <w:rPr>
          <w:rFonts w:hint="eastAsia" w:ascii="宋体" w:hAnsi="宋体" w:eastAsia="宋体" w:cs="Times New Roman"/>
          <w:color w:val="auto"/>
          <w:sz w:val="24"/>
          <w:szCs w:val="24"/>
          <w:highlight w:val="none"/>
        </w:rPr>
      </w:pPr>
      <w:bookmarkStart w:id="2" w:name="_Toc28359007"/>
      <w:bookmarkStart w:id="3" w:name="_Toc35393625"/>
      <w:bookmarkStart w:id="4" w:name="_Toc28359084"/>
      <w:bookmarkStart w:id="5" w:name="_Toc35393794"/>
      <w:r>
        <w:rPr>
          <w:rFonts w:hint="default" w:ascii="宋体" w:hAnsi="宋体" w:eastAsia="宋体" w:cs="Times New Roman"/>
          <w:color w:val="auto"/>
          <w:sz w:val="24"/>
          <w:szCs w:val="24"/>
          <w:highlight w:val="none"/>
        </w:rPr>
        <w:t>地点：</w:t>
      </w:r>
      <w:r>
        <w:rPr>
          <w:rFonts w:hint="eastAsia" w:ascii="宋体" w:hAnsi="宋体" w:eastAsia="宋体" w:cs="Times New Roman"/>
          <w:color w:val="auto"/>
          <w:sz w:val="24"/>
          <w:szCs w:val="22"/>
          <w:highlight w:val="none"/>
        </w:rPr>
        <w:t>“苏采云”系统“开标大厅”。</w:t>
      </w:r>
    </w:p>
    <w:p w14:paraId="06015880">
      <w:pPr>
        <w:spacing w:line="360" w:lineRule="auto"/>
        <w:ind w:left="229" w:hanging="229"/>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五</w:t>
      </w:r>
      <w:r>
        <w:rPr>
          <w:rFonts w:hint="default" w:ascii="宋体" w:hAnsi="宋体" w:eastAsia="宋体" w:cs="Times New Roman"/>
          <w:b/>
          <w:color w:val="auto"/>
          <w:kern w:val="0"/>
          <w:sz w:val="24"/>
          <w:szCs w:val="24"/>
          <w:highlight w:val="none"/>
        </w:rPr>
        <w:t>、公告期限</w:t>
      </w:r>
      <w:bookmarkEnd w:id="2"/>
      <w:bookmarkEnd w:id="3"/>
      <w:bookmarkEnd w:id="4"/>
      <w:bookmarkEnd w:id="5"/>
    </w:p>
    <w:p w14:paraId="055743F8">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自本公告发布之日起</w:t>
      </w:r>
      <w:r>
        <w:rPr>
          <w:rFonts w:hint="eastAsia" w:ascii="宋体" w:hAnsi="宋体" w:eastAsia="宋体" w:cs="Times New Roman"/>
          <w:color w:val="auto"/>
          <w:kern w:val="0"/>
          <w:sz w:val="24"/>
          <w:szCs w:val="24"/>
          <w:highlight w:val="none"/>
        </w:rPr>
        <w:t>5</w:t>
      </w:r>
      <w:r>
        <w:rPr>
          <w:rFonts w:hint="default" w:ascii="宋体" w:hAnsi="宋体" w:eastAsia="宋体" w:cs="Times New Roman"/>
          <w:color w:val="auto"/>
          <w:kern w:val="0"/>
          <w:sz w:val="24"/>
          <w:szCs w:val="24"/>
          <w:highlight w:val="none"/>
        </w:rPr>
        <w:t>个工作日。</w:t>
      </w:r>
    </w:p>
    <w:p w14:paraId="4F1CB759">
      <w:pPr>
        <w:spacing w:line="360" w:lineRule="auto"/>
        <w:ind w:left="229" w:hanging="229"/>
        <w:rPr>
          <w:rFonts w:hint="eastAsia" w:ascii="宋体" w:hAnsi="宋体" w:eastAsia="宋体" w:cs="Times New Roman"/>
          <w:b/>
          <w:color w:val="auto"/>
          <w:kern w:val="0"/>
          <w:sz w:val="24"/>
          <w:szCs w:val="24"/>
          <w:highlight w:val="none"/>
        </w:rPr>
      </w:pPr>
      <w:bookmarkStart w:id="6" w:name="_Toc35393795"/>
      <w:bookmarkStart w:id="7" w:name="_Toc35393626"/>
      <w:r>
        <w:rPr>
          <w:rFonts w:hint="eastAsia" w:ascii="宋体" w:hAnsi="宋体" w:eastAsia="宋体" w:cs="Times New Roman"/>
          <w:b/>
          <w:color w:val="auto"/>
          <w:kern w:val="0"/>
          <w:sz w:val="24"/>
          <w:szCs w:val="24"/>
          <w:highlight w:val="none"/>
        </w:rPr>
        <w:t>六</w:t>
      </w:r>
      <w:r>
        <w:rPr>
          <w:rFonts w:hint="default" w:ascii="宋体" w:hAnsi="宋体" w:eastAsia="宋体" w:cs="Times New Roman"/>
          <w:b/>
          <w:color w:val="auto"/>
          <w:kern w:val="0"/>
          <w:sz w:val="24"/>
          <w:szCs w:val="24"/>
          <w:highlight w:val="none"/>
        </w:rPr>
        <w:t>、其他补充事宜</w:t>
      </w:r>
      <w:bookmarkEnd w:id="6"/>
      <w:bookmarkEnd w:id="7"/>
    </w:p>
    <w:p w14:paraId="0B734581">
      <w:pPr>
        <w:spacing w:line="360" w:lineRule="auto"/>
        <w:ind w:firstLine="480"/>
        <w:jc w:val="left"/>
        <w:rPr>
          <w:rFonts w:hint="eastAsia" w:ascii="宋体" w:hAnsi="宋体" w:eastAsia="宋体" w:cs="Times New Roman"/>
          <w:b/>
          <w:color w:val="auto"/>
          <w:kern w:val="0"/>
          <w:sz w:val="24"/>
          <w:szCs w:val="24"/>
          <w:highlight w:val="none"/>
        </w:rPr>
      </w:pPr>
      <w:bookmarkStart w:id="8" w:name="_Toc35393796"/>
      <w:bookmarkStart w:id="9" w:name="_Toc28359085"/>
      <w:bookmarkStart w:id="10" w:name="_Toc35393627"/>
      <w:bookmarkStart w:id="11" w:name="_Toc28359008"/>
      <w:r>
        <w:rPr>
          <w:rFonts w:hint="eastAsia" w:ascii="宋体" w:hAnsi="宋体" w:eastAsia="宋体" w:cs="Times New Roman"/>
          <w:color w:val="auto"/>
          <w:kern w:val="0"/>
          <w:sz w:val="24"/>
          <w:szCs w:val="24"/>
          <w:highlight w:val="none"/>
        </w:rPr>
        <w:t>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7C9C4F00">
      <w:pPr>
        <w:spacing w:line="360" w:lineRule="auto"/>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7118F347">
      <w:pPr>
        <w:spacing w:line="360" w:lineRule="auto"/>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 有关本次招标的事项若存在变动或修改，敬请及时关注“江苏政府采购网” 、“常州市政府采购网”发布的公告。</w:t>
      </w:r>
    </w:p>
    <w:p w14:paraId="3A2EBF89">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w:t>
      </w:r>
      <w:r>
        <w:rPr>
          <w:rFonts w:hint="default"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rPr>
        <w:t>关于常州市中小企业政府采购信用融资：</w:t>
      </w:r>
    </w:p>
    <w:p w14:paraId="4400525E">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9EDDBFB">
      <w:pPr>
        <w:spacing w:line="360" w:lineRule="auto"/>
        <w:ind w:left="229" w:hanging="229"/>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七</w:t>
      </w:r>
      <w:r>
        <w:rPr>
          <w:rFonts w:hint="default" w:ascii="宋体" w:hAnsi="宋体" w:eastAsia="宋体" w:cs="Times New Roman"/>
          <w:b/>
          <w:color w:val="auto"/>
          <w:kern w:val="0"/>
          <w:sz w:val="24"/>
          <w:szCs w:val="24"/>
          <w:highlight w:val="none"/>
        </w:rPr>
        <w:t>、对本项目提出询问，请按以下方式联系。</w:t>
      </w:r>
      <w:bookmarkEnd w:id="8"/>
      <w:bookmarkEnd w:id="9"/>
      <w:bookmarkEnd w:id="10"/>
      <w:bookmarkEnd w:id="11"/>
    </w:p>
    <w:p w14:paraId="7FE7F4C5">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1.采购人信息</w:t>
      </w:r>
    </w:p>
    <w:p w14:paraId="3BAB02FF">
      <w:pPr>
        <w:spacing w:line="360" w:lineRule="auto"/>
        <w:ind w:firstLine="480"/>
        <w:rPr>
          <w:rFonts w:hint="eastAsia" w:ascii="宋体" w:hAnsi="宋体" w:eastAsia="宋体" w:cs="Times New Roman"/>
          <w:color w:val="auto"/>
          <w:kern w:val="0"/>
          <w:sz w:val="24"/>
          <w:szCs w:val="24"/>
          <w:highlight w:val="none"/>
          <w:lang w:eastAsia="zh-CN"/>
        </w:rPr>
      </w:pPr>
      <w:bookmarkStart w:id="12" w:name="_Toc28359009"/>
      <w:bookmarkStart w:id="13" w:name="_Toc28359086"/>
      <w:r>
        <w:rPr>
          <w:rFonts w:hint="default" w:ascii="宋体" w:hAnsi="宋体" w:eastAsia="宋体" w:cs="Times New Roman"/>
          <w:color w:val="auto"/>
          <w:kern w:val="0"/>
          <w:sz w:val="24"/>
          <w:szCs w:val="24"/>
          <w:highlight w:val="none"/>
        </w:rPr>
        <w:t>名    称：</w:t>
      </w:r>
      <w:r>
        <w:rPr>
          <w:rFonts w:hint="eastAsia" w:ascii="宋体" w:hAnsi="宋体" w:eastAsia="宋体" w:cs="Times New Roman"/>
          <w:color w:val="auto"/>
          <w:kern w:val="0"/>
          <w:sz w:val="24"/>
          <w:szCs w:val="24"/>
          <w:highlight w:val="none"/>
          <w:lang w:eastAsia="zh-CN"/>
        </w:rPr>
        <w:t>江苏常州经济开发区农业农村工作局</w:t>
      </w:r>
    </w:p>
    <w:p w14:paraId="70E4FE83">
      <w:pPr>
        <w:spacing w:line="360" w:lineRule="auto"/>
        <w:ind w:firstLine="480"/>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地    址：</w:t>
      </w:r>
      <w:r>
        <w:rPr>
          <w:rFonts w:hint="eastAsia" w:ascii="宋体" w:hAnsi="宋体" w:eastAsia="宋体" w:cs="Times New Roman"/>
          <w:color w:val="auto"/>
          <w:kern w:val="0"/>
          <w:sz w:val="24"/>
          <w:szCs w:val="24"/>
          <w:highlight w:val="none"/>
          <w:lang w:eastAsia="zh-CN"/>
        </w:rPr>
        <w:t>常州市武进区东方东路168号</w:t>
      </w:r>
    </w:p>
    <w:p w14:paraId="7ACAE76E">
      <w:pPr>
        <w:spacing w:line="360" w:lineRule="auto"/>
        <w:ind w:firstLine="480"/>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联系人：</w:t>
      </w:r>
      <w:r>
        <w:rPr>
          <w:rFonts w:hint="eastAsia" w:ascii="宋体" w:hAnsi="宋体" w:eastAsia="宋体" w:cs="Times New Roman"/>
          <w:color w:val="auto"/>
          <w:kern w:val="0"/>
          <w:sz w:val="24"/>
          <w:szCs w:val="24"/>
          <w:highlight w:val="none"/>
          <w:lang w:val="en-US" w:eastAsia="zh-CN"/>
        </w:rPr>
        <w:t>何青勇</w:t>
      </w:r>
    </w:p>
    <w:p w14:paraId="6C8179EA">
      <w:pPr>
        <w:spacing w:line="360" w:lineRule="auto"/>
        <w:ind w:firstLine="480"/>
        <w:rPr>
          <w:rFonts w:hint="default" w:ascii="宋体" w:hAnsi="宋体" w:eastAsia="宋体" w:cs="Times New Roman"/>
          <w:color w:val="auto"/>
          <w:kern w:val="0"/>
          <w:sz w:val="24"/>
          <w:szCs w:val="24"/>
          <w:highlight w:val="none"/>
          <w:lang w:val="en-US" w:eastAsia="zh-CN"/>
        </w:rPr>
      </w:pPr>
      <w:r>
        <w:rPr>
          <w:rFonts w:hint="default" w:ascii="宋体" w:hAnsi="宋体" w:eastAsia="宋体" w:cs="Times New Roman"/>
          <w:color w:val="auto"/>
          <w:kern w:val="0"/>
          <w:sz w:val="24"/>
          <w:szCs w:val="24"/>
          <w:highlight w:val="none"/>
        </w:rPr>
        <w:t>联系方式：</w:t>
      </w:r>
      <w:r>
        <w:rPr>
          <w:rFonts w:hint="eastAsia" w:ascii="宋体" w:hAnsi="宋体" w:eastAsia="宋体" w:cs="Times New Roman"/>
          <w:color w:val="auto"/>
          <w:kern w:val="0"/>
          <w:sz w:val="24"/>
          <w:szCs w:val="24"/>
          <w:highlight w:val="none"/>
          <w:lang w:val="en-US" w:eastAsia="zh-CN"/>
        </w:rPr>
        <w:t>0519-</w:t>
      </w:r>
      <w:r>
        <w:rPr>
          <w:rFonts w:hint="default" w:ascii="宋体" w:hAnsi="宋体" w:eastAsia="宋体" w:cs="Times New Roman"/>
          <w:color w:val="auto"/>
          <w:kern w:val="0"/>
          <w:sz w:val="24"/>
          <w:szCs w:val="24"/>
          <w:highlight w:val="none"/>
        </w:rPr>
        <w:t>88589820</w:t>
      </w:r>
    </w:p>
    <w:p w14:paraId="408B5785">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2.采购代理机构信息</w:t>
      </w:r>
      <w:bookmarkEnd w:id="12"/>
      <w:bookmarkEnd w:id="13"/>
    </w:p>
    <w:p w14:paraId="71761CA8">
      <w:pPr>
        <w:spacing w:line="360" w:lineRule="auto"/>
        <w:ind w:firstLine="480"/>
        <w:rPr>
          <w:rFonts w:hint="eastAsia" w:ascii="宋体" w:hAnsi="宋体" w:eastAsia="宋体" w:cs="Times New Roman"/>
          <w:color w:val="auto"/>
          <w:kern w:val="0"/>
          <w:sz w:val="24"/>
          <w:szCs w:val="24"/>
          <w:highlight w:val="none"/>
          <w:lang w:eastAsia="zh-CN"/>
        </w:rPr>
      </w:pPr>
      <w:bookmarkStart w:id="14" w:name="_Toc28359010"/>
      <w:bookmarkStart w:id="15" w:name="_Toc28359087"/>
      <w:r>
        <w:rPr>
          <w:rFonts w:hint="default" w:ascii="宋体" w:hAnsi="宋体" w:eastAsia="宋体" w:cs="Times New Roman"/>
          <w:color w:val="auto"/>
          <w:kern w:val="0"/>
          <w:sz w:val="24"/>
          <w:szCs w:val="24"/>
          <w:highlight w:val="none"/>
        </w:rPr>
        <w:t>名    称：</w:t>
      </w:r>
      <w:r>
        <w:rPr>
          <w:rFonts w:hint="eastAsia" w:ascii="宋体" w:hAnsi="宋体" w:eastAsia="宋体" w:cs="Times New Roman"/>
          <w:color w:val="auto"/>
          <w:kern w:val="0"/>
          <w:sz w:val="24"/>
          <w:szCs w:val="24"/>
          <w:highlight w:val="none"/>
          <w:lang w:eastAsia="zh-CN"/>
        </w:rPr>
        <w:t>江苏昊丰润全建设项目管理有限公司</w:t>
      </w:r>
    </w:p>
    <w:p w14:paraId="461C1733">
      <w:pPr>
        <w:spacing w:line="360" w:lineRule="auto"/>
        <w:ind w:firstLine="480"/>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地    址：</w:t>
      </w:r>
      <w:r>
        <w:rPr>
          <w:rFonts w:hint="eastAsia" w:ascii="宋体" w:hAnsi="宋体" w:eastAsia="宋体" w:cs="Times New Roman"/>
          <w:color w:val="auto"/>
          <w:kern w:val="0"/>
          <w:sz w:val="24"/>
          <w:szCs w:val="24"/>
          <w:highlight w:val="none"/>
          <w:lang w:eastAsia="zh-CN"/>
        </w:rPr>
        <w:t>常州市武进区武宜路177号仲夏酒店南侧3楼</w:t>
      </w:r>
    </w:p>
    <w:p w14:paraId="3BA2501F">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联系方式：0519-83339737</w:t>
      </w:r>
    </w:p>
    <w:p w14:paraId="6BDF928B">
      <w:pPr>
        <w:spacing w:line="360" w:lineRule="auto"/>
        <w:ind w:firstLine="48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3.项目联系方式</w:t>
      </w:r>
      <w:bookmarkEnd w:id="14"/>
      <w:bookmarkEnd w:id="15"/>
    </w:p>
    <w:p w14:paraId="66DC58FA">
      <w:pPr>
        <w:spacing w:line="360" w:lineRule="auto"/>
        <w:ind w:firstLine="480"/>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项目联系人：</w:t>
      </w:r>
      <w:r>
        <w:rPr>
          <w:rFonts w:hint="eastAsia" w:ascii="宋体" w:hAnsi="宋体" w:eastAsia="宋体" w:cs="Times New Roman"/>
          <w:color w:val="auto"/>
          <w:kern w:val="0"/>
          <w:sz w:val="24"/>
          <w:szCs w:val="24"/>
          <w:highlight w:val="none"/>
          <w:lang w:val="en-US" w:eastAsia="zh-CN"/>
        </w:rPr>
        <w:t>刘沙沙</w:t>
      </w:r>
    </w:p>
    <w:p w14:paraId="006C48F9">
      <w:pPr>
        <w:spacing w:line="360" w:lineRule="auto"/>
        <w:ind w:firstLine="480"/>
        <w:rPr>
          <w:rFonts w:hint="eastAsia" w:ascii="宋体" w:hAnsi="宋体" w:eastAsia="宋体"/>
          <w:color w:val="auto"/>
          <w:sz w:val="24"/>
          <w:szCs w:val="24"/>
          <w:highlight w:val="none"/>
        </w:rPr>
        <w:sectPr>
          <w:footerReference r:id="rId6" w:type="default"/>
          <w:pgSz w:w="11906" w:h="16838"/>
          <w:pgMar w:top="1440" w:right="1800" w:bottom="1440" w:left="1800" w:header="851" w:footer="992" w:gutter="0"/>
          <w:pgNumType w:fmt="decimal"/>
          <w:cols w:space="425" w:num="1"/>
          <w:docGrid w:linePitch="360" w:charSpace="0"/>
        </w:sectPr>
      </w:pPr>
      <w:r>
        <w:rPr>
          <w:rFonts w:hint="default" w:ascii="宋体" w:hAnsi="宋体" w:eastAsia="宋体" w:cs="Times New Roman"/>
          <w:color w:val="auto"/>
          <w:kern w:val="0"/>
          <w:sz w:val="24"/>
          <w:szCs w:val="24"/>
          <w:highlight w:val="none"/>
        </w:rPr>
        <w:t>电      话：18861122323</w:t>
      </w:r>
    </w:p>
    <w:p w14:paraId="7512D06A">
      <w:pPr>
        <w:widowControl w:val="0"/>
        <w:spacing w:line="360" w:lineRule="auto"/>
        <w:ind w:left="343" w:hanging="343"/>
        <w:jc w:val="center"/>
        <w:outlineLvl w:val="0"/>
        <w:rPr>
          <w:rFonts w:hint="eastAsia" w:ascii="宋体" w:hAnsi="宋体" w:eastAsia="宋体" w:cs="Times New Roman"/>
          <w:b/>
          <w:color w:val="auto"/>
          <w:sz w:val="36"/>
          <w:szCs w:val="36"/>
          <w:highlight w:val="none"/>
        </w:rPr>
      </w:pPr>
      <w:bookmarkStart w:id="16" w:name="_Toc14667"/>
      <w:r>
        <w:rPr>
          <w:rFonts w:hint="eastAsia" w:ascii="宋体" w:hAnsi="宋体" w:eastAsia="宋体" w:cs="Times New Roman"/>
          <w:b/>
          <w:color w:val="auto"/>
          <w:sz w:val="36"/>
          <w:szCs w:val="36"/>
          <w:highlight w:val="none"/>
        </w:rPr>
        <w:t>第二章 投标人须知</w:t>
      </w:r>
      <w:bookmarkEnd w:id="16"/>
    </w:p>
    <w:p w14:paraId="5DE53FC0">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投标人</w:t>
      </w:r>
      <w:r>
        <w:rPr>
          <w:rFonts w:hint="default" w:ascii="宋体" w:hAnsi="宋体" w:eastAsia="宋体" w:cs="Times New Roman"/>
          <w:b/>
          <w:color w:val="auto"/>
          <w:kern w:val="0"/>
          <w:sz w:val="28"/>
          <w:szCs w:val="28"/>
          <w:highlight w:val="none"/>
        </w:rPr>
        <w:t>须知资料表</w:t>
      </w:r>
    </w:p>
    <w:p w14:paraId="225D0C5A">
      <w:pPr>
        <w:spacing w:line="360" w:lineRule="auto"/>
        <w:ind w:left="228" w:hanging="228"/>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本表是对投标人须知的具体补充和修改，如有矛盾，均以本资料表为准。</w:t>
      </w:r>
    </w:p>
    <w:p w14:paraId="643B7EF3">
      <w:pPr>
        <w:spacing w:line="360" w:lineRule="auto"/>
        <w:ind w:left="228" w:hanging="228"/>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2"/>
          <w:highlight w:val="none"/>
        </w:rPr>
        <w:t>标记</w:t>
      </w:r>
      <w:r>
        <w:rPr>
          <w:rFonts w:hint="eastAsia" w:ascii="宋体" w:hAnsi="宋体" w:eastAsia="宋体" w:cs="Times New Roman"/>
          <w:color w:val="auto"/>
          <w:kern w:val="0"/>
          <w:sz w:val="24"/>
          <w:szCs w:val="22"/>
          <w:highlight w:val="none"/>
        </w:rPr>
        <w:t>“</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2"/>
          <w:highlight w:val="none"/>
        </w:rPr>
        <w:t>”</w:t>
      </w:r>
      <w:r>
        <w:rPr>
          <w:rFonts w:hint="default" w:ascii="宋体" w:hAnsi="宋体" w:eastAsia="宋体" w:cs="Times New Roman"/>
          <w:color w:val="auto"/>
          <w:kern w:val="0"/>
          <w:sz w:val="24"/>
          <w:szCs w:val="22"/>
          <w:highlight w:val="none"/>
        </w:rPr>
        <w:t>的选项意为适用于本项目，标记</w:t>
      </w:r>
      <w:r>
        <w:rPr>
          <w:rFonts w:hint="eastAsia" w:ascii="宋体" w:hAnsi="宋体" w:eastAsia="宋体" w:cs="Times New Roman"/>
          <w:color w:val="auto"/>
          <w:kern w:val="0"/>
          <w:sz w:val="24"/>
          <w:szCs w:val="22"/>
          <w:highlight w:val="none"/>
        </w:rPr>
        <w:t>“</w:t>
      </w:r>
      <w:r>
        <w:rPr>
          <w:rFonts w:hint="default"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2"/>
          <w:highlight w:val="none"/>
        </w:rPr>
        <w:t>”</w:t>
      </w:r>
      <w:r>
        <w:rPr>
          <w:rFonts w:hint="default" w:ascii="宋体" w:hAnsi="宋体" w:eastAsia="宋体" w:cs="Times New Roman"/>
          <w:color w:val="auto"/>
          <w:kern w:val="0"/>
          <w:sz w:val="24"/>
          <w:szCs w:val="22"/>
          <w:highlight w:val="none"/>
        </w:rPr>
        <w:t>的选项意为不适用于本项目</w:t>
      </w:r>
      <w:r>
        <w:rPr>
          <w:rFonts w:hint="default" w:ascii="宋体" w:hAnsi="宋体" w:eastAsia="宋体" w:cs="Times New Roman"/>
          <w:color w:val="auto"/>
          <w:kern w:val="0"/>
          <w:sz w:val="24"/>
          <w:szCs w:val="24"/>
          <w:highlight w:val="none"/>
        </w:rPr>
        <w:t>。</w:t>
      </w:r>
    </w:p>
    <w:tbl>
      <w:tblPr>
        <w:tblStyle w:val="7"/>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7A23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noWrap w:val="0"/>
            <w:vAlign w:val="center"/>
          </w:tcPr>
          <w:p w14:paraId="3AD44490">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条款号</w:t>
            </w:r>
          </w:p>
        </w:tc>
        <w:tc>
          <w:tcPr>
            <w:tcW w:w="1701" w:type="dxa"/>
            <w:noWrap w:val="0"/>
            <w:vAlign w:val="center"/>
          </w:tcPr>
          <w:p w14:paraId="4986F5EB">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条目</w:t>
            </w:r>
          </w:p>
        </w:tc>
        <w:tc>
          <w:tcPr>
            <w:tcW w:w="6483" w:type="dxa"/>
            <w:noWrap w:val="0"/>
            <w:vAlign w:val="center"/>
          </w:tcPr>
          <w:p w14:paraId="728DAE57">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内容</w:t>
            </w:r>
          </w:p>
        </w:tc>
      </w:tr>
      <w:tr w14:paraId="4539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vAlign w:val="center"/>
          </w:tcPr>
          <w:p w14:paraId="0DEFD758">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2.2</w:t>
            </w:r>
          </w:p>
        </w:tc>
        <w:tc>
          <w:tcPr>
            <w:tcW w:w="1701" w:type="dxa"/>
            <w:noWrap w:val="0"/>
            <w:vAlign w:val="center"/>
          </w:tcPr>
          <w:p w14:paraId="575F670A">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项目属性</w:t>
            </w:r>
          </w:p>
        </w:tc>
        <w:tc>
          <w:tcPr>
            <w:tcW w:w="6483" w:type="dxa"/>
            <w:noWrap w:val="0"/>
            <w:vAlign w:val="center"/>
          </w:tcPr>
          <w:p w14:paraId="66EE9DDF">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项目属性：</w:t>
            </w:r>
          </w:p>
          <w:p w14:paraId="4EAAA1D1">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服务</w:t>
            </w:r>
          </w:p>
          <w:p w14:paraId="1F269896">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货物</w:t>
            </w:r>
          </w:p>
        </w:tc>
      </w:tr>
      <w:tr w14:paraId="31A49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vAlign w:val="center"/>
          </w:tcPr>
          <w:p w14:paraId="0EB55D2A">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2.3</w:t>
            </w:r>
          </w:p>
        </w:tc>
        <w:tc>
          <w:tcPr>
            <w:tcW w:w="1701" w:type="dxa"/>
            <w:noWrap w:val="0"/>
            <w:vAlign w:val="center"/>
          </w:tcPr>
          <w:p w14:paraId="4778A702">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科研仪器设备</w:t>
            </w:r>
          </w:p>
        </w:tc>
        <w:tc>
          <w:tcPr>
            <w:tcW w:w="6483" w:type="dxa"/>
            <w:noWrap w:val="0"/>
            <w:vAlign w:val="center"/>
          </w:tcPr>
          <w:p w14:paraId="1BBA5832">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是否属于科研仪器设备采购项目：</w:t>
            </w:r>
          </w:p>
          <w:p w14:paraId="06EDC827">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eastAsia="zh-CN"/>
              </w:rPr>
              <w:t>□</w:t>
            </w:r>
            <w:r>
              <w:rPr>
                <w:rFonts w:hint="default" w:ascii="宋体" w:hAnsi="宋体" w:eastAsia="宋体" w:cs="Times New Roman"/>
                <w:color w:val="auto"/>
                <w:kern w:val="0"/>
                <w:sz w:val="24"/>
                <w:szCs w:val="24"/>
                <w:highlight w:val="none"/>
              </w:rPr>
              <w:t>是</w:t>
            </w:r>
          </w:p>
          <w:p w14:paraId="32712CFD">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否</w:t>
            </w:r>
          </w:p>
        </w:tc>
      </w:tr>
      <w:tr w14:paraId="5108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vAlign w:val="center"/>
          </w:tcPr>
          <w:p w14:paraId="6E002C7C">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2.4</w:t>
            </w:r>
          </w:p>
        </w:tc>
        <w:tc>
          <w:tcPr>
            <w:tcW w:w="1701" w:type="dxa"/>
            <w:noWrap w:val="0"/>
            <w:vAlign w:val="center"/>
          </w:tcPr>
          <w:p w14:paraId="30ADE8A8">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核心产品</w:t>
            </w:r>
          </w:p>
        </w:tc>
        <w:tc>
          <w:tcPr>
            <w:tcW w:w="6483" w:type="dxa"/>
            <w:noWrap w:val="0"/>
            <w:vAlign w:val="center"/>
          </w:tcPr>
          <w:p w14:paraId="6CB24216">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□关于核心产品本项目不适用。</w:t>
            </w:r>
          </w:p>
          <w:p w14:paraId="3C6DB704">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□本项目为单一产品采购项目。</w:t>
            </w:r>
          </w:p>
          <w:p w14:paraId="678C7BE6">
            <w:pPr>
              <w:spacing w:line="276" w:lineRule="auto"/>
              <w:ind w:left="228" w:hanging="228"/>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本项目为非单一产品采购项目，核心产品为：</w:t>
            </w:r>
            <w:r>
              <w:rPr>
                <w:rFonts w:hint="eastAsia" w:ascii="宋体" w:hAnsi="宋体" w:eastAsia="宋体" w:cs="Times New Roman"/>
                <w:color w:val="auto"/>
                <w:kern w:val="0"/>
                <w:sz w:val="24"/>
                <w:szCs w:val="24"/>
                <w:highlight w:val="none"/>
                <w:lang w:val="en-US" w:eastAsia="zh-CN"/>
              </w:rPr>
              <w:t>/</w:t>
            </w:r>
          </w:p>
        </w:tc>
      </w:tr>
      <w:tr w14:paraId="77A0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noWrap w:val="0"/>
            <w:vAlign w:val="center"/>
          </w:tcPr>
          <w:p w14:paraId="546EBE9E">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3.1</w:t>
            </w:r>
          </w:p>
        </w:tc>
        <w:tc>
          <w:tcPr>
            <w:tcW w:w="1701" w:type="dxa"/>
            <w:noWrap w:val="0"/>
            <w:vAlign w:val="center"/>
          </w:tcPr>
          <w:p w14:paraId="73991C10">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现场考察</w:t>
            </w:r>
          </w:p>
        </w:tc>
        <w:tc>
          <w:tcPr>
            <w:tcW w:w="6483" w:type="dxa"/>
            <w:noWrap w:val="0"/>
            <w:vAlign w:val="center"/>
          </w:tcPr>
          <w:p w14:paraId="611D2602">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不组织</w:t>
            </w:r>
          </w:p>
          <w:p w14:paraId="2931FA66">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□组织，考察时间：__年_月_日_点_分</w:t>
            </w:r>
          </w:p>
          <w:p w14:paraId="2557D4EF">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考察地点：____________。</w:t>
            </w:r>
          </w:p>
        </w:tc>
      </w:tr>
      <w:tr w14:paraId="6841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noWrap w:val="0"/>
            <w:vAlign w:val="center"/>
          </w:tcPr>
          <w:p w14:paraId="4D9D8BC4">
            <w:pPr>
              <w:spacing w:line="276" w:lineRule="auto"/>
              <w:ind w:left="228" w:hanging="228"/>
              <w:jc w:val="center"/>
              <w:rPr>
                <w:rFonts w:hint="eastAsia" w:ascii="宋体" w:hAnsi="宋体" w:eastAsia="宋体" w:cs="Times New Roman"/>
                <w:color w:val="auto"/>
                <w:kern w:val="0"/>
                <w:sz w:val="24"/>
                <w:szCs w:val="24"/>
                <w:highlight w:val="none"/>
              </w:rPr>
            </w:pPr>
          </w:p>
        </w:tc>
        <w:tc>
          <w:tcPr>
            <w:tcW w:w="1701" w:type="dxa"/>
            <w:noWrap w:val="0"/>
            <w:vAlign w:val="center"/>
          </w:tcPr>
          <w:p w14:paraId="30924ACD">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开标前答疑会</w:t>
            </w:r>
          </w:p>
        </w:tc>
        <w:tc>
          <w:tcPr>
            <w:tcW w:w="6483" w:type="dxa"/>
            <w:noWrap w:val="0"/>
            <w:vAlign w:val="center"/>
          </w:tcPr>
          <w:p w14:paraId="13ECA046">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不召开</w:t>
            </w:r>
          </w:p>
          <w:p w14:paraId="4A904520">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□召开，召开时间：__年_月_日_点_分</w:t>
            </w:r>
          </w:p>
          <w:p w14:paraId="1E69B6BF">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召开地点：____________</w:t>
            </w:r>
            <w:r>
              <w:rPr>
                <w:rFonts w:hint="eastAsia" w:ascii="宋体" w:hAnsi="宋体" w:eastAsia="宋体" w:cs="Times New Roman"/>
                <w:color w:val="auto"/>
                <w:kern w:val="0"/>
                <w:sz w:val="24"/>
                <w:szCs w:val="24"/>
                <w:highlight w:val="none"/>
              </w:rPr>
              <w:t>。</w:t>
            </w:r>
          </w:p>
        </w:tc>
      </w:tr>
      <w:tr w14:paraId="4B9A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vAlign w:val="center"/>
          </w:tcPr>
          <w:p w14:paraId="18EEF00F">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4.1</w:t>
            </w:r>
          </w:p>
        </w:tc>
        <w:tc>
          <w:tcPr>
            <w:tcW w:w="1701" w:type="dxa"/>
            <w:noWrap w:val="0"/>
            <w:vAlign w:val="center"/>
          </w:tcPr>
          <w:p w14:paraId="05A72F70">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样品</w:t>
            </w:r>
          </w:p>
        </w:tc>
        <w:tc>
          <w:tcPr>
            <w:tcW w:w="6483" w:type="dxa"/>
            <w:noWrap w:val="0"/>
            <w:vAlign w:val="center"/>
          </w:tcPr>
          <w:p w14:paraId="0B568B83">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投标样品递交：</w:t>
            </w:r>
          </w:p>
          <w:p w14:paraId="44B78D47">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不需要</w:t>
            </w:r>
          </w:p>
          <w:p w14:paraId="470D25A1">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□需要，具体要求如下：</w:t>
            </w:r>
          </w:p>
          <w:p w14:paraId="124B7D5A">
            <w:pPr>
              <w:spacing w:line="276" w:lineRule="auto"/>
              <w:ind w:left="228" w:hanging="228"/>
              <w:jc w:val="left"/>
              <w:rPr>
                <w:rFonts w:hint="eastAsia" w:ascii="宋体" w:hAnsi="宋体" w:eastAsia="宋体" w:cs="Times New Roman"/>
                <w:color w:val="auto"/>
                <w:kern w:val="0"/>
                <w:sz w:val="24"/>
                <w:szCs w:val="24"/>
                <w:highlight w:val="none"/>
                <w:lang w:val="en-US" w:eastAsia="zh-CN"/>
              </w:rPr>
            </w:pPr>
            <w:r>
              <w:rPr>
                <w:rFonts w:hint="default" w:ascii="宋体" w:hAnsi="宋体" w:eastAsia="宋体" w:cs="Times New Roman"/>
                <w:color w:val="auto"/>
                <w:kern w:val="0"/>
                <w:sz w:val="24"/>
                <w:szCs w:val="24"/>
                <w:highlight w:val="none"/>
              </w:rPr>
              <w:t>（1）样品制作的标准和要求：</w:t>
            </w:r>
            <w:r>
              <w:rPr>
                <w:rFonts w:hint="eastAsia" w:ascii="宋体" w:hAnsi="宋体" w:eastAsia="宋体" w:cs="Times New Roman"/>
                <w:color w:val="auto"/>
                <w:kern w:val="0"/>
                <w:sz w:val="24"/>
                <w:szCs w:val="24"/>
                <w:highlight w:val="none"/>
                <w:lang w:val="en-US" w:eastAsia="zh-CN"/>
              </w:rPr>
              <w:t>/</w:t>
            </w:r>
          </w:p>
          <w:p w14:paraId="08F9A526">
            <w:pPr>
              <w:spacing w:line="276" w:lineRule="auto"/>
              <w:ind w:left="228" w:hanging="228"/>
              <w:jc w:val="left"/>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（2）是否需要随样品提交相关检测报告：</w:t>
            </w:r>
            <w:r>
              <w:rPr>
                <w:rFonts w:hint="eastAsia" w:ascii="宋体" w:hAnsi="宋体" w:eastAsia="宋体" w:cs="Times New Roman"/>
                <w:color w:val="auto"/>
                <w:kern w:val="0"/>
                <w:sz w:val="24"/>
                <w:szCs w:val="24"/>
                <w:highlight w:val="none"/>
                <w:lang w:val="en-US" w:eastAsia="zh-CN"/>
              </w:rPr>
              <w:t>/</w:t>
            </w:r>
          </w:p>
          <w:p w14:paraId="52D34C9B">
            <w:pPr>
              <w:spacing w:line="276" w:lineRule="auto"/>
              <w:ind w:left="228" w:hanging="228"/>
              <w:jc w:val="left"/>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（3）样品递交要求：</w:t>
            </w:r>
            <w:r>
              <w:rPr>
                <w:rFonts w:hint="eastAsia" w:ascii="宋体" w:hAnsi="宋体" w:eastAsia="宋体" w:cs="Times New Roman"/>
                <w:color w:val="auto"/>
                <w:kern w:val="0"/>
                <w:sz w:val="24"/>
                <w:szCs w:val="24"/>
                <w:highlight w:val="none"/>
                <w:lang w:val="en-US" w:eastAsia="zh-CN"/>
              </w:rPr>
              <w:t>/</w:t>
            </w:r>
          </w:p>
          <w:p w14:paraId="411B2B3B">
            <w:pPr>
              <w:spacing w:line="276" w:lineRule="auto"/>
              <w:ind w:left="228" w:hanging="228"/>
              <w:jc w:val="left"/>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（4）未中标人样品退还：</w:t>
            </w:r>
            <w:r>
              <w:rPr>
                <w:rFonts w:hint="eastAsia" w:ascii="宋体" w:hAnsi="宋体" w:eastAsia="宋体" w:cs="Times New Roman"/>
                <w:color w:val="auto"/>
                <w:kern w:val="0"/>
                <w:sz w:val="24"/>
                <w:szCs w:val="24"/>
                <w:highlight w:val="none"/>
                <w:lang w:val="en-US" w:eastAsia="zh-CN"/>
              </w:rPr>
              <w:t>/</w:t>
            </w:r>
          </w:p>
          <w:p w14:paraId="55F0FFE7">
            <w:pPr>
              <w:spacing w:line="276" w:lineRule="auto"/>
              <w:ind w:left="228" w:hanging="228"/>
              <w:jc w:val="left"/>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（5）中标人样品保管、封存及退还：</w:t>
            </w:r>
            <w:r>
              <w:rPr>
                <w:rFonts w:hint="eastAsia" w:ascii="宋体" w:hAnsi="宋体" w:eastAsia="宋体" w:cs="Times New Roman"/>
                <w:color w:val="auto"/>
                <w:kern w:val="0"/>
                <w:sz w:val="24"/>
                <w:szCs w:val="24"/>
                <w:highlight w:val="none"/>
                <w:lang w:val="en-US" w:eastAsia="zh-CN"/>
              </w:rPr>
              <w:t>/</w:t>
            </w:r>
          </w:p>
          <w:p w14:paraId="1BA8B235">
            <w:pPr>
              <w:spacing w:line="276" w:lineRule="auto"/>
              <w:ind w:left="228" w:hanging="228"/>
              <w:jc w:val="left"/>
              <w:rPr>
                <w:rFonts w:hint="eastAsia" w:ascii="宋体" w:hAnsi="宋体" w:eastAsia="宋体" w:cs="Times New Roman"/>
                <w:color w:val="auto"/>
                <w:kern w:val="0"/>
                <w:sz w:val="24"/>
                <w:szCs w:val="24"/>
                <w:highlight w:val="none"/>
                <w:lang w:eastAsia="zh-CN"/>
              </w:rPr>
            </w:pPr>
            <w:r>
              <w:rPr>
                <w:rFonts w:hint="default" w:ascii="宋体" w:hAnsi="宋体" w:eastAsia="宋体" w:cs="Times New Roman"/>
                <w:color w:val="auto"/>
                <w:kern w:val="0"/>
                <w:sz w:val="24"/>
                <w:szCs w:val="24"/>
                <w:highlight w:val="none"/>
              </w:rPr>
              <w:t>（6）其他要求（如有）：</w:t>
            </w:r>
            <w:r>
              <w:rPr>
                <w:rFonts w:hint="eastAsia" w:ascii="宋体" w:hAnsi="宋体" w:eastAsia="宋体" w:cs="Times New Roman"/>
                <w:color w:val="auto"/>
                <w:kern w:val="0"/>
                <w:sz w:val="24"/>
                <w:szCs w:val="24"/>
                <w:highlight w:val="none"/>
                <w:lang w:val="en-US" w:eastAsia="zh-CN"/>
              </w:rPr>
              <w:t>/</w:t>
            </w:r>
          </w:p>
        </w:tc>
      </w:tr>
      <w:tr w14:paraId="6A9E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529BF887">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5.2.5</w:t>
            </w:r>
          </w:p>
        </w:tc>
        <w:tc>
          <w:tcPr>
            <w:tcW w:w="1701" w:type="dxa"/>
            <w:noWrap w:val="0"/>
            <w:vAlign w:val="center"/>
          </w:tcPr>
          <w:p w14:paraId="6261AD84">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标的所属行业</w:t>
            </w:r>
          </w:p>
        </w:tc>
        <w:tc>
          <w:tcPr>
            <w:tcW w:w="6483" w:type="dxa"/>
            <w:noWrap w:val="0"/>
            <w:vAlign w:val="center"/>
          </w:tcPr>
          <w:p w14:paraId="5296FFA2">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本项目采购标的对应的中小企业划分标准所属行业：</w:t>
            </w:r>
            <w:r>
              <w:rPr>
                <w:rFonts w:hint="default" w:ascii="宋体" w:hAnsi="宋体" w:eastAsia="宋体" w:cs="Times New Roman"/>
                <w:b/>
                <w:bCs/>
                <w:color w:val="auto"/>
                <w:kern w:val="0"/>
                <w:sz w:val="24"/>
                <w:szCs w:val="24"/>
                <w:highlight w:val="none"/>
                <w:u w:val="single"/>
              </w:rPr>
              <w:t>其他未列明行业</w:t>
            </w:r>
          </w:p>
        </w:tc>
      </w:tr>
      <w:tr w14:paraId="32364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noWrap w:val="0"/>
            <w:vAlign w:val="center"/>
          </w:tcPr>
          <w:p w14:paraId="26520C8E">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11.2</w:t>
            </w:r>
          </w:p>
        </w:tc>
        <w:tc>
          <w:tcPr>
            <w:tcW w:w="1701" w:type="dxa"/>
            <w:noWrap w:val="0"/>
            <w:vAlign w:val="center"/>
          </w:tcPr>
          <w:p w14:paraId="48075F7F">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投标报价</w:t>
            </w:r>
          </w:p>
        </w:tc>
        <w:tc>
          <w:tcPr>
            <w:tcW w:w="6483" w:type="dxa"/>
            <w:noWrap w:val="0"/>
            <w:vAlign w:val="center"/>
          </w:tcPr>
          <w:p w14:paraId="7F870212">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投标报价的特殊规定：</w:t>
            </w:r>
          </w:p>
          <w:p w14:paraId="45297833">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无</w:t>
            </w:r>
          </w:p>
          <w:p w14:paraId="48F23302">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□有，具体情形：</w:t>
            </w:r>
            <w:r>
              <w:rPr>
                <w:rFonts w:hint="eastAsia" w:ascii="宋体" w:hAnsi="宋体" w:eastAsia="宋体" w:cs="Times New Roman"/>
                <w:color w:val="auto"/>
                <w:kern w:val="0"/>
                <w:sz w:val="24"/>
                <w:szCs w:val="24"/>
                <w:highlight w:val="none"/>
              </w:rPr>
              <w:t>/</w:t>
            </w:r>
          </w:p>
        </w:tc>
      </w:tr>
      <w:tr w14:paraId="53C8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5503FDB4">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12</w:t>
            </w:r>
          </w:p>
        </w:tc>
        <w:tc>
          <w:tcPr>
            <w:tcW w:w="1701" w:type="dxa"/>
            <w:noWrap w:val="0"/>
            <w:vAlign w:val="center"/>
          </w:tcPr>
          <w:p w14:paraId="2CFDD551">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投标保证金</w:t>
            </w:r>
          </w:p>
        </w:tc>
        <w:tc>
          <w:tcPr>
            <w:tcW w:w="6483" w:type="dxa"/>
            <w:noWrap w:val="0"/>
            <w:vAlign w:val="center"/>
          </w:tcPr>
          <w:p w14:paraId="363E4A9F">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免收</w:t>
            </w:r>
          </w:p>
        </w:tc>
      </w:tr>
      <w:tr w14:paraId="10E9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44549202">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13.1</w:t>
            </w:r>
          </w:p>
        </w:tc>
        <w:tc>
          <w:tcPr>
            <w:tcW w:w="1701" w:type="dxa"/>
            <w:noWrap w:val="0"/>
            <w:vAlign w:val="center"/>
          </w:tcPr>
          <w:p w14:paraId="5B2476F8">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投标有效期</w:t>
            </w:r>
          </w:p>
        </w:tc>
        <w:tc>
          <w:tcPr>
            <w:tcW w:w="6483" w:type="dxa"/>
            <w:noWrap w:val="0"/>
            <w:vAlign w:val="center"/>
          </w:tcPr>
          <w:p w14:paraId="17B964BD">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自提交投标文件的截止之日起算</w:t>
            </w:r>
            <w:r>
              <w:rPr>
                <w:rFonts w:hint="eastAsia" w:ascii="宋体" w:hAnsi="宋体" w:eastAsia="宋体" w:cs="Times New Roman"/>
                <w:color w:val="auto"/>
                <w:kern w:val="0"/>
                <w:sz w:val="24"/>
                <w:szCs w:val="24"/>
                <w:highlight w:val="none"/>
              </w:rPr>
              <w:t>60</w:t>
            </w:r>
            <w:r>
              <w:rPr>
                <w:rFonts w:hint="default" w:ascii="宋体" w:hAnsi="宋体" w:eastAsia="宋体" w:cs="Times New Roman"/>
                <w:color w:val="auto"/>
                <w:kern w:val="0"/>
                <w:sz w:val="24"/>
                <w:szCs w:val="24"/>
                <w:highlight w:val="none"/>
              </w:rPr>
              <w:t>日历天。</w:t>
            </w:r>
          </w:p>
        </w:tc>
      </w:tr>
      <w:tr w14:paraId="633D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2B6C65BF">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25.5</w:t>
            </w:r>
          </w:p>
        </w:tc>
        <w:tc>
          <w:tcPr>
            <w:tcW w:w="1701" w:type="dxa"/>
            <w:noWrap w:val="0"/>
            <w:vAlign w:val="center"/>
          </w:tcPr>
          <w:p w14:paraId="4D260737">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分包</w:t>
            </w:r>
          </w:p>
        </w:tc>
        <w:tc>
          <w:tcPr>
            <w:tcW w:w="6483" w:type="dxa"/>
            <w:noWrap w:val="0"/>
            <w:vAlign w:val="center"/>
          </w:tcPr>
          <w:p w14:paraId="1E66F069">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本项目的非主体、非关键性工作是否允许分包：</w:t>
            </w:r>
          </w:p>
          <w:p w14:paraId="35ED9E45">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□不允许</w:t>
            </w:r>
          </w:p>
          <w:p w14:paraId="7C435A74">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允许，具体要求：</w:t>
            </w:r>
          </w:p>
          <w:p w14:paraId="277F2E33">
            <w:pPr>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（1）可以分包履行的具体内容：本项目允许将水质检测分项进行分包，其余主体排水巡查、排水许可协助、防汛排涝管理等核心工作不得分包、不得转包。中标人如需分包检测工作，须将拟分包的 CMA 机构名单、资质材料报采购人书面同意；分包单位不得再次转包分包。</w:t>
            </w:r>
          </w:p>
          <w:p w14:paraId="1BDDC9DA">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（2）允许分包的金额或者比例：</w:t>
            </w:r>
            <w:r>
              <w:rPr>
                <w:rFonts w:hint="eastAsia" w:ascii="宋体" w:hAnsi="宋体" w:eastAsia="宋体" w:cs="Times New Roman"/>
                <w:color w:val="auto"/>
                <w:kern w:val="0"/>
                <w:sz w:val="24"/>
                <w:szCs w:val="24"/>
                <w:highlight w:val="none"/>
                <w:u w:val="single"/>
              </w:rPr>
              <w:t xml:space="preserve">    </w:t>
            </w:r>
          </w:p>
          <w:p w14:paraId="40516730">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（3）其他要求：_____。</w:t>
            </w:r>
          </w:p>
        </w:tc>
      </w:tr>
      <w:tr w14:paraId="5419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61D04366">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26.1</w:t>
            </w:r>
          </w:p>
        </w:tc>
        <w:tc>
          <w:tcPr>
            <w:tcW w:w="1701" w:type="dxa"/>
            <w:noWrap w:val="0"/>
            <w:vAlign w:val="center"/>
          </w:tcPr>
          <w:p w14:paraId="7A20620E">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询问</w:t>
            </w:r>
          </w:p>
        </w:tc>
        <w:tc>
          <w:tcPr>
            <w:tcW w:w="6483" w:type="dxa"/>
            <w:noWrap w:val="0"/>
            <w:vAlign w:val="center"/>
          </w:tcPr>
          <w:p w14:paraId="7B4DCBB3">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询问送达形式：</w:t>
            </w:r>
            <w:r>
              <w:rPr>
                <w:rFonts w:hint="eastAsia" w:ascii="宋体" w:hAnsi="宋体" w:eastAsia="宋体" w:cs="Times New Roman"/>
                <w:color w:val="auto"/>
                <w:kern w:val="0"/>
                <w:sz w:val="24"/>
                <w:szCs w:val="24"/>
                <w:highlight w:val="none"/>
              </w:rPr>
              <w:t>纸质书面送达。</w:t>
            </w:r>
          </w:p>
        </w:tc>
      </w:tr>
      <w:tr w14:paraId="6A67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0309DB63">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26.2</w:t>
            </w:r>
          </w:p>
        </w:tc>
        <w:tc>
          <w:tcPr>
            <w:tcW w:w="1701" w:type="dxa"/>
            <w:noWrap w:val="0"/>
            <w:vAlign w:val="center"/>
          </w:tcPr>
          <w:p w14:paraId="2B82AD62">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质疑</w:t>
            </w:r>
          </w:p>
        </w:tc>
        <w:tc>
          <w:tcPr>
            <w:tcW w:w="6483" w:type="dxa"/>
            <w:noWrap w:val="0"/>
            <w:vAlign w:val="center"/>
          </w:tcPr>
          <w:p w14:paraId="4B00662F">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质疑</w:t>
            </w:r>
            <w:r>
              <w:rPr>
                <w:rFonts w:hint="default" w:ascii="宋体" w:hAnsi="宋体" w:eastAsia="宋体" w:cs="Times New Roman"/>
                <w:color w:val="auto"/>
                <w:kern w:val="0"/>
                <w:sz w:val="24"/>
                <w:szCs w:val="24"/>
                <w:highlight w:val="none"/>
              </w:rPr>
              <w:t>送达形式：</w:t>
            </w:r>
            <w:r>
              <w:rPr>
                <w:rFonts w:hint="eastAsia" w:ascii="宋体" w:hAnsi="宋体" w:eastAsia="宋体" w:cs="Times New Roman"/>
                <w:color w:val="auto"/>
                <w:kern w:val="0"/>
                <w:sz w:val="24"/>
                <w:szCs w:val="24"/>
                <w:highlight w:val="none"/>
              </w:rPr>
              <w:t>纸质书面送达。</w:t>
            </w:r>
          </w:p>
        </w:tc>
      </w:tr>
      <w:tr w14:paraId="7A2A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3DA5FDEA">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26.</w:t>
            </w:r>
            <w:r>
              <w:rPr>
                <w:rFonts w:hint="eastAsia" w:ascii="宋体" w:hAnsi="宋体" w:eastAsia="宋体" w:cs="Times New Roman"/>
                <w:color w:val="auto"/>
                <w:kern w:val="0"/>
                <w:sz w:val="24"/>
                <w:szCs w:val="24"/>
                <w:highlight w:val="none"/>
              </w:rPr>
              <w:t>3</w:t>
            </w:r>
          </w:p>
        </w:tc>
        <w:tc>
          <w:tcPr>
            <w:tcW w:w="1701" w:type="dxa"/>
            <w:noWrap w:val="0"/>
            <w:vAlign w:val="center"/>
          </w:tcPr>
          <w:p w14:paraId="3DA4B32C">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联系方式</w:t>
            </w:r>
          </w:p>
        </w:tc>
        <w:tc>
          <w:tcPr>
            <w:tcW w:w="6483" w:type="dxa"/>
            <w:noWrap w:val="0"/>
            <w:vAlign w:val="center"/>
          </w:tcPr>
          <w:p w14:paraId="129F3633">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接收询问和质疑的联系方式</w:t>
            </w:r>
          </w:p>
          <w:p w14:paraId="755BD529">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联系部门：</w:t>
            </w:r>
            <w:r>
              <w:rPr>
                <w:rFonts w:hint="eastAsia" w:ascii="宋体" w:hAnsi="宋体" w:eastAsia="宋体" w:cs="Times New Roman"/>
                <w:color w:val="auto"/>
                <w:kern w:val="0"/>
                <w:sz w:val="24"/>
                <w:szCs w:val="24"/>
                <w:highlight w:val="none"/>
                <w:lang w:eastAsia="zh-CN"/>
              </w:rPr>
              <w:t>江苏昊丰润全建设项目管理有限公司</w:t>
            </w:r>
            <w:r>
              <w:rPr>
                <w:rFonts w:hint="default" w:ascii="宋体" w:hAnsi="宋体" w:eastAsia="宋体" w:cs="Times New Roman"/>
                <w:color w:val="auto"/>
                <w:kern w:val="0"/>
                <w:sz w:val="24"/>
                <w:szCs w:val="24"/>
                <w:highlight w:val="none"/>
              </w:rPr>
              <w:t>；</w:t>
            </w:r>
          </w:p>
          <w:p w14:paraId="07C02F07">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联系电话：0519-83339737；</w:t>
            </w:r>
          </w:p>
          <w:p w14:paraId="119513E3">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通讯地址：</w:t>
            </w:r>
            <w:r>
              <w:rPr>
                <w:rFonts w:hint="eastAsia" w:ascii="宋体" w:hAnsi="宋体" w:eastAsia="宋体" w:cs="Times New Roman"/>
                <w:color w:val="auto"/>
                <w:kern w:val="0"/>
                <w:sz w:val="24"/>
                <w:szCs w:val="24"/>
                <w:highlight w:val="none"/>
                <w:lang w:eastAsia="zh-CN"/>
              </w:rPr>
              <w:t>常州市武进区武宜路177号仲夏酒店南侧3楼江苏昊丰润全建设项目管理有限公司</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lang w:val="en-US" w:eastAsia="zh-CN"/>
              </w:rPr>
              <w:t>招标代理</w:t>
            </w:r>
            <w:r>
              <w:rPr>
                <w:rFonts w:hint="eastAsia" w:ascii="宋体" w:hAnsi="宋体" w:eastAsia="宋体" w:cs="Times New Roman"/>
                <w:color w:val="auto"/>
                <w:kern w:val="0"/>
                <w:sz w:val="24"/>
                <w:szCs w:val="24"/>
                <w:highlight w:val="none"/>
              </w:rPr>
              <w:t>办公室）</w:t>
            </w:r>
            <w:r>
              <w:rPr>
                <w:rFonts w:hint="default" w:ascii="宋体" w:hAnsi="宋体" w:eastAsia="宋体" w:cs="Times New Roman"/>
                <w:color w:val="auto"/>
                <w:kern w:val="0"/>
                <w:sz w:val="24"/>
                <w:szCs w:val="24"/>
                <w:highlight w:val="none"/>
              </w:rPr>
              <w:t>。</w:t>
            </w:r>
          </w:p>
        </w:tc>
      </w:tr>
      <w:tr w14:paraId="1E30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196F2C3A">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27</w:t>
            </w:r>
          </w:p>
        </w:tc>
        <w:tc>
          <w:tcPr>
            <w:tcW w:w="1701" w:type="dxa"/>
            <w:noWrap w:val="0"/>
            <w:vAlign w:val="center"/>
          </w:tcPr>
          <w:p w14:paraId="6B015976">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代理费</w:t>
            </w:r>
          </w:p>
        </w:tc>
        <w:tc>
          <w:tcPr>
            <w:tcW w:w="6483" w:type="dxa"/>
            <w:noWrap w:val="0"/>
            <w:vAlign w:val="center"/>
          </w:tcPr>
          <w:p w14:paraId="6D1E181C">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收费对象：</w:t>
            </w:r>
          </w:p>
          <w:p w14:paraId="1EF3437A">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□采购人</w:t>
            </w:r>
          </w:p>
          <w:p w14:paraId="450E6B90">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中标人</w:t>
            </w:r>
          </w:p>
          <w:p w14:paraId="0CC7F460">
            <w:pPr>
              <w:spacing w:line="276" w:lineRule="auto"/>
              <w:jc w:val="left"/>
              <w:rPr>
                <w:rFonts w:hint="eastAsia" w:ascii="宋体" w:hAnsi="宋体" w:eastAsia="宋体" w:cs="Times New Roman"/>
                <w:color w:val="auto"/>
                <w:kern w:val="0"/>
                <w:sz w:val="24"/>
                <w:szCs w:val="22"/>
                <w:highlight w:val="none"/>
                <w:lang w:val="zh-TW"/>
              </w:rPr>
            </w:pPr>
            <w:r>
              <w:rPr>
                <w:rFonts w:hint="eastAsia" w:ascii="宋体" w:hAnsi="宋体" w:eastAsia="宋体" w:cs="宋体"/>
                <w:color w:val="auto"/>
                <w:kern w:val="0"/>
                <w:sz w:val="24"/>
                <w:highlight w:val="none"/>
              </w:rPr>
              <w:t>服务费按照下列标准收取并由中标人承担，中标人应在领取中标通知书时将代理服务费付至采购代理机构收取投标保证金的账户</w:t>
            </w:r>
            <w:r>
              <w:rPr>
                <w:rFonts w:hint="eastAsia" w:ascii="宋体" w:hAnsi="宋体" w:eastAsia="宋体" w:cs="Times New Roman"/>
                <w:color w:val="auto"/>
                <w:kern w:val="0"/>
                <w:sz w:val="24"/>
                <w:szCs w:val="22"/>
                <w:highlight w:val="none"/>
                <w:lang w:val="zh-TW"/>
              </w:rPr>
              <w:t>。</w:t>
            </w:r>
          </w:p>
          <w:p w14:paraId="1E30A6AE">
            <w:pPr>
              <w:spacing w:before="109" w:after="109"/>
              <w:jc w:val="left"/>
              <w:rPr>
                <w:rFonts w:hint="default" w:ascii="宋体" w:hAnsi="宋体" w:eastAsia="宋体" w:cs="Times New Roman"/>
                <w:b/>
                <w:bCs/>
                <w:color w:val="auto"/>
                <w:kern w:val="0"/>
                <w:sz w:val="24"/>
                <w:szCs w:val="22"/>
                <w:highlight w:val="none"/>
                <w:lang w:val="zh-TW"/>
              </w:rPr>
            </w:pPr>
            <w:r>
              <w:rPr>
                <w:rFonts w:hint="default" w:ascii="宋体" w:hAnsi="宋体" w:eastAsia="宋体" w:cs="Times New Roman"/>
                <w:b/>
                <w:bCs/>
                <w:color w:val="auto"/>
                <w:kern w:val="0"/>
                <w:sz w:val="24"/>
                <w:szCs w:val="22"/>
                <w:highlight w:val="none"/>
                <w:lang w:val="zh-TW"/>
              </w:rPr>
              <w:t>收费标准：按计价格[2002]1980号文件的20%收费，如按上述方法计算的金额低于人民币3000元整，则服务费按人民币3000元整计取。</w:t>
            </w:r>
          </w:p>
          <w:p w14:paraId="5AA07B61">
            <w:pPr>
              <w:spacing w:before="109" w:after="109"/>
              <w:jc w:val="left"/>
              <w:rPr>
                <w:rFonts w:hint="eastAsia" w:ascii="宋体" w:hAnsi="宋体" w:eastAsia="宋体" w:cs="Times New Roman"/>
                <w:b/>
                <w:bCs/>
                <w:color w:val="auto"/>
                <w:kern w:val="0"/>
                <w:sz w:val="24"/>
                <w:szCs w:val="22"/>
                <w:highlight w:val="none"/>
                <w:lang w:val="zh-TW"/>
              </w:rPr>
            </w:pPr>
            <w:r>
              <w:rPr>
                <w:rFonts w:hint="eastAsia" w:ascii="宋体" w:hAnsi="宋体" w:eastAsia="宋体" w:cs="Times New Roman"/>
                <w:b/>
                <w:bCs/>
                <w:color w:val="auto"/>
                <w:kern w:val="0"/>
                <w:sz w:val="24"/>
                <w:szCs w:val="22"/>
                <w:highlight w:val="none"/>
                <w:lang w:val="zh-TW"/>
              </w:rPr>
              <w:t>代理服务费账户：江苏昊丰润全建设项目管理有限公司</w:t>
            </w:r>
          </w:p>
          <w:p w14:paraId="5F3F32D5">
            <w:pPr>
              <w:spacing w:before="109" w:after="109"/>
              <w:jc w:val="left"/>
              <w:rPr>
                <w:rFonts w:hint="eastAsia" w:ascii="宋体" w:hAnsi="宋体" w:eastAsia="宋体" w:cs="Times New Roman"/>
                <w:b/>
                <w:bCs/>
                <w:color w:val="auto"/>
                <w:kern w:val="0"/>
                <w:sz w:val="24"/>
                <w:szCs w:val="22"/>
                <w:highlight w:val="none"/>
                <w:lang w:val="zh-TW"/>
              </w:rPr>
            </w:pPr>
            <w:r>
              <w:rPr>
                <w:rFonts w:hint="eastAsia" w:ascii="宋体" w:hAnsi="宋体" w:eastAsia="宋体" w:cs="Times New Roman"/>
                <w:b/>
                <w:bCs/>
                <w:color w:val="auto"/>
                <w:kern w:val="0"/>
                <w:sz w:val="24"/>
                <w:szCs w:val="22"/>
                <w:highlight w:val="none"/>
                <w:lang w:val="zh-TW"/>
              </w:rPr>
              <w:t xml:space="preserve">开户银行： 中国建设银行常州湖塘支行  </w:t>
            </w:r>
          </w:p>
          <w:p w14:paraId="656DE8B9">
            <w:pPr>
              <w:spacing w:before="109" w:after="109"/>
              <w:jc w:val="left"/>
              <w:rPr>
                <w:rFonts w:hint="eastAsia" w:ascii="宋体" w:hAnsi="宋体" w:eastAsia="宋体" w:cs="Times New Roman"/>
                <w:b/>
                <w:bCs/>
                <w:color w:val="auto"/>
                <w:kern w:val="0"/>
                <w:sz w:val="24"/>
                <w:szCs w:val="22"/>
                <w:highlight w:val="none"/>
                <w:lang w:val="zh-TW"/>
              </w:rPr>
            </w:pPr>
            <w:r>
              <w:rPr>
                <w:rFonts w:hint="eastAsia" w:ascii="宋体" w:hAnsi="宋体" w:eastAsia="宋体" w:cs="Times New Roman"/>
                <w:b/>
                <w:bCs/>
                <w:color w:val="auto"/>
                <w:kern w:val="0"/>
                <w:sz w:val="24"/>
                <w:szCs w:val="22"/>
                <w:highlight w:val="none"/>
                <w:lang w:val="zh-TW"/>
              </w:rPr>
              <w:t>账号：32050162673800000547</w:t>
            </w:r>
          </w:p>
        </w:tc>
      </w:tr>
      <w:tr w14:paraId="0DFB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6D31D23F">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28</w:t>
            </w:r>
          </w:p>
        </w:tc>
        <w:tc>
          <w:tcPr>
            <w:tcW w:w="1701" w:type="dxa"/>
            <w:noWrap w:val="0"/>
            <w:vAlign w:val="center"/>
          </w:tcPr>
          <w:p w14:paraId="0B8FAAD0">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履约保证金</w:t>
            </w:r>
          </w:p>
        </w:tc>
        <w:tc>
          <w:tcPr>
            <w:tcW w:w="6483" w:type="dxa"/>
            <w:noWrap w:val="0"/>
            <w:vAlign w:val="center"/>
          </w:tcPr>
          <w:p w14:paraId="5725B9D1">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■免收</w:t>
            </w:r>
          </w:p>
          <w:p w14:paraId="4FE33CD3">
            <w:pPr>
              <w:spacing w:line="276" w:lineRule="auto"/>
              <w:ind w:left="228" w:hanging="228"/>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rPr>
              <w:t>/元，由采购人自行收取</w:t>
            </w:r>
          </w:p>
        </w:tc>
      </w:tr>
      <w:tr w14:paraId="1732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vAlign w:val="center"/>
          </w:tcPr>
          <w:p w14:paraId="47C51DAB">
            <w:pPr>
              <w:spacing w:line="276"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29</w:t>
            </w:r>
          </w:p>
        </w:tc>
        <w:tc>
          <w:tcPr>
            <w:tcW w:w="1701" w:type="dxa"/>
            <w:noWrap w:val="0"/>
            <w:vAlign w:val="center"/>
          </w:tcPr>
          <w:p w14:paraId="0BF01C25">
            <w:pPr>
              <w:spacing w:line="276" w:lineRule="auto"/>
              <w:ind w:left="228" w:hanging="2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纸质投标文件</w:t>
            </w:r>
          </w:p>
        </w:tc>
        <w:tc>
          <w:tcPr>
            <w:tcW w:w="6483" w:type="dxa"/>
            <w:noWrap w:val="0"/>
            <w:vAlign w:val="center"/>
          </w:tcPr>
          <w:p w14:paraId="3A43CAFD">
            <w:pPr>
              <w:spacing w:line="276" w:lineRule="auto"/>
              <w:ind w:left="228" w:hanging="228"/>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中标人在签订合同前向代理机构</w:t>
            </w:r>
            <w:r>
              <w:rPr>
                <w:rFonts w:hint="default" w:ascii="宋体" w:hAnsi="宋体" w:eastAsia="宋体" w:cs="Times New Roman"/>
                <w:color w:val="auto"/>
                <w:kern w:val="0"/>
                <w:sz w:val="24"/>
                <w:szCs w:val="24"/>
                <w:highlight w:val="none"/>
              </w:rPr>
              <w:t>提供</w:t>
            </w:r>
            <w:r>
              <w:rPr>
                <w:rFonts w:hint="eastAsia" w:ascii="宋体" w:hAnsi="宋体" w:eastAsia="宋体" w:cs="Times New Roman"/>
                <w:color w:val="auto"/>
                <w:kern w:val="0"/>
                <w:sz w:val="24"/>
                <w:szCs w:val="24"/>
                <w:highlight w:val="none"/>
                <w:lang w:val="en-US" w:eastAsia="zh-CN"/>
              </w:rPr>
              <w:t>2</w:t>
            </w:r>
            <w:r>
              <w:rPr>
                <w:rFonts w:hint="default" w:ascii="宋体" w:hAnsi="宋体" w:eastAsia="宋体" w:cs="Times New Roman"/>
                <w:color w:val="auto"/>
                <w:kern w:val="0"/>
                <w:sz w:val="24"/>
                <w:szCs w:val="24"/>
                <w:highlight w:val="none"/>
              </w:rPr>
              <w:t>套</w:t>
            </w:r>
            <w:r>
              <w:rPr>
                <w:rFonts w:hint="eastAsia" w:ascii="宋体" w:hAnsi="宋体" w:eastAsia="宋体" w:cs="Times New Roman"/>
                <w:color w:val="auto"/>
                <w:kern w:val="0"/>
                <w:sz w:val="24"/>
                <w:szCs w:val="24"/>
                <w:highlight w:val="none"/>
              </w:rPr>
              <w:t>纸质</w:t>
            </w:r>
            <w:r>
              <w:rPr>
                <w:rFonts w:hint="default" w:ascii="宋体" w:hAnsi="宋体" w:eastAsia="宋体" w:cs="Times New Roman"/>
                <w:color w:val="auto"/>
                <w:kern w:val="0"/>
                <w:sz w:val="24"/>
                <w:szCs w:val="24"/>
                <w:highlight w:val="none"/>
              </w:rPr>
              <w:t>投标文件，</w:t>
            </w:r>
            <w:r>
              <w:rPr>
                <w:rFonts w:hint="eastAsia" w:ascii="宋体" w:hAnsi="宋体" w:eastAsia="宋体" w:cs="Times New Roman"/>
                <w:color w:val="auto"/>
                <w:kern w:val="0"/>
                <w:sz w:val="24"/>
                <w:szCs w:val="24"/>
                <w:highlight w:val="none"/>
              </w:rPr>
              <w:t>纸质投标文件内容需与电子投标文件一致。</w:t>
            </w:r>
          </w:p>
        </w:tc>
      </w:tr>
    </w:tbl>
    <w:p w14:paraId="291ABF35">
      <w:pPr>
        <w:spacing w:line="360" w:lineRule="auto"/>
        <w:ind w:left="228" w:hanging="228"/>
        <w:jc w:val="center"/>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br w:type="page" w:clear="all"/>
      </w:r>
    </w:p>
    <w:p w14:paraId="154AF562">
      <w:pPr>
        <w:widowControl/>
        <w:ind w:left="228" w:hanging="228"/>
        <w:jc w:val="left"/>
        <w:rPr>
          <w:rFonts w:hint="eastAsia" w:ascii="宋体" w:hAnsi="宋体" w:eastAsia="宋体"/>
          <w:color w:val="auto"/>
          <w:sz w:val="24"/>
          <w:szCs w:val="24"/>
          <w:highlight w:val="none"/>
        </w:rPr>
        <w:sectPr>
          <w:pgSz w:w="11906" w:h="16838"/>
          <w:pgMar w:top="1440" w:right="1800" w:bottom="1440" w:left="1800" w:header="851" w:footer="992" w:gutter="0"/>
          <w:pgNumType w:fmt="decimal"/>
          <w:cols w:space="425" w:num="1"/>
          <w:docGrid w:linePitch="360" w:charSpace="0"/>
        </w:sectPr>
      </w:pPr>
    </w:p>
    <w:p w14:paraId="69A13A53">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投标人</w:t>
      </w:r>
      <w:r>
        <w:rPr>
          <w:rFonts w:hint="default" w:ascii="宋体" w:hAnsi="宋体" w:eastAsia="宋体" w:cs="Times New Roman"/>
          <w:b/>
          <w:color w:val="auto"/>
          <w:kern w:val="0"/>
          <w:sz w:val="28"/>
          <w:szCs w:val="28"/>
          <w:highlight w:val="none"/>
        </w:rPr>
        <w:t>须知</w:t>
      </w:r>
    </w:p>
    <w:p w14:paraId="7AEE1D88">
      <w:pPr>
        <w:spacing w:line="360" w:lineRule="auto"/>
        <w:ind w:left="267" w:hanging="267"/>
        <w:jc w:val="center"/>
        <w:rPr>
          <w:rFonts w:hint="eastAsia" w:ascii="宋体" w:hAnsi="宋体" w:eastAsia="宋体" w:cs="Times New Roman"/>
          <w:b/>
          <w:color w:val="auto"/>
          <w:kern w:val="0"/>
          <w:sz w:val="28"/>
          <w:szCs w:val="28"/>
          <w:highlight w:val="none"/>
        </w:rPr>
      </w:pPr>
      <w:bookmarkStart w:id="17" w:name="_Toc264969208"/>
      <w:bookmarkStart w:id="18" w:name="_Toc150509269"/>
      <w:bookmarkStart w:id="19" w:name="_Toc226309762"/>
      <w:bookmarkStart w:id="20" w:name="_Toc151193906"/>
      <w:bookmarkStart w:id="21" w:name="_Toc226965791"/>
      <w:bookmarkStart w:id="22" w:name="_Toc150774618"/>
      <w:bookmarkStart w:id="23" w:name="_Toc151193760"/>
      <w:bookmarkStart w:id="24" w:name="_Toc226337214"/>
      <w:bookmarkStart w:id="25" w:name="_Toc305158860"/>
      <w:bookmarkStart w:id="26" w:name="_Toc151193832"/>
      <w:bookmarkStart w:id="27" w:name="_Toc150480756"/>
      <w:bookmarkStart w:id="28" w:name="_Toc151190145"/>
      <w:bookmarkStart w:id="29" w:name="_Toc195842883"/>
      <w:bookmarkStart w:id="30" w:name="_Toc226965708"/>
      <w:bookmarkStart w:id="31" w:name="_Toc151193616"/>
      <w:bookmarkStart w:id="32" w:name="_Toc151193688"/>
      <w:bookmarkStart w:id="33" w:name="_Toc142311020"/>
      <w:bookmarkStart w:id="34" w:name="_Toc150774723"/>
      <w:bookmarkStart w:id="35" w:name="_Toc265228356"/>
      <w:bookmarkStart w:id="36" w:name="_Toc305158786"/>
      <w:r>
        <w:rPr>
          <w:rFonts w:hint="eastAsia" w:ascii="宋体" w:hAnsi="宋体" w:eastAsia="宋体" w:cs="Times New Roman"/>
          <w:b/>
          <w:color w:val="auto"/>
          <w:kern w:val="0"/>
          <w:sz w:val="28"/>
          <w:szCs w:val="28"/>
          <w:highlight w:val="none"/>
        </w:rPr>
        <w:t>一、</w:t>
      </w:r>
      <w:r>
        <w:rPr>
          <w:rFonts w:hint="default" w:ascii="宋体" w:hAnsi="宋体" w:eastAsia="宋体" w:cs="Times New Roman"/>
          <w:b/>
          <w:color w:val="auto"/>
          <w:kern w:val="0"/>
          <w:sz w:val="28"/>
          <w:szCs w:val="28"/>
          <w:highlight w:val="none"/>
        </w:rPr>
        <w:t>说  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0ED842EA">
      <w:pPr>
        <w:widowControl w:val="0"/>
        <w:numPr>
          <w:ilvl w:val="0"/>
          <w:numId w:val="1"/>
        </w:numPr>
        <w:spacing w:line="360" w:lineRule="auto"/>
        <w:ind w:left="284" w:hanging="284"/>
        <w:jc w:val="left"/>
        <w:rPr>
          <w:rFonts w:hint="eastAsia" w:ascii="宋体" w:hAnsi="宋体" w:eastAsia="宋体" w:cs="Times New Roman"/>
          <w:color w:val="auto"/>
          <w:sz w:val="24"/>
          <w:szCs w:val="24"/>
          <w:highlight w:val="none"/>
        </w:rPr>
      </w:pPr>
      <w:bookmarkStart w:id="37" w:name="_Toc264969209"/>
      <w:bookmarkStart w:id="38" w:name="_Toc265228357"/>
      <w:bookmarkStart w:id="39" w:name="_Toc305158861"/>
      <w:bookmarkStart w:id="40" w:name="_Toc305158787"/>
      <w:bookmarkStart w:id="41" w:name="_Toc151193836"/>
      <w:bookmarkStart w:id="42" w:name="_Toc151193764"/>
      <w:bookmarkStart w:id="43" w:name="_Toc151193692"/>
      <w:bookmarkStart w:id="44" w:name="_Toc127151522"/>
      <w:bookmarkStart w:id="45" w:name="_Toc226965712"/>
      <w:bookmarkStart w:id="46" w:name="_Toc305158864"/>
      <w:bookmarkStart w:id="47" w:name="_Toc226309766"/>
      <w:bookmarkStart w:id="48" w:name="_Toc305158790"/>
      <w:bookmarkStart w:id="49" w:name="_Toc151193910"/>
      <w:bookmarkStart w:id="50" w:name="_Toc150774727"/>
      <w:bookmarkStart w:id="51" w:name="_Toc264969212"/>
      <w:bookmarkStart w:id="52" w:name="_Toc150480760"/>
      <w:bookmarkStart w:id="53" w:name="_Toc151190149"/>
      <w:bookmarkStart w:id="54" w:name="_Toc151193620"/>
      <w:bookmarkStart w:id="55" w:name="_Toc226337218"/>
      <w:bookmarkStart w:id="56" w:name="_Toc520356146"/>
      <w:bookmarkStart w:id="57" w:name="_Toc265228360"/>
      <w:bookmarkStart w:id="58" w:name="_Toc226965795"/>
      <w:bookmarkStart w:id="59" w:name="_Toc150774622"/>
      <w:bookmarkStart w:id="60" w:name="_Toc142311024"/>
      <w:bookmarkStart w:id="61" w:name="_Toc195842887"/>
      <w:bookmarkStart w:id="62" w:name="_Toc150509273"/>
      <w:r>
        <w:rPr>
          <w:rFonts w:hint="default" w:ascii="宋体" w:hAnsi="宋体" w:eastAsia="宋体" w:cs="Times New Roman"/>
          <w:color w:val="auto"/>
          <w:sz w:val="24"/>
          <w:szCs w:val="22"/>
          <w:highlight w:val="none"/>
        </w:rPr>
        <w:t>采购人、采购代理机构、投标人</w:t>
      </w:r>
      <w:bookmarkEnd w:id="37"/>
      <w:bookmarkEnd w:id="38"/>
      <w:bookmarkEnd w:id="39"/>
      <w:bookmarkEnd w:id="40"/>
      <w:r>
        <w:rPr>
          <w:rFonts w:hint="eastAsia" w:ascii="宋体" w:hAnsi="宋体" w:eastAsia="宋体" w:cs="Times New Roman"/>
          <w:color w:val="auto"/>
          <w:sz w:val="24"/>
          <w:szCs w:val="22"/>
          <w:highlight w:val="none"/>
        </w:rPr>
        <w:t>、联合体</w:t>
      </w:r>
    </w:p>
    <w:p w14:paraId="3B5B3C30">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采购人、采购代理机构：指依法进行政府采购的国家机关、事业单位、团体组织，及其委托的采购代理机构。本项目采购人、采购代理机构见第一章《投标邀请》</w:t>
      </w:r>
      <w:r>
        <w:rPr>
          <w:rFonts w:hint="eastAsia" w:ascii="宋体" w:hAnsi="宋体" w:eastAsia="宋体" w:cs="Times New Roman"/>
          <w:color w:val="auto"/>
          <w:sz w:val="24"/>
          <w:szCs w:val="24"/>
          <w:highlight w:val="none"/>
        </w:rPr>
        <w:t>。</w:t>
      </w:r>
    </w:p>
    <w:p w14:paraId="6BC54457">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投标人（也称</w:t>
      </w:r>
      <w:r>
        <w:rPr>
          <w:rFonts w:hint="eastAsia" w:ascii="宋体" w:hAnsi="宋体" w:eastAsia="宋体" w:cs="Times New Roman"/>
          <w:color w:val="auto"/>
          <w:sz w:val="24"/>
          <w:szCs w:val="22"/>
          <w:highlight w:val="none"/>
        </w:rPr>
        <w:t>“供应商”、“</w:t>
      </w:r>
      <w:r>
        <w:rPr>
          <w:rFonts w:hint="default" w:ascii="宋体" w:hAnsi="宋体" w:eastAsia="宋体" w:cs="Times New Roman"/>
          <w:color w:val="auto"/>
          <w:sz w:val="24"/>
          <w:szCs w:val="22"/>
          <w:highlight w:val="none"/>
        </w:rPr>
        <w:t>申请人</w:t>
      </w:r>
      <w:r>
        <w:rPr>
          <w:rFonts w:hint="eastAsia" w:ascii="宋体" w:hAnsi="宋体" w:eastAsia="宋体" w:cs="Times New Roman"/>
          <w:color w:val="auto"/>
          <w:sz w:val="24"/>
          <w:szCs w:val="22"/>
          <w:highlight w:val="none"/>
        </w:rPr>
        <w:t>”</w:t>
      </w:r>
      <w:r>
        <w:rPr>
          <w:rFonts w:hint="default" w:ascii="宋体" w:hAnsi="宋体" w:eastAsia="宋体" w:cs="Times New Roman"/>
          <w:color w:val="auto"/>
          <w:sz w:val="24"/>
          <w:szCs w:val="22"/>
          <w:highlight w:val="none"/>
        </w:rPr>
        <w:t>）：指向采购人提供货物、工程或者服务的法人、其他组织或者自然人</w:t>
      </w:r>
      <w:r>
        <w:rPr>
          <w:rFonts w:hint="eastAsia" w:ascii="宋体" w:hAnsi="宋体" w:eastAsia="宋体" w:cs="Times New Roman"/>
          <w:color w:val="auto"/>
          <w:sz w:val="24"/>
          <w:szCs w:val="24"/>
          <w:highlight w:val="none"/>
        </w:rPr>
        <w:t>。</w:t>
      </w:r>
    </w:p>
    <w:p w14:paraId="196FAF77">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联合体：指两个以上的自然人、法人或者其他组织组成一个联合体，以一个供应商的身份共同参加政府采购</w:t>
      </w:r>
      <w:r>
        <w:rPr>
          <w:rFonts w:hint="eastAsia" w:ascii="宋体" w:hAnsi="宋体" w:eastAsia="宋体" w:cs="Times New Roman"/>
          <w:color w:val="auto"/>
          <w:sz w:val="24"/>
          <w:szCs w:val="24"/>
          <w:highlight w:val="none"/>
        </w:rPr>
        <w:t>。</w:t>
      </w:r>
    </w:p>
    <w:p w14:paraId="437A44F6">
      <w:pPr>
        <w:widowControl w:val="0"/>
        <w:numPr>
          <w:ilvl w:val="0"/>
          <w:numId w:val="2"/>
        </w:numPr>
        <w:spacing w:line="360" w:lineRule="auto"/>
        <w:ind w:left="284" w:hanging="284"/>
        <w:jc w:val="left"/>
        <w:rPr>
          <w:rFonts w:hint="eastAsia" w:ascii="宋体" w:hAnsi="宋体" w:eastAsia="宋体" w:cs="Times New Roman"/>
          <w:color w:val="auto"/>
          <w:sz w:val="24"/>
          <w:szCs w:val="24"/>
          <w:highlight w:val="none"/>
        </w:rPr>
      </w:pPr>
      <w:bookmarkStart w:id="63" w:name="_Toc150480758"/>
      <w:bookmarkStart w:id="64" w:name="_Toc164351614"/>
      <w:bookmarkStart w:id="65" w:name="_Toc305158862"/>
      <w:bookmarkStart w:id="66" w:name="_Toc305158788"/>
      <w:bookmarkStart w:id="67" w:name="_Toc127151721"/>
      <w:bookmarkStart w:id="68" w:name="_Toc150509271"/>
      <w:bookmarkStart w:id="69" w:name="_Toc149720813"/>
      <w:bookmarkStart w:id="70" w:name="_Toc164608634"/>
      <w:bookmarkStart w:id="71" w:name="_Toc226337216"/>
      <w:bookmarkStart w:id="72" w:name="_Toc195842885"/>
      <w:bookmarkStart w:id="73" w:name="_Toc226309764"/>
      <w:bookmarkStart w:id="74" w:name="_Toc151193618"/>
      <w:bookmarkStart w:id="75" w:name="_Toc151193690"/>
      <w:bookmarkStart w:id="76" w:name="_Toc127151520"/>
      <w:bookmarkStart w:id="77" w:name="_Toc151193762"/>
      <w:bookmarkStart w:id="78" w:name="_Toc151193908"/>
      <w:bookmarkStart w:id="79" w:name="_Toc142311022"/>
      <w:bookmarkStart w:id="80" w:name="_Toc164229215"/>
      <w:bookmarkStart w:id="81" w:name="_Toc151190147"/>
      <w:bookmarkStart w:id="82" w:name="_Toc264969210"/>
      <w:bookmarkStart w:id="83" w:name="_Toc150774725"/>
      <w:bookmarkStart w:id="84" w:name="_Toc164608789"/>
      <w:bookmarkStart w:id="85" w:name="_Toc164229361"/>
      <w:bookmarkStart w:id="86" w:name="_Toc226965793"/>
      <w:bookmarkStart w:id="87" w:name="_Toc150774620"/>
      <w:bookmarkStart w:id="88" w:name="_Toc265228358"/>
      <w:bookmarkStart w:id="89" w:name="_Toc127161434"/>
      <w:bookmarkStart w:id="90" w:name="_Toc226965710"/>
      <w:bookmarkStart w:id="91" w:name="_Toc151193834"/>
      <w:r>
        <w:rPr>
          <w:rFonts w:hint="default" w:ascii="宋体" w:hAnsi="宋体" w:eastAsia="宋体" w:cs="Times New Roman"/>
          <w:color w:val="auto"/>
          <w:sz w:val="24"/>
          <w:szCs w:val="22"/>
          <w:highlight w:val="none"/>
        </w:rPr>
        <w:t>资金来源</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default" w:ascii="宋体" w:hAnsi="宋体" w:eastAsia="宋体" w:cs="Times New Roman"/>
          <w:color w:val="auto"/>
          <w:sz w:val="24"/>
          <w:szCs w:val="22"/>
          <w:highlight w:val="none"/>
        </w:rPr>
        <w:t>、项目属性、科研仪器设备采购、核心产品</w:t>
      </w:r>
    </w:p>
    <w:p w14:paraId="1E3EF6D4">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资金来源为财政性资金和/或本项目采购中无法与财政性资金分割的非财政性资金</w:t>
      </w:r>
      <w:r>
        <w:rPr>
          <w:rFonts w:hint="default" w:ascii="宋体" w:hAnsi="宋体" w:eastAsia="宋体" w:cs="Times New Roman"/>
          <w:color w:val="auto"/>
          <w:sz w:val="24"/>
          <w:szCs w:val="24"/>
          <w:highlight w:val="none"/>
        </w:rPr>
        <w:t>。</w:t>
      </w:r>
    </w:p>
    <w:p w14:paraId="50B2D73C">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项目属性见《投标人须知资料表》</w:t>
      </w:r>
      <w:r>
        <w:rPr>
          <w:rFonts w:hint="default" w:ascii="宋体" w:hAnsi="宋体" w:eastAsia="宋体" w:cs="Times New Roman"/>
          <w:color w:val="auto"/>
          <w:sz w:val="24"/>
          <w:szCs w:val="24"/>
          <w:highlight w:val="none"/>
        </w:rPr>
        <w:t>。</w:t>
      </w:r>
    </w:p>
    <w:p w14:paraId="5E34B585">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是否属于科研仪器设备采购见《投标人须知资料表》</w:t>
      </w:r>
      <w:r>
        <w:rPr>
          <w:rFonts w:hint="default" w:ascii="宋体" w:hAnsi="宋体" w:eastAsia="宋体" w:cs="Times New Roman"/>
          <w:color w:val="auto"/>
          <w:sz w:val="24"/>
          <w:szCs w:val="24"/>
          <w:highlight w:val="none"/>
        </w:rPr>
        <w:t>。</w:t>
      </w:r>
    </w:p>
    <w:p w14:paraId="5AB03997">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核心产品见《投标人须知资料表》</w:t>
      </w:r>
      <w:r>
        <w:rPr>
          <w:rFonts w:hint="eastAsia" w:ascii="宋体" w:hAnsi="宋体" w:eastAsia="宋体" w:cs="Times New Roman"/>
          <w:color w:val="auto"/>
          <w:sz w:val="24"/>
          <w:szCs w:val="22"/>
          <w:highlight w:val="none"/>
        </w:rPr>
        <w:t>。</w:t>
      </w:r>
    </w:p>
    <w:p w14:paraId="0F2BF654">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现场考察、</w:t>
      </w:r>
      <w:r>
        <w:rPr>
          <w:rFonts w:hint="eastAsia" w:ascii="宋体" w:hAnsi="宋体" w:eastAsia="宋体" w:cs="Times New Roman"/>
          <w:color w:val="auto"/>
          <w:sz w:val="24"/>
          <w:szCs w:val="22"/>
          <w:highlight w:val="none"/>
        </w:rPr>
        <w:t>开标</w:t>
      </w:r>
      <w:r>
        <w:rPr>
          <w:rFonts w:hint="default" w:ascii="宋体" w:hAnsi="宋体" w:eastAsia="宋体" w:cs="Times New Roman"/>
          <w:color w:val="auto"/>
          <w:sz w:val="24"/>
          <w:szCs w:val="22"/>
          <w:highlight w:val="none"/>
        </w:rPr>
        <w:t>前答疑会</w:t>
      </w:r>
    </w:p>
    <w:p w14:paraId="26F1CD00">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若《投标人须知资料表》中规定了组织现场考察、召开开标前答疑会，则投标人应按要求在规定的时间和地点参加</w:t>
      </w:r>
      <w:r>
        <w:rPr>
          <w:rFonts w:hint="default" w:ascii="宋体" w:hAnsi="宋体" w:eastAsia="宋体" w:cs="Times New Roman"/>
          <w:color w:val="auto"/>
          <w:sz w:val="24"/>
          <w:szCs w:val="24"/>
          <w:highlight w:val="none"/>
        </w:rPr>
        <w:t>。</w:t>
      </w:r>
    </w:p>
    <w:p w14:paraId="13CE6520">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Times New Roman"/>
          <w:color w:val="auto"/>
          <w:sz w:val="24"/>
          <w:szCs w:val="22"/>
          <w:highlight w:val="none"/>
        </w:rPr>
        <w:t>。</w:t>
      </w:r>
    </w:p>
    <w:p w14:paraId="442A2522">
      <w:pPr>
        <w:widowControl w:val="0"/>
        <w:numPr>
          <w:ilvl w:val="0"/>
          <w:numId w:val="2"/>
        </w:numPr>
        <w:spacing w:line="360" w:lineRule="auto"/>
        <w:ind w:left="284" w:hanging="28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样品</w:t>
      </w:r>
    </w:p>
    <w:p w14:paraId="7CB23122">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本项目是否要求投标人提供样品，以及样品制作的标准和要求、是否需要随样品提交相关检测报告、样品的递交与退还等要求见《投标人须知资料表》</w:t>
      </w:r>
      <w:r>
        <w:rPr>
          <w:rFonts w:hint="eastAsia" w:ascii="宋体" w:hAnsi="宋体" w:eastAsia="宋体" w:cs="Times New Roman"/>
          <w:color w:val="auto"/>
          <w:sz w:val="24"/>
          <w:szCs w:val="22"/>
          <w:highlight w:val="none"/>
        </w:rPr>
        <w:t>。</w:t>
      </w:r>
    </w:p>
    <w:p w14:paraId="46435309">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样品的评审方法以及评审标准等内容见第四章《评标方法和评标标准》</w:t>
      </w:r>
      <w:r>
        <w:rPr>
          <w:rFonts w:hint="eastAsia" w:ascii="宋体" w:hAnsi="宋体" w:eastAsia="宋体" w:cs="Times New Roman"/>
          <w:color w:val="auto"/>
          <w:sz w:val="24"/>
          <w:szCs w:val="22"/>
          <w:highlight w:val="none"/>
        </w:rPr>
        <w:t>。</w:t>
      </w:r>
    </w:p>
    <w:p w14:paraId="695D0534">
      <w:pPr>
        <w:widowControl w:val="0"/>
        <w:numPr>
          <w:ilvl w:val="0"/>
          <w:numId w:val="2"/>
        </w:numPr>
        <w:spacing w:line="360" w:lineRule="auto"/>
        <w:ind w:left="284" w:hanging="28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政府采购政策（包括但不限于下列具体政策要求）</w:t>
      </w:r>
    </w:p>
    <w:p w14:paraId="01B02392">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进口产品</w:t>
      </w:r>
    </w:p>
    <w:p w14:paraId="53B5E7E2">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Times New Roman"/>
          <w:color w:val="auto"/>
          <w:sz w:val="24"/>
          <w:szCs w:val="22"/>
          <w:highlight w:val="none"/>
        </w:rPr>
        <w:t>。</w:t>
      </w:r>
    </w:p>
    <w:p w14:paraId="6849DD4E">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中小企业、监狱企业及残疾人福利性单位</w:t>
      </w:r>
    </w:p>
    <w:p w14:paraId="13B24398">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中小企业定义</w:t>
      </w:r>
    </w:p>
    <w:p w14:paraId="6B9877FA">
      <w:pPr>
        <w:widowControl w:val="0"/>
        <w:numPr>
          <w:ilvl w:val="3"/>
          <w:numId w:val="2"/>
        </w:numPr>
        <w:spacing w:line="360" w:lineRule="auto"/>
        <w:ind w:left="1701" w:firstLine="420"/>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Times New Roman"/>
          <w:color w:val="auto"/>
          <w:sz w:val="24"/>
          <w:szCs w:val="22"/>
          <w:highlight w:val="none"/>
        </w:rPr>
        <w:t>。</w:t>
      </w:r>
    </w:p>
    <w:p w14:paraId="17B9939F">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供应商提供的货物、工程或者服务符合下列情形的，享受中小企业扶持政策</w:t>
      </w:r>
      <w:r>
        <w:rPr>
          <w:rFonts w:hint="eastAsia" w:ascii="宋体" w:hAnsi="宋体" w:eastAsia="宋体" w:cs="Times New Roman"/>
          <w:color w:val="auto"/>
          <w:sz w:val="24"/>
          <w:szCs w:val="22"/>
          <w:highlight w:val="none"/>
        </w:rPr>
        <w:t>：</w:t>
      </w:r>
      <w:r>
        <w:rPr>
          <w:rFonts w:hint="default" w:ascii="宋体" w:hAnsi="宋体" w:eastAsia="宋体" w:cs="Times New Roman"/>
          <w:color w:val="auto"/>
          <w:sz w:val="24"/>
          <w:szCs w:val="22"/>
          <w:highlight w:val="none"/>
        </w:rPr>
        <w:t>（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3239571F">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在货物采购项目中，供应商提供的货物既有中小企业制造货物，也有大型企业制造货物的，不享受中小企业扶持政策</w:t>
      </w:r>
      <w:r>
        <w:rPr>
          <w:rFonts w:hint="eastAsia" w:ascii="宋体" w:hAnsi="宋体" w:eastAsia="宋体" w:cs="Times New Roman"/>
          <w:color w:val="auto"/>
          <w:sz w:val="24"/>
          <w:szCs w:val="22"/>
          <w:highlight w:val="none"/>
        </w:rPr>
        <w:t>。</w:t>
      </w:r>
    </w:p>
    <w:p w14:paraId="6AD6BDBA">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auto"/>
          <w:sz w:val="24"/>
          <w:szCs w:val="22"/>
          <w:highlight w:val="none"/>
        </w:rPr>
        <w:t>。</w:t>
      </w:r>
    </w:p>
    <w:p w14:paraId="0E548FC2">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Times New Roman"/>
          <w:color w:val="auto"/>
          <w:sz w:val="24"/>
          <w:szCs w:val="22"/>
          <w:highlight w:val="none"/>
        </w:rPr>
        <w:t>。</w:t>
      </w:r>
    </w:p>
    <w:p w14:paraId="689AE4CC">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残疾人福利单位定义：享受政府采购支持政策的残疾人福利性单位应当同时满足以下条件：</w:t>
      </w:r>
    </w:p>
    <w:p w14:paraId="004A0918">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安置的残疾人占本单位在职职工人数的比例不低于25%（含25%），并且安置的残疾人人数不少于10 人（含10 人）</w:t>
      </w:r>
      <w:r>
        <w:rPr>
          <w:rFonts w:hint="eastAsia" w:ascii="宋体" w:hAnsi="宋体" w:eastAsia="宋体" w:cs="Times New Roman"/>
          <w:color w:val="auto"/>
          <w:sz w:val="24"/>
          <w:szCs w:val="22"/>
          <w:highlight w:val="none"/>
        </w:rPr>
        <w:t>；</w:t>
      </w:r>
    </w:p>
    <w:p w14:paraId="20B0617D">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依法与安置的每位残疾人签订了一年以上（含一年）的劳动合同或服务协议</w:t>
      </w:r>
      <w:r>
        <w:rPr>
          <w:rFonts w:hint="eastAsia" w:ascii="宋体" w:hAnsi="宋体" w:eastAsia="宋体" w:cs="Times New Roman"/>
          <w:color w:val="auto"/>
          <w:sz w:val="24"/>
          <w:szCs w:val="22"/>
          <w:highlight w:val="none"/>
        </w:rPr>
        <w:t>；</w:t>
      </w:r>
    </w:p>
    <w:p w14:paraId="1B59A38A">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为安置的每位残疾人按月足额缴纳了基本养老保险、基本医疗保险、失业保险、工伤保险和生育保险等社会保险费</w:t>
      </w:r>
      <w:r>
        <w:rPr>
          <w:rFonts w:hint="eastAsia" w:ascii="宋体" w:hAnsi="宋体" w:eastAsia="宋体" w:cs="Times New Roman"/>
          <w:color w:val="auto"/>
          <w:sz w:val="24"/>
          <w:szCs w:val="22"/>
          <w:highlight w:val="none"/>
        </w:rPr>
        <w:t>；</w:t>
      </w:r>
    </w:p>
    <w:p w14:paraId="5A7DF513">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通过银行等金融机构向安置的每位残疾人，按月支付了不低于单位所在区县适用的经省级人民政府批准的月最低工资标准的工资</w:t>
      </w:r>
    </w:p>
    <w:p w14:paraId="60EB0EA1">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提供本单位制造的货物、承担的工程或者服务（以下简称产品），或者提供其他残疾人福利性单位制造的货物（不包括使用非残疾人福利性单位注册商标的货物）</w:t>
      </w:r>
      <w:r>
        <w:rPr>
          <w:rFonts w:hint="eastAsia" w:ascii="宋体" w:hAnsi="宋体" w:eastAsia="宋体" w:cs="Times New Roman"/>
          <w:color w:val="auto"/>
          <w:sz w:val="24"/>
          <w:szCs w:val="22"/>
          <w:highlight w:val="none"/>
        </w:rPr>
        <w:t>；</w:t>
      </w:r>
    </w:p>
    <w:p w14:paraId="3CB4AA59">
      <w:pPr>
        <w:widowControl w:val="0"/>
        <w:numPr>
          <w:ilvl w:val="3"/>
          <w:numId w:val="2"/>
        </w:numPr>
        <w:spacing w:line="360" w:lineRule="auto"/>
        <w:ind w:left="1985" w:hanging="1134"/>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Times New Roman"/>
          <w:color w:val="auto"/>
          <w:sz w:val="24"/>
          <w:szCs w:val="22"/>
          <w:highlight w:val="none"/>
        </w:rPr>
        <w:t>。</w:t>
      </w:r>
    </w:p>
    <w:p w14:paraId="64A0E6FE">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本项目是否专门面向中小企业预留采购份额见第一章《</w:t>
      </w:r>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邀请》</w:t>
      </w:r>
      <w:r>
        <w:rPr>
          <w:rFonts w:hint="eastAsia" w:ascii="宋体" w:hAnsi="宋体" w:eastAsia="宋体" w:cs="Times New Roman"/>
          <w:color w:val="auto"/>
          <w:sz w:val="24"/>
          <w:szCs w:val="22"/>
          <w:highlight w:val="none"/>
        </w:rPr>
        <w:t>。</w:t>
      </w:r>
    </w:p>
    <w:p w14:paraId="013E93EB">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采购标的对应的中小企业划分标准所属行业见《</w:t>
      </w:r>
      <w:r>
        <w:rPr>
          <w:rFonts w:hint="eastAsia" w:ascii="宋体" w:hAnsi="宋体" w:eastAsia="宋体" w:cs="Times New Roman"/>
          <w:color w:val="auto"/>
          <w:sz w:val="24"/>
          <w:szCs w:val="22"/>
          <w:highlight w:val="none"/>
        </w:rPr>
        <w:t>投标人</w:t>
      </w:r>
      <w:r>
        <w:rPr>
          <w:rFonts w:hint="default" w:ascii="宋体" w:hAnsi="宋体" w:eastAsia="宋体" w:cs="Times New Roman"/>
          <w:color w:val="auto"/>
          <w:sz w:val="24"/>
          <w:szCs w:val="22"/>
          <w:highlight w:val="none"/>
        </w:rPr>
        <w:t>须知资料表》</w:t>
      </w:r>
      <w:r>
        <w:rPr>
          <w:rFonts w:hint="eastAsia" w:ascii="宋体" w:hAnsi="宋体" w:eastAsia="宋体" w:cs="Times New Roman"/>
          <w:color w:val="auto"/>
          <w:sz w:val="24"/>
          <w:szCs w:val="22"/>
          <w:highlight w:val="none"/>
        </w:rPr>
        <w:t>。</w:t>
      </w:r>
    </w:p>
    <w:p w14:paraId="4ABA4DCD">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小微企业价格评审优惠的政策调整：见第三章《评</w:t>
      </w:r>
      <w:r>
        <w:rPr>
          <w:rFonts w:hint="eastAsia" w:ascii="宋体" w:hAnsi="宋体" w:eastAsia="宋体" w:cs="Times New Roman"/>
          <w:color w:val="auto"/>
          <w:sz w:val="24"/>
          <w:szCs w:val="22"/>
          <w:highlight w:val="none"/>
        </w:rPr>
        <w:t>标</w:t>
      </w:r>
      <w:r>
        <w:rPr>
          <w:rFonts w:hint="default" w:ascii="宋体" w:hAnsi="宋体" w:eastAsia="宋体" w:cs="Times New Roman"/>
          <w:color w:val="auto"/>
          <w:sz w:val="24"/>
          <w:szCs w:val="22"/>
          <w:highlight w:val="none"/>
        </w:rPr>
        <w:t>方法和评</w:t>
      </w:r>
      <w:r>
        <w:rPr>
          <w:rFonts w:hint="eastAsia" w:ascii="宋体" w:hAnsi="宋体" w:eastAsia="宋体" w:cs="Times New Roman"/>
          <w:color w:val="auto"/>
          <w:sz w:val="24"/>
          <w:szCs w:val="22"/>
          <w:highlight w:val="none"/>
        </w:rPr>
        <w:t>标</w:t>
      </w:r>
      <w:r>
        <w:rPr>
          <w:rFonts w:hint="default" w:ascii="宋体" w:hAnsi="宋体" w:eastAsia="宋体" w:cs="Times New Roman"/>
          <w:color w:val="auto"/>
          <w:sz w:val="24"/>
          <w:szCs w:val="22"/>
          <w:highlight w:val="none"/>
        </w:rPr>
        <w:t>标准》</w:t>
      </w:r>
      <w:r>
        <w:rPr>
          <w:rFonts w:hint="eastAsia" w:ascii="宋体" w:hAnsi="宋体" w:eastAsia="宋体" w:cs="Times New Roman"/>
          <w:color w:val="auto"/>
          <w:sz w:val="24"/>
          <w:szCs w:val="22"/>
          <w:highlight w:val="none"/>
        </w:rPr>
        <w:t>。</w:t>
      </w:r>
    </w:p>
    <w:p w14:paraId="7A042225">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政府采购节能产品、环境标志产品</w:t>
      </w:r>
    </w:p>
    <w:p w14:paraId="1BAA9603">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Times New Roman"/>
          <w:color w:val="auto"/>
          <w:sz w:val="24"/>
          <w:szCs w:val="22"/>
          <w:highlight w:val="none"/>
        </w:rPr>
        <w:t>。</w:t>
      </w:r>
    </w:p>
    <w:p w14:paraId="4960C1FA">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Times New Roman"/>
          <w:color w:val="auto"/>
          <w:sz w:val="24"/>
          <w:szCs w:val="22"/>
          <w:highlight w:val="none"/>
        </w:rPr>
        <w:t>。</w:t>
      </w:r>
    </w:p>
    <w:p w14:paraId="376A9537">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Times New Roman"/>
          <w:b/>
          <w:color w:val="auto"/>
          <w:sz w:val="24"/>
          <w:szCs w:val="22"/>
          <w:highlight w:val="none"/>
        </w:rPr>
        <w:t>投标</w:t>
      </w:r>
      <w:r>
        <w:rPr>
          <w:rFonts w:hint="default" w:ascii="宋体" w:hAnsi="宋体" w:eastAsia="宋体" w:cs="Times New Roman"/>
          <w:b/>
          <w:color w:val="auto"/>
          <w:sz w:val="24"/>
          <w:szCs w:val="22"/>
          <w:highlight w:val="none"/>
        </w:rPr>
        <w:t>无效</w:t>
      </w:r>
      <w:r>
        <w:rPr>
          <w:rFonts w:hint="eastAsia" w:ascii="宋体" w:hAnsi="宋体" w:eastAsia="宋体" w:cs="Times New Roman"/>
          <w:color w:val="auto"/>
          <w:sz w:val="24"/>
          <w:szCs w:val="22"/>
          <w:highlight w:val="none"/>
        </w:rPr>
        <w:t>。</w:t>
      </w:r>
    </w:p>
    <w:p w14:paraId="6F08315E">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非政府强制采购的节能产品或环境标志产品，依据品目清单和认证证书实施政府优先采购。优先采购的具体规定见第三章《评</w:t>
      </w:r>
      <w:r>
        <w:rPr>
          <w:rFonts w:hint="eastAsia" w:ascii="宋体" w:hAnsi="宋体" w:eastAsia="宋体" w:cs="Times New Roman"/>
          <w:color w:val="auto"/>
          <w:sz w:val="24"/>
          <w:szCs w:val="22"/>
          <w:highlight w:val="none"/>
        </w:rPr>
        <w:t>标</w:t>
      </w:r>
      <w:r>
        <w:rPr>
          <w:rFonts w:hint="default" w:ascii="宋体" w:hAnsi="宋体" w:eastAsia="宋体" w:cs="Times New Roman"/>
          <w:color w:val="auto"/>
          <w:sz w:val="24"/>
          <w:szCs w:val="22"/>
          <w:highlight w:val="none"/>
        </w:rPr>
        <w:t>方法和评</w:t>
      </w:r>
      <w:r>
        <w:rPr>
          <w:rFonts w:hint="eastAsia" w:ascii="宋体" w:hAnsi="宋体" w:eastAsia="宋体" w:cs="Times New Roman"/>
          <w:color w:val="auto"/>
          <w:sz w:val="24"/>
          <w:szCs w:val="22"/>
          <w:highlight w:val="none"/>
        </w:rPr>
        <w:t>标</w:t>
      </w:r>
      <w:r>
        <w:rPr>
          <w:rFonts w:hint="default" w:ascii="宋体" w:hAnsi="宋体" w:eastAsia="宋体" w:cs="Times New Roman"/>
          <w:color w:val="auto"/>
          <w:sz w:val="24"/>
          <w:szCs w:val="22"/>
          <w:highlight w:val="none"/>
        </w:rPr>
        <w:t>标准》（如涉及）</w:t>
      </w:r>
      <w:r>
        <w:rPr>
          <w:rFonts w:hint="eastAsia" w:ascii="宋体" w:hAnsi="宋体" w:eastAsia="宋体" w:cs="Times New Roman"/>
          <w:color w:val="auto"/>
          <w:sz w:val="24"/>
          <w:szCs w:val="22"/>
          <w:highlight w:val="none"/>
        </w:rPr>
        <w:t>。</w:t>
      </w:r>
    </w:p>
    <w:p w14:paraId="49437228">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依据</w:t>
      </w:r>
      <w:r>
        <w:rPr>
          <w:rFonts w:hint="default" w:ascii="宋体" w:hAnsi="宋体" w:eastAsia="宋体" w:cs="Times New Roman"/>
          <w:color w:val="auto"/>
          <w:sz w:val="24"/>
          <w:szCs w:val="22"/>
          <w:highlight w:val="none"/>
        </w:rPr>
        <w:t>《关于印发〈商品包装政府采购需求标准（试行）〉、〈快递包装政府采购需求标准（试行）〉的通知》（财办库〔2020〕123号）</w:t>
      </w:r>
      <w:r>
        <w:rPr>
          <w:rFonts w:hint="eastAsia" w:ascii="宋体" w:hAnsi="宋体" w:eastAsia="宋体" w:cs="Times New Roman"/>
          <w:color w:val="auto"/>
          <w:sz w:val="24"/>
          <w:szCs w:val="22"/>
          <w:highlight w:val="none"/>
        </w:rPr>
        <w:t>文件</w:t>
      </w:r>
      <w:r>
        <w:rPr>
          <w:rFonts w:hint="default" w:ascii="宋体" w:hAnsi="宋体" w:eastAsia="宋体" w:cs="Times New Roman"/>
          <w:color w:val="auto"/>
          <w:sz w:val="24"/>
          <w:szCs w:val="22"/>
          <w:highlight w:val="none"/>
        </w:rPr>
        <w:t>精神</w:t>
      </w:r>
      <w:r>
        <w:rPr>
          <w:rFonts w:hint="eastAsia" w:ascii="宋体" w:hAnsi="宋体" w:eastAsia="宋体" w:cs="Times New Roman"/>
          <w:color w:val="auto"/>
          <w:sz w:val="24"/>
          <w:szCs w:val="22"/>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ED00AE2">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支持乡村产业振兴管理</w:t>
      </w:r>
    </w:p>
    <w:p w14:paraId="7ABDC079">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Times New Roman"/>
          <w:color w:val="auto"/>
          <w:sz w:val="24"/>
          <w:szCs w:val="22"/>
          <w:highlight w:val="none"/>
        </w:rPr>
        <w:t>五</w:t>
      </w:r>
      <w:r>
        <w:rPr>
          <w:rFonts w:hint="default" w:ascii="宋体" w:hAnsi="宋体" w:eastAsia="宋体" w:cs="Times New Roman"/>
          <w:color w:val="auto"/>
          <w:sz w:val="24"/>
          <w:szCs w:val="22"/>
          <w:highlight w:val="none"/>
        </w:rPr>
        <w:t>章《采购需求》（如涉及）</w:t>
      </w:r>
      <w:r>
        <w:rPr>
          <w:rFonts w:hint="eastAsia" w:ascii="宋体" w:hAnsi="宋体" w:eastAsia="宋体" w:cs="Times New Roman"/>
          <w:color w:val="auto"/>
          <w:sz w:val="24"/>
          <w:szCs w:val="22"/>
          <w:highlight w:val="none"/>
        </w:rPr>
        <w:t>。</w:t>
      </w:r>
    </w:p>
    <w:p w14:paraId="79BBE46B">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正版软件</w:t>
      </w:r>
    </w:p>
    <w:p w14:paraId="0ADE4E6A">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Times New Roman"/>
          <w:b/>
          <w:color w:val="auto"/>
          <w:sz w:val="24"/>
          <w:szCs w:val="22"/>
          <w:highlight w:val="none"/>
        </w:rPr>
        <w:t>投标</w:t>
      </w:r>
      <w:r>
        <w:rPr>
          <w:rFonts w:hint="default" w:ascii="宋体" w:hAnsi="宋体" w:eastAsia="宋体" w:cs="Times New Roman"/>
          <w:b/>
          <w:color w:val="auto"/>
          <w:sz w:val="24"/>
          <w:szCs w:val="22"/>
          <w:highlight w:val="none"/>
        </w:rPr>
        <w:t>无效</w:t>
      </w:r>
      <w:r>
        <w:rPr>
          <w:rFonts w:hint="default" w:ascii="宋体" w:hAnsi="宋体" w:eastAsia="宋体" w:cs="Times New Roman"/>
          <w:color w:val="auto"/>
          <w:sz w:val="24"/>
          <w:szCs w:val="22"/>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Times New Roman"/>
          <w:color w:val="auto"/>
          <w:sz w:val="24"/>
          <w:szCs w:val="22"/>
          <w:highlight w:val="none"/>
        </w:rPr>
        <w:t>。</w:t>
      </w:r>
    </w:p>
    <w:p w14:paraId="47F8141B">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Times New Roman"/>
          <w:color w:val="auto"/>
          <w:sz w:val="24"/>
          <w:szCs w:val="22"/>
          <w:highlight w:val="none"/>
        </w:rPr>
        <w:t>。</w:t>
      </w:r>
    </w:p>
    <w:p w14:paraId="00D8FFB1">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政府采购创新产品政策</w:t>
      </w:r>
    </w:p>
    <w:p w14:paraId="431E3294">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AEE6D33">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绿色采购政策</w:t>
      </w:r>
    </w:p>
    <w:p w14:paraId="0B5B9AE9">
      <w:pPr>
        <w:widowControl w:val="0"/>
        <w:numPr>
          <w:ilvl w:val="2"/>
          <w:numId w:val="2"/>
        </w:numPr>
        <w:spacing w:line="360" w:lineRule="auto"/>
        <w:ind w:left="1418" w:hanging="851"/>
        <w:jc w:val="left"/>
        <w:rPr>
          <w:rFonts w:hint="eastAsia" w:ascii="宋体" w:hAnsi="宋体" w:eastAsia="宋体" w:cs="Times New Roman"/>
          <w:color w:val="auto"/>
          <w:sz w:val="21"/>
          <w:szCs w:val="22"/>
          <w:highlight w:val="none"/>
        </w:rPr>
      </w:pPr>
      <w:r>
        <w:rPr>
          <w:rFonts w:hint="default" w:ascii="宋体" w:hAnsi="宋体" w:eastAsia="宋体" w:cs="Times New Roman"/>
          <w:b/>
          <w:bCs/>
          <w:color w:val="auto"/>
          <w:sz w:val="24"/>
          <w:szCs w:val="22"/>
          <w:highlight w:val="none"/>
        </w:rPr>
        <w:t>绿色包装</w:t>
      </w:r>
      <w:r>
        <w:rPr>
          <w:rFonts w:hint="eastAsia" w:ascii="宋体" w:hAnsi="宋体" w:eastAsia="宋体" w:cs="Times New Roman"/>
          <w:b/>
          <w:bCs/>
          <w:color w:val="auto"/>
          <w:sz w:val="24"/>
          <w:szCs w:val="22"/>
          <w:highlight w:val="none"/>
        </w:rPr>
        <w:t>：</w:t>
      </w:r>
      <w:r>
        <w:rPr>
          <w:rFonts w:hint="default" w:ascii="宋体" w:hAnsi="宋体" w:eastAsia="宋体" w:cs="宋体"/>
          <w:color w:val="auto"/>
          <w:sz w:val="24"/>
          <w:szCs w:val="22"/>
          <w:highlight w:val="none"/>
        </w:rPr>
        <w:t>依据</w:t>
      </w:r>
      <w:r>
        <w:rPr>
          <w:rFonts w:hint="default" w:ascii="宋体" w:hAnsi="宋体" w:eastAsia="宋体" w:cs="Times New Roman"/>
          <w:color w:val="auto"/>
          <w:sz w:val="24"/>
          <w:szCs w:val="22"/>
          <w:highlight w:val="none"/>
        </w:rPr>
        <w:t>《关于印发〈商品包装政府采购需求标准（试行）〉、〈快递包装政府采购需求标准（试行）〉的通知》</w:t>
      </w:r>
      <w:r>
        <w:rPr>
          <w:rFonts w:hint="default" w:ascii="宋体" w:hAnsi="宋体" w:eastAsia="宋体" w:cs="宋体"/>
          <w:color w:val="auto"/>
          <w:sz w:val="24"/>
          <w:szCs w:val="22"/>
          <w:highlight w:val="none"/>
        </w:rPr>
        <w:t>（财办库〔2020〕123号）文件精神，采购人在</w:t>
      </w:r>
      <w:r>
        <w:rPr>
          <w:rFonts w:hint="eastAsia" w:ascii="宋体" w:hAnsi="宋体" w:eastAsia="宋体" w:cs="宋体"/>
          <w:color w:val="auto"/>
          <w:sz w:val="24"/>
          <w:szCs w:val="22"/>
          <w:highlight w:val="none"/>
        </w:rPr>
        <w:t>招标</w:t>
      </w:r>
      <w:r>
        <w:rPr>
          <w:rFonts w:hint="default" w:ascii="宋体" w:hAnsi="宋体" w:eastAsia="宋体" w:cs="宋体"/>
          <w:color w:val="auto"/>
          <w:sz w:val="24"/>
          <w:szCs w:val="22"/>
          <w:highlight w:val="none"/>
        </w:rPr>
        <w:t>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0FED0DE">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绿色数据中心政策</w:t>
      </w:r>
      <w:r>
        <w:rPr>
          <w:rFonts w:hint="eastAsia" w:ascii="宋体" w:hAnsi="宋体" w:eastAsia="宋体" w:cs="Times New Roman"/>
          <w:color w:val="auto"/>
          <w:sz w:val="24"/>
          <w:szCs w:val="22"/>
          <w:highlight w:val="none"/>
        </w:rPr>
        <w:t>：</w:t>
      </w:r>
      <w:r>
        <w:rPr>
          <w:rFonts w:hint="default" w:ascii="宋体" w:hAnsi="宋体" w:eastAsia="宋体" w:cs="宋体"/>
          <w:color w:val="auto"/>
          <w:sz w:val="24"/>
          <w:szCs w:val="22"/>
          <w:highlight w:val="none"/>
        </w:rPr>
        <w:t>依据</w:t>
      </w:r>
      <w:r>
        <w:rPr>
          <w:rFonts w:hint="default" w:ascii="宋体" w:hAnsi="宋体" w:eastAsia="宋体" w:cs="Times New Roman"/>
          <w:color w:val="auto"/>
          <w:sz w:val="24"/>
          <w:szCs w:val="22"/>
          <w:highlight w:val="none"/>
        </w:rPr>
        <w:t>《绿色数据中心政府采购需求标准（试行）》</w:t>
      </w:r>
      <w:r>
        <w:rPr>
          <w:rFonts w:hint="default" w:ascii="宋体" w:hAnsi="宋体" w:eastAsia="宋体" w:cs="宋体"/>
          <w:color w:val="auto"/>
          <w:sz w:val="24"/>
          <w:szCs w:val="22"/>
          <w:highlight w:val="none"/>
        </w:rPr>
        <w:t>（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hint="default" w:ascii="宋体" w:hAnsi="宋体" w:eastAsia="宋体" w:cs="Times New Roman"/>
          <w:color w:val="auto"/>
          <w:sz w:val="24"/>
          <w:szCs w:val="22"/>
          <w:highlight w:val="none"/>
        </w:rPr>
        <w:t>数据</w:t>
      </w:r>
      <w:r>
        <w:rPr>
          <w:rFonts w:hint="default" w:ascii="宋体" w:hAnsi="宋体" w:eastAsia="宋体" w:cs="宋体"/>
          <w:color w:val="auto"/>
          <w:sz w:val="24"/>
          <w:szCs w:val="22"/>
          <w:highlight w:val="none"/>
        </w:rPr>
        <w:t>中心相关设备、运维服务政府采购项目的</w:t>
      </w:r>
      <w:r>
        <w:rPr>
          <w:rFonts w:hint="eastAsia" w:ascii="宋体" w:hAnsi="宋体" w:eastAsia="宋体" w:cs="宋体"/>
          <w:color w:val="auto"/>
          <w:sz w:val="24"/>
          <w:szCs w:val="22"/>
          <w:highlight w:val="none"/>
        </w:rPr>
        <w:t>招标</w:t>
      </w:r>
      <w:r>
        <w:rPr>
          <w:rFonts w:hint="default" w:ascii="宋体" w:hAnsi="宋体" w:eastAsia="宋体" w:cs="宋体"/>
          <w:color w:val="auto"/>
          <w:sz w:val="24"/>
          <w:szCs w:val="22"/>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688A176">
      <w:pPr>
        <w:widowControl w:val="0"/>
        <w:numPr>
          <w:ilvl w:val="2"/>
          <w:numId w:val="2"/>
        </w:numPr>
        <w:spacing w:line="360" w:lineRule="auto"/>
        <w:ind w:left="1418" w:hanging="851"/>
        <w:jc w:val="left"/>
        <w:rPr>
          <w:rFonts w:hint="eastAsia" w:ascii="宋体" w:hAnsi="宋体" w:eastAsia="宋体" w:cs="宋体"/>
          <w:color w:val="auto"/>
          <w:sz w:val="24"/>
          <w:szCs w:val="22"/>
          <w:highlight w:val="none"/>
        </w:rPr>
      </w:pPr>
      <w:r>
        <w:rPr>
          <w:rFonts w:hint="eastAsia" w:ascii="宋体" w:hAnsi="宋体" w:eastAsia="宋体" w:cs="Times New Roman"/>
          <w:color w:val="auto"/>
          <w:sz w:val="24"/>
          <w:szCs w:val="22"/>
          <w:highlight w:val="none"/>
        </w:rPr>
        <w:t>推广应用绿色建材：采购人实施政府采购工程项目，要按照《常州市政府采购支持绿色建材促进建筑品质提升试点工作方案》（常财购</w:t>
      </w:r>
      <w:r>
        <w:rPr>
          <w:rFonts w:hint="default" w:ascii="宋体" w:hAnsi="宋体" w:eastAsia="宋体" w:cs="Times New Roman"/>
          <w:color w:val="auto"/>
          <w:sz w:val="24"/>
          <w:szCs w:val="22"/>
          <w:highlight w:val="none"/>
        </w:rPr>
        <w:t>〔20</w:t>
      </w:r>
      <w:r>
        <w:rPr>
          <w:rFonts w:hint="eastAsia" w:ascii="宋体" w:hAnsi="宋体" w:eastAsia="宋体" w:cs="Times New Roman"/>
          <w:color w:val="auto"/>
          <w:sz w:val="24"/>
          <w:szCs w:val="22"/>
          <w:highlight w:val="none"/>
        </w:rPr>
        <w:t>23</w:t>
      </w:r>
      <w:r>
        <w:rPr>
          <w:rFonts w:hint="default" w:ascii="宋体" w:hAnsi="宋体" w:eastAsia="宋体" w:cs="Times New Roman"/>
          <w:color w:val="auto"/>
          <w:sz w:val="24"/>
          <w:szCs w:val="22"/>
          <w:highlight w:val="none"/>
        </w:rPr>
        <w:t>〕</w:t>
      </w:r>
      <w:r>
        <w:rPr>
          <w:rFonts w:hint="eastAsia" w:ascii="宋体" w:hAnsi="宋体" w:eastAsia="宋体" w:cs="Times New Roman"/>
          <w:color w:val="auto"/>
          <w:sz w:val="24"/>
          <w:szCs w:val="22"/>
          <w:highlight w:val="none"/>
        </w:rPr>
        <w:t>18</w:t>
      </w:r>
      <w:r>
        <w:rPr>
          <w:rFonts w:hint="default" w:ascii="宋体" w:hAnsi="宋体" w:eastAsia="宋体" w:cs="Times New Roman"/>
          <w:color w:val="auto"/>
          <w:sz w:val="24"/>
          <w:szCs w:val="22"/>
          <w:highlight w:val="none"/>
        </w:rPr>
        <w:t xml:space="preserve"> 号</w:t>
      </w:r>
      <w:r>
        <w:rPr>
          <w:rFonts w:hint="eastAsia" w:ascii="宋体" w:hAnsi="宋体" w:eastAsia="宋体" w:cs="Times New Roman"/>
          <w:color w:val="auto"/>
          <w:sz w:val="24"/>
          <w:szCs w:val="22"/>
          <w:highlight w:val="none"/>
        </w:rPr>
        <w:t>）总体要求，落实《绿色建筑和绿色建材政府采购需求标准》（</w:t>
      </w:r>
      <w:r>
        <w:rPr>
          <w:rFonts w:hint="default" w:ascii="宋体" w:hAnsi="宋体" w:eastAsia="宋体" w:cs="Times New Roman"/>
          <w:color w:val="auto"/>
          <w:sz w:val="24"/>
          <w:szCs w:val="22"/>
          <w:highlight w:val="none"/>
        </w:rPr>
        <w:t>财库〔20</w:t>
      </w:r>
      <w:r>
        <w:rPr>
          <w:rFonts w:hint="eastAsia" w:ascii="宋体" w:hAnsi="宋体" w:eastAsia="宋体" w:cs="宋体"/>
          <w:color w:val="auto"/>
          <w:sz w:val="24"/>
          <w:szCs w:val="22"/>
          <w:highlight w:val="none"/>
        </w:rPr>
        <w:t>22</w:t>
      </w:r>
      <w:r>
        <w:rPr>
          <w:rFonts w:hint="default" w:ascii="宋体" w:hAnsi="宋体" w:eastAsia="宋体" w:cs="宋体"/>
          <w:color w:val="auto"/>
          <w:sz w:val="24"/>
          <w:szCs w:val="22"/>
          <w:highlight w:val="none"/>
        </w:rPr>
        <w:t>〕</w:t>
      </w:r>
      <w:r>
        <w:rPr>
          <w:rFonts w:hint="eastAsia" w:ascii="宋体" w:hAnsi="宋体" w:eastAsia="宋体" w:cs="宋体"/>
          <w:color w:val="auto"/>
          <w:sz w:val="24"/>
          <w:szCs w:val="22"/>
          <w:highlight w:val="none"/>
        </w:rPr>
        <w:t>35</w:t>
      </w:r>
      <w:r>
        <w:rPr>
          <w:rFonts w:hint="default" w:ascii="宋体" w:hAnsi="宋体" w:eastAsia="宋体" w:cs="宋体"/>
          <w:color w:val="auto"/>
          <w:sz w:val="24"/>
          <w:szCs w:val="22"/>
          <w:highlight w:val="none"/>
        </w:rPr>
        <w:t xml:space="preserve"> 号</w:t>
      </w:r>
      <w:r>
        <w:rPr>
          <w:rFonts w:hint="eastAsia" w:ascii="宋体" w:hAnsi="宋体" w:eastAsia="宋体" w:cs="宋体"/>
          <w:color w:val="auto"/>
          <w:sz w:val="24"/>
          <w:szCs w:val="22"/>
          <w:highlight w:val="none"/>
        </w:rPr>
        <w:t>）和《政府采购支持绿色建材促进建筑品质提升政策项目实施指南》（财办库</w:t>
      </w:r>
      <w:r>
        <w:rPr>
          <w:rFonts w:hint="default" w:ascii="宋体" w:hAnsi="宋体" w:eastAsia="宋体" w:cs="宋体"/>
          <w:color w:val="auto"/>
          <w:sz w:val="24"/>
          <w:szCs w:val="22"/>
          <w:highlight w:val="none"/>
        </w:rPr>
        <w:t>〔20</w:t>
      </w:r>
      <w:r>
        <w:rPr>
          <w:rFonts w:hint="eastAsia" w:ascii="宋体" w:hAnsi="宋体" w:eastAsia="宋体" w:cs="宋体"/>
          <w:color w:val="auto"/>
          <w:sz w:val="24"/>
          <w:szCs w:val="22"/>
          <w:highlight w:val="none"/>
        </w:rPr>
        <w:t>23</w:t>
      </w:r>
      <w:r>
        <w:rPr>
          <w:rFonts w:hint="default" w:ascii="宋体" w:hAnsi="宋体" w:eastAsia="宋体" w:cs="宋体"/>
          <w:color w:val="auto"/>
          <w:sz w:val="24"/>
          <w:szCs w:val="22"/>
          <w:highlight w:val="none"/>
        </w:rPr>
        <w:t>〕</w:t>
      </w:r>
      <w:r>
        <w:rPr>
          <w:rFonts w:hint="eastAsia" w:ascii="宋体" w:hAnsi="宋体" w:eastAsia="宋体" w:cs="宋体"/>
          <w:color w:val="auto"/>
          <w:sz w:val="24"/>
          <w:szCs w:val="22"/>
          <w:highlight w:val="none"/>
        </w:rPr>
        <w:t>52</w:t>
      </w:r>
      <w:r>
        <w:rPr>
          <w:rFonts w:hint="default" w:ascii="宋体" w:hAnsi="宋体" w:eastAsia="宋体" w:cs="宋体"/>
          <w:color w:val="auto"/>
          <w:sz w:val="24"/>
          <w:szCs w:val="22"/>
          <w:highlight w:val="none"/>
        </w:rPr>
        <w:t xml:space="preserve"> 号</w:t>
      </w:r>
      <w:r>
        <w:rPr>
          <w:rFonts w:hint="eastAsia" w:ascii="宋体" w:hAnsi="宋体" w:eastAsia="宋体" w:cs="宋体"/>
          <w:color w:val="auto"/>
          <w:sz w:val="24"/>
          <w:szCs w:val="22"/>
          <w:highlight w:val="none"/>
        </w:rPr>
        <w:t>）,依据相关需求标准确定采购需求，在招标文件和采购合同中载明具体需求、履约验收条款和违约责任。</w:t>
      </w:r>
    </w:p>
    <w:p w14:paraId="36A1AB95">
      <w:pPr>
        <w:widowControl w:val="0"/>
        <w:numPr>
          <w:ilvl w:val="2"/>
          <w:numId w:val="2"/>
        </w:numPr>
        <w:spacing w:line="360" w:lineRule="auto"/>
        <w:ind w:left="1418" w:hanging="851"/>
        <w:jc w:val="left"/>
        <w:rPr>
          <w:rFonts w:hint="eastAsia" w:ascii="宋体" w:hAnsi="宋体" w:eastAsia="宋体" w:cs="Times New Roman"/>
          <w:color w:val="auto"/>
          <w:sz w:val="24"/>
          <w:szCs w:val="24"/>
          <w:highlight w:val="none"/>
        </w:rPr>
      </w:pPr>
      <w:r>
        <w:rPr>
          <w:rFonts w:hint="eastAsia" w:ascii="宋体" w:hAnsi="宋体" w:eastAsia="宋体" w:cs="宋体"/>
          <w:color w:val="auto"/>
          <w:sz w:val="24"/>
          <w:szCs w:val="22"/>
          <w:highlight w:val="none"/>
        </w:rPr>
        <w:t>优先使用低挥发性有机化合物产品：采购人要落实挥发性有机化合物（VOCs）治</w:t>
      </w:r>
      <w:r>
        <w:rPr>
          <w:rFonts w:hint="eastAsia" w:ascii="宋体" w:hAnsi="宋体" w:eastAsia="宋体" w:cs="Times New Roman"/>
          <w:color w:val="auto"/>
          <w:sz w:val="24"/>
          <w:szCs w:val="22"/>
          <w:highlight w:val="none"/>
        </w:rPr>
        <w:t>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p>
    <w:p w14:paraId="5B48A91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采购本国产品的支持政策</w:t>
      </w:r>
    </w:p>
    <w:p w14:paraId="5B2AF5BD">
      <w:pPr>
        <w:widowControl w:val="0"/>
        <w:spacing w:line="360" w:lineRule="auto"/>
        <w:ind w:left="1418" w:firstLine="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p>
    <w:p w14:paraId="7B780EAC">
      <w:pPr>
        <w:widowControl w:val="0"/>
        <w:numPr>
          <w:ilvl w:val="0"/>
          <w:numId w:val="2"/>
        </w:numPr>
        <w:spacing w:line="360" w:lineRule="auto"/>
        <w:ind w:left="284" w:hanging="284"/>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费用</w:t>
      </w:r>
    </w:p>
    <w:p w14:paraId="2DBDC607">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投标人应自行承担所有与准备和参加投标有关的费用，无论投标的结果如何，采购人或采购代理机构在任何情况下均无承担这些费用的义务和责任</w:t>
      </w:r>
      <w:r>
        <w:rPr>
          <w:rFonts w:hint="eastAsia" w:ascii="宋体" w:hAnsi="宋体" w:eastAsia="宋体" w:cs="Times New Roman"/>
          <w:color w:val="auto"/>
          <w:sz w:val="24"/>
          <w:szCs w:val="22"/>
          <w:highlight w:val="none"/>
        </w:rPr>
        <w:t>。</w:t>
      </w:r>
    </w:p>
    <w:p w14:paraId="6E94C1AE">
      <w:pPr>
        <w:spacing w:line="360" w:lineRule="auto"/>
        <w:ind w:left="267" w:hanging="267"/>
        <w:jc w:val="center"/>
        <w:rPr>
          <w:rFonts w:hint="eastAsia" w:ascii="宋体" w:hAnsi="宋体" w:eastAsia="宋体" w:cs="Times New Roman"/>
          <w:color w:val="auto"/>
          <w:kern w:val="0"/>
          <w:sz w:val="24"/>
          <w:szCs w:val="24"/>
          <w:highlight w:val="none"/>
        </w:rPr>
      </w:pPr>
      <w:r>
        <w:rPr>
          <w:rFonts w:hint="default" w:ascii="宋体" w:hAnsi="宋体" w:eastAsia="宋体" w:cs="Times New Roman"/>
          <w:b/>
          <w:color w:val="auto"/>
          <w:kern w:val="0"/>
          <w:sz w:val="28"/>
          <w:szCs w:val="28"/>
          <w:highlight w:val="none"/>
        </w:rPr>
        <w:t>二</w:t>
      </w:r>
      <w:r>
        <w:rPr>
          <w:rFonts w:hint="eastAsia" w:ascii="宋体" w:hAnsi="宋体" w:eastAsia="宋体" w:cs="Times New Roman"/>
          <w:b/>
          <w:color w:val="auto"/>
          <w:kern w:val="0"/>
          <w:sz w:val="28"/>
          <w:szCs w:val="28"/>
          <w:highlight w:val="none"/>
        </w:rPr>
        <w:t>、招标</w:t>
      </w:r>
      <w:r>
        <w:rPr>
          <w:rFonts w:hint="default" w:ascii="宋体" w:hAnsi="宋体" w:eastAsia="宋体" w:cs="Times New Roman"/>
          <w:b/>
          <w:color w:val="auto"/>
          <w:kern w:val="0"/>
          <w:sz w:val="28"/>
          <w:szCs w:val="28"/>
          <w:highlight w:val="none"/>
        </w:rPr>
        <w:t>文件</w:t>
      </w:r>
    </w:p>
    <w:p w14:paraId="7A416656">
      <w:pPr>
        <w:widowControl w:val="0"/>
        <w:numPr>
          <w:ilvl w:val="0"/>
          <w:numId w:val="2"/>
        </w:numPr>
        <w:spacing w:line="360" w:lineRule="auto"/>
        <w:ind w:left="284" w:hanging="284"/>
        <w:jc w:val="left"/>
        <w:rPr>
          <w:rFonts w:hint="eastAsia" w:ascii="宋体" w:hAnsi="宋体" w:eastAsia="宋体" w:cs="Times New Roman"/>
          <w:color w:val="auto"/>
          <w:sz w:val="24"/>
          <w:szCs w:val="24"/>
          <w:highlight w:val="none"/>
        </w:rPr>
      </w:pPr>
      <w:bookmarkStart w:id="92" w:name="_Toc150509274"/>
      <w:bookmarkStart w:id="93" w:name="_Toc151193621"/>
      <w:bookmarkStart w:id="94" w:name="_Toc164229364"/>
      <w:bookmarkStart w:id="95" w:name="_Toc164351617"/>
      <w:bookmarkStart w:id="96" w:name="_Toc520356147"/>
      <w:bookmarkStart w:id="97" w:name="_Toc264969213"/>
      <w:bookmarkStart w:id="98" w:name="_Toc151193911"/>
      <w:bookmarkStart w:id="99" w:name="_Toc127151724"/>
      <w:bookmarkStart w:id="100" w:name="_Toc265228361"/>
      <w:bookmarkStart w:id="101" w:name="_Toc150480761"/>
      <w:bookmarkStart w:id="102" w:name="_Toc195842888"/>
      <w:bookmarkStart w:id="103" w:name="_Toc226965796"/>
      <w:bookmarkStart w:id="104" w:name="_Toc226309767"/>
      <w:bookmarkStart w:id="105" w:name="_Toc305158865"/>
      <w:bookmarkStart w:id="106" w:name="_Toc127151523"/>
      <w:bookmarkStart w:id="107" w:name="_Toc164229218"/>
      <w:bookmarkStart w:id="108" w:name="_Toc164608637"/>
      <w:bookmarkStart w:id="109" w:name="_Toc149720816"/>
      <w:bookmarkStart w:id="110" w:name="_Toc164608792"/>
      <w:bookmarkStart w:id="111" w:name="_Toc142311025"/>
      <w:bookmarkStart w:id="112" w:name="_Toc127161437"/>
      <w:bookmarkStart w:id="113" w:name="_Toc305158791"/>
      <w:bookmarkStart w:id="114" w:name="_Toc226965713"/>
      <w:bookmarkStart w:id="115" w:name="_Toc151190150"/>
      <w:bookmarkStart w:id="116" w:name="_Toc151193837"/>
      <w:bookmarkStart w:id="117" w:name="_Toc151193765"/>
      <w:bookmarkStart w:id="118" w:name="_Toc151193693"/>
      <w:bookmarkStart w:id="119" w:name="_Toc150774623"/>
      <w:bookmarkStart w:id="120" w:name="_Toc150774728"/>
      <w:bookmarkStart w:id="121" w:name="_Toc226337219"/>
      <w:r>
        <w:rPr>
          <w:rFonts w:hint="eastAsia" w:ascii="宋体" w:hAnsi="宋体" w:eastAsia="宋体" w:cs="Times New Roman"/>
          <w:color w:val="auto"/>
          <w:sz w:val="24"/>
          <w:szCs w:val="22"/>
          <w:highlight w:val="none"/>
        </w:rPr>
        <w:t>招标</w:t>
      </w:r>
      <w:r>
        <w:rPr>
          <w:rFonts w:hint="default" w:ascii="宋体" w:hAnsi="宋体" w:eastAsia="宋体" w:cs="Times New Roman"/>
          <w:color w:val="auto"/>
          <w:sz w:val="24"/>
          <w:szCs w:val="22"/>
          <w:highlight w:val="none"/>
        </w:rPr>
        <w:t>文件构</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hint="default" w:ascii="宋体" w:hAnsi="宋体" w:eastAsia="宋体" w:cs="Times New Roman"/>
          <w:color w:val="auto"/>
          <w:sz w:val="24"/>
          <w:szCs w:val="22"/>
          <w:highlight w:val="none"/>
        </w:rPr>
        <w:t>成</w:t>
      </w:r>
    </w:p>
    <w:p w14:paraId="17E0EC0D">
      <w:pPr>
        <w:widowControl w:val="0"/>
        <w:numPr>
          <w:ilvl w:val="1"/>
          <w:numId w:val="2"/>
        </w:numPr>
        <w:spacing w:line="360" w:lineRule="auto"/>
        <w:ind w:left="851" w:hanging="567"/>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rPr>
        <w:t>招标</w:t>
      </w:r>
      <w:r>
        <w:rPr>
          <w:rFonts w:hint="default" w:ascii="宋体" w:hAnsi="宋体" w:eastAsia="宋体" w:cs="Times New Roman"/>
          <w:color w:val="auto"/>
          <w:sz w:val="24"/>
          <w:szCs w:val="22"/>
          <w:highlight w:val="none"/>
        </w:rPr>
        <w:t>文件包括以下部分：</w:t>
      </w:r>
    </w:p>
    <w:p w14:paraId="7E6B47AA">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第一章</w:t>
      </w:r>
      <w:r>
        <w:rPr>
          <w:rFonts w:hint="eastAsia" w:ascii="宋体" w:hAnsi="宋体" w:eastAsia="宋体" w:cs="Times New Roman"/>
          <w:color w:val="auto"/>
          <w:kern w:val="0"/>
          <w:sz w:val="24"/>
          <w:szCs w:val="24"/>
          <w:highlight w:val="none"/>
        </w:rPr>
        <w:t xml:space="preserve">  投标</w:t>
      </w:r>
      <w:r>
        <w:rPr>
          <w:rFonts w:hint="default" w:ascii="宋体" w:hAnsi="宋体" w:eastAsia="宋体" w:cs="Times New Roman"/>
          <w:color w:val="auto"/>
          <w:kern w:val="0"/>
          <w:sz w:val="24"/>
          <w:szCs w:val="24"/>
          <w:highlight w:val="none"/>
        </w:rPr>
        <w:t>邀请</w:t>
      </w:r>
    </w:p>
    <w:p w14:paraId="774EB39A">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第二章</w:t>
      </w:r>
      <w:r>
        <w:rPr>
          <w:rFonts w:hint="eastAsia" w:ascii="宋体" w:hAnsi="宋体" w:eastAsia="宋体" w:cs="Times New Roman"/>
          <w:color w:val="auto"/>
          <w:kern w:val="0"/>
          <w:sz w:val="24"/>
          <w:szCs w:val="24"/>
          <w:highlight w:val="none"/>
        </w:rPr>
        <w:t xml:space="preserve">  投标人</w:t>
      </w:r>
      <w:r>
        <w:rPr>
          <w:rFonts w:hint="default" w:ascii="宋体" w:hAnsi="宋体" w:eastAsia="宋体" w:cs="Times New Roman"/>
          <w:color w:val="auto"/>
          <w:kern w:val="0"/>
          <w:sz w:val="24"/>
          <w:szCs w:val="24"/>
          <w:highlight w:val="none"/>
        </w:rPr>
        <w:t>须知</w:t>
      </w:r>
    </w:p>
    <w:p w14:paraId="60D17B0B">
      <w:pPr>
        <w:spacing w:line="360" w:lineRule="auto"/>
        <w:ind w:firstLine="96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第三章  资格审查</w:t>
      </w:r>
    </w:p>
    <w:p w14:paraId="40660928">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w:t>
      </w:r>
      <w:r>
        <w:rPr>
          <w:rFonts w:hint="eastAsia" w:ascii="宋体" w:hAnsi="宋体" w:eastAsia="宋体" w:cs="Times New Roman"/>
          <w:color w:val="auto"/>
          <w:kern w:val="0"/>
          <w:sz w:val="24"/>
          <w:szCs w:val="24"/>
          <w:highlight w:val="none"/>
        </w:rPr>
        <w:t>四</w:t>
      </w:r>
      <w:r>
        <w:rPr>
          <w:rFonts w:hint="default" w:ascii="宋体" w:hAnsi="宋体" w:eastAsia="宋体" w:cs="Times New Roman"/>
          <w:color w:val="auto"/>
          <w:kern w:val="0"/>
          <w:sz w:val="24"/>
          <w:szCs w:val="24"/>
          <w:highlight w:val="none"/>
        </w:rPr>
        <w:t>章评</w:t>
      </w:r>
      <w:r>
        <w:rPr>
          <w:rFonts w:hint="eastAsia" w:ascii="宋体" w:hAnsi="宋体" w:eastAsia="宋体" w:cs="Times New Roman"/>
          <w:color w:val="auto"/>
          <w:kern w:val="0"/>
          <w:sz w:val="24"/>
          <w:szCs w:val="24"/>
          <w:highlight w:val="none"/>
        </w:rPr>
        <w:t>标程序、评标</w:t>
      </w:r>
      <w:r>
        <w:rPr>
          <w:rFonts w:hint="default" w:ascii="宋体" w:hAnsi="宋体" w:eastAsia="宋体" w:cs="Times New Roman"/>
          <w:color w:val="auto"/>
          <w:kern w:val="0"/>
          <w:sz w:val="24"/>
          <w:szCs w:val="24"/>
          <w:highlight w:val="none"/>
        </w:rPr>
        <w:t>方法和评标标准</w:t>
      </w:r>
    </w:p>
    <w:p w14:paraId="2CBE023F">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w:t>
      </w:r>
      <w:r>
        <w:rPr>
          <w:rFonts w:hint="eastAsia" w:ascii="宋体" w:hAnsi="宋体" w:eastAsia="宋体" w:cs="Times New Roman"/>
          <w:color w:val="auto"/>
          <w:kern w:val="0"/>
          <w:sz w:val="24"/>
          <w:szCs w:val="24"/>
          <w:highlight w:val="none"/>
        </w:rPr>
        <w:t>五</w:t>
      </w:r>
      <w:r>
        <w:rPr>
          <w:rFonts w:hint="default" w:ascii="宋体" w:hAnsi="宋体" w:eastAsia="宋体" w:cs="Times New Roman"/>
          <w:color w:val="auto"/>
          <w:kern w:val="0"/>
          <w:sz w:val="24"/>
          <w:szCs w:val="24"/>
          <w:highlight w:val="none"/>
        </w:rPr>
        <w:t>章采购需求</w:t>
      </w:r>
    </w:p>
    <w:p w14:paraId="63B71E6C">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w:t>
      </w:r>
      <w:r>
        <w:rPr>
          <w:rFonts w:hint="eastAsia" w:ascii="宋体" w:hAnsi="宋体" w:eastAsia="宋体" w:cs="Times New Roman"/>
          <w:color w:val="auto"/>
          <w:kern w:val="0"/>
          <w:sz w:val="24"/>
          <w:szCs w:val="24"/>
          <w:highlight w:val="none"/>
        </w:rPr>
        <w:t>六</w:t>
      </w:r>
      <w:r>
        <w:rPr>
          <w:rFonts w:hint="default" w:ascii="宋体" w:hAnsi="宋体" w:eastAsia="宋体" w:cs="Times New Roman"/>
          <w:color w:val="auto"/>
          <w:kern w:val="0"/>
          <w:sz w:val="24"/>
          <w:szCs w:val="24"/>
          <w:highlight w:val="none"/>
        </w:rPr>
        <w:t>章</w:t>
      </w:r>
      <w:r>
        <w:rPr>
          <w:rFonts w:hint="eastAsia" w:ascii="宋体" w:hAnsi="宋体" w:eastAsia="宋体" w:cs="Times New Roman"/>
          <w:color w:val="auto"/>
          <w:kern w:val="0"/>
          <w:sz w:val="24"/>
          <w:szCs w:val="24"/>
          <w:highlight w:val="none"/>
        </w:rPr>
        <w:t xml:space="preserve">  拟签订的</w:t>
      </w:r>
      <w:r>
        <w:rPr>
          <w:rFonts w:hint="default" w:ascii="宋体" w:hAnsi="宋体" w:eastAsia="宋体" w:cs="Times New Roman"/>
          <w:color w:val="auto"/>
          <w:kern w:val="0"/>
          <w:sz w:val="24"/>
          <w:szCs w:val="24"/>
          <w:highlight w:val="none"/>
        </w:rPr>
        <w:t>合同文本</w:t>
      </w:r>
    </w:p>
    <w:p w14:paraId="232A63B8">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第</w:t>
      </w:r>
      <w:r>
        <w:rPr>
          <w:rFonts w:hint="eastAsia" w:ascii="宋体" w:hAnsi="宋体" w:eastAsia="宋体" w:cs="Times New Roman"/>
          <w:color w:val="auto"/>
          <w:kern w:val="0"/>
          <w:sz w:val="24"/>
          <w:szCs w:val="24"/>
          <w:highlight w:val="none"/>
        </w:rPr>
        <w:t>七</w:t>
      </w:r>
      <w:r>
        <w:rPr>
          <w:rFonts w:hint="default" w:ascii="宋体" w:hAnsi="宋体" w:eastAsia="宋体" w:cs="Times New Roman"/>
          <w:color w:val="auto"/>
          <w:kern w:val="0"/>
          <w:sz w:val="24"/>
          <w:szCs w:val="24"/>
          <w:highlight w:val="none"/>
        </w:rPr>
        <w:t>章</w:t>
      </w:r>
      <w:r>
        <w:rPr>
          <w:rFonts w:hint="eastAsia" w:ascii="宋体" w:hAnsi="宋体" w:eastAsia="宋体" w:cs="Times New Roman"/>
          <w:color w:val="auto"/>
          <w:kern w:val="0"/>
          <w:sz w:val="24"/>
          <w:szCs w:val="24"/>
          <w:highlight w:val="none"/>
        </w:rPr>
        <w:t xml:space="preserve">  投标</w:t>
      </w:r>
      <w:r>
        <w:rPr>
          <w:rFonts w:hint="default" w:ascii="宋体" w:hAnsi="宋体" w:eastAsia="宋体" w:cs="Times New Roman"/>
          <w:color w:val="auto"/>
          <w:kern w:val="0"/>
          <w:sz w:val="24"/>
          <w:szCs w:val="24"/>
          <w:highlight w:val="none"/>
        </w:rPr>
        <w:t>文件格式</w:t>
      </w:r>
    </w:p>
    <w:p w14:paraId="5A65424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投标人应认真阅读招标文件的全部内容。投标人应按照招标文件要求提交投标文件并保证所提供的全部资料的真实性，并对招标文件做出实质性响应，否则</w:t>
      </w:r>
      <w:r>
        <w:rPr>
          <w:rFonts w:hint="default" w:ascii="宋体" w:hAnsi="宋体" w:eastAsia="宋体" w:cs="Times New Roman"/>
          <w:b/>
          <w:color w:val="auto"/>
          <w:sz w:val="24"/>
          <w:szCs w:val="22"/>
          <w:highlight w:val="none"/>
        </w:rPr>
        <w:t>投标无效</w:t>
      </w:r>
      <w:r>
        <w:rPr>
          <w:rFonts w:hint="eastAsia" w:ascii="宋体" w:hAnsi="宋体" w:eastAsia="宋体" w:cs="Times New Roman"/>
          <w:b/>
          <w:color w:val="auto"/>
          <w:sz w:val="24"/>
          <w:szCs w:val="22"/>
          <w:highlight w:val="none"/>
        </w:rPr>
        <w:t>。</w:t>
      </w:r>
    </w:p>
    <w:p w14:paraId="71BCA1E3">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对招标文件的澄清或修改</w:t>
      </w:r>
    </w:p>
    <w:p w14:paraId="5EAA84B9">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采购人或采购代理机构对已发出的招标文件进行必要澄清或者修改的，将在原公告发布媒体上以</w:t>
      </w:r>
      <w:r>
        <w:rPr>
          <w:rFonts w:hint="eastAsia" w:ascii="宋体" w:hAnsi="宋体" w:eastAsia="宋体" w:cs="Times New Roman"/>
          <w:color w:val="auto"/>
          <w:sz w:val="24"/>
          <w:szCs w:val="22"/>
          <w:highlight w:val="none"/>
        </w:rPr>
        <w:t>发布</w:t>
      </w:r>
      <w:r>
        <w:rPr>
          <w:rFonts w:hint="default" w:ascii="宋体" w:hAnsi="宋体" w:eastAsia="宋体" w:cs="Times New Roman"/>
          <w:color w:val="auto"/>
          <w:sz w:val="24"/>
          <w:szCs w:val="22"/>
          <w:highlight w:val="none"/>
        </w:rPr>
        <w:t>更正公告</w:t>
      </w:r>
      <w:r>
        <w:rPr>
          <w:rFonts w:hint="eastAsia" w:ascii="宋体" w:hAnsi="宋体" w:eastAsia="宋体" w:cs="Times New Roman"/>
          <w:color w:val="auto"/>
          <w:sz w:val="24"/>
          <w:szCs w:val="22"/>
          <w:highlight w:val="none"/>
        </w:rPr>
        <w:t>的</w:t>
      </w:r>
      <w:r>
        <w:rPr>
          <w:rFonts w:hint="default" w:ascii="宋体" w:hAnsi="宋体" w:eastAsia="宋体" w:cs="Times New Roman"/>
          <w:color w:val="auto"/>
          <w:sz w:val="24"/>
          <w:szCs w:val="22"/>
          <w:highlight w:val="none"/>
        </w:rPr>
        <w:t>形式通知所有获取招标文件的潜在投标人</w:t>
      </w:r>
      <w:r>
        <w:rPr>
          <w:rFonts w:hint="eastAsia" w:ascii="宋体" w:hAnsi="宋体" w:eastAsia="宋体" w:cs="Times New Roman"/>
          <w:color w:val="auto"/>
          <w:sz w:val="24"/>
          <w:szCs w:val="22"/>
          <w:highlight w:val="none"/>
        </w:rPr>
        <w:t>。</w:t>
      </w:r>
    </w:p>
    <w:p w14:paraId="5E40C961">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Times New Roman"/>
          <w:color w:val="auto"/>
          <w:sz w:val="24"/>
          <w:szCs w:val="22"/>
          <w:highlight w:val="none"/>
        </w:rPr>
        <w:t>。</w:t>
      </w:r>
    </w:p>
    <w:p w14:paraId="60BA7FD4">
      <w:pPr>
        <w:spacing w:line="360" w:lineRule="auto"/>
        <w:ind w:left="267" w:hanging="267"/>
        <w:jc w:val="center"/>
        <w:rPr>
          <w:rFonts w:hint="eastAsia" w:ascii="宋体" w:hAnsi="宋体" w:eastAsia="宋体" w:cs="Times New Roman"/>
          <w:color w:val="auto"/>
          <w:kern w:val="0"/>
          <w:sz w:val="24"/>
          <w:szCs w:val="22"/>
          <w:highlight w:val="none"/>
        </w:rPr>
      </w:pPr>
      <w:r>
        <w:rPr>
          <w:rFonts w:hint="default" w:ascii="宋体" w:hAnsi="宋体" w:eastAsia="宋体" w:cs="Times New Roman"/>
          <w:b/>
          <w:color w:val="auto"/>
          <w:kern w:val="0"/>
          <w:sz w:val="28"/>
          <w:szCs w:val="28"/>
          <w:highlight w:val="none"/>
        </w:rPr>
        <w:t>三</w:t>
      </w:r>
      <w:r>
        <w:rPr>
          <w:rFonts w:hint="eastAsia" w:ascii="宋体" w:hAnsi="宋体" w:eastAsia="宋体" w:cs="Times New Roman"/>
          <w:b/>
          <w:color w:val="auto"/>
          <w:kern w:val="0"/>
          <w:sz w:val="28"/>
          <w:szCs w:val="28"/>
          <w:highlight w:val="none"/>
        </w:rPr>
        <w:t>、投标</w:t>
      </w:r>
      <w:r>
        <w:rPr>
          <w:rFonts w:hint="default" w:ascii="宋体" w:hAnsi="宋体" w:eastAsia="宋体" w:cs="Times New Roman"/>
          <w:b/>
          <w:color w:val="auto"/>
          <w:kern w:val="0"/>
          <w:sz w:val="28"/>
          <w:szCs w:val="28"/>
          <w:highlight w:val="none"/>
        </w:rPr>
        <w:t>文件的编制</w:t>
      </w:r>
    </w:p>
    <w:p w14:paraId="1053580F">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122" w:name="_Toc150774627"/>
      <w:bookmarkStart w:id="123" w:name="_Toc226309771"/>
      <w:bookmarkStart w:id="124" w:name="_Toc151193625"/>
      <w:bookmarkStart w:id="125" w:name="_Toc164351621"/>
      <w:bookmarkStart w:id="126" w:name="_Toc127151527"/>
      <w:bookmarkStart w:id="127" w:name="_Toc142311029"/>
      <w:bookmarkStart w:id="128" w:name="_Toc151193697"/>
      <w:bookmarkStart w:id="129" w:name="_Toc516367021"/>
      <w:bookmarkStart w:id="130" w:name="_Toc151193769"/>
      <w:bookmarkStart w:id="131" w:name="_Toc226965717"/>
      <w:bookmarkStart w:id="132" w:name="_Toc150480765"/>
      <w:bookmarkStart w:id="133" w:name="_Toc151193915"/>
      <w:bookmarkStart w:id="134" w:name="_Toc151190154"/>
      <w:bookmarkStart w:id="135" w:name="_Toc520356151"/>
      <w:bookmarkStart w:id="136" w:name="_Toc164229368"/>
      <w:bookmarkStart w:id="137" w:name="_Toc164608796"/>
      <w:bookmarkStart w:id="138" w:name="_Toc265228365"/>
      <w:bookmarkStart w:id="139" w:name="_Toc150774732"/>
      <w:bookmarkStart w:id="140" w:name="_Toc305158869"/>
      <w:bookmarkStart w:id="141" w:name="_Toc127161441"/>
      <w:bookmarkStart w:id="142" w:name="_Toc226965800"/>
      <w:bookmarkStart w:id="143" w:name="_Toc226337223"/>
      <w:bookmarkStart w:id="144" w:name="_Toc151193841"/>
      <w:bookmarkStart w:id="145" w:name="_Toc195842892"/>
      <w:bookmarkStart w:id="146" w:name="_Toc150509278"/>
      <w:bookmarkStart w:id="147" w:name="_Toc149720820"/>
      <w:bookmarkStart w:id="148" w:name="_Toc164608641"/>
      <w:bookmarkStart w:id="149" w:name="_Toc305158795"/>
      <w:bookmarkStart w:id="150" w:name="_Toc164229222"/>
      <w:bookmarkStart w:id="151" w:name="_Toc127151728"/>
      <w:bookmarkStart w:id="152" w:name="_Toc264969217"/>
      <w:r>
        <w:rPr>
          <w:rFonts w:hint="default" w:ascii="宋体" w:hAnsi="宋体" w:eastAsia="宋体" w:cs="Times New Roman"/>
          <w:color w:val="auto"/>
          <w:sz w:val="24"/>
          <w:szCs w:val="22"/>
          <w:highlight w:val="none"/>
        </w:rPr>
        <w:t>投标范围、投标文件中计量单位的使用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default" w:ascii="宋体" w:hAnsi="宋体" w:eastAsia="宋体" w:cs="Times New Roman"/>
          <w:color w:val="auto"/>
          <w:sz w:val="24"/>
          <w:szCs w:val="22"/>
          <w:highlight w:val="none"/>
        </w:rPr>
        <w:t>及投标语言</w:t>
      </w:r>
    </w:p>
    <w:p w14:paraId="25FCD99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default" w:ascii="宋体" w:hAnsi="宋体" w:eastAsia="宋体" w:cs="Times New Roman"/>
          <w:b/>
          <w:color w:val="auto"/>
          <w:sz w:val="24"/>
          <w:szCs w:val="22"/>
          <w:highlight w:val="none"/>
        </w:rPr>
        <w:t>无效投标</w:t>
      </w:r>
      <w:r>
        <w:rPr>
          <w:rFonts w:hint="eastAsia" w:ascii="宋体" w:hAnsi="宋体" w:eastAsia="宋体" w:cs="Times New Roman"/>
          <w:b/>
          <w:color w:val="auto"/>
          <w:sz w:val="24"/>
          <w:szCs w:val="22"/>
          <w:highlight w:val="none"/>
        </w:rPr>
        <w:t>。</w:t>
      </w:r>
    </w:p>
    <w:p w14:paraId="03774A62">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除招标文件有特殊要求外，本项目投标所使用的计量单位，应采用中华人民共和国法定计量单位</w:t>
      </w:r>
      <w:r>
        <w:rPr>
          <w:rFonts w:hint="eastAsia" w:ascii="宋体" w:hAnsi="宋体" w:eastAsia="宋体" w:cs="Times New Roman"/>
          <w:color w:val="auto"/>
          <w:sz w:val="24"/>
          <w:szCs w:val="22"/>
          <w:highlight w:val="none"/>
        </w:rPr>
        <w:t>。</w:t>
      </w:r>
    </w:p>
    <w:p w14:paraId="21F19B9C">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Times New Roman"/>
          <w:color w:val="auto"/>
          <w:sz w:val="24"/>
          <w:szCs w:val="22"/>
          <w:highlight w:val="none"/>
        </w:rPr>
        <w:t>。</w:t>
      </w:r>
    </w:p>
    <w:p w14:paraId="5F4DF24F">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153" w:name="_Toc516367022"/>
      <w:bookmarkStart w:id="154" w:name="_Ref467306676"/>
      <w:bookmarkStart w:id="155" w:name="_Ref467306195"/>
      <w:bookmarkStart w:id="156" w:name="_Toc151193698"/>
      <w:bookmarkStart w:id="157" w:name="_Toc226337224"/>
      <w:bookmarkStart w:id="158" w:name="_Toc164229223"/>
      <w:bookmarkStart w:id="159" w:name="_Toc520356152"/>
      <w:bookmarkStart w:id="160" w:name="_Toc127151528"/>
      <w:bookmarkStart w:id="161" w:name="_Toc127161442"/>
      <w:bookmarkStart w:id="162" w:name="_Toc150480766"/>
      <w:bookmarkStart w:id="163" w:name="_Toc149720821"/>
      <w:bookmarkStart w:id="164" w:name="_Toc264969218"/>
      <w:bookmarkStart w:id="165" w:name="_Toc164351622"/>
      <w:bookmarkStart w:id="166" w:name="_Toc150774733"/>
      <w:bookmarkStart w:id="167" w:name="_Toc151190155"/>
      <w:bookmarkStart w:id="168" w:name="_Toc151193916"/>
      <w:bookmarkStart w:id="169" w:name="_Toc142311030"/>
      <w:bookmarkStart w:id="170" w:name="_Toc151193626"/>
      <w:bookmarkStart w:id="171" w:name="_Toc305158796"/>
      <w:bookmarkStart w:id="172" w:name="_Toc150774628"/>
      <w:bookmarkStart w:id="173" w:name="_Toc164608797"/>
      <w:bookmarkStart w:id="174" w:name="_Toc195842893"/>
      <w:bookmarkStart w:id="175" w:name="_Toc226965718"/>
      <w:bookmarkStart w:id="176" w:name="_Toc305158870"/>
      <w:bookmarkStart w:id="177" w:name="_Toc265228366"/>
      <w:bookmarkStart w:id="178" w:name="_Toc151193842"/>
      <w:bookmarkStart w:id="179" w:name="_Toc164608642"/>
      <w:bookmarkStart w:id="180" w:name="_Toc150509279"/>
      <w:bookmarkStart w:id="181" w:name="_Toc226309772"/>
      <w:bookmarkStart w:id="182" w:name="_Toc127151729"/>
      <w:bookmarkStart w:id="183" w:name="_Toc226965801"/>
      <w:bookmarkStart w:id="184" w:name="_Toc164229369"/>
      <w:bookmarkStart w:id="185" w:name="_Toc151193770"/>
      <w:r>
        <w:rPr>
          <w:rFonts w:hint="default" w:ascii="宋体" w:hAnsi="宋体" w:eastAsia="宋体" w:cs="Times New Roman"/>
          <w:color w:val="auto"/>
          <w:sz w:val="24"/>
          <w:szCs w:val="22"/>
          <w:highlight w:val="none"/>
        </w:rPr>
        <w:t>投标文件</w:t>
      </w:r>
      <w:bookmarkEnd w:id="153"/>
      <w:bookmarkEnd w:id="154"/>
      <w:bookmarkEnd w:id="155"/>
      <w:r>
        <w:rPr>
          <w:rFonts w:hint="default" w:ascii="宋体" w:hAnsi="宋体" w:eastAsia="宋体" w:cs="Times New Roman"/>
          <w:color w:val="auto"/>
          <w:sz w:val="24"/>
          <w:szCs w:val="22"/>
          <w:highlight w:val="none"/>
        </w:rPr>
        <w:t>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4683A2CD">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投标人编写的投标文件应包括资格证明文件、符合性证明文件、投标分项报价表、技术要求响应及偏离表、商务要求响应及偏离表、其他证明文件、投标函、开标一览表等部分。</w:t>
      </w:r>
    </w:p>
    <w:p w14:paraId="5FCC4FED">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default" w:ascii="宋体" w:hAnsi="宋体" w:eastAsia="宋体" w:cs="Times New Roman"/>
          <w:b/>
          <w:color w:val="auto"/>
          <w:sz w:val="24"/>
          <w:szCs w:val="22"/>
          <w:highlight w:val="none"/>
        </w:rPr>
        <w:t>投标无效</w:t>
      </w:r>
      <w:r>
        <w:rPr>
          <w:rFonts w:hint="default" w:ascii="宋体" w:hAnsi="宋体" w:eastAsia="宋体" w:cs="Times New Roman"/>
          <w:color w:val="auto"/>
          <w:sz w:val="24"/>
          <w:szCs w:val="22"/>
          <w:highlight w:val="none"/>
        </w:rPr>
        <w:t>。未标记“实质性格式”的文件和招标文件未提供格式的内容，可由投标人自行编写。</w:t>
      </w:r>
    </w:p>
    <w:p w14:paraId="293F4B10">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第四章《评标程序、评标方法和评标标准》中涉及的证明文件</w:t>
      </w:r>
      <w:r>
        <w:rPr>
          <w:rFonts w:hint="eastAsia" w:ascii="宋体" w:hAnsi="宋体" w:eastAsia="宋体" w:cs="Times New Roman"/>
          <w:color w:val="auto"/>
          <w:sz w:val="24"/>
          <w:szCs w:val="22"/>
          <w:highlight w:val="none"/>
        </w:rPr>
        <w:t>。</w:t>
      </w:r>
    </w:p>
    <w:p w14:paraId="07DAC882">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Times New Roman"/>
          <w:color w:val="auto"/>
          <w:sz w:val="24"/>
          <w:szCs w:val="22"/>
          <w:highlight w:val="none"/>
        </w:rPr>
        <w:t>。</w:t>
      </w:r>
    </w:p>
    <w:p w14:paraId="79571770">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投标人</w:t>
      </w:r>
      <w:r>
        <w:rPr>
          <w:rFonts w:hint="default" w:ascii="宋体" w:hAnsi="宋体" w:eastAsia="宋体" w:cs="Times New Roman"/>
          <w:color w:val="auto"/>
          <w:sz w:val="24"/>
          <w:szCs w:val="22"/>
          <w:highlight w:val="none"/>
        </w:rPr>
        <w:t>认为应附的其他材料</w:t>
      </w:r>
      <w:r>
        <w:rPr>
          <w:rFonts w:hint="eastAsia" w:ascii="宋体" w:hAnsi="宋体" w:eastAsia="宋体" w:cs="Times New Roman"/>
          <w:color w:val="auto"/>
          <w:sz w:val="24"/>
          <w:szCs w:val="22"/>
          <w:highlight w:val="none"/>
        </w:rPr>
        <w:t>。</w:t>
      </w:r>
    </w:p>
    <w:p w14:paraId="2C5B16EC">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s="Times New Roman"/>
          <w:color w:val="auto"/>
          <w:sz w:val="24"/>
          <w:szCs w:val="24"/>
          <w:highlight w:val="none"/>
        </w:rPr>
        <w:t>“常州市政府采购网”</w:t>
      </w:r>
      <w:r>
        <w:rPr>
          <w:rFonts w:hint="eastAsia" w:ascii="宋体" w:hAnsi="宋体" w:eastAsia="宋体" w:cs="Times New Roman"/>
          <w:color w:val="auto"/>
          <w:sz w:val="24"/>
          <w:szCs w:val="22"/>
          <w:highlight w:val="none"/>
        </w:rPr>
        <w:t>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s="Times New Roman"/>
          <w:color w:val="auto"/>
          <w:sz w:val="24"/>
          <w:szCs w:val="24"/>
          <w:highlight w:val="none"/>
        </w:rPr>
        <w:t>“常州市政府采购网”</w:t>
      </w:r>
      <w:r>
        <w:rPr>
          <w:rFonts w:hint="eastAsia" w:ascii="宋体" w:hAnsi="宋体" w:eastAsia="宋体" w:cs="Times New Roman"/>
          <w:color w:val="auto"/>
          <w:sz w:val="24"/>
          <w:szCs w:val="22"/>
          <w:highlight w:val="none"/>
        </w:rPr>
        <w:t>发布的招标文件为准。</w:t>
      </w:r>
    </w:p>
    <w:p w14:paraId="17C730A9">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AD9A878">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投标报价</w:t>
      </w:r>
    </w:p>
    <w:p w14:paraId="5B1E2239">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所有</w:t>
      </w:r>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均以人民币报价</w:t>
      </w:r>
      <w:r>
        <w:rPr>
          <w:rFonts w:hint="eastAsia" w:ascii="宋体" w:hAnsi="宋体" w:eastAsia="宋体" w:cs="Times New Roman"/>
          <w:color w:val="auto"/>
          <w:sz w:val="24"/>
          <w:szCs w:val="22"/>
          <w:highlight w:val="none"/>
        </w:rPr>
        <w:t>。</w:t>
      </w:r>
    </w:p>
    <w:p w14:paraId="080EDAA3">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投标人的报价应包括为完成本项目所发生的一切费用和税费，招标人将不再支付报价以外的任何费用。</w:t>
      </w:r>
      <w:r>
        <w:rPr>
          <w:rFonts w:hint="eastAsia" w:ascii="宋体" w:hAnsi="宋体" w:eastAsia="宋体" w:cs="Times New Roman"/>
          <w:color w:val="auto"/>
          <w:sz w:val="24"/>
          <w:szCs w:val="22"/>
          <w:highlight w:val="none"/>
        </w:rPr>
        <w:t>投标人的报价应包括但不限于下列内容，《投标人须知资料表》中有特殊规定的，从其规定。</w:t>
      </w:r>
    </w:p>
    <w:p w14:paraId="73D8EAD2">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Times New Roman"/>
          <w:color w:val="auto"/>
          <w:sz w:val="24"/>
          <w:szCs w:val="22"/>
          <w:highlight w:val="none"/>
        </w:rPr>
        <w:t>。</w:t>
      </w:r>
    </w:p>
    <w:p w14:paraId="4AE33E81">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按照招标文件要求完成本项目的全部相关服务费用</w:t>
      </w:r>
      <w:r>
        <w:rPr>
          <w:rFonts w:hint="eastAsia" w:ascii="宋体" w:hAnsi="宋体" w:eastAsia="宋体" w:cs="Times New Roman"/>
          <w:color w:val="auto"/>
          <w:sz w:val="24"/>
          <w:szCs w:val="22"/>
          <w:highlight w:val="none"/>
        </w:rPr>
        <w:t>。</w:t>
      </w:r>
    </w:p>
    <w:p w14:paraId="7F0882D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采购人不得向供应商索要或者接受其给予的赠品、回扣或者与采购无关的其他商品、服务</w:t>
      </w:r>
      <w:r>
        <w:rPr>
          <w:rFonts w:hint="eastAsia" w:ascii="宋体" w:hAnsi="宋体" w:eastAsia="宋体" w:cs="Times New Roman"/>
          <w:color w:val="auto"/>
          <w:sz w:val="24"/>
          <w:szCs w:val="22"/>
          <w:highlight w:val="none"/>
        </w:rPr>
        <w:t>。</w:t>
      </w:r>
    </w:p>
    <w:p w14:paraId="4E4B0C30">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投标人不能提供任何有选择性或可调整的报价，否则其</w:t>
      </w:r>
      <w:r>
        <w:rPr>
          <w:rFonts w:hint="default" w:ascii="宋体" w:hAnsi="宋体" w:eastAsia="宋体" w:cs="Times New Roman"/>
          <w:b/>
          <w:color w:val="auto"/>
          <w:sz w:val="24"/>
          <w:szCs w:val="22"/>
          <w:highlight w:val="none"/>
        </w:rPr>
        <w:t>投标无效</w:t>
      </w:r>
      <w:r>
        <w:rPr>
          <w:rFonts w:hint="eastAsia" w:ascii="宋体" w:hAnsi="宋体" w:eastAsia="宋体" w:cs="Times New Roman"/>
          <w:b/>
          <w:color w:val="auto"/>
          <w:sz w:val="24"/>
          <w:szCs w:val="22"/>
          <w:highlight w:val="none"/>
        </w:rPr>
        <w:t>。</w:t>
      </w:r>
    </w:p>
    <w:p w14:paraId="2D3AC4F7">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保证金</w:t>
      </w:r>
      <w:r>
        <w:rPr>
          <w:rFonts w:hint="eastAsia" w:ascii="宋体" w:hAnsi="宋体" w:eastAsia="宋体" w:cs="Times New Roman"/>
          <w:color w:val="auto"/>
          <w:sz w:val="24"/>
          <w:szCs w:val="22"/>
          <w:highlight w:val="none"/>
        </w:rPr>
        <w:t>：根据江苏省和常州市的相关文件规定，免收保证金</w:t>
      </w:r>
    </w:p>
    <w:p w14:paraId="7654C368">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有效期</w:t>
      </w:r>
    </w:p>
    <w:p w14:paraId="75313D19">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w:t>
      </w:r>
      <w:r>
        <w:rPr>
          <w:rFonts w:hint="eastAsia" w:ascii="宋体" w:hAnsi="宋体" w:eastAsia="宋体" w:cs="Times New Roman"/>
          <w:color w:val="auto"/>
          <w:sz w:val="24"/>
          <w:szCs w:val="22"/>
          <w:highlight w:val="none"/>
        </w:rPr>
        <w:t>文件</w:t>
      </w:r>
      <w:r>
        <w:rPr>
          <w:rFonts w:hint="default" w:ascii="宋体" w:hAnsi="宋体" w:eastAsia="宋体" w:cs="Times New Roman"/>
          <w:color w:val="auto"/>
          <w:sz w:val="24"/>
          <w:szCs w:val="22"/>
          <w:highlight w:val="none"/>
        </w:rPr>
        <w:t>应在本招标文件《投标人须知资料表》中规定的投标有效期内保持有效，投标有效期少于招标文件规定期限的，其</w:t>
      </w:r>
      <w:r>
        <w:rPr>
          <w:rFonts w:hint="default" w:ascii="宋体" w:hAnsi="宋体" w:eastAsia="宋体" w:cs="Times New Roman"/>
          <w:b/>
          <w:color w:val="auto"/>
          <w:sz w:val="24"/>
          <w:szCs w:val="22"/>
          <w:highlight w:val="none"/>
        </w:rPr>
        <w:t>投标无效</w:t>
      </w:r>
      <w:r>
        <w:rPr>
          <w:rFonts w:hint="eastAsia" w:ascii="宋体" w:hAnsi="宋体" w:eastAsia="宋体" w:cs="Times New Roman"/>
          <w:b/>
          <w:color w:val="auto"/>
          <w:sz w:val="24"/>
          <w:szCs w:val="22"/>
          <w:highlight w:val="none"/>
        </w:rPr>
        <w:t>。</w:t>
      </w:r>
    </w:p>
    <w:p w14:paraId="78D14072">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186" w:name="_Toc151193775"/>
      <w:bookmarkStart w:id="187" w:name="_Toc226337229"/>
      <w:bookmarkStart w:id="188" w:name="_Toc151193703"/>
      <w:bookmarkStart w:id="189" w:name="_Toc151190160"/>
      <w:bookmarkStart w:id="190" w:name="_Toc520356158"/>
      <w:bookmarkStart w:id="191" w:name="_Toc164229374"/>
      <w:bookmarkStart w:id="192" w:name="_Toc127151734"/>
      <w:bookmarkStart w:id="193" w:name="_Toc151193631"/>
      <w:bookmarkStart w:id="194" w:name="_Toc305158875"/>
      <w:bookmarkStart w:id="195" w:name="_Toc149720826"/>
      <w:bookmarkStart w:id="196" w:name="_Toc127161447"/>
      <w:bookmarkStart w:id="197" w:name="_Toc305158801"/>
      <w:bookmarkStart w:id="198" w:name="_Toc195842898"/>
      <w:bookmarkStart w:id="199" w:name="_Toc164229228"/>
      <w:bookmarkStart w:id="200" w:name="_Toc164608802"/>
      <w:bookmarkStart w:id="201" w:name="_Toc142311035"/>
      <w:bookmarkStart w:id="202" w:name="_Toc226965806"/>
      <w:bookmarkStart w:id="203" w:name="_Toc226309777"/>
      <w:bookmarkStart w:id="204" w:name="_Toc150774738"/>
      <w:bookmarkStart w:id="205" w:name="_Toc226965723"/>
      <w:bookmarkStart w:id="206" w:name="_Toc265228371"/>
      <w:bookmarkStart w:id="207" w:name="_Toc164351627"/>
      <w:bookmarkStart w:id="208" w:name="_Toc150509284"/>
      <w:bookmarkStart w:id="209" w:name="_Toc151193847"/>
      <w:bookmarkStart w:id="210" w:name="_Toc127151533"/>
      <w:bookmarkStart w:id="211" w:name="_Toc164608647"/>
      <w:bookmarkStart w:id="212" w:name="_Toc151193921"/>
      <w:bookmarkStart w:id="213" w:name="_Toc150480771"/>
      <w:bookmarkStart w:id="214" w:name="_Toc264969223"/>
      <w:bookmarkStart w:id="215" w:name="_Toc150774633"/>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文件的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Times New Roman"/>
          <w:color w:val="auto"/>
          <w:sz w:val="24"/>
          <w:szCs w:val="22"/>
          <w:highlight w:val="none"/>
        </w:rPr>
        <w:t>制作、密封与盖章</w:t>
      </w:r>
    </w:p>
    <w:p w14:paraId="5FE2BFF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招标文件要求签字的内容，</w:t>
      </w:r>
      <w:r>
        <w:rPr>
          <w:rFonts w:hint="eastAsia" w:ascii="宋体" w:hAnsi="宋体" w:eastAsia="宋体" w:cs="Times New Roman"/>
          <w:color w:val="auto"/>
          <w:sz w:val="24"/>
          <w:szCs w:val="22"/>
          <w:highlight w:val="none"/>
        </w:rPr>
        <w:t>可以使用电子签章或使用原件的电子件（电子件指扫描件、照片等形式电子文件）；要求</w:t>
      </w:r>
      <w:r>
        <w:rPr>
          <w:rFonts w:hint="default" w:ascii="宋体" w:hAnsi="宋体" w:eastAsia="宋体" w:cs="Times New Roman"/>
          <w:color w:val="auto"/>
          <w:sz w:val="24"/>
          <w:szCs w:val="22"/>
          <w:highlight w:val="none"/>
        </w:rPr>
        <w:t>第三方出具的加盖公章原件（如联合协议、分包意向协议、制造商授权书等），投标文件中应使用原件的电子件</w:t>
      </w:r>
      <w:r>
        <w:rPr>
          <w:rFonts w:hint="eastAsia" w:ascii="宋体" w:hAnsi="宋体" w:eastAsia="宋体" w:cs="Times New Roman"/>
          <w:color w:val="auto"/>
          <w:sz w:val="24"/>
          <w:szCs w:val="22"/>
          <w:highlight w:val="none"/>
        </w:rPr>
        <w:t>。</w:t>
      </w:r>
    </w:p>
    <w:p w14:paraId="132E539D">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招标文件要求加盖公章的内容，</w:t>
      </w:r>
      <w:r>
        <w:rPr>
          <w:rFonts w:hint="eastAsia" w:ascii="宋体" w:hAnsi="宋体" w:eastAsia="宋体" w:cs="Times New Roman"/>
          <w:color w:val="auto"/>
          <w:sz w:val="24"/>
          <w:szCs w:val="22"/>
          <w:highlight w:val="none"/>
        </w:rPr>
        <w:t>一般</w:t>
      </w:r>
      <w:r>
        <w:rPr>
          <w:rFonts w:hint="default" w:ascii="宋体" w:hAnsi="宋体" w:eastAsia="宋体" w:cs="Times New Roman"/>
          <w:color w:val="auto"/>
          <w:sz w:val="24"/>
          <w:szCs w:val="22"/>
          <w:highlight w:val="none"/>
        </w:rPr>
        <w:t>通过投标文件编制工具加盖电子签章</w:t>
      </w:r>
      <w:r>
        <w:rPr>
          <w:rFonts w:hint="eastAsia" w:ascii="宋体" w:hAnsi="宋体" w:eastAsia="宋体" w:cs="Times New Roman"/>
          <w:color w:val="auto"/>
          <w:sz w:val="24"/>
          <w:szCs w:val="22"/>
          <w:highlight w:val="none"/>
        </w:rPr>
        <w:t>。</w:t>
      </w:r>
    </w:p>
    <w:p w14:paraId="02AD496F">
      <w:pPr>
        <w:spacing w:line="360" w:lineRule="auto"/>
        <w:ind w:left="267" w:hanging="267"/>
        <w:jc w:val="center"/>
        <w:rPr>
          <w:rFonts w:hint="eastAsia" w:ascii="宋体" w:hAnsi="宋体" w:eastAsia="宋体" w:cs="Times New Roman"/>
          <w:color w:val="auto"/>
          <w:kern w:val="0"/>
          <w:sz w:val="24"/>
          <w:szCs w:val="22"/>
          <w:highlight w:val="none"/>
        </w:rPr>
      </w:pPr>
      <w:bookmarkStart w:id="216" w:name="_Toc151193632"/>
      <w:bookmarkStart w:id="217" w:name="_Toc142311036"/>
      <w:bookmarkStart w:id="218" w:name="_Toc226965724"/>
      <w:bookmarkStart w:id="219" w:name="_Toc226309778"/>
      <w:bookmarkStart w:id="220" w:name="_Toc226965807"/>
      <w:bookmarkStart w:id="221" w:name="_Toc151193848"/>
      <w:bookmarkStart w:id="222" w:name="_Toc226337230"/>
      <w:bookmarkStart w:id="223" w:name="_Toc150774634"/>
      <w:bookmarkStart w:id="224" w:name="_Toc127151534"/>
      <w:bookmarkStart w:id="225" w:name="_Toc305158876"/>
      <w:bookmarkStart w:id="226" w:name="_Toc151193704"/>
      <w:bookmarkStart w:id="227" w:name="_Toc520356159"/>
      <w:bookmarkStart w:id="228" w:name="_Toc195842899"/>
      <w:bookmarkStart w:id="229" w:name="_Toc305158802"/>
      <w:bookmarkStart w:id="230" w:name="_Toc151193922"/>
      <w:bookmarkStart w:id="231" w:name="_Toc150509285"/>
      <w:bookmarkStart w:id="232" w:name="_Toc264969224"/>
      <w:bookmarkStart w:id="233" w:name="_Toc150480772"/>
      <w:bookmarkStart w:id="234" w:name="_Toc265228372"/>
      <w:bookmarkStart w:id="235" w:name="_Toc151190161"/>
      <w:bookmarkStart w:id="236" w:name="_Toc150774739"/>
      <w:bookmarkStart w:id="237" w:name="_Toc151193776"/>
      <w:r>
        <w:rPr>
          <w:rFonts w:hint="default" w:ascii="宋体" w:hAnsi="宋体" w:eastAsia="宋体" w:cs="Times New Roman"/>
          <w:b/>
          <w:color w:val="auto"/>
          <w:kern w:val="0"/>
          <w:sz w:val="28"/>
          <w:szCs w:val="28"/>
          <w:highlight w:val="none"/>
        </w:rPr>
        <w:t>四</w:t>
      </w:r>
      <w:r>
        <w:rPr>
          <w:rFonts w:hint="eastAsia" w:ascii="宋体" w:hAnsi="宋体" w:eastAsia="宋体" w:cs="Times New Roman"/>
          <w:b/>
          <w:color w:val="auto"/>
          <w:kern w:val="0"/>
          <w:sz w:val="28"/>
          <w:szCs w:val="28"/>
          <w:highlight w:val="none"/>
        </w:rPr>
        <w:t>、投标</w:t>
      </w:r>
      <w:r>
        <w:rPr>
          <w:rFonts w:hint="default" w:ascii="宋体" w:hAnsi="宋体" w:eastAsia="宋体" w:cs="Times New Roman"/>
          <w:b/>
          <w:color w:val="auto"/>
          <w:kern w:val="0"/>
          <w:sz w:val="28"/>
          <w:szCs w:val="28"/>
          <w:highlight w:val="none"/>
        </w:rPr>
        <w:t>文件的提交</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4FB87DB6">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238" w:name="_Toc151193923"/>
      <w:bookmarkStart w:id="239" w:name="_Toc164229230"/>
      <w:bookmarkStart w:id="240" w:name="_Toc151193777"/>
      <w:bookmarkStart w:id="241" w:name="_Toc164608804"/>
      <w:bookmarkStart w:id="242" w:name="_Toc151193633"/>
      <w:bookmarkStart w:id="243" w:name="_Toc150509286"/>
      <w:bookmarkStart w:id="244" w:name="_Toc226337231"/>
      <w:bookmarkStart w:id="245" w:name="_Toc195842900"/>
      <w:bookmarkStart w:id="246" w:name="_Toc520356160"/>
      <w:bookmarkStart w:id="247" w:name="_Toc142311037"/>
      <w:bookmarkStart w:id="248" w:name="_Toc127161449"/>
      <w:bookmarkStart w:id="249" w:name="_Toc151193705"/>
      <w:bookmarkStart w:id="250" w:name="_Toc226965725"/>
      <w:bookmarkStart w:id="251" w:name="_Toc150774740"/>
      <w:bookmarkStart w:id="252" w:name="_Toc164608649"/>
      <w:bookmarkStart w:id="253" w:name="_Toc150774635"/>
      <w:bookmarkStart w:id="254" w:name="_Toc127151535"/>
      <w:bookmarkStart w:id="255" w:name="_Toc151190162"/>
      <w:bookmarkStart w:id="256" w:name="_Toc150480773"/>
      <w:bookmarkStart w:id="257" w:name="_Toc226965808"/>
      <w:bookmarkStart w:id="258" w:name="_Toc151193849"/>
      <w:bookmarkStart w:id="259" w:name="_Toc305158877"/>
      <w:bookmarkStart w:id="260" w:name="_Toc164351629"/>
      <w:bookmarkStart w:id="261" w:name="_Toc164229376"/>
      <w:bookmarkStart w:id="262" w:name="_Toc127151736"/>
      <w:bookmarkStart w:id="263" w:name="_Toc149720828"/>
      <w:bookmarkStart w:id="264" w:name="_Toc264969225"/>
      <w:bookmarkStart w:id="265" w:name="_Toc226309779"/>
      <w:bookmarkStart w:id="266" w:name="_Toc305158803"/>
      <w:bookmarkStart w:id="267" w:name="_Toc265228373"/>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文件的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hint="default" w:ascii="宋体" w:hAnsi="宋体" w:eastAsia="宋体" w:cs="Times New Roman"/>
          <w:color w:val="auto"/>
          <w:sz w:val="24"/>
          <w:szCs w:val="22"/>
          <w:highlight w:val="none"/>
        </w:rPr>
        <w:t>提交</w:t>
      </w:r>
    </w:p>
    <w:p w14:paraId="699AC1E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本项目使用</w:t>
      </w:r>
      <w:r>
        <w:rPr>
          <w:rFonts w:hint="eastAsia" w:ascii="宋体" w:hAnsi="宋体" w:eastAsia="宋体" w:cs="Times New Roman"/>
          <w:color w:val="auto"/>
          <w:sz w:val="24"/>
          <w:szCs w:val="22"/>
          <w:highlight w:val="none"/>
        </w:rPr>
        <w:t>“苏采云”系统</w:t>
      </w:r>
      <w:r>
        <w:rPr>
          <w:rFonts w:hint="default" w:ascii="宋体" w:hAnsi="宋体" w:eastAsia="宋体" w:cs="Times New Roman"/>
          <w:color w:val="auto"/>
          <w:sz w:val="24"/>
          <w:szCs w:val="22"/>
          <w:highlight w:val="none"/>
        </w:rPr>
        <w:t>。投标人根据招标文件及</w:t>
      </w:r>
      <w:r>
        <w:rPr>
          <w:rFonts w:hint="eastAsia" w:ascii="宋体" w:hAnsi="宋体" w:eastAsia="宋体" w:cs="Times New Roman"/>
          <w:color w:val="auto"/>
          <w:sz w:val="24"/>
          <w:szCs w:val="22"/>
          <w:highlight w:val="none"/>
        </w:rPr>
        <w:t>“苏采云”系统</w:t>
      </w:r>
      <w:r>
        <w:rPr>
          <w:rFonts w:hint="default" w:ascii="宋体" w:hAnsi="宋体" w:eastAsia="宋体" w:cs="Times New Roman"/>
          <w:color w:val="auto"/>
          <w:sz w:val="24"/>
          <w:szCs w:val="22"/>
          <w:highlight w:val="none"/>
        </w:rPr>
        <w:t>供应商操作手册要求编制、生成并提交电子投标文件</w:t>
      </w:r>
      <w:r>
        <w:rPr>
          <w:rFonts w:hint="eastAsia" w:ascii="宋体" w:hAnsi="宋体" w:eastAsia="宋体" w:cs="Times New Roman"/>
          <w:color w:val="auto"/>
          <w:sz w:val="24"/>
          <w:szCs w:val="22"/>
          <w:highlight w:val="none"/>
        </w:rPr>
        <w:t>。</w:t>
      </w:r>
    </w:p>
    <w:p w14:paraId="2CC63F81">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采购人及采购代理机构拒绝接受通过</w:t>
      </w:r>
      <w:r>
        <w:rPr>
          <w:rFonts w:hint="eastAsia" w:ascii="宋体" w:hAnsi="宋体" w:eastAsia="宋体" w:cs="Times New Roman"/>
          <w:color w:val="auto"/>
          <w:sz w:val="24"/>
          <w:szCs w:val="22"/>
          <w:highlight w:val="none"/>
        </w:rPr>
        <w:t>“苏采云”系统</w:t>
      </w:r>
      <w:r>
        <w:rPr>
          <w:rFonts w:hint="default" w:ascii="宋体" w:hAnsi="宋体" w:eastAsia="宋体" w:cs="Times New Roman"/>
          <w:color w:val="auto"/>
          <w:sz w:val="24"/>
          <w:szCs w:val="22"/>
          <w:highlight w:val="none"/>
        </w:rPr>
        <w:t>以外任何形式提交的投标文件</w:t>
      </w:r>
      <w:r>
        <w:rPr>
          <w:rFonts w:hint="eastAsia" w:ascii="宋体" w:hAnsi="宋体" w:eastAsia="宋体" w:cs="Times New Roman"/>
          <w:color w:val="auto"/>
          <w:sz w:val="24"/>
          <w:szCs w:val="22"/>
          <w:highlight w:val="none"/>
        </w:rPr>
        <w:t>。</w:t>
      </w:r>
    </w:p>
    <w:p w14:paraId="28E2B339">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268" w:name="_Toc195842901"/>
      <w:bookmarkStart w:id="269" w:name="_Toc520356161"/>
      <w:bookmarkStart w:id="270" w:name="_Toc127151737"/>
      <w:bookmarkStart w:id="271" w:name="_Toc164608805"/>
      <w:bookmarkStart w:id="272" w:name="_Toc226337232"/>
      <w:bookmarkStart w:id="273" w:name="_Toc305158878"/>
      <w:bookmarkStart w:id="274" w:name="_Toc150774636"/>
      <w:bookmarkStart w:id="275" w:name="_Toc164608650"/>
      <w:bookmarkStart w:id="276" w:name="_Toc127161450"/>
      <w:bookmarkStart w:id="277" w:name="_Toc164229377"/>
      <w:bookmarkStart w:id="278" w:name="_Toc151193924"/>
      <w:bookmarkStart w:id="279" w:name="_Toc151193778"/>
      <w:bookmarkStart w:id="280" w:name="_Toc150509287"/>
      <w:bookmarkStart w:id="281" w:name="_Toc264969226"/>
      <w:bookmarkStart w:id="282" w:name="_Toc226309780"/>
      <w:bookmarkStart w:id="283" w:name="_Toc164351630"/>
      <w:bookmarkStart w:id="284" w:name="_Toc226965726"/>
      <w:bookmarkStart w:id="285" w:name="_Toc127151536"/>
      <w:bookmarkStart w:id="286" w:name="_Toc151190163"/>
      <w:bookmarkStart w:id="287" w:name="_Toc149720829"/>
      <w:bookmarkStart w:id="288" w:name="_Toc151193850"/>
      <w:bookmarkStart w:id="289" w:name="_Toc151193706"/>
      <w:bookmarkStart w:id="290" w:name="_Toc226965809"/>
      <w:bookmarkStart w:id="291" w:name="_Toc265228374"/>
      <w:bookmarkStart w:id="292" w:name="_Toc305158804"/>
      <w:bookmarkStart w:id="293" w:name="_Toc150774741"/>
      <w:bookmarkStart w:id="294" w:name="_Toc142311038"/>
      <w:bookmarkStart w:id="295" w:name="_Toc164229231"/>
      <w:bookmarkStart w:id="296" w:name="_Toc150480774"/>
      <w:bookmarkStart w:id="297" w:name="_Toc151193634"/>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截止</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Pr>
          <w:rFonts w:hint="default" w:ascii="宋体" w:hAnsi="宋体" w:eastAsia="宋体" w:cs="Times New Roman"/>
          <w:color w:val="auto"/>
          <w:sz w:val="24"/>
          <w:szCs w:val="22"/>
          <w:highlight w:val="none"/>
        </w:rPr>
        <w:t>时间</w:t>
      </w:r>
    </w:p>
    <w:p w14:paraId="461A37FF">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投标人应在招标文件要求提交投标文件截止时间前，将电子投标文件提交至</w:t>
      </w:r>
      <w:r>
        <w:rPr>
          <w:rFonts w:hint="eastAsia" w:ascii="宋体" w:hAnsi="宋体" w:eastAsia="宋体" w:cs="Times New Roman"/>
          <w:color w:val="auto"/>
          <w:sz w:val="24"/>
          <w:szCs w:val="22"/>
          <w:highlight w:val="none"/>
        </w:rPr>
        <w:t>“苏采云”系统。</w:t>
      </w:r>
    </w:p>
    <w:p w14:paraId="4AAE3D1E">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298" w:name="_Toc164608806"/>
      <w:bookmarkStart w:id="299" w:name="_Toc150509288"/>
      <w:bookmarkStart w:id="300" w:name="_Toc264969227"/>
      <w:bookmarkStart w:id="301" w:name="_Toc149720830"/>
      <w:bookmarkStart w:id="302" w:name="_Toc164351631"/>
      <w:bookmarkStart w:id="303" w:name="_Toc150774637"/>
      <w:bookmarkStart w:id="304" w:name="_Toc127151738"/>
      <w:bookmarkStart w:id="305" w:name="_Toc151190164"/>
      <w:bookmarkStart w:id="306" w:name="_Toc265228375"/>
      <w:bookmarkStart w:id="307" w:name="_Toc305158805"/>
      <w:bookmarkStart w:id="308" w:name="_Toc164229378"/>
      <w:bookmarkStart w:id="309" w:name="_Toc164229232"/>
      <w:bookmarkStart w:id="310" w:name="_Toc164608651"/>
      <w:bookmarkStart w:id="311" w:name="_Toc226309781"/>
      <w:bookmarkStart w:id="312" w:name="_Toc226337233"/>
      <w:bookmarkStart w:id="313" w:name="_Toc305158879"/>
      <w:bookmarkStart w:id="314" w:name="_Toc127161451"/>
      <w:bookmarkStart w:id="315" w:name="_Toc226965810"/>
      <w:bookmarkStart w:id="316" w:name="_Toc226965727"/>
      <w:bookmarkStart w:id="317" w:name="_Toc150480775"/>
      <w:bookmarkStart w:id="318" w:name="_Toc142311039"/>
      <w:bookmarkStart w:id="319" w:name="_Toc151193851"/>
      <w:bookmarkStart w:id="320" w:name="_Toc151193707"/>
      <w:bookmarkStart w:id="321" w:name="_Toc151193779"/>
      <w:bookmarkStart w:id="322" w:name="_Toc520356162"/>
      <w:bookmarkStart w:id="323" w:name="_Toc150774742"/>
      <w:bookmarkStart w:id="324" w:name="_Toc195842902"/>
      <w:bookmarkStart w:id="325" w:name="_Toc151193635"/>
      <w:bookmarkStart w:id="326" w:name="_Toc151193925"/>
      <w:bookmarkStart w:id="327" w:name="_Toc127151537"/>
      <w:r>
        <w:rPr>
          <w:rFonts w:hint="eastAsia" w:ascii="宋体" w:hAnsi="宋体" w:eastAsia="宋体" w:cs="Times New Roman"/>
          <w:color w:val="auto"/>
          <w:sz w:val="24"/>
          <w:szCs w:val="22"/>
          <w:highlight w:val="none"/>
        </w:rPr>
        <w:t>投标</w:t>
      </w:r>
      <w:r>
        <w:rPr>
          <w:rFonts w:hint="default" w:ascii="宋体" w:hAnsi="宋体" w:eastAsia="宋体" w:cs="Times New Roman"/>
          <w:color w:val="auto"/>
          <w:sz w:val="24"/>
          <w:szCs w:val="22"/>
          <w:highlight w:val="none"/>
        </w:rPr>
        <w:t>文件的修改与撤回</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008E442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投标截止时间前，投标人可以通过</w:t>
      </w:r>
      <w:r>
        <w:rPr>
          <w:rFonts w:hint="eastAsia" w:ascii="宋体" w:hAnsi="宋体" w:eastAsia="宋体" w:cs="Times New Roman"/>
          <w:color w:val="auto"/>
          <w:sz w:val="24"/>
          <w:szCs w:val="22"/>
          <w:highlight w:val="none"/>
        </w:rPr>
        <w:t>“苏采云”系统</w:t>
      </w:r>
      <w:r>
        <w:rPr>
          <w:rFonts w:hint="default" w:ascii="宋体" w:hAnsi="宋体" w:eastAsia="宋体" w:cs="Times New Roman"/>
          <w:color w:val="auto"/>
          <w:sz w:val="24"/>
          <w:szCs w:val="22"/>
          <w:highlight w:val="none"/>
        </w:rPr>
        <w:t>对所提交的投标文件进行补充、修改或者撤回</w:t>
      </w:r>
      <w:r>
        <w:rPr>
          <w:rFonts w:hint="eastAsia" w:ascii="宋体" w:hAnsi="宋体" w:eastAsia="宋体" w:cs="Times New Roman"/>
          <w:color w:val="auto"/>
          <w:sz w:val="24"/>
          <w:szCs w:val="22"/>
          <w:highlight w:val="none"/>
        </w:rPr>
        <w:t>。具体操作方法见《操作手册》。</w:t>
      </w:r>
    </w:p>
    <w:p w14:paraId="001290A6">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投标人对投标文件的补充、修改的内容应当按照招标文件要求签署、加盖公章，作为投标文件的组成部分</w:t>
      </w:r>
      <w:r>
        <w:rPr>
          <w:rFonts w:hint="eastAsia" w:ascii="宋体" w:hAnsi="宋体" w:eastAsia="宋体" w:cs="Times New Roman"/>
          <w:color w:val="auto"/>
          <w:sz w:val="24"/>
          <w:szCs w:val="22"/>
          <w:highlight w:val="none"/>
        </w:rPr>
        <w:t>。</w:t>
      </w:r>
    </w:p>
    <w:p w14:paraId="575CB116">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bCs/>
          <w:color w:val="auto"/>
          <w:sz w:val="24"/>
          <w:szCs w:val="22"/>
          <w:highlight w:val="none"/>
        </w:rPr>
        <w:t>在投标截止时间至招标文件中规定的投标有效期满之间的这段时间内，投标人不得撤回其投标。</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50408E37">
      <w:pPr>
        <w:spacing w:line="360" w:lineRule="auto"/>
        <w:ind w:left="267" w:hanging="267"/>
        <w:jc w:val="center"/>
        <w:rPr>
          <w:rFonts w:hint="eastAsia" w:ascii="宋体" w:hAnsi="宋体" w:eastAsia="宋体" w:cs="Times New Roman"/>
          <w:b/>
          <w:color w:val="auto"/>
          <w:kern w:val="0"/>
          <w:sz w:val="28"/>
          <w:szCs w:val="28"/>
          <w:highlight w:val="none"/>
        </w:rPr>
      </w:pPr>
      <w:bookmarkStart w:id="328" w:name="_Toc150480776"/>
      <w:bookmarkStart w:id="329" w:name="_Toc226337234"/>
      <w:bookmarkStart w:id="330" w:name="_Toc195842903"/>
      <w:bookmarkStart w:id="331" w:name="_Toc151193926"/>
      <w:bookmarkStart w:id="332" w:name="_Toc150774638"/>
      <w:bookmarkStart w:id="333" w:name="_Toc226965811"/>
      <w:bookmarkStart w:id="334" w:name="_Toc520356163"/>
      <w:bookmarkStart w:id="335" w:name="_Toc151190165"/>
      <w:bookmarkStart w:id="336" w:name="_Toc150509289"/>
      <w:bookmarkStart w:id="337" w:name="_Toc226309782"/>
      <w:bookmarkStart w:id="338" w:name="_Toc265228376"/>
      <w:bookmarkStart w:id="339" w:name="_Toc150774743"/>
      <w:bookmarkStart w:id="340" w:name="_Toc151193780"/>
      <w:bookmarkStart w:id="341" w:name="_Toc151193636"/>
      <w:bookmarkStart w:id="342" w:name="_Toc264969228"/>
      <w:bookmarkStart w:id="343" w:name="_Toc142311040"/>
      <w:bookmarkStart w:id="344" w:name="_Toc151193852"/>
      <w:bookmarkStart w:id="345" w:name="_Toc226965728"/>
      <w:bookmarkStart w:id="346" w:name="_Toc151193708"/>
      <w:bookmarkStart w:id="347" w:name="_Toc305158880"/>
      <w:bookmarkStart w:id="348" w:name="_Toc305158806"/>
      <w:bookmarkStart w:id="349" w:name="_Toc127151538"/>
      <w:r>
        <w:rPr>
          <w:rFonts w:hint="default" w:ascii="宋体" w:hAnsi="宋体" w:eastAsia="宋体" w:cs="Times New Roman"/>
          <w:b/>
          <w:color w:val="auto"/>
          <w:kern w:val="0"/>
          <w:sz w:val="28"/>
          <w:szCs w:val="28"/>
          <w:highlight w:val="none"/>
        </w:rPr>
        <w:t>五</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cs="Times New Roman"/>
          <w:b/>
          <w:color w:val="auto"/>
          <w:kern w:val="0"/>
          <w:sz w:val="28"/>
          <w:szCs w:val="28"/>
          <w:highlight w:val="none"/>
        </w:rPr>
        <w:t>、</w:t>
      </w:r>
      <w:r>
        <w:rPr>
          <w:rFonts w:hint="default" w:ascii="宋体" w:hAnsi="宋体" w:eastAsia="宋体" w:cs="Times New Roman"/>
          <w:b/>
          <w:color w:val="auto"/>
          <w:kern w:val="0"/>
          <w:sz w:val="28"/>
          <w:szCs w:val="28"/>
          <w:highlight w:val="none"/>
        </w:rPr>
        <w:t>开标、资格审查及评标</w:t>
      </w:r>
    </w:p>
    <w:p w14:paraId="5F120064">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开标</w:t>
      </w:r>
    </w:p>
    <w:p w14:paraId="37F4643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采购人或采购代理机构将按招标文件的规定，在投标截止时间的同一时间和招标文件预先确定的地点组织开标</w:t>
      </w:r>
      <w:r>
        <w:rPr>
          <w:rFonts w:hint="eastAsia" w:ascii="宋体" w:hAnsi="宋体" w:eastAsia="宋体" w:cs="Times New Roman"/>
          <w:color w:val="auto"/>
          <w:sz w:val="24"/>
          <w:szCs w:val="22"/>
          <w:highlight w:val="none"/>
        </w:rPr>
        <w:t>。</w:t>
      </w:r>
    </w:p>
    <w:p w14:paraId="2D7A3391">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本项目开标采用不见面招投标模式</w:t>
      </w:r>
      <w:r>
        <w:rPr>
          <w:rFonts w:hint="eastAsia" w:ascii="宋体" w:hAnsi="宋体" w:eastAsia="宋体" w:cs="Times New Roman"/>
          <w:color w:val="auto"/>
          <w:sz w:val="24"/>
          <w:szCs w:val="22"/>
          <w:highlight w:val="none"/>
        </w:rPr>
        <w:t>，</w:t>
      </w:r>
      <w:r>
        <w:rPr>
          <w:rFonts w:hint="default" w:ascii="宋体" w:hAnsi="宋体" w:eastAsia="宋体" w:cs="Times New Roman"/>
          <w:color w:val="auto"/>
          <w:sz w:val="24"/>
          <w:szCs w:val="22"/>
          <w:highlight w:val="none"/>
        </w:rPr>
        <w:t>使用</w:t>
      </w:r>
      <w:r>
        <w:rPr>
          <w:rFonts w:hint="eastAsia" w:ascii="宋体" w:hAnsi="宋体" w:eastAsia="宋体" w:cs="Times New Roman"/>
          <w:color w:val="auto"/>
          <w:sz w:val="24"/>
          <w:szCs w:val="22"/>
          <w:highlight w:val="none"/>
        </w:rPr>
        <w:t>“苏采云”系统在线进行开标</w:t>
      </w:r>
      <w:r>
        <w:rPr>
          <w:rFonts w:hint="default" w:ascii="宋体" w:hAnsi="宋体" w:eastAsia="宋体" w:cs="Times New Roman"/>
          <w:color w:val="auto"/>
          <w:sz w:val="24"/>
          <w:szCs w:val="22"/>
          <w:highlight w:val="none"/>
        </w:rPr>
        <w:t>。投标人应在规定的时间内对投标文件进行解密，因非系统原因导致的解密失败，视为</w:t>
      </w:r>
      <w:r>
        <w:rPr>
          <w:rFonts w:hint="default" w:ascii="宋体" w:hAnsi="宋体" w:eastAsia="宋体" w:cs="Times New Roman"/>
          <w:b/>
          <w:color w:val="auto"/>
          <w:sz w:val="24"/>
          <w:szCs w:val="22"/>
          <w:highlight w:val="none"/>
        </w:rPr>
        <w:t>投标无效</w:t>
      </w:r>
      <w:r>
        <w:rPr>
          <w:rFonts w:hint="eastAsia" w:ascii="宋体" w:hAnsi="宋体" w:eastAsia="宋体" w:cs="Times New Roman"/>
          <w:color w:val="auto"/>
          <w:sz w:val="24"/>
          <w:szCs w:val="22"/>
          <w:highlight w:val="none"/>
        </w:rPr>
        <w:t>。</w:t>
      </w:r>
    </w:p>
    <w:p w14:paraId="2DD32D2F">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开标过程将使用</w:t>
      </w:r>
      <w:r>
        <w:rPr>
          <w:rFonts w:hint="eastAsia" w:ascii="宋体" w:hAnsi="宋体" w:eastAsia="宋体" w:cs="Times New Roman"/>
          <w:color w:val="auto"/>
          <w:sz w:val="24"/>
          <w:szCs w:val="22"/>
          <w:highlight w:val="none"/>
        </w:rPr>
        <w:t>“苏采云”系统公</w:t>
      </w:r>
      <w:r>
        <w:rPr>
          <w:rFonts w:hint="default" w:ascii="宋体" w:hAnsi="宋体" w:eastAsia="宋体" w:cs="Times New Roman"/>
          <w:color w:val="auto"/>
          <w:sz w:val="24"/>
          <w:szCs w:val="22"/>
          <w:highlight w:val="none"/>
        </w:rPr>
        <w:t>布投标人名称、投标价格和招标文件规定的需要宣布的其他内容并进行记录，并由参加开标的各投标人代表</w:t>
      </w:r>
      <w:r>
        <w:rPr>
          <w:rFonts w:hint="eastAsia" w:ascii="宋体" w:hAnsi="宋体" w:eastAsia="宋体" w:cs="Times New Roman"/>
          <w:color w:val="auto"/>
          <w:sz w:val="24"/>
          <w:szCs w:val="22"/>
          <w:highlight w:val="none"/>
        </w:rPr>
        <w:t>在规定时间内</w:t>
      </w:r>
      <w:r>
        <w:rPr>
          <w:rFonts w:hint="default" w:ascii="宋体" w:hAnsi="宋体" w:eastAsia="宋体" w:cs="Times New Roman"/>
          <w:color w:val="auto"/>
          <w:sz w:val="24"/>
          <w:szCs w:val="22"/>
          <w:highlight w:val="none"/>
        </w:rPr>
        <w:t>确认</w:t>
      </w:r>
      <w:r>
        <w:rPr>
          <w:rFonts w:hint="eastAsia" w:ascii="宋体" w:hAnsi="宋体" w:eastAsia="宋体" w:cs="Times New Roman"/>
          <w:color w:val="auto"/>
          <w:sz w:val="24"/>
          <w:szCs w:val="22"/>
          <w:highlight w:val="none"/>
        </w:rPr>
        <w:t>。投标人超过规定时间未确认但是未提出疑义的，系统将视同已确认。</w:t>
      </w:r>
    </w:p>
    <w:p w14:paraId="705435A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投标人如果对开标过程和开标记录有疑义，应当根据《操作手册》规定提出，如 “苏采云”系统中《开标记录表》宣布后5分钟内未提出的，视同认可开标结果。</w:t>
      </w:r>
    </w:p>
    <w:p w14:paraId="522A5D63">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本项目（每标段）</w:t>
      </w:r>
      <w:r>
        <w:rPr>
          <w:rFonts w:hint="default" w:ascii="宋体" w:hAnsi="宋体" w:eastAsia="宋体" w:cs="Times New Roman"/>
          <w:color w:val="auto"/>
          <w:sz w:val="24"/>
          <w:szCs w:val="22"/>
          <w:highlight w:val="none"/>
        </w:rPr>
        <w:t>投标人不足3家的，不予开标</w:t>
      </w:r>
      <w:r>
        <w:rPr>
          <w:rFonts w:hint="eastAsia" w:ascii="宋体" w:hAnsi="宋体" w:eastAsia="宋体" w:cs="Times New Roman"/>
          <w:color w:val="auto"/>
          <w:sz w:val="24"/>
          <w:szCs w:val="22"/>
          <w:highlight w:val="none"/>
        </w:rPr>
        <w:t>。</w:t>
      </w:r>
    </w:p>
    <w:p w14:paraId="10DF767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投标人须在开标前使用“验证CA”功能验证本地计算机的控件环境是否正常，并且在开标</w:t>
      </w:r>
      <w:r>
        <w:rPr>
          <w:rFonts w:hint="eastAsia" w:ascii="宋体" w:hAnsi="宋体" w:eastAsia="宋体" w:cs="Times New Roman"/>
          <w:color w:val="auto"/>
          <w:sz w:val="24"/>
          <w:szCs w:val="22"/>
          <w:highlight w:val="none"/>
        </w:rPr>
        <w:t>评审</w:t>
      </w:r>
      <w:r>
        <w:rPr>
          <w:rFonts w:hint="default" w:ascii="宋体" w:hAnsi="宋体" w:eastAsia="宋体" w:cs="Times New Roman"/>
          <w:color w:val="auto"/>
          <w:sz w:val="24"/>
          <w:szCs w:val="22"/>
          <w:highlight w:val="none"/>
        </w:rPr>
        <w:t>过程中不可随意更换</w:t>
      </w:r>
      <w:r>
        <w:rPr>
          <w:rFonts w:hint="eastAsia" w:ascii="宋体" w:hAnsi="宋体" w:eastAsia="宋体" w:cs="Times New Roman"/>
          <w:color w:val="auto"/>
          <w:sz w:val="24"/>
          <w:szCs w:val="22"/>
          <w:highlight w:val="none"/>
        </w:rPr>
        <w:t>计算机</w:t>
      </w:r>
      <w:r>
        <w:rPr>
          <w:rFonts w:hint="default" w:ascii="宋体" w:hAnsi="宋体" w:eastAsia="宋体" w:cs="Times New Roman"/>
          <w:color w:val="auto"/>
          <w:sz w:val="24"/>
          <w:szCs w:val="22"/>
          <w:highlight w:val="none"/>
        </w:rPr>
        <w:t>，必须使用验证成功的计算机进行操作，否则造成相应后果由投标</w:t>
      </w:r>
      <w:r>
        <w:rPr>
          <w:rFonts w:hint="eastAsia" w:ascii="宋体" w:hAnsi="宋体" w:eastAsia="宋体" w:cs="Times New Roman"/>
          <w:color w:val="auto"/>
          <w:sz w:val="24"/>
          <w:szCs w:val="22"/>
          <w:highlight w:val="none"/>
        </w:rPr>
        <w:t>人</w:t>
      </w:r>
      <w:r>
        <w:rPr>
          <w:rFonts w:hint="default" w:ascii="宋体" w:hAnsi="宋体" w:eastAsia="宋体" w:cs="Times New Roman"/>
          <w:color w:val="auto"/>
          <w:sz w:val="24"/>
          <w:szCs w:val="22"/>
          <w:highlight w:val="none"/>
        </w:rPr>
        <w:t>自行承担。本地计算机</w:t>
      </w:r>
      <w:r>
        <w:rPr>
          <w:rFonts w:hint="eastAsia" w:ascii="宋体" w:hAnsi="宋体" w:eastAsia="宋体" w:cs="Times New Roman"/>
          <w:color w:val="auto"/>
          <w:sz w:val="24"/>
          <w:szCs w:val="22"/>
          <w:highlight w:val="none"/>
        </w:rPr>
        <w:t>要求安装摄像头、麦克风和音箱，保持网络通畅。</w:t>
      </w:r>
    </w:p>
    <w:p w14:paraId="74C983C1">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因本项目</w:t>
      </w:r>
      <w:r>
        <w:rPr>
          <w:rFonts w:hint="default" w:ascii="宋体" w:hAnsi="宋体" w:eastAsia="宋体" w:cs="Times New Roman"/>
          <w:color w:val="auto"/>
          <w:sz w:val="24"/>
          <w:szCs w:val="22"/>
          <w:highlight w:val="none"/>
        </w:rPr>
        <w:t>采用不见面交易的</w:t>
      </w:r>
      <w:r>
        <w:rPr>
          <w:rFonts w:hint="eastAsia" w:ascii="宋体" w:hAnsi="宋体" w:eastAsia="宋体" w:cs="Times New Roman"/>
          <w:color w:val="auto"/>
          <w:sz w:val="24"/>
          <w:szCs w:val="22"/>
          <w:highlight w:val="none"/>
        </w:rPr>
        <w:t>方式</w:t>
      </w:r>
      <w:r>
        <w:rPr>
          <w:rFonts w:hint="default" w:ascii="宋体" w:hAnsi="宋体" w:eastAsia="宋体" w:cs="Times New Roman"/>
          <w:color w:val="auto"/>
          <w:sz w:val="24"/>
          <w:szCs w:val="22"/>
          <w:highlight w:val="none"/>
        </w:rPr>
        <w:t>，在</w:t>
      </w:r>
      <w:r>
        <w:rPr>
          <w:rFonts w:hint="eastAsia" w:ascii="宋体" w:hAnsi="宋体" w:eastAsia="宋体" w:cs="Times New Roman"/>
          <w:color w:val="auto"/>
          <w:sz w:val="24"/>
          <w:szCs w:val="22"/>
          <w:highlight w:val="none"/>
        </w:rPr>
        <w:t>开标、评审</w:t>
      </w:r>
      <w:r>
        <w:rPr>
          <w:rFonts w:hint="default" w:ascii="宋体" w:hAnsi="宋体" w:eastAsia="宋体" w:cs="Times New Roman"/>
          <w:color w:val="auto"/>
          <w:sz w:val="24"/>
          <w:szCs w:val="22"/>
          <w:highlight w:val="none"/>
        </w:rPr>
        <w:t>过程中，</w:t>
      </w:r>
      <w:r>
        <w:rPr>
          <w:rFonts w:hint="eastAsia" w:ascii="宋体" w:hAnsi="宋体" w:eastAsia="宋体" w:cs="Times New Roman"/>
          <w:color w:val="auto"/>
          <w:sz w:val="24"/>
          <w:szCs w:val="22"/>
          <w:highlight w:val="none"/>
        </w:rPr>
        <w:t>供应商</w:t>
      </w:r>
      <w:r>
        <w:rPr>
          <w:rFonts w:hint="default" w:ascii="宋体" w:hAnsi="宋体" w:eastAsia="宋体" w:cs="Times New Roman"/>
          <w:color w:val="auto"/>
          <w:sz w:val="24"/>
          <w:szCs w:val="22"/>
          <w:highlight w:val="none"/>
        </w:rPr>
        <w:t>需</w:t>
      </w:r>
      <w:r>
        <w:rPr>
          <w:rFonts w:hint="eastAsia" w:ascii="宋体" w:hAnsi="宋体" w:eastAsia="宋体" w:cs="Times New Roman"/>
          <w:color w:val="auto"/>
          <w:sz w:val="24"/>
          <w:szCs w:val="22"/>
          <w:highlight w:val="none"/>
        </w:rPr>
        <w:t>要</w:t>
      </w:r>
      <w:r>
        <w:rPr>
          <w:rFonts w:hint="default" w:ascii="宋体" w:hAnsi="宋体" w:eastAsia="宋体" w:cs="Times New Roman"/>
          <w:color w:val="auto"/>
          <w:sz w:val="24"/>
          <w:szCs w:val="22"/>
          <w:highlight w:val="none"/>
        </w:rPr>
        <w:t>保持操作计算机前有相关责任人</w:t>
      </w:r>
      <w:r>
        <w:rPr>
          <w:rFonts w:hint="eastAsia" w:ascii="宋体" w:hAnsi="宋体" w:eastAsia="宋体" w:cs="Times New Roman"/>
          <w:color w:val="auto"/>
          <w:sz w:val="24"/>
          <w:szCs w:val="22"/>
          <w:highlight w:val="none"/>
        </w:rPr>
        <w:t>值守，及时对于系统或者评委会发出的指令和要求进行响应操作。如果因为无人值守造成不能及时回应系统或者评委会指令和要求从而导致影响开标、评审结果的，责任由投标人承担。</w:t>
      </w:r>
    </w:p>
    <w:p w14:paraId="55473C1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如果在</w:t>
      </w:r>
      <w:r>
        <w:rPr>
          <w:rFonts w:hint="default" w:ascii="宋体" w:hAnsi="宋体" w:eastAsia="宋体" w:cs="Times New Roman"/>
          <w:color w:val="auto"/>
          <w:sz w:val="24"/>
          <w:szCs w:val="22"/>
          <w:highlight w:val="none"/>
        </w:rPr>
        <w:t>采购</w:t>
      </w:r>
      <w:r>
        <w:rPr>
          <w:rFonts w:hint="eastAsia" w:ascii="宋体" w:hAnsi="宋体" w:eastAsia="宋体" w:cs="Times New Roman"/>
          <w:color w:val="auto"/>
          <w:sz w:val="24"/>
          <w:szCs w:val="22"/>
          <w:highlight w:val="none"/>
        </w:rPr>
        <w:t>活动</w:t>
      </w:r>
      <w:r>
        <w:rPr>
          <w:rFonts w:hint="default" w:ascii="宋体" w:hAnsi="宋体" w:eastAsia="宋体" w:cs="Times New Roman"/>
          <w:color w:val="auto"/>
          <w:sz w:val="24"/>
          <w:szCs w:val="22"/>
          <w:highlight w:val="none"/>
        </w:rPr>
        <w:t>过程中出现以下情形，导致</w:t>
      </w:r>
      <w:r>
        <w:rPr>
          <w:rFonts w:hint="eastAsia" w:ascii="宋体" w:hAnsi="宋体" w:eastAsia="宋体" w:cs="Times New Roman"/>
          <w:color w:val="auto"/>
          <w:sz w:val="24"/>
          <w:szCs w:val="22"/>
          <w:highlight w:val="none"/>
        </w:rPr>
        <w:t>““苏采云”系统”系统</w:t>
      </w:r>
      <w:r>
        <w:rPr>
          <w:rFonts w:hint="default" w:ascii="宋体" w:hAnsi="宋体" w:eastAsia="宋体" w:cs="Times New Roman"/>
          <w:color w:val="auto"/>
          <w:sz w:val="24"/>
          <w:szCs w:val="22"/>
          <w:highlight w:val="none"/>
        </w:rPr>
        <w:t>无法正常运行，或者无法保证</w:t>
      </w:r>
      <w:r>
        <w:rPr>
          <w:rFonts w:hint="eastAsia" w:ascii="宋体" w:hAnsi="宋体" w:eastAsia="宋体" w:cs="Times New Roman"/>
          <w:color w:val="auto"/>
          <w:sz w:val="24"/>
          <w:szCs w:val="22"/>
          <w:highlight w:val="none"/>
        </w:rPr>
        <w:t>本项目采购活动</w:t>
      </w:r>
      <w:r>
        <w:rPr>
          <w:rFonts w:hint="default" w:ascii="宋体" w:hAnsi="宋体" w:eastAsia="宋体" w:cs="Times New Roman"/>
          <w:color w:val="auto"/>
          <w:sz w:val="24"/>
          <w:szCs w:val="22"/>
          <w:highlight w:val="none"/>
        </w:rPr>
        <w:t>的公平、公正和安全时，</w:t>
      </w:r>
      <w:r>
        <w:rPr>
          <w:rFonts w:hint="eastAsia" w:ascii="宋体" w:hAnsi="宋体" w:eastAsia="宋体" w:cs="Times New Roman"/>
          <w:color w:val="auto"/>
          <w:sz w:val="24"/>
          <w:szCs w:val="22"/>
          <w:highlight w:val="none"/>
        </w:rPr>
        <w:t>代理机构</w:t>
      </w:r>
      <w:r>
        <w:rPr>
          <w:rFonts w:hint="default" w:ascii="宋体" w:hAnsi="宋体" w:eastAsia="宋体" w:cs="Times New Roman"/>
          <w:color w:val="auto"/>
          <w:sz w:val="24"/>
          <w:szCs w:val="22"/>
          <w:highlight w:val="none"/>
        </w:rPr>
        <w:t>可</w:t>
      </w:r>
      <w:r>
        <w:rPr>
          <w:rFonts w:hint="eastAsia" w:ascii="宋体" w:hAnsi="宋体" w:eastAsia="宋体" w:cs="Times New Roman"/>
          <w:color w:val="auto"/>
          <w:sz w:val="24"/>
          <w:szCs w:val="22"/>
          <w:highlight w:val="none"/>
        </w:rPr>
        <w:t>以延缓或者暂停采购活动，情况严重的可以终止采购</w:t>
      </w:r>
      <w:r>
        <w:rPr>
          <w:rFonts w:hint="default" w:ascii="宋体" w:hAnsi="宋体" w:eastAsia="宋体" w:cs="Times New Roman"/>
          <w:color w:val="auto"/>
          <w:sz w:val="24"/>
          <w:szCs w:val="22"/>
          <w:highlight w:val="none"/>
        </w:rPr>
        <w:t>活动</w:t>
      </w:r>
      <w:r>
        <w:rPr>
          <w:rFonts w:hint="eastAsia" w:ascii="宋体" w:hAnsi="宋体" w:eastAsia="宋体" w:cs="Times New Roman"/>
          <w:color w:val="auto"/>
          <w:sz w:val="24"/>
          <w:szCs w:val="22"/>
          <w:highlight w:val="none"/>
        </w:rPr>
        <w:t>：1)</w:t>
      </w:r>
      <w:r>
        <w:rPr>
          <w:rFonts w:hint="default" w:ascii="宋体" w:hAnsi="宋体" w:eastAsia="宋体" w:cs="Times New Roman"/>
          <w:color w:val="auto"/>
          <w:sz w:val="24"/>
          <w:szCs w:val="22"/>
          <w:highlight w:val="none"/>
        </w:rPr>
        <w:t>平台</w:t>
      </w:r>
      <w:r>
        <w:rPr>
          <w:rFonts w:hint="eastAsia" w:ascii="宋体" w:hAnsi="宋体" w:eastAsia="宋体" w:cs="Times New Roman"/>
          <w:color w:val="auto"/>
          <w:sz w:val="24"/>
          <w:szCs w:val="22"/>
          <w:highlight w:val="none"/>
        </w:rPr>
        <w:t>系统</w:t>
      </w:r>
      <w:r>
        <w:rPr>
          <w:rFonts w:hint="default" w:ascii="宋体" w:hAnsi="宋体" w:eastAsia="宋体" w:cs="Times New Roman"/>
          <w:color w:val="auto"/>
          <w:sz w:val="24"/>
          <w:szCs w:val="22"/>
          <w:highlight w:val="none"/>
        </w:rPr>
        <w:t>发生故障而无法登录访问的</w:t>
      </w:r>
      <w:r>
        <w:rPr>
          <w:rFonts w:hint="eastAsia" w:ascii="宋体" w:hAnsi="宋体" w:eastAsia="宋体" w:cs="Times New Roman"/>
          <w:color w:val="auto"/>
          <w:sz w:val="24"/>
          <w:szCs w:val="22"/>
          <w:highlight w:val="none"/>
        </w:rPr>
        <w:t>；2)</w:t>
      </w:r>
      <w:r>
        <w:rPr>
          <w:rFonts w:hint="default" w:ascii="宋体" w:hAnsi="宋体" w:eastAsia="宋体" w:cs="Times New Roman"/>
          <w:color w:val="auto"/>
          <w:sz w:val="24"/>
          <w:szCs w:val="22"/>
          <w:highlight w:val="none"/>
        </w:rPr>
        <w:t>平台</w:t>
      </w:r>
      <w:r>
        <w:rPr>
          <w:rFonts w:hint="eastAsia" w:ascii="宋体" w:hAnsi="宋体" w:eastAsia="宋体" w:cs="Times New Roman"/>
          <w:color w:val="auto"/>
          <w:sz w:val="24"/>
          <w:szCs w:val="22"/>
          <w:highlight w:val="none"/>
        </w:rPr>
        <w:t>系统</w:t>
      </w:r>
      <w:r>
        <w:rPr>
          <w:rFonts w:hint="default" w:ascii="宋体" w:hAnsi="宋体" w:eastAsia="宋体" w:cs="Times New Roman"/>
          <w:color w:val="auto"/>
          <w:sz w:val="24"/>
          <w:szCs w:val="22"/>
          <w:highlight w:val="none"/>
        </w:rPr>
        <w:t>应用或数据库出现错误，不能进行正常操作的；</w:t>
      </w:r>
      <w:r>
        <w:rPr>
          <w:rFonts w:hint="eastAsia" w:ascii="宋体" w:hAnsi="宋体" w:eastAsia="宋体" w:cs="Times New Roman"/>
          <w:color w:val="auto"/>
          <w:sz w:val="24"/>
          <w:szCs w:val="22"/>
          <w:highlight w:val="none"/>
        </w:rPr>
        <w:t>3)</w:t>
      </w:r>
      <w:r>
        <w:rPr>
          <w:rFonts w:hint="default" w:ascii="宋体" w:hAnsi="宋体" w:eastAsia="宋体" w:cs="Times New Roman"/>
          <w:color w:val="auto"/>
          <w:sz w:val="24"/>
          <w:szCs w:val="22"/>
          <w:highlight w:val="none"/>
        </w:rPr>
        <w:t>平台</w:t>
      </w:r>
      <w:r>
        <w:rPr>
          <w:rFonts w:hint="eastAsia" w:ascii="宋体" w:hAnsi="宋体" w:eastAsia="宋体" w:cs="Times New Roman"/>
          <w:color w:val="auto"/>
          <w:sz w:val="24"/>
          <w:szCs w:val="22"/>
          <w:highlight w:val="none"/>
        </w:rPr>
        <w:t>系统</w:t>
      </w:r>
      <w:r>
        <w:rPr>
          <w:rFonts w:hint="default" w:ascii="宋体" w:hAnsi="宋体" w:eastAsia="宋体" w:cs="Times New Roman"/>
          <w:color w:val="auto"/>
          <w:sz w:val="24"/>
          <w:szCs w:val="22"/>
          <w:highlight w:val="none"/>
        </w:rPr>
        <w:t>发现严重安全漏洞，有潜在泄密危险的；</w:t>
      </w:r>
      <w:r>
        <w:rPr>
          <w:rFonts w:hint="eastAsia" w:ascii="宋体" w:hAnsi="宋体" w:eastAsia="宋体" w:cs="Times New Roman"/>
          <w:color w:val="auto"/>
          <w:sz w:val="24"/>
          <w:szCs w:val="22"/>
          <w:highlight w:val="none"/>
        </w:rPr>
        <w:t>4)</w:t>
      </w:r>
      <w:r>
        <w:rPr>
          <w:rFonts w:hint="default" w:ascii="宋体" w:hAnsi="宋体" w:eastAsia="宋体" w:cs="Times New Roman"/>
          <w:color w:val="auto"/>
          <w:sz w:val="24"/>
          <w:szCs w:val="22"/>
          <w:highlight w:val="none"/>
        </w:rPr>
        <w:t>病毒发作导致平台</w:t>
      </w:r>
      <w:r>
        <w:rPr>
          <w:rFonts w:hint="eastAsia" w:ascii="宋体" w:hAnsi="宋体" w:eastAsia="宋体" w:cs="Times New Roman"/>
          <w:color w:val="auto"/>
          <w:sz w:val="24"/>
          <w:szCs w:val="22"/>
          <w:highlight w:val="none"/>
        </w:rPr>
        <w:t>系统</w:t>
      </w:r>
      <w:r>
        <w:rPr>
          <w:rFonts w:hint="default" w:ascii="宋体" w:hAnsi="宋体" w:eastAsia="宋体" w:cs="Times New Roman"/>
          <w:color w:val="auto"/>
          <w:sz w:val="24"/>
          <w:szCs w:val="22"/>
          <w:highlight w:val="none"/>
        </w:rPr>
        <w:t>不能进行正常操作的；</w:t>
      </w:r>
      <w:r>
        <w:rPr>
          <w:rFonts w:hint="eastAsia" w:ascii="宋体" w:hAnsi="宋体" w:eastAsia="宋体" w:cs="Times New Roman"/>
          <w:color w:val="auto"/>
          <w:sz w:val="24"/>
          <w:szCs w:val="22"/>
          <w:highlight w:val="none"/>
        </w:rPr>
        <w:t>5)</w:t>
      </w:r>
      <w:r>
        <w:rPr>
          <w:rFonts w:hint="default" w:ascii="宋体" w:hAnsi="宋体" w:eastAsia="宋体" w:cs="Times New Roman"/>
          <w:color w:val="auto"/>
          <w:sz w:val="24"/>
          <w:szCs w:val="22"/>
          <w:highlight w:val="none"/>
        </w:rPr>
        <w:t>其他无法保证</w:t>
      </w:r>
      <w:r>
        <w:rPr>
          <w:rFonts w:hint="eastAsia" w:ascii="宋体" w:hAnsi="宋体" w:eastAsia="宋体" w:cs="Times New Roman"/>
          <w:color w:val="auto"/>
          <w:sz w:val="24"/>
          <w:szCs w:val="22"/>
          <w:highlight w:val="none"/>
        </w:rPr>
        <w:t>本次采购活动</w:t>
      </w:r>
      <w:r>
        <w:rPr>
          <w:rFonts w:hint="default" w:ascii="宋体" w:hAnsi="宋体" w:eastAsia="宋体" w:cs="Times New Roman"/>
          <w:color w:val="auto"/>
          <w:sz w:val="24"/>
          <w:szCs w:val="22"/>
          <w:highlight w:val="none"/>
        </w:rPr>
        <w:t>的公平、公正和安全的情况。出现</w:t>
      </w:r>
      <w:r>
        <w:rPr>
          <w:rFonts w:hint="eastAsia" w:ascii="宋体" w:hAnsi="宋体" w:eastAsia="宋体" w:cs="Times New Roman"/>
          <w:color w:val="auto"/>
          <w:sz w:val="24"/>
          <w:szCs w:val="22"/>
          <w:highlight w:val="none"/>
        </w:rPr>
        <w:t>上述</w:t>
      </w:r>
      <w:r>
        <w:rPr>
          <w:rFonts w:hint="default" w:ascii="宋体" w:hAnsi="宋体" w:eastAsia="宋体" w:cs="Times New Roman"/>
          <w:color w:val="auto"/>
          <w:sz w:val="24"/>
          <w:szCs w:val="22"/>
          <w:highlight w:val="none"/>
        </w:rPr>
        <w:t>情形，不影响采购</w:t>
      </w:r>
      <w:r>
        <w:rPr>
          <w:rFonts w:hint="eastAsia" w:ascii="宋体" w:hAnsi="宋体" w:eastAsia="宋体" w:cs="Times New Roman"/>
          <w:color w:val="auto"/>
          <w:sz w:val="24"/>
          <w:szCs w:val="22"/>
          <w:highlight w:val="none"/>
        </w:rPr>
        <w:t>活动</w:t>
      </w:r>
      <w:r>
        <w:rPr>
          <w:rFonts w:hint="default" w:ascii="宋体" w:hAnsi="宋体" w:eastAsia="宋体" w:cs="Times New Roman"/>
          <w:color w:val="auto"/>
          <w:sz w:val="24"/>
          <w:szCs w:val="22"/>
          <w:highlight w:val="none"/>
        </w:rPr>
        <w:t>公平、公正性的，</w:t>
      </w:r>
      <w:r>
        <w:rPr>
          <w:rFonts w:hint="eastAsia" w:ascii="宋体" w:hAnsi="宋体" w:eastAsia="宋体" w:cs="Times New Roman"/>
          <w:color w:val="auto"/>
          <w:sz w:val="24"/>
          <w:szCs w:val="22"/>
          <w:highlight w:val="none"/>
        </w:rPr>
        <w:t>代理机构</w:t>
      </w:r>
      <w:r>
        <w:rPr>
          <w:rFonts w:hint="default" w:ascii="宋体" w:hAnsi="宋体" w:eastAsia="宋体" w:cs="Times New Roman"/>
          <w:color w:val="auto"/>
          <w:sz w:val="24"/>
          <w:szCs w:val="22"/>
          <w:highlight w:val="none"/>
        </w:rPr>
        <w:t>可以待上述情形消除后继续组织</w:t>
      </w:r>
      <w:r>
        <w:rPr>
          <w:rFonts w:hint="eastAsia" w:ascii="宋体" w:hAnsi="宋体" w:eastAsia="宋体" w:cs="Times New Roman"/>
          <w:color w:val="auto"/>
          <w:sz w:val="24"/>
          <w:szCs w:val="22"/>
          <w:highlight w:val="none"/>
        </w:rPr>
        <w:t>不见面</w:t>
      </w:r>
      <w:r>
        <w:rPr>
          <w:rFonts w:hint="default" w:ascii="宋体" w:hAnsi="宋体" w:eastAsia="宋体" w:cs="Times New Roman"/>
          <w:color w:val="auto"/>
          <w:sz w:val="24"/>
          <w:szCs w:val="22"/>
          <w:highlight w:val="none"/>
        </w:rPr>
        <w:t>交易</w:t>
      </w:r>
      <w:r>
        <w:rPr>
          <w:rFonts w:hint="eastAsia" w:ascii="宋体" w:hAnsi="宋体" w:eastAsia="宋体" w:cs="Times New Roman"/>
          <w:color w:val="auto"/>
          <w:sz w:val="24"/>
          <w:szCs w:val="22"/>
          <w:highlight w:val="none"/>
        </w:rPr>
        <w:t>采购</w:t>
      </w:r>
      <w:r>
        <w:rPr>
          <w:rFonts w:hint="default" w:ascii="宋体" w:hAnsi="宋体" w:eastAsia="宋体" w:cs="Times New Roman"/>
          <w:color w:val="auto"/>
          <w:sz w:val="24"/>
          <w:szCs w:val="22"/>
          <w:highlight w:val="none"/>
        </w:rPr>
        <w:t>活动，也可以决定某些环节以纸质形式进行；影响或可能影响采购</w:t>
      </w:r>
      <w:r>
        <w:rPr>
          <w:rFonts w:hint="eastAsia" w:ascii="宋体" w:hAnsi="宋体" w:eastAsia="宋体" w:cs="Times New Roman"/>
          <w:color w:val="auto"/>
          <w:sz w:val="24"/>
          <w:szCs w:val="22"/>
          <w:highlight w:val="none"/>
        </w:rPr>
        <w:t>活动</w:t>
      </w:r>
      <w:r>
        <w:rPr>
          <w:rFonts w:hint="default" w:ascii="宋体" w:hAnsi="宋体" w:eastAsia="宋体" w:cs="Times New Roman"/>
          <w:color w:val="auto"/>
          <w:sz w:val="24"/>
          <w:szCs w:val="22"/>
          <w:highlight w:val="none"/>
        </w:rPr>
        <w:t>公平、公正性的，应当</w:t>
      </w:r>
      <w:r>
        <w:rPr>
          <w:rFonts w:hint="eastAsia" w:ascii="宋体" w:hAnsi="宋体" w:eastAsia="宋体" w:cs="Times New Roman"/>
          <w:color w:val="auto"/>
          <w:sz w:val="24"/>
          <w:szCs w:val="22"/>
          <w:highlight w:val="none"/>
        </w:rPr>
        <w:t>终止本次项目，</w:t>
      </w:r>
      <w:r>
        <w:rPr>
          <w:rFonts w:hint="default" w:ascii="宋体" w:hAnsi="宋体" w:eastAsia="宋体" w:cs="Times New Roman"/>
          <w:color w:val="auto"/>
          <w:sz w:val="24"/>
          <w:szCs w:val="22"/>
          <w:highlight w:val="none"/>
        </w:rPr>
        <w:t>重新</w:t>
      </w:r>
      <w:r>
        <w:rPr>
          <w:rFonts w:hint="eastAsia" w:ascii="宋体" w:hAnsi="宋体" w:eastAsia="宋体" w:cs="Times New Roman"/>
          <w:color w:val="auto"/>
          <w:sz w:val="24"/>
          <w:szCs w:val="22"/>
          <w:highlight w:val="none"/>
        </w:rPr>
        <w:t>组织</w:t>
      </w:r>
      <w:r>
        <w:rPr>
          <w:rFonts w:hint="default" w:ascii="宋体" w:hAnsi="宋体" w:eastAsia="宋体" w:cs="Times New Roman"/>
          <w:color w:val="auto"/>
          <w:sz w:val="24"/>
          <w:szCs w:val="22"/>
          <w:highlight w:val="none"/>
        </w:rPr>
        <w:t>采购。</w:t>
      </w:r>
    </w:p>
    <w:p w14:paraId="6404594E">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资格审查</w:t>
      </w:r>
    </w:p>
    <w:p w14:paraId="78040B68">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见第三章《资格审查》</w:t>
      </w:r>
    </w:p>
    <w:p w14:paraId="51575EFC">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350" w:name="_Toc149720833"/>
      <w:bookmarkStart w:id="351" w:name="_Toc127151741"/>
      <w:bookmarkStart w:id="352" w:name="_Toc150774745"/>
      <w:bookmarkStart w:id="353" w:name="_Toc164229381"/>
      <w:bookmarkStart w:id="354" w:name="_Toc127161454"/>
      <w:bookmarkStart w:id="355" w:name="_Toc151193638"/>
      <w:bookmarkStart w:id="356" w:name="_Toc150480778"/>
      <w:bookmarkStart w:id="357" w:name="_Toc151193782"/>
      <w:bookmarkStart w:id="358" w:name="_Toc226965813"/>
      <w:bookmarkStart w:id="359" w:name="_Toc150509291"/>
      <w:bookmarkStart w:id="360" w:name="_Toc226309784"/>
      <w:bookmarkStart w:id="361" w:name="_Toc127151540"/>
      <w:bookmarkStart w:id="362" w:name="_Toc151193928"/>
      <w:bookmarkStart w:id="363" w:name="_Toc305158882"/>
      <w:bookmarkStart w:id="364" w:name="_Toc226337236"/>
      <w:bookmarkStart w:id="365" w:name="_Toc151193854"/>
      <w:bookmarkStart w:id="366" w:name="_Toc164351634"/>
      <w:bookmarkStart w:id="367" w:name="_Toc164608809"/>
      <w:bookmarkStart w:id="368" w:name="_Toc305158808"/>
      <w:bookmarkStart w:id="369" w:name="_Toc195842905"/>
      <w:bookmarkStart w:id="370" w:name="_Toc151193710"/>
      <w:bookmarkStart w:id="371" w:name="_Toc142311042"/>
      <w:bookmarkStart w:id="372" w:name="_Toc164608654"/>
      <w:bookmarkStart w:id="373" w:name="_Toc265228378"/>
      <w:bookmarkStart w:id="374" w:name="_Toc264969230"/>
      <w:bookmarkStart w:id="375" w:name="_Toc150774640"/>
      <w:bookmarkStart w:id="376" w:name="_Toc164229235"/>
      <w:bookmarkStart w:id="377" w:name="_Toc226965730"/>
      <w:bookmarkStart w:id="378" w:name="_Toc151190167"/>
      <w:r>
        <w:rPr>
          <w:rFonts w:hint="default" w:ascii="宋体" w:hAnsi="宋体" w:eastAsia="宋体" w:cs="Times New Roman"/>
          <w:color w:val="auto"/>
          <w:sz w:val="24"/>
          <w:szCs w:val="22"/>
          <w:highlight w:val="none"/>
        </w:rPr>
        <w:t>评标委员会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78BC12E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评标委员会根据政府采购有关规定和本次招标采购项目的特点进行组建，并负责具体评标事务，独立履行职责</w:t>
      </w:r>
      <w:r>
        <w:rPr>
          <w:rFonts w:hint="eastAsia" w:ascii="宋体" w:hAnsi="宋体" w:eastAsia="宋体" w:cs="Times New Roman"/>
          <w:color w:val="auto"/>
          <w:sz w:val="24"/>
          <w:szCs w:val="22"/>
          <w:highlight w:val="none"/>
        </w:rPr>
        <w:t>。</w:t>
      </w:r>
    </w:p>
    <w:p w14:paraId="02B6474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评审专家须符合</w:t>
      </w:r>
      <w:r>
        <w:rPr>
          <w:rFonts w:hint="eastAsia" w:ascii="宋体" w:hAnsi="宋体" w:eastAsia="宋体" w:cs="Times New Roman"/>
          <w:color w:val="auto"/>
          <w:sz w:val="24"/>
          <w:szCs w:val="22"/>
          <w:highlight w:val="none"/>
        </w:rPr>
        <w:t>相关</w:t>
      </w:r>
      <w:r>
        <w:rPr>
          <w:rFonts w:hint="default" w:ascii="宋体" w:hAnsi="宋体" w:eastAsia="宋体" w:cs="Times New Roman"/>
          <w:color w:val="auto"/>
          <w:sz w:val="24"/>
          <w:szCs w:val="22"/>
          <w:highlight w:val="none"/>
        </w:rPr>
        <w:t>规定。依法自行选定评审专家的，采购人和采购代理机构将查询有关信用记录，对具有行贿、受贿、欺诈等不良信用记录的人员，拒绝其参与政府采购活动</w:t>
      </w:r>
      <w:r>
        <w:rPr>
          <w:rFonts w:hint="eastAsia" w:ascii="宋体" w:hAnsi="宋体" w:eastAsia="宋体" w:cs="Times New Roman"/>
          <w:color w:val="auto"/>
          <w:sz w:val="24"/>
          <w:szCs w:val="22"/>
          <w:highlight w:val="none"/>
        </w:rPr>
        <w:t>。</w:t>
      </w:r>
    </w:p>
    <w:p w14:paraId="3446DAC4">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评标程序、评标方法和评标标准</w:t>
      </w:r>
    </w:p>
    <w:p w14:paraId="3510B2A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见第四章《评标程序、评标方法和评标标准》</w:t>
      </w:r>
      <w:r>
        <w:rPr>
          <w:rFonts w:hint="eastAsia" w:ascii="宋体" w:hAnsi="宋体" w:eastAsia="宋体" w:cs="Times New Roman"/>
          <w:color w:val="auto"/>
          <w:sz w:val="24"/>
          <w:szCs w:val="22"/>
          <w:highlight w:val="none"/>
        </w:rPr>
        <w:t>。</w:t>
      </w:r>
    </w:p>
    <w:p w14:paraId="0097C0B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评审内容的保密</w:t>
      </w:r>
    </w:p>
    <w:p w14:paraId="631ACEAD">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开标开始后，直到宣布授予中标人合同为止，凡属于审查、澄清、评价和比较投标文件的所有资料，有关授予合同的信息都不应向投标人或与评审无关的其他人泄露。</w:t>
      </w:r>
    </w:p>
    <w:p w14:paraId="3CF0597A">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在评审过程中，投标人不得以任何行为影响评审过程，否则其投标文件将被作为无效投标文件。</w:t>
      </w:r>
    </w:p>
    <w:p w14:paraId="1810DE5A">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评标委员会不向未中标的投标人解释未中标原因，也不公布评审过程中的相关细节。</w:t>
      </w:r>
    </w:p>
    <w:p w14:paraId="6176E7AB">
      <w:pPr>
        <w:spacing w:line="360" w:lineRule="auto"/>
        <w:ind w:left="267" w:hanging="267"/>
        <w:jc w:val="center"/>
        <w:rPr>
          <w:rFonts w:hint="eastAsia" w:ascii="宋体" w:hAnsi="宋体" w:eastAsia="宋体" w:cs="Times New Roman"/>
          <w:b/>
          <w:color w:val="auto"/>
          <w:kern w:val="0"/>
          <w:sz w:val="28"/>
          <w:szCs w:val="28"/>
          <w:highlight w:val="none"/>
        </w:rPr>
      </w:pPr>
      <w:bookmarkStart w:id="379" w:name="_Toc520356169"/>
      <w:bookmarkStart w:id="380" w:name="_Toc150774645"/>
      <w:bookmarkStart w:id="381" w:name="_Toc150480783"/>
      <w:bookmarkStart w:id="382" w:name="_Toc226309789"/>
      <w:bookmarkStart w:id="383" w:name="_Toc127151545"/>
      <w:bookmarkStart w:id="384" w:name="_Toc150509296"/>
      <w:bookmarkStart w:id="385" w:name="_Toc226337241"/>
      <w:bookmarkStart w:id="386" w:name="_Toc195842910"/>
      <w:bookmarkStart w:id="387" w:name="_Toc305158887"/>
      <w:bookmarkStart w:id="388" w:name="_Toc226965818"/>
      <w:bookmarkStart w:id="389" w:name="_Toc305158813"/>
      <w:bookmarkStart w:id="390" w:name="_Toc151190172"/>
      <w:bookmarkStart w:id="391" w:name="_Toc226965735"/>
      <w:bookmarkStart w:id="392" w:name="_Toc151193933"/>
      <w:bookmarkStart w:id="393" w:name="_Toc151193715"/>
      <w:bookmarkStart w:id="394" w:name="_Toc150774750"/>
      <w:bookmarkStart w:id="395" w:name="_Toc151193859"/>
      <w:bookmarkStart w:id="396" w:name="_Toc264969235"/>
      <w:bookmarkStart w:id="397" w:name="_Toc265228383"/>
      <w:bookmarkStart w:id="398" w:name="_Toc151193787"/>
      <w:bookmarkStart w:id="399" w:name="_Toc142311047"/>
      <w:bookmarkStart w:id="400" w:name="_Toc151193643"/>
      <w:r>
        <w:rPr>
          <w:rFonts w:hint="default" w:ascii="宋体" w:hAnsi="宋体" w:eastAsia="宋体" w:cs="Times New Roman"/>
          <w:b/>
          <w:color w:val="auto"/>
          <w:kern w:val="0"/>
          <w:sz w:val="28"/>
          <w:szCs w:val="28"/>
          <w:highlight w:val="none"/>
        </w:rPr>
        <w:t>六</w:t>
      </w:r>
      <w:bookmarkEnd w:id="379"/>
      <w:r>
        <w:rPr>
          <w:rFonts w:hint="eastAsia" w:ascii="宋体" w:hAnsi="宋体" w:eastAsia="宋体" w:cs="Times New Roman"/>
          <w:b/>
          <w:color w:val="auto"/>
          <w:kern w:val="0"/>
          <w:sz w:val="28"/>
          <w:szCs w:val="28"/>
          <w:highlight w:val="none"/>
        </w:rPr>
        <w:t>、</w:t>
      </w:r>
      <w:r>
        <w:rPr>
          <w:rFonts w:hint="default" w:ascii="宋体" w:hAnsi="宋体" w:eastAsia="宋体" w:cs="Times New Roman"/>
          <w:b/>
          <w:color w:val="auto"/>
          <w:kern w:val="0"/>
          <w:sz w:val="28"/>
          <w:szCs w:val="28"/>
          <w:highlight w:val="none"/>
        </w:rPr>
        <w:t>确定</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cs="Times New Roman"/>
          <w:b/>
          <w:color w:val="auto"/>
          <w:kern w:val="0"/>
          <w:sz w:val="28"/>
          <w:szCs w:val="28"/>
          <w:highlight w:val="none"/>
        </w:rPr>
        <w:t>中标</w:t>
      </w:r>
    </w:p>
    <w:p w14:paraId="3AD32977">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401" w:name="_Toc151193789"/>
      <w:bookmarkStart w:id="402" w:name="_Toc150509298"/>
      <w:bookmarkStart w:id="403" w:name="_Toc226965737"/>
      <w:bookmarkStart w:id="404" w:name="_Toc150774752"/>
      <w:bookmarkStart w:id="405" w:name="_Toc305158815"/>
      <w:bookmarkStart w:id="406" w:name="_Toc264969237"/>
      <w:bookmarkStart w:id="407" w:name="_Toc142311049"/>
      <w:bookmarkStart w:id="408" w:name="_Toc150774647"/>
      <w:bookmarkStart w:id="409" w:name="_Toc151193861"/>
      <w:bookmarkStart w:id="410" w:name="_Toc164229388"/>
      <w:bookmarkStart w:id="411" w:name="_Toc164351641"/>
      <w:bookmarkStart w:id="412" w:name="_Toc305158889"/>
      <w:bookmarkStart w:id="413" w:name="_Toc226309791"/>
      <w:bookmarkStart w:id="414" w:name="_Toc151193717"/>
      <w:bookmarkStart w:id="415" w:name="_Toc164229242"/>
      <w:bookmarkStart w:id="416" w:name="_Toc151193645"/>
      <w:bookmarkStart w:id="417" w:name="_Toc127161461"/>
      <w:bookmarkStart w:id="418" w:name="_Toc151193935"/>
      <w:bookmarkStart w:id="419" w:name="_Toc149720840"/>
      <w:bookmarkStart w:id="420" w:name="_Toc127151748"/>
      <w:bookmarkStart w:id="421" w:name="_Toc127151547"/>
      <w:bookmarkStart w:id="422" w:name="_Toc195842912"/>
      <w:bookmarkStart w:id="423" w:name="_Toc164608816"/>
      <w:bookmarkStart w:id="424" w:name="_Toc226965820"/>
      <w:bookmarkStart w:id="425" w:name="_Toc164608661"/>
      <w:bookmarkStart w:id="426" w:name="_Toc226337243"/>
      <w:bookmarkStart w:id="427" w:name="_Toc265228385"/>
      <w:bookmarkStart w:id="428" w:name="_Toc151190174"/>
      <w:bookmarkStart w:id="429" w:name="_Toc150480785"/>
      <w:r>
        <w:rPr>
          <w:rFonts w:hint="default" w:ascii="宋体" w:hAnsi="宋体" w:eastAsia="宋体" w:cs="Times New Roman"/>
          <w:color w:val="auto"/>
          <w:sz w:val="24"/>
          <w:szCs w:val="22"/>
          <w:highlight w:val="none"/>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hint="eastAsia" w:ascii="宋体" w:hAnsi="宋体" w:eastAsia="宋体" w:cs="Times New Roman"/>
          <w:color w:val="auto"/>
          <w:sz w:val="24"/>
          <w:szCs w:val="22"/>
          <w:highlight w:val="none"/>
        </w:rPr>
        <w:t>中标人</w:t>
      </w:r>
    </w:p>
    <w:p w14:paraId="37FD4458">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采购人将在评标报告确定的中标候选人名单中按顺序确定中标人，中标候选人并列的，由采购人</w:t>
      </w:r>
      <w:r>
        <w:rPr>
          <w:rFonts w:hint="eastAsia" w:ascii="宋体" w:hAnsi="宋体" w:eastAsia="宋体" w:cs="Times New Roman"/>
          <w:color w:val="auto"/>
          <w:sz w:val="24"/>
          <w:szCs w:val="22"/>
          <w:highlight w:val="none"/>
        </w:rPr>
        <w:t>依法</w:t>
      </w:r>
      <w:r>
        <w:rPr>
          <w:rFonts w:hint="default" w:ascii="宋体" w:hAnsi="宋体" w:eastAsia="宋体" w:cs="Times New Roman"/>
          <w:color w:val="auto"/>
          <w:sz w:val="24"/>
          <w:szCs w:val="22"/>
          <w:highlight w:val="none"/>
        </w:rPr>
        <w:t>确定</w:t>
      </w:r>
      <w:r>
        <w:rPr>
          <w:rFonts w:hint="eastAsia" w:ascii="宋体" w:hAnsi="宋体" w:eastAsia="宋体" w:cs="Times New Roman"/>
          <w:color w:val="auto"/>
          <w:sz w:val="24"/>
          <w:szCs w:val="22"/>
          <w:highlight w:val="none"/>
        </w:rPr>
        <w:t>。</w:t>
      </w:r>
    </w:p>
    <w:p w14:paraId="04400547">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430" w:name="_Toc305158891"/>
      <w:bookmarkStart w:id="431" w:name="_Toc305158817"/>
      <w:r>
        <w:rPr>
          <w:rFonts w:hint="default" w:ascii="宋体" w:hAnsi="宋体" w:eastAsia="宋体" w:cs="Times New Roman"/>
          <w:color w:val="auto"/>
          <w:sz w:val="24"/>
          <w:szCs w:val="22"/>
          <w:highlight w:val="none"/>
        </w:rPr>
        <w:t>中标公告与中标通知书</w:t>
      </w:r>
      <w:bookmarkEnd w:id="430"/>
      <w:bookmarkEnd w:id="431"/>
    </w:p>
    <w:p w14:paraId="653DBE0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采购人或采购代理机构自中标人确定之日起2个工作日内，在</w:t>
      </w:r>
      <w:r>
        <w:rPr>
          <w:rFonts w:hint="eastAsia" w:ascii="宋体" w:hAnsi="宋体" w:eastAsia="宋体" w:cs="Times New Roman"/>
          <w:color w:val="auto"/>
          <w:sz w:val="24"/>
          <w:szCs w:val="22"/>
          <w:highlight w:val="none"/>
        </w:rPr>
        <w:t>常州市政府采购网、</w:t>
      </w:r>
      <w:r>
        <w:rPr>
          <w:rFonts w:hint="eastAsia" w:ascii="宋体" w:hAnsi="宋体" w:eastAsia="宋体" w:cs="Times New Roman"/>
          <w:color w:val="auto"/>
          <w:sz w:val="24"/>
          <w:szCs w:val="24"/>
          <w:highlight w:val="none"/>
          <w:lang w:eastAsia="zh-CN"/>
        </w:rPr>
        <w:t>江苏昊丰润全建设项目管理有限公司</w:t>
      </w:r>
      <w:r>
        <w:rPr>
          <w:rFonts w:hint="eastAsia" w:ascii="宋体" w:hAnsi="宋体" w:eastAsia="宋体" w:cs="Times New Roman"/>
          <w:color w:val="auto"/>
          <w:sz w:val="24"/>
          <w:szCs w:val="24"/>
          <w:highlight w:val="none"/>
        </w:rPr>
        <w:t>网</w:t>
      </w:r>
      <w:r>
        <w:rPr>
          <w:rFonts w:hint="default" w:ascii="宋体" w:hAnsi="宋体" w:eastAsia="宋体" w:cs="Times New Roman"/>
          <w:color w:val="auto"/>
          <w:sz w:val="24"/>
          <w:szCs w:val="22"/>
          <w:highlight w:val="none"/>
        </w:rPr>
        <w:t>公告中标结果，</w:t>
      </w:r>
      <w:r>
        <w:rPr>
          <w:rFonts w:hint="eastAsia" w:ascii="宋体" w:hAnsi="宋体" w:eastAsia="宋体" w:cs="Times New Roman"/>
          <w:color w:val="auto"/>
          <w:sz w:val="24"/>
          <w:szCs w:val="22"/>
          <w:highlight w:val="none"/>
        </w:rPr>
        <w:t>同时向中标人发出中标通知书，</w:t>
      </w:r>
      <w:r>
        <w:rPr>
          <w:rFonts w:hint="default" w:ascii="宋体" w:hAnsi="宋体" w:eastAsia="宋体" w:cs="Times New Roman"/>
          <w:color w:val="auto"/>
          <w:sz w:val="24"/>
          <w:szCs w:val="22"/>
          <w:highlight w:val="none"/>
        </w:rPr>
        <w:t>中标公告期限为1个工作日</w:t>
      </w:r>
      <w:r>
        <w:rPr>
          <w:rFonts w:hint="eastAsia" w:ascii="宋体" w:hAnsi="宋体" w:eastAsia="宋体" w:cs="Times New Roman"/>
          <w:color w:val="auto"/>
          <w:sz w:val="24"/>
          <w:szCs w:val="22"/>
          <w:highlight w:val="none"/>
        </w:rPr>
        <w:t>。</w:t>
      </w:r>
    </w:p>
    <w:p w14:paraId="46B5B60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中标通知书对采购人和中标供应商均具有法律效力。中标通知书发出后，采购人改变中标结果的，或者中标供应商放弃中标项目的，应当依法承担法律责任</w:t>
      </w:r>
      <w:r>
        <w:rPr>
          <w:rFonts w:hint="eastAsia" w:ascii="宋体" w:hAnsi="宋体" w:eastAsia="宋体" w:cs="Times New Roman"/>
          <w:color w:val="auto"/>
          <w:sz w:val="24"/>
          <w:szCs w:val="22"/>
          <w:highlight w:val="none"/>
        </w:rPr>
        <w:t>。</w:t>
      </w:r>
    </w:p>
    <w:p w14:paraId="5128CFA7">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废标</w:t>
      </w:r>
    </w:p>
    <w:p w14:paraId="67F630E2">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在招标采购中，出现下列情形之一的，应予废标</w:t>
      </w:r>
      <w:r>
        <w:rPr>
          <w:rFonts w:hint="eastAsia" w:ascii="宋体" w:hAnsi="宋体" w:eastAsia="宋体" w:cs="Times New Roman"/>
          <w:color w:val="auto"/>
          <w:sz w:val="24"/>
          <w:szCs w:val="22"/>
          <w:highlight w:val="none"/>
        </w:rPr>
        <w:t>：</w:t>
      </w:r>
    </w:p>
    <w:p w14:paraId="38296D5C">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符合专业条件的</w:t>
      </w:r>
      <w:r>
        <w:rPr>
          <w:rFonts w:hint="eastAsia" w:ascii="宋体" w:hAnsi="宋体" w:eastAsia="宋体" w:cs="Times New Roman"/>
          <w:color w:val="auto"/>
          <w:sz w:val="24"/>
          <w:szCs w:val="22"/>
          <w:highlight w:val="none"/>
        </w:rPr>
        <w:t>投标人</w:t>
      </w:r>
      <w:r>
        <w:rPr>
          <w:rFonts w:hint="default" w:ascii="宋体" w:hAnsi="宋体" w:eastAsia="宋体" w:cs="Times New Roman"/>
          <w:color w:val="auto"/>
          <w:sz w:val="24"/>
          <w:szCs w:val="22"/>
          <w:highlight w:val="none"/>
        </w:rPr>
        <w:t>或者对招标文件作实质响应的</w:t>
      </w:r>
      <w:r>
        <w:rPr>
          <w:rFonts w:hint="eastAsia" w:ascii="宋体" w:hAnsi="宋体" w:eastAsia="宋体" w:cs="Times New Roman"/>
          <w:color w:val="auto"/>
          <w:sz w:val="24"/>
          <w:szCs w:val="22"/>
          <w:highlight w:val="none"/>
        </w:rPr>
        <w:t>投标人</w:t>
      </w:r>
      <w:r>
        <w:rPr>
          <w:rFonts w:hint="default" w:ascii="宋体" w:hAnsi="宋体" w:eastAsia="宋体" w:cs="Times New Roman"/>
          <w:color w:val="auto"/>
          <w:sz w:val="24"/>
          <w:szCs w:val="22"/>
          <w:highlight w:val="none"/>
        </w:rPr>
        <w:t>不足三家的</w:t>
      </w:r>
      <w:r>
        <w:rPr>
          <w:rFonts w:hint="eastAsia" w:ascii="宋体" w:hAnsi="宋体" w:eastAsia="宋体" w:cs="Times New Roman"/>
          <w:color w:val="auto"/>
          <w:sz w:val="24"/>
          <w:szCs w:val="22"/>
          <w:highlight w:val="none"/>
        </w:rPr>
        <w:t>；</w:t>
      </w:r>
    </w:p>
    <w:p w14:paraId="700B2474">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出现影响采购公正的违法、违规行为的</w:t>
      </w:r>
      <w:r>
        <w:rPr>
          <w:rFonts w:hint="eastAsia" w:ascii="宋体" w:hAnsi="宋体" w:eastAsia="宋体" w:cs="Times New Roman"/>
          <w:color w:val="auto"/>
          <w:sz w:val="24"/>
          <w:szCs w:val="22"/>
          <w:highlight w:val="none"/>
        </w:rPr>
        <w:t>；</w:t>
      </w:r>
    </w:p>
    <w:p w14:paraId="33B880CF">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投标人的报价均超过了采购预算，采购人不能支付的</w:t>
      </w:r>
      <w:r>
        <w:rPr>
          <w:rFonts w:hint="eastAsia" w:ascii="宋体" w:hAnsi="宋体" w:eastAsia="宋体" w:cs="Times New Roman"/>
          <w:color w:val="auto"/>
          <w:sz w:val="24"/>
          <w:szCs w:val="20"/>
          <w:highlight w:val="none"/>
        </w:rPr>
        <w:t>；</w:t>
      </w:r>
    </w:p>
    <w:p w14:paraId="6817174F">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因重大变故，采购任务取消的</w:t>
      </w:r>
      <w:r>
        <w:rPr>
          <w:rFonts w:hint="eastAsia" w:ascii="宋体" w:hAnsi="宋体" w:eastAsia="宋体" w:cs="Times New Roman"/>
          <w:color w:val="auto"/>
          <w:sz w:val="24"/>
          <w:szCs w:val="22"/>
          <w:highlight w:val="none"/>
        </w:rPr>
        <w:t>；</w:t>
      </w:r>
    </w:p>
    <w:p w14:paraId="31F6CB56">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平台系统</w:t>
      </w:r>
      <w:r>
        <w:rPr>
          <w:rFonts w:hint="default" w:ascii="宋体" w:hAnsi="宋体" w:eastAsia="宋体" w:cs="Times New Roman"/>
          <w:color w:val="auto"/>
          <w:sz w:val="24"/>
          <w:szCs w:val="22"/>
          <w:highlight w:val="none"/>
        </w:rPr>
        <w:t>出现</w:t>
      </w:r>
      <w:r>
        <w:rPr>
          <w:rFonts w:hint="eastAsia" w:ascii="宋体" w:hAnsi="宋体" w:eastAsia="宋体" w:cs="Times New Roman"/>
          <w:color w:val="auto"/>
          <w:sz w:val="24"/>
          <w:szCs w:val="22"/>
          <w:highlight w:val="none"/>
        </w:rPr>
        <w:t>序号18.8的所述</w:t>
      </w:r>
      <w:r>
        <w:rPr>
          <w:rFonts w:hint="default" w:ascii="宋体" w:hAnsi="宋体" w:eastAsia="宋体" w:cs="Times New Roman"/>
          <w:color w:val="auto"/>
          <w:sz w:val="24"/>
          <w:szCs w:val="22"/>
          <w:highlight w:val="none"/>
        </w:rPr>
        <w:t>情形，</w:t>
      </w:r>
      <w:r>
        <w:rPr>
          <w:rFonts w:hint="eastAsia" w:ascii="宋体" w:hAnsi="宋体" w:eastAsia="宋体" w:cs="Times New Roman"/>
          <w:color w:val="auto"/>
          <w:sz w:val="24"/>
          <w:szCs w:val="22"/>
          <w:highlight w:val="none"/>
        </w:rPr>
        <w:t>情况严重且</w:t>
      </w:r>
      <w:r>
        <w:rPr>
          <w:rFonts w:hint="default" w:ascii="宋体" w:hAnsi="宋体" w:eastAsia="宋体" w:cs="Times New Roman"/>
          <w:color w:val="auto"/>
          <w:sz w:val="24"/>
          <w:szCs w:val="22"/>
          <w:highlight w:val="none"/>
        </w:rPr>
        <w:t>影响采购</w:t>
      </w:r>
      <w:r>
        <w:rPr>
          <w:rFonts w:hint="eastAsia" w:ascii="宋体" w:hAnsi="宋体" w:eastAsia="宋体" w:cs="Times New Roman"/>
          <w:color w:val="auto"/>
          <w:sz w:val="24"/>
          <w:szCs w:val="22"/>
          <w:highlight w:val="none"/>
        </w:rPr>
        <w:t>活动</w:t>
      </w:r>
      <w:r>
        <w:rPr>
          <w:rFonts w:hint="default" w:ascii="宋体" w:hAnsi="宋体" w:eastAsia="宋体" w:cs="Times New Roman"/>
          <w:color w:val="auto"/>
          <w:sz w:val="24"/>
          <w:szCs w:val="22"/>
          <w:highlight w:val="none"/>
        </w:rPr>
        <w:t>公平、公正性的</w:t>
      </w:r>
      <w:r>
        <w:rPr>
          <w:rFonts w:hint="eastAsia" w:ascii="宋体" w:hAnsi="宋体" w:eastAsia="宋体" w:cs="Times New Roman"/>
          <w:color w:val="auto"/>
          <w:sz w:val="24"/>
          <w:szCs w:val="22"/>
          <w:highlight w:val="none"/>
        </w:rPr>
        <w:t>。</w:t>
      </w:r>
    </w:p>
    <w:p w14:paraId="293F0B0C">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bookmarkStart w:id="432" w:name="_Toc226965740"/>
      <w:bookmarkStart w:id="433" w:name="_Toc127161464"/>
      <w:bookmarkStart w:id="434" w:name="_Toc226337246"/>
      <w:bookmarkStart w:id="435" w:name="_Toc150774755"/>
      <w:bookmarkStart w:id="436" w:name="_Toc151193648"/>
      <w:bookmarkStart w:id="437" w:name="_Toc226965823"/>
      <w:bookmarkStart w:id="438" w:name="_Toc149720843"/>
      <w:bookmarkStart w:id="439" w:name="_Toc164229391"/>
      <w:bookmarkStart w:id="440" w:name="_Toc151193938"/>
      <w:bookmarkStart w:id="441" w:name="_Ref467306978"/>
      <w:bookmarkStart w:id="442" w:name="_Ref467307204"/>
      <w:bookmarkStart w:id="443" w:name="_Toc151193720"/>
      <w:bookmarkStart w:id="444" w:name="_Toc195842915"/>
      <w:bookmarkStart w:id="445" w:name="_Toc151193792"/>
      <w:bookmarkStart w:id="446" w:name="_Toc265228388"/>
      <w:bookmarkStart w:id="447" w:name="_Toc520356175"/>
      <w:bookmarkStart w:id="448" w:name="_Toc226309794"/>
      <w:bookmarkStart w:id="449" w:name="_Toc150509301"/>
      <w:bookmarkStart w:id="450" w:name="_Toc127151550"/>
      <w:bookmarkStart w:id="451" w:name="_Toc164608819"/>
      <w:bookmarkStart w:id="452" w:name="_Toc142311052"/>
      <w:bookmarkStart w:id="453" w:name="_Toc151190177"/>
      <w:bookmarkStart w:id="454" w:name="_Ref467306377"/>
      <w:bookmarkStart w:id="455" w:name="_Toc127151751"/>
      <w:bookmarkStart w:id="456" w:name="_Toc164351644"/>
      <w:bookmarkStart w:id="457" w:name="_Toc150480788"/>
      <w:bookmarkStart w:id="458" w:name="_Toc150774650"/>
      <w:bookmarkStart w:id="459" w:name="_Toc151193864"/>
      <w:bookmarkStart w:id="460" w:name="_Toc264969240"/>
      <w:bookmarkStart w:id="461" w:name="_Toc305158818"/>
      <w:bookmarkStart w:id="462" w:name="_Toc164229245"/>
      <w:bookmarkStart w:id="463" w:name="_Toc164608664"/>
      <w:bookmarkStart w:id="464" w:name="_Ref467307062"/>
      <w:bookmarkStart w:id="465" w:name="_Toc305158892"/>
      <w:r>
        <w:rPr>
          <w:rFonts w:hint="default" w:ascii="宋体" w:hAnsi="宋体" w:eastAsia="宋体" w:cs="Times New Roman"/>
          <w:color w:val="auto"/>
          <w:sz w:val="24"/>
          <w:szCs w:val="22"/>
          <w:highlight w:val="none"/>
        </w:rPr>
        <w:t>签订合同</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7FFCADA2">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Times New Roman"/>
          <w:color w:val="auto"/>
          <w:sz w:val="24"/>
          <w:szCs w:val="22"/>
          <w:highlight w:val="none"/>
        </w:rPr>
        <w:t>。</w:t>
      </w:r>
    </w:p>
    <w:p w14:paraId="4D06DBF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中标人</w:t>
      </w:r>
      <w:r>
        <w:rPr>
          <w:rFonts w:hint="eastAsia" w:ascii="宋体" w:hAnsi="宋体" w:eastAsia="宋体" w:cs="Times New Roman"/>
          <w:color w:val="auto"/>
          <w:sz w:val="24"/>
          <w:szCs w:val="22"/>
          <w:highlight w:val="none"/>
        </w:rPr>
        <w:t>拒绝</w:t>
      </w:r>
      <w:r>
        <w:rPr>
          <w:rFonts w:hint="default" w:ascii="宋体" w:hAnsi="宋体" w:eastAsia="宋体" w:cs="Times New Roman"/>
          <w:color w:val="auto"/>
          <w:sz w:val="24"/>
          <w:szCs w:val="22"/>
          <w:highlight w:val="none"/>
        </w:rPr>
        <w:t>与采购人签订合同的，采购人</w:t>
      </w:r>
      <w:r>
        <w:rPr>
          <w:rFonts w:hint="eastAsia" w:ascii="宋体" w:hAnsi="宋体" w:eastAsia="宋体" w:cs="Times New Roman"/>
          <w:color w:val="auto"/>
          <w:sz w:val="24"/>
          <w:szCs w:val="22"/>
          <w:highlight w:val="none"/>
        </w:rPr>
        <w:t>可以</w:t>
      </w:r>
      <w:r>
        <w:rPr>
          <w:rFonts w:hint="default" w:ascii="宋体" w:hAnsi="宋体" w:eastAsia="宋体" w:cs="Times New Roman"/>
          <w:color w:val="auto"/>
          <w:sz w:val="24"/>
          <w:szCs w:val="22"/>
          <w:highlight w:val="none"/>
        </w:rPr>
        <w:t>按照评</w:t>
      </w:r>
      <w:r>
        <w:rPr>
          <w:rFonts w:hint="eastAsia" w:ascii="宋体" w:hAnsi="宋体" w:eastAsia="宋体" w:cs="Times New Roman"/>
          <w:color w:val="auto"/>
          <w:sz w:val="24"/>
          <w:szCs w:val="22"/>
          <w:highlight w:val="none"/>
        </w:rPr>
        <w:t>标</w:t>
      </w:r>
      <w:r>
        <w:rPr>
          <w:rFonts w:hint="default" w:ascii="宋体" w:hAnsi="宋体" w:eastAsia="宋体" w:cs="Times New Roman"/>
          <w:color w:val="auto"/>
          <w:sz w:val="24"/>
          <w:szCs w:val="22"/>
          <w:highlight w:val="none"/>
        </w:rPr>
        <w:t>报告推荐的中标候选人名单排序，确定下一候选人为中标人，</w:t>
      </w:r>
      <w:r>
        <w:rPr>
          <w:rFonts w:hint="eastAsia" w:ascii="宋体" w:hAnsi="宋体" w:eastAsia="宋体" w:cs="Times New Roman"/>
          <w:color w:val="auto"/>
          <w:sz w:val="24"/>
          <w:szCs w:val="22"/>
          <w:highlight w:val="none"/>
        </w:rPr>
        <w:t>也可以</w:t>
      </w:r>
      <w:r>
        <w:rPr>
          <w:rFonts w:hint="default" w:ascii="宋体" w:hAnsi="宋体" w:eastAsia="宋体" w:cs="Times New Roman"/>
          <w:color w:val="auto"/>
          <w:sz w:val="24"/>
          <w:szCs w:val="22"/>
          <w:highlight w:val="none"/>
        </w:rPr>
        <w:t>重新开展政府采购活动</w:t>
      </w:r>
      <w:r>
        <w:rPr>
          <w:rFonts w:hint="eastAsia" w:ascii="宋体" w:hAnsi="宋体" w:eastAsia="宋体" w:cs="Times New Roman"/>
          <w:color w:val="auto"/>
          <w:sz w:val="24"/>
          <w:szCs w:val="22"/>
          <w:highlight w:val="none"/>
        </w:rPr>
        <w:t>。</w:t>
      </w:r>
    </w:p>
    <w:p w14:paraId="598C8363">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联合体中标的，联合体各方应当共同与采购人签订合同，就中标项目向采购人承担连带责任</w:t>
      </w:r>
      <w:r>
        <w:rPr>
          <w:rFonts w:hint="eastAsia" w:ascii="宋体" w:hAnsi="宋体" w:eastAsia="宋体" w:cs="Times New Roman"/>
          <w:color w:val="auto"/>
          <w:sz w:val="24"/>
          <w:szCs w:val="22"/>
          <w:highlight w:val="none"/>
        </w:rPr>
        <w:t>。</w:t>
      </w:r>
    </w:p>
    <w:p w14:paraId="6A9144A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政府采购合同不能转包</w:t>
      </w:r>
      <w:r>
        <w:rPr>
          <w:rFonts w:hint="eastAsia" w:ascii="宋体" w:hAnsi="宋体" w:eastAsia="宋体" w:cs="Times New Roman"/>
          <w:color w:val="auto"/>
          <w:sz w:val="24"/>
          <w:szCs w:val="22"/>
          <w:highlight w:val="none"/>
        </w:rPr>
        <w:t>。</w:t>
      </w:r>
    </w:p>
    <w:p w14:paraId="72E9830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default" w:ascii="宋体" w:hAnsi="宋体" w:eastAsia="宋体" w:cs="Times New Roman"/>
          <w:b/>
          <w:color w:val="auto"/>
          <w:sz w:val="24"/>
          <w:szCs w:val="22"/>
          <w:highlight w:val="none"/>
        </w:rPr>
        <w:t>，</w:t>
      </w:r>
      <w:r>
        <w:rPr>
          <w:rFonts w:hint="default" w:ascii="宋体" w:hAnsi="宋体" w:eastAsia="宋体" w:cs="Times New Roman"/>
          <w:color w:val="auto"/>
          <w:sz w:val="24"/>
          <w:szCs w:val="22"/>
          <w:highlight w:val="none"/>
        </w:rPr>
        <w:t>否则</w:t>
      </w:r>
      <w:r>
        <w:rPr>
          <w:rFonts w:hint="default" w:ascii="宋体" w:hAnsi="宋体" w:eastAsia="宋体" w:cs="Times New Roman"/>
          <w:b/>
          <w:color w:val="auto"/>
          <w:sz w:val="24"/>
          <w:szCs w:val="22"/>
          <w:highlight w:val="none"/>
        </w:rPr>
        <w:t>投标无效</w:t>
      </w:r>
      <w:r>
        <w:rPr>
          <w:rFonts w:hint="default" w:ascii="宋体" w:hAnsi="宋体" w:eastAsia="宋体" w:cs="Times New Roman"/>
          <w:color w:val="auto"/>
          <w:sz w:val="24"/>
          <w:szCs w:val="22"/>
          <w:highlight w:val="none"/>
        </w:rPr>
        <w:t>。中标人就采购项目和分包项目向采购人负责，分包供应商就分包项目承担责任</w:t>
      </w:r>
      <w:r>
        <w:rPr>
          <w:rFonts w:hint="eastAsia" w:ascii="宋体" w:hAnsi="宋体" w:eastAsia="宋体" w:cs="Times New Roman"/>
          <w:color w:val="auto"/>
          <w:sz w:val="24"/>
          <w:szCs w:val="22"/>
          <w:highlight w:val="none"/>
        </w:rPr>
        <w:t>。</w:t>
      </w:r>
    </w:p>
    <w:p w14:paraId="159E3B08">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询问与质疑</w:t>
      </w:r>
    </w:p>
    <w:p w14:paraId="147BC1ED">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询问</w:t>
      </w:r>
    </w:p>
    <w:p w14:paraId="46751F2F">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投标人对政府采购活动事项有疑问的，可依法提出询问，并按《投标人须知资料表》载明的形式送达采购人或采购代理机构</w:t>
      </w:r>
      <w:r>
        <w:rPr>
          <w:rFonts w:hint="eastAsia" w:ascii="宋体" w:hAnsi="宋体" w:eastAsia="宋体" w:cs="Times New Roman"/>
          <w:color w:val="auto"/>
          <w:sz w:val="24"/>
          <w:szCs w:val="22"/>
          <w:highlight w:val="none"/>
        </w:rPr>
        <w:t>。</w:t>
      </w:r>
    </w:p>
    <w:p w14:paraId="258085D8">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采购人或采购代理机构对供应商依法提出的询问，在3个工作日内作出答复，但答复的内容不得涉及商业秘密</w:t>
      </w:r>
      <w:r>
        <w:rPr>
          <w:rFonts w:hint="eastAsia" w:ascii="宋体" w:hAnsi="宋体" w:eastAsia="宋体" w:cs="Times New Roman"/>
          <w:color w:val="auto"/>
          <w:sz w:val="24"/>
          <w:szCs w:val="22"/>
          <w:highlight w:val="none"/>
        </w:rPr>
        <w:t>。</w:t>
      </w:r>
    </w:p>
    <w:p w14:paraId="361DBCE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质疑</w:t>
      </w:r>
    </w:p>
    <w:p w14:paraId="60540467">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投标人认为</w:t>
      </w:r>
      <w:r>
        <w:rPr>
          <w:rFonts w:hint="eastAsia" w:ascii="宋体" w:hAnsi="宋体" w:eastAsia="宋体" w:cs="Times New Roman"/>
          <w:color w:val="auto"/>
          <w:sz w:val="24"/>
          <w:szCs w:val="22"/>
          <w:highlight w:val="none"/>
        </w:rPr>
        <w:t>招标</w:t>
      </w:r>
      <w:r>
        <w:rPr>
          <w:rFonts w:hint="default" w:ascii="宋体" w:hAnsi="宋体" w:eastAsia="宋体" w:cs="Times New Roman"/>
          <w:color w:val="auto"/>
          <w:sz w:val="24"/>
          <w:szCs w:val="22"/>
          <w:highlight w:val="none"/>
        </w:rPr>
        <w:t>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Times New Roman"/>
          <w:color w:val="auto"/>
          <w:sz w:val="24"/>
          <w:szCs w:val="22"/>
          <w:highlight w:val="none"/>
        </w:rPr>
        <w:t>。</w:t>
      </w:r>
    </w:p>
    <w:p w14:paraId="682EAE65">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b/>
          <w:color w:val="auto"/>
          <w:sz w:val="24"/>
          <w:szCs w:val="22"/>
          <w:highlight w:val="none"/>
        </w:rPr>
        <w:t>招标文件中采购需求以及相关部分（第四章、第五章以及投标人资格要求）由采购人负责制定和管理，对该部分内容有询问或者质疑的，投标人应当向采购人书面提出，由采购人负责接收和回复。</w:t>
      </w:r>
      <w:r>
        <w:rPr>
          <w:rFonts w:hint="default" w:ascii="宋体" w:hAnsi="宋体" w:eastAsia="宋体" w:cs="Times New Roman"/>
          <w:b/>
          <w:color w:val="auto"/>
          <w:sz w:val="24"/>
          <w:szCs w:val="22"/>
          <w:highlight w:val="none"/>
        </w:rPr>
        <w:t>采购人委托采购代理机构采购的，采购代理机构在委托授权范围内作出答复。</w:t>
      </w:r>
    </w:p>
    <w:p w14:paraId="72CC8095">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质疑函须使用财政部制定的范本文件。</w:t>
      </w:r>
      <w:r>
        <w:rPr>
          <w:rFonts w:hint="eastAsia" w:ascii="宋体" w:hAnsi="宋体" w:eastAsia="宋体" w:cs="Times New Roman"/>
          <w:color w:val="auto"/>
          <w:sz w:val="24"/>
          <w:szCs w:val="22"/>
          <w:highlight w:val="none"/>
        </w:rPr>
        <w:t>（下载网址：</w:t>
      </w:r>
      <w:r>
        <w:rPr>
          <w:rFonts w:hint="default" w:ascii="Calibri" w:hAnsi="Calibri" w:eastAsia="Arial" w:cs="Times New Roman"/>
          <w:color w:val="auto"/>
          <w:sz w:val="21"/>
          <w:szCs w:val="22"/>
          <w:highlight w:val="none"/>
        </w:rPr>
        <w:fldChar w:fldCharType="begin"/>
      </w:r>
      <w:r>
        <w:rPr>
          <w:rFonts w:hint="default" w:ascii="Calibri" w:hAnsi="Calibri" w:eastAsia="Arial" w:cs="Times New Roman"/>
          <w:color w:val="auto"/>
          <w:sz w:val="21"/>
          <w:szCs w:val="22"/>
          <w:highlight w:val="none"/>
        </w:rPr>
        <w:instrText xml:space="preserve"> HYPERLINK "http://gks.mof.gov.cn/ztztz/zhengfucaigouguanli/201802/t20180201_2804589.htm" \o "http://gks.mof.gov.cn/ztztz/zhengfucaigouguanli/201802/t20180201_2804589.htm" </w:instrText>
      </w:r>
      <w:r>
        <w:rPr>
          <w:rFonts w:hint="default" w:ascii="Calibri" w:hAnsi="Calibri" w:eastAsia="Arial" w:cs="Times New Roman"/>
          <w:color w:val="auto"/>
          <w:sz w:val="21"/>
          <w:szCs w:val="22"/>
          <w:highlight w:val="none"/>
        </w:rPr>
        <w:fldChar w:fldCharType="separate"/>
      </w:r>
      <w:r>
        <w:rPr>
          <w:rFonts w:hint="default" w:ascii="宋体" w:hAnsi="宋体" w:eastAsia="宋体" w:cs="Times New Roman"/>
          <w:color w:val="auto"/>
          <w:sz w:val="24"/>
          <w:szCs w:val="22"/>
          <w:highlight w:val="none"/>
        </w:rPr>
        <w:t>http://gk</w:t>
      </w:r>
      <w:bookmarkStart w:id="466" w:name="_Hlt100654014"/>
      <w:r>
        <w:rPr>
          <w:rFonts w:hint="default" w:ascii="宋体" w:hAnsi="宋体" w:eastAsia="宋体" w:cs="Times New Roman"/>
          <w:color w:val="auto"/>
          <w:sz w:val="24"/>
          <w:szCs w:val="22"/>
          <w:highlight w:val="none"/>
        </w:rPr>
        <w:t>s</w:t>
      </w:r>
      <w:bookmarkEnd w:id="466"/>
      <w:r>
        <w:rPr>
          <w:rFonts w:hint="default" w:ascii="宋体" w:hAnsi="宋体" w:eastAsia="宋体" w:cs="Times New Roman"/>
          <w:color w:val="auto"/>
          <w:sz w:val="24"/>
          <w:szCs w:val="22"/>
          <w:highlight w:val="none"/>
        </w:rPr>
        <w:t>.m</w:t>
      </w:r>
      <w:bookmarkStart w:id="467" w:name="_Hlt100653994"/>
      <w:bookmarkStart w:id="468" w:name="_Hlt100653993"/>
      <w:r>
        <w:rPr>
          <w:rFonts w:hint="default" w:ascii="宋体" w:hAnsi="宋体" w:eastAsia="宋体" w:cs="Times New Roman"/>
          <w:color w:val="auto"/>
          <w:sz w:val="24"/>
          <w:szCs w:val="22"/>
          <w:highlight w:val="none"/>
        </w:rPr>
        <w:t>o</w:t>
      </w:r>
      <w:bookmarkEnd w:id="467"/>
      <w:bookmarkEnd w:id="468"/>
      <w:bookmarkStart w:id="469" w:name="_Hlt101169156"/>
      <w:r>
        <w:rPr>
          <w:rFonts w:hint="default" w:ascii="宋体" w:hAnsi="宋体" w:eastAsia="宋体" w:cs="Times New Roman"/>
          <w:color w:val="auto"/>
          <w:sz w:val="24"/>
          <w:szCs w:val="22"/>
          <w:highlight w:val="none"/>
        </w:rPr>
        <w:t>f</w:t>
      </w:r>
      <w:bookmarkEnd w:id="469"/>
      <w:r>
        <w:rPr>
          <w:rFonts w:hint="default" w:ascii="宋体" w:hAnsi="宋体" w:eastAsia="宋体" w:cs="Times New Roman"/>
          <w:color w:val="auto"/>
          <w:sz w:val="24"/>
          <w:szCs w:val="22"/>
          <w:highlight w:val="none"/>
        </w:rPr>
        <w:t>.gov.cn/ztztz/zhengfucaigouguanli/201802/t20180201_2804589.htm</w:t>
      </w:r>
      <w:r>
        <w:rPr>
          <w:rFonts w:hint="default" w:ascii="宋体" w:hAnsi="宋体" w:eastAsia="宋体" w:cs="Times New Roman"/>
          <w:color w:val="auto"/>
          <w:sz w:val="24"/>
          <w:szCs w:val="22"/>
          <w:highlight w:val="none"/>
        </w:rPr>
        <w:fldChar w:fldCharType="end"/>
      </w:r>
      <w:r>
        <w:rPr>
          <w:rFonts w:hint="eastAsia" w:ascii="宋体" w:hAnsi="宋体" w:eastAsia="宋体" w:cs="Times New Roman"/>
          <w:color w:val="auto"/>
          <w:sz w:val="24"/>
          <w:szCs w:val="22"/>
          <w:highlight w:val="none"/>
        </w:rPr>
        <w:t>）。</w:t>
      </w:r>
    </w:p>
    <w:p w14:paraId="3193FA6E">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投标人为自然人的，应当由本人签字；投标人为法人或者其他组织的，应当由法定代表人、主要负责人，或者其授权代表签字或者加盖公章，并加盖公章</w:t>
      </w:r>
      <w:r>
        <w:rPr>
          <w:rFonts w:hint="eastAsia" w:ascii="宋体" w:hAnsi="宋体" w:eastAsia="宋体" w:cs="Times New Roman"/>
          <w:color w:val="auto"/>
          <w:sz w:val="24"/>
          <w:szCs w:val="22"/>
          <w:highlight w:val="none"/>
        </w:rPr>
        <w:t>。</w:t>
      </w:r>
    </w:p>
    <w:p w14:paraId="4CA9F3C0">
      <w:pPr>
        <w:widowControl w:val="0"/>
        <w:numPr>
          <w:ilvl w:val="2"/>
          <w:numId w:val="2"/>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Times New Roman"/>
          <w:color w:val="auto"/>
          <w:sz w:val="24"/>
          <w:szCs w:val="22"/>
          <w:highlight w:val="none"/>
        </w:rPr>
        <w:t>。</w:t>
      </w:r>
    </w:p>
    <w:p w14:paraId="42BC704A">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接收询问和质疑的联系部门、联系电话和通讯地址见《投标人须知资料表》</w:t>
      </w:r>
      <w:r>
        <w:rPr>
          <w:rFonts w:hint="eastAsia" w:ascii="宋体" w:hAnsi="宋体" w:eastAsia="宋体" w:cs="Times New Roman"/>
          <w:color w:val="auto"/>
          <w:sz w:val="24"/>
          <w:szCs w:val="22"/>
          <w:highlight w:val="none"/>
        </w:rPr>
        <w:t>。</w:t>
      </w:r>
    </w:p>
    <w:p w14:paraId="7600BEAD">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代理费</w:t>
      </w:r>
    </w:p>
    <w:p w14:paraId="71CCB537">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收费对象、收费标准及缴纳时间见《投标人须知资料表》。由中标人支付的，中标人须一次性向采购代理机构缴纳代理费，投标报价应包含代理费用</w:t>
      </w:r>
      <w:r>
        <w:rPr>
          <w:rFonts w:hint="eastAsia" w:ascii="宋体" w:hAnsi="宋体" w:eastAsia="宋体" w:cs="Times New Roman"/>
          <w:color w:val="auto"/>
          <w:sz w:val="24"/>
          <w:szCs w:val="22"/>
          <w:highlight w:val="none"/>
        </w:rPr>
        <w:t>。</w:t>
      </w:r>
    </w:p>
    <w:p w14:paraId="574E8A30">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履约保证金</w:t>
      </w:r>
    </w:p>
    <w:p w14:paraId="3DA6DF35">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本项目免收履约保证金。</w:t>
      </w:r>
    </w:p>
    <w:p w14:paraId="53839EE3">
      <w:pPr>
        <w:widowControl w:val="0"/>
        <w:numPr>
          <w:ilvl w:val="0"/>
          <w:numId w:val="2"/>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纸质投标文件</w:t>
      </w:r>
    </w:p>
    <w:p w14:paraId="25C705CF">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中标人在签订合同前向代理机构</w:t>
      </w:r>
      <w:r>
        <w:rPr>
          <w:rFonts w:hint="default" w:ascii="宋体" w:hAnsi="宋体" w:eastAsia="宋体" w:cs="Times New Roman"/>
          <w:color w:val="auto"/>
          <w:sz w:val="24"/>
          <w:szCs w:val="22"/>
          <w:highlight w:val="none"/>
        </w:rPr>
        <w:t>提供</w:t>
      </w:r>
      <w:r>
        <w:rPr>
          <w:rFonts w:hint="eastAsia" w:ascii="宋体" w:hAnsi="宋体" w:eastAsia="宋体" w:cs="Times New Roman"/>
          <w:b/>
          <w:bCs/>
          <w:color w:val="auto"/>
          <w:sz w:val="24"/>
          <w:szCs w:val="22"/>
          <w:highlight w:val="none"/>
          <w:lang w:val="en-US" w:eastAsia="zh-CN"/>
        </w:rPr>
        <w:t>2</w:t>
      </w:r>
      <w:r>
        <w:rPr>
          <w:rFonts w:hint="default" w:ascii="宋体" w:hAnsi="宋体" w:eastAsia="宋体" w:cs="Times New Roman"/>
          <w:b/>
          <w:bCs/>
          <w:color w:val="auto"/>
          <w:sz w:val="24"/>
          <w:szCs w:val="22"/>
          <w:highlight w:val="none"/>
        </w:rPr>
        <w:t>套</w:t>
      </w:r>
      <w:r>
        <w:rPr>
          <w:rFonts w:hint="eastAsia" w:ascii="宋体" w:hAnsi="宋体" w:eastAsia="宋体" w:cs="Times New Roman"/>
          <w:b/>
          <w:bCs/>
          <w:color w:val="auto"/>
          <w:sz w:val="24"/>
          <w:szCs w:val="22"/>
          <w:highlight w:val="none"/>
        </w:rPr>
        <w:t>纸质</w:t>
      </w:r>
      <w:r>
        <w:rPr>
          <w:rFonts w:hint="default" w:ascii="宋体" w:hAnsi="宋体" w:eastAsia="宋体" w:cs="Times New Roman"/>
          <w:b/>
          <w:bCs/>
          <w:color w:val="auto"/>
          <w:sz w:val="24"/>
          <w:szCs w:val="22"/>
          <w:highlight w:val="none"/>
        </w:rPr>
        <w:t>投标文件</w:t>
      </w:r>
      <w:r>
        <w:rPr>
          <w:rFonts w:hint="eastAsia" w:ascii="宋体" w:hAnsi="宋体" w:eastAsia="宋体" w:cs="Times New Roman"/>
          <w:b/>
          <w:bCs/>
          <w:color w:val="auto"/>
          <w:sz w:val="24"/>
          <w:szCs w:val="22"/>
          <w:highlight w:val="none"/>
        </w:rPr>
        <w:t>。</w:t>
      </w:r>
    </w:p>
    <w:p w14:paraId="2C8B3AE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纸质投标文件需与“苏采云”系统的投标文件一致，中标人应按照要求签字、盖章。</w:t>
      </w:r>
    </w:p>
    <w:p w14:paraId="753122F4">
      <w:pPr>
        <w:widowControl w:val="0"/>
        <w:numPr>
          <w:ilvl w:val="1"/>
          <w:numId w:val="2"/>
        </w:numPr>
        <w:spacing w:line="360" w:lineRule="auto"/>
        <w:ind w:left="851" w:hanging="567"/>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招标文件所表述（指定）的公章是指法定名称章，不包括合同专用章、业务专用章等印章；盖章是指加盖鲜章。</w:t>
      </w:r>
    </w:p>
    <w:p w14:paraId="0A5DD636">
      <w:pPr>
        <w:spacing w:line="360" w:lineRule="auto"/>
        <w:ind w:left="228" w:hanging="228"/>
        <w:jc w:val="left"/>
        <w:rPr>
          <w:rFonts w:hint="eastAsia" w:ascii="宋体" w:hAnsi="宋体" w:eastAsia="宋体"/>
          <w:color w:val="auto"/>
          <w:sz w:val="24"/>
          <w:highlight w:val="none"/>
        </w:rPr>
        <w:sectPr>
          <w:pgSz w:w="11906" w:h="16838"/>
          <w:pgMar w:top="1440" w:right="1800" w:bottom="1440" w:left="1800" w:header="851" w:footer="992" w:gutter="0"/>
          <w:pgNumType w:fmt="decimal"/>
          <w:cols w:space="425" w:num="1"/>
          <w:docGrid w:linePitch="360" w:charSpace="0"/>
        </w:sectPr>
      </w:pPr>
    </w:p>
    <w:p w14:paraId="0BFCA61B">
      <w:pPr>
        <w:widowControl w:val="0"/>
        <w:spacing w:line="360" w:lineRule="auto"/>
        <w:ind w:left="343" w:hanging="343"/>
        <w:jc w:val="center"/>
        <w:outlineLvl w:val="0"/>
        <w:rPr>
          <w:rFonts w:hint="eastAsia" w:ascii="宋体" w:hAnsi="宋体" w:eastAsia="宋体" w:cs="Times New Roman"/>
          <w:b/>
          <w:color w:val="auto"/>
          <w:sz w:val="36"/>
          <w:szCs w:val="36"/>
          <w:highlight w:val="none"/>
        </w:rPr>
      </w:pPr>
      <w:bookmarkStart w:id="470" w:name="_Toc32203"/>
      <w:bookmarkStart w:id="471" w:name="_Toc104818927"/>
      <w:r>
        <w:rPr>
          <w:rFonts w:hint="default" w:ascii="宋体" w:hAnsi="宋体" w:eastAsia="宋体" w:cs="Times New Roman"/>
          <w:b/>
          <w:color w:val="auto"/>
          <w:sz w:val="36"/>
          <w:szCs w:val="36"/>
          <w:highlight w:val="none"/>
        </w:rPr>
        <w:t>第三章</w:t>
      </w:r>
      <w:r>
        <w:rPr>
          <w:rFonts w:hint="eastAsia" w:ascii="宋体" w:hAnsi="宋体" w:eastAsia="宋体" w:cs="Times New Roman"/>
          <w:b/>
          <w:color w:val="auto"/>
          <w:sz w:val="36"/>
          <w:szCs w:val="36"/>
          <w:highlight w:val="none"/>
        </w:rPr>
        <w:t xml:space="preserve"> 资格审查</w:t>
      </w:r>
      <w:bookmarkEnd w:id="470"/>
    </w:p>
    <w:p w14:paraId="6CDB5F6D">
      <w:pPr>
        <w:spacing w:line="360" w:lineRule="auto"/>
        <w:ind w:left="229" w:hanging="229"/>
        <w:jc w:val="center"/>
        <w:rPr>
          <w:rFonts w:hint="eastAsia" w:ascii="宋体" w:hAnsi="宋体" w:eastAsia="宋体" w:cs="Times New Roman"/>
          <w:b/>
          <w:color w:val="auto"/>
          <w:kern w:val="0"/>
          <w:sz w:val="24"/>
          <w:szCs w:val="24"/>
          <w:highlight w:val="none"/>
        </w:rPr>
      </w:pPr>
      <w:bookmarkStart w:id="472" w:name="_Toc99301422"/>
      <w:r>
        <w:rPr>
          <w:rFonts w:hint="default" w:ascii="宋体" w:hAnsi="宋体" w:eastAsia="宋体" w:cs="Times New Roman"/>
          <w:b/>
          <w:color w:val="auto"/>
          <w:kern w:val="0"/>
          <w:sz w:val="24"/>
          <w:szCs w:val="24"/>
          <w:highlight w:val="none"/>
        </w:rPr>
        <w:t>一、资格审查程序</w:t>
      </w:r>
      <w:bookmarkEnd w:id="472"/>
    </w:p>
    <w:p w14:paraId="6464BF07">
      <w:pPr>
        <w:widowControl w:val="0"/>
        <w:numPr>
          <w:ilvl w:val="0"/>
          <w:numId w:val="3"/>
        </w:numPr>
        <w:spacing w:line="360" w:lineRule="auto"/>
        <w:ind w:left="425" w:hanging="42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开标结束后，采购人将根据《资格审查要求》中的规定，对投标人进行资格审查，并形成资格审查结果</w:t>
      </w:r>
      <w:r>
        <w:rPr>
          <w:rFonts w:hint="default" w:ascii="宋体" w:hAnsi="宋体" w:eastAsia="宋体" w:cs="Times New Roman"/>
          <w:color w:val="auto"/>
          <w:sz w:val="24"/>
          <w:szCs w:val="24"/>
          <w:highlight w:val="none"/>
        </w:rPr>
        <w:t>。</w:t>
      </w:r>
    </w:p>
    <w:p w14:paraId="5941370C">
      <w:pPr>
        <w:widowControl w:val="0"/>
        <w:numPr>
          <w:ilvl w:val="0"/>
          <w:numId w:val="3"/>
        </w:numPr>
        <w:spacing w:line="360" w:lineRule="auto"/>
        <w:ind w:left="425" w:hanging="42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2"/>
          <w:highlight w:val="none"/>
        </w:rPr>
        <w:t>《资格审查要求》中对格式有要求的，除招标文件另有规定外，均为“实质性格式”文件</w:t>
      </w:r>
      <w:r>
        <w:rPr>
          <w:rFonts w:hint="default" w:ascii="宋体" w:hAnsi="宋体" w:eastAsia="宋体" w:cs="Times New Roman"/>
          <w:color w:val="auto"/>
          <w:sz w:val="24"/>
          <w:szCs w:val="24"/>
          <w:highlight w:val="none"/>
        </w:rPr>
        <w:t>。</w:t>
      </w:r>
    </w:p>
    <w:p w14:paraId="468B81D4">
      <w:pPr>
        <w:widowControl w:val="0"/>
        <w:numPr>
          <w:ilvl w:val="0"/>
          <w:numId w:val="3"/>
        </w:numPr>
        <w:spacing w:line="360" w:lineRule="auto"/>
        <w:ind w:left="425" w:hanging="42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投标人《资格证明文件》有任何一项不符合《资格审查要求》的，资格审查不合格，其投标无效。</w:t>
      </w:r>
    </w:p>
    <w:p w14:paraId="0270F2D8">
      <w:pPr>
        <w:widowControl w:val="0"/>
        <w:numPr>
          <w:ilvl w:val="0"/>
          <w:numId w:val="3"/>
        </w:numPr>
        <w:spacing w:line="360" w:lineRule="auto"/>
        <w:ind w:left="425" w:hanging="42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资格审查合格的投标人不足3家的，不进行评标。</w:t>
      </w:r>
    </w:p>
    <w:p w14:paraId="59BEF7CB">
      <w:pPr>
        <w:spacing w:line="360" w:lineRule="auto"/>
        <w:ind w:left="229" w:hanging="229"/>
        <w:jc w:val="center"/>
        <w:rPr>
          <w:rFonts w:hint="eastAsia" w:ascii="宋体" w:hAnsi="宋体" w:eastAsia="宋体" w:cs="Times New Roman"/>
          <w:b/>
          <w:color w:val="auto"/>
          <w:kern w:val="0"/>
          <w:sz w:val="24"/>
          <w:szCs w:val="24"/>
          <w:highlight w:val="none"/>
        </w:rPr>
      </w:pPr>
      <w:r>
        <w:rPr>
          <w:rFonts w:hint="default" w:ascii="宋体" w:hAnsi="宋体" w:eastAsia="宋体" w:cs="Times New Roman"/>
          <w:b/>
          <w:color w:val="auto"/>
          <w:kern w:val="0"/>
          <w:sz w:val="24"/>
          <w:szCs w:val="24"/>
          <w:highlight w:val="none"/>
        </w:rPr>
        <w:t>二、资格审查要求</w:t>
      </w:r>
    </w:p>
    <w:tbl>
      <w:tblPr>
        <w:tblStyle w:val="7"/>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17"/>
        <w:gridCol w:w="4426"/>
        <w:gridCol w:w="1504"/>
      </w:tblGrid>
      <w:tr w14:paraId="0ACD4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4A1B2066">
            <w:pPr>
              <w:tabs>
                <w:tab w:val="left" w:pos="1080"/>
              </w:tabs>
              <w:jc w:val="center"/>
              <w:rPr>
                <w:rFonts w:hint="default"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066" w:type="pct"/>
            <w:noWrap w:val="0"/>
            <w:vAlign w:val="center"/>
          </w:tcPr>
          <w:p w14:paraId="14217C63">
            <w:pPr>
              <w:tabs>
                <w:tab w:val="left" w:pos="1080"/>
              </w:tabs>
              <w:jc w:val="center"/>
              <w:rPr>
                <w:rFonts w:hint="default"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审查因素</w:t>
            </w:r>
          </w:p>
        </w:tc>
        <w:tc>
          <w:tcPr>
            <w:tcW w:w="2595" w:type="pct"/>
            <w:noWrap w:val="0"/>
            <w:vAlign w:val="center"/>
          </w:tcPr>
          <w:p w14:paraId="28853F82">
            <w:pPr>
              <w:tabs>
                <w:tab w:val="left" w:pos="1080"/>
              </w:tabs>
              <w:jc w:val="center"/>
              <w:rPr>
                <w:rFonts w:hint="default"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审查内容</w:t>
            </w:r>
          </w:p>
        </w:tc>
        <w:tc>
          <w:tcPr>
            <w:tcW w:w="881" w:type="pct"/>
            <w:noWrap w:val="0"/>
            <w:vAlign w:val="center"/>
          </w:tcPr>
          <w:p w14:paraId="4414CAA5">
            <w:pPr>
              <w:tabs>
                <w:tab w:val="left" w:pos="1080"/>
              </w:tabs>
              <w:jc w:val="center"/>
              <w:rPr>
                <w:rFonts w:hint="default" w:ascii="宋体" w:hAnsi="宋体" w:eastAsia="宋体" w:cs="宋体"/>
                <w:b/>
                <w:color w:val="auto"/>
                <w:kern w:val="0"/>
                <w:sz w:val="24"/>
                <w:highlight w:val="none"/>
              </w:rPr>
            </w:pPr>
            <w:r>
              <w:rPr>
                <w:rFonts w:hint="eastAsia" w:ascii="宋体" w:hAnsi="宋体" w:eastAsia="宋体" w:cs="宋体"/>
                <w:b/>
                <w:color w:val="auto"/>
                <w:kern w:val="0"/>
                <w:sz w:val="24"/>
                <w:highlight w:val="none"/>
              </w:rPr>
              <w:t>格式要求</w:t>
            </w:r>
          </w:p>
        </w:tc>
      </w:tr>
      <w:tr w14:paraId="54B4A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34A4EE8">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066" w:type="pct"/>
            <w:noWrap w:val="0"/>
            <w:vAlign w:val="center"/>
          </w:tcPr>
          <w:p w14:paraId="40294060">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满足《中华人民共和国政府采购法》第二十二条规定</w:t>
            </w:r>
          </w:p>
        </w:tc>
        <w:tc>
          <w:tcPr>
            <w:tcW w:w="2595" w:type="pct"/>
            <w:noWrap w:val="0"/>
            <w:vAlign w:val="center"/>
          </w:tcPr>
          <w:p w14:paraId="021E40E6">
            <w:pPr>
              <w:widowControl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具体规定见第一章《招标公告》</w:t>
            </w:r>
          </w:p>
        </w:tc>
        <w:tc>
          <w:tcPr>
            <w:tcW w:w="881" w:type="pct"/>
            <w:noWrap w:val="0"/>
            <w:vAlign w:val="center"/>
          </w:tcPr>
          <w:p w14:paraId="1EBA0241">
            <w:pPr>
              <w:tabs>
                <w:tab w:val="left" w:pos="1080"/>
              </w:tabs>
              <w:ind w:firstLine="482"/>
              <w:rPr>
                <w:rFonts w:hint="default" w:ascii="宋体" w:hAnsi="宋体" w:eastAsia="宋体" w:cs="宋体"/>
                <w:color w:val="auto"/>
                <w:kern w:val="0"/>
                <w:sz w:val="24"/>
                <w:highlight w:val="none"/>
              </w:rPr>
            </w:pPr>
          </w:p>
        </w:tc>
      </w:tr>
      <w:tr w14:paraId="3741C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372296D">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1-1</w:t>
            </w:r>
          </w:p>
        </w:tc>
        <w:tc>
          <w:tcPr>
            <w:tcW w:w="1066" w:type="pct"/>
            <w:noWrap w:val="0"/>
            <w:vAlign w:val="center"/>
          </w:tcPr>
          <w:p w14:paraId="67716C0F">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投标人资格声明函</w:t>
            </w:r>
          </w:p>
        </w:tc>
        <w:tc>
          <w:tcPr>
            <w:tcW w:w="2595" w:type="pct"/>
            <w:noWrap w:val="0"/>
            <w:vAlign w:val="center"/>
          </w:tcPr>
          <w:p w14:paraId="509C8CB1">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提供了符合招标文件要求的《投标人资格声明函》。</w:t>
            </w:r>
          </w:p>
        </w:tc>
        <w:tc>
          <w:tcPr>
            <w:tcW w:w="881" w:type="pct"/>
            <w:noWrap w:val="0"/>
            <w:vAlign w:val="center"/>
          </w:tcPr>
          <w:p w14:paraId="55906670">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格式见《投标文件格式》</w:t>
            </w:r>
          </w:p>
        </w:tc>
      </w:tr>
      <w:tr w14:paraId="71325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EEB4EF9">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1-2</w:t>
            </w:r>
          </w:p>
        </w:tc>
        <w:tc>
          <w:tcPr>
            <w:tcW w:w="1066" w:type="pct"/>
            <w:noWrap w:val="0"/>
            <w:vAlign w:val="center"/>
          </w:tcPr>
          <w:p w14:paraId="2365CB6B">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投标人信用记录</w:t>
            </w:r>
          </w:p>
        </w:tc>
        <w:tc>
          <w:tcPr>
            <w:tcW w:w="2595" w:type="pct"/>
            <w:noWrap w:val="0"/>
            <w:vAlign w:val="center"/>
          </w:tcPr>
          <w:p w14:paraId="3100C766">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查询渠道：信用中国网站或中国政府采购网（www.creditchina.gov.cn、www.ccgp.gov.cn）；</w:t>
            </w:r>
          </w:p>
          <w:p w14:paraId="47526C3A">
            <w:pPr>
              <w:tabs>
                <w:tab w:val="left" w:pos="900"/>
                <w:tab w:val="left" w:pos="19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截止时点：投标截止时间以后、资格审查阶段采购人或采购代理机构的实际查询时间；</w:t>
            </w:r>
          </w:p>
          <w:p w14:paraId="5724227D">
            <w:pPr>
              <w:tabs>
                <w:tab w:val="left" w:pos="900"/>
                <w:tab w:val="left" w:pos="19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信用信息查询记录和证据留存具体方式：查询结果网页打印页作为查询记录和证据，与其他采购文件一并保存；</w:t>
            </w:r>
          </w:p>
          <w:p w14:paraId="20BFCA7D">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。联合体形式投标的，联合体成员存在不良信用记录，视同联合体存在不良信用记录。</w:t>
            </w:r>
          </w:p>
        </w:tc>
        <w:tc>
          <w:tcPr>
            <w:tcW w:w="881" w:type="pct"/>
            <w:noWrap w:val="0"/>
            <w:vAlign w:val="center"/>
          </w:tcPr>
          <w:p w14:paraId="7442ABB3">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无须投标人提供，由采购人或采购代理机构查询。</w:t>
            </w:r>
          </w:p>
        </w:tc>
      </w:tr>
      <w:tr w14:paraId="5E66B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D60DB89">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066" w:type="pct"/>
            <w:noWrap w:val="0"/>
            <w:vAlign w:val="center"/>
          </w:tcPr>
          <w:p w14:paraId="181C1D18">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落实政府采购政策需满足的资格要求</w:t>
            </w:r>
          </w:p>
        </w:tc>
        <w:tc>
          <w:tcPr>
            <w:tcW w:w="2595" w:type="pct"/>
            <w:noWrap w:val="0"/>
            <w:vAlign w:val="center"/>
          </w:tcPr>
          <w:p w14:paraId="33D0E53A">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具体要求见第一章《招标公告》</w:t>
            </w:r>
          </w:p>
        </w:tc>
        <w:tc>
          <w:tcPr>
            <w:tcW w:w="881" w:type="pct"/>
            <w:noWrap w:val="0"/>
            <w:vAlign w:val="center"/>
          </w:tcPr>
          <w:p w14:paraId="0EBF9B50">
            <w:pPr>
              <w:tabs>
                <w:tab w:val="left" w:pos="1080"/>
              </w:tabs>
              <w:ind w:firstLine="482"/>
              <w:rPr>
                <w:rFonts w:hint="default" w:ascii="宋体" w:hAnsi="宋体" w:eastAsia="宋体" w:cs="宋体"/>
                <w:color w:val="auto"/>
                <w:kern w:val="0"/>
                <w:sz w:val="24"/>
                <w:highlight w:val="none"/>
              </w:rPr>
            </w:pPr>
          </w:p>
        </w:tc>
      </w:tr>
      <w:tr w14:paraId="00ABD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F41C210">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2-1</w:t>
            </w:r>
          </w:p>
        </w:tc>
        <w:tc>
          <w:tcPr>
            <w:tcW w:w="1066" w:type="pct"/>
            <w:noWrap w:val="0"/>
            <w:vAlign w:val="center"/>
          </w:tcPr>
          <w:p w14:paraId="2E5A4B86">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中小企业声明函</w:t>
            </w:r>
          </w:p>
        </w:tc>
        <w:tc>
          <w:tcPr>
            <w:tcW w:w="2595" w:type="pct"/>
            <w:noWrap w:val="0"/>
            <w:vAlign w:val="center"/>
          </w:tcPr>
          <w:p w14:paraId="51941B39">
            <w:pPr>
              <w:tabs>
                <w:tab w:val="left" w:pos="1080"/>
              </w:tabs>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投标人单独参与投标的，应提供中小企业声明函；如为监狱企业或残疾人福利性单位，不必提供中小企业声明函，但须按注1或注2要求提供证明材料。</w:t>
            </w:r>
          </w:p>
          <w:p w14:paraId="2B0A85BC">
            <w:pPr>
              <w:tabs>
                <w:tab w:val="left" w:pos="1080"/>
              </w:tabs>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注1：监狱企业须提供由省级以上监狱管理局（常州市含教育矫治局）、戒毒管理局（含新疆生产建设兵团）出具的属于监狱企业的证明文件。</w:t>
            </w:r>
          </w:p>
          <w:p w14:paraId="4BD830AF">
            <w:pPr>
              <w:tabs>
                <w:tab w:val="left" w:pos="1080"/>
              </w:tabs>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注2：残疾人福利性单位须按招标文件要求提供《残疾人福利性单位声明函》。</w:t>
            </w:r>
          </w:p>
        </w:tc>
        <w:tc>
          <w:tcPr>
            <w:tcW w:w="881" w:type="pct"/>
            <w:noWrap w:val="0"/>
            <w:vAlign w:val="center"/>
          </w:tcPr>
          <w:p w14:paraId="335D463B">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格式见《</w:t>
            </w:r>
            <w:r>
              <w:rPr>
                <w:rFonts w:hint="eastAsia" w:ascii="宋体" w:hAnsi="宋体" w:eastAsia="宋体" w:cs="宋体"/>
                <w:color w:val="auto"/>
                <w:kern w:val="0"/>
                <w:sz w:val="24"/>
                <w:highlight w:val="none"/>
                <w:lang w:val="en-US" w:eastAsia="zh-CN"/>
              </w:rPr>
              <w:t>投标</w:t>
            </w:r>
            <w:r>
              <w:rPr>
                <w:rFonts w:hint="eastAsia" w:ascii="宋体" w:hAnsi="宋体" w:eastAsia="宋体" w:cs="宋体"/>
                <w:color w:val="auto"/>
                <w:kern w:val="0"/>
                <w:sz w:val="24"/>
                <w:highlight w:val="none"/>
              </w:rPr>
              <w:t>文件格式》</w:t>
            </w:r>
          </w:p>
        </w:tc>
      </w:tr>
      <w:tr w14:paraId="3B6D7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538809A">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2-2</w:t>
            </w:r>
          </w:p>
        </w:tc>
        <w:tc>
          <w:tcPr>
            <w:tcW w:w="1066" w:type="pct"/>
            <w:noWrap w:val="0"/>
            <w:vAlign w:val="center"/>
          </w:tcPr>
          <w:p w14:paraId="1ADB9558">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拟分包情况说明及分包意向协议（类型一）</w:t>
            </w:r>
          </w:p>
        </w:tc>
        <w:tc>
          <w:tcPr>
            <w:tcW w:w="2595" w:type="pct"/>
            <w:noWrap w:val="0"/>
            <w:vAlign w:val="center"/>
          </w:tcPr>
          <w:p w14:paraId="305638E3">
            <w:pPr>
              <w:tabs>
                <w:tab w:val="left" w:pos="1080"/>
              </w:tabs>
              <w:ind w:firstLine="482"/>
              <w:jc w:val="center"/>
              <w:rPr>
                <w:rFonts w:hint="default" w:ascii="宋体" w:hAnsi="宋体" w:eastAsia="宋体" w:cs="宋体"/>
                <w:b/>
                <w:color w:val="auto"/>
                <w:kern w:val="0"/>
                <w:sz w:val="24"/>
                <w:highlight w:val="none"/>
              </w:rPr>
            </w:pPr>
            <w:r>
              <w:rPr>
                <w:rFonts w:hint="eastAsia" w:ascii="宋体" w:hAnsi="宋体" w:eastAsia="宋体" w:cs="宋体"/>
                <w:bCs/>
                <w:color w:val="auto"/>
                <w:kern w:val="0"/>
                <w:sz w:val="24"/>
                <w:highlight w:val="none"/>
              </w:rPr>
              <w:t>/</w:t>
            </w:r>
          </w:p>
        </w:tc>
        <w:tc>
          <w:tcPr>
            <w:tcW w:w="881" w:type="pct"/>
            <w:noWrap w:val="0"/>
            <w:vAlign w:val="center"/>
          </w:tcPr>
          <w:p w14:paraId="1C856C54">
            <w:pPr>
              <w:tabs>
                <w:tab w:val="left" w:pos="1080"/>
              </w:tabs>
              <w:ind w:firstLine="482"/>
              <w:rPr>
                <w:rFonts w:hint="default" w:ascii="宋体" w:hAnsi="宋体" w:eastAsia="宋体" w:cs="宋体"/>
                <w:color w:val="auto"/>
                <w:kern w:val="0"/>
                <w:sz w:val="24"/>
                <w:highlight w:val="none"/>
              </w:rPr>
            </w:pPr>
          </w:p>
        </w:tc>
      </w:tr>
      <w:tr w14:paraId="74762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BFA8512">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2-3</w:t>
            </w:r>
          </w:p>
        </w:tc>
        <w:tc>
          <w:tcPr>
            <w:tcW w:w="1066" w:type="pct"/>
            <w:noWrap w:val="0"/>
            <w:vAlign w:val="center"/>
          </w:tcPr>
          <w:p w14:paraId="21CFB4FB">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其它落实政府采购政策的资格要求</w:t>
            </w:r>
          </w:p>
        </w:tc>
        <w:tc>
          <w:tcPr>
            <w:tcW w:w="2595" w:type="pct"/>
            <w:noWrap w:val="0"/>
            <w:vAlign w:val="center"/>
          </w:tcPr>
          <w:p w14:paraId="3BAF562C">
            <w:pPr>
              <w:tabs>
                <w:tab w:val="left" w:pos="1080"/>
              </w:tabs>
              <w:ind w:firstLine="482"/>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tc>
        <w:tc>
          <w:tcPr>
            <w:tcW w:w="881" w:type="pct"/>
            <w:noWrap w:val="0"/>
            <w:vAlign w:val="center"/>
          </w:tcPr>
          <w:p w14:paraId="42C67F0D">
            <w:pPr>
              <w:tabs>
                <w:tab w:val="left" w:pos="1080"/>
              </w:tabs>
              <w:ind w:firstLine="482"/>
              <w:rPr>
                <w:rFonts w:hint="default" w:ascii="宋体" w:hAnsi="宋体" w:eastAsia="宋体" w:cs="宋体"/>
                <w:color w:val="auto"/>
                <w:kern w:val="0"/>
                <w:sz w:val="24"/>
                <w:highlight w:val="none"/>
              </w:rPr>
            </w:pPr>
          </w:p>
        </w:tc>
      </w:tr>
      <w:tr w14:paraId="11675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B706B0B">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066" w:type="pct"/>
            <w:noWrap w:val="0"/>
            <w:vAlign w:val="center"/>
          </w:tcPr>
          <w:p w14:paraId="1B661F6F">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本项目的特定资格要求</w:t>
            </w:r>
          </w:p>
        </w:tc>
        <w:tc>
          <w:tcPr>
            <w:tcW w:w="2595" w:type="pct"/>
            <w:noWrap w:val="0"/>
            <w:vAlign w:val="center"/>
          </w:tcPr>
          <w:p w14:paraId="01CDAF29">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如有，见第一章《招标公告》</w:t>
            </w:r>
          </w:p>
        </w:tc>
        <w:tc>
          <w:tcPr>
            <w:tcW w:w="881" w:type="pct"/>
            <w:noWrap w:val="0"/>
            <w:vAlign w:val="center"/>
          </w:tcPr>
          <w:p w14:paraId="2C75D31A">
            <w:pPr>
              <w:tabs>
                <w:tab w:val="left" w:pos="1080"/>
              </w:tabs>
              <w:ind w:firstLine="482"/>
              <w:rPr>
                <w:rFonts w:hint="default" w:ascii="宋体" w:hAnsi="宋体" w:eastAsia="宋体" w:cs="宋体"/>
                <w:color w:val="auto"/>
                <w:kern w:val="0"/>
                <w:sz w:val="24"/>
                <w:highlight w:val="none"/>
              </w:rPr>
            </w:pPr>
          </w:p>
        </w:tc>
      </w:tr>
      <w:tr w14:paraId="488C0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55" w:type="pct"/>
            <w:noWrap w:val="0"/>
            <w:vAlign w:val="center"/>
          </w:tcPr>
          <w:p w14:paraId="12C09E42">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3-1</w:t>
            </w:r>
          </w:p>
        </w:tc>
        <w:tc>
          <w:tcPr>
            <w:tcW w:w="1066" w:type="pct"/>
            <w:noWrap w:val="0"/>
            <w:vAlign w:val="center"/>
          </w:tcPr>
          <w:p w14:paraId="701D2883">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是否接受联合体投标</w:t>
            </w:r>
          </w:p>
        </w:tc>
        <w:tc>
          <w:tcPr>
            <w:tcW w:w="2595" w:type="pct"/>
            <w:noWrap w:val="0"/>
            <w:vAlign w:val="center"/>
          </w:tcPr>
          <w:p w14:paraId="29A54A44">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如有，见第一章《招标公告》</w:t>
            </w:r>
          </w:p>
        </w:tc>
        <w:tc>
          <w:tcPr>
            <w:tcW w:w="881" w:type="pct"/>
            <w:noWrap w:val="0"/>
            <w:vAlign w:val="center"/>
          </w:tcPr>
          <w:p w14:paraId="1BCA7925">
            <w:pPr>
              <w:tabs>
                <w:tab w:val="left" w:pos="1080"/>
              </w:tabs>
              <w:ind w:firstLine="482"/>
              <w:rPr>
                <w:rFonts w:hint="default" w:ascii="宋体" w:hAnsi="宋体" w:eastAsia="宋体" w:cs="宋体"/>
                <w:color w:val="auto"/>
                <w:kern w:val="0"/>
                <w:sz w:val="24"/>
                <w:highlight w:val="none"/>
              </w:rPr>
            </w:pPr>
          </w:p>
        </w:tc>
      </w:tr>
      <w:tr w14:paraId="2E9F1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93" w:hRule="atLeast"/>
        </w:trPr>
        <w:tc>
          <w:tcPr>
            <w:tcW w:w="455" w:type="pct"/>
            <w:noWrap w:val="0"/>
            <w:vAlign w:val="center"/>
          </w:tcPr>
          <w:p w14:paraId="19E20F1B">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3-2</w:t>
            </w:r>
          </w:p>
        </w:tc>
        <w:tc>
          <w:tcPr>
            <w:tcW w:w="1066" w:type="pct"/>
            <w:noWrap w:val="0"/>
            <w:vAlign w:val="center"/>
          </w:tcPr>
          <w:p w14:paraId="3402D095">
            <w:pPr>
              <w:tabs>
                <w:tab w:val="left" w:pos="1080"/>
              </w:tabs>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其他特定资格要求</w:t>
            </w:r>
          </w:p>
        </w:tc>
        <w:tc>
          <w:tcPr>
            <w:tcW w:w="2595" w:type="pct"/>
            <w:noWrap w:val="0"/>
            <w:vAlign w:val="center"/>
          </w:tcPr>
          <w:p w14:paraId="186B0FEB">
            <w:pPr>
              <w:tabs>
                <w:tab w:val="left" w:pos="1080"/>
              </w:tabs>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如有，见第一章《招标公告》</w:t>
            </w:r>
          </w:p>
        </w:tc>
        <w:tc>
          <w:tcPr>
            <w:tcW w:w="881" w:type="pct"/>
            <w:noWrap w:val="0"/>
            <w:vAlign w:val="center"/>
          </w:tcPr>
          <w:p w14:paraId="68B2AFCE">
            <w:pPr>
              <w:tabs>
                <w:tab w:val="left" w:pos="1080"/>
              </w:tabs>
              <w:rPr>
                <w:rFonts w:hint="default" w:ascii="宋体" w:hAnsi="宋体" w:eastAsia="宋体" w:cs="宋体"/>
                <w:color w:val="auto"/>
                <w:kern w:val="0"/>
                <w:sz w:val="24"/>
                <w:highlight w:val="none"/>
                <w:lang w:val="en-US" w:eastAsia="zh-CN"/>
              </w:rPr>
            </w:pPr>
          </w:p>
        </w:tc>
      </w:tr>
    </w:tbl>
    <w:p w14:paraId="095E6290">
      <w:pPr>
        <w:widowControl w:val="0"/>
        <w:spacing w:line="360" w:lineRule="auto"/>
        <w:ind w:left="343" w:hanging="343"/>
        <w:jc w:val="center"/>
        <w:outlineLvl w:val="0"/>
        <w:rPr>
          <w:rFonts w:hint="eastAsia" w:ascii="宋体" w:hAnsi="宋体" w:eastAsia="宋体" w:cs="Times New Roman"/>
          <w:b/>
          <w:color w:val="auto"/>
          <w:sz w:val="36"/>
          <w:szCs w:val="36"/>
          <w:highlight w:val="none"/>
        </w:rPr>
      </w:pPr>
      <w:r>
        <w:rPr>
          <w:rFonts w:hint="default" w:ascii="宋体" w:hAnsi="宋体" w:eastAsia="宋体" w:cs="Times New Roman"/>
          <w:b/>
          <w:color w:val="auto"/>
          <w:sz w:val="24"/>
          <w:szCs w:val="36"/>
          <w:highlight w:val="none"/>
        </w:rPr>
        <w:br w:type="page" w:clear="all"/>
      </w:r>
      <w:bookmarkStart w:id="473" w:name="_Toc15236"/>
      <w:r>
        <w:rPr>
          <w:rFonts w:hint="default" w:ascii="宋体" w:hAnsi="宋体" w:eastAsia="宋体" w:cs="Times New Roman"/>
          <w:b/>
          <w:color w:val="auto"/>
          <w:sz w:val="36"/>
          <w:szCs w:val="36"/>
          <w:highlight w:val="none"/>
        </w:rPr>
        <w:t>第</w:t>
      </w:r>
      <w:r>
        <w:rPr>
          <w:rFonts w:hint="eastAsia" w:ascii="宋体" w:hAnsi="宋体" w:eastAsia="宋体" w:cs="Times New Roman"/>
          <w:b/>
          <w:color w:val="auto"/>
          <w:sz w:val="36"/>
          <w:szCs w:val="36"/>
          <w:highlight w:val="none"/>
        </w:rPr>
        <w:t>四</w:t>
      </w:r>
      <w:r>
        <w:rPr>
          <w:rFonts w:hint="default" w:ascii="宋体" w:hAnsi="宋体" w:eastAsia="宋体" w:cs="Times New Roman"/>
          <w:b/>
          <w:color w:val="auto"/>
          <w:sz w:val="36"/>
          <w:szCs w:val="36"/>
          <w:highlight w:val="none"/>
        </w:rPr>
        <w:t>章评</w:t>
      </w:r>
      <w:r>
        <w:rPr>
          <w:rFonts w:hint="eastAsia" w:ascii="宋体" w:hAnsi="宋体" w:eastAsia="宋体" w:cs="Times New Roman"/>
          <w:b/>
          <w:color w:val="auto"/>
          <w:sz w:val="36"/>
          <w:szCs w:val="36"/>
          <w:highlight w:val="none"/>
        </w:rPr>
        <w:t>标程序、评标</w:t>
      </w:r>
      <w:r>
        <w:rPr>
          <w:rFonts w:hint="default" w:ascii="宋体" w:hAnsi="宋体" w:eastAsia="宋体" w:cs="Times New Roman"/>
          <w:b/>
          <w:color w:val="auto"/>
          <w:sz w:val="36"/>
          <w:szCs w:val="36"/>
          <w:highlight w:val="none"/>
        </w:rPr>
        <w:t>方法和评</w:t>
      </w:r>
      <w:r>
        <w:rPr>
          <w:rFonts w:hint="eastAsia" w:ascii="宋体" w:hAnsi="宋体" w:eastAsia="宋体" w:cs="Times New Roman"/>
          <w:b/>
          <w:color w:val="auto"/>
          <w:sz w:val="36"/>
          <w:szCs w:val="36"/>
          <w:highlight w:val="none"/>
        </w:rPr>
        <w:t>标</w:t>
      </w:r>
      <w:r>
        <w:rPr>
          <w:rFonts w:hint="default" w:ascii="宋体" w:hAnsi="宋体" w:eastAsia="宋体" w:cs="Times New Roman"/>
          <w:b/>
          <w:color w:val="auto"/>
          <w:sz w:val="36"/>
          <w:szCs w:val="36"/>
          <w:highlight w:val="none"/>
        </w:rPr>
        <w:t>标准</w:t>
      </w:r>
      <w:bookmarkEnd w:id="471"/>
      <w:bookmarkEnd w:id="473"/>
    </w:p>
    <w:p w14:paraId="36ECEBCD">
      <w:pPr>
        <w:spacing w:line="360" w:lineRule="auto"/>
        <w:ind w:left="267" w:hanging="267"/>
        <w:jc w:val="center"/>
        <w:rPr>
          <w:rFonts w:hint="eastAsia" w:ascii="宋体" w:hAnsi="宋体" w:eastAsia="宋体" w:cs="Times New Roman"/>
          <w:b/>
          <w:color w:val="auto"/>
          <w:kern w:val="0"/>
          <w:sz w:val="28"/>
          <w:szCs w:val="28"/>
          <w:highlight w:val="none"/>
        </w:rPr>
      </w:pPr>
      <w:r>
        <w:rPr>
          <w:rFonts w:hint="default" w:ascii="宋体" w:hAnsi="宋体" w:eastAsia="宋体" w:cs="Times New Roman"/>
          <w:b/>
          <w:color w:val="auto"/>
          <w:kern w:val="0"/>
          <w:sz w:val="28"/>
          <w:szCs w:val="28"/>
          <w:highlight w:val="none"/>
        </w:rPr>
        <w:t>一</w:t>
      </w:r>
      <w:r>
        <w:rPr>
          <w:rFonts w:hint="eastAsia" w:ascii="宋体" w:hAnsi="宋体" w:eastAsia="宋体" w:cs="Times New Roman"/>
          <w:b/>
          <w:color w:val="auto"/>
          <w:kern w:val="0"/>
          <w:sz w:val="28"/>
          <w:szCs w:val="28"/>
          <w:highlight w:val="none"/>
        </w:rPr>
        <w:t>、</w:t>
      </w:r>
      <w:r>
        <w:rPr>
          <w:rFonts w:hint="default" w:ascii="宋体" w:hAnsi="宋体" w:eastAsia="宋体" w:cs="Times New Roman"/>
          <w:b/>
          <w:color w:val="auto"/>
          <w:kern w:val="0"/>
          <w:sz w:val="28"/>
          <w:szCs w:val="28"/>
          <w:highlight w:val="none"/>
        </w:rPr>
        <w:t>评</w:t>
      </w:r>
      <w:r>
        <w:rPr>
          <w:rFonts w:hint="eastAsia" w:ascii="宋体" w:hAnsi="宋体" w:eastAsia="宋体" w:cs="Times New Roman"/>
          <w:b/>
          <w:color w:val="auto"/>
          <w:kern w:val="0"/>
          <w:sz w:val="28"/>
          <w:szCs w:val="28"/>
          <w:highlight w:val="none"/>
        </w:rPr>
        <w:t>标</w:t>
      </w:r>
      <w:r>
        <w:rPr>
          <w:rFonts w:hint="default" w:ascii="宋体" w:hAnsi="宋体" w:eastAsia="宋体" w:cs="Times New Roman"/>
          <w:b/>
          <w:color w:val="auto"/>
          <w:kern w:val="0"/>
          <w:sz w:val="28"/>
          <w:szCs w:val="28"/>
          <w:highlight w:val="none"/>
        </w:rPr>
        <w:t>程序</w:t>
      </w:r>
    </w:p>
    <w:p w14:paraId="30283F66">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bookmarkStart w:id="474" w:name="_Toc151193783"/>
      <w:bookmarkStart w:id="475" w:name="_Toc164229236"/>
      <w:bookmarkStart w:id="476" w:name="_Toc142311043"/>
      <w:bookmarkStart w:id="477" w:name="_Toc195842906"/>
      <w:bookmarkStart w:id="478" w:name="_Toc150774641"/>
      <w:bookmarkStart w:id="479" w:name="_Toc151193711"/>
      <w:bookmarkStart w:id="480" w:name="_Toc149720834"/>
      <w:bookmarkStart w:id="481" w:name="_Toc150480779"/>
      <w:bookmarkStart w:id="482" w:name="_Toc226965731"/>
      <w:bookmarkStart w:id="483" w:name="_Toc150774746"/>
      <w:bookmarkStart w:id="484" w:name="_Toc151193639"/>
      <w:bookmarkStart w:id="485" w:name="_Toc164229382"/>
      <w:bookmarkStart w:id="486" w:name="_Toc127161455"/>
      <w:bookmarkStart w:id="487" w:name="_Toc127151541"/>
      <w:bookmarkStart w:id="488" w:name="_Toc264969231"/>
      <w:bookmarkStart w:id="489" w:name="_Toc265228379"/>
      <w:bookmarkStart w:id="490" w:name="_Toc127151742"/>
      <w:bookmarkStart w:id="491" w:name="_Toc305158883"/>
      <w:bookmarkStart w:id="492" w:name="_Toc151193855"/>
      <w:bookmarkStart w:id="493" w:name="_Toc151193929"/>
      <w:bookmarkStart w:id="494" w:name="_Toc226965814"/>
      <w:bookmarkStart w:id="495" w:name="_Toc150509292"/>
      <w:bookmarkStart w:id="496" w:name="_Toc164608655"/>
      <w:bookmarkStart w:id="497" w:name="_Toc305158809"/>
      <w:bookmarkStart w:id="498" w:name="_Toc164608810"/>
      <w:bookmarkStart w:id="499" w:name="_Toc164351635"/>
      <w:bookmarkStart w:id="500" w:name="_Toc151190168"/>
      <w:bookmarkStart w:id="501" w:name="_Toc226337237"/>
      <w:bookmarkStart w:id="502" w:name="_Toc226309785"/>
      <w:r>
        <w:rPr>
          <w:rFonts w:hint="default" w:ascii="宋体" w:hAnsi="宋体" w:eastAsia="宋体" w:cs="Times New Roman"/>
          <w:color w:val="auto"/>
          <w:sz w:val="24"/>
          <w:szCs w:val="22"/>
          <w:highlight w:val="none"/>
        </w:rPr>
        <w:t>投标文件的符合性审查</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2AEA30D4">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评标委员会对资格审查合格的投标人的投标文件进行符合性审查，以确定其是否满足招标文件的实质性要求</w:t>
      </w:r>
      <w:r>
        <w:rPr>
          <w:rFonts w:hint="eastAsia" w:ascii="宋体" w:hAnsi="宋体" w:eastAsia="宋体" w:cs="Times New Roman"/>
          <w:color w:val="auto"/>
          <w:sz w:val="24"/>
          <w:szCs w:val="22"/>
          <w:highlight w:val="none"/>
        </w:rPr>
        <w:t>。</w:t>
      </w:r>
    </w:p>
    <w:p w14:paraId="18253034">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评标委员会根据《符合性审查</w:t>
      </w:r>
      <w:r>
        <w:rPr>
          <w:rFonts w:hint="eastAsia" w:ascii="宋体" w:hAnsi="宋体" w:eastAsia="宋体" w:cs="Times New Roman"/>
          <w:color w:val="auto"/>
          <w:sz w:val="24"/>
          <w:szCs w:val="22"/>
          <w:highlight w:val="none"/>
        </w:rPr>
        <w:t>要求</w:t>
      </w:r>
      <w:r>
        <w:rPr>
          <w:rFonts w:hint="default" w:ascii="宋体" w:hAnsi="宋体" w:eastAsia="宋体" w:cs="Times New Roman"/>
          <w:color w:val="auto"/>
          <w:sz w:val="24"/>
          <w:szCs w:val="22"/>
          <w:highlight w:val="none"/>
        </w:rPr>
        <w:t>》中规定的审查因素和审查内容，对投标人的投标文件是否实质上响应招标文件进行符合性审查，并形成符合性审查评审结果。</w:t>
      </w:r>
      <w:r>
        <w:rPr>
          <w:rFonts w:hint="eastAsia" w:ascii="宋体" w:hAnsi="宋体" w:eastAsia="宋体" w:cs="Times New Roman"/>
          <w:color w:val="auto"/>
          <w:sz w:val="24"/>
          <w:szCs w:val="22"/>
          <w:highlight w:val="none"/>
        </w:rPr>
        <w:t>投标人《商务技术文件》有任何一项不符合</w:t>
      </w:r>
      <w:r>
        <w:rPr>
          <w:rFonts w:hint="default" w:ascii="宋体" w:hAnsi="宋体" w:eastAsia="宋体" w:cs="Times New Roman"/>
          <w:color w:val="auto"/>
          <w:sz w:val="24"/>
          <w:szCs w:val="22"/>
          <w:highlight w:val="none"/>
        </w:rPr>
        <w:t>《符合性审查</w:t>
      </w:r>
      <w:r>
        <w:rPr>
          <w:rFonts w:hint="eastAsia" w:ascii="宋体" w:hAnsi="宋体" w:eastAsia="宋体" w:cs="Times New Roman"/>
          <w:color w:val="auto"/>
          <w:sz w:val="24"/>
          <w:szCs w:val="22"/>
          <w:highlight w:val="none"/>
        </w:rPr>
        <w:t>要求</w:t>
      </w:r>
      <w:r>
        <w:rPr>
          <w:rFonts w:hint="default" w:ascii="宋体" w:hAnsi="宋体" w:eastAsia="宋体" w:cs="Times New Roman"/>
          <w:color w:val="auto"/>
          <w:sz w:val="24"/>
          <w:szCs w:val="22"/>
          <w:highlight w:val="none"/>
        </w:rPr>
        <w:t>》</w:t>
      </w:r>
      <w:r>
        <w:rPr>
          <w:rFonts w:hint="eastAsia" w:ascii="宋体" w:hAnsi="宋体" w:eastAsia="宋体" w:cs="Times New Roman"/>
          <w:color w:val="auto"/>
          <w:sz w:val="24"/>
          <w:szCs w:val="22"/>
          <w:highlight w:val="none"/>
        </w:rPr>
        <w:t>要求的，</w:t>
      </w:r>
      <w:r>
        <w:rPr>
          <w:rFonts w:hint="eastAsia" w:ascii="宋体" w:hAnsi="宋体" w:eastAsia="宋体" w:cs="Times New Roman"/>
          <w:b/>
          <w:color w:val="auto"/>
          <w:sz w:val="24"/>
          <w:szCs w:val="22"/>
          <w:highlight w:val="none"/>
        </w:rPr>
        <w:t>投标无效</w:t>
      </w:r>
      <w:r>
        <w:rPr>
          <w:rFonts w:hint="eastAsia" w:ascii="宋体" w:hAnsi="宋体" w:eastAsia="宋体" w:cs="Times New Roman"/>
          <w:color w:val="auto"/>
          <w:sz w:val="24"/>
          <w:szCs w:val="22"/>
          <w:highlight w:val="none"/>
        </w:rPr>
        <w:t>。</w:t>
      </w:r>
    </w:p>
    <w:p w14:paraId="76D677BE">
      <w:pPr>
        <w:spacing w:line="360" w:lineRule="auto"/>
        <w:ind w:left="200" w:hanging="200"/>
        <w:jc w:val="center"/>
        <w:rPr>
          <w:rFonts w:hint="eastAsia" w:ascii="宋体" w:hAnsi="宋体" w:eastAsia="宋体" w:cs="Times New Roman"/>
          <w:b/>
          <w:color w:val="auto"/>
          <w:kern w:val="0"/>
          <w:szCs w:val="21"/>
          <w:highlight w:val="none"/>
        </w:rPr>
      </w:pPr>
      <w:r>
        <w:rPr>
          <w:rFonts w:hint="default" w:ascii="宋体" w:hAnsi="宋体" w:eastAsia="宋体" w:cs="Times New Roman"/>
          <w:b/>
          <w:color w:val="auto"/>
          <w:kern w:val="0"/>
          <w:szCs w:val="21"/>
          <w:highlight w:val="none"/>
        </w:rPr>
        <w:t>符合性审查要求</w:t>
      </w:r>
    </w:p>
    <w:tbl>
      <w:tblPr>
        <w:tblStyle w:val="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252F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noWrap w:val="0"/>
            <w:vAlign w:val="center"/>
          </w:tcPr>
          <w:p w14:paraId="50347976">
            <w:pPr>
              <w:widowControl/>
              <w:ind w:left="200" w:hanging="200"/>
              <w:jc w:val="center"/>
              <w:rPr>
                <w:rFonts w:hint="eastAsia" w:ascii="宋体" w:hAnsi="宋体" w:eastAsia="宋体" w:cs="Times New Roman"/>
                <w:b/>
                <w:color w:val="auto"/>
                <w:kern w:val="0"/>
                <w:szCs w:val="21"/>
                <w:highlight w:val="none"/>
              </w:rPr>
            </w:pPr>
            <w:r>
              <w:rPr>
                <w:rFonts w:hint="default" w:ascii="宋体" w:hAnsi="宋体" w:eastAsia="宋体" w:cs="Times New Roman"/>
                <w:b/>
                <w:color w:val="auto"/>
                <w:kern w:val="0"/>
                <w:szCs w:val="21"/>
                <w:highlight w:val="none"/>
              </w:rPr>
              <w:t>序号</w:t>
            </w:r>
          </w:p>
        </w:tc>
        <w:tc>
          <w:tcPr>
            <w:tcW w:w="1813" w:type="dxa"/>
            <w:noWrap w:val="0"/>
            <w:vAlign w:val="center"/>
          </w:tcPr>
          <w:p w14:paraId="41318ECC">
            <w:pPr>
              <w:widowControl/>
              <w:ind w:left="200" w:hanging="200"/>
              <w:jc w:val="center"/>
              <w:rPr>
                <w:rFonts w:hint="eastAsia" w:ascii="宋体" w:hAnsi="宋体" w:eastAsia="宋体" w:cs="Times New Roman"/>
                <w:b/>
                <w:color w:val="auto"/>
                <w:kern w:val="0"/>
                <w:szCs w:val="21"/>
                <w:highlight w:val="none"/>
              </w:rPr>
            </w:pPr>
            <w:r>
              <w:rPr>
                <w:rFonts w:hint="default" w:ascii="宋体" w:hAnsi="宋体" w:eastAsia="宋体" w:cs="Times New Roman"/>
                <w:b/>
                <w:color w:val="auto"/>
                <w:kern w:val="0"/>
                <w:szCs w:val="21"/>
                <w:highlight w:val="none"/>
              </w:rPr>
              <w:t>审查因素</w:t>
            </w:r>
          </w:p>
        </w:tc>
        <w:tc>
          <w:tcPr>
            <w:tcW w:w="6108" w:type="dxa"/>
            <w:noWrap w:val="0"/>
            <w:vAlign w:val="center"/>
          </w:tcPr>
          <w:p w14:paraId="76C0FAA6">
            <w:pPr>
              <w:widowControl/>
              <w:ind w:left="200" w:hanging="200"/>
              <w:jc w:val="center"/>
              <w:rPr>
                <w:rFonts w:hint="eastAsia" w:ascii="宋体" w:hAnsi="宋体" w:eastAsia="宋体" w:cs="Times New Roman"/>
                <w:b/>
                <w:color w:val="auto"/>
                <w:kern w:val="0"/>
                <w:szCs w:val="21"/>
                <w:highlight w:val="none"/>
              </w:rPr>
            </w:pPr>
            <w:r>
              <w:rPr>
                <w:rFonts w:hint="default" w:ascii="宋体" w:hAnsi="宋体" w:eastAsia="宋体" w:cs="Times New Roman"/>
                <w:b/>
                <w:color w:val="auto"/>
                <w:kern w:val="0"/>
                <w:szCs w:val="21"/>
                <w:highlight w:val="none"/>
              </w:rPr>
              <w:t>审查内容</w:t>
            </w:r>
          </w:p>
        </w:tc>
      </w:tr>
      <w:tr w14:paraId="6FB1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4790630">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w:t>
            </w:r>
          </w:p>
        </w:tc>
        <w:tc>
          <w:tcPr>
            <w:tcW w:w="1813" w:type="dxa"/>
            <w:noWrap w:val="0"/>
            <w:vAlign w:val="center"/>
          </w:tcPr>
          <w:p w14:paraId="6D20729B">
            <w:pPr>
              <w:widowControl/>
              <w:ind w:left="199" w:hanging="199"/>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投标函、法定代表人资格证明书和政府采购供应商信用承诺书</w:t>
            </w:r>
          </w:p>
        </w:tc>
        <w:tc>
          <w:tcPr>
            <w:tcW w:w="6108" w:type="dxa"/>
            <w:noWrap w:val="0"/>
            <w:vAlign w:val="center"/>
          </w:tcPr>
          <w:p w14:paraId="0E741C3F">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按招标文件要求提供</w:t>
            </w:r>
            <w:r>
              <w:rPr>
                <w:rFonts w:hint="eastAsia" w:ascii="宋体" w:hAnsi="宋体" w:eastAsia="宋体" w:cs="Times New Roman"/>
                <w:color w:val="auto"/>
                <w:kern w:val="0"/>
                <w:szCs w:val="21"/>
                <w:highlight w:val="none"/>
              </w:rPr>
              <w:t>投标函、法定代表人资格证明书</w:t>
            </w:r>
            <w:r>
              <w:rPr>
                <w:rFonts w:hint="eastAsia" w:ascii="宋体" w:hAnsi="宋体" w:eastAsia="宋体" w:cs="Times New Roman"/>
                <w:b/>
                <w:bCs/>
                <w:color w:val="auto"/>
                <w:kern w:val="0"/>
                <w:szCs w:val="21"/>
                <w:highlight w:val="none"/>
              </w:rPr>
              <w:t>、</w:t>
            </w:r>
            <w:r>
              <w:rPr>
                <w:rFonts w:hint="eastAsia" w:ascii="宋体" w:hAnsi="宋体" w:eastAsia="宋体" w:cs="Times New Roman"/>
                <w:color w:val="auto"/>
                <w:kern w:val="0"/>
                <w:szCs w:val="21"/>
                <w:highlight w:val="none"/>
              </w:rPr>
              <w:t>政府采购供应商信用承诺书</w:t>
            </w:r>
            <w:r>
              <w:rPr>
                <w:rFonts w:hint="default" w:ascii="宋体" w:hAnsi="宋体" w:eastAsia="宋体" w:cs="Times New Roman"/>
                <w:color w:val="auto"/>
                <w:kern w:val="0"/>
                <w:szCs w:val="21"/>
                <w:highlight w:val="none"/>
              </w:rPr>
              <w:t>；</w:t>
            </w:r>
          </w:p>
        </w:tc>
      </w:tr>
      <w:tr w14:paraId="38DC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B84ED52">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2</w:t>
            </w:r>
          </w:p>
        </w:tc>
        <w:tc>
          <w:tcPr>
            <w:tcW w:w="1813" w:type="dxa"/>
            <w:noWrap w:val="0"/>
            <w:vAlign w:val="center"/>
          </w:tcPr>
          <w:p w14:paraId="083C87FE">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投标完整性</w:t>
            </w:r>
          </w:p>
        </w:tc>
        <w:tc>
          <w:tcPr>
            <w:tcW w:w="6108" w:type="dxa"/>
            <w:noWrap w:val="0"/>
            <w:vAlign w:val="center"/>
          </w:tcPr>
          <w:p w14:paraId="5FBEDAA6">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未</w:t>
            </w:r>
            <w:r>
              <w:rPr>
                <w:rFonts w:hint="default" w:ascii="宋体" w:hAnsi="宋体" w:eastAsia="宋体" w:cs="Times New Roman"/>
                <w:color w:val="auto"/>
                <w:kern w:val="0"/>
                <w:szCs w:val="21"/>
                <w:highlight w:val="none"/>
              </w:rPr>
              <w:t>将一个采购包中的内容拆开投标；</w:t>
            </w:r>
            <w:r>
              <w:rPr>
                <w:rFonts w:hint="eastAsia" w:ascii="宋体" w:hAnsi="宋体" w:eastAsia="宋体" w:cs="Times New Roman"/>
                <w:color w:val="auto"/>
                <w:kern w:val="0"/>
                <w:szCs w:val="21"/>
                <w:highlight w:val="none"/>
              </w:rPr>
              <w:t>（由评委审查，无需供应商提供材料）</w:t>
            </w:r>
          </w:p>
        </w:tc>
      </w:tr>
      <w:tr w14:paraId="7A1C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76B3D08">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3</w:t>
            </w:r>
          </w:p>
        </w:tc>
        <w:tc>
          <w:tcPr>
            <w:tcW w:w="1813" w:type="dxa"/>
            <w:noWrap w:val="0"/>
            <w:vAlign w:val="center"/>
          </w:tcPr>
          <w:p w14:paraId="64FBA176">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投标报价</w:t>
            </w:r>
          </w:p>
        </w:tc>
        <w:tc>
          <w:tcPr>
            <w:tcW w:w="6108" w:type="dxa"/>
            <w:noWrap w:val="0"/>
            <w:vAlign w:val="center"/>
          </w:tcPr>
          <w:p w14:paraId="25D56C2C">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投标报价</w:t>
            </w:r>
            <w:r>
              <w:rPr>
                <w:rFonts w:hint="eastAsia" w:ascii="宋体" w:hAnsi="宋体" w:eastAsia="宋体" w:cs="Times New Roman"/>
                <w:color w:val="auto"/>
                <w:kern w:val="0"/>
                <w:szCs w:val="21"/>
                <w:highlight w:val="none"/>
              </w:rPr>
              <w:t>未</w:t>
            </w:r>
            <w:r>
              <w:rPr>
                <w:rFonts w:hint="default" w:ascii="宋体" w:hAnsi="宋体" w:eastAsia="宋体" w:cs="Times New Roman"/>
                <w:color w:val="auto"/>
                <w:kern w:val="0"/>
                <w:szCs w:val="21"/>
                <w:highlight w:val="none"/>
              </w:rPr>
              <w:t>超过招标文件中规定的项目/采购包预算金额或者项目/采购包最高限价；</w:t>
            </w:r>
            <w:r>
              <w:rPr>
                <w:rFonts w:hint="eastAsia" w:ascii="宋体" w:hAnsi="宋体" w:eastAsia="宋体" w:cs="Times New Roman"/>
                <w:color w:val="auto"/>
                <w:kern w:val="0"/>
                <w:szCs w:val="21"/>
                <w:highlight w:val="none"/>
              </w:rPr>
              <w:t>（由评委审查，无需供应商提供材料）</w:t>
            </w:r>
          </w:p>
        </w:tc>
      </w:tr>
      <w:tr w14:paraId="44D6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F301D4A">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4</w:t>
            </w:r>
          </w:p>
        </w:tc>
        <w:tc>
          <w:tcPr>
            <w:tcW w:w="1813" w:type="dxa"/>
            <w:noWrap w:val="0"/>
            <w:vAlign w:val="center"/>
          </w:tcPr>
          <w:p w14:paraId="33234376">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报价唯一性</w:t>
            </w:r>
          </w:p>
        </w:tc>
        <w:tc>
          <w:tcPr>
            <w:tcW w:w="6108" w:type="dxa"/>
            <w:noWrap w:val="0"/>
            <w:vAlign w:val="center"/>
          </w:tcPr>
          <w:p w14:paraId="494CAE79">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投标文件</w:t>
            </w:r>
            <w:r>
              <w:rPr>
                <w:rFonts w:hint="eastAsia" w:ascii="宋体" w:hAnsi="宋体" w:eastAsia="宋体" w:cs="Times New Roman"/>
                <w:color w:val="auto"/>
                <w:kern w:val="0"/>
                <w:szCs w:val="21"/>
                <w:highlight w:val="none"/>
              </w:rPr>
              <w:t>未出现可选择性或可调整的报价（招标文件另有规定的除外）</w:t>
            </w:r>
            <w:r>
              <w:rPr>
                <w:rFonts w:hint="default" w:ascii="宋体" w:hAnsi="宋体" w:eastAsia="宋体" w:cs="Times New Roman"/>
                <w:color w:val="auto"/>
                <w:kern w:val="0"/>
                <w:szCs w:val="21"/>
                <w:highlight w:val="none"/>
              </w:rPr>
              <w:t>；</w:t>
            </w:r>
            <w:r>
              <w:rPr>
                <w:rFonts w:hint="eastAsia" w:ascii="宋体" w:hAnsi="宋体" w:eastAsia="宋体" w:cs="Times New Roman"/>
                <w:b/>
                <w:color w:val="auto"/>
                <w:kern w:val="0"/>
                <w:szCs w:val="21"/>
                <w:highlight w:val="none"/>
              </w:rPr>
              <w:t>提供《开标一览表》</w:t>
            </w:r>
            <w:r>
              <w:rPr>
                <w:rFonts w:hint="eastAsia" w:ascii="宋体" w:hAnsi="宋体" w:eastAsia="宋体" w:cs="Times New Roman"/>
                <w:color w:val="auto"/>
                <w:kern w:val="0"/>
                <w:szCs w:val="21"/>
                <w:highlight w:val="none"/>
              </w:rPr>
              <w:t>，详见附件格式</w:t>
            </w:r>
          </w:p>
        </w:tc>
      </w:tr>
      <w:tr w14:paraId="6456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BDD8C5D">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5</w:t>
            </w:r>
          </w:p>
        </w:tc>
        <w:tc>
          <w:tcPr>
            <w:tcW w:w="1813" w:type="dxa"/>
            <w:noWrap w:val="0"/>
            <w:vAlign w:val="center"/>
          </w:tcPr>
          <w:p w14:paraId="4D77136E">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投标有效期</w:t>
            </w:r>
          </w:p>
        </w:tc>
        <w:tc>
          <w:tcPr>
            <w:tcW w:w="6108" w:type="dxa"/>
            <w:noWrap w:val="0"/>
            <w:vAlign w:val="center"/>
          </w:tcPr>
          <w:p w14:paraId="5B9B2133">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投标文件中承诺的投标有效期</w:t>
            </w:r>
            <w:r>
              <w:rPr>
                <w:rFonts w:hint="eastAsia" w:ascii="宋体" w:hAnsi="宋体" w:eastAsia="宋体" w:cs="Times New Roman"/>
                <w:color w:val="auto"/>
                <w:kern w:val="0"/>
                <w:szCs w:val="21"/>
                <w:highlight w:val="none"/>
              </w:rPr>
              <w:t>满足</w:t>
            </w:r>
            <w:r>
              <w:rPr>
                <w:rFonts w:hint="default" w:ascii="宋体" w:hAnsi="宋体" w:eastAsia="宋体" w:cs="Times New Roman"/>
                <w:color w:val="auto"/>
                <w:kern w:val="0"/>
                <w:szCs w:val="21"/>
                <w:highlight w:val="none"/>
              </w:rPr>
              <w:t>招标文件中载明的投标有效期的；</w:t>
            </w:r>
            <w:r>
              <w:rPr>
                <w:rFonts w:hint="eastAsia" w:ascii="宋体" w:hAnsi="宋体" w:eastAsia="宋体" w:cs="Times New Roman"/>
                <w:color w:val="auto"/>
                <w:kern w:val="0"/>
                <w:szCs w:val="21"/>
                <w:highlight w:val="none"/>
              </w:rPr>
              <w:t>（按照《投标人须知资料表》中响应有效期要求提供承诺）</w:t>
            </w:r>
          </w:p>
        </w:tc>
      </w:tr>
      <w:tr w14:paraId="48EBD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3A0AB87">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6</w:t>
            </w:r>
          </w:p>
        </w:tc>
        <w:tc>
          <w:tcPr>
            <w:tcW w:w="1813" w:type="dxa"/>
            <w:noWrap w:val="0"/>
            <w:vAlign w:val="center"/>
          </w:tcPr>
          <w:p w14:paraId="76FD5C00">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签署、加盖公章</w:t>
            </w:r>
          </w:p>
        </w:tc>
        <w:tc>
          <w:tcPr>
            <w:tcW w:w="6108" w:type="dxa"/>
            <w:noWrap w:val="0"/>
            <w:vAlign w:val="center"/>
          </w:tcPr>
          <w:p w14:paraId="132B3188">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按照招标文件要求签署、加盖公章的；</w:t>
            </w:r>
            <w:r>
              <w:rPr>
                <w:rFonts w:hint="eastAsia" w:ascii="宋体" w:hAnsi="宋体" w:eastAsia="宋体" w:cs="Times New Roman"/>
                <w:color w:val="auto"/>
                <w:kern w:val="0"/>
                <w:szCs w:val="21"/>
                <w:highlight w:val="none"/>
              </w:rPr>
              <w:t>（由评委审查，无需供应商提供材料）</w:t>
            </w:r>
          </w:p>
        </w:tc>
      </w:tr>
      <w:tr w14:paraId="5138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7C13B24">
            <w:pPr>
              <w:widowControl/>
              <w:ind w:left="199" w:hanging="199"/>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7</w:t>
            </w:r>
          </w:p>
        </w:tc>
        <w:tc>
          <w:tcPr>
            <w:tcW w:w="1813" w:type="dxa"/>
            <w:noWrap w:val="0"/>
            <w:vAlign w:val="center"/>
          </w:tcPr>
          <w:p w14:paraId="38E92A82">
            <w:pPr>
              <w:widowControl/>
              <w:ind w:left="199" w:hanging="199"/>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实质性格式</w:t>
            </w:r>
          </w:p>
        </w:tc>
        <w:tc>
          <w:tcPr>
            <w:tcW w:w="6108" w:type="dxa"/>
            <w:noWrap w:val="0"/>
            <w:vAlign w:val="center"/>
          </w:tcPr>
          <w:p w14:paraId="052A9A5F">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标记为</w:t>
            </w:r>
            <w:r>
              <w:rPr>
                <w:rFonts w:hint="default" w:ascii="宋体" w:hAnsi="宋体" w:eastAsia="宋体" w:cs="Times New Roman"/>
                <w:color w:val="auto"/>
                <w:kern w:val="0"/>
                <w:szCs w:val="21"/>
                <w:highlight w:val="none"/>
              </w:rPr>
              <w:t>“实质性格式”的</w:t>
            </w:r>
            <w:r>
              <w:rPr>
                <w:rFonts w:hint="eastAsia" w:ascii="宋体" w:hAnsi="宋体" w:eastAsia="宋体" w:cs="Times New Roman"/>
                <w:color w:val="auto"/>
                <w:kern w:val="0"/>
                <w:szCs w:val="21"/>
                <w:highlight w:val="none"/>
              </w:rPr>
              <w:t>文件均按</w:t>
            </w:r>
            <w:r>
              <w:rPr>
                <w:rFonts w:hint="default" w:ascii="宋体" w:hAnsi="宋体" w:eastAsia="宋体" w:cs="Times New Roman"/>
                <w:color w:val="auto"/>
                <w:kern w:val="0"/>
                <w:szCs w:val="21"/>
                <w:highlight w:val="none"/>
              </w:rPr>
              <w:t>招标文件</w:t>
            </w:r>
            <w:r>
              <w:rPr>
                <w:rFonts w:hint="eastAsia" w:ascii="宋体" w:hAnsi="宋体" w:eastAsia="宋体" w:cs="Times New Roman"/>
                <w:color w:val="auto"/>
                <w:kern w:val="0"/>
                <w:szCs w:val="21"/>
                <w:highlight w:val="none"/>
              </w:rPr>
              <w:t>要求提供；除前面已提供的实质性格式文件以外，</w:t>
            </w:r>
            <w:r>
              <w:rPr>
                <w:rFonts w:hint="eastAsia" w:ascii="宋体" w:hAnsi="宋体" w:eastAsia="宋体" w:cs="Times New Roman"/>
                <w:b/>
                <w:color w:val="auto"/>
                <w:kern w:val="0"/>
                <w:szCs w:val="21"/>
                <w:highlight w:val="none"/>
              </w:rPr>
              <w:t>还需提供：分项报价表、合同条款偏离表，采购需求偏离表</w:t>
            </w:r>
            <w:r>
              <w:rPr>
                <w:rFonts w:hint="eastAsia" w:ascii="宋体" w:hAnsi="宋体" w:eastAsia="宋体" w:cs="Times New Roman"/>
                <w:color w:val="auto"/>
                <w:kern w:val="0"/>
                <w:szCs w:val="21"/>
                <w:highlight w:val="none"/>
              </w:rPr>
              <w:t>，详见附件格式。</w:t>
            </w:r>
          </w:p>
        </w:tc>
      </w:tr>
      <w:tr w14:paraId="446F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60DC882">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8</w:t>
            </w:r>
          </w:p>
        </w:tc>
        <w:tc>
          <w:tcPr>
            <w:tcW w:w="1813" w:type="dxa"/>
            <w:noWrap w:val="0"/>
            <w:vAlign w:val="center"/>
          </w:tcPr>
          <w:p w14:paraId="047E5B26">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Segoe UI Symbol"/>
                <w:color w:val="auto"/>
                <w:kern w:val="0"/>
                <w:szCs w:val="21"/>
                <w:highlight w:val="none"/>
              </w:rPr>
              <w:t>★</w:t>
            </w:r>
            <w:r>
              <w:rPr>
                <w:rFonts w:hint="default" w:ascii="宋体" w:hAnsi="宋体" w:eastAsia="宋体" w:cs="Times New Roman"/>
                <w:color w:val="auto"/>
                <w:kern w:val="0"/>
                <w:szCs w:val="21"/>
                <w:highlight w:val="none"/>
              </w:rPr>
              <w:t>号条款响应</w:t>
            </w:r>
          </w:p>
        </w:tc>
        <w:tc>
          <w:tcPr>
            <w:tcW w:w="6108" w:type="dxa"/>
            <w:noWrap w:val="0"/>
            <w:vAlign w:val="center"/>
          </w:tcPr>
          <w:p w14:paraId="5E440044">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投标文件满足招标文件第五章《采购需求》中</w:t>
            </w:r>
            <w:r>
              <w:rPr>
                <w:rFonts w:hint="default" w:ascii="宋体" w:hAnsi="宋体" w:eastAsia="宋体" w:cs="Segoe UI Symbol"/>
                <w:color w:val="auto"/>
                <w:kern w:val="0"/>
                <w:szCs w:val="21"/>
                <w:highlight w:val="none"/>
              </w:rPr>
              <w:t>★</w:t>
            </w:r>
            <w:r>
              <w:rPr>
                <w:rFonts w:hint="default" w:ascii="宋体" w:hAnsi="宋体" w:eastAsia="宋体" w:cs="Times New Roman"/>
                <w:color w:val="auto"/>
                <w:kern w:val="0"/>
                <w:szCs w:val="21"/>
                <w:highlight w:val="none"/>
              </w:rPr>
              <w:t>号条款要求的</w:t>
            </w:r>
            <w:r>
              <w:rPr>
                <w:rFonts w:hint="eastAsia" w:ascii="宋体" w:hAnsi="宋体" w:eastAsia="宋体" w:cs="Times New Roman"/>
                <w:color w:val="auto"/>
                <w:kern w:val="0"/>
                <w:szCs w:val="21"/>
                <w:highlight w:val="none"/>
              </w:rPr>
              <w:t>。</w:t>
            </w:r>
            <w:r>
              <w:rPr>
                <w:rFonts w:hint="eastAsia" w:ascii="宋体" w:hAnsi="宋体" w:eastAsia="宋体" w:cs="Times New Roman"/>
                <w:b/>
                <w:bCs/>
                <w:color w:val="auto"/>
                <w:kern w:val="0"/>
                <w:szCs w:val="21"/>
                <w:highlight w:val="none"/>
              </w:rPr>
              <w:t>（如</w:t>
            </w:r>
            <w:r>
              <w:rPr>
                <w:rFonts w:hint="default" w:ascii="宋体" w:hAnsi="宋体" w:eastAsia="宋体" w:cs="Times New Roman"/>
                <w:b/>
                <w:bCs/>
                <w:color w:val="auto"/>
                <w:kern w:val="0"/>
                <w:szCs w:val="21"/>
                <w:highlight w:val="none"/>
              </w:rPr>
              <w:t>第五章《采购需求》中</w:t>
            </w:r>
            <w:r>
              <w:rPr>
                <w:rFonts w:hint="eastAsia" w:ascii="宋体" w:hAnsi="宋体" w:eastAsia="宋体" w:cs="Times New Roman"/>
                <w:b/>
                <w:bCs/>
                <w:color w:val="auto"/>
                <w:kern w:val="0"/>
                <w:szCs w:val="21"/>
                <w:highlight w:val="none"/>
              </w:rPr>
              <w:t>有</w:t>
            </w:r>
            <w:r>
              <w:rPr>
                <w:rFonts w:hint="default" w:ascii="宋体" w:hAnsi="宋体" w:eastAsia="宋体" w:cs="Segoe UI Symbol"/>
                <w:b/>
                <w:bCs/>
                <w:color w:val="auto"/>
                <w:kern w:val="0"/>
                <w:szCs w:val="21"/>
                <w:highlight w:val="none"/>
              </w:rPr>
              <w:t>★</w:t>
            </w:r>
            <w:r>
              <w:rPr>
                <w:rFonts w:hint="default" w:ascii="宋体" w:hAnsi="宋体" w:eastAsia="宋体" w:cs="Times New Roman"/>
                <w:b/>
                <w:bCs/>
                <w:color w:val="auto"/>
                <w:kern w:val="0"/>
                <w:szCs w:val="21"/>
                <w:highlight w:val="none"/>
              </w:rPr>
              <w:t>号条款要求</w:t>
            </w:r>
            <w:r>
              <w:rPr>
                <w:rFonts w:hint="eastAsia" w:ascii="宋体" w:hAnsi="宋体" w:eastAsia="宋体" w:cs="Times New Roman"/>
                <w:b/>
                <w:bCs/>
                <w:color w:val="auto"/>
                <w:kern w:val="0"/>
                <w:szCs w:val="21"/>
                <w:highlight w:val="none"/>
              </w:rPr>
              <w:t>的，按照序号逐项提供相关证明材料；如</w:t>
            </w:r>
            <w:r>
              <w:rPr>
                <w:rFonts w:hint="default" w:ascii="宋体" w:hAnsi="宋体" w:eastAsia="宋体" w:cs="Times New Roman"/>
                <w:b/>
                <w:bCs/>
                <w:color w:val="auto"/>
                <w:kern w:val="0"/>
                <w:szCs w:val="21"/>
                <w:highlight w:val="none"/>
              </w:rPr>
              <w:t>第五章《采购需求》中</w:t>
            </w:r>
            <w:r>
              <w:rPr>
                <w:rFonts w:hint="eastAsia" w:ascii="宋体" w:hAnsi="宋体" w:eastAsia="宋体" w:cs="Times New Roman"/>
                <w:b/>
                <w:bCs/>
                <w:color w:val="auto"/>
                <w:kern w:val="0"/>
                <w:szCs w:val="21"/>
                <w:highlight w:val="none"/>
              </w:rPr>
              <w:t>没有</w:t>
            </w:r>
            <w:r>
              <w:rPr>
                <w:rFonts w:hint="default" w:ascii="宋体" w:hAnsi="宋体" w:eastAsia="宋体" w:cs="Segoe UI Symbol"/>
                <w:b/>
                <w:bCs/>
                <w:color w:val="auto"/>
                <w:kern w:val="0"/>
                <w:szCs w:val="21"/>
                <w:highlight w:val="none"/>
              </w:rPr>
              <w:t>★</w:t>
            </w:r>
            <w:r>
              <w:rPr>
                <w:rFonts w:hint="default" w:ascii="宋体" w:hAnsi="宋体" w:eastAsia="宋体" w:cs="Times New Roman"/>
                <w:b/>
                <w:bCs/>
                <w:color w:val="auto"/>
                <w:kern w:val="0"/>
                <w:szCs w:val="21"/>
                <w:highlight w:val="none"/>
              </w:rPr>
              <w:t>号条款要求</w:t>
            </w:r>
            <w:r>
              <w:rPr>
                <w:rFonts w:hint="eastAsia" w:ascii="宋体" w:hAnsi="宋体" w:eastAsia="宋体" w:cs="Times New Roman"/>
                <w:b/>
                <w:bCs/>
                <w:color w:val="auto"/>
                <w:kern w:val="0"/>
                <w:szCs w:val="21"/>
                <w:highlight w:val="none"/>
              </w:rPr>
              <w:t>的，则无需供应商提供材料。）</w:t>
            </w:r>
          </w:p>
        </w:tc>
      </w:tr>
      <w:tr w14:paraId="18347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5CC7D1B">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9</w:t>
            </w:r>
          </w:p>
        </w:tc>
        <w:tc>
          <w:tcPr>
            <w:tcW w:w="1813" w:type="dxa"/>
            <w:noWrap w:val="0"/>
            <w:vAlign w:val="center"/>
          </w:tcPr>
          <w:p w14:paraId="798104A3">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分包承担主体资质（如有）</w:t>
            </w:r>
          </w:p>
        </w:tc>
        <w:tc>
          <w:tcPr>
            <w:tcW w:w="6108" w:type="dxa"/>
            <w:noWrap w:val="0"/>
            <w:vAlign w:val="center"/>
          </w:tcPr>
          <w:p w14:paraId="09979306">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分包承担主体具备《投标人须知资料表》载明的资质条件</w:t>
            </w:r>
            <w:r>
              <w:rPr>
                <w:rFonts w:hint="eastAsia" w:ascii="宋体" w:hAnsi="宋体" w:eastAsia="宋体" w:cs="Times New Roman"/>
                <w:color w:val="auto"/>
                <w:kern w:val="0"/>
                <w:szCs w:val="21"/>
                <w:highlight w:val="none"/>
              </w:rPr>
              <w:t>且</w:t>
            </w:r>
            <w:r>
              <w:rPr>
                <w:rFonts w:hint="default" w:ascii="宋体" w:hAnsi="宋体" w:eastAsia="宋体" w:cs="Times New Roman"/>
                <w:color w:val="auto"/>
                <w:kern w:val="0"/>
                <w:szCs w:val="21"/>
                <w:highlight w:val="none"/>
              </w:rPr>
              <w:t>提供</w:t>
            </w:r>
            <w:r>
              <w:rPr>
                <w:rFonts w:hint="eastAsia" w:ascii="宋体" w:hAnsi="宋体" w:eastAsia="宋体" w:cs="Times New Roman"/>
                <w:color w:val="auto"/>
                <w:kern w:val="0"/>
                <w:szCs w:val="21"/>
                <w:highlight w:val="none"/>
              </w:rPr>
              <w:t>了</w:t>
            </w:r>
            <w:r>
              <w:rPr>
                <w:rFonts w:hint="default" w:ascii="宋体" w:hAnsi="宋体" w:eastAsia="宋体" w:cs="Times New Roman"/>
                <w:color w:val="auto"/>
                <w:kern w:val="0"/>
                <w:szCs w:val="21"/>
                <w:highlight w:val="none"/>
              </w:rPr>
              <w:t>资质证书</w:t>
            </w:r>
            <w:r>
              <w:rPr>
                <w:rFonts w:hint="eastAsia" w:ascii="宋体" w:hAnsi="宋体" w:eastAsia="宋体" w:cs="Times New Roman"/>
                <w:color w:val="auto"/>
                <w:kern w:val="0"/>
                <w:szCs w:val="21"/>
                <w:highlight w:val="none"/>
              </w:rPr>
              <w:t>（如有）</w:t>
            </w:r>
            <w:r>
              <w:rPr>
                <w:rFonts w:hint="default" w:ascii="宋体" w:hAnsi="宋体" w:eastAsia="宋体" w:cs="Times New Roman"/>
                <w:color w:val="auto"/>
                <w:kern w:val="0"/>
                <w:szCs w:val="21"/>
                <w:highlight w:val="none"/>
              </w:rPr>
              <w:t>；</w:t>
            </w:r>
          </w:p>
        </w:tc>
      </w:tr>
      <w:tr w14:paraId="30D2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308E657">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10</w:t>
            </w:r>
          </w:p>
        </w:tc>
        <w:tc>
          <w:tcPr>
            <w:tcW w:w="1813" w:type="dxa"/>
            <w:noWrap w:val="0"/>
            <w:vAlign w:val="center"/>
          </w:tcPr>
          <w:p w14:paraId="595BA65C">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分包意向协议</w:t>
            </w:r>
          </w:p>
          <w:p w14:paraId="61E5C9F1">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（如有）</w:t>
            </w:r>
          </w:p>
        </w:tc>
        <w:tc>
          <w:tcPr>
            <w:tcW w:w="6108" w:type="dxa"/>
            <w:noWrap w:val="0"/>
            <w:vAlign w:val="center"/>
          </w:tcPr>
          <w:p w14:paraId="3EA2099E">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按招标文件规定签订并提供分包意向协议原件；</w:t>
            </w:r>
            <w:r>
              <w:rPr>
                <w:rFonts w:hint="eastAsia" w:ascii="宋体" w:hAnsi="宋体" w:eastAsia="宋体" w:cs="Times New Roman"/>
                <w:color w:val="auto"/>
                <w:kern w:val="0"/>
                <w:szCs w:val="21"/>
                <w:highlight w:val="none"/>
              </w:rPr>
              <w:t>（如有）</w:t>
            </w:r>
          </w:p>
        </w:tc>
      </w:tr>
      <w:tr w14:paraId="145B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50" w:type="dxa"/>
            <w:noWrap w:val="0"/>
            <w:vAlign w:val="center"/>
          </w:tcPr>
          <w:p w14:paraId="5879B311">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11</w:t>
            </w:r>
          </w:p>
        </w:tc>
        <w:tc>
          <w:tcPr>
            <w:tcW w:w="1813" w:type="dxa"/>
            <w:noWrap w:val="0"/>
            <w:vAlign w:val="center"/>
          </w:tcPr>
          <w:p w14:paraId="35C0B16B">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报价的修正（如有）</w:t>
            </w:r>
          </w:p>
        </w:tc>
        <w:tc>
          <w:tcPr>
            <w:tcW w:w="6108" w:type="dxa"/>
            <w:noWrap w:val="0"/>
            <w:vAlign w:val="center"/>
          </w:tcPr>
          <w:p w14:paraId="5DFE9138">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不涉及报价修正</w:t>
            </w:r>
            <w:r>
              <w:rPr>
                <w:rFonts w:hint="default" w:ascii="宋体" w:hAnsi="宋体" w:eastAsia="宋体" w:cs="Times New Roman"/>
                <w:color w:val="auto"/>
                <w:kern w:val="0"/>
                <w:szCs w:val="21"/>
                <w:highlight w:val="none"/>
              </w:rPr>
              <w:t>，或投标文件报价出现前后不一致</w:t>
            </w:r>
            <w:r>
              <w:rPr>
                <w:rFonts w:hint="eastAsia" w:ascii="宋体" w:hAnsi="宋体" w:eastAsia="宋体" w:cs="Times New Roman"/>
                <w:color w:val="auto"/>
                <w:kern w:val="0"/>
                <w:szCs w:val="21"/>
                <w:highlight w:val="none"/>
              </w:rPr>
              <w:t>时</w:t>
            </w:r>
            <w:r>
              <w:rPr>
                <w:rFonts w:hint="default" w:ascii="宋体" w:hAnsi="宋体" w:eastAsia="宋体" w:cs="Times New Roman"/>
                <w:color w:val="auto"/>
                <w:kern w:val="0"/>
                <w:szCs w:val="21"/>
                <w:highlight w:val="none"/>
              </w:rPr>
              <w:t>，投标人对修正后的报价予</w:t>
            </w:r>
            <w:r>
              <w:rPr>
                <w:rFonts w:hint="eastAsia" w:ascii="宋体" w:hAnsi="宋体" w:eastAsia="宋体" w:cs="Times New Roman"/>
                <w:color w:val="auto"/>
                <w:kern w:val="0"/>
                <w:szCs w:val="21"/>
                <w:highlight w:val="none"/>
              </w:rPr>
              <w:t>以</w:t>
            </w:r>
            <w:r>
              <w:rPr>
                <w:rFonts w:hint="default" w:ascii="宋体" w:hAnsi="宋体" w:eastAsia="宋体" w:cs="Times New Roman"/>
                <w:color w:val="auto"/>
                <w:kern w:val="0"/>
                <w:szCs w:val="21"/>
                <w:highlight w:val="none"/>
              </w:rPr>
              <w:t>确认；</w:t>
            </w:r>
            <w:r>
              <w:rPr>
                <w:rFonts w:hint="eastAsia" w:ascii="宋体" w:hAnsi="宋体" w:eastAsia="宋体" w:cs="Times New Roman"/>
                <w:color w:val="auto"/>
                <w:kern w:val="0"/>
                <w:szCs w:val="21"/>
                <w:highlight w:val="none"/>
                <w:lang w:eastAsia="zh-CN"/>
              </w:rPr>
              <w:t>（</w:t>
            </w:r>
            <w:r>
              <w:rPr>
                <w:rFonts w:hint="default" w:ascii="宋体" w:hAnsi="宋体" w:eastAsia="宋体" w:cs="Times New Roman"/>
                <w:color w:val="auto"/>
                <w:kern w:val="0"/>
                <w:szCs w:val="21"/>
                <w:highlight w:val="none"/>
              </w:rPr>
              <w:t>（如有</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由评委审查，无需供应商提供材料）</w:t>
            </w:r>
          </w:p>
        </w:tc>
      </w:tr>
      <w:tr w14:paraId="30E3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CC885E3">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12</w:t>
            </w:r>
          </w:p>
        </w:tc>
        <w:tc>
          <w:tcPr>
            <w:tcW w:w="1813" w:type="dxa"/>
            <w:noWrap w:val="0"/>
            <w:vAlign w:val="center"/>
          </w:tcPr>
          <w:p w14:paraId="1A576D9C">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报价合理性</w:t>
            </w:r>
          </w:p>
        </w:tc>
        <w:tc>
          <w:tcPr>
            <w:tcW w:w="6108" w:type="dxa"/>
            <w:noWrap w:val="0"/>
            <w:vAlign w:val="center"/>
          </w:tcPr>
          <w:p w14:paraId="0BABEFE8">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s="Times New Roman"/>
                <w:color w:val="auto"/>
                <w:kern w:val="0"/>
                <w:szCs w:val="21"/>
                <w:highlight w:val="none"/>
              </w:rPr>
              <w:t>下文2.2的情形之一，</w:t>
            </w:r>
            <w:r>
              <w:rPr>
                <w:rFonts w:hint="eastAsia" w:ascii="宋体" w:hAnsi="宋体" w:eastAsia="宋体" w:cs="宋体"/>
                <w:color w:val="auto"/>
                <w:kern w:val="0"/>
                <w:szCs w:val="21"/>
                <w:highlight w:val="none"/>
              </w:rPr>
              <w:t>评标委员会应当</w:t>
            </w:r>
            <w:r>
              <w:rPr>
                <w:rFonts w:hint="eastAsia" w:ascii="宋体" w:hAnsi="宋体" w:eastAsia="宋体" w:cs="Times New Roman"/>
                <w:color w:val="auto"/>
                <w:kern w:val="0"/>
                <w:szCs w:val="21"/>
                <w:highlight w:val="none"/>
              </w:rPr>
              <w:t>启动异常低价投标审查程序）</w:t>
            </w:r>
          </w:p>
        </w:tc>
      </w:tr>
      <w:tr w14:paraId="6269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A88CA98">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13</w:t>
            </w:r>
          </w:p>
        </w:tc>
        <w:tc>
          <w:tcPr>
            <w:tcW w:w="1813" w:type="dxa"/>
            <w:noWrap w:val="0"/>
            <w:vAlign w:val="center"/>
          </w:tcPr>
          <w:p w14:paraId="5CB2C0F8">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进口产品</w:t>
            </w:r>
          </w:p>
          <w:p w14:paraId="5C4FEAB3">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（如有）</w:t>
            </w:r>
          </w:p>
        </w:tc>
        <w:tc>
          <w:tcPr>
            <w:tcW w:w="6108" w:type="dxa"/>
            <w:noWrap w:val="0"/>
            <w:vAlign w:val="center"/>
          </w:tcPr>
          <w:p w14:paraId="0F01D122">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招标文件</w:t>
            </w:r>
            <w:r>
              <w:rPr>
                <w:rFonts w:hint="default" w:ascii="宋体" w:hAnsi="宋体" w:eastAsia="宋体" w:cs="Times New Roman"/>
                <w:color w:val="auto"/>
                <w:kern w:val="0"/>
                <w:szCs w:val="21"/>
                <w:highlight w:val="none"/>
              </w:rPr>
              <w:t>不接受进口产品投标</w:t>
            </w:r>
            <w:r>
              <w:rPr>
                <w:rFonts w:hint="eastAsia" w:ascii="宋体" w:hAnsi="宋体" w:eastAsia="宋体" w:cs="Times New Roman"/>
                <w:color w:val="auto"/>
                <w:kern w:val="0"/>
                <w:szCs w:val="21"/>
                <w:highlight w:val="none"/>
              </w:rPr>
              <w:t>的内容时</w:t>
            </w:r>
            <w:r>
              <w:rPr>
                <w:rFonts w:hint="default" w:ascii="宋体" w:hAnsi="宋体" w:eastAsia="宋体" w:cs="Times New Roman"/>
                <w:color w:val="auto"/>
                <w:kern w:val="0"/>
                <w:szCs w:val="21"/>
                <w:highlight w:val="none"/>
              </w:rPr>
              <w:t>，</w:t>
            </w:r>
            <w:r>
              <w:rPr>
                <w:rFonts w:hint="eastAsia" w:ascii="宋体" w:hAnsi="宋体" w:eastAsia="宋体" w:cs="Times New Roman"/>
                <w:color w:val="auto"/>
                <w:kern w:val="0"/>
                <w:szCs w:val="21"/>
                <w:highlight w:val="none"/>
              </w:rPr>
              <w:t>投标人所投产品非进口产品的；（由评委审查，无需供应商提供材料）</w:t>
            </w:r>
          </w:p>
        </w:tc>
      </w:tr>
      <w:tr w14:paraId="7A6F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B032639">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14</w:t>
            </w:r>
          </w:p>
        </w:tc>
        <w:tc>
          <w:tcPr>
            <w:tcW w:w="1813" w:type="dxa"/>
            <w:noWrap w:val="0"/>
            <w:vAlign w:val="center"/>
          </w:tcPr>
          <w:p w14:paraId="0494DF3B">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国家有关部门对投标人的投标产品有强制性规定或要求的</w:t>
            </w:r>
          </w:p>
        </w:tc>
        <w:tc>
          <w:tcPr>
            <w:tcW w:w="6108" w:type="dxa"/>
            <w:noWrap w:val="0"/>
            <w:vAlign w:val="center"/>
          </w:tcPr>
          <w:p w14:paraId="66957FDA">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国家有关部门对投标人的投标产品有强制性规定或要求的（如相应技术、安全、节能和环保等），投标人的投标产品</w:t>
            </w:r>
            <w:r>
              <w:rPr>
                <w:rFonts w:hint="eastAsia" w:ascii="宋体" w:hAnsi="宋体" w:eastAsia="宋体" w:cs="Times New Roman"/>
                <w:color w:val="auto"/>
                <w:kern w:val="0"/>
                <w:szCs w:val="21"/>
                <w:highlight w:val="none"/>
              </w:rPr>
              <w:t>应</w:t>
            </w:r>
            <w:r>
              <w:rPr>
                <w:rFonts w:hint="default" w:ascii="宋体" w:hAnsi="宋体" w:eastAsia="宋体" w:cs="Times New Roman"/>
                <w:color w:val="auto"/>
                <w:kern w:val="0"/>
                <w:szCs w:val="21"/>
                <w:highlight w:val="none"/>
              </w:rPr>
              <w:t>符合相应规定或要求</w:t>
            </w:r>
            <w:r>
              <w:rPr>
                <w:rFonts w:hint="eastAsia" w:ascii="宋体" w:hAnsi="宋体" w:eastAsia="宋体" w:cs="Times New Roman"/>
                <w:color w:val="auto"/>
                <w:kern w:val="0"/>
                <w:szCs w:val="21"/>
                <w:highlight w:val="none"/>
              </w:rPr>
              <w:t>，并提供证明文件：</w:t>
            </w:r>
          </w:p>
          <w:p w14:paraId="0DD58EDD">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hint="default" w:ascii="宋体" w:hAnsi="宋体" w:eastAsia="宋体" w:cs="Times New Roman"/>
                <w:color w:val="auto"/>
                <w:kern w:val="0"/>
                <w:szCs w:val="21"/>
                <w:highlight w:val="none"/>
              </w:rPr>
              <w:t>采购的产品若属于《节能产品政府采购品目清单》范围中政府强制采购产品，则投标人所报产品必须获得国家确定的认证机构出具的、处于有效期之内的节能产品认证证书；</w:t>
            </w:r>
          </w:p>
          <w:p w14:paraId="65706058">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r>
              <w:rPr>
                <w:rFonts w:hint="default" w:ascii="宋体" w:hAnsi="宋体" w:eastAsia="宋体" w:cs="Times New Roman"/>
                <w:color w:val="auto"/>
                <w:kern w:val="0"/>
                <w:szCs w:val="21"/>
                <w:highlight w:val="none"/>
              </w:rPr>
              <w:t>投标产品如涉及计算机信息系统安全专用产品的，须</w:t>
            </w:r>
            <w:r>
              <w:rPr>
                <w:rFonts w:hint="eastAsia" w:ascii="宋体" w:hAnsi="宋体" w:eastAsia="宋体" w:cs="Times New Roman"/>
                <w:color w:val="auto"/>
                <w:kern w:val="0"/>
                <w:szCs w:val="21"/>
                <w:highlight w:val="none"/>
              </w:rPr>
              <w:t>提供</w:t>
            </w:r>
            <w:r>
              <w:rPr>
                <w:rFonts w:hint="default" w:ascii="宋体" w:hAnsi="宋体" w:eastAsia="宋体" w:cs="Times New Roman"/>
                <w:color w:val="auto"/>
                <w:kern w:val="0"/>
                <w:szCs w:val="21"/>
                <w:highlight w:val="none"/>
              </w:rPr>
              <w:t>公安部颁发的计算机信息系统安全专用产品销售许可证；</w:t>
            </w:r>
          </w:p>
          <w:p w14:paraId="36D0EDB0">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3</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投标产品如有属于开展国家信息安全产品认证产品范围的，须</w:t>
            </w:r>
            <w:r>
              <w:rPr>
                <w:rFonts w:hint="eastAsia" w:ascii="宋体" w:hAnsi="宋体" w:eastAsia="宋体" w:cs="Times New Roman"/>
                <w:color w:val="auto"/>
                <w:kern w:val="0"/>
                <w:szCs w:val="21"/>
                <w:highlight w:val="none"/>
              </w:rPr>
              <w:t>提供</w:t>
            </w:r>
            <w:r>
              <w:rPr>
                <w:rFonts w:hint="default" w:ascii="宋体" w:hAnsi="宋体" w:eastAsia="宋体" w:cs="Times New Roman"/>
                <w:color w:val="auto"/>
                <w:kern w:val="0"/>
                <w:szCs w:val="21"/>
                <w:highlight w:val="none"/>
              </w:rPr>
              <w:t>由中国网络安全审查技术与认证中心（原中国信息安全认证中心）按国家标准认证颁发的有效认证证书等）；</w:t>
            </w:r>
          </w:p>
          <w:p w14:paraId="73E7B320">
            <w:pPr>
              <w:widowControl/>
              <w:ind w:left="199" w:hanging="199"/>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4）</w:t>
            </w:r>
            <w:r>
              <w:rPr>
                <w:rFonts w:hint="default" w:ascii="宋体" w:hAnsi="宋体" w:eastAsia="宋体" w:cs="Times New Roman"/>
                <w:color w:val="auto"/>
                <w:kern w:val="0"/>
                <w:szCs w:val="21"/>
                <w:highlight w:val="none"/>
              </w:rPr>
              <w:t>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0F12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0C0547F2">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15</w:t>
            </w:r>
          </w:p>
        </w:tc>
        <w:tc>
          <w:tcPr>
            <w:tcW w:w="1813" w:type="dxa"/>
            <w:noWrap w:val="0"/>
            <w:vAlign w:val="center"/>
          </w:tcPr>
          <w:p w14:paraId="1D6B96F0">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公平竞争</w:t>
            </w:r>
          </w:p>
        </w:tc>
        <w:tc>
          <w:tcPr>
            <w:tcW w:w="6108" w:type="dxa"/>
            <w:noWrap w:val="0"/>
            <w:vAlign w:val="center"/>
          </w:tcPr>
          <w:p w14:paraId="1B8E1C37">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投标人遵循公平竞争的原则，不存在恶意串通，妨碍其他投标人的竞争行为，不存在损害采购人或者其他投标人的合法权益情形的；</w:t>
            </w:r>
            <w:r>
              <w:rPr>
                <w:rFonts w:hint="eastAsia" w:ascii="宋体" w:hAnsi="宋体" w:eastAsia="宋体" w:cs="Times New Roman"/>
                <w:color w:val="auto"/>
                <w:kern w:val="0"/>
                <w:szCs w:val="21"/>
                <w:highlight w:val="none"/>
              </w:rPr>
              <w:t>（由评委审查，无需供应商提供材料）</w:t>
            </w:r>
          </w:p>
        </w:tc>
      </w:tr>
      <w:tr w14:paraId="5A59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44D7FEC">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16</w:t>
            </w:r>
          </w:p>
        </w:tc>
        <w:tc>
          <w:tcPr>
            <w:tcW w:w="1813" w:type="dxa"/>
            <w:noWrap w:val="0"/>
            <w:vAlign w:val="center"/>
          </w:tcPr>
          <w:p w14:paraId="7A0F91BC">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串通投标</w:t>
            </w:r>
          </w:p>
        </w:tc>
        <w:tc>
          <w:tcPr>
            <w:tcW w:w="6108" w:type="dxa"/>
            <w:noWrap w:val="0"/>
            <w:vAlign w:val="center"/>
          </w:tcPr>
          <w:p w14:paraId="211A1B8D">
            <w:pPr>
              <w:widowControl/>
              <w:ind w:left="199" w:hanging="199"/>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由评委审查，无需供应商提供材料</w:t>
            </w:r>
            <w:r>
              <w:rPr>
                <w:rFonts w:hint="eastAsia" w:ascii="宋体" w:hAnsi="宋体" w:eastAsia="宋体" w:cs="Times New Roman"/>
                <w:color w:val="auto"/>
                <w:kern w:val="0"/>
                <w:szCs w:val="21"/>
                <w:highlight w:val="none"/>
                <w:lang w:eastAsia="zh-CN"/>
              </w:rPr>
              <w:t>）</w:t>
            </w:r>
          </w:p>
        </w:tc>
      </w:tr>
      <w:tr w14:paraId="3F03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E2E8E02">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17</w:t>
            </w:r>
          </w:p>
        </w:tc>
        <w:tc>
          <w:tcPr>
            <w:tcW w:w="1813" w:type="dxa"/>
            <w:noWrap w:val="0"/>
            <w:vAlign w:val="center"/>
          </w:tcPr>
          <w:p w14:paraId="66A2C830">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附加条件</w:t>
            </w:r>
          </w:p>
        </w:tc>
        <w:tc>
          <w:tcPr>
            <w:tcW w:w="6108" w:type="dxa"/>
            <w:noWrap w:val="0"/>
            <w:vAlign w:val="center"/>
          </w:tcPr>
          <w:p w14:paraId="7EB9BAAC">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投标文件</w:t>
            </w:r>
            <w:r>
              <w:rPr>
                <w:rFonts w:hint="eastAsia" w:ascii="宋体" w:hAnsi="宋体" w:eastAsia="宋体" w:cs="Times New Roman"/>
                <w:color w:val="auto"/>
                <w:kern w:val="0"/>
                <w:szCs w:val="21"/>
                <w:highlight w:val="none"/>
              </w:rPr>
              <w:t>未</w:t>
            </w:r>
            <w:r>
              <w:rPr>
                <w:rFonts w:hint="default" w:ascii="宋体" w:hAnsi="宋体" w:eastAsia="宋体" w:cs="Times New Roman"/>
                <w:color w:val="auto"/>
                <w:kern w:val="0"/>
                <w:szCs w:val="21"/>
                <w:highlight w:val="none"/>
              </w:rPr>
              <w:t>含有采购人不能接受的附加条件的；</w:t>
            </w:r>
            <w:r>
              <w:rPr>
                <w:rFonts w:hint="eastAsia" w:ascii="宋体" w:hAnsi="宋体" w:eastAsia="宋体" w:cs="Times New Roman"/>
                <w:color w:val="auto"/>
                <w:kern w:val="0"/>
                <w:szCs w:val="21"/>
                <w:highlight w:val="none"/>
              </w:rPr>
              <w:t>（由评委审查，无需供应商提供材料）</w:t>
            </w:r>
          </w:p>
        </w:tc>
      </w:tr>
      <w:tr w14:paraId="3791E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E33C402">
            <w:pPr>
              <w:widowControl/>
              <w:ind w:left="199" w:hanging="199"/>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hint="default" w:ascii="宋体" w:hAnsi="宋体" w:eastAsia="宋体" w:cs="Times New Roman"/>
                <w:color w:val="auto"/>
                <w:kern w:val="0"/>
                <w:szCs w:val="21"/>
                <w:highlight w:val="none"/>
              </w:rPr>
              <w:t>8</w:t>
            </w:r>
          </w:p>
        </w:tc>
        <w:tc>
          <w:tcPr>
            <w:tcW w:w="1813" w:type="dxa"/>
            <w:noWrap w:val="0"/>
            <w:vAlign w:val="center"/>
          </w:tcPr>
          <w:p w14:paraId="61DA302D">
            <w:pPr>
              <w:widowControl/>
              <w:ind w:left="199" w:hanging="199"/>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其他无效情形</w:t>
            </w:r>
          </w:p>
        </w:tc>
        <w:tc>
          <w:tcPr>
            <w:tcW w:w="6108" w:type="dxa"/>
            <w:noWrap w:val="0"/>
            <w:vAlign w:val="center"/>
          </w:tcPr>
          <w:p w14:paraId="21C5A528">
            <w:pPr>
              <w:widowControl/>
              <w:ind w:left="199" w:hanging="199"/>
              <w:jc w:val="left"/>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投标人、投标文件</w:t>
            </w:r>
            <w:r>
              <w:rPr>
                <w:rFonts w:hint="eastAsia" w:ascii="宋体" w:hAnsi="宋体" w:eastAsia="宋体" w:cs="Times New Roman"/>
                <w:color w:val="auto"/>
                <w:kern w:val="0"/>
                <w:szCs w:val="21"/>
                <w:highlight w:val="none"/>
              </w:rPr>
              <w:t>不存在</w:t>
            </w:r>
            <w:r>
              <w:rPr>
                <w:rFonts w:hint="default" w:ascii="宋体" w:hAnsi="宋体" w:eastAsia="宋体" w:cs="Times New Roman"/>
                <w:color w:val="auto"/>
                <w:kern w:val="0"/>
                <w:szCs w:val="21"/>
                <w:highlight w:val="none"/>
              </w:rPr>
              <w:t>不符合法律、法规和招标文件规定的其他无效情形。</w:t>
            </w:r>
            <w:r>
              <w:rPr>
                <w:rFonts w:hint="eastAsia" w:ascii="宋体" w:hAnsi="宋体" w:eastAsia="宋体" w:cs="Times New Roman"/>
                <w:color w:val="auto"/>
                <w:kern w:val="0"/>
                <w:szCs w:val="21"/>
                <w:highlight w:val="none"/>
              </w:rPr>
              <w:t>（由评委审查，无需供应商提供材料）</w:t>
            </w:r>
          </w:p>
        </w:tc>
      </w:tr>
    </w:tbl>
    <w:p w14:paraId="3E2A2D96">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投标文件有关事项的澄清或者说明</w:t>
      </w:r>
    </w:p>
    <w:p w14:paraId="6F26A787">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评标过程中，评标委员会将</w:t>
      </w:r>
      <w:r>
        <w:rPr>
          <w:rFonts w:hint="eastAsia" w:ascii="宋体" w:hAnsi="宋体" w:eastAsia="宋体" w:cs="Times New Roman"/>
          <w:color w:val="auto"/>
          <w:sz w:val="24"/>
          <w:szCs w:val="22"/>
          <w:highlight w:val="none"/>
        </w:rPr>
        <w:t>通过“苏采云”系统系统</w:t>
      </w:r>
      <w:r>
        <w:rPr>
          <w:rFonts w:hint="default" w:ascii="宋体" w:hAnsi="宋体" w:eastAsia="宋体" w:cs="Times New Roman"/>
          <w:color w:val="auto"/>
          <w:sz w:val="24"/>
          <w:szCs w:val="22"/>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s="Times New Roman"/>
          <w:color w:val="auto"/>
          <w:sz w:val="24"/>
          <w:szCs w:val="22"/>
          <w:highlight w:val="none"/>
        </w:rPr>
        <w:t>电子</w:t>
      </w:r>
      <w:r>
        <w:rPr>
          <w:rFonts w:hint="default" w:ascii="宋体" w:hAnsi="宋体" w:eastAsia="宋体" w:cs="Times New Roman"/>
          <w:color w:val="auto"/>
          <w:sz w:val="24"/>
          <w:szCs w:val="22"/>
          <w:highlight w:val="none"/>
        </w:rPr>
        <w:t>公章。投标人的澄清、说明或者补正不得超出投标文件的范围或者改变投标文件的实质性内容。澄清文件将作为投标文件内容的一部分</w:t>
      </w:r>
      <w:r>
        <w:rPr>
          <w:rFonts w:hint="eastAsia" w:ascii="宋体" w:hAnsi="宋体" w:eastAsia="宋体" w:cs="Times New Roman"/>
          <w:color w:val="auto"/>
          <w:sz w:val="24"/>
          <w:szCs w:val="22"/>
          <w:highlight w:val="none"/>
        </w:rPr>
        <w:t>。</w:t>
      </w:r>
      <w:r>
        <w:rPr>
          <w:rFonts w:hint="eastAsia" w:ascii="宋体" w:hAnsi="宋体" w:eastAsia="宋体" w:cs="Times New Roman"/>
          <w:color w:val="auto"/>
          <w:sz w:val="24"/>
          <w:szCs w:val="24"/>
          <w:highlight w:val="none"/>
        </w:rPr>
        <w:t>接到评标委员会澄清、说明和补正要求的投标人如未按规定做出澄清、说明和补正，其风险由投标人自行承担。</w:t>
      </w:r>
    </w:p>
    <w:p w14:paraId="3FB675C4">
      <w:pPr>
        <w:widowControl w:val="0"/>
        <w:numPr>
          <w:ilvl w:val="1"/>
          <w:numId w:val="4"/>
        </w:numPr>
        <w:spacing w:line="360" w:lineRule="auto"/>
        <w:ind w:left="850" w:hanging="566"/>
        <w:jc w:val="left"/>
        <w:rPr>
          <w:rFonts w:hint="eastAsia" w:ascii="宋体" w:hAnsi="宋体" w:eastAsia="宋体" w:cs="宋体"/>
          <w:color w:val="auto"/>
          <w:sz w:val="24"/>
          <w:szCs w:val="22"/>
          <w:highlight w:val="none"/>
        </w:rPr>
      </w:pPr>
      <w:r>
        <w:rPr>
          <w:rFonts w:hint="default" w:ascii="宋体" w:hAnsi="宋体" w:eastAsia="宋体" w:cs="宋体"/>
          <w:color w:val="auto"/>
          <w:sz w:val="24"/>
          <w:szCs w:val="22"/>
          <w:highlight w:val="none"/>
        </w:rPr>
        <w:t>评审过程中出现下列情形之一的，</w:t>
      </w:r>
      <w:r>
        <w:rPr>
          <w:rFonts w:hint="eastAsia" w:ascii="宋体" w:hAnsi="宋体" w:eastAsia="宋体" w:cs="宋体"/>
          <w:color w:val="auto"/>
          <w:sz w:val="24"/>
          <w:szCs w:val="22"/>
          <w:highlight w:val="none"/>
        </w:rPr>
        <w:t>评标委员会</w:t>
      </w:r>
      <w:r>
        <w:rPr>
          <w:rFonts w:hint="default" w:ascii="宋体" w:hAnsi="宋体" w:eastAsia="宋体" w:cs="宋体"/>
          <w:color w:val="auto"/>
          <w:sz w:val="24"/>
          <w:szCs w:val="22"/>
          <w:highlight w:val="none"/>
        </w:rPr>
        <w:t>应当启动异常低价投标审查</w:t>
      </w:r>
      <w:r>
        <w:rPr>
          <w:rFonts w:hint="eastAsia" w:ascii="宋体" w:hAnsi="宋体" w:eastAsia="宋体" w:cs="宋体"/>
          <w:color w:val="auto"/>
          <w:sz w:val="24"/>
          <w:szCs w:val="22"/>
          <w:highlight w:val="none"/>
        </w:rPr>
        <w:t>程序：</w:t>
      </w:r>
    </w:p>
    <w:p w14:paraId="3B731910">
      <w:pPr>
        <w:widowControl w:val="0"/>
        <w:numPr>
          <w:ilvl w:val="2"/>
          <w:numId w:val="4"/>
        </w:numPr>
        <w:spacing w:line="360" w:lineRule="auto"/>
        <w:ind w:left="1418" w:hanging="851"/>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投标（响应）报价低于全部通过符合性审查供应商投标（响应）报价平均值50%的，即投标（响应）报价&lt;全部通过符合性审查供应商投标（响应）报价平均值×50%</w:t>
      </w:r>
      <w:r>
        <w:rPr>
          <w:rFonts w:hint="default" w:ascii="宋体" w:hAnsi="宋体" w:eastAsia="宋体" w:cs="宋体"/>
          <w:color w:val="auto"/>
          <w:sz w:val="24"/>
          <w:szCs w:val="22"/>
          <w:highlight w:val="none"/>
        </w:rPr>
        <w:t>；</w:t>
      </w:r>
    </w:p>
    <w:p w14:paraId="44492F02">
      <w:pPr>
        <w:widowControl w:val="0"/>
        <w:numPr>
          <w:ilvl w:val="2"/>
          <w:numId w:val="4"/>
        </w:numPr>
        <w:spacing w:line="360" w:lineRule="auto"/>
        <w:ind w:left="1418" w:hanging="851"/>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投标（响应）报价低于通过符合性审查的次低报价供应商投标（响应）报价50%的，即投标（响应）报价&lt;通过符合性审查的次低报价供应商投标（响应）报价×50%；</w:t>
      </w:r>
    </w:p>
    <w:p w14:paraId="43585988">
      <w:pPr>
        <w:widowControl w:val="0"/>
        <w:numPr>
          <w:ilvl w:val="2"/>
          <w:numId w:val="4"/>
        </w:numPr>
        <w:spacing w:line="360" w:lineRule="auto"/>
        <w:ind w:left="1418" w:hanging="851"/>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投标（响应）报价低于采购项目最高限价50%的，即投标（响应）报价&lt;采购项目最高限价×45%；</w:t>
      </w:r>
    </w:p>
    <w:p w14:paraId="200A23E2">
      <w:pPr>
        <w:widowControl w:val="0"/>
        <w:numPr>
          <w:ilvl w:val="2"/>
          <w:numId w:val="4"/>
        </w:numPr>
        <w:spacing w:line="360" w:lineRule="auto"/>
        <w:ind w:left="1418" w:hanging="851"/>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评审委员会基于专业判断，认为供应商报价过低，有可能影响产品质量或者不能诚信履约的其他情形。</w:t>
      </w:r>
    </w:p>
    <w:p w14:paraId="35805B50">
      <w:pPr>
        <w:widowControl w:val="0"/>
        <w:numPr>
          <w:ilvl w:val="2"/>
          <w:numId w:val="4"/>
        </w:numPr>
        <w:spacing w:line="360" w:lineRule="auto"/>
        <w:ind w:left="1418" w:hanging="851"/>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2A24F37">
      <w:pPr>
        <w:widowControl w:val="0"/>
        <w:numPr>
          <w:ilvl w:val="2"/>
          <w:numId w:val="4"/>
        </w:numPr>
        <w:spacing w:line="360" w:lineRule="auto"/>
        <w:ind w:left="1418" w:hanging="851"/>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auto"/>
          <w:sz w:val="24"/>
          <w:szCs w:val="20"/>
          <w:highlight w:val="none"/>
        </w:rPr>
        <w:t>无效投标</w:t>
      </w:r>
      <w:r>
        <w:rPr>
          <w:rFonts w:hint="eastAsia" w:ascii="宋体" w:hAnsi="宋体" w:eastAsia="宋体" w:cs="宋体"/>
          <w:color w:val="auto"/>
          <w:sz w:val="24"/>
          <w:szCs w:val="20"/>
          <w:highlight w:val="none"/>
        </w:rPr>
        <w:t xml:space="preserve">（响应）处理。 </w:t>
      </w:r>
    </w:p>
    <w:p w14:paraId="21556AF0">
      <w:pPr>
        <w:widowControl w:val="0"/>
        <w:numPr>
          <w:ilvl w:val="2"/>
          <w:numId w:val="4"/>
        </w:numPr>
        <w:spacing w:line="360" w:lineRule="auto"/>
        <w:ind w:left="1418" w:hanging="851"/>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AE78167">
      <w:pPr>
        <w:widowControl w:val="0"/>
        <w:numPr>
          <w:ilvl w:val="2"/>
          <w:numId w:val="4"/>
        </w:numPr>
        <w:spacing w:line="360" w:lineRule="auto"/>
        <w:ind w:left="1418" w:hanging="851"/>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53D7DD37">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投标报价须包含招标文件全部内容，如分项报价表有缺漏视为已含在其他各项报价中，将不对投标总价进行调整。评标委员会有权要求投标人在</w:t>
      </w:r>
      <w:r>
        <w:rPr>
          <w:rFonts w:hint="eastAsia" w:ascii="宋体" w:hAnsi="宋体" w:eastAsia="宋体" w:cs="Times New Roman"/>
          <w:color w:val="auto"/>
          <w:sz w:val="24"/>
          <w:szCs w:val="22"/>
          <w:highlight w:val="none"/>
        </w:rPr>
        <w:t>规定</w:t>
      </w:r>
      <w:r>
        <w:rPr>
          <w:rFonts w:hint="default" w:ascii="宋体" w:hAnsi="宋体" w:eastAsia="宋体" w:cs="Times New Roman"/>
          <w:color w:val="auto"/>
          <w:sz w:val="24"/>
          <w:szCs w:val="22"/>
          <w:highlight w:val="none"/>
        </w:rPr>
        <w:t>的时间内对此进行书面确认，投标人不确认的，视为将一个采购包中的内容拆开投标，其</w:t>
      </w:r>
      <w:r>
        <w:rPr>
          <w:rFonts w:hint="default" w:ascii="宋体" w:hAnsi="宋体" w:eastAsia="宋体" w:cs="Times New Roman"/>
          <w:b/>
          <w:color w:val="auto"/>
          <w:sz w:val="24"/>
          <w:szCs w:val="22"/>
          <w:highlight w:val="none"/>
        </w:rPr>
        <w:t>投标无效</w:t>
      </w:r>
      <w:r>
        <w:rPr>
          <w:rFonts w:hint="eastAsia" w:ascii="宋体" w:hAnsi="宋体" w:eastAsia="宋体" w:cs="Times New Roman"/>
          <w:color w:val="auto"/>
          <w:sz w:val="24"/>
          <w:szCs w:val="22"/>
          <w:highlight w:val="none"/>
        </w:rPr>
        <w:t>。</w:t>
      </w:r>
    </w:p>
    <w:p w14:paraId="592A5BE0">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投标文件报价出现前后不一致的，按照下列规定修正</w:t>
      </w:r>
      <w:r>
        <w:rPr>
          <w:rFonts w:hint="eastAsia" w:ascii="宋体" w:hAnsi="宋体" w:eastAsia="宋体" w:cs="Times New Roman"/>
          <w:color w:val="auto"/>
          <w:sz w:val="24"/>
          <w:szCs w:val="22"/>
          <w:highlight w:val="none"/>
        </w:rPr>
        <w:t>。</w:t>
      </w:r>
    </w:p>
    <w:p w14:paraId="24DD7A9A">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招标文件对于报价修正是否另有规定：</w:t>
      </w:r>
    </w:p>
    <w:p w14:paraId="29EDD5BD">
      <w:pPr>
        <w:spacing w:line="360" w:lineRule="auto"/>
        <w:ind w:firstLine="960"/>
        <w:jc w:val="lef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rPr>
        <w:t>有，具体规定为：</w:t>
      </w:r>
    </w:p>
    <w:p w14:paraId="0ABBB662">
      <w:pPr>
        <w:spacing w:line="360" w:lineRule="auto"/>
        <w:ind w:firstLine="960"/>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4"/>
          <w:highlight w:val="none"/>
        </w:rPr>
        <w:t>■无，</w:t>
      </w:r>
      <w:r>
        <w:rPr>
          <w:rFonts w:hint="default" w:ascii="宋体" w:hAnsi="宋体" w:eastAsia="宋体" w:cs="Times New Roman"/>
          <w:color w:val="auto"/>
          <w:kern w:val="0"/>
          <w:sz w:val="24"/>
          <w:szCs w:val="24"/>
          <w:highlight w:val="none"/>
        </w:rPr>
        <w:t>按下述</w:t>
      </w:r>
      <w:r>
        <w:rPr>
          <w:rFonts w:hint="eastAsia" w:ascii="宋体" w:hAnsi="宋体" w:eastAsia="宋体" w:cs="Times New Roman"/>
          <w:color w:val="auto"/>
          <w:kern w:val="0"/>
          <w:sz w:val="24"/>
          <w:szCs w:val="24"/>
          <w:highlight w:val="none"/>
        </w:rPr>
        <w:t>2.4.2.2—2.4.7项规定修正</w:t>
      </w:r>
    </w:p>
    <w:p w14:paraId="6B1946C6">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单独递交的开标一览表（报价表）与投标文件中开标一览表（报价表）内容不一致的，以单独递交的开标一览表（报价表）为准</w:t>
      </w:r>
      <w:r>
        <w:rPr>
          <w:rFonts w:hint="eastAsia" w:ascii="宋体" w:hAnsi="宋体" w:eastAsia="宋体" w:cs="Times New Roman"/>
          <w:color w:val="auto"/>
          <w:sz w:val="24"/>
          <w:szCs w:val="22"/>
          <w:highlight w:val="none"/>
        </w:rPr>
        <w:t>；</w:t>
      </w:r>
    </w:p>
    <w:p w14:paraId="6A312974">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投标文件中开标一览表（报价表）内容与投标文件中相应内容不一致的，以开标一览表（报价表）为准</w:t>
      </w:r>
      <w:r>
        <w:rPr>
          <w:rFonts w:hint="eastAsia" w:ascii="宋体" w:hAnsi="宋体" w:eastAsia="宋体" w:cs="Times New Roman"/>
          <w:color w:val="auto"/>
          <w:sz w:val="24"/>
          <w:szCs w:val="22"/>
          <w:highlight w:val="none"/>
        </w:rPr>
        <w:t>；</w:t>
      </w:r>
    </w:p>
    <w:p w14:paraId="721D1039">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大写金额和小写金额不一致的，以大写金额为准</w:t>
      </w:r>
      <w:r>
        <w:rPr>
          <w:rFonts w:hint="eastAsia" w:ascii="宋体" w:hAnsi="宋体" w:eastAsia="宋体" w:cs="Times New Roman"/>
          <w:color w:val="auto"/>
          <w:sz w:val="24"/>
          <w:szCs w:val="22"/>
          <w:highlight w:val="none"/>
        </w:rPr>
        <w:t>；</w:t>
      </w:r>
    </w:p>
    <w:p w14:paraId="1DF97A09">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单价金额小数点或者百分比有明显错位的，以开标一览表的总价为准，并修改单价</w:t>
      </w:r>
      <w:r>
        <w:rPr>
          <w:rFonts w:hint="eastAsia" w:ascii="宋体" w:hAnsi="宋体" w:eastAsia="宋体" w:cs="Times New Roman"/>
          <w:color w:val="auto"/>
          <w:sz w:val="24"/>
          <w:szCs w:val="22"/>
          <w:highlight w:val="none"/>
        </w:rPr>
        <w:t>；</w:t>
      </w:r>
    </w:p>
    <w:p w14:paraId="78EC2D49">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总价金额与按单价汇总金额不一致的，以单价金额计算结果为准</w:t>
      </w:r>
      <w:r>
        <w:rPr>
          <w:rFonts w:hint="eastAsia" w:ascii="宋体" w:hAnsi="宋体" w:eastAsia="宋体" w:cs="Times New Roman"/>
          <w:color w:val="auto"/>
          <w:sz w:val="24"/>
          <w:szCs w:val="22"/>
          <w:highlight w:val="none"/>
        </w:rPr>
        <w:t>；</w:t>
      </w:r>
    </w:p>
    <w:p w14:paraId="26ABAFB7">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同时出现两种以上不一致的，按照前款规定的顺序修正。</w:t>
      </w:r>
      <w:r>
        <w:rPr>
          <w:rFonts w:hint="eastAsia" w:ascii="宋体" w:hAnsi="宋体" w:eastAsia="宋体" w:cs="Times New Roman"/>
          <w:color w:val="auto"/>
          <w:sz w:val="24"/>
          <w:szCs w:val="22"/>
          <w:highlight w:val="none"/>
        </w:rPr>
        <w:t>评标委员会</w:t>
      </w:r>
      <w:r>
        <w:rPr>
          <w:rFonts w:hint="eastAsia" w:ascii="宋体" w:hAnsi="宋体" w:eastAsia="宋体" w:cs="Times New Roman"/>
          <w:bCs/>
          <w:color w:val="auto"/>
          <w:sz w:val="24"/>
          <w:szCs w:val="22"/>
          <w:highlight w:val="none"/>
        </w:rPr>
        <w:t>将按上述修正错误的方法调整投标文件中的投标报价，并</w:t>
      </w:r>
      <w:r>
        <w:rPr>
          <w:rFonts w:hint="default" w:ascii="宋体" w:hAnsi="宋体" w:eastAsia="宋体" w:cs="Times New Roman"/>
          <w:bCs/>
          <w:color w:val="auto"/>
          <w:sz w:val="24"/>
          <w:szCs w:val="22"/>
          <w:highlight w:val="none"/>
        </w:rPr>
        <w:t>通过</w:t>
      </w:r>
      <w:r>
        <w:rPr>
          <w:rFonts w:hint="eastAsia" w:ascii="宋体" w:hAnsi="宋体" w:eastAsia="宋体" w:cs="Times New Roman"/>
          <w:bCs/>
          <w:color w:val="auto"/>
          <w:sz w:val="24"/>
          <w:szCs w:val="22"/>
          <w:highlight w:val="none"/>
        </w:rPr>
        <w:t>“</w:t>
      </w:r>
      <w:r>
        <w:rPr>
          <w:rFonts w:hint="eastAsia" w:ascii="宋体" w:hAnsi="宋体" w:eastAsia="宋体" w:cs="Times New Roman"/>
          <w:color w:val="auto"/>
          <w:sz w:val="24"/>
          <w:szCs w:val="24"/>
          <w:highlight w:val="none"/>
        </w:rPr>
        <w:t>苏采云”系统</w:t>
      </w:r>
      <w:r>
        <w:rPr>
          <w:rFonts w:hint="eastAsia" w:ascii="宋体" w:hAnsi="宋体" w:eastAsia="宋体" w:cs="Times New Roman"/>
          <w:bCs/>
          <w:color w:val="auto"/>
          <w:sz w:val="24"/>
          <w:szCs w:val="22"/>
          <w:highlight w:val="none"/>
        </w:rPr>
        <w:t>告知</w:t>
      </w:r>
      <w:r>
        <w:rPr>
          <w:rFonts w:hint="default" w:ascii="宋体" w:hAnsi="宋体" w:eastAsia="宋体" w:cs="Times New Roman"/>
          <w:bCs/>
          <w:color w:val="auto"/>
          <w:sz w:val="24"/>
          <w:szCs w:val="22"/>
          <w:highlight w:val="none"/>
        </w:rPr>
        <w:t>投标人</w:t>
      </w:r>
      <w:r>
        <w:rPr>
          <w:rFonts w:hint="eastAsia" w:ascii="宋体" w:hAnsi="宋体" w:eastAsia="宋体" w:cs="Times New Roman"/>
          <w:bCs/>
          <w:color w:val="auto"/>
          <w:sz w:val="24"/>
          <w:szCs w:val="22"/>
          <w:highlight w:val="none"/>
        </w:rPr>
        <w:t>，</w:t>
      </w:r>
      <w:r>
        <w:rPr>
          <w:rFonts w:hint="default" w:ascii="宋体" w:hAnsi="宋体" w:eastAsia="宋体" w:cs="Times New Roman"/>
          <w:color w:val="auto"/>
          <w:sz w:val="24"/>
          <w:szCs w:val="22"/>
          <w:highlight w:val="none"/>
        </w:rPr>
        <w:t>修正后的报价经投标人书面确认后产生约束力，投标人不确认的，其</w:t>
      </w:r>
      <w:r>
        <w:rPr>
          <w:rFonts w:hint="default" w:ascii="宋体" w:hAnsi="宋体" w:eastAsia="宋体" w:cs="Times New Roman"/>
          <w:b/>
          <w:color w:val="auto"/>
          <w:sz w:val="24"/>
          <w:szCs w:val="22"/>
          <w:highlight w:val="none"/>
        </w:rPr>
        <w:t>投标无效</w:t>
      </w:r>
      <w:r>
        <w:rPr>
          <w:rFonts w:hint="eastAsia" w:ascii="宋体" w:hAnsi="宋体" w:eastAsia="宋体" w:cs="Times New Roman"/>
          <w:b/>
          <w:color w:val="auto"/>
          <w:sz w:val="24"/>
          <w:szCs w:val="22"/>
          <w:highlight w:val="none"/>
        </w:rPr>
        <w:t>；</w:t>
      </w:r>
    </w:p>
    <w:p w14:paraId="026B4478">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落实政府采购政策的价格调整</w:t>
      </w:r>
      <w:r>
        <w:rPr>
          <w:rFonts w:hint="eastAsia" w:ascii="宋体" w:hAnsi="宋体" w:eastAsia="宋体" w:cs="Times New Roman"/>
          <w:color w:val="auto"/>
          <w:sz w:val="24"/>
          <w:szCs w:val="22"/>
          <w:highlight w:val="none"/>
        </w:rPr>
        <w:t>（一）</w:t>
      </w:r>
      <w:r>
        <w:rPr>
          <w:rFonts w:hint="default" w:ascii="宋体" w:hAnsi="宋体" w:eastAsia="宋体" w:cs="Times New Roman"/>
          <w:color w:val="auto"/>
          <w:sz w:val="24"/>
          <w:szCs w:val="22"/>
          <w:highlight w:val="none"/>
        </w:rPr>
        <w:t>：只有符合第二章《投标人须知》5.2条规定情形的，可以享受中小企业扶持政策，用扣除后的价格参加评审；否则，评标时价格不予扣除。</w:t>
      </w:r>
    </w:p>
    <w:p w14:paraId="5AFF2160">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对于未预留份额专门面向中小企业采购的采购项目，以及预留份额项目中的非预留部分采购包，对小微企业报价给予20%的扣除，用扣除后的价格参加评审。</w:t>
      </w:r>
    </w:p>
    <w:p w14:paraId="076FF648">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对于未预留份额专门面向中小企业采购的采购项目，以及预留份额项目中的非预留部分采购包，且接受大中型企业与</w:t>
      </w:r>
      <w:r>
        <w:rPr>
          <w:rFonts w:hint="default" w:ascii="宋体" w:hAnsi="宋体" w:eastAsia="宋体" w:cs="Times New Roman"/>
          <w:b/>
          <w:color w:val="auto"/>
          <w:sz w:val="24"/>
          <w:szCs w:val="22"/>
          <w:highlight w:val="none"/>
        </w:rPr>
        <w:t>小微企业</w:t>
      </w:r>
      <w:r>
        <w:rPr>
          <w:rFonts w:hint="default" w:ascii="宋体" w:hAnsi="宋体" w:eastAsia="宋体" w:cs="Times New Roman"/>
          <w:color w:val="auto"/>
          <w:sz w:val="24"/>
          <w:szCs w:val="22"/>
          <w:highlight w:val="none"/>
        </w:rPr>
        <w:t>组成联合体或者允许大中型企业向一家或者多家</w:t>
      </w:r>
      <w:r>
        <w:rPr>
          <w:rFonts w:hint="default" w:ascii="宋体" w:hAnsi="宋体" w:eastAsia="宋体" w:cs="Times New Roman"/>
          <w:b/>
          <w:color w:val="auto"/>
          <w:sz w:val="24"/>
          <w:szCs w:val="22"/>
          <w:highlight w:val="none"/>
        </w:rPr>
        <w:t>小微企业</w:t>
      </w:r>
      <w:r>
        <w:rPr>
          <w:rFonts w:hint="default" w:ascii="宋体" w:hAnsi="宋体" w:eastAsia="宋体" w:cs="Times New Roman"/>
          <w:color w:val="auto"/>
          <w:sz w:val="24"/>
          <w:szCs w:val="22"/>
          <w:highlight w:val="none"/>
        </w:rPr>
        <w:t>分包的采购项目，对于联合协议或者分包意向协议约定</w:t>
      </w:r>
      <w:r>
        <w:rPr>
          <w:rFonts w:hint="default" w:ascii="宋体" w:hAnsi="宋体" w:eastAsia="宋体" w:cs="Times New Roman"/>
          <w:b/>
          <w:color w:val="auto"/>
          <w:sz w:val="24"/>
          <w:szCs w:val="22"/>
          <w:highlight w:val="none"/>
        </w:rPr>
        <w:t>小微企业</w:t>
      </w:r>
      <w:r>
        <w:rPr>
          <w:rFonts w:hint="default" w:ascii="宋体" w:hAnsi="宋体" w:eastAsia="宋体" w:cs="Times New Roman"/>
          <w:color w:val="auto"/>
          <w:sz w:val="24"/>
          <w:szCs w:val="22"/>
          <w:highlight w:val="none"/>
        </w:rPr>
        <w:t>的合同份额占到合同总金额 30%以上的联合体或者大中型企业的报价给予</w:t>
      </w:r>
      <w:r>
        <w:rPr>
          <w:rFonts w:hint="eastAsia" w:ascii="宋体" w:hAnsi="宋体" w:eastAsia="宋体" w:cs="Times New Roman"/>
          <w:color w:val="auto"/>
          <w:sz w:val="24"/>
          <w:szCs w:val="22"/>
          <w:highlight w:val="none"/>
          <w:u w:val="single"/>
        </w:rPr>
        <w:t>3</w:t>
      </w:r>
      <w:r>
        <w:rPr>
          <w:rFonts w:hint="default" w:ascii="宋体" w:hAnsi="宋体" w:eastAsia="宋体" w:cs="Times New Roman"/>
          <w:color w:val="auto"/>
          <w:sz w:val="24"/>
          <w:szCs w:val="22"/>
          <w:highlight w:val="none"/>
        </w:rPr>
        <w:t>%的扣除，用扣除后的价格参加评审。</w:t>
      </w:r>
    </w:p>
    <w:p w14:paraId="68249C4F">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组成联合体或者接受分包的小微企业与联合体内其他企业、分包企业之间存在直接控股、管理关系的，不享受价格扣除优惠政策</w:t>
      </w:r>
      <w:r>
        <w:rPr>
          <w:rFonts w:hint="eastAsia" w:ascii="宋体" w:hAnsi="宋体" w:eastAsia="宋体" w:cs="Times New Roman"/>
          <w:color w:val="auto"/>
          <w:sz w:val="24"/>
          <w:szCs w:val="22"/>
          <w:highlight w:val="none"/>
        </w:rPr>
        <w:t>。</w:t>
      </w:r>
    </w:p>
    <w:p w14:paraId="0F1E556B">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价格扣除比例对小型企业和微型企业同等对待，不作区分</w:t>
      </w:r>
      <w:r>
        <w:rPr>
          <w:rFonts w:hint="eastAsia" w:ascii="宋体" w:hAnsi="宋体" w:eastAsia="宋体" w:cs="Times New Roman"/>
          <w:color w:val="auto"/>
          <w:sz w:val="24"/>
          <w:szCs w:val="22"/>
          <w:highlight w:val="none"/>
        </w:rPr>
        <w:t>。</w:t>
      </w:r>
    </w:p>
    <w:p w14:paraId="52CEC125">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中小企业参加政府采购活动，应当按照招标文件给定的格式出具《中小企业声明函》，否则不得享受相关中小企业扶持政策</w:t>
      </w:r>
      <w:r>
        <w:rPr>
          <w:rFonts w:hint="eastAsia" w:ascii="宋体" w:hAnsi="宋体" w:eastAsia="宋体" w:cs="Times New Roman"/>
          <w:color w:val="auto"/>
          <w:sz w:val="24"/>
          <w:szCs w:val="22"/>
          <w:highlight w:val="none"/>
        </w:rPr>
        <w:t>。</w:t>
      </w:r>
    </w:p>
    <w:p w14:paraId="3A767B51">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监狱企业提供了由省级以上监狱管理局（常州市含教育矫治局）、戒毒管理局（含新疆生产建设兵团）出具的属于监狱企业的证明文件的，视同小微企业</w:t>
      </w:r>
      <w:r>
        <w:rPr>
          <w:rFonts w:hint="eastAsia" w:ascii="宋体" w:hAnsi="宋体" w:eastAsia="宋体" w:cs="Times New Roman"/>
          <w:color w:val="auto"/>
          <w:sz w:val="24"/>
          <w:szCs w:val="22"/>
          <w:highlight w:val="none"/>
        </w:rPr>
        <w:t>。</w:t>
      </w:r>
    </w:p>
    <w:p w14:paraId="7A5084A1">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残疾人福利性单位按招标文件要求提供了《残疾人福利性单位声明函》（见附件）的，视同小微企业</w:t>
      </w:r>
      <w:r>
        <w:rPr>
          <w:rFonts w:hint="eastAsia" w:ascii="宋体" w:hAnsi="宋体" w:eastAsia="宋体" w:cs="Times New Roman"/>
          <w:color w:val="auto"/>
          <w:sz w:val="24"/>
          <w:szCs w:val="22"/>
          <w:highlight w:val="none"/>
        </w:rPr>
        <w:t>。</w:t>
      </w:r>
    </w:p>
    <w:p w14:paraId="1DBFF87C">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若投标人同时属于小型或微型企业、监狱企业、残疾人福利性单位中的两种及以上，将不重复享受小微企业价格扣减的优惠政策</w:t>
      </w:r>
      <w:r>
        <w:rPr>
          <w:rFonts w:hint="eastAsia" w:ascii="宋体" w:hAnsi="宋体" w:eastAsia="宋体" w:cs="Times New Roman"/>
          <w:color w:val="auto"/>
          <w:sz w:val="24"/>
          <w:szCs w:val="22"/>
          <w:highlight w:val="none"/>
        </w:rPr>
        <w:t>。</w:t>
      </w:r>
    </w:p>
    <w:p w14:paraId="3441BB4B">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落实政府采购政策的价格调整</w:t>
      </w:r>
      <w:r>
        <w:rPr>
          <w:rFonts w:hint="eastAsia" w:ascii="宋体" w:hAnsi="宋体" w:eastAsia="宋体" w:cs="Times New Roman"/>
          <w:color w:val="auto"/>
          <w:sz w:val="24"/>
          <w:szCs w:val="22"/>
          <w:highlight w:val="none"/>
        </w:rPr>
        <w:t>（二）</w:t>
      </w:r>
      <w:r>
        <w:rPr>
          <w:rFonts w:hint="default" w:ascii="宋体" w:hAnsi="宋体" w:eastAsia="宋体" w:cs="Times New Roman"/>
          <w:color w:val="auto"/>
          <w:sz w:val="24"/>
          <w:szCs w:val="22"/>
          <w:highlight w:val="none"/>
        </w:rPr>
        <w:t>：只有符合第二章《投标人须知》5.</w:t>
      </w:r>
      <w:r>
        <w:rPr>
          <w:rFonts w:hint="eastAsia" w:ascii="宋体" w:hAnsi="宋体" w:eastAsia="宋体" w:cs="Times New Roman"/>
          <w:color w:val="auto"/>
          <w:sz w:val="24"/>
          <w:szCs w:val="22"/>
          <w:highlight w:val="none"/>
        </w:rPr>
        <w:t>8</w:t>
      </w:r>
      <w:r>
        <w:rPr>
          <w:rFonts w:hint="default" w:ascii="宋体" w:hAnsi="宋体" w:eastAsia="宋体" w:cs="Times New Roman"/>
          <w:color w:val="auto"/>
          <w:sz w:val="24"/>
          <w:szCs w:val="22"/>
          <w:highlight w:val="none"/>
        </w:rPr>
        <w:t>条规定情形的</w:t>
      </w:r>
      <w:r>
        <w:rPr>
          <w:rFonts w:hint="eastAsia" w:ascii="宋体" w:hAnsi="宋体" w:eastAsia="宋体" w:cs="Times New Roman"/>
          <w:color w:val="auto"/>
          <w:sz w:val="24"/>
          <w:szCs w:val="22"/>
          <w:highlight w:val="none"/>
        </w:rPr>
        <w:t>，依法对本国产品给予价格评审优惠，对本国产品的报价给予</w:t>
      </w:r>
      <w:r>
        <w:rPr>
          <w:rFonts w:hint="eastAsia" w:ascii="宋体" w:hAnsi="宋体" w:eastAsia="宋体" w:cs="Times New Roman"/>
          <w:b/>
          <w:bCs/>
          <w:color w:val="auto"/>
          <w:sz w:val="24"/>
          <w:szCs w:val="22"/>
          <w:highlight w:val="none"/>
        </w:rPr>
        <w:t>20</w:t>
      </w:r>
      <w:r>
        <w:rPr>
          <w:rFonts w:hint="eastAsia" w:ascii="宋体" w:hAnsi="宋体" w:eastAsia="宋体" w:cs="Times New Roman"/>
          <w:color w:val="auto"/>
          <w:sz w:val="24"/>
          <w:szCs w:val="22"/>
          <w:highlight w:val="none"/>
        </w:rPr>
        <w:t>%的价格扣除，用扣除后的价格参与评审。</w:t>
      </w:r>
    </w:p>
    <w:p w14:paraId="4B2CB8B0">
      <w:pPr>
        <w:widowControl w:val="0"/>
        <w:numPr>
          <w:ilvl w:val="2"/>
          <w:numId w:val="4"/>
        </w:numPr>
        <w:spacing w:line="360" w:lineRule="auto"/>
        <w:ind w:left="1418" w:hanging="851"/>
        <w:jc w:val="lef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本项目政府采购活动中既有本国产品又有非本国产品参与竞争的，依法对本国产品给予</w:t>
      </w:r>
      <w:r>
        <w:rPr>
          <w:rFonts w:hint="eastAsia" w:ascii="宋体" w:hAnsi="宋体" w:eastAsia="宋体" w:cs="Times New Roman"/>
          <w:color w:val="auto"/>
          <w:sz w:val="24"/>
          <w:szCs w:val="22"/>
          <w:highlight w:val="none"/>
        </w:rPr>
        <w:t>价格</w:t>
      </w:r>
      <w:r>
        <w:rPr>
          <w:rFonts w:hint="eastAsia" w:ascii="宋体" w:hAnsi="宋体" w:eastAsia="宋体" w:cs="Arial"/>
          <w:color w:val="auto"/>
          <w:sz w:val="24"/>
          <w:szCs w:val="24"/>
          <w:highlight w:val="none"/>
        </w:rPr>
        <w:t>评审优惠，对本国产品的报价给予 20%的价格扣除，用扣除后的价格参与评审。</w:t>
      </w:r>
    </w:p>
    <w:p w14:paraId="0DF78380">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9222EC6">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投标人需按照招标文件的要求提供《关于符合本国产品标准的声明函》（以下简称《声明函》），如不提供将不享受本国产品价格评审优惠。</w:t>
      </w:r>
    </w:p>
    <w:p w14:paraId="56E9579E">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E1FB109">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4022BB0E">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投标文件的比较和评价</w:t>
      </w:r>
      <w:r>
        <w:rPr>
          <w:rFonts w:hint="eastAsia" w:ascii="宋体" w:hAnsi="宋体" w:eastAsia="宋体" w:cs="Times New Roman"/>
          <w:b/>
          <w:color w:val="auto"/>
          <w:sz w:val="24"/>
          <w:szCs w:val="22"/>
          <w:highlight w:val="none"/>
        </w:rPr>
        <w:t>：</w:t>
      </w:r>
    </w:p>
    <w:p w14:paraId="79E369B5">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Times New Roman"/>
          <w:color w:val="auto"/>
          <w:sz w:val="24"/>
          <w:szCs w:val="22"/>
          <w:highlight w:val="none"/>
        </w:rPr>
        <w:t>；</w:t>
      </w:r>
    </w:p>
    <w:p w14:paraId="70F7000E">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评标方法和评标标准</w:t>
      </w:r>
      <w:r>
        <w:rPr>
          <w:rFonts w:hint="eastAsia" w:ascii="宋体" w:hAnsi="宋体" w:eastAsia="宋体" w:cs="Times New Roman"/>
          <w:color w:val="auto"/>
          <w:sz w:val="24"/>
          <w:szCs w:val="22"/>
          <w:highlight w:val="none"/>
        </w:rPr>
        <w:t>；</w:t>
      </w:r>
    </w:p>
    <w:p w14:paraId="0825420D">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本项目采用的评标方法为</w:t>
      </w:r>
      <w:r>
        <w:rPr>
          <w:rFonts w:hint="eastAsia" w:ascii="宋体" w:hAnsi="宋体" w:eastAsia="宋体" w:cs="Times New Roman"/>
          <w:color w:val="auto"/>
          <w:sz w:val="24"/>
          <w:szCs w:val="22"/>
          <w:highlight w:val="none"/>
        </w:rPr>
        <w:t>：</w:t>
      </w:r>
    </w:p>
    <w:p w14:paraId="26C2A0FC">
      <w:pPr>
        <w:spacing w:line="360" w:lineRule="auto"/>
        <w:ind w:left="1134" w:firstLine="240"/>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2"/>
          <w:highlight w:val="none"/>
        </w:rPr>
        <w:t>综合评分法，指投标文件满足招标文件全部实质性要求，且按照评审因素的量化指标评审得分最高的投标人为中标候选人的评标方法，见《评标标准》</w:t>
      </w:r>
      <w:r>
        <w:rPr>
          <w:rFonts w:hint="eastAsia" w:ascii="宋体" w:hAnsi="宋体" w:eastAsia="宋体" w:cs="Times New Roman"/>
          <w:color w:val="auto"/>
          <w:kern w:val="0"/>
          <w:sz w:val="24"/>
          <w:szCs w:val="22"/>
          <w:highlight w:val="none"/>
        </w:rPr>
        <w:t>，招标文件中没有规定的评标标准不得作为评审的依据。</w:t>
      </w:r>
    </w:p>
    <w:p w14:paraId="20EF3764">
      <w:pPr>
        <w:spacing w:line="360" w:lineRule="auto"/>
        <w:ind w:left="1134" w:firstLine="240"/>
        <w:jc w:val="left"/>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2"/>
          <w:highlight w:val="none"/>
        </w:rPr>
        <w:t>最低评标价法，指投标文件满足招标文件全部实质性要求，且投标报价最低的投标人为中标候选人的评标方法</w:t>
      </w:r>
      <w:r>
        <w:rPr>
          <w:rFonts w:hint="eastAsia" w:ascii="宋体" w:hAnsi="宋体" w:eastAsia="宋体" w:cs="Times New Roman"/>
          <w:color w:val="auto"/>
          <w:kern w:val="0"/>
          <w:sz w:val="24"/>
          <w:szCs w:val="22"/>
          <w:highlight w:val="none"/>
        </w:rPr>
        <w:t>。</w:t>
      </w:r>
    </w:p>
    <w:p w14:paraId="1C724771">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default" w:ascii="宋体" w:hAnsi="宋体" w:eastAsia="宋体" w:cs="Times New Roman"/>
          <w:b/>
          <w:color w:val="auto"/>
          <w:sz w:val="24"/>
          <w:szCs w:val="22"/>
          <w:highlight w:val="none"/>
        </w:rPr>
        <w:t>投标无效</w:t>
      </w:r>
      <w:r>
        <w:rPr>
          <w:rFonts w:hint="eastAsia" w:ascii="宋体" w:hAnsi="宋体" w:eastAsia="宋体" w:cs="Times New Roman"/>
          <w:b/>
          <w:color w:val="auto"/>
          <w:sz w:val="24"/>
          <w:szCs w:val="22"/>
          <w:highlight w:val="none"/>
        </w:rPr>
        <w:t>。</w:t>
      </w:r>
    </w:p>
    <w:p w14:paraId="0EBEDE15">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非政府强制采购的节能产品或环境标志产品，依据品目清单和认证证书实施政府优先采购。优先采购的具体规定（如涉及）</w:t>
      </w:r>
      <w:r>
        <w:rPr>
          <w:rFonts w:hint="eastAsia" w:ascii="宋体" w:hAnsi="宋体" w:eastAsia="宋体" w:cs="Times New Roman"/>
          <w:color w:val="auto"/>
          <w:sz w:val="24"/>
          <w:szCs w:val="22"/>
          <w:highlight w:val="none"/>
          <w:u w:val="single"/>
        </w:rPr>
        <w:t xml:space="preserve">  /  </w:t>
      </w:r>
      <w:r>
        <w:rPr>
          <w:rFonts w:hint="eastAsia" w:ascii="宋体" w:hAnsi="宋体" w:eastAsia="宋体" w:cs="Times New Roman"/>
          <w:color w:val="auto"/>
          <w:sz w:val="24"/>
          <w:szCs w:val="22"/>
          <w:highlight w:val="none"/>
        </w:rPr>
        <w:t>。</w:t>
      </w:r>
    </w:p>
    <w:p w14:paraId="621CAF0F">
      <w:pPr>
        <w:widowControl w:val="0"/>
        <w:numPr>
          <w:ilvl w:val="2"/>
          <w:numId w:val="4"/>
        </w:numPr>
        <w:spacing w:line="360" w:lineRule="auto"/>
        <w:ind w:left="1418" w:hanging="851"/>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关于无线局域网认证产品政府采购清单中的产品，优先采购的具体规定（如涉及）</w:t>
      </w:r>
      <w:r>
        <w:rPr>
          <w:rFonts w:hint="eastAsia" w:ascii="宋体" w:hAnsi="宋体" w:eastAsia="宋体" w:cs="Times New Roman"/>
          <w:color w:val="auto"/>
          <w:sz w:val="24"/>
          <w:szCs w:val="22"/>
          <w:highlight w:val="none"/>
          <w:u w:val="single"/>
        </w:rPr>
        <w:t xml:space="preserve">  /  </w:t>
      </w:r>
      <w:r>
        <w:rPr>
          <w:rFonts w:hint="default" w:ascii="宋体" w:hAnsi="宋体" w:eastAsia="宋体" w:cs="Times New Roman"/>
          <w:color w:val="auto"/>
          <w:sz w:val="24"/>
          <w:szCs w:val="22"/>
          <w:highlight w:val="none"/>
        </w:rPr>
        <w:t>。</w:t>
      </w:r>
    </w:p>
    <w:p w14:paraId="007A7E61">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确定中标候选人名单</w:t>
      </w:r>
    </w:p>
    <w:p w14:paraId="6EBEEF78">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Times New Roman"/>
          <w:color w:val="auto"/>
          <w:sz w:val="24"/>
          <w:szCs w:val="22"/>
          <w:highlight w:val="none"/>
        </w:rPr>
        <w:t>。</w:t>
      </w:r>
    </w:p>
    <w:p w14:paraId="4082C12F">
      <w:pPr>
        <w:spacing w:line="360" w:lineRule="auto"/>
        <w:ind w:left="1134" w:firstLine="240"/>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2"/>
          <w:highlight w:val="none"/>
        </w:rPr>
        <w:t>随机抽取</w:t>
      </w:r>
    </w:p>
    <w:p w14:paraId="6DF49BC0">
      <w:pPr>
        <w:spacing w:line="360" w:lineRule="auto"/>
        <w:ind w:left="1134" w:firstLine="240"/>
        <w:jc w:val="left"/>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2"/>
          <w:highlight w:val="none"/>
        </w:rPr>
        <w:t>其他方式，具体要求：_____</w:t>
      </w:r>
    </w:p>
    <w:p w14:paraId="2185BD91">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Times New Roman"/>
          <w:color w:val="auto"/>
          <w:sz w:val="24"/>
          <w:szCs w:val="22"/>
          <w:highlight w:val="none"/>
        </w:rPr>
        <w:t>。</w:t>
      </w:r>
    </w:p>
    <w:p w14:paraId="00CDB331">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Times New Roman"/>
          <w:color w:val="auto"/>
          <w:sz w:val="24"/>
          <w:szCs w:val="22"/>
          <w:highlight w:val="none"/>
        </w:rPr>
        <w:t>。</w:t>
      </w:r>
    </w:p>
    <w:p w14:paraId="2F908065">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评标委员会要对评分汇总情况进行复核，特别是对排名第一的、报价最低的、投标或</w:t>
      </w:r>
      <w:r>
        <w:rPr>
          <w:rFonts w:hint="eastAsia" w:ascii="宋体" w:hAnsi="宋体" w:eastAsia="宋体" w:cs="Times New Roman"/>
          <w:color w:val="auto"/>
          <w:sz w:val="24"/>
          <w:szCs w:val="22"/>
          <w:highlight w:val="none"/>
        </w:rPr>
        <w:t>响应</w:t>
      </w:r>
      <w:r>
        <w:rPr>
          <w:rFonts w:hint="default" w:ascii="宋体" w:hAnsi="宋体" w:eastAsia="宋体" w:cs="Times New Roman"/>
          <w:color w:val="auto"/>
          <w:sz w:val="24"/>
          <w:szCs w:val="22"/>
          <w:highlight w:val="none"/>
        </w:rPr>
        <w:t>文件被认定为无效的情形进行重点复核</w:t>
      </w:r>
      <w:r>
        <w:rPr>
          <w:rFonts w:hint="eastAsia" w:ascii="宋体" w:hAnsi="宋体" w:eastAsia="宋体" w:cs="Times New Roman"/>
          <w:color w:val="auto"/>
          <w:sz w:val="24"/>
          <w:szCs w:val="22"/>
          <w:highlight w:val="none"/>
        </w:rPr>
        <w:t>。</w:t>
      </w:r>
    </w:p>
    <w:p w14:paraId="63D29C8F">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评标委员会将根据各投标人的评标排序，依次推荐本项目（</w:t>
      </w:r>
      <w:r>
        <w:rPr>
          <w:rFonts w:hint="eastAsia" w:ascii="宋体" w:hAnsi="宋体" w:eastAsia="宋体" w:cs="Times New Roman"/>
          <w:color w:val="auto"/>
          <w:sz w:val="24"/>
          <w:szCs w:val="22"/>
          <w:highlight w:val="none"/>
        </w:rPr>
        <w:t>各</w:t>
      </w:r>
      <w:r>
        <w:rPr>
          <w:rFonts w:hint="default" w:ascii="宋体" w:hAnsi="宋体" w:eastAsia="宋体" w:cs="Times New Roman"/>
          <w:color w:val="auto"/>
          <w:sz w:val="24"/>
          <w:szCs w:val="22"/>
          <w:highlight w:val="none"/>
        </w:rPr>
        <w:t>采购包）的中标候选人，起草并签署评标报告</w:t>
      </w:r>
      <w:r>
        <w:rPr>
          <w:rFonts w:hint="eastAsia" w:ascii="宋体" w:hAnsi="宋体" w:eastAsia="宋体" w:cs="Times New Roman"/>
          <w:color w:val="auto"/>
          <w:sz w:val="24"/>
          <w:szCs w:val="22"/>
          <w:highlight w:val="none"/>
        </w:rPr>
        <w:t>。</w:t>
      </w:r>
    </w:p>
    <w:p w14:paraId="41304FB9">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报告违法行为</w:t>
      </w:r>
    </w:p>
    <w:p w14:paraId="11019FC0">
      <w:pPr>
        <w:widowControl w:val="0"/>
        <w:numPr>
          <w:ilvl w:val="1"/>
          <w:numId w:val="4"/>
        </w:numPr>
        <w:spacing w:line="360" w:lineRule="auto"/>
        <w:ind w:left="850" w:hanging="566"/>
        <w:jc w:val="left"/>
        <w:rPr>
          <w:rFonts w:hint="eastAsia"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评标委员会在评标过程中发现投标人有行贿、提供虚假材料或者串通等违法行为时，有向采购人、采购代理机构或者有关部门报告的职责</w:t>
      </w:r>
      <w:r>
        <w:rPr>
          <w:rFonts w:hint="eastAsia" w:ascii="宋体" w:hAnsi="宋体" w:eastAsia="宋体" w:cs="Times New Roman"/>
          <w:color w:val="auto"/>
          <w:sz w:val="24"/>
          <w:szCs w:val="22"/>
          <w:highlight w:val="none"/>
        </w:rPr>
        <w:t>。</w:t>
      </w:r>
    </w:p>
    <w:p w14:paraId="744B72B9">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r>
        <w:rPr>
          <w:rFonts w:hint="eastAsia" w:ascii="宋体" w:hAnsi="宋体" w:eastAsia="宋体" w:cs="Times New Roman"/>
          <w:bCs/>
          <w:color w:val="auto"/>
          <w:sz w:val="24"/>
          <w:szCs w:val="22"/>
          <w:highlight w:val="none"/>
        </w:rPr>
        <w:t>未通过资格审查或符合性审查的投标人，评标委员会将在“</w:t>
      </w:r>
      <w:r>
        <w:rPr>
          <w:rFonts w:hint="eastAsia" w:ascii="宋体" w:hAnsi="宋体" w:eastAsia="宋体" w:cs="Times New Roman"/>
          <w:color w:val="auto"/>
          <w:sz w:val="24"/>
          <w:szCs w:val="24"/>
          <w:highlight w:val="none"/>
        </w:rPr>
        <w:t>苏采云”系统</w:t>
      </w:r>
      <w:r>
        <w:rPr>
          <w:rFonts w:hint="eastAsia" w:ascii="宋体" w:hAnsi="宋体" w:eastAsia="宋体" w:cs="Times New Roman"/>
          <w:bCs/>
          <w:color w:val="auto"/>
          <w:sz w:val="24"/>
          <w:szCs w:val="22"/>
          <w:highlight w:val="none"/>
        </w:rPr>
        <w:t>中告知未通过资格审查或符合性审查的原因，</w:t>
      </w:r>
      <w:r>
        <w:rPr>
          <w:rFonts w:hint="default" w:ascii="宋体" w:hAnsi="宋体" w:eastAsia="宋体" w:cs="Times New Roman"/>
          <w:bCs/>
          <w:color w:val="auto"/>
          <w:sz w:val="24"/>
          <w:szCs w:val="22"/>
          <w:highlight w:val="none"/>
        </w:rPr>
        <w:t>评标结束后，</w:t>
      </w:r>
      <w:r>
        <w:rPr>
          <w:rFonts w:hint="eastAsia" w:ascii="宋体" w:hAnsi="宋体" w:eastAsia="宋体" w:cs="Times New Roman"/>
          <w:bCs/>
          <w:color w:val="auto"/>
          <w:sz w:val="24"/>
          <w:szCs w:val="22"/>
          <w:highlight w:val="none"/>
        </w:rPr>
        <w:t>代理机构</w:t>
      </w:r>
      <w:r>
        <w:rPr>
          <w:rFonts w:hint="default" w:ascii="宋体" w:hAnsi="宋体" w:eastAsia="宋体" w:cs="Times New Roman"/>
          <w:bCs/>
          <w:color w:val="auto"/>
          <w:sz w:val="24"/>
          <w:szCs w:val="22"/>
          <w:highlight w:val="none"/>
        </w:rPr>
        <w:t>将不再告知未通过资格审查和</w:t>
      </w:r>
      <w:r>
        <w:rPr>
          <w:rFonts w:hint="eastAsia" w:ascii="宋体" w:hAnsi="宋体" w:eastAsia="宋体" w:cs="Times New Roman"/>
          <w:bCs/>
          <w:color w:val="auto"/>
          <w:sz w:val="24"/>
          <w:szCs w:val="22"/>
          <w:highlight w:val="none"/>
        </w:rPr>
        <w:t>符合性</w:t>
      </w:r>
      <w:r>
        <w:rPr>
          <w:rFonts w:hint="default" w:ascii="宋体" w:hAnsi="宋体" w:eastAsia="宋体" w:cs="Times New Roman"/>
          <w:bCs/>
          <w:color w:val="auto"/>
          <w:sz w:val="24"/>
          <w:szCs w:val="22"/>
          <w:highlight w:val="none"/>
        </w:rPr>
        <w:t>审查的原因。</w:t>
      </w:r>
    </w:p>
    <w:p w14:paraId="3B089E90">
      <w:pPr>
        <w:widowControl w:val="0"/>
        <w:numPr>
          <w:ilvl w:val="0"/>
          <w:numId w:val="4"/>
        </w:numPr>
        <w:spacing w:line="360" w:lineRule="auto"/>
        <w:ind w:left="284" w:hanging="284"/>
        <w:jc w:val="left"/>
        <w:rPr>
          <w:rFonts w:hint="eastAsia" w:ascii="宋体" w:hAnsi="宋体" w:eastAsia="宋体" w:cs="Times New Roman"/>
          <w:color w:val="auto"/>
          <w:sz w:val="24"/>
          <w:szCs w:val="22"/>
          <w:highlight w:val="none"/>
        </w:rPr>
      </w:pPr>
      <w:bookmarkStart w:id="503" w:name="_Hlk159067375"/>
      <w:r>
        <w:rPr>
          <w:rFonts w:hint="eastAsia" w:ascii="宋体" w:hAnsi="宋体" w:eastAsia="宋体" w:cs="Times New Roman"/>
          <w:color w:val="auto"/>
          <w:sz w:val="24"/>
          <w:szCs w:val="24"/>
          <w:highlight w:val="none"/>
        </w:rPr>
        <w:t>采用综合评分法的项目，未中标的投标人可于中标结果公告期限届满之日起通过“苏采云”系统查看自己的评审得分及排序情况。</w:t>
      </w:r>
      <w:bookmarkEnd w:id="503"/>
    </w:p>
    <w:p w14:paraId="56819256">
      <w:pPr>
        <w:numPr>
          <w:ilvl w:val="0"/>
          <w:numId w:val="4"/>
        </w:numPr>
        <w:spacing w:line="360" w:lineRule="auto"/>
        <w:jc w:val="left"/>
        <w:rPr>
          <w:rFonts w:hint="eastAsia" w:ascii="宋体" w:hAnsi="宋体" w:eastAsia="宋体"/>
          <w:color w:val="auto"/>
          <w:sz w:val="24"/>
          <w:highlight w:val="none"/>
        </w:rPr>
        <w:sectPr>
          <w:pgSz w:w="11906" w:h="16838"/>
          <w:pgMar w:top="1440" w:right="1800" w:bottom="1440" w:left="1800" w:header="851" w:footer="992" w:gutter="0"/>
          <w:pgNumType w:fmt="decimal"/>
          <w:cols w:space="425" w:num="1"/>
          <w:docGrid w:linePitch="360" w:charSpace="0"/>
        </w:sectPr>
      </w:pPr>
    </w:p>
    <w:p w14:paraId="659A20D7">
      <w:pPr>
        <w:numPr>
          <w:ilvl w:val="0"/>
          <w:numId w:val="5"/>
        </w:numPr>
        <w:jc w:val="center"/>
        <w:rPr>
          <w:rFonts w:hint="default" w:ascii="宋体" w:hAnsi="宋体" w:eastAsia="宋体" w:cs="Times New Roman"/>
          <w:b/>
          <w:bCs/>
          <w:color w:val="auto"/>
          <w:kern w:val="0"/>
          <w:sz w:val="28"/>
          <w:szCs w:val="28"/>
          <w:highlight w:val="none"/>
        </w:rPr>
      </w:pPr>
      <w:bookmarkStart w:id="504" w:name="_Hlk199920233"/>
      <w:bookmarkStart w:id="505" w:name="_Toc104818929"/>
      <w:r>
        <w:rPr>
          <w:rFonts w:hint="default" w:ascii="宋体" w:hAnsi="宋体" w:eastAsia="宋体" w:cs="Times New Roman"/>
          <w:b/>
          <w:bCs/>
          <w:color w:val="auto"/>
          <w:kern w:val="0"/>
          <w:sz w:val="28"/>
          <w:szCs w:val="28"/>
          <w:highlight w:val="none"/>
        </w:rPr>
        <w:t>评</w:t>
      </w:r>
      <w:r>
        <w:rPr>
          <w:rFonts w:hint="eastAsia" w:ascii="宋体" w:hAnsi="宋体" w:eastAsia="宋体" w:cs="Times New Roman"/>
          <w:b/>
          <w:bCs/>
          <w:color w:val="auto"/>
          <w:kern w:val="0"/>
          <w:sz w:val="28"/>
          <w:szCs w:val="28"/>
          <w:highlight w:val="none"/>
        </w:rPr>
        <w:t>标</w:t>
      </w:r>
      <w:r>
        <w:rPr>
          <w:rFonts w:hint="default" w:ascii="宋体" w:hAnsi="宋体" w:eastAsia="宋体" w:cs="Times New Roman"/>
          <w:b/>
          <w:bCs/>
          <w:color w:val="auto"/>
          <w:kern w:val="0"/>
          <w:sz w:val="28"/>
          <w:szCs w:val="28"/>
          <w:highlight w:val="none"/>
        </w:rPr>
        <w:t>标准</w:t>
      </w:r>
    </w:p>
    <w:tbl>
      <w:tblPr>
        <w:tblStyle w:val="7"/>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356"/>
        <w:gridCol w:w="699"/>
        <w:gridCol w:w="4200"/>
        <w:gridCol w:w="3222"/>
      </w:tblGrid>
      <w:tr w14:paraId="5367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14:paraId="420D2C22">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56" w:type="dxa"/>
            <w:noWrap w:val="0"/>
            <w:vAlign w:val="center"/>
          </w:tcPr>
          <w:p w14:paraId="23E44953">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699" w:type="dxa"/>
            <w:noWrap w:val="0"/>
            <w:vAlign w:val="center"/>
          </w:tcPr>
          <w:p w14:paraId="0BEE49D2">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200" w:type="dxa"/>
            <w:noWrap w:val="0"/>
            <w:vAlign w:val="center"/>
          </w:tcPr>
          <w:p w14:paraId="7A20D1EB">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3222" w:type="dxa"/>
            <w:noWrap w:val="0"/>
            <w:vAlign w:val="center"/>
          </w:tcPr>
          <w:p w14:paraId="3226ED74">
            <w:pPr>
              <w:keepNext w:val="0"/>
              <w:keepLines w:val="0"/>
              <w:pageBreakBefore w:val="0"/>
              <w:widowControl w:val="0"/>
              <w:shd w:val="clear" w:color="auto" w:fill="auto"/>
              <w:kinsoku/>
              <w:wordWrap/>
              <w:overflowPunct/>
              <w:topLinePunct w:val="0"/>
              <w:autoSpaceDE/>
              <w:autoSpaceDN/>
              <w:bidi w:val="0"/>
              <w:adjustRightInd/>
              <w:snapToGrid/>
              <w:spacing w:before="0" w:after="0" w:line="320" w:lineRule="exact"/>
              <w:jc w:val="center"/>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说明</w:t>
            </w:r>
          </w:p>
        </w:tc>
      </w:tr>
      <w:tr w14:paraId="1772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noWrap w:val="0"/>
            <w:vAlign w:val="center"/>
          </w:tcPr>
          <w:p w14:paraId="1937999B">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356" w:type="dxa"/>
            <w:noWrap w:val="0"/>
            <w:vAlign w:val="center"/>
          </w:tcPr>
          <w:p w14:paraId="4DCCC90F">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tc>
        <w:tc>
          <w:tcPr>
            <w:tcW w:w="699" w:type="dxa"/>
            <w:noWrap w:val="0"/>
            <w:vAlign w:val="center"/>
          </w:tcPr>
          <w:p w14:paraId="049F9FF1">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50</w:t>
            </w:r>
          </w:p>
        </w:tc>
        <w:tc>
          <w:tcPr>
            <w:tcW w:w="4200" w:type="dxa"/>
            <w:noWrap w:val="0"/>
            <w:vAlign w:val="center"/>
          </w:tcPr>
          <w:p w14:paraId="6BE315F3">
            <w:pPr>
              <w:spacing w:line="276" w:lineRule="auto"/>
              <w:ind w:firstLine="420"/>
              <w:jc w:val="left"/>
              <w:rPr>
                <w:rFonts w:hint="eastAsia" w:ascii="宋体" w:hAnsi="宋体" w:eastAsia="宋体" w:cs="Times New Roman"/>
                <w:color w:val="auto"/>
                <w:spacing w:val="2"/>
                <w:kern w:val="0"/>
                <w:sz w:val="24"/>
                <w:szCs w:val="24"/>
                <w:highlight w:val="none"/>
              </w:rPr>
            </w:pPr>
            <w:r>
              <w:rPr>
                <w:rFonts w:hint="eastAsia" w:ascii="宋体" w:hAnsi="宋体" w:eastAsia="宋体" w:cs="Times New Roman"/>
                <w:color w:val="auto"/>
                <w:spacing w:val="2"/>
                <w:kern w:val="0"/>
                <w:sz w:val="24"/>
                <w:szCs w:val="24"/>
                <w:highlight w:val="none"/>
              </w:rPr>
              <w:t>满足招标文件要求且投标价格最低的投标报价为评标基准价，其价格分为满分。其他投标人的价格分统一按照下列公式计算，</w:t>
            </w:r>
            <w:r>
              <w:rPr>
                <w:rFonts w:hint="eastAsia" w:ascii="宋体" w:hAnsi="宋体" w:eastAsia="宋体" w:cs="宋体"/>
                <w:color w:val="auto"/>
                <w:kern w:val="0"/>
                <w:sz w:val="24"/>
                <w:szCs w:val="24"/>
                <w:highlight w:val="none"/>
                <w:lang w:val="zh-CN"/>
              </w:rPr>
              <w:t>小数点后保留2位</w:t>
            </w:r>
            <w:r>
              <w:rPr>
                <w:rFonts w:hint="eastAsia" w:ascii="宋体" w:hAnsi="宋体" w:eastAsia="宋体" w:cs="Times New Roman"/>
                <w:color w:val="auto"/>
                <w:spacing w:val="2"/>
                <w:kern w:val="0"/>
                <w:sz w:val="24"/>
                <w:szCs w:val="24"/>
                <w:highlight w:val="none"/>
              </w:rPr>
              <w:t>：</w:t>
            </w:r>
          </w:p>
          <w:p w14:paraId="7B636CC2">
            <w:pPr>
              <w:spacing w:line="276" w:lineRule="auto"/>
              <w:ind w:firstLine="420"/>
              <w:jc w:val="left"/>
              <w:rPr>
                <w:rFonts w:hint="eastAsia" w:ascii="宋体" w:hAnsi="宋体" w:eastAsia="宋体" w:cs="Times New Roman"/>
                <w:color w:val="auto"/>
                <w:spacing w:val="2"/>
                <w:kern w:val="0"/>
                <w:sz w:val="24"/>
                <w:szCs w:val="24"/>
                <w:highlight w:val="none"/>
              </w:rPr>
            </w:pPr>
            <w:r>
              <w:rPr>
                <w:rFonts w:hint="eastAsia" w:ascii="宋体" w:hAnsi="宋体" w:eastAsia="宋体" w:cs="Times New Roman"/>
                <w:color w:val="auto"/>
                <w:spacing w:val="2"/>
                <w:kern w:val="0"/>
                <w:sz w:val="24"/>
                <w:szCs w:val="24"/>
                <w:highlight w:val="none"/>
              </w:rPr>
              <w:t>投标报价得分＝（评标基准价/投标报价）×分值。</w:t>
            </w:r>
          </w:p>
          <w:p w14:paraId="5A506186">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Times New Roman"/>
                <w:color w:val="auto"/>
                <w:spacing w:val="2"/>
                <w:kern w:val="0"/>
                <w:sz w:val="24"/>
                <w:szCs w:val="24"/>
                <w:highlight w:val="none"/>
              </w:rPr>
              <w:t>注意：</w:t>
            </w:r>
            <w:r>
              <w:rPr>
                <w:rFonts w:hint="eastAsia" w:ascii="宋体" w:hAnsi="宋体" w:eastAsia="宋体" w:cs="宋体"/>
                <w:color w:val="auto"/>
                <w:kern w:val="0"/>
                <w:sz w:val="24"/>
                <w:szCs w:val="24"/>
                <w:highlight w:val="none"/>
              </w:rPr>
              <w:t>评审委员会认为投标人的报价属于应当启动异常低价投标审查程序范畴的，应当要求其在评审现场合理的时间内提供书面说明及相关证明材料；投标人不能证明其报价合理性的，评审委员会应当将其作为无效投标处理。</w:t>
            </w:r>
          </w:p>
        </w:tc>
        <w:tc>
          <w:tcPr>
            <w:tcW w:w="3222" w:type="dxa"/>
            <w:noWrap w:val="0"/>
            <w:vAlign w:val="center"/>
          </w:tcPr>
          <w:p w14:paraId="1A56192F">
            <w:pPr>
              <w:keepNext w:val="0"/>
              <w:keepLines w:val="0"/>
              <w:pageBreakBefore w:val="0"/>
              <w:shd w:val="clear" w:color="auto" w:fill="auto"/>
              <w:kinsoku/>
              <w:wordWrap/>
              <w:overflowPunct/>
              <w:topLinePunct w:val="0"/>
              <w:autoSpaceDE/>
              <w:autoSpaceDN/>
              <w:bidi w:val="0"/>
              <w:adjustRightInd/>
              <w:snapToGrid/>
              <w:spacing w:line="320" w:lineRule="exact"/>
              <w:ind w:left="-38"/>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4"/>
                <w:szCs w:val="24"/>
                <w:highlight w:val="none"/>
              </w:rPr>
              <w:t>此处投标报价指经过报价修正，及因落实政府采购政策进行价格调整后的报价。</w:t>
            </w:r>
          </w:p>
        </w:tc>
      </w:tr>
      <w:tr w14:paraId="5B0C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14:paraId="477309B0">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356" w:type="dxa"/>
            <w:noWrap w:val="0"/>
            <w:vAlign w:val="center"/>
          </w:tcPr>
          <w:p w14:paraId="3A6E935A">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主观分</w:t>
            </w:r>
          </w:p>
        </w:tc>
        <w:tc>
          <w:tcPr>
            <w:tcW w:w="699" w:type="dxa"/>
            <w:noWrap w:val="0"/>
            <w:vAlign w:val="center"/>
          </w:tcPr>
          <w:p w14:paraId="7A7C9730">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w:t>
            </w:r>
          </w:p>
        </w:tc>
        <w:tc>
          <w:tcPr>
            <w:tcW w:w="4200" w:type="dxa"/>
            <w:noWrap w:val="0"/>
            <w:vAlign w:val="center"/>
          </w:tcPr>
          <w:p w14:paraId="3B92D6CD">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c>
          <w:tcPr>
            <w:tcW w:w="3222" w:type="dxa"/>
            <w:noWrap w:val="0"/>
            <w:vAlign w:val="center"/>
          </w:tcPr>
          <w:p w14:paraId="3777F905">
            <w:pPr>
              <w:keepNext w:val="0"/>
              <w:keepLines w:val="0"/>
              <w:pageBreakBefore w:val="0"/>
              <w:shd w:val="clear" w:color="auto" w:fill="auto"/>
              <w:kinsoku/>
              <w:wordWrap/>
              <w:overflowPunct/>
              <w:topLinePunct w:val="0"/>
              <w:autoSpaceDE/>
              <w:autoSpaceDN/>
              <w:bidi w:val="0"/>
              <w:adjustRightInd/>
              <w:snapToGrid/>
              <w:spacing w:line="320" w:lineRule="exact"/>
              <w:ind w:left="-38"/>
              <w:textAlignment w:val="auto"/>
              <w:rPr>
                <w:rFonts w:hint="eastAsia" w:ascii="宋体" w:hAnsi="宋体" w:eastAsia="宋体" w:cs="宋体"/>
                <w:color w:val="auto"/>
                <w:sz w:val="21"/>
                <w:szCs w:val="21"/>
                <w:highlight w:val="none"/>
              </w:rPr>
            </w:pPr>
          </w:p>
        </w:tc>
      </w:tr>
      <w:tr w14:paraId="06CF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restart"/>
            <w:noWrap w:val="0"/>
            <w:vAlign w:val="center"/>
          </w:tcPr>
          <w:p w14:paraId="09B576C2">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2.1</w:t>
            </w:r>
          </w:p>
        </w:tc>
        <w:tc>
          <w:tcPr>
            <w:tcW w:w="1356" w:type="dxa"/>
            <w:vMerge w:val="restart"/>
            <w:noWrap w:val="0"/>
            <w:vAlign w:val="center"/>
          </w:tcPr>
          <w:p w14:paraId="00F97561">
            <w:pPr>
              <w:keepNext w:val="0"/>
              <w:keepLines w:val="0"/>
              <w:pageBreakBefore w:val="0"/>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项目实施方案</w:t>
            </w:r>
          </w:p>
        </w:tc>
        <w:tc>
          <w:tcPr>
            <w:tcW w:w="699" w:type="dxa"/>
            <w:noWrap w:val="0"/>
            <w:vAlign w:val="center"/>
          </w:tcPr>
          <w:p w14:paraId="27790816">
            <w:pPr>
              <w:keepNext w:val="0"/>
              <w:keepLines w:val="0"/>
              <w:pageBreakBefore w:val="0"/>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4200" w:type="dxa"/>
            <w:noWrap w:val="0"/>
            <w:vAlign w:val="center"/>
          </w:tcPr>
          <w:p w14:paraId="1062D9C1">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ascii="宋体" w:hAnsi="宋体" w:eastAsia="宋体" w:cs="宋体"/>
                <w:b/>
                <w:bCs/>
                <w:color w:val="auto"/>
                <w:sz w:val="24"/>
                <w:szCs w:val="24"/>
                <w:highlight w:val="none"/>
              </w:rPr>
              <w:t>协助开展排水许可服务方案</w:t>
            </w:r>
            <w:r>
              <w:rPr>
                <w:rFonts w:hint="eastAsia" w:ascii="宋体" w:hAnsi="宋体" w:eastAsia="宋体" w:cs="宋体"/>
                <w:b/>
                <w:bCs/>
                <w:color w:val="auto"/>
                <w:sz w:val="24"/>
                <w:szCs w:val="24"/>
                <w:highlight w:val="none"/>
                <w:lang w:eastAsia="zh-CN"/>
              </w:rPr>
              <w:t>：</w:t>
            </w:r>
            <w:r>
              <w:rPr>
                <w:rFonts w:ascii="宋体" w:hAnsi="宋体" w:eastAsia="宋体" w:cs="宋体"/>
                <w:color w:val="auto"/>
                <w:sz w:val="24"/>
                <w:szCs w:val="24"/>
                <w:highlight w:val="none"/>
              </w:rPr>
              <w:t>方案整体思路清晰，包含现场核查、技术指导、台账管理、资料整理报送等主要工作，贴合项目实际，可行性强得</w:t>
            </w:r>
            <w:r>
              <w:rPr>
                <w:rFonts w:hint="eastAsia" w:ascii="宋体" w:hAnsi="宋体" w:eastAsia="宋体" w:cs="宋体"/>
                <w:color w:val="auto"/>
                <w:sz w:val="24"/>
                <w:szCs w:val="24"/>
                <w:highlight w:val="none"/>
                <w:lang w:val="en-US" w:eastAsia="zh-CN"/>
              </w:rPr>
              <w:t>4-5</w:t>
            </w:r>
            <w:r>
              <w:rPr>
                <w:rFonts w:ascii="宋体" w:hAnsi="宋体" w:eastAsia="宋体" w:cs="宋体"/>
                <w:color w:val="auto"/>
                <w:sz w:val="24"/>
                <w:szCs w:val="24"/>
                <w:highlight w:val="none"/>
              </w:rPr>
              <w:t>分；方案内容基本完整，但细节措施不够充分得</w:t>
            </w:r>
            <w:r>
              <w:rPr>
                <w:rFonts w:hint="eastAsia" w:ascii="宋体" w:hAnsi="宋体" w:eastAsia="宋体" w:cs="宋体"/>
                <w:color w:val="auto"/>
                <w:sz w:val="24"/>
                <w:szCs w:val="24"/>
                <w:highlight w:val="none"/>
                <w:lang w:val="en-US" w:eastAsia="zh-CN"/>
              </w:rPr>
              <w:t>2-3</w:t>
            </w:r>
            <w:r>
              <w:rPr>
                <w:rFonts w:ascii="宋体" w:hAnsi="宋体" w:eastAsia="宋体" w:cs="宋体"/>
                <w:color w:val="auto"/>
                <w:sz w:val="24"/>
                <w:szCs w:val="24"/>
                <w:highlight w:val="none"/>
              </w:rPr>
              <w:t>分；方案较简略、关键工作缺失得</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分；未提供</w:t>
            </w:r>
            <w:r>
              <w:rPr>
                <w:rFonts w:hint="eastAsia" w:ascii="宋体" w:hAnsi="宋体" w:eastAsia="宋体" w:cs="宋体"/>
                <w:color w:val="auto"/>
                <w:sz w:val="24"/>
                <w:szCs w:val="24"/>
                <w:highlight w:val="none"/>
                <w:lang w:val="en-US" w:eastAsia="zh-CN"/>
              </w:rPr>
              <w:t>不得分</w:t>
            </w:r>
            <w:r>
              <w:rPr>
                <w:rFonts w:ascii="宋体" w:hAnsi="宋体" w:eastAsia="宋体" w:cs="宋体"/>
                <w:color w:val="auto"/>
                <w:sz w:val="24"/>
                <w:szCs w:val="24"/>
                <w:highlight w:val="none"/>
              </w:rPr>
              <w:t>。</w:t>
            </w:r>
          </w:p>
        </w:tc>
        <w:tc>
          <w:tcPr>
            <w:tcW w:w="3222" w:type="dxa"/>
            <w:noWrap w:val="0"/>
            <w:vAlign w:val="center"/>
          </w:tcPr>
          <w:p w14:paraId="15B93A0B">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6270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10B04A99">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eastAsia="zh-CN"/>
              </w:rPr>
            </w:pPr>
          </w:p>
        </w:tc>
        <w:tc>
          <w:tcPr>
            <w:tcW w:w="1356" w:type="dxa"/>
            <w:vMerge w:val="continue"/>
            <w:noWrap w:val="0"/>
            <w:vAlign w:val="center"/>
          </w:tcPr>
          <w:p w14:paraId="6173DC61">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50F3FB31">
            <w:pPr>
              <w:keepNext w:val="0"/>
              <w:keepLines w:val="0"/>
              <w:pageBreakBefore w:val="0"/>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5</w:t>
            </w:r>
          </w:p>
        </w:tc>
        <w:tc>
          <w:tcPr>
            <w:tcW w:w="4200" w:type="dxa"/>
            <w:noWrap w:val="0"/>
            <w:vAlign w:val="center"/>
          </w:tcPr>
          <w:p w14:paraId="5B10D791">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ascii="宋体" w:hAnsi="宋体" w:eastAsia="宋体" w:cs="宋体"/>
                <w:b/>
                <w:bCs/>
                <w:color w:val="auto"/>
                <w:sz w:val="24"/>
                <w:szCs w:val="24"/>
                <w:highlight w:val="none"/>
              </w:rPr>
              <w:t>协助开展排水户常态化巡查方案</w:t>
            </w:r>
            <w:r>
              <w:rPr>
                <w:rFonts w:hint="eastAsia" w:ascii="宋体" w:hAnsi="宋体" w:eastAsia="宋体" w:cs="宋体"/>
                <w:b/>
                <w:bCs/>
                <w:color w:val="auto"/>
                <w:sz w:val="24"/>
                <w:szCs w:val="24"/>
                <w:highlight w:val="none"/>
                <w:lang w:val="en-US" w:eastAsia="zh-CN"/>
              </w:rPr>
              <w:t>：</w:t>
            </w:r>
            <w:r>
              <w:rPr>
                <w:rFonts w:ascii="宋体" w:hAnsi="宋体" w:eastAsia="宋体" w:cs="宋体"/>
                <w:color w:val="auto"/>
                <w:sz w:val="24"/>
                <w:szCs w:val="24"/>
                <w:highlight w:val="none"/>
              </w:rPr>
              <w:t xml:space="preserve">方案覆盖排水户分级管控、日常及夜间巡查、问题上报整改闭环、巡查台账管理等重点工作，措施具体、针对性强得 </w:t>
            </w:r>
            <w:r>
              <w:rPr>
                <w:rFonts w:hint="eastAsia" w:ascii="宋体" w:hAnsi="宋体" w:eastAsia="宋体" w:cs="宋体"/>
                <w:color w:val="auto"/>
                <w:sz w:val="24"/>
                <w:szCs w:val="24"/>
                <w:highlight w:val="none"/>
                <w:lang w:val="en-US" w:eastAsia="zh-CN"/>
              </w:rPr>
              <w:t>4-5</w:t>
            </w:r>
            <w:r>
              <w:rPr>
                <w:rFonts w:ascii="宋体" w:hAnsi="宋体" w:eastAsia="宋体" w:cs="宋体"/>
                <w:color w:val="auto"/>
                <w:sz w:val="24"/>
                <w:szCs w:val="24"/>
                <w:highlight w:val="none"/>
              </w:rPr>
              <w:t>分；主要工作均有涉及，但深度不足得</w:t>
            </w:r>
            <w:r>
              <w:rPr>
                <w:rFonts w:hint="eastAsia" w:ascii="宋体" w:hAnsi="宋体" w:eastAsia="宋体" w:cs="宋体"/>
                <w:color w:val="auto"/>
                <w:sz w:val="24"/>
                <w:szCs w:val="24"/>
                <w:highlight w:val="none"/>
                <w:lang w:val="en-US" w:eastAsia="zh-CN"/>
              </w:rPr>
              <w:t>2-3</w:t>
            </w:r>
            <w:r>
              <w:rPr>
                <w:rFonts w:ascii="宋体" w:hAnsi="宋体" w:eastAsia="宋体" w:cs="宋体"/>
                <w:color w:val="auto"/>
                <w:sz w:val="24"/>
                <w:szCs w:val="24"/>
                <w:highlight w:val="none"/>
              </w:rPr>
              <w:t>分；内容简单、重要环节缺失得1分；</w:t>
            </w:r>
            <w:r>
              <w:rPr>
                <w:rFonts w:hint="eastAsia" w:ascii="宋体" w:hAnsi="宋体" w:eastAsia="宋体" w:cs="宋体"/>
                <w:color w:val="auto"/>
                <w:sz w:val="24"/>
                <w:szCs w:val="24"/>
                <w:highlight w:val="none"/>
                <w:lang w:val="en-US" w:eastAsia="zh-CN"/>
              </w:rPr>
              <w:t>未提供不得分。</w:t>
            </w:r>
          </w:p>
        </w:tc>
        <w:tc>
          <w:tcPr>
            <w:tcW w:w="3222" w:type="dxa"/>
            <w:noWrap w:val="0"/>
            <w:vAlign w:val="center"/>
          </w:tcPr>
          <w:p w14:paraId="3FAC5552">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42B2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47A35EF1">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eastAsia="zh-CN"/>
              </w:rPr>
            </w:pPr>
          </w:p>
        </w:tc>
        <w:tc>
          <w:tcPr>
            <w:tcW w:w="1356" w:type="dxa"/>
            <w:vMerge w:val="continue"/>
            <w:noWrap w:val="0"/>
            <w:vAlign w:val="center"/>
          </w:tcPr>
          <w:p w14:paraId="0BEBD4C2">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4012FDC1">
            <w:pPr>
              <w:keepNext w:val="0"/>
              <w:keepLines w:val="0"/>
              <w:pageBreakBefore w:val="0"/>
              <w:shd w:val="clear" w:color="auto" w:fill="auto"/>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200" w:type="dxa"/>
            <w:noWrap w:val="0"/>
            <w:vAlign w:val="center"/>
          </w:tcPr>
          <w:p w14:paraId="342A0B79">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）协助协调处置水污染突发情况方案：</w:t>
            </w:r>
            <w:r>
              <w:rPr>
                <w:rFonts w:ascii="宋体" w:hAnsi="宋体" w:eastAsia="宋体" w:cs="宋体"/>
                <w:color w:val="auto"/>
                <w:sz w:val="24"/>
                <w:szCs w:val="24"/>
                <w:highlight w:val="none"/>
              </w:rPr>
              <w:t>方案包含应急值守、快速响应、现场排查取证、配合处置、事后复盘总结等内容，处置流程完整合理得</w:t>
            </w:r>
            <w:r>
              <w:rPr>
                <w:rFonts w:hint="eastAsia" w:ascii="宋体" w:hAnsi="宋体" w:eastAsia="宋体" w:cs="宋体"/>
                <w:color w:val="auto"/>
                <w:sz w:val="24"/>
                <w:szCs w:val="24"/>
                <w:highlight w:val="none"/>
                <w:lang w:val="en-US" w:eastAsia="zh-CN"/>
              </w:rPr>
              <w:t>4-5</w:t>
            </w:r>
            <w:r>
              <w:rPr>
                <w:rFonts w:ascii="宋体" w:hAnsi="宋体" w:eastAsia="宋体" w:cs="宋体"/>
                <w:color w:val="auto"/>
                <w:sz w:val="24"/>
                <w:szCs w:val="24"/>
                <w:highlight w:val="none"/>
              </w:rPr>
              <w:t xml:space="preserve"> 分；整体框架齐全，部分细节不完善得</w:t>
            </w:r>
            <w:r>
              <w:rPr>
                <w:rFonts w:hint="eastAsia" w:ascii="宋体" w:hAnsi="宋体" w:eastAsia="宋体" w:cs="宋体"/>
                <w:color w:val="auto"/>
                <w:sz w:val="24"/>
                <w:szCs w:val="24"/>
                <w:highlight w:val="none"/>
                <w:lang w:val="en-US" w:eastAsia="zh-CN"/>
              </w:rPr>
              <w:t>2-3</w:t>
            </w:r>
            <w:r>
              <w:rPr>
                <w:rFonts w:ascii="宋体" w:hAnsi="宋体" w:eastAsia="宋体" w:cs="宋体"/>
                <w:color w:val="auto"/>
                <w:sz w:val="24"/>
                <w:szCs w:val="24"/>
                <w:highlight w:val="none"/>
              </w:rPr>
              <w:t xml:space="preserve">分；方案单薄、缺少核心处置流程得 </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val="en-US" w:eastAsia="zh-CN"/>
              </w:rPr>
              <w:t>未提供不得分。</w:t>
            </w:r>
          </w:p>
        </w:tc>
        <w:tc>
          <w:tcPr>
            <w:tcW w:w="3222" w:type="dxa"/>
            <w:noWrap w:val="0"/>
            <w:vAlign w:val="center"/>
          </w:tcPr>
          <w:p w14:paraId="110B72A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49D0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7EDA08A0">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1356" w:type="dxa"/>
            <w:vMerge w:val="continue"/>
            <w:noWrap w:val="0"/>
            <w:vAlign w:val="center"/>
          </w:tcPr>
          <w:p w14:paraId="77938F3B">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02F712C3">
            <w:pPr>
              <w:keepNext w:val="0"/>
              <w:keepLines w:val="0"/>
              <w:pageBreakBefore w:val="0"/>
              <w:shd w:val="clear" w:color="auto" w:fill="auto"/>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200" w:type="dxa"/>
            <w:noWrap w:val="0"/>
            <w:vAlign w:val="center"/>
          </w:tcPr>
          <w:p w14:paraId="1E93853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ascii="宋体" w:hAnsi="宋体" w:eastAsia="宋体" w:cs="宋体"/>
                <w:b/>
                <w:bCs/>
                <w:color w:val="auto"/>
                <w:sz w:val="24"/>
                <w:szCs w:val="24"/>
                <w:highlight w:val="none"/>
              </w:rPr>
              <w:t>协助推进雨水系统及防汛排涝管理方案</w:t>
            </w:r>
            <w:r>
              <w:rPr>
                <w:rFonts w:hint="eastAsia" w:ascii="宋体" w:hAnsi="宋体" w:eastAsia="宋体" w:cs="宋体"/>
                <w:b/>
                <w:bCs/>
                <w:color w:val="auto"/>
                <w:sz w:val="24"/>
                <w:szCs w:val="24"/>
                <w:highlight w:val="none"/>
                <w:lang w:eastAsia="zh-CN"/>
              </w:rPr>
              <w:t>：</w:t>
            </w:r>
            <w:r>
              <w:rPr>
                <w:rFonts w:ascii="宋体" w:hAnsi="宋体" w:eastAsia="宋体" w:cs="宋体"/>
                <w:color w:val="auto"/>
                <w:sz w:val="24"/>
                <w:szCs w:val="24"/>
                <w:highlight w:val="none"/>
              </w:rPr>
              <w:t>方案涵盖汛前隐患排查、汛期值守巡查、易涝点位管控、雨后复盘、防汛资料管理等工作，符合区域防汛管理要求得</w:t>
            </w:r>
            <w:r>
              <w:rPr>
                <w:rFonts w:hint="eastAsia" w:ascii="宋体" w:hAnsi="宋体" w:eastAsia="宋体" w:cs="宋体"/>
                <w:color w:val="auto"/>
                <w:sz w:val="24"/>
                <w:szCs w:val="24"/>
                <w:highlight w:val="none"/>
                <w:lang w:val="en-US" w:eastAsia="zh-CN"/>
              </w:rPr>
              <w:t>4-5</w:t>
            </w:r>
            <w:r>
              <w:rPr>
                <w:rFonts w:ascii="宋体" w:hAnsi="宋体" w:eastAsia="宋体" w:cs="宋体"/>
                <w:color w:val="auto"/>
                <w:sz w:val="24"/>
                <w:szCs w:val="24"/>
                <w:highlight w:val="none"/>
              </w:rPr>
              <w:t xml:space="preserve"> 分；主要工作内容齐全，措施一般得</w:t>
            </w:r>
            <w:r>
              <w:rPr>
                <w:rFonts w:hint="eastAsia" w:ascii="宋体" w:hAnsi="宋体" w:eastAsia="宋体" w:cs="宋体"/>
                <w:color w:val="auto"/>
                <w:sz w:val="24"/>
                <w:szCs w:val="24"/>
                <w:highlight w:val="none"/>
                <w:lang w:val="en-US" w:eastAsia="zh-CN"/>
              </w:rPr>
              <w:t>2-3</w:t>
            </w:r>
            <w:r>
              <w:rPr>
                <w:rFonts w:ascii="宋体" w:hAnsi="宋体" w:eastAsia="宋体" w:cs="宋体"/>
                <w:color w:val="auto"/>
                <w:sz w:val="24"/>
                <w:szCs w:val="24"/>
                <w:highlight w:val="none"/>
              </w:rPr>
              <w:t>分；内容简略，关键工作不到位得 1分；</w:t>
            </w:r>
            <w:r>
              <w:rPr>
                <w:rFonts w:hint="eastAsia" w:ascii="宋体" w:hAnsi="宋体" w:eastAsia="宋体" w:cs="宋体"/>
                <w:color w:val="auto"/>
                <w:sz w:val="24"/>
                <w:szCs w:val="24"/>
                <w:highlight w:val="none"/>
                <w:lang w:val="en-US" w:eastAsia="zh-CN"/>
              </w:rPr>
              <w:t>未提供不得分。</w:t>
            </w:r>
          </w:p>
        </w:tc>
        <w:tc>
          <w:tcPr>
            <w:tcW w:w="3222" w:type="dxa"/>
            <w:noWrap w:val="0"/>
            <w:vAlign w:val="center"/>
          </w:tcPr>
          <w:p w14:paraId="07032C06">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376F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157E9C8B">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1356" w:type="dxa"/>
            <w:vMerge w:val="continue"/>
            <w:noWrap w:val="0"/>
            <w:vAlign w:val="center"/>
          </w:tcPr>
          <w:p w14:paraId="27CA0F10">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0FC71A95">
            <w:pPr>
              <w:keepNext w:val="0"/>
              <w:keepLines w:val="0"/>
              <w:pageBreakBefore w:val="0"/>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5</w:t>
            </w:r>
          </w:p>
        </w:tc>
        <w:tc>
          <w:tcPr>
            <w:tcW w:w="4200" w:type="dxa"/>
            <w:noWrap w:val="0"/>
            <w:vAlign w:val="center"/>
          </w:tcPr>
          <w:p w14:paraId="1D94249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（5）协助做好污水提质增效及挤外水等相关工作方案： </w:t>
            </w:r>
            <w:r>
              <w:rPr>
                <w:rFonts w:hint="eastAsia" w:ascii="宋体" w:hAnsi="宋体" w:eastAsia="宋体" w:cs="宋体"/>
                <w:b w:val="0"/>
                <w:bCs w:val="0"/>
                <w:color w:val="auto"/>
                <w:sz w:val="24"/>
                <w:szCs w:val="24"/>
                <w:highlight w:val="none"/>
                <w:lang w:val="en-US" w:eastAsia="zh-CN"/>
              </w:rPr>
              <w:t>方案包含雨污水管网排查、外水入侵溯源（地下水入渗、河水倒灌、雨污混接）、截流泵站管控、台账报表、迎检保障、临时工作响应等内容，整体全面可行得 4-5 分；三镇三街道均覆盖，完善度一般得 2-3 分；内容简单、多项工作缺失得 1 分；未提供不得分。</w:t>
            </w:r>
          </w:p>
        </w:tc>
        <w:tc>
          <w:tcPr>
            <w:tcW w:w="3222" w:type="dxa"/>
            <w:noWrap w:val="0"/>
            <w:vAlign w:val="center"/>
          </w:tcPr>
          <w:p w14:paraId="3F90E04D">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1A8C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vMerge w:val="continue"/>
            <w:noWrap w:val="0"/>
            <w:vAlign w:val="center"/>
          </w:tcPr>
          <w:p w14:paraId="1EC7C932">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1356" w:type="dxa"/>
            <w:vMerge w:val="continue"/>
            <w:noWrap w:val="0"/>
            <w:vAlign w:val="center"/>
          </w:tcPr>
          <w:p w14:paraId="0EF2E308">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44D19F7F">
            <w:pPr>
              <w:keepNext w:val="0"/>
              <w:keepLines w:val="0"/>
              <w:pageBreakBefore w:val="0"/>
              <w:shd w:val="clear" w:color="auto" w:fill="auto"/>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200" w:type="dxa"/>
            <w:noWrap w:val="0"/>
            <w:vAlign w:val="center"/>
          </w:tcPr>
          <w:p w14:paraId="28E1812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ascii="宋体" w:hAnsi="宋体" w:eastAsia="宋体" w:cs="宋体"/>
                <w:b/>
                <w:bCs/>
                <w:color w:val="auto"/>
                <w:sz w:val="24"/>
                <w:szCs w:val="24"/>
                <w:highlight w:val="none"/>
              </w:rPr>
              <w:t>重点片区排水优化提升方案编制工作方案</w:t>
            </w:r>
            <w:r>
              <w:rPr>
                <w:rFonts w:hint="eastAsia" w:ascii="宋体" w:hAnsi="宋体" w:eastAsia="宋体" w:cs="宋体"/>
                <w:b/>
                <w:bCs/>
                <w:color w:val="auto"/>
                <w:sz w:val="24"/>
                <w:szCs w:val="24"/>
                <w:highlight w:val="none"/>
                <w:lang w:val="en-US" w:eastAsia="zh-CN"/>
              </w:rPr>
              <w:t>:</w:t>
            </w:r>
            <w:r>
              <w:rPr>
                <w:rFonts w:ascii="宋体" w:hAnsi="宋体" w:eastAsia="宋体" w:cs="宋体"/>
                <w:color w:val="auto"/>
                <w:sz w:val="24"/>
                <w:szCs w:val="24"/>
                <w:highlight w:val="none"/>
              </w:rPr>
              <w:t>审整改全流程安排清晰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方案内容全面、详细、清晰、合理，可行性强的得4-5分，方案内容比较全面、比较详细、比较清晰、比较合理，可行性较强的得2-3分，方案内容一般得1分，未提供不得分。</w:t>
            </w:r>
          </w:p>
        </w:tc>
        <w:tc>
          <w:tcPr>
            <w:tcW w:w="3222" w:type="dxa"/>
            <w:noWrap w:val="0"/>
            <w:vAlign w:val="center"/>
          </w:tcPr>
          <w:p w14:paraId="7D0D4A56">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5EF9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noWrap w:val="0"/>
            <w:vAlign w:val="center"/>
          </w:tcPr>
          <w:p w14:paraId="306B80E7">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1356" w:type="dxa"/>
            <w:noWrap w:val="0"/>
            <w:vAlign w:val="center"/>
          </w:tcPr>
          <w:p w14:paraId="74956DD5">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lang w:val="en-US" w:eastAsia="zh-CN"/>
              </w:rPr>
            </w:pPr>
          </w:p>
        </w:tc>
        <w:tc>
          <w:tcPr>
            <w:tcW w:w="699" w:type="dxa"/>
            <w:noWrap w:val="0"/>
            <w:vAlign w:val="center"/>
          </w:tcPr>
          <w:p w14:paraId="00C1018F">
            <w:pPr>
              <w:keepNext w:val="0"/>
              <w:keepLines w:val="0"/>
              <w:pageBreakBefore w:val="0"/>
              <w:shd w:val="clear" w:color="auto" w:fill="auto"/>
              <w:kinsoku/>
              <w:wordWrap/>
              <w:overflowPunct/>
              <w:topLinePunct w:val="0"/>
              <w:autoSpaceDE/>
              <w:autoSpaceDN/>
              <w:bidi w:val="0"/>
              <w:adjustRightInd/>
              <w:snapToGrid/>
              <w:spacing w:line="320" w:lineRule="exact"/>
              <w:ind w:firstLine="28"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200" w:type="dxa"/>
            <w:noWrap w:val="0"/>
            <w:vAlign w:val="center"/>
          </w:tcPr>
          <w:p w14:paraId="383962A8">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w:t>
            </w:r>
            <w:r>
              <w:rPr>
                <w:rFonts w:ascii="宋体" w:hAnsi="宋体" w:eastAsia="宋体" w:cs="宋体"/>
                <w:b/>
                <w:bCs/>
                <w:color w:val="auto"/>
                <w:sz w:val="24"/>
                <w:szCs w:val="24"/>
                <w:highlight w:val="none"/>
              </w:rPr>
              <w:t>水质采样、检测及报告管理工作方案</w:t>
            </w:r>
            <w:r>
              <w:rPr>
                <w:rFonts w:hint="eastAsia" w:ascii="宋体" w:hAnsi="宋体" w:eastAsia="宋体" w:cs="宋体"/>
                <w:b/>
                <w:bCs/>
                <w:color w:val="auto"/>
                <w:sz w:val="24"/>
                <w:szCs w:val="24"/>
                <w:highlight w:val="none"/>
                <w:lang w:eastAsia="zh-CN"/>
              </w:rPr>
              <w:t>：</w:t>
            </w:r>
            <w:r>
              <w:rPr>
                <w:rFonts w:ascii="宋体" w:hAnsi="宋体" w:eastAsia="宋体" w:cs="宋体"/>
                <w:color w:val="auto"/>
                <w:sz w:val="24"/>
                <w:szCs w:val="24"/>
                <w:highlight w:val="none"/>
              </w:rPr>
              <w:t>采样频次、点位管控、</w:t>
            </w:r>
            <w:r>
              <w:rPr>
                <w:rFonts w:hint="eastAsia" w:ascii="宋体" w:hAnsi="宋体" w:eastAsia="宋体" w:cs="宋体"/>
                <w:color w:val="auto"/>
                <w:sz w:val="24"/>
                <w:szCs w:val="24"/>
                <w:highlight w:val="none"/>
                <w:lang w:val="en-US" w:eastAsia="zh-CN"/>
              </w:rPr>
              <w:t>多项</w:t>
            </w:r>
            <w:r>
              <w:rPr>
                <w:rFonts w:ascii="宋体" w:hAnsi="宋体" w:eastAsia="宋体" w:cs="宋体"/>
                <w:color w:val="auto"/>
                <w:sz w:val="24"/>
                <w:szCs w:val="24"/>
                <w:highlight w:val="none"/>
              </w:rPr>
              <w:t>指标检测、报告归档、数据溯源管理措施完善得</w:t>
            </w:r>
            <w:r>
              <w:rPr>
                <w:rFonts w:hint="eastAsia" w:ascii="宋体" w:hAnsi="宋体" w:eastAsia="宋体" w:cs="宋体"/>
                <w:color w:val="auto"/>
                <w:sz w:val="24"/>
                <w:szCs w:val="24"/>
                <w:highlight w:val="none"/>
                <w:lang w:val="en-US" w:eastAsia="zh-CN"/>
              </w:rPr>
              <w:t>3-5</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方案内容一般得1-2</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未提供不得分。</w:t>
            </w:r>
          </w:p>
        </w:tc>
        <w:tc>
          <w:tcPr>
            <w:tcW w:w="3222" w:type="dxa"/>
            <w:noWrap w:val="0"/>
            <w:vAlign w:val="center"/>
          </w:tcPr>
          <w:p w14:paraId="344CC8F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r w14:paraId="03C1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14:paraId="760CC277">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p>
        </w:tc>
        <w:tc>
          <w:tcPr>
            <w:tcW w:w="1356" w:type="dxa"/>
            <w:noWrap w:val="0"/>
            <w:vAlign w:val="center"/>
          </w:tcPr>
          <w:p w14:paraId="4B543D3A">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客观分</w:t>
            </w:r>
          </w:p>
        </w:tc>
        <w:tc>
          <w:tcPr>
            <w:tcW w:w="699" w:type="dxa"/>
            <w:noWrap w:val="0"/>
            <w:vAlign w:val="center"/>
          </w:tcPr>
          <w:p w14:paraId="00FD10F0">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w:t>
            </w:r>
          </w:p>
        </w:tc>
        <w:tc>
          <w:tcPr>
            <w:tcW w:w="4200" w:type="dxa"/>
            <w:noWrap w:val="0"/>
            <w:vAlign w:val="center"/>
          </w:tcPr>
          <w:p w14:paraId="06D680B7">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c>
          <w:tcPr>
            <w:tcW w:w="3222" w:type="dxa"/>
            <w:noWrap w:val="0"/>
            <w:vAlign w:val="center"/>
          </w:tcPr>
          <w:p w14:paraId="29801B33">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1"/>
                <w:szCs w:val="21"/>
                <w:highlight w:val="none"/>
              </w:rPr>
            </w:pPr>
          </w:p>
        </w:tc>
      </w:tr>
      <w:tr w14:paraId="05760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restart"/>
            <w:noWrap w:val="0"/>
            <w:vAlign w:val="center"/>
          </w:tcPr>
          <w:p w14:paraId="7E0EBCA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356" w:type="dxa"/>
            <w:vMerge w:val="restart"/>
            <w:noWrap w:val="0"/>
            <w:vAlign w:val="center"/>
          </w:tcPr>
          <w:p w14:paraId="73F90D71">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w:t>
            </w:r>
          </w:p>
        </w:tc>
        <w:tc>
          <w:tcPr>
            <w:tcW w:w="699" w:type="dxa"/>
            <w:noWrap w:val="0"/>
            <w:vAlign w:val="center"/>
          </w:tcPr>
          <w:p w14:paraId="694E31B2">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4200" w:type="dxa"/>
            <w:noWrap w:val="0"/>
            <w:vAlign w:val="center"/>
          </w:tcPr>
          <w:p w14:paraId="3B572A9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项目负责人：具备环境工程或给排水相关专业高级及以上职称，得3分；</w:t>
            </w:r>
          </w:p>
          <w:p w14:paraId="55D281A1">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具有中级职称，得2分。</w:t>
            </w:r>
          </w:p>
        </w:tc>
        <w:tc>
          <w:tcPr>
            <w:tcW w:w="3222" w:type="dxa"/>
            <w:noWrap w:val="0"/>
            <w:vAlign w:val="center"/>
          </w:tcPr>
          <w:p w14:paraId="79F55FBD">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提供相关证书原件扫描件及社保缴纳证明（缴纳时间为：2026年5月-2026年7月连续三个月），否则不得分。</w:t>
            </w:r>
          </w:p>
        </w:tc>
      </w:tr>
      <w:tr w14:paraId="3863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1500D9F5">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p>
        </w:tc>
        <w:tc>
          <w:tcPr>
            <w:tcW w:w="1356" w:type="dxa"/>
            <w:vMerge w:val="continue"/>
            <w:noWrap w:val="0"/>
            <w:vAlign w:val="center"/>
          </w:tcPr>
          <w:p w14:paraId="348FA91D">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p>
        </w:tc>
        <w:tc>
          <w:tcPr>
            <w:tcW w:w="699" w:type="dxa"/>
            <w:noWrap w:val="0"/>
            <w:vAlign w:val="center"/>
          </w:tcPr>
          <w:p w14:paraId="0EDEA189">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4200" w:type="dxa"/>
            <w:noWrap w:val="0"/>
            <w:vAlign w:val="center"/>
          </w:tcPr>
          <w:p w14:paraId="726FC76B">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除项目负责人</w:t>
            </w:r>
            <w:r>
              <w:rPr>
                <w:rFonts w:hint="eastAsia" w:ascii="宋体" w:hAnsi="宋体" w:eastAsia="宋体" w:cs="宋体"/>
                <w:color w:val="auto"/>
                <w:sz w:val="24"/>
                <w:szCs w:val="24"/>
                <w:highlight w:val="none"/>
                <w:lang w:val="en-US" w:eastAsia="zh-CN"/>
              </w:rPr>
              <w:t>外其他配备人员具备住建部颁发的注册一级建造师得2分；具备住建部颁发的市政专业注册监理工程师得2分。</w:t>
            </w:r>
          </w:p>
        </w:tc>
        <w:tc>
          <w:tcPr>
            <w:tcW w:w="3222" w:type="dxa"/>
            <w:noWrap w:val="0"/>
            <w:vAlign w:val="center"/>
          </w:tcPr>
          <w:p w14:paraId="43DC9493">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提供相关证书原件扫描件及社保缴纳证明（缴纳时间为：2026年5月-2026年7月连续三个月），否则不得分。</w:t>
            </w:r>
          </w:p>
        </w:tc>
      </w:tr>
      <w:tr w14:paraId="3EE7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Merge w:val="continue"/>
            <w:noWrap w:val="0"/>
            <w:vAlign w:val="center"/>
          </w:tcPr>
          <w:p w14:paraId="145527D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p>
        </w:tc>
        <w:tc>
          <w:tcPr>
            <w:tcW w:w="1356" w:type="dxa"/>
            <w:vMerge w:val="continue"/>
            <w:noWrap w:val="0"/>
            <w:vAlign w:val="center"/>
          </w:tcPr>
          <w:p w14:paraId="19674E9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p>
        </w:tc>
        <w:tc>
          <w:tcPr>
            <w:tcW w:w="699" w:type="dxa"/>
            <w:noWrap w:val="0"/>
            <w:vAlign w:val="center"/>
          </w:tcPr>
          <w:p w14:paraId="5E901778">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4200" w:type="dxa"/>
            <w:noWrap w:val="0"/>
            <w:vAlign w:val="center"/>
          </w:tcPr>
          <w:p w14:paraId="5778D3DA">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除项目负责人</w:t>
            </w:r>
            <w:r>
              <w:rPr>
                <w:rFonts w:hint="eastAsia" w:ascii="宋体" w:hAnsi="宋体" w:eastAsia="宋体" w:cs="宋体"/>
                <w:color w:val="auto"/>
                <w:sz w:val="24"/>
                <w:szCs w:val="24"/>
                <w:highlight w:val="none"/>
                <w:lang w:val="en-US" w:eastAsia="zh-CN"/>
              </w:rPr>
              <w:t>外其他配备人员持</w:t>
            </w:r>
            <w:r>
              <w:rPr>
                <w:rFonts w:hint="eastAsia" w:ascii="宋体" w:hAnsi="宋体" w:eastAsia="宋体" w:cs="宋体"/>
                <w:color w:val="auto"/>
                <w:sz w:val="24"/>
                <w:szCs w:val="24"/>
                <w:highlight w:val="none"/>
              </w:rPr>
              <w:t>有排水管道检测与评估等排水行业技能证书的，每有一份加</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3222" w:type="dxa"/>
            <w:noWrap w:val="0"/>
            <w:vAlign w:val="center"/>
          </w:tcPr>
          <w:p w14:paraId="00CEEEAE">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须提供对应人员技能证书</w:t>
            </w:r>
            <w:r>
              <w:rPr>
                <w:rFonts w:hint="eastAsia" w:ascii="宋体" w:hAnsi="宋体" w:eastAsia="宋体" w:cs="宋体"/>
                <w:color w:val="auto"/>
                <w:sz w:val="24"/>
                <w:szCs w:val="24"/>
                <w:highlight w:val="none"/>
                <w:lang w:val="en-US" w:eastAsia="zh-CN"/>
              </w:rPr>
              <w:t>原件扫描件及社保缴纳证明（缴纳时间为：2026年5月-2026年7月连续三个月），否则不得分。</w:t>
            </w:r>
          </w:p>
        </w:tc>
      </w:tr>
      <w:tr w14:paraId="5C8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noWrap w:val="0"/>
            <w:vAlign w:val="center"/>
          </w:tcPr>
          <w:p w14:paraId="29EB7B4E">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1356" w:type="dxa"/>
            <w:noWrap w:val="0"/>
            <w:vAlign w:val="center"/>
          </w:tcPr>
          <w:p w14:paraId="14257532">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企业业绩</w:t>
            </w:r>
          </w:p>
        </w:tc>
        <w:tc>
          <w:tcPr>
            <w:tcW w:w="699" w:type="dxa"/>
            <w:noWrap w:val="0"/>
            <w:vAlign w:val="center"/>
          </w:tcPr>
          <w:p w14:paraId="7EFB5485">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4200" w:type="dxa"/>
            <w:noWrap w:val="0"/>
            <w:vAlign w:val="center"/>
          </w:tcPr>
          <w:p w14:paraId="2CAD7B0C">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自2021年8月1日以来（以合同签订时间为准）承担过类似排水管理服务的，每有一个得1.5分，本项最高得3分。</w:t>
            </w:r>
          </w:p>
        </w:tc>
        <w:tc>
          <w:tcPr>
            <w:tcW w:w="3222" w:type="dxa"/>
            <w:noWrap w:val="0"/>
            <w:vAlign w:val="center"/>
          </w:tcPr>
          <w:p w14:paraId="0859F325">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不接受工程类施工合同，提</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rPr>
              <w:t>合同原件扫描件，</w:t>
            </w:r>
            <w:r>
              <w:rPr>
                <w:rFonts w:hint="eastAsia" w:ascii="宋体" w:hAnsi="宋体" w:eastAsia="宋体" w:cs="宋体"/>
                <w:color w:val="auto"/>
                <w:sz w:val="24"/>
                <w:szCs w:val="24"/>
                <w:highlight w:val="none"/>
                <w:lang w:val="en-US" w:eastAsia="zh-CN"/>
              </w:rPr>
              <w:t>否则不得分。</w:t>
            </w:r>
          </w:p>
        </w:tc>
      </w:tr>
      <w:tr w14:paraId="51E0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76" w:type="dxa"/>
            <w:noWrap w:val="0"/>
            <w:vAlign w:val="center"/>
          </w:tcPr>
          <w:p w14:paraId="47FCB8E1">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1356" w:type="dxa"/>
            <w:noWrap w:val="0"/>
            <w:vAlign w:val="center"/>
          </w:tcPr>
          <w:p w14:paraId="420C4D54">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拟投入现场的设备、检测仪器</w:t>
            </w:r>
          </w:p>
        </w:tc>
        <w:tc>
          <w:tcPr>
            <w:tcW w:w="699" w:type="dxa"/>
            <w:noWrap w:val="0"/>
            <w:vAlign w:val="center"/>
          </w:tcPr>
          <w:p w14:paraId="70617C91">
            <w:pPr>
              <w:keepNext w:val="0"/>
              <w:keepLines w:val="0"/>
              <w:pageBreakBefore w:val="0"/>
              <w:widowControl/>
              <w:shd w:val="clear" w:color="auto" w:fill="auto"/>
              <w:kinsoku/>
              <w:wordWrap/>
              <w:overflowPunct/>
              <w:topLinePunct w:val="0"/>
              <w:autoSpaceDE/>
              <w:autoSpaceDN/>
              <w:bidi w:val="0"/>
              <w:adjustRightInd/>
              <w:snapToGrid/>
              <w:spacing w:line="32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4200" w:type="dxa"/>
            <w:noWrap w:val="0"/>
            <w:vAlign w:val="center"/>
          </w:tcPr>
          <w:p w14:paraId="19F6BC8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具备以下设备、检测仪器：无人机、管线探测仪、GNSS测量系统、管道视频检测爬行机器人、管道潜望镜；每有一样加0.6分，本项最高得3分。</w:t>
            </w:r>
          </w:p>
        </w:tc>
        <w:tc>
          <w:tcPr>
            <w:tcW w:w="3222" w:type="dxa"/>
            <w:noWrap w:val="0"/>
            <w:vAlign w:val="center"/>
          </w:tcPr>
          <w:p w14:paraId="5ECB38D0">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自有设备：提供设备购买发票原件扫描件；</w:t>
            </w:r>
          </w:p>
          <w:p w14:paraId="5ADD3125">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租赁设备：提供租赁期限完整覆盖本项目1年服务期的正规租赁合同原件扫描件； 材料不全，对应类别不予计分。</w:t>
            </w:r>
          </w:p>
          <w:p w14:paraId="3131A6CF">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p>
        </w:tc>
      </w:tr>
      <w:tr w14:paraId="23EA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2032" w:type="dxa"/>
            <w:gridSpan w:val="2"/>
            <w:noWrap w:val="0"/>
            <w:vAlign w:val="center"/>
          </w:tcPr>
          <w:p w14:paraId="107E5AE8">
            <w:pPr>
              <w:keepNext w:val="0"/>
              <w:keepLines w:val="0"/>
              <w:pageBreakBefore w:val="0"/>
              <w:shd w:val="clear" w:color="auto" w:fill="auto"/>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合计</w:t>
            </w:r>
          </w:p>
        </w:tc>
        <w:tc>
          <w:tcPr>
            <w:tcW w:w="699" w:type="dxa"/>
            <w:noWrap w:val="0"/>
            <w:vAlign w:val="center"/>
          </w:tcPr>
          <w:p w14:paraId="5C1FA30A">
            <w:pPr>
              <w:keepNext w:val="0"/>
              <w:keepLines w:val="0"/>
              <w:pageBreakBefore w:val="0"/>
              <w:shd w:val="clear" w:color="auto" w:fill="auto"/>
              <w:kinsoku/>
              <w:wordWrap/>
              <w:overflowPunct/>
              <w:topLinePunct w:val="0"/>
              <w:autoSpaceDE/>
              <w:autoSpaceDN/>
              <w:bidi w:val="0"/>
              <w:adjustRightInd/>
              <w:snapToGrid/>
              <w:spacing w:line="32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100</w:t>
            </w:r>
          </w:p>
        </w:tc>
        <w:tc>
          <w:tcPr>
            <w:tcW w:w="7422" w:type="dxa"/>
            <w:gridSpan w:val="2"/>
            <w:noWrap w:val="0"/>
            <w:vAlign w:val="center"/>
          </w:tcPr>
          <w:p w14:paraId="21BB14D3">
            <w:pPr>
              <w:keepNext w:val="0"/>
              <w:keepLines w:val="0"/>
              <w:pageBreakBefore w:val="0"/>
              <w:shd w:val="clear" w:color="auto" w:fill="auto"/>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p>
        </w:tc>
      </w:tr>
    </w:tbl>
    <w:p w14:paraId="29A12FD5">
      <w:pPr>
        <w:numPr>
          <w:ilvl w:val="0"/>
          <w:numId w:val="0"/>
        </w:numPr>
        <w:jc w:val="both"/>
        <w:rPr>
          <w:rFonts w:hint="eastAsia" w:ascii="宋体" w:hAnsi="宋体" w:eastAsia="宋体" w:cs="Times New Roman"/>
          <w:b/>
          <w:bCs/>
          <w:color w:val="auto"/>
          <w:kern w:val="0"/>
          <w:sz w:val="28"/>
          <w:szCs w:val="28"/>
          <w:highlight w:val="none"/>
        </w:rPr>
      </w:pPr>
    </w:p>
    <w:p w14:paraId="2B1C832F">
      <w:pPr>
        <w:jc w:val="center"/>
        <w:rPr>
          <w:rFonts w:hint="eastAsia" w:ascii="宋体" w:hAnsi="宋体" w:eastAsia="宋体" w:cs="Times New Roman"/>
          <w:b/>
          <w:bCs/>
          <w:color w:val="auto"/>
          <w:kern w:val="0"/>
          <w:sz w:val="28"/>
          <w:szCs w:val="28"/>
          <w:highlight w:val="none"/>
        </w:rPr>
      </w:pPr>
    </w:p>
    <w:bookmarkEnd w:id="504"/>
    <w:p w14:paraId="06E4D67D">
      <w:pPr>
        <w:pageBreakBefore/>
        <w:widowControl w:val="0"/>
        <w:numPr>
          <w:ilvl w:val="0"/>
          <w:numId w:val="6"/>
        </w:numPr>
        <w:spacing w:line="360" w:lineRule="auto"/>
        <w:ind w:left="343" w:hanging="343"/>
        <w:jc w:val="center"/>
        <w:outlineLvl w:val="0"/>
        <w:rPr>
          <w:rFonts w:hint="eastAsia" w:ascii="宋体" w:hAnsi="宋体" w:eastAsia="宋体" w:cs="Times New Roman"/>
          <w:b/>
          <w:color w:val="auto"/>
          <w:sz w:val="36"/>
          <w:szCs w:val="36"/>
          <w:highlight w:val="none"/>
        </w:rPr>
      </w:pPr>
      <w:bookmarkStart w:id="506" w:name="_Toc32609"/>
      <w:bookmarkStart w:id="507" w:name="_Hlk199920257"/>
      <w:r>
        <w:rPr>
          <w:rFonts w:hint="eastAsia" w:ascii="宋体" w:hAnsi="宋体" w:eastAsia="宋体" w:cs="Times New Roman"/>
          <w:b/>
          <w:color w:val="auto"/>
          <w:sz w:val="36"/>
          <w:szCs w:val="36"/>
          <w:highlight w:val="none"/>
        </w:rPr>
        <w:t>采购需求</w:t>
      </w:r>
      <w:bookmarkEnd w:id="506"/>
      <w:bookmarkEnd w:id="507"/>
    </w:p>
    <w:p w14:paraId="14AF9482">
      <w:pPr>
        <w:widowControl w:val="0"/>
        <w:spacing w:line="360" w:lineRule="auto"/>
        <w:rPr>
          <w:rFonts w:hint="eastAsia" w:ascii="宋体" w:hAnsi="宋体" w:eastAsia="宋体" w:cs="宋体"/>
          <w:b/>
          <w:color w:val="auto"/>
          <w:sz w:val="24"/>
          <w:szCs w:val="24"/>
          <w:highlight w:val="none"/>
        </w:rPr>
      </w:pPr>
      <w:r>
        <w:rPr>
          <w:rFonts w:hint="default" w:ascii="宋体" w:hAnsi="宋体" w:eastAsia="宋体" w:cs="宋体"/>
          <w:b/>
          <w:color w:val="auto"/>
          <w:sz w:val="24"/>
          <w:szCs w:val="24"/>
          <w:highlight w:val="none"/>
        </w:rPr>
        <w:t>一、采购标的</w:t>
      </w:r>
    </w:p>
    <w:p w14:paraId="6704CF53">
      <w:pPr>
        <w:spacing w:line="360" w:lineRule="auto"/>
        <w:ind w:firstLine="480"/>
        <w:jc w:val="left"/>
        <w:rPr>
          <w:rFonts w:hint="eastAsia"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rPr>
        <w:t>1．项目名称：</w:t>
      </w:r>
      <w:r>
        <w:rPr>
          <w:rFonts w:hint="eastAsia" w:ascii="宋体" w:hAnsi="宋体" w:eastAsia="宋体" w:cs="宋体"/>
          <w:color w:val="auto"/>
          <w:kern w:val="0"/>
          <w:sz w:val="24"/>
          <w:szCs w:val="24"/>
          <w:highlight w:val="none"/>
          <w:lang w:eastAsia="zh-CN"/>
        </w:rPr>
        <w:t>2026-2027年常州经济开发区排水管理服务项目</w:t>
      </w:r>
    </w:p>
    <w:p w14:paraId="5FFA5A1B">
      <w:pPr>
        <w:spacing w:line="360" w:lineRule="auto"/>
        <w:ind w:firstLine="480"/>
        <w:jc w:val="left"/>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2．预算金额：</w:t>
      </w:r>
      <w:r>
        <w:rPr>
          <w:rFonts w:hint="eastAsia" w:ascii="宋体" w:hAnsi="宋体" w:eastAsia="宋体" w:cs="宋体"/>
          <w:color w:val="auto"/>
          <w:kern w:val="0"/>
          <w:sz w:val="24"/>
          <w:szCs w:val="24"/>
          <w:highlight w:val="none"/>
          <w:lang w:val="en-US" w:eastAsia="zh-CN"/>
        </w:rPr>
        <w:t>300</w:t>
      </w:r>
      <w:r>
        <w:rPr>
          <w:rFonts w:hint="eastAsia" w:ascii="宋体" w:hAnsi="宋体" w:eastAsia="宋体" w:cs="宋体"/>
          <w:color w:val="auto"/>
          <w:kern w:val="0"/>
          <w:sz w:val="24"/>
          <w:szCs w:val="24"/>
          <w:highlight w:val="none"/>
        </w:rPr>
        <w:t>万元</w:t>
      </w:r>
    </w:p>
    <w:p w14:paraId="4C9E6FDD">
      <w:pPr>
        <w:spacing w:line="360" w:lineRule="auto"/>
        <w:ind w:firstLine="480"/>
        <w:jc w:val="left"/>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3．最高限价：</w:t>
      </w:r>
      <w:r>
        <w:rPr>
          <w:rFonts w:hint="eastAsia" w:ascii="宋体" w:hAnsi="宋体" w:eastAsia="宋体" w:cs="宋体"/>
          <w:color w:val="auto"/>
          <w:kern w:val="0"/>
          <w:sz w:val="24"/>
          <w:szCs w:val="24"/>
          <w:highlight w:val="none"/>
          <w:lang w:val="en-US" w:eastAsia="zh-CN"/>
        </w:rPr>
        <w:t>300</w:t>
      </w:r>
      <w:r>
        <w:rPr>
          <w:rFonts w:hint="eastAsia" w:ascii="宋体" w:hAnsi="宋体" w:eastAsia="宋体" w:cs="宋体"/>
          <w:color w:val="auto"/>
          <w:kern w:val="0"/>
          <w:sz w:val="24"/>
          <w:szCs w:val="24"/>
          <w:highlight w:val="none"/>
        </w:rPr>
        <w:t>万元</w:t>
      </w:r>
      <w:r>
        <w:rPr>
          <w:rFonts w:hint="eastAsia" w:ascii="宋体" w:hAnsi="宋体" w:eastAsia="宋体" w:cs="Times New Roman"/>
          <w:color w:val="auto"/>
          <w:kern w:val="0"/>
          <w:sz w:val="24"/>
          <w:szCs w:val="24"/>
          <w:highlight w:val="none"/>
        </w:rPr>
        <w:t>（其中包含</w:t>
      </w:r>
      <w:r>
        <w:rPr>
          <w:rFonts w:hint="default" w:ascii="宋体" w:hAnsi="宋体" w:eastAsia="宋体" w:cs="宋体"/>
          <w:color w:val="auto"/>
          <w:kern w:val="0"/>
          <w:sz w:val="24"/>
          <w:szCs w:val="24"/>
          <w:highlight w:val="none"/>
        </w:rPr>
        <w:t>日常排水综合管理基础服务</w:t>
      </w:r>
      <w:r>
        <w:rPr>
          <w:rFonts w:hint="eastAsia" w:ascii="宋体" w:hAnsi="宋体" w:eastAsia="宋体" w:cs="宋体"/>
          <w:color w:val="auto"/>
          <w:kern w:val="0"/>
          <w:sz w:val="24"/>
          <w:szCs w:val="24"/>
          <w:highlight w:val="none"/>
          <w:lang w:val="en-US" w:eastAsia="zh-CN"/>
        </w:rPr>
        <w:t>部分</w:t>
      </w:r>
      <w:r>
        <w:rPr>
          <w:rFonts w:hint="eastAsia" w:ascii="宋体" w:hAnsi="宋体" w:eastAsia="宋体" w:cs="Times New Roman"/>
          <w:color w:val="auto"/>
          <w:kern w:val="0"/>
          <w:sz w:val="24"/>
          <w:szCs w:val="24"/>
          <w:highlight w:val="none"/>
          <w:lang w:val="en-US" w:eastAsia="zh-CN"/>
        </w:rPr>
        <w:t>限价240</w:t>
      </w:r>
      <w:r>
        <w:rPr>
          <w:rFonts w:hint="eastAsia" w:ascii="宋体" w:hAnsi="宋体" w:eastAsia="宋体" w:cs="Times New Roman"/>
          <w:color w:val="auto"/>
          <w:kern w:val="0"/>
          <w:sz w:val="24"/>
          <w:szCs w:val="24"/>
          <w:highlight w:val="none"/>
        </w:rPr>
        <w:t>万元；</w:t>
      </w:r>
      <w:r>
        <w:rPr>
          <w:rFonts w:hint="default" w:ascii="宋体" w:hAnsi="宋体" w:eastAsia="宋体" w:cs="宋体"/>
          <w:color w:val="auto"/>
          <w:kern w:val="0"/>
          <w:sz w:val="24"/>
          <w:szCs w:val="24"/>
          <w:highlight w:val="none"/>
        </w:rPr>
        <w:t>重点片区排水问题摸排及优化提升方案编制服务</w:t>
      </w:r>
      <w:r>
        <w:rPr>
          <w:rFonts w:hint="eastAsia" w:ascii="宋体" w:hAnsi="宋体" w:eastAsia="宋体" w:cs="Times New Roman"/>
          <w:color w:val="auto"/>
          <w:kern w:val="0"/>
          <w:sz w:val="24"/>
          <w:szCs w:val="24"/>
          <w:highlight w:val="none"/>
        </w:rPr>
        <w:t>部分</w:t>
      </w:r>
      <w:r>
        <w:rPr>
          <w:rFonts w:hint="eastAsia" w:ascii="宋体" w:hAnsi="宋体" w:eastAsia="宋体" w:cs="Times New Roman"/>
          <w:color w:val="auto"/>
          <w:kern w:val="0"/>
          <w:sz w:val="24"/>
          <w:szCs w:val="24"/>
          <w:highlight w:val="none"/>
          <w:lang w:val="en-US" w:eastAsia="zh-CN"/>
        </w:rPr>
        <w:t>限价4</w:t>
      </w:r>
      <w:r>
        <w:rPr>
          <w:rFonts w:hint="eastAsia" w:ascii="宋体" w:hAnsi="宋体" w:eastAsia="宋体" w:cs="Times New Roman"/>
          <w:color w:val="auto"/>
          <w:kern w:val="0"/>
          <w:sz w:val="24"/>
          <w:szCs w:val="24"/>
          <w:highlight w:val="none"/>
        </w:rPr>
        <w:t>0万元；污水厂、农村生活污水处理设施、企业排水及河道水质检测</w:t>
      </w:r>
      <w:r>
        <w:rPr>
          <w:rFonts w:hint="eastAsia" w:ascii="宋体" w:hAnsi="宋体" w:eastAsia="宋体" w:cs="Times New Roman"/>
          <w:color w:val="auto"/>
          <w:kern w:val="0"/>
          <w:sz w:val="24"/>
          <w:szCs w:val="24"/>
          <w:highlight w:val="none"/>
          <w:lang w:val="en-US" w:eastAsia="zh-CN"/>
        </w:rPr>
        <w:t>部分限价</w:t>
      </w:r>
      <w:r>
        <w:rPr>
          <w:rFonts w:hint="eastAsia" w:ascii="宋体" w:hAnsi="宋体" w:eastAsia="宋体" w:cs="Times New Roman"/>
          <w:color w:val="auto"/>
          <w:kern w:val="0"/>
          <w:sz w:val="24"/>
          <w:szCs w:val="24"/>
          <w:highlight w:val="none"/>
        </w:rPr>
        <w:t>20万元）</w:t>
      </w:r>
    </w:p>
    <w:p w14:paraId="59B8531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default" w:ascii="宋体" w:hAnsi="宋体" w:eastAsia="宋体" w:cs="宋体"/>
          <w:color w:val="auto"/>
          <w:kern w:val="0"/>
          <w:sz w:val="24"/>
          <w:szCs w:val="24"/>
          <w:highlight w:val="none"/>
        </w:rPr>
        <w:t>．合同履行期限：</w:t>
      </w:r>
      <w:r>
        <w:rPr>
          <w:rFonts w:hint="eastAsia" w:ascii="宋体" w:hAnsi="宋体" w:eastAsia="宋体" w:cs="Times New Roman"/>
          <w:color w:val="auto"/>
          <w:kern w:val="0"/>
          <w:sz w:val="24"/>
          <w:szCs w:val="24"/>
          <w:highlight w:val="none"/>
          <w:lang w:val="en-US" w:eastAsia="zh-CN"/>
        </w:rPr>
        <w:t>1年</w:t>
      </w:r>
      <w:r>
        <w:rPr>
          <w:rFonts w:hint="eastAsia" w:ascii="宋体" w:hAnsi="宋体" w:eastAsia="宋体" w:cs="Times New Roman"/>
          <w:color w:val="auto"/>
          <w:kern w:val="0"/>
          <w:sz w:val="24"/>
          <w:szCs w:val="24"/>
          <w:highlight w:val="none"/>
        </w:rPr>
        <w:t>。</w:t>
      </w:r>
    </w:p>
    <w:p w14:paraId="2D076C45">
      <w:pPr>
        <w:keepNext/>
        <w:keepLines/>
        <w:pageBreakBefore w:val="0"/>
        <w:widowControl w:val="0"/>
        <w:numPr>
          <w:ilvl w:val="0"/>
          <w:numId w:val="0"/>
        </w:numPr>
        <w:spacing w:before="0" w:after="0" w:line="360" w:lineRule="auto"/>
        <w:ind w:firstLine="482"/>
        <w:jc w:val="left"/>
        <w:outlineLvl w:val="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二、服务内容</w:t>
      </w:r>
    </w:p>
    <w:p w14:paraId="6076160C">
      <w:pPr>
        <w:spacing w:line="360" w:lineRule="auto"/>
        <w:ind w:firstLine="480"/>
        <w:rPr>
          <w:rFonts w:hint="eastAsia" w:ascii="宋体" w:hAnsi="宋体" w:eastAsia="宋体" w:cs="Times New Roman"/>
          <w:color w:val="auto"/>
          <w:kern w:val="0"/>
          <w:sz w:val="24"/>
          <w:szCs w:val="24"/>
          <w:highlight w:val="none"/>
          <w:lang w:val="en-US" w:eastAsia="zh-CN"/>
        </w:rPr>
      </w:pPr>
      <w:r>
        <w:rPr>
          <w:rFonts w:ascii="宋体" w:hAnsi="宋体" w:eastAsia="宋体" w:cs="宋体"/>
          <w:color w:val="auto"/>
          <w:sz w:val="24"/>
          <w:szCs w:val="24"/>
          <w:highlight w:val="none"/>
        </w:rPr>
        <w:t>项目总体服务概述</w:t>
      </w:r>
      <w:r>
        <w:rPr>
          <w:rFonts w:hint="default" w:ascii="宋体" w:hAnsi="宋体" w:eastAsia="宋体" w:cs="宋体"/>
          <w:color w:val="auto"/>
          <w:kern w:val="0"/>
          <w:sz w:val="24"/>
          <w:szCs w:val="24"/>
          <w:highlight w:val="none"/>
        </w:rPr>
        <w:t>：服务内容划分为三大板块，</w:t>
      </w:r>
      <w:r>
        <w:rPr>
          <w:rFonts w:hint="eastAsia" w:ascii="宋体" w:hAnsi="宋体" w:eastAsia="宋体" w:cs="宋体"/>
          <w:color w:val="auto"/>
          <w:kern w:val="0"/>
          <w:sz w:val="24"/>
          <w:szCs w:val="24"/>
          <w:highlight w:val="none"/>
        </w:rPr>
        <w:t>（其中包含</w:t>
      </w:r>
      <w:r>
        <w:rPr>
          <w:rFonts w:hint="default" w:ascii="宋体" w:hAnsi="宋体" w:eastAsia="宋体" w:cs="宋体"/>
          <w:color w:val="auto"/>
          <w:kern w:val="0"/>
          <w:sz w:val="24"/>
          <w:szCs w:val="24"/>
          <w:highlight w:val="none"/>
        </w:rPr>
        <w:t>日常排水综合管理基础服务</w:t>
      </w:r>
      <w:r>
        <w:rPr>
          <w:rFonts w:hint="eastAsia" w:ascii="宋体" w:hAnsi="宋体" w:eastAsia="宋体" w:cs="宋体"/>
          <w:color w:val="auto"/>
          <w:kern w:val="0"/>
          <w:sz w:val="24"/>
          <w:szCs w:val="24"/>
          <w:highlight w:val="none"/>
          <w:lang w:val="en-US" w:eastAsia="zh-CN"/>
        </w:rPr>
        <w:t>部分</w:t>
      </w:r>
      <w:r>
        <w:rPr>
          <w:rFonts w:hint="eastAsia" w:ascii="宋体" w:hAnsi="宋体" w:eastAsia="宋体" w:cs="宋体"/>
          <w:color w:val="auto"/>
          <w:kern w:val="0"/>
          <w:sz w:val="24"/>
          <w:szCs w:val="24"/>
          <w:highlight w:val="none"/>
        </w:rPr>
        <w:t>；</w:t>
      </w:r>
      <w:r>
        <w:rPr>
          <w:rFonts w:hint="default" w:ascii="宋体" w:hAnsi="宋体" w:eastAsia="宋体" w:cs="宋体"/>
          <w:color w:val="auto"/>
          <w:kern w:val="0"/>
          <w:sz w:val="24"/>
          <w:szCs w:val="24"/>
          <w:highlight w:val="none"/>
        </w:rPr>
        <w:t>重点片区排水问题摸排及优化提升方案编制服务</w:t>
      </w:r>
      <w:r>
        <w:rPr>
          <w:rFonts w:hint="eastAsia" w:ascii="宋体" w:hAnsi="宋体" w:eastAsia="宋体" w:cs="宋体"/>
          <w:color w:val="auto"/>
          <w:kern w:val="0"/>
          <w:sz w:val="24"/>
          <w:szCs w:val="24"/>
          <w:highlight w:val="none"/>
        </w:rPr>
        <w:t>部分；污水厂、农村生活污水处理设施、企业排水及河道水质检测</w:t>
      </w:r>
      <w:r>
        <w:rPr>
          <w:rFonts w:hint="eastAsia" w:ascii="宋体" w:hAnsi="宋体" w:eastAsia="宋体" w:cs="宋体"/>
          <w:color w:val="auto"/>
          <w:kern w:val="0"/>
          <w:sz w:val="24"/>
          <w:szCs w:val="24"/>
          <w:highlight w:val="none"/>
          <w:lang w:val="en-US" w:eastAsia="zh-CN"/>
        </w:rPr>
        <w:t>部分</w:t>
      </w:r>
      <w:r>
        <w:rPr>
          <w:rFonts w:hint="eastAsia" w:ascii="宋体" w:hAnsi="宋体" w:eastAsia="宋体" w:cs="宋体"/>
          <w:color w:val="auto"/>
          <w:kern w:val="0"/>
          <w:sz w:val="24"/>
          <w:szCs w:val="24"/>
          <w:highlight w:val="none"/>
        </w:rPr>
        <w:t>）</w:t>
      </w:r>
    </w:p>
    <w:p w14:paraId="7257EAF1">
      <w:pPr>
        <w:keepNext w:val="0"/>
        <w:keepLines w:val="0"/>
        <w:pageBreakBefore w:val="0"/>
        <w:kinsoku/>
        <w:wordWrap/>
        <w:overflowPunct/>
        <w:topLinePunct w:val="0"/>
        <w:autoSpaceDE/>
        <w:autoSpaceDN/>
        <w:bidi w:val="0"/>
        <w:adjustRightInd/>
        <w:snapToGrid/>
        <w:spacing w:beforeAutospacing="0" w:afterAutospacing="0" w:line="440" w:lineRule="exact"/>
        <w:ind w:firstLine="480"/>
        <w:jc w:val="left"/>
        <w:textAlignment w:val="auto"/>
        <w:rPr>
          <w:b/>
          <w:bCs/>
          <w:color w:val="auto"/>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ascii="宋体" w:hAnsi="宋体" w:eastAsia="宋体" w:cs="宋体"/>
          <w:b/>
          <w:bCs/>
          <w:color w:val="auto"/>
          <w:sz w:val="24"/>
          <w:szCs w:val="24"/>
          <w:highlight w:val="none"/>
        </w:rPr>
        <w:t>日常排水综合管理基础服务</w:t>
      </w:r>
    </w:p>
    <w:p w14:paraId="0CE566BD">
      <w:pPr>
        <w:keepNext w:val="0"/>
        <w:keepLines w:val="0"/>
        <w:pageBreakBefore w:val="0"/>
        <w:kinsoku/>
        <w:wordWrap/>
        <w:overflowPunct/>
        <w:topLinePunct w:val="0"/>
        <w:autoSpaceDE/>
        <w:autoSpaceDN/>
        <w:bidi w:val="0"/>
        <w:adjustRightInd/>
        <w:snapToGrid/>
        <w:spacing w:beforeAutospacing="0" w:afterAutospacing="0" w:line="440" w:lineRule="exact"/>
        <w:ind w:firstLine="48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default" w:ascii="宋体" w:hAnsi="宋体" w:eastAsia="宋体" w:cs="宋体"/>
          <w:b/>
          <w:bCs/>
          <w:color w:val="auto"/>
          <w:sz w:val="24"/>
          <w:szCs w:val="24"/>
          <w:highlight w:val="none"/>
          <w:lang w:val="en-US" w:eastAsia="zh-CN"/>
        </w:rPr>
        <w:t>协助</w:t>
      </w:r>
      <w:r>
        <w:rPr>
          <w:rFonts w:hint="eastAsia" w:ascii="宋体" w:hAnsi="宋体" w:eastAsia="宋体" w:cs="宋体"/>
          <w:b/>
          <w:bCs/>
          <w:color w:val="auto"/>
          <w:sz w:val="24"/>
          <w:szCs w:val="24"/>
          <w:highlight w:val="none"/>
          <w:lang w:val="en-US" w:eastAsia="zh-CN"/>
        </w:rPr>
        <w:t>开展企业排水许可服务</w:t>
      </w:r>
    </w:p>
    <w:p w14:paraId="3035AEF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1.1</w:t>
      </w:r>
      <w:r>
        <w:rPr>
          <w:rFonts w:hint="default" w:ascii="宋体" w:hAnsi="宋体" w:eastAsia="宋体" w:cs="宋体"/>
          <w:color w:val="auto"/>
          <w:kern w:val="0"/>
          <w:sz w:val="24"/>
          <w:szCs w:val="24"/>
          <w:highlight w:val="none"/>
        </w:rPr>
        <w:t>现场实地勘查：安排专业人员赴申报企业厂区现场核查厂区排水管网布局、雨污分流改造落实情况、预处理设施建设运行、排污口设置、污水产生排放量、尾水接入市政管网条件，结合经开区现有污水管网承载能力、敷设现状出具专业接入、接管可行性建议。</w:t>
      </w:r>
    </w:p>
    <w:p w14:paraId="5C4E400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1.2协助</w:t>
      </w:r>
      <w:r>
        <w:rPr>
          <w:rFonts w:hint="default" w:ascii="宋体" w:hAnsi="宋体" w:eastAsia="宋体" w:cs="宋体"/>
          <w:color w:val="auto"/>
          <w:kern w:val="0"/>
          <w:sz w:val="24"/>
          <w:szCs w:val="24"/>
          <w:highlight w:val="none"/>
        </w:rPr>
        <w:t>整改闭环指导：针对雨污混流、预处理缺失、排污口不规范、管网私搭乱接等不符合许可办理条件的企业，出具标准化整改方案，跟踪整改进度，复查整改成效，直至满足许可办理标准。</w:t>
      </w:r>
    </w:p>
    <w:p w14:paraId="3DCAC2F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lang w:eastAsia="zh-CN"/>
        </w:rPr>
        <w:t>协助</w:t>
      </w:r>
      <w:r>
        <w:rPr>
          <w:rFonts w:hint="default" w:ascii="宋体" w:hAnsi="宋体" w:eastAsia="宋体" w:cs="宋体"/>
          <w:color w:val="auto"/>
          <w:kern w:val="0"/>
          <w:sz w:val="24"/>
          <w:szCs w:val="24"/>
          <w:highlight w:val="none"/>
        </w:rPr>
        <w:t>排水户常态化监管：对已取得排水许可、完成管网接管的企业建立一户一档动态台账，定期复核排水条件变更情况，到期前提醒企业延续排水许可，同步更新企业基础信息、排污参数档案。</w:t>
      </w:r>
    </w:p>
    <w:p w14:paraId="0AF3DA9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241" w:firstLineChars="100"/>
        <w:textAlignment w:val="auto"/>
        <w:rPr>
          <w:rFonts w:hint="default" w:eastAsia="宋体"/>
          <w:color w:val="auto"/>
          <w:highlight w:val="none"/>
          <w:lang w:val="en-US" w:eastAsia="zh-CN"/>
        </w:rPr>
      </w:pPr>
      <w:r>
        <w:rPr>
          <w:rFonts w:hint="eastAsia"/>
          <w:color w:val="auto"/>
          <w:highlight w:val="none"/>
          <w:lang w:val="en-US" w:eastAsia="zh-CN"/>
        </w:rPr>
        <w:t>2.协助开展排水户常态化巡查</w:t>
      </w:r>
    </w:p>
    <w:p w14:paraId="2C1AC4C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firstLine="480" w:firstLineChars="20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2.1协助</w:t>
      </w:r>
      <w:r>
        <w:rPr>
          <w:rFonts w:hint="default" w:ascii="宋体" w:hAnsi="宋体" w:eastAsia="宋体" w:cs="宋体"/>
          <w:color w:val="auto"/>
          <w:kern w:val="0"/>
          <w:sz w:val="24"/>
          <w:szCs w:val="24"/>
          <w:highlight w:val="none"/>
        </w:rPr>
        <w:t>分类分级管控：</w:t>
      </w:r>
      <w:r>
        <w:rPr>
          <w:rFonts w:hint="eastAsia" w:ascii="宋体" w:hAnsi="宋体" w:eastAsia="宋体" w:cs="宋体"/>
          <w:color w:val="auto"/>
          <w:kern w:val="0"/>
          <w:sz w:val="24"/>
          <w:szCs w:val="24"/>
          <w:highlight w:val="none"/>
          <w:lang w:val="en-US" w:eastAsia="zh-CN"/>
        </w:rPr>
        <w:t>对辖区</w:t>
      </w:r>
      <w:r>
        <w:rPr>
          <w:rFonts w:hint="default" w:ascii="宋体" w:hAnsi="宋体" w:eastAsia="宋体" w:cs="宋体"/>
          <w:color w:val="auto"/>
          <w:kern w:val="0"/>
          <w:sz w:val="24"/>
          <w:szCs w:val="24"/>
          <w:highlight w:val="none"/>
        </w:rPr>
        <w:t>工业企业按照行业类型、污水产生量、污染物风险等级划分管控类别，制定差异化月度、季度巡查频次清单，实现排污企业巡查全覆盖。</w:t>
      </w:r>
    </w:p>
    <w:p w14:paraId="72C61D3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firstLine="480" w:firstLineChars="20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2.2</w:t>
      </w:r>
      <w:r>
        <w:rPr>
          <w:rFonts w:hint="default" w:ascii="宋体" w:hAnsi="宋体" w:eastAsia="宋体" w:cs="宋体"/>
          <w:color w:val="auto"/>
          <w:kern w:val="0"/>
          <w:sz w:val="24"/>
          <w:szCs w:val="24"/>
          <w:highlight w:val="none"/>
        </w:rPr>
        <w:t>常态化日间巡查：现场核查企业生产工况、污水处理设施开机运行状态、药剂投加、污泥处置、排污时段、实际排放量、在线监测设备运行、雨污管网混接渗漏等情况，现场拍摄取证、填写巡查记录表，同步录入电子台账。</w:t>
      </w:r>
    </w:p>
    <w:p w14:paraId="19DDA65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firstLine="480" w:firstLineChars="200"/>
        <w:jc w:val="left"/>
        <w:textAlignment w:val="auto"/>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2.3协助</w:t>
      </w:r>
      <w:r>
        <w:rPr>
          <w:rFonts w:hint="default" w:ascii="宋体" w:hAnsi="宋体" w:eastAsia="宋体" w:cs="宋体"/>
          <w:color w:val="auto"/>
          <w:kern w:val="0"/>
          <w:sz w:val="24"/>
          <w:szCs w:val="24"/>
          <w:highlight w:val="none"/>
        </w:rPr>
        <w:t>夜间突击专项排查：定期组织夜间错峰巡查，重点排查企业夜间偷排、直排、停运治污设施稀释排污等违法行为，现场同步配合水质取样工作，留存影像、水样证据。</w:t>
      </w:r>
    </w:p>
    <w:p w14:paraId="221ACA8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25" w:leftChars="0" w:firstLine="480" w:firstLineChars="200"/>
        <w:jc w:val="left"/>
        <w:textAlignment w:val="auto"/>
        <w:rPr>
          <w:color w:val="auto"/>
          <w:highlight w:val="none"/>
        </w:rPr>
      </w:pPr>
      <w:r>
        <w:rPr>
          <w:rFonts w:hint="eastAsia" w:ascii="宋体" w:hAnsi="宋体" w:eastAsia="宋体" w:cs="宋体"/>
          <w:color w:val="auto"/>
          <w:kern w:val="0"/>
          <w:sz w:val="24"/>
          <w:szCs w:val="24"/>
          <w:highlight w:val="none"/>
          <w:lang w:val="en-US" w:eastAsia="zh-CN"/>
        </w:rPr>
        <w:t>2.4协助</w:t>
      </w:r>
      <w:r>
        <w:rPr>
          <w:rFonts w:hint="default" w:ascii="宋体" w:hAnsi="宋体" w:eastAsia="宋体" w:cs="宋体"/>
          <w:color w:val="auto"/>
          <w:kern w:val="0"/>
          <w:sz w:val="24"/>
          <w:szCs w:val="24"/>
          <w:highlight w:val="none"/>
        </w:rPr>
        <w:t>问题处置建议：巡查发现超标排污、违规排水、设施闲置、管网私改等问题，第一时间形成书面上报材料，向采购人提出限期整改、停产整治、暂停排水、重新核查排水许可等处置建议，全程跟踪企业整改落实，形成闭环管理记录。</w:t>
      </w:r>
    </w:p>
    <w:p w14:paraId="77EE543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241" w:firstLineChars="100"/>
        <w:textAlignment w:val="auto"/>
        <w:rPr>
          <w:color w:val="auto"/>
          <w:highlight w:val="none"/>
        </w:rPr>
      </w:pP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协助协调处置水污染突发情况</w:t>
      </w:r>
    </w:p>
    <w:p w14:paraId="1B900E8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3.1建立 7×24 小时应急值班联络机制，固定专人保持通讯全天候畅通。接到采购人水污染突发事件通知后，须在规定时限抵达现场开展技术协助；突发事件包括但不限于污水管网破裂溢流、泵站故障溢水、河道及支浜水质异常、企业偷排漏排、突发性水体污染等。</w:t>
      </w:r>
    </w:p>
    <w:p w14:paraId="2454A34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3.2到达现场后协助采购人开展现场秩序维护、污染源溯源排查，可运用管线探测、管道潜望镜、无人机航拍等技术手段排查锁定污染源头；完成现场取证、水样采集封存，完整留存影像、文字证据资料。</w:t>
      </w:r>
    </w:p>
    <w:p w14:paraId="42A2B2D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3.3提供应急处置技术支持，协助开展临时截污、导流等应急措施的现场配合工作，全过程记录事件发生、发展及处置全过程。</w:t>
      </w:r>
    </w:p>
    <w:p w14:paraId="5BC508F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3.4事件处置完毕后，编制完整的突发事件处置报告，内容包含事件概况、现场排查情况、污染溯源分析、处置过程、现存问题、后续管控优化建议，提交采购人。</w:t>
      </w:r>
    </w:p>
    <w:p w14:paraId="3D6BC4D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3.5针对已处置完成的突发水污染事件开展复盘分析，梳理日常监管薄弱环节，向采购人提出排水监管优化改进建议。</w:t>
      </w:r>
    </w:p>
    <w:p w14:paraId="5420336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协助推进雨水系统及防汛排涝管理</w:t>
      </w:r>
    </w:p>
    <w:p w14:paraId="7D6A22A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4.1协助汛前隐患排查：汛期来临前，协助采购人对雨水管网、雨水口、雨水排口、排涝泵站、易涝积水点位开展专项排查，梳理管网淤积、雨水口堵塞、设备故障等隐患，形成隐患清单上报采购人，跟踪督促相关单位落实隐患整改。</w:t>
      </w:r>
    </w:p>
    <w:p w14:paraId="17A99C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4.2易涝点位台账管理：对辖区历史易涝积水点建立专项管理台账，实行 “一点一策”，协助采购人开展现状分析，提供工程及管理优化建议。</w:t>
      </w:r>
    </w:p>
    <w:p w14:paraId="1AB8FC6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4.3协助汛期值守与现场巡查：汛期落实专项值班值守；遇暴雨、台风等恶劣天气，加强易涝点、排口、泵站现场巡查，第一时间反馈积水、溢流等现场实况，为泵闸调度、排涝应急处置提供现场技术支撑。</w:t>
      </w:r>
    </w:p>
    <w:p w14:paraId="6B420E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4.4雨后复盘总结：强降雨结束后，对积水点位、雨水排口溢流情况开展现场复核，形成降雨事件工作简报，梳理雨水系统短板，提出管理优化建议。</w:t>
      </w:r>
    </w:p>
    <w:p w14:paraId="0920E2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4.5协助防汛资料归集：按采购人要求完成汛前排查报告、汛期工作简报、防汛工作总结等材料编制、台账归档，配合完成防汛相关迎检资料整理。</w:t>
      </w:r>
    </w:p>
    <w:p w14:paraId="08953320">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color w:val="auto"/>
          <w:highlight w:val="none"/>
        </w:rPr>
      </w:pPr>
      <w:r>
        <w:rPr>
          <w:rFonts w:hint="eastAsia" w:ascii="宋体" w:hAnsi="宋体" w:eastAsia="宋体" w:cs="宋体"/>
          <w:b/>
          <w:bCs/>
          <w:color w:val="auto"/>
          <w:kern w:val="0"/>
          <w:sz w:val="24"/>
          <w:szCs w:val="24"/>
          <w:highlight w:val="none"/>
          <w:lang w:val="en-US" w:eastAsia="zh-CN" w:bidi="ar"/>
        </w:rPr>
        <w:t>5.协助做好污水提质增效及挤外水相关工作</w:t>
      </w:r>
    </w:p>
    <w:p w14:paraId="48FC99A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5.1雨污水管网排查、外水入侵溯源（地下水入渗、河水倒灌、雨污混接）、截流泵站管控、台账报表、迎检保障、临时工作响应</w:t>
      </w:r>
      <w:r>
        <w:rPr>
          <w:rFonts w:hint="eastAsia" w:cs="宋体"/>
          <w:b w:val="0"/>
          <w:bCs w:val="0"/>
          <w:color w:val="auto"/>
          <w:kern w:val="0"/>
          <w:sz w:val="24"/>
          <w:szCs w:val="24"/>
          <w:highlight w:val="none"/>
          <w:lang w:val="en-US" w:eastAsia="zh-CN" w:bidi="ar-SA"/>
        </w:rPr>
        <w:t>。</w:t>
      </w:r>
    </w:p>
    <w:p w14:paraId="28A32CD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rPr>
          <w:b/>
          <w:bCs/>
          <w:color w:val="auto"/>
          <w:highlight w:val="none"/>
        </w:rPr>
      </w:pPr>
      <w:r>
        <w:rPr>
          <w:rFonts w:hint="eastAsia"/>
          <w:b/>
          <w:bCs/>
          <w:color w:val="auto"/>
          <w:highlight w:val="none"/>
          <w:lang w:val="en-US" w:eastAsia="zh-CN"/>
        </w:rPr>
        <w:t>6.</w:t>
      </w:r>
      <w:r>
        <w:rPr>
          <w:b/>
          <w:bCs/>
          <w:color w:val="auto"/>
          <w:highlight w:val="none"/>
        </w:rPr>
        <w:t>排水合规宣传工作</w:t>
      </w:r>
    </w:p>
    <w:p w14:paraId="428D84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6.1面向工业排水企业、沿街商户开展排水法规政策宣传，普及排水许可、雨污分流、禁止私接乱排等相关要求。</w:t>
      </w:r>
    </w:p>
    <w:p w14:paraId="6575FB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6.2配合采购人开展排水科普宣传工作，可通过现场宣讲、告知书发放等形式开展，做好宣传过程影像留存。</w:t>
      </w:r>
    </w:p>
    <w:p w14:paraId="06AA7E8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rPr>
          <w:color w:val="auto"/>
          <w:highlight w:val="none"/>
        </w:rPr>
      </w:pPr>
      <w:r>
        <w:rPr>
          <w:rFonts w:hint="eastAsia"/>
          <w:color w:val="auto"/>
          <w:highlight w:val="none"/>
          <w:lang w:val="en-US" w:eastAsia="zh-CN"/>
        </w:rPr>
        <w:t>7.</w:t>
      </w:r>
      <w:r>
        <w:rPr>
          <w:color w:val="auto"/>
          <w:highlight w:val="none"/>
        </w:rPr>
        <w:t>综合配套保障工作</w:t>
      </w:r>
    </w:p>
    <w:p w14:paraId="409EF6B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7.1协助台账档案管理：建立排水巡查、排口管理、应急处置、提质增效等全套电子及纸质档案，做到双备份，随时配合各级主管部门检查、资料调阅。</w:t>
      </w:r>
    </w:p>
    <w:p w14:paraId="76D89A8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7.2报表材料编制：按要求编制月度、季度、年度工作总结及各类统计报表，承担迎检资料汇编、专题汇报材料撰写。</w:t>
      </w:r>
    </w:p>
    <w:p w14:paraId="093413B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7.3临时性工作：完成采购人交办的排水领域专项摸排、调研踏勘、数据统计、资料汇编等其他相关临时性工作。</w:t>
      </w:r>
    </w:p>
    <w:p w14:paraId="294625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3" w:leftChars="0"/>
        <w:textAlignment w:val="auto"/>
        <w:rPr>
          <w:color w:val="auto"/>
          <w:highlight w:val="none"/>
        </w:rPr>
      </w:pPr>
      <w:r>
        <w:rPr>
          <w:rFonts w:hint="eastAsia" w:ascii="宋体" w:hAnsi="宋体" w:eastAsia="宋体" w:cs="宋体"/>
          <w:b w:val="0"/>
          <w:bCs w:val="0"/>
          <w:color w:val="auto"/>
          <w:kern w:val="0"/>
          <w:sz w:val="24"/>
          <w:szCs w:val="24"/>
          <w:highlight w:val="none"/>
          <w:lang w:val="en-US" w:eastAsia="zh-CN" w:bidi="ar-SA"/>
        </w:rPr>
        <w:t>7.4落实节假日重大时段值班值守，保障工作响应。</w:t>
      </w:r>
    </w:p>
    <w:p w14:paraId="3CD7AD1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rPr>
          <w:color w:val="auto"/>
          <w:highlight w:val="none"/>
        </w:rPr>
      </w:pPr>
      <w:r>
        <w:rPr>
          <w:rFonts w:hint="eastAsia"/>
          <w:color w:val="auto"/>
          <w:highlight w:val="none"/>
          <w:lang w:val="en-US" w:eastAsia="zh-CN"/>
        </w:rPr>
        <w:t>8.</w:t>
      </w:r>
      <w:r>
        <w:rPr>
          <w:color w:val="auto"/>
          <w:highlight w:val="none"/>
        </w:rPr>
        <w:t>综合内勤档案及采购人其他临时性工作</w:t>
      </w:r>
    </w:p>
    <w:p w14:paraId="1812EC8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8.1</w:t>
      </w:r>
      <w:r>
        <w:rPr>
          <w:rFonts w:hint="default" w:ascii="宋体" w:hAnsi="宋体" w:eastAsia="宋体" w:cs="宋体"/>
          <w:color w:val="auto"/>
          <w:kern w:val="0"/>
          <w:sz w:val="24"/>
          <w:szCs w:val="24"/>
          <w:highlight w:val="none"/>
          <w:lang w:val="en-US" w:eastAsia="zh-CN" w:bidi="ar-SA"/>
        </w:rPr>
        <w:t>标准化台账档案管理：统一建立排水许可台账、企业巡查台账、排口管理台账、工程监管台账、安全检查台账、应急处置台账六大类档案，同步留存纸质原件与电子备份资料，随时配合采购人、上级部门调阅、检查。</w:t>
      </w:r>
    </w:p>
    <w:p w14:paraId="6F2D0C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8.2协助</w:t>
      </w:r>
      <w:r>
        <w:rPr>
          <w:rFonts w:hint="default" w:ascii="宋体" w:hAnsi="宋体" w:eastAsia="宋体" w:cs="宋体"/>
          <w:color w:val="auto"/>
          <w:kern w:val="0"/>
          <w:sz w:val="24"/>
          <w:szCs w:val="24"/>
          <w:highlight w:val="none"/>
          <w:lang w:val="en-US" w:eastAsia="zh-CN" w:bidi="ar-SA"/>
        </w:rPr>
        <w:t>日常综合事务：按时编制月度、季度、年度排水管理工作总结、数据统计报表；完成各级环保、住建、农业农村部门迎检资料整理、现场保障；开展企业排水合规政策宣传、园区雨污分流科普；落实节假日、汛期全天候值班值守。</w:t>
      </w:r>
    </w:p>
    <w:p w14:paraId="15E2A08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8.3</w:t>
      </w:r>
      <w:r>
        <w:rPr>
          <w:rFonts w:hint="default" w:ascii="宋体" w:hAnsi="宋体" w:eastAsia="宋体" w:cs="宋体"/>
          <w:color w:val="auto"/>
          <w:kern w:val="0"/>
          <w:sz w:val="24"/>
          <w:szCs w:val="24"/>
          <w:highlight w:val="none"/>
          <w:lang w:val="en-US" w:eastAsia="zh-CN" w:bidi="ar-SA"/>
        </w:rPr>
        <w:t>其他临时交办事项：无条件完成采购人布置的各类专项摸排、专项调研、数据统计、现场踏勘、资料汇编、专题汇报材料撰写等所有排水管理相关临时性工作。</w:t>
      </w:r>
    </w:p>
    <w:p w14:paraId="77D9026A">
      <w:pPr>
        <w:keepNext w:val="0"/>
        <w:keepLines w:val="0"/>
        <w:pageBreakBefore w:val="0"/>
        <w:widowControl/>
        <w:numPr>
          <w:ilvl w:val="0"/>
          <w:numId w:val="7"/>
        </w:numPr>
        <w:suppressLineNumbers w:val="0"/>
        <w:tabs>
          <w:tab w:val="left" w:pos="720"/>
        </w:tabs>
        <w:kinsoku/>
        <w:wordWrap/>
        <w:overflowPunct/>
        <w:topLinePunct w:val="0"/>
        <w:autoSpaceDE/>
        <w:autoSpaceDN/>
        <w:bidi w:val="0"/>
        <w:adjustRightInd/>
        <w:snapToGrid/>
        <w:spacing w:before="0" w:beforeAutospacing="0" w:after="0" w:afterAutospacing="0" w:line="440" w:lineRule="exact"/>
        <w:jc w:val="both"/>
        <w:textAlignment w:val="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重点片区排水系统优化提升方案编制服务</w:t>
      </w:r>
    </w:p>
    <w:p w14:paraId="18A1179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ascii="宋体" w:hAnsi="宋体" w:eastAsia="宋体" w:cs="宋体"/>
          <w:b/>
          <w:bCs/>
          <w:color w:val="auto"/>
          <w:sz w:val="21"/>
          <w:szCs w:val="21"/>
          <w:highlight w:val="none"/>
        </w:rPr>
      </w:pPr>
      <w:r>
        <w:rPr>
          <w:rFonts w:ascii="宋体" w:hAnsi="宋体" w:eastAsia="宋体" w:cs="宋体"/>
          <w:b w:val="0"/>
          <w:bCs w:val="0"/>
          <w:color w:val="auto"/>
          <w:sz w:val="24"/>
          <w:szCs w:val="24"/>
          <w:highlight w:val="none"/>
        </w:rPr>
        <w:t>本板块合计最高限价40万元，采购人实际委托方案数量</w:t>
      </w:r>
      <w:r>
        <w:rPr>
          <w:rStyle w:val="10"/>
          <w:rFonts w:ascii="宋体" w:hAnsi="宋体" w:eastAsia="宋体" w:cs="宋体"/>
          <w:b w:val="0"/>
          <w:bCs w:val="0"/>
          <w:color w:val="auto"/>
          <w:sz w:val="24"/>
          <w:szCs w:val="24"/>
          <w:highlight w:val="none"/>
        </w:rPr>
        <w:t>不少于2 套</w:t>
      </w:r>
      <w:r>
        <w:rPr>
          <w:rFonts w:ascii="宋体" w:hAnsi="宋体" w:eastAsia="宋体" w:cs="宋体"/>
          <w:b w:val="0"/>
          <w:bCs w:val="0"/>
          <w:color w:val="auto"/>
          <w:sz w:val="24"/>
          <w:szCs w:val="24"/>
          <w:highlight w:val="none"/>
        </w:rPr>
        <w:t>。</w:t>
      </w:r>
      <w:r>
        <w:rPr>
          <w:rStyle w:val="10"/>
          <w:rFonts w:ascii="宋体" w:hAnsi="宋体" w:eastAsia="宋体" w:cs="宋体"/>
          <w:b w:val="0"/>
          <w:bCs w:val="0"/>
          <w:color w:val="auto"/>
          <w:sz w:val="24"/>
          <w:szCs w:val="24"/>
          <w:highlight w:val="none"/>
        </w:rPr>
        <w:t>具体实施套数以采购人书面委托为准</w:t>
      </w:r>
      <w:r>
        <w:rPr>
          <w:rFonts w:ascii="宋体" w:hAnsi="宋体" w:eastAsia="宋体" w:cs="宋体"/>
          <w:b w:val="0"/>
          <w:bCs w:val="0"/>
          <w:color w:val="auto"/>
          <w:sz w:val="24"/>
          <w:szCs w:val="24"/>
          <w:highlight w:val="none"/>
        </w:rPr>
        <w:t>。</w:t>
      </w:r>
      <w:r>
        <w:rPr>
          <w:rFonts w:ascii="宋体" w:hAnsi="宋体" w:eastAsia="宋体" w:cs="宋体"/>
          <w:color w:val="auto"/>
          <w:sz w:val="24"/>
          <w:szCs w:val="24"/>
          <w:highlight w:val="none"/>
        </w:rPr>
        <w:t>本板块项下所有勘测、数据分析、方案编制、评审修改、图纸装订、汇报服务等全部工作内容均包含在本板块投标总价内，不单独计取勘测费、专家评审费、图纸制作费、资料打印装订费等任何额外费用。</w:t>
      </w:r>
      <w:r>
        <w:rPr>
          <w:rFonts w:ascii="宋体" w:hAnsi="宋体" w:eastAsia="宋体" w:cs="宋体"/>
          <w:b/>
          <w:bCs/>
          <w:color w:val="auto"/>
          <w:sz w:val="21"/>
          <w:szCs w:val="21"/>
          <w:highlight w:val="none"/>
        </w:rPr>
        <w:t xml:space="preserve"> </w:t>
      </w:r>
    </w:p>
    <w:p w14:paraId="57CF943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r>
        <w:rPr>
          <w:rFonts w:hint="default" w:ascii="宋体" w:hAnsi="宋体" w:eastAsia="宋体" w:cs="宋体"/>
          <w:color w:val="auto"/>
          <w:kern w:val="0"/>
          <w:sz w:val="24"/>
          <w:szCs w:val="24"/>
          <w:highlight w:val="none"/>
          <w:lang w:val="en-US" w:eastAsia="zh-CN" w:bidi="ar-SA"/>
        </w:rPr>
        <w:t>重点片区专项排查勘测：针对片区存在雨污截流系统混乱、泵站无科学调度方案、雨季合流溢流、管网老化渗漏、片区内涝积水、小散乱排污集中等核心问题，采用管线探测、管道机器人内窥、无人机航拍、现场流量水质监测等手段开展全域摸排，收集管网、泵站、企业排污、河道排口基础数据。</w:t>
      </w:r>
    </w:p>
    <w:p w14:paraId="31DAE3A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default" w:ascii="宋体" w:hAnsi="宋体" w:eastAsia="宋体" w:cs="宋体"/>
          <w:color w:val="auto"/>
          <w:kern w:val="0"/>
          <w:sz w:val="24"/>
          <w:szCs w:val="24"/>
          <w:highlight w:val="none"/>
          <w:lang w:val="en-US" w:eastAsia="zh-CN" w:bidi="ar-SA"/>
        </w:rPr>
        <w:t>排水系统专业分析模拟：整合片区现状管网、水文、排污数据开展系统分析，梳理现存排水管理、工程设施短板，结合片区远期发展规划开展排水工况模拟测算。</w:t>
      </w:r>
    </w:p>
    <w:p w14:paraId="7EBC9D6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default" w:ascii="宋体" w:hAnsi="宋体" w:eastAsia="宋体" w:cs="宋体"/>
          <w:color w:val="auto"/>
          <w:kern w:val="0"/>
          <w:sz w:val="24"/>
          <w:szCs w:val="24"/>
          <w:highlight w:val="none"/>
          <w:lang w:val="en-US" w:eastAsia="zh-CN" w:bidi="ar-SA"/>
        </w:rPr>
        <w:t>优化提升方案编制：分管理优化、调度管控、工程改造三大维度编制完整解决方案，方案包含现状问题分析、排水工况模拟、改造工程清单、投资估算、长效管控机制、泵站调度运行方案等完整内容。</w:t>
      </w:r>
    </w:p>
    <w:p w14:paraId="5DA71DC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r>
        <w:rPr>
          <w:rFonts w:hint="default" w:ascii="宋体" w:hAnsi="宋体" w:eastAsia="宋体" w:cs="宋体"/>
          <w:color w:val="auto"/>
          <w:kern w:val="0"/>
          <w:sz w:val="24"/>
          <w:szCs w:val="24"/>
          <w:highlight w:val="none"/>
          <w:lang w:val="en-US" w:eastAsia="zh-CN" w:bidi="ar-SA"/>
        </w:rPr>
        <w:t>评审修改与成果交付：每套方案交付纸质版4套、完整电子版图纸、文本、测算台账，归档移交采购人。</w:t>
      </w:r>
    </w:p>
    <w:p w14:paraId="4DC03B11">
      <w:pPr>
        <w:keepNext w:val="0"/>
        <w:keepLines w:val="0"/>
        <w:pageBreakBefore w:val="0"/>
        <w:widowControl/>
        <w:numPr>
          <w:ilvl w:val="0"/>
          <w:numId w:val="7"/>
        </w:numPr>
        <w:suppressLineNumbers w:val="0"/>
        <w:tabs>
          <w:tab w:val="left" w:pos="720"/>
        </w:tabs>
        <w:kinsoku/>
        <w:wordWrap/>
        <w:overflowPunct/>
        <w:topLinePunct w:val="0"/>
        <w:autoSpaceDE/>
        <w:autoSpaceDN/>
        <w:bidi w:val="0"/>
        <w:adjustRightInd/>
        <w:snapToGrid/>
        <w:spacing w:before="0" w:beforeAutospacing="0" w:after="0" w:afterAutospacing="0" w:line="440" w:lineRule="exact"/>
        <w:ind w:left="0" w:leftChars="0" w:firstLine="0" w:firstLineChars="0"/>
        <w:jc w:val="both"/>
        <w:textAlignment w:val="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污水厂、农村生活污水处理设施、企业排水及河道水质检测</w:t>
      </w:r>
    </w:p>
    <w:p w14:paraId="2F2BAA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本板块最高限价20万元，包含水样现场采集、样品运输、实验室检测、CMA 资质检测报告出具、全年检测数据汇总、资料归档等全部费用，所有费用均包含在投标报价内，采购人不再另行支付其他任何费用。</w:t>
      </w:r>
    </w:p>
    <w:p w14:paraId="2B3ABDE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sz w:val="24"/>
          <w:szCs w:val="24"/>
          <w:highlight w:val="none"/>
        </w:rPr>
        <w:t>投标人自身可不持有 CMA 资质，中标后可委托具备 CMA 资质第三方机构完成检测工作；投标人对检测报告真实性、数据质量负全部责任。</w:t>
      </w:r>
    </w:p>
    <w:p w14:paraId="71DB013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22"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1"/>
          <w:szCs w:val="21"/>
          <w:highlight w:val="none"/>
        </w:rPr>
        <w:t>★</w:t>
      </w:r>
      <w:r>
        <w:rPr>
          <w:rFonts w:ascii="宋体" w:hAnsi="宋体" w:eastAsia="宋体" w:cs="宋体"/>
          <w:color w:val="auto"/>
          <w:sz w:val="24"/>
          <w:szCs w:val="24"/>
          <w:highlight w:val="none"/>
        </w:rPr>
        <w:t>资质要求：所有对外提交给采购人的正式检测报告，必须由具备CMA 检验检测机构资质认定证书的机构出具。</w:t>
      </w:r>
      <w:r>
        <w:rPr>
          <w:rFonts w:hint="eastAsia" w:ascii="宋体" w:hAnsi="宋体" w:eastAsia="宋体" w:cs="宋体"/>
          <w:color w:val="auto"/>
          <w:sz w:val="24"/>
          <w:szCs w:val="24"/>
          <w:highlight w:val="none"/>
          <w:lang w:val="en-US" w:eastAsia="zh-CN"/>
        </w:rPr>
        <w:t>如投标人自身持有CMA证书提供资质证书原件扫描件；若委托</w:t>
      </w:r>
      <w:r>
        <w:rPr>
          <w:rFonts w:hint="eastAsia" w:ascii="宋体" w:hAnsi="宋体" w:eastAsia="宋体" w:cs="宋体"/>
          <w:color w:val="auto"/>
          <w:sz w:val="24"/>
          <w:szCs w:val="24"/>
          <w:highlight w:val="none"/>
        </w:rPr>
        <w:t>具备 CMA 资质第三方机构完成检测工作</w:t>
      </w:r>
      <w:r>
        <w:rPr>
          <w:rFonts w:hint="eastAsia" w:ascii="宋体" w:hAnsi="宋体" w:eastAsia="宋体" w:cs="宋体"/>
          <w:color w:val="auto"/>
          <w:sz w:val="24"/>
          <w:szCs w:val="24"/>
          <w:highlight w:val="none"/>
          <w:lang w:val="en-US" w:eastAsia="zh-CN"/>
        </w:rPr>
        <w:t>则提供承诺函（格式自拟）。</w:t>
      </w:r>
    </w:p>
    <w:p w14:paraId="008223D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r>
        <w:rPr>
          <w:rFonts w:hint="default" w:ascii="宋体" w:hAnsi="宋体" w:eastAsia="宋体" w:cs="宋体"/>
          <w:color w:val="auto"/>
          <w:kern w:val="0"/>
          <w:sz w:val="24"/>
          <w:szCs w:val="24"/>
          <w:highlight w:val="none"/>
          <w:lang w:val="en-US" w:eastAsia="zh-CN" w:bidi="ar-SA"/>
        </w:rPr>
        <w:t>全域点位水样采集：根据采购人工作指令，分批次对城镇污水处理厂进出水、农村分散式生活污水处理设施、主干河道、支流支浜、市政雨水 / 污水排口、工业企业排污口开展现场水样采集、封存、送检。</w:t>
      </w:r>
    </w:p>
    <w:p w14:paraId="7207BA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default" w:ascii="宋体" w:hAnsi="宋体" w:eastAsia="宋体" w:cs="宋体"/>
          <w:color w:val="auto"/>
          <w:kern w:val="0"/>
          <w:sz w:val="24"/>
          <w:szCs w:val="24"/>
          <w:highlight w:val="none"/>
          <w:lang w:val="en-US" w:eastAsia="zh-CN" w:bidi="ar-SA"/>
        </w:rPr>
        <w:t>全指标检测分析：严格按照《GB/T31962—2015》标准完成规范载明（检测指标包括化学需氧量、氨氮、总磷、总氮、总氰化物、硫化物、氟化物、氯化物、总镍、总铜、总铁等</w:t>
      </w:r>
      <w:r>
        <w:rPr>
          <w:rFonts w:hint="eastAsia" w:ascii="宋体" w:hAnsi="宋体" w:eastAsia="宋体" w:cs="宋体"/>
          <w:color w:val="auto"/>
          <w:kern w:val="0"/>
          <w:sz w:val="24"/>
          <w:szCs w:val="24"/>
          <w:highlight w:val="none"/>
          <w:lang w:val="en-US" w:eastAsia="zh-CN" w:bidi="ar-SA"/>
        </w:rPr>
        <w:t>）</w:t>
      </w:r>
      <w:r>
        <w:rPr>
          <w:rFonts w:hint="default" w:ascii="宋体" w:hAnsi="宋体" w:eastAsia="宋体" w:cs="宋体"/>
          <w:color w:val="auto"/>
          <w:kern w:val="0"/>
          <w:sz w:val="24"/>
          <w:szCs w:val="24"/>
          <w:highlight w:val="none"/>
          <w:lang w:val="en-US" w:eastAsia="zh-CN" w:bidi="ar-SA"/>
        </w:rPr>
        <w:t xml:space="preserve"> 46 项常规水质指标检测；针对涉重金属、特殊化工行业企业污水，同步完成采购人指定的额外特征污染因子检测。</w:t>
      </w:r>
    </w:p>
    <w:p w14:paraId="6DF164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36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default" w:ascii="宋体" w:hAnsi="宋体" w:eastAsia="宋体" w:cs="宋体"/>
          <w:color w:val="auto"/>
          <w:kern w:val="0"/>
          <w:sz w:val="24"/>
          <w:szCs w:val="24"/>
          <w:highlight w:val="none"/>
          <w:lang w:val="en-US" w:eastAsia="zh-CN" w:bidi="ar-SA"/>
        </w:rPr>
        <w:t>检测报告与数据分析：每次检测出具具备 CMA 资质的正式检测报告，标注点位、采样时间、各项污染物浓度数值；全年汇总全部检测数据，形成年度水质变化分析报告，辅助采购人快速定位超标排污源头、掌握片区水体污染规律。</w:t>
      </w:r>
    </w:p>
    <w:tbl>
      <w:tblPr>
        <w:tblStyle w:val="7"/>
        <w:tblpPr w:leftFromText="180" w:rightFromText="180" w:vertAnchor="text" w:horzAnchor="page" w:tblpX="1187" w:tblpY="1292"/>
        <w:tblOverlap w:val="never"/>
        <w:tblW w:w="9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0"/>
        <w:gridCol w:w="4550"/>
        <w:gridCol w:w="598"/>
        <w:gridCol w:w="2485"/>
        <w:gridCol w:w="1278"/>
      </w:tblGrid>
      <w:tr w14:paraId="54844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9631" w:type="dxa"/>
            <w:gridSpan w:val="5"/>
            <w:tcBorders>
              <w:top w:val="nil"/>
              <w:left w:val="nil"/>
              <w:bottom w:val="nil"/>
              <w:right w:val="nil"/>
            </w:tcBorders>
            <w:shd w:val="clear" w:color="auto" w:fill="auto"/>
            <w:vAlign w:val="center"/>
          </w:tcPr>
          <w:p w14:paraId="0E96F166">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440" w:lineRule="exact"/>
              <w:ind w:leftChars="0"/>
              <w:jc w:val="center"/>
              <w:textAlignment w:val="auto"/>
              <w:rPr>
                <w:rFonts w:hint="default" w:ascii="宋体" w:hAnsi="宋体" w:eastAsia="宋体" w:cs="宋体"/>
                <w:b/>
                <w:bCs/>
                <w:i w:val="0"/>
                <w:iCs w:val="0"/>
                <w:color w:val="auto"/>
                <w:sz w:val="32"/>
                <w:szCs w:val="32"/>
                <w:highlight w:val="none"/>
                <w:u w:val="none"/>
                <w:lang w:val="en-US"/>
              </w:rPr>
            </w:pPr>
            <w:r>
              <w:rPr>
                <w:rFonts w:hint="eastAsia" w:ascii="宋体" w:hAnsi="宋体" w:eastAsia="宋体" w:cs="宋体"/>
                <w:b/>
                <w:bCs/>
                <w:color w:val="auto"/>
                <w:sz w:val="24"/>
                <w:szCs w:val="24"/>
                <w:highlight w:val="none"/>
              </w:rPr>
              <w:t>污水厂、农村生活污水处理设施、企业排水及河道水质检测</w:t>
            </w:r>
            <w:r>
              <w:rPr>
                <w:rFonts w:hint="eastAsia" w:ascii="宋体" w:hAnsi="宋体" w:eastAsia="宋体" w:cs="宋体"/>
                <w:b/>
                <w:bCs/>
                <w:color w:val="auto"/>
                <w:sz w:val="24"/>
                <w:szCs w:val="24"/>
                <w:highlight w:val="none"/>
                <w:lang w:val="en-US" w:eastAsia="zh-CN"/>
              </w:rPr>
              <w:t>采购清单及最高限价</w:t>
            </w:r>
          </w:p>
        </w:tc>
      </w:tr>
      <w:tr w14:paraId="2262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A0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C26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检测项目名称</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0F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次数</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C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最高限价单价检测项目收费（元/次）</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8E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r>
      <w:tr w14:paraId="18BB0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4B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D4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1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66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496B">
            <w:pPr>
              <w:keepNext w:val="0"/>
              <w:keepLines w:val="0"/>
              <w:widowControl/>
              <w:suppressLineNumbers w:val="0"/>
              <w:snapToGrid w:val="0"/>
              <w:ind w:left="0" w:leftChars="0" w:right="0" w:rightChars="0" w:firstLine="0" w:firstLineChars="0"/>
              <w:jc w:val="right"/>
              <w:textAlignment w:val="center"/>
              <w:rPr>
                <w:rFonts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 </w:t>
            </w:r>
          </w:p>
        </w:tc>
      </w:tr>
      <w:tr w14:paraId="13142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C4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C4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色度</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5B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86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A9A8">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 </w:t>
            </w:r>
          </w:p>
        </w:tc>
      </w:tr>
      <w:tr w14:paraId="11EF9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A0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29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易沉固体</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4B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BB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F40F">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1200.00 </w:t>
            </w:r>
          </w:p>
        </w:tc>
      </w:tr>
      <w:tr w14:paraId="6DCF0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B1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09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悬浮物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E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61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AC58">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1200.00 </w:t>
            </w:r>
          </w:p>
        </w:tc>
      </w:tr>
      <w:tr w14:paraId="70CA3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2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65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溶解性总固体</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2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27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AFA1">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1200.00 </w:t>
            </w:r>
          </w:p>
        </w:tc>
      </w:tr>
      <w:tr w14:paraId="5FEFB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E0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6B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动植物油</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66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3C7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6BF6">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2000.00 </w:t>
            </w:r>
          </w:p>
        </w:tc>
      </w:tr>
      <w:tr w14:paraId="3C42F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A5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E2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石油类</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F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47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BF08">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2000.00 </w:t>
            </w:r>
          </w:p>
        </w:tc>
      </w:tr>
      <w:tr w14:paraId="6C5F4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1D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07B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pH值</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65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6D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D3D7">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600.00 </w:t>
            </w:r>
          </w:p>
        </w:tc>
      </w:tr>
      <w:tr w14:paraId="44207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80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A2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五日生化需氧量(BOD5)</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9D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0B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7373">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 </w:t>
            </w:r>
          </w:p>
        </w:tc>
      </w:tr>
      <w:tr w14:paraId="2DA8E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FB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3C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化学需氧量(COD)</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40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10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5B055">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20000.00 </w:t>
            </w:r>
          </w:p>
        </w:tc>
      </w:tr>
      <w:tr w14:paraId="53443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2D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A25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氨氮(以N计)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C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AE3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542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18000.00 </w:t>
            </w:r>
          </w:p>
        </w:tc>
      </w:tr>
      <w:tr w14:paraId="0CE69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2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F6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总氮(以N计)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DC0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80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9FE8F">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20000.00 </w:t>
            </w:r>
          </w:p>
        </w:tc>
      </w:tr>
      <w:tr w14:paraId="5E6B2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06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18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总磷(以P计)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EA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CD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A5A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18000.00 </w:t>
            </w:r>
          </w:p>
        </w:tc>
      </w:tr>
      <w:tr w14:paraId="3B06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A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84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阴离子表面活性剂(LAS)</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10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00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839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2000.00 </w:t>
            </w:r>
          </w:p>
        </w:tc>
      </w:tr>
      <w:tr w14:paraId="17BAA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F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75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总氰化物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20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31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814E">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51563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3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87A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总余氯(以Cl2计)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45F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36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73070">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1200.00 </w:t>
            </w:r>
          </w:p>
        </w:tc>
      </w:tr>
      <w:tr w14:paraId="4E37D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D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99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硫化物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1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CF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2EB35">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2BD90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8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C8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氟化物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A0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95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2960">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1400.00 </w:t>
            </w:r>
          </w:p>
        </w:tc>
      </w:tr>
      <w:tr w14:paraId="03E33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A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7A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氯化物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D8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21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DD1A">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1200.00 </w:t>
            </w:r>
          </w:p>
        </w:tc>
      </w:tr>
      <w:tr w14:paraId="437DC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ED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E0C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硫酸盐</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3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78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106B">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1600.00 </w:t>
            </w:r>
          </w:p>
        </w:tc>
      </w:tr>
      <w:tr w14:paraId="52D9A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7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F6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总汞</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9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C2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C921">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66D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D1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66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总镉</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57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ED5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33B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17130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62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FA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总铬</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07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40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A991E">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6D093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F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D2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六价铬</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39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AE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B918">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40E1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9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CB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总砷</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5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AC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2043">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79947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A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8D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总铅</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CF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84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F62E">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274F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0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41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总镍</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96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63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7B44">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023DA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137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9C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总铍</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8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FD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45061">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69809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E8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8E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总银</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72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5F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CB13">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53D01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3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66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总硒</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D2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02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D318">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1FE1F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44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EBF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总铜</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9A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88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DA5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43D22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1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6F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总锌</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80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8CC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12D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66F39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51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FC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总锰</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02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02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5F86">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59879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12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46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总铁</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EA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E9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97B6">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5C1BD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6B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3E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锑</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1F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85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C9DD">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5F829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A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E6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挥发酚</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E9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55D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23D1">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1EB71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3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18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苯系物</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F3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5B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B2C0">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 </w:t>
            </w:r>
          </w:p>
        </w:tc>
      </w:tr>
      <w:tr w14:paraId="3CC86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5D1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C1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苯胺类</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B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D74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AAE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1600.00 </w:t>
            </w:r>
          </w:p>
        </w:tc>
      </w:tr>
      <w:tr w14:paraId="62166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11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86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硝基苯类</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A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73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507A">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 </w:t>
            </w:r>
          </w:p>
        </w:tc>
      </w:tr>
      <w:tr w14:paraId="145AB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1F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23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甲醛</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85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3B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021D">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1CE2C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3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BA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挥发性卤代烃（包括但不限于二氯甲烷、三氯甲烷、四氯化碳、三氯乙烯、四氯乙烯）</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0E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C4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C062">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 </w:t>
            </w:r>
          </w:p>
        </w:tc>
      </w:tr>
      <w:tr w14:paraId="30EA7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44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23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可吸附有机卤化物(AOX，以Cl计)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2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3F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C063D">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2100.00 </w:t>
            </w:r>
          </w:p>
        </w:tc>
      </w:tr>
      <w:tr w14:paraId="5DD8B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1D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AA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有机磷农药(以P计)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2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75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AACF0">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2400.00 </w:t>
            </w:r>
          </w:p>
        </w:tc>
      </w:tr>
      <w:tr w14:paraId="525D1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F2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D8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五氯酚</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D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C2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6A85">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2100.00 </w:t>
            </w:r>
          </w:p>
        </w:tc>
      </w:tr>
      <w:tr w14:paraId="5395A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8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9B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大肠菌群数</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A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45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98A4">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1600.00 </w:t>
            </w:r>
          </w:p>
        </w:tc>
      </w:tr>
      <w:tr w14:paraId="04561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9F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28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二氧化氯</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3F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11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50A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700.00 </w:t>
            </w:r>
          </w:p>
        </w:tc>
      </w:tr>
      <w:tr w14:paraId="066F1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33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AF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总铝</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24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7A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CECE">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1800.00 </w:t>
            </w:r>
          </w:p>
        </w:tc>
      </w:tr>
      <w:tr w14:paraId="1A257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41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02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烷基汞</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C2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E6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4C69">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4000.00 </w:t>
            </w:r>
          </w:p>
        </w:tc>
      </w:tr>
      <w:tr w14:paraId="77139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CC2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8F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总有机碳</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F7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F0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31FB">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2400.00 </w:t>
            </w:r>
          </w:p>
        </w:tc>
      </w:tr>
      <w:tr w14:paraId="588E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77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395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苯并芘</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E0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06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3F97">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 </w:t>
            </w:r>
          </w:p>
        </w:tc>
      </w:tr>
      <w:tr w14:paraId="062DC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A2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5EF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急性毒性(HgCl2)</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3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E3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D1D4">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10000.00 </w:t>
            </w:r>
          </w:p>
        </w:tc>
      </w:tr>
      <w:tr w14:paraId="31E05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0C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4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B2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人工、车辆等综合取样费（元/次）</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52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2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91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300.00 </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9F57">
            <w:pPr>
              <w:keepNext w:val="0"/>
              <w:keepLines w:val="0"/>
              <w:widowControl/>
              <w:suppressLineNumbers w:val="0"/>
              <w:snapToGrid w:val="0"/>
              <w:ind w:left="0" w:leftChars="0" w:right="0" w:rightChars="0" w:firstLine="0" w:firstLineChars="0"/>
              <w:jc w:val="right"/>
              <w:textAlignment w:val="center"/>
              <w:rPr>
                <w:rFonts w:hint="eastAsia" w:ascii="宋体" w:hAnsi="等线" w:eastAsia="宋体" w:cs="等线"/>
                <w:i w:val="0"/>
                <w:iCs w:val="0"/>
                <w:color w:val="auto"/>
                <w:sz w:val="21"/>
                <w:szCs w:val="24"/>
                <w:highlight w:val="none"/>
                <w:u w:val="none"/>
              </w:rPr>
            </w:pPr>
            <w:r>
              <w:rPr>
                <w:rFonts w:hint="eastAsia" w:ascii="宋体" w:hAnsi="等线" w:eastAsia="宋体" w:cs="等线"/>
                <w:i w:val="0"/>
                <w:iCs w:val="0"/>
                <w:color w:val="auto"/>
                <w:kern w:val="0"/>
                <w:sz w:val="21"/>
                <w:szCs w:val="24"/>
                <w:highlight w:val="none"/>
                <w:u w:val="none"/>
                <w:lang w:val="en-US" w:eastAsia="zh-CN" w:bidi="ar"/>
              </w:rPr>
              <w:t xml:space="preserve">30000.00 </w:t>
            </w:r>
          </w:p>
        </w:tc>
      </w:tr>
      <w:tr w14:paraId="64D11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5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91D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4"/>
                <w:highlight w:val="none"/>
                <w:u w:val="none"/>
              </w:rPr>
            </w:pPr>
            <w:r>
              <w:rPr>
                <w:rFonts w:hint="eastAsia" w:ascii="宋体" w:hAnsi="宋体" w:eastAsia="宋体" w:cs="宋体"/>
                <w:b/>
                <w:bCs/>
                <w:i w:val="0"/>
                <w:iCs w:val="0"/>
                <w:color w:val="auto"/>
                <w:kern w:val="0"/>
                <w:sz w:val="21"/>
                <w:szCs w:val="24"/>
                <w:highlight w:val="none"/>
                <w:u w:val="none"/>
                <w:lang w:val="en-US" w:eastAsia="zh-CN" w:bidi="ar"/>
              </w:rPr>
              <w:t>合计（元）</w:t>
            </w:r>
          </w:p>
        </w:tc>
        <w:tc>
          <w:tcPr>
            <w:tcW w:w="12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A41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b/>
                <w:i w:val="0"/>
                <w:iCs w:val="0"/>
                <w:color w:val="auto"/>
                <w:sz w:val="21"/>
                <w:szCs w:val="24"/>
                <w:highlight w:val="none"/>
                <w:u w:val="none"/>
              </w:rPr>
            </w:pPr>
            <w:r>
              <w:rPr>
                <w:rFonts w:hint="eastAsia" w:ascii="宋体" w:hAnsi="等线" w:eastAsia="宋体" w:cs="等线"/>
                <w:b/>
                <w:i w:val="0"/>
                <w:iCs w:val="0"/>
                <w:color w:val="auto"/>
                <w:kern w:val="0"/>
                <w:sz w:val="21"/>
                <w:szCs w:val="24"/>
                <w:highlight w:val="none"/>
                <w:u w:val="none"/>
                <w:lang w:val="en-US" w:eastAsia="zh-CN" w:bidi="ar"/>
              </w:rPr>
              <w:t xml:space="preserve">200000.00 </w:t>
            </w:r>
          </w:p>
        </w:tc>
      </w:tr>
    </w:tbl>
    <w:p w14:paraId="36FB0206">
      <w:pPr>
        <w:keepNext w:val="0"/>
        <w:keepLines w:val="0"/>
        <w:pageBreakBefore w:val="0"/>
        <w:widowControl w:val="0"/>
        <w:kinsoku/>
        <w:wordWrap/>
        <w:overflowPunct/>
        <w:topLinePunct w:val="0"/>
        <w:autoSpaceDE/>
        <w:autoSpaceDN/>
        <w:bidi w:val="0"/>
        <w:adjustRightInd/>
        <w:snapToGrid w:val="0"/>
        <w:spacing w:beforeAutospacing="0" w:afterAutospacing="0" w:line="440" w:lineRule="exact"/>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三、报价方式：</w:t>
      </w:r>
      <w:r>
        <w:rPr>
          <w:rFonts w:hint="eastAsia" w:ascii="宋体" w:hAnsi="宋体" w:eastAsia="宋体" w:cs="宋体"/>
          <w:color w:val="auto"/>
          <w:kern w:val="0"/>
          <w:sz w:val="24"/>
          <w:szCs w:val="24"/>
          <w:highlight w:val="none"/>
          <w:lang w:val="en-US" w:eastAsia="zh-CN" w:bidi="ar-SA"/>
        </w:rPr>
        <w:t>本项目投标报价方式为</w:t>
      </w:r>
      <w:r>
        <w:rPr>
          <w:rFonts w:hint="eastAsia" w:ascii="宋体" w:hAnsi="宋体" w:eastAsia="宋体" w:cs="宋体"/>
          <w:b/>
          <w:bCs/>
          <w:color w:val="auto"/>
          <w:kern w:val="0"/>
          <w:sz w:val="24"/>
          <w:szCs w:val="24"/>
          <w:highlight w:val="none"/>
          <w:lang w:val="en-US" w:eastAsia="zh-CN" w:bidi="ar-SA"/>
        </w:rPr>
        <w:t>总价报价</w:t>
      </w:r>
      <w:r>
        <w:rPr>
          <w:rFonts w:hint="eastAsia" w:ascii="宋体" w:hAnsi="宋体" w:eastAsia="宋体" w:cs="宋体"/>
          <w:color w:val="auto"/>
          <w:kern w:val="0"/>
          <w:sz w:val="24"/>
          <w:szCs w:val="24"/>
          <w:highlight w:val="none"/>
          <w:lang w:val="en-US" w:eastAsia="zh-CN" w:bidi="ar-SA"/>
        </w:rPr>
        <w:t>，投标报价应包括招标文件所确定的招标范围相应服务的提供、人员（包括工资和补贴）、设备、办公场所及设施、保险、劳保、管理、各种税费、利润、税金、政策性文件规定及合同包含的所有风险、责任等各项应有费用，以及为完成该项服务项目所涉及的一切相关费用，招标人不再支付其他任何费用。</w:t>
      </w:r>
    </w:p>
    <w:p w14:paraId="22AAC50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color w:val="auto"/>
          <w:spacing w:val="6"/>
          <w:sz w:val="24"/>
          <w:szCs w:val="24"/>
          <w:highlight w:val="none"/>
          <w:lang w:val="zh-CN" w:eastAsia="zh-CN"/>
        </w:rPr>
      </w:pPr>
      <w:r>
        <w:rPr>
          <w:rFonts w:hint="eastAsia" w:ascii="宋体" w:hAnsi="宋体" w:eastAsia="宋体" w:cs="宋体"/>
          <w:b/>
          <w:bCs/>
          <w:color w:val="auto"/>
          <w:sz w:val="24"/>
          <w:szCs w:val="24"/>
          <w:highlight w:val="none"/>
          <w:lang w:val="en-US" w:eastAsia="zh-CN"/>
        </w:rPr>
        <w:t>四、付款方式：</w:t>
      </w:r>
    </w:p>
    <w:p w14:paraId="49B2C19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宋体" w:hAnsi="宋体" w:eastAsia="宋体" w:cs="宋体"/>
          <w:color w:val="auto"/>
          <w:spacing w:val="6"/>
          <w:sz w:val="24"/>
          <w:szCs w:val="24"/>
          <w:highlight w:val="none"/>
          <w:lang w:val="zh-CN"/>
        </w:rPr>
      </w:pPr>
      <w:r>
        <w:rPr>
          <w:rFonts w:hint="eastAsia" w:ascii="宋体" w:hAnsi="宋体" w:eastAsia="宋体" w:cs="宋体"/>
          <w:b w:val="0"/>
          <w:bCs w:val="0"/>
          <w:color w:val="auto"/>
          <w:sz w:val="24"/>
          <w:szCs w:val="24"/>
          <w:highlight w:val="none"/>
          <w:lang w:val="en-US" w:eastAsia="zh-CN"/>
        </w:rPr>
        <w:t>付款方式：</w:t>
      </w:r>
      <w:r>
        <w:rPr>
          <w:rFonts w:hint="eastAsia" w:ascii="宋体" w:hAnsi="宋体" w:eastAsia="宋体" w:cs="宋体"/>
          <w:color w:val="auto"/>
          <w:spacing w:val="6"/>
          <w:sz w:val="24"/>
          <w:szCs w:val="24"/>
          <w:highlight w:val="none"/>
          <w:lang w:val="zh-CN" w:eastAsia="zh-CN"/>
        </w:rPr>
        <w:t>项目分两类节点支付；</w:t>
      </w: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lang w:val="zh-CN" w:eastAsia="zh-CN"/>
        </w:rPr>
        <w:t>日常排水综合管理基础服务费：以日常排水综合管理基础服务部分中标合同总价为基数，平均分</w:t>
      </w:r>
      <w:r>
        <w:rPr>
          <w:rFonts w:hint="eastAsia" w:ascii="宋体" w:hAnsi="宋体" w:eastAsia="宋体" w:cs="宋体"/>
          <w:color w:val="auto"/>
          <w:spacing w:val="6"/>
          <w:sz w:val="24"/>
          <w:szCs w:val="24"/>
          <w:highlight w:val="none"/>
          <w:lang w:val="en-US" w:eastAsia="zh-CN"/>
        </w:rPr>
        <w:t>为</w:t>
      </w:r>
      <w:r>
        <w:rPr>
          <w:rFonts w:hint="eastAsia" w:ascii="宋体" w:hAnsi="宋体" w:eastAsia="宋体" w:cs="宋体"/>
          <w:color w:val="auto"/>
          <w:spacing w:val="6"/>
          <w:sz w:val="24"/>
          <w:szCs w:val="24"/>
          <w:highlight w:val="none"/>
          <w:lang w:val="zh-CN" w:eastAsia="zh-CN"/>
        </w:rPr>
        <w:t>4个季度支付。每季度支付款项由两部分组成：本部分合同总价的15%为季度固定款，本部分合同总价的10%为季度考核浮动款。</w:t>
      </w:r>
      <w:r>
        <w:rPr>
          <w:rFonts w:hint="eastAsia" w:ascii="宋体" w:hAnsi="宋体" w:eastAsia="宋体" w:cs="宋体"/>
          <w:color w:val="auto"/>
          <w:spacing w:val="6"/>
          <w:sz w:val="24"/>
          <w:szCs w:val="24"/>
          <w:highlight w:val="none"/>
          <w:lang w:val="en-US" w:eastAsia="zh-CN"/>
        </w:rPr>
        <w:t>浮动款按照考核汇总结果进行支付</w:t>
      </w:r>
      <w:r>
        <w:rPr>
          <w:rFonts w:hint="eastAsia" w:ascii="宋体" w:hAnsi="宋体" w:eastAsia="宋体" w:cs="宋体"/>
          <w:color w:val="auto"/>
          <w:spacing w:val="6"/>
          <w:sz w:val="24"/>
          <w:szCs w:val="24"/>
          <w:highlight w:val="none"/>
          <w:lang w:val="zh-CN" w:eastAsia="zh-CN"/>
        </w:rPr>
        <w:t>2.方案编制费、检测服务费待项目完成后，服务期满一次性付清。</w:t>
      </w:r>
    </w:p>
    <w:p w14:paraId="15790F53">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五、人员要求及考评</w:t>
      </w:r>
    </w:p>
    <w:p w14:paraId="5403567C">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w:t>
      </w:r>
      <w:r>
        <w:rPr>
          <w:rFonts w:hint="eastAsia" w:ascii="宋体" w:hAnsi="宋体" w:eastAsia="宋体" w:cs="宋体"/>
          <w:b/>
          <w:bCs/>
          <w:color w:val="auto"/>
          <w:kern w:val="0"/>
          <w:sz w:val="24"/>
          <w:highlight w:val="none"/>
        </w:rPr>
        <w:t>岗位及人员配备（供应商提供承诺函，承诺为本项目至少配备以下岗位及人员）</w:t>
      </w:r>
    </w:p>
    <w:p w14:paraId="51E07D17">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人员配置要求：项目常驻在岗工作人员总人数不少于</w:t>
      </w:r>
      <w:r>
        <w:rPr>
          <w:rFonts w:hint="eastAsia" w:ascii="宋体" w:hAnsi="宋体" w:eastAsia="宋体" w:cs="宋体"/>
          <w:color w:val="auto"/>
          <w:sz w:val="24"/>
          <w:szCs w:val="24"/>
          <w:highlight w:val="none"/>
          <w:lang w:val="en-US" w:eastAsia="zh-CN"/>
        </w:rPr>
        <w:t>12</w:t>
      </w:r>
      <w:r>
        <w:rPr>
          <w:rFonts w:hint="default" w:ascii="宋体" w:hAnsi="宋体" w:eastAsia="宋体" w:cs="宋体"/>
          <w:color w:val="auto"/>
          <w:sz w:val="24"/>
          <w:szCs w:val="24"/>
          <w:highlight w:val="none"/>
          <w:lang w:val="en-US" w:eastAsia="zh-CN"/>
        </w:rPr>
        <w:t>人，设置项目负责人1名、技术负责人≥1名、工程管理负责人≥1 名、现场外勤巡查人员≥</w:t>
      </w: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名、档案文员≥2名，男≤60周岁，女≤55周岁，核心岗位人员更换必须取得采购人书面同意</w:t>
      </w:r>
      <w:r>
        <w:rPr>
          <w:rFonts w:hint="eastAsia" w:ascii="宋体" w:hAnsi="宋体" w:eastAsia="宋体" w:cs="宋体"/>
          <w:color w:val="auto"/>
          <w:sz w:val="24"/>
          <w:szCs w:val="24"/>
          <w:highlight w:val="none"/>
          <w:lang w:val="en-US" w:eastAsia="zh-CN"/>
        </w:rPr>
        <w:t>。</w:t>
      </w:r>
    </w:p>
    <w:p w14:paraId="6B298D72">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2.★人工费用（提供承诺函）</w:t>
      </w:r>
    </w:p>
    <w:p w14:paraId="35E4DD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1）供应商自行负责其招聘员工的一切工资、福利、社会保险；如发生工伤、疾病乃至死亡的一切责任及费用由投标人全部负责；供应商应严格遵守国家有关的法律和法规。由于政策性调整，所产生的一切费用由成交供应商承担，甲方费用不作任何调整。</w:t>
      </w:r>
    </w:p>
    <w:p w14:paraId="0340CD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（2）供应商须严格按照国家和常州市政府规定给所有的员工缴纳各种社会保险（包括养老、医疗、工伤、生育险、失业保险等）。</w:t>
      </w:r>
    </w:p>
    <w:p w14:paraId="5A577C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（3）全部服务人员的工作时间应严格按国家有关法律、法规要求的标准执行，因工作原因产生的加班（含节假日加班）应严格按国家有关法律、法规要求的标准由投标方给付员工加班薪资。</w:t>
      </w:r>
    </w:p>
    <w:p w14:paraId="54D124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u w:val="none"/>
          <w:lang w:val="en-US" w:eastAsia="zh-CN" w:bidi="ar"/>
        </w:rPr>
        <w:t>（4）采购人不接受供应商任何因遗漏报价而发生的费用追加，因供应商违反《劳动法》等法律法规而造成采购人的连带责任和损失全部由投标人承担。</w:t>
      </w:r>
    </w:p>
    <w:p w14:paraId="163997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2" w:firstLineChars="200"/>
        <w:jc w:val="left"/>
        <w:textAlignment w:val="auto"/>
        <w:rPr>
          <w:rFonts w:hint="default" w:ascii="宋体" w:hAnsi="宋体" w:eastAsia="宋体" w:cs="宋体"/>
          <w:color w:val="auto"/>
          <w:kern w:val="0"/>
          <w:sz w:val="24"/>
          <w:szCs w:val="24"/>
          <w:highlight w:val="none"/>
          <w:u w:val="none"/>
          <w:lang w:val="en-US" w:eastAsia="zh-CN" w:bidi="ar"/>
        </w:rPr>
      </w:pPr>
      <w:r>
        <w:rPr>
          <w:rFonts w:hint="eastAsia" w:ascii="宋体" w:hAnsi="宋体" w:eastAsia="宋体" w:cs="宋体"/>
          <w:b/>
          <w:bCs/>
          <w:color w:val="auto"/>
          <w:kern w:val="0"/>
          <w:sz w:val="24"/>
          <w:szCs w:val="24"/>
          <w:highlight w:val="none"/>
          <w:u w:val="none"/>
          <w:lang w:val="en-US" w:eastAsia="zh-CN" w:bidi="ar"/>
        </w:rPr>
        <w:t>3.附件1：考评办法（甲方可根据实际情况进行优化与完善）</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按照</w:t>
      </w:r>
      <w:r>
        <w:rPr>
          <w:rFonts w:hint="eastAsia" w:ascii="宋体" w:hAnsi="宋体" w:eastAsia="宋体" w:cs="宋体"/>
          <w:color w:val="auto"/>
          <w:kern w:val="0"/>
          <w:sz w:val="24"/>
          <w:szCs w:val="24"/>
          <w:highlight w:val="none"/>
          <w:u w:val="none"/>
          <w:lang w:val="zh-CN" w:eastAsia="zh-CN" w:bidi="ar"/>
        </w:rPr>
        <w:t>常州经济开发区排水管理服务</w:t>
      </w:r>
      <w:r>
        <w:rPr>
          <w:rFonts w:hint="eastAsia" w:ascii="宋体" w:hAnsi="宋体" w:eastAsia="宋体" w:cs="宋体"/>
          <w:color w:val="auto"/>
          <w:kern w:val="0"/>
          <w:sz w:val="24"/>
          <w:szCs w:val="24"/>
          <w:highlight w:val="none"/>
          <w:u w:val="none"/>
          <w:lang w:val="en-US" w:eastAsia="zh-CN" w:bidi="ar"/>
        </w:rPr>
        <w:t>的实际情况，制定本办法：</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一、考评内容及范围。</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w:t>
      </w:r>
      <w:r>
        <w:rPr>
          <w:rFonts w:hint="default" w:ascii="宋体" w:hAnsi="宋体" w:eastAsia="宋体" w:cs="Times New Roman"/>
          <w:color w:val="auto"/>
          <w:kern w:val="0"/>
          <w:sz w:val="24"/>
          <w:szCs w:val="24"/>
          <w:highlight w:val="none"/>
        </w:rPr>
        <w:t>主要</w:t>
      </w:r>
      <w:r>
        <w:rPr>
          <w:rFonts w:hint="eastAsia" w:ascii="宋体" w:hAnsi="宋体" w:eastAsia="宋体" w:cs="Times New Roman"/>
          <w:color w:val="auto"/>
          <w:kern w:val="0"/>
          <w:sz w:val="24"/>
          <w:szCs w:val="24"/>
          <w:highlight w:val="none"/>
          <w:lang w:val="en-US" w:eastAsia="zh-CN"/>
        </w:rPr>
        <w:t>服务</w:t>
      </w:r>
      <w:r>
        <w:rPr>
          <w:rFonts w:hint="default" w:ascii="宋体" w:hAnsi="宋体" w:eastAsia="宋体" w:cs="Times New Roman"/>
          <w:color w:val="auto"/>
          <w:kern w:val="0"/>
          <w:sz w:val="24"/>
          <w:szCs w:val="24"/>
          <w:highlight w:val="none"/>
        </w:rPr>
        <w:t>内容为协助开展排水许可服务，协助开展排水户常态化巡查，协助协调处置水污染突发情况，协助推进雨水系统及防汛排涝管理，协助做好污水提质增效、宣传及综</w:t>
      </w:r>
      <w:r>
        <w:rPr>
          <w:rFonts w:hint="default" w:ascii="宋体" w:hAnsi="宋体" w:eastAsia="宋体" w:cs="宋体"/>
          <w:color w:val="auto"/>
          <w:kern w:val="0"/>
          <w:sz w:val="24"/>
          <w:szCs w:val="24"/>
          <w:highlight w:val="none"/>
          <w:u w:val="none"/>
          <w:lang w:val="en-US" w:eastAsia="zh-CN" w:bidi="ar"/>
        </w:rPr>
        <w:t>合配套等相关工作。</w:t>
      </w:r>
    </w:p>
    <w:p w14:paraId="3923EA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二、</w:t>
      </w:r>
      <w:r>
        <w:rPr>
          <w:rFonts w:hint="default" w:ascii="宋体" w:hAnsi="宋体" w:eastAsia="宋体" w:cs="宋体"/>
          <w:color w:val="auto"/>
          <w:kern w:val="0"/>
          <w:sz w:val="24"/>
          <w:szCs w:val="24"/>
          <w:highlight w:val="none"/>
          <w:u w:val="none"/>
          <w:lang w:val="en-US" w:eastAsia="zh-CN" w:bidi="ar"/>
        </w:rPr>
        <w:t>考核结算规则：</w:t>
      </w:r>
      <w:r>
        <w:rPr>
          <w:rFonts w:hint="eastAsia" w:ascii="宋体" w:hAnsi="宋体" w:eastAsia="宋体" w:cs="宋体"/>
          <w:color w:val="auto"/>
          <w:spacing w:val="6"/>
          <w:sz w:val="24"/>
          <w:szCs w:val="24"/>
          <w:highlight w:val="none"/>
          <w:lang w:val="zh-CN" w:eastAsia="zh-CN"/>
        </w:rPr>
        <w:t>（1）季度固定款15%，按季度正常予以拨付；（2）季度考核浮动款10%，依据当季度考核得分进行核算：①季度考核得分≥90分：全额发放本季度考核浮动款；②80分≤季度考核得分＜90分：浮动款=本季度考核浮动款金额×（季度考核得分÷100）；③季度考核得分＜80分：本季度考核浮动款不予支付，不予后期补付。</w:t>
      </w:r>
    </w:p>
    <w:p w14:paraId="440C72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三、考评方式</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1、按照《</w:t>
      </w:r>
      <w:r>
        <w:rPr>
          <w:rFonts w:hint="eastAsia" w:ascii="宋体" w:hAnsi="宋体" w:eastAsia="宋体" w:cs="宋体"/>
          <w:color w:val="auto"/>
          <w:kern w:val="0"/>
          <w:sz w:val="24"/>
          <w:szCs w:val="24"/>
          <w:highlight w:val="none"/>
          <w:u w:val="none"/>
          <w:lang w:val="zh-CN" w:eastAsia="zh-CN" w:bidi="ar"/>
        </w:rPr>
        <w:t>常州经济开发区排水管理服务</w:t>
      </w:r>
      <w:r>
        <w:rPr>
          <w:rFonts w:hint="eastAsia" w:ascii="宋体" w:hAnsi="宋体" w:eastAsia="宋体" w:cs="宋体"/>
          <w:color w:val="auto"/>
          <w:kern w:val="0"/>
          <w:sz w:val="24"/>
          <w:szCs w:val="24"/>
          <w:highlight w:val="none"/>
          <w:u w:val="none"/>
          <w:lang w:val="en-US" w:eastAsia="zh-CN" w:bidi="ar"/>
        </w:rPr>
        <w:t>考核明细表》进行考核。</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2、监查考评。考评工作小组按规定的时限，对相关中标人问题整改情况进行督查，认真登记整改情况，对在规定进限内未完成整改的，督促中标人再次组织整改。</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3、现场考评。由考评工作小组不定期组织现场考评，进行即时扣分；由考评工作小组采取分类抽样方式，每季度组织2次现场考评，进行即时扣分，并对现场考评中存在的问题，责成相关中标人组织整改 </w:t>
      </w:r>
    </w:p>
    <w:p w14:paraId="40536B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sectPr>
          <w:headerReference r:id="rId7" w:type="default"/>
          <w:footerReference r:id="rId8" w:type="default"/>
          <w:pgSz w:w="11907" w:h="16839"/>
          <w:pgMar w:top="1440" w:right="1310" w:bottom="1440" w:left="1349"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7D11AA5F">
      <w:pPr>
        <w:keepNext w:val="0"/>
        <w:keepLines w:val="0"/>
        <w:pageBreakBefore w:val="0"/>
        <w:widowControl/>
        <w:kinsoku/>
        <w:wordWrap/>
        <w:overflowPunct/>
        <w:topLinePunct w:val="0"/>
        <w:autoSpaceDE/>
        <w:autoSpaceDN/>
        <w:bidi w:val="0"/>
        <w:adjustRightInd w:val="0"/>
        <w:spacing w:line="240" w:lineRule="atLeast"/>
        <w:jc w:val="center"/>
        <w:textAlignment w:val="auto"/>
        <w:rPr>
          <w:rFonts w:hint="eastAsia" w:ascii="宋体" w:hAnsi="宋体" w:eastAsia="宋体" w:cs="宋体"/>
          <w:bCs/>
          <w:color w:val="auto"/>
          <w:kern w:val="0"/>
          <w:sz w:val="36"/>
          <w:szCs w:val="36"/>
          <w:highlight w:val="none"/>
        </w:rPr>
      </w:pPr>
      <w:r>
        <w:rPr>
          <w:rFonts w:hint="eastAsia" w:ascii="宋体" w:hAnsi="宋体" w:eastAsia="宋体" w:cs="宋体"/>
          <w:bCs/>
          <w:color w:val="auto"/>
          <w:kern w:val="0"/>
          <w:sz w:val="36"/>
          <w:szCs w:val="36"/>
          <w:highlight w:val="none"/>
          <w:lang w:val="zh-CN"/>
        </w:rPr>
        <w:t>常州经济开发区排水管理服务</w:t>
      </w:r>
      <w:r>
        <w:rPr>
          <w:rFonts w:hint="eastAsia" w:ascii="宋体" w:hAnsi="宋体" w:eastAsia="宋体" w:cs="宋体"/>
          <w:bCs/>
          <w:color w:val="auto"/>
          <w:kern w:val="0"/>
          <w:sz w:val="36"/>
          <w:szCs w:val="36"/>
          <w:highlight w:val="none"/>
        </w:rPr>
        <w:t>考核明细表</w:t>
      </w:r>
    </w:p>
    <w:p w14:paraId="21A8AF29">
      <w:pPr>
        <w:keepNext w:val="0"/>
        <w:keepLines w:val="0"/>
        <w:pageBreakBefore w:val="0"/>
        <w:kinsoku/>
        <w:wordWrap/>
        <w:overflowPunct/>
        <w:topLinePunct w:val="0"/>
        <w:autoSpaceDE/>
        <w:autoSpaceDN/>
        <w:bidi w:val="0"/>
        <w:spacing w:line="240" w:lineRule="atLeast"/>
        <w:textAlignment w:val="auto"/>
        <w:rPr>
          <w:rFonts w:ascii="Times New Roman" w:hAnsi="Times New Roman" w:eastAsia="宋体" w:cs="Times New Roman"/>
          <w:color w:val="auto"/>
          <w:sz w:val="21"/>
          <w:szCs w:val="21"/>
          <w:highlight w:val="none"/>
        </w:rPr>
      </w:pPr>
    </w:p>
    <w:p w14:paraId="78DF5ACD">
      <w:pPr>
        <w:keepNext w:val="0"/>
        <w:keepLines w:val="0"/>
        <w:pageBreakBefore w:val="0"/>
        <w:widowControl/>
        <w:shd w:val="clear" w:color="auto" w:fill="FFFFFF"/>
        <w:kinsoku/>
        <w:wordWrap/>
        <w:overflowPunct/>
        <w:topLinePunct w:val="0"/>
        <w:autoSpaceDE/>
        <w:autoSpaceDN/>
        <w:bidi w:val="0"/>
        <w:adjustRightInd w:val="0"/>
        <w:snapToGrid w:val="0"/>
        <w:spacing w:line="240" w:lineRule="atLeast"/>
        <w:ind w:right="210" w:rightChars="100"/>
        <w:jc w:val="left"/>
        <w:textAlignment w:val="auto"/>
        <w:rPr>
          <w:rFonts w:ascii="Times New Roman" w:hAnsi="Times New Roman" w:eastAsia="宋体" w:cs="Times New Roman"/>
          <w:color w:val="auto"/>
          <w:highlight w:val="none"/>
        </w:rPr>
      </w:pPr>
      <w:r>
        <w:rPr>
          <w:rFonts w:hint="eastAsia" w:ascii="宋体" w:hAnsi="宋体" w:eastAsia="宋体" w:cs="宋体"/>
          <w:bCs/>
          <w:color w:val="auto"/>
          <w:sz w:val="28"/>
          <w:szCs w:val="28"/>
          <w:highlight w:val="none"/>
        </w:rPr>
        <w:t>申报单位：</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           日期：</w:t>
      </w:r>
    </w:p>
    <w:p w14:paraId="6A18A3FC">
      <w:pPr>
        <w:widowControl/>
        <w:jc w:val="left"/>
        <w:rPr>
          <w:color w:val="auto"/>
          <w:highlight w:val="none"/>
        </w:rPr>
      </w:pPr>
    </w:p>
    <w:tbl>
      <w:tblPr>
        <w:tblStyle w:val="7"/>
        <w:tblW w:w="14315"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3982"/>
        <w:gridCol w:w="6946"/>
        <w:gridCol w:w="735"/>
        <w:gridCol w:w="1206"/>
      </w:tblGrid>
      <w:tr w14:paraId="7BCF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46" w:type="dxa"/>
            <w:noWrap w:val="0"/>
            <w:vAlign w:val="center"/>
          </w:tcPr>
          <w:p w14:paraId="236ED50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考核项目</w:t>
            </w:r>
          </w:p>
        </w:tc>
        <w:tc>
          <w:tcPr>
            <w:tcW w:w="3982" w:type="dxa"/>
            <w:noWrap w:val="0"/>
            <w:vAlign w:val="center"/>
          </w:tcPr>
          <w:p w14:paraId="71044628">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6946" w:type="dxa"/>
            <w:noWrap w:val="0"/>
            <w:vAlign w:val="center"/>
          </w:tcPr>
          <w:p w14:paraId="529645D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评分说明</w:t>
            </w:r>
          </w:p>
        </w:tc>
        <w:tc>
          <w:tcPr>
            <w:tcW w:w="735" w:type="dxa"/>
            <w:noWrap w:val="0"/>
            <w:vAlign w:val="center"/>
          </w:tcPr>
          <w:p w14:paraId="4D818AF8">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w:t>
            </w:r>
          </w:p>
          <w:p w14:paraId="07083569">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权重</w:t>
            </w:r>
          </w:p>
        </w:tc>
        <w:tc>
          <w:tcPr>
            <w:tcW w:w="1206" w:type="dxa"/>
            <w:noWrap w:val="0"/>
            <w:vAlign w:val="center"/>
          </w:tcPr>
          <w:p w14:paraId="437ACD2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考核/自评得分</w:t>
            </w:r>
          </w:p>
        </w:tc>
      </w:tr>
      <w:tr w14:paraId="4C38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1446" w:type="dxa"/>
            <w:vMerge w:val="restart"/>
            <w:noWrap w:val="0"/>
            <w:vAlign w:val="center"/>
          </w:tcPr>
          <w:p w14:paraId="28526E4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一、针对排水企业巡查工作</w:t>
            </w:r>
          </w:p>
        </w:tc>
        <w:tc>
          <w:tcPr>
            <w:tcW w:w="3982" w:type="dxa"/>
            <w:vMerge w:val="restart"/>
            <w:noWrap w:val="0"/>
            <w:vAlign w:val="center"/>
          </w:tcPr>
          <w:p w14:paraId="1D430F53">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排水企业的巡查工作，登记相关台账。发现企业违规排放的，应及时处理和上报。</w:t>
            </w:r>
          </w:p>
        </w:tc>
        <w:tc>
          <w:tcPr>
            <w:tcW w:w="6946" w:type="dxa"/>
            <w:noWrap w:val="0"/>
            <w:vAlign w:val="center"/>
          </w:tcPr>
          <w:p w14:paraId="0402E46F">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完成评价期内计划的日常巡查、不定期检查和夜查数量要求并规范登记台账，少一次扣1分。检查未及时发现问题或未及时处理和上报的发现一次扣1分。</w:t>
            </w:r>
          </w:p>
        </w:tc>
        <w:tc>
          <w:tcPr>
            <w:tcW w:w="735" w:type="dxa"/>
            <w:vMerge w:val="restart"/>
            <w:noWrap w:val="0"/>
            <w:vAlign w:val="center"/>
          </w:tcPr>
          <w:p w14:paraId="0C7BC583">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206" w:type="dxa"/>
            <w:vMerge w:val="restart"/>
            <w:noWrap w:val="0"/>
            <w:vAlign w:val="center"/>
          </w:tcPr>
          <w:p w14:paraId="66805AE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15CC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502E3210">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二、企业排水许可协助管理</w:t>
            </w:r>
          </w:p>
        </w:tc>
        <w:tc>
          <w:tcPr>
            <w:tcW w:w="3982" w:type="dxa"/>
            <w:noWrap w:val="0"/>
            <w:vAlign w:val="center"/>
          </w:tcPr>
          <w:p w14:paraId="038D182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排水许可证协助办理、资料归档；排水户管网工程施工图审查及施工技术交底</w:t>
            </w:r>
          </w:p>
        </w:tc>
        <w:tc>
          <w:tcPr>
            <w:tcW w:w="6946" w:type="dxa"/>
            <w:noWrap w:val="0"/>
            <w:vAlign w:val="center"/>
          </w:tcPr>
          <w:p w14:paraId="254E9FA9">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负责各类企业雨污分流，排水许可的登记，汇总；</w:t>
            </w:r>
            <w:r>
              <w:rPr>
                <w:rFonts w:hint="eastAsia" w:ascii="宋体" w:hAnsi="宋体" w:eastAsia="宋体" w:cs="宋体"/>
                <w:color w:val="auto"/>
                <w:kern w:val="2"/>
                <w:sz w:val="21"/>
                <w:szCs w:val="21"/>
                <w:highlight w:val="none"/>
                <w:lang w:val="en-US" w:eastAsia="zh-CN" w:bidi="ar-SA"/>
              </w:rPr>
              <w:t>未进行登记与汇总，每有一次，扣1分。</w:t>
            </w:r>
          </w:p>
        </w:tc>
        <w:tc>
          <w:tcPr>
            <w:tcW w:w="735" w:type="dxa"/>
            <w:noWrap w:val="0"/>
            <w:vAlign w:val="center"/>
          </w:tcPr>
          <w:p w14:paraId="128C98A7">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0694EB8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26BC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446" w:type="dxa"/>
            <w:noWrap w:val="0"/>
            <w:vAlign w:val="center"/>
          </w:tcPr>
          <w:p w14:paraId="5D462464">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lang w:val="en-US" w:eastAsia="zh-CN"/>
              </w:rPr>
            </w:pPr>
          </w:p>
          <w:p w14:paraId="38132188">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三、排水设施运行管理</w:t>
            </w:r>
          </w:p>
          <w:p w14:paraId="7D68F5E8">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p>
        </w:tc>
        <w:tc>
          <w:tcPr>
            <w:tcW w:w="3982" w:type="dxa"/>
            <w:noWrap w:val="0"/>
            <w:vAlign w:val="center"/>
          </w:tcPr>
          <w:p w14:paraId="7CA58E3B">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lang w:val="en-US" w:eastAsia="zh-CN"/>
              </w:rPr>
            </w:pPr>
          </w:p>
          <w:p w14:paraId="15E227D5">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负责对泵站运行排查、管网拥堵运行状况排查、突发情况处理</w:t>
            </w:r>
          </w:p>
        </w:tc>
        <w:tc>
          <w:tcPr>
            <w:tcW w:w="6946" w:type="dxa"/>
            <w:noWrap w:val="0"/>
            <w:vAlign w:val="center"/>
          </w:tcPr>
          <w:p w14:paraId="048B9B9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未开展相关排查及处置工作</w:t>
            </w:r>
            <w:r>
              <w:rPr>
                <w:rFonts w:hint="eastAsia" w:ascii="宋体" w:hAnsi="宋体" w:eastAsia="宋体" w:cs="宋体"/>
                <w:color w:val="auto"/>
                <w:kern w:val="2"/>
                <w:sz w:val="21"/>
                <w:szCs w:val="21"/>
                <w:highlight w:val="none"/>
                <w:lang w:val="en-US" w:eastAsia="zh-CN" w:bidi="ar-SA"/>
              </w:rPr>
              <w:t>，每有一次，扣1分。</w:t>
            </w:r>
          </w:p>
        </w:tc>
        <w:tc>
          <w:tcPr>
            <w:tcW w:w="735" w:type="dxa"/>
            <w:noWrap w:val="0"/>
            <w:vAlign w:val="center"/>
          </w:tcPr>
          <w:p w14:paraId="45C8EBE0">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rPr>
            </w:pPr>
          </w:p>
          <w:p w14:paraId="30296C2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206" w:type="dxa"/>
            <w:noWrap w:val="0"/>
            <w:vAlign w:val="center"/>
          </w:tcPr>
          <w:p w14:paraId="56C6C0B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32E9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31B31FF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四、管网、点源等污水设施的新建工程巡查</w:t>
            </w:r>
          </w:p>
        </w:tc>
        <w:tc>
          <w:tcPr>
            <w:tcW w:w="3982" w:type="dxa"/>
            <w:noWrap w:val="0"/>
            <w:vAlign w:val="center"/>
          </w:tcPr>
          <w:p w14:paraId="7D5E8D5D">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管网、泵站、农村点源等污水设施的新建工程巡查，通过日常巡查、定期抽查的方式进行工程监管</w:t>
            </w:r>
          </w:p>
        </w:tc>
        <w:tc>
          <w:tcPr>
            <w:tcW w:w="6946" w:type="dxa"/>
            <w:noWrap w:val="0"/>
            <w:vAlign w:val="center"/>
          </w:tcPr>
          <w:p w14:paraId="7C1CD688">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对污水设施工程类项目进行日常的工程巡查与监管，重点关注项目的进度、质量、安全文明等方面。未及时发现问题、上报问题、督促实施方解决问题的，一次扣1分。</w:t>
            </w:r>
          </w:p>
        </w:tc>
        <w:tc>
          <w:tcPr>
            <w:tcW w:w="735" w:type="dxa"/>
            <w:noWrap w:val="0"/>
            <w:vAlign w:val="center"/>
          </w:tcPr>
          <w:p w14:paraId="6885366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0630A2D1">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1AB5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1446" w:type="dxa"/>
            <w:noWrap w:val="0"/>
            <w:vAlign w:val="center"/>
          </w:tcPr>
          <w:p w14:paraId="5AE5E0E0">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五、污水提质增效及挤外水工作</w:t>
            </w:r>
          </w:p>
          <w:p w14:paraId="219BA121">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c>
          <w:tcPr>
            <w:tcW w:w="3982" w:type="dxa"/>
            <w:noWrap w:val="0"/>
            <w:vAlign w:val="center"/>
          </w:tcPr>
          <w:p w14:paraId="3E5C0DC8">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负责配合推进污水提质增效相关工作，开展污水管网“挤外水”专项排查（包括排查地下水入渗、河水倒灌、雨水混接等），发现外水入侵问题及时上报并协助处置。</w:t>
            </w:r>
          </w:p>
          <w:p w14:paraId="48F8C675">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p>
        </w:tc>
        <w:tc>
          <w:tcPr>
            <w:tcW w:w="6946" w:type="dxa"/>
            <w:noWrap w:val="0"/>
            <w:vAlign w:val="center"/>
          </w:tcPr>
          <w:p w14:paraId="3879533D">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未按计划开展管网外水排查及提质增效相关工作的，每有一次，扣 1 分；未及时发现或上报污水管网渗漏、倒灌、雨污混接等“外水入侵”问题，或发现问题后未督促、协助落实整改措施的，每一次，扣 1 分；因排查、处置不力导致污水进水浓度等指标未达甲方要求的，每一次，扣 1 分。</w:t>
            </w:r>
          </w:p>
        </w:tc>
        <w:tc>
          <w:tcPr>
            <w:tcW w:w="735" w:type="dxa"/>
            <w:noWrap w:val="0"/>
            <w:vAlign w:val="center"/>
          </w:tcPr>
          <w:p w14:paraId="3013D3FE">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395020EE">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1A08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02EF8B83">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六、沿河排水口调查工作</w:t>
            </w:r>
          </w:p>
        </w:tc>
        <w:tc>
          <w:tcPr>
            <w:tcW w:w="3982" w:type="dxa"/>
            <w:noWrap w:val="0"/>
            <w:vAlign w:val="center"/>
          </w:tcPr>
          <w:p w14:paraId="45906F93">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60" w:afterAutospacing="0" w:line="34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定期开展主要河道及支流支浜的排口调查，形成调查报告上报。</w:t>
            </w:r>
          </w:p>
        </w:tc>
        <w:tc>
          <w:tcPr>
            <w:tcW w:w="6946" w:type="dxa"/>
            <w:noWrap w:val="0"/>
            <w:vAlign w:val="center"/>
          </w:tcPr>
          <w:p w14:paraId="4082E363">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未开展相关调查工作</w:t>
            </w:r>
            <w:r>
              <w:rPr>
                <w:rFonts w:hint="eastAsia" w:ascii="宋体" w:hAnsi="宋体" w:eastAsia="宋体" w:cs="宋体"/>
                <w:color w:val="auto"/>
                <w:kern w:val="2"/>
                <w:sz w:val="21"/>
                <w:szCs w:val="21"/>
                <w:highlight w:val="none"/>
                <w:lang w:val="en-US" w:eastAsia="zh-CN" w:bidi="ar-SA"/>
              </w:rPr>
              <w:t>，每有一次，扣1分；未形成调查报告上报，每有一次，扣1分。</w:t>
            </w:r>
          </w:p>
        </w:tc>
        <w:tc>
          <w:tcPr>
            <w:tcW w:w="735" w:type="dxa"/>
            <w:noWrap w:val="0"/>
            <w:vAlign w:val="center"/>
          </w:tcPr>
          <w:p w14:paraId="17E08D8C">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477B8692">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5AED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2CEB3279">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七、排水行业安全生产管理</w:t>
            </w:r>
          </w:p>
        </w:tc>
        <w:tc>
          <w:tcPr>
            <w:tcW w:w="3982" w:type="dxa"/>
            <w:noWrap w:val="0"/>
            <w:vAlign w:val="center"/>
          </w:tcPr>
          <w:p w14:paraId="3C2A4FE2">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60" w:afterAutospacing="0" w:line="34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协助招标人对全区污水厂、网、站、排水在建工程和排水设施养护维修工作开展安全检查，督促整改工作，形成监管台账。</w:t>
            </w:r>
          </w:p>
        </w:tc>
        <w:tc>
          <w:tcPr>
            <w:tcW w:w="6946" w:type="dxa"/>
            <w:noWrap w:val="0"/>
            <w:vAlign w:val="center"/>
          </w:tcPr>
          <w:p w14:paraId="0319F721">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未开展安全检查工作</w:t>
            </w:r>
            <w:r>
              <w:rPr>
                <w:rFonts w:hint="eastAsia" w:ascii="宋体" w:hAnsi="宋体" w:eastAsia="宋体" w:cs="宋体"/>
                <w:color w:val="auto"/>
                <w:kern w:val="2"/>
                <w:sz w:val="21"/>
                <w:szCs w:val="21"/>
                <w:highlight w:val="none"/>
                <w:lang w:val="en-US" w:eastAsia="zh-CN" w:bidi="ar-SA"/>
              </w:rPr>
              <w:t>，每有一次，扣1分；未形成监管台账，每有一次，扣1分。</w:t>
            </w:r>
          </w:p>
        </w:tc>
        <w:tc>
          <w:tcPr>
            <w:tcW w:w="735" w:type="dxa"/>
            <w:noWrap w:val="0"/>
            <w:vAlign w:val="center"/>
          </w:tcPr>
          <w:p w14:paraId="229A45E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105ECF8F">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5A61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vMerge w:val="restart"/>
            <w:noWrap w:val="0"/>
            <w:vAlign w:val="center"/>
          </w:tcPr>
          <w:p w14:paraId="5D60875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bCs/>
                <w:color w:val="auto"/>
                <w:szCs w:val="21"/>
                <w:highlight w:val="none"/>
              </w:rPr>
              <w:t>重点片区排水系统优化提升</w:t>
            </w:r>
          </w:p>
        </w:tc>
        <w:tc>
          <w:tcPr>
            <w:tcW w:w="3982" w:type="dxa"/>
            <w:vMerge w:val="restart"/>
            <w:noWrap w:val="0"/>
            <w:vAlign w:val="center"/>
          </w:tcPr>
          <w:p w14:paraId="263A9559">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针对重点片区存在的污水截流系统混乱、污水泵站缺乏调度管控方案、雨天溢流等问题，开展专项排查检查，编制科学、专业的系统优化提升方案，向招标人提供管理、协调、工程改造等方面的解决方案。</w:t>
            </w:r>
          </w:p>
        </w:tc>
        <w:tc>
          <w:tcPr>
            <w:tcW w:w="6946" w:type="dxa"/>
            <w:noWrap w:val="0"/>
            <w:vAlign w:val="center"/>
          </w:tcPr>
          <w:p w14:paraId="572B0B6D">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组织开展重点片区排查，</w:t>
            </w:r>
            <w:r>
              <w:rPr>
                <w:rFonts w:hint="eastAsia" w:ascii="宋体" w:hAnsi="宋体" w:eastAsia="宋体" w:cs="宋体"/>
                <w:color w:val="auto"/>
                <w:sz w:val="21"/>
                <w:szCs w:val="21"/>
                <w:highlight w:val="none"/>
              </w:rPr>
              <w:t>编制科学、专业的排水系统优化提升方案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lang w:val="en-US" w:eastAsia="zh-CN" w:bidi="ar-SA"/>
              </w:rPr>
              <w:t>未进行编制或制订，扣3分。</w:t>
            </w:r>
          </w:p>
        </w:tc>
        <w:tc>
          <w:tcPr>
            <w:tcW w:w="735" w:type="dxa"/>
            <w:vMerge w:val="restart"/>
            <w:noWrap w:val="0"/>
            <w:vAlign w:val="center"/>
          </w:tcPr>
          <w:p w14:paraId="061FCBE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717E6353">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0FBC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vMerge w:val="continue"/>
            <w:noWrap w:val="0"/>
            <w:vAlign w:val="center"/>
          </w:tcPr>
          <w:p w14:paraId="0261BD7C">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p>
        </w:tc>
        <w:tc>
          <w:tcPr>
            <w:tcW w:w="3982" w:type="dxa"/>
            <w:vMerge w:val="continue"/>
            <w:noWrap w:val="0"/>
            <w:vAlign w:val="center"/>
          </w:tcPr>
          <w:p w14:paraId="58C74C27">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c>
          <w:tcPr>
            <w:tcW w:w="6946" w:type="dxa"/>
            <w:noWrap w:val="0"/>
            <w:vAlign w:val="center"/>
          </w:tcPr>
          <w:p w14:paraId="33CC136C">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负责组织对领导的各类工作汇总及工作汇报。</w:t>
            </w:r>
          </w:p>
          <w:p w14:paraId="567FAF49">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未进行汇总或汇报，每有一次，扣1分。</w:t>
            </w:r>
          </w:p>
        </w:tc>
        <w:tc>
          <w:tcPr>
            <w:tcW w:w="735" w:type="dxa"/>
            <w:vMerge w:val="continue"/>
            <w:noWrap w:val="0"/>
            <w:vAlign w:val="center"/>
          </w:tcPr>
          <w:p w14:paraId="335D6A85">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c>
          <w:tcPr>
            <w:tcW w:w="1206" w:type="dxa"/>
            <w:noWrap w:val="0"/>
            <w:vAlign w:val="center"/>
          </w:tcPr>
          <w:p w14:paraId="2FCF40A8">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1EE3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4AC29CA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九、水质检测工作</w:t>
            </w:r>
          </w:p>
        </w:tc>
        <w:tc>
          <w:tcPr>
            <w:tcW w:w="3982" w:type="dxa"/>
            <w:noWrap w:val="0"/>
            <w:vAlign w:val="center"/>
          </w:tcPr>
          <w:p w14:paraId="67B73C7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对污水厂、农村生活污水处理设施、河道、市政排水口、排水户排水口水质进行取样检测，出具检测报告。</w:t>
            </w:r>
          </w:p>
        </w:tc>
        <w:tc>
          <w:tcPr>
            <w:tcW w:w="6946" w:type="dxa"/>
            <w:noWrap w:val="0"/>
            <w:vAlign w:val="center"/>
          </w:tcPr>
          <w:p w14:paraId="1FE5F1FC">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未配合开展水质取样、检测工作</w:t>
            </w:r>
            <w:r>
              <w:rPr>
                <w:rFonts w:hint="eastAsia" w:ascii="宋体" w:hAnsi="宋体" w:eastAsia="宋体" w:cs="宋体"/>
                <w:color w:val="auto"/>
                <w:kern w:val="2"/>
                <w:sz w:val="21"/>
                <w:szCs w:val="21"/>
                <w:highlight w:val="none"/>
                <w:lang w:val="en-US" w:eastAsia="zh-CN" w:bidi="ar-SA"/>
              </w:rPr>
              <w:t>，每有一次，扣1分；未形成检测报告，每有一次，扣1分。</w:t>
            </w:r>
          </w:p>
        </w:tc>
        <w:tc>
          <w:tcPr>
            <w:tcW w:w="735" w:type="dxa"/>
            <w:noWrap w:val="0"/>
            <w:vAlign w:val="center"/>
          </w:tcPr>
          <w:p w14:paraId="74DD43D3">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6A6111A8">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bl>
    <w:p w14:paraId="207AA5CD">
      <w:pPr>
        <w:widowControl/>
        <w:jc w:val="left"/>
        <w:rPr>
          <w:color w:val="auto"/>
          <w:highlight w:val="none"/>
        </w:rPr>
        <w:sectPr>
          <w:footerReference r:id="rId9" w:type="default"/>
          <w:pgSz w:w="16838" w:h="11905" w:orient="landscape"/>
          <w:pgMar w:top="1803" w:right="1440" w:bottom="1706" w:left="1440" w:header="850" w:footer="992" w:gutter="0"/>
          <w:pgNumType w:fmt="decimal"/>
          <w:cols w:space="0" w:num="1"/>
          <w:rtlGutter w:val="0"/>
          <w:docGrid w:type="lines" w:linePitch="322" w:charSpace="0"/>
        </w:sectPr>
      </w:pPr>
    </w:p>
    <w:p w14:paraId="59C77824">
      <w:pPr>
        <w:pageBreakBefore/>
        <w:widowControl w:val="0"/>
        <w:numPr>
          <w:ilvl w:val="0"/>
          <w:numId w:val="6"/>
        </w:numPr>
        <w:spacing w:line="360" w:lineRule="auto"/>
        <w:ind w:left="343" w:hanging="343"/>
        <w:jc w:val="center"/>
        <w:outlineLvl w:val="0"/>
        <w:rPr>
          <w:rFonts w:hint="eastAsia" w:ascii="宋体" w:hAnsi="宋体" w:eastAsia="宋体" w:cs="Times New Roman"/>
          <w:b/>
          <w:color w:val="auto"/>
          <w:sz w:val="36"/>
          <w:szCs w:val="36"/>
          <w:highlight w:val="none"/>
        </w:rPr>
      </w:pPr>
      <w:bookmarkStart w:id="508" w:name="_Toc8351"/>
      <w:r>
        <w:rPr>
          <w:rFonts w:hint="eastAsia" w:ascii="宋体" w:hAnsi="宋体" w:eastAsia="宋体" w:cs="Times New Roman"/>
          <w:b/>
          <w:color w:val="auto"/>
          <w:sz w:val="36"/>
          <w:szCs w:val="36"/>
          <w:highlight w:val="none"/>
        </w:rPr>
        <w:t>拟签订的合同文本</w:t>
      </w:r>
      <w:bookmarkEnd w:id="505"/>
      <w:bookmarkEnd w:id="508"/>
    </w:p>
    <w:p w14:paraId="65F766A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采购人（以下称甲方）:                         合同编号：</w:t>
      </w:r>
    </w:p>
    <w:p w14:paraId="72C553A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供应商（以下称乙方）:                         签订地点：</w:t>
      </w:r>
    </w:p>
    <w:p w14:paraId="58B8FED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合同时间:     年   月   日</w:t>
      </w:r>
    </w:p>
    <w:p w14:paraId="15B24E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4"/>
          <w:highlight w:val="none"/>
          <w:lang w:val="en-US" w:eastAsia="zh-CN"/>
        </w:rPr>
      </w:pPr>
    </w:p>
    <w:p w14:paraId="1B0BFFF7">
      <w:pPr>
        <w:autoSpaceDE w:val="0"/>
        <w:autoSpaceDN w:val="0"/>
        <w:adjustRightInd w:val="0"/>
        <w:spacing w:line="40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根据《中华人民共和国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lang w:val="zh-CN"/>
        </w:rPr>
        <w:t>》等法律法规的规定，甲乙双方按照</w:t>
      </w:r>
      <w:r>
        <w:rPr>
          <w:rFonts w:hint="eastAsia" w:ascii="宋体" w:hAnsi="宋体" w:eastAsia="宋体" w:cs="宋体"/>
          <w:color w:val="auto"/>
          <w:sz w:val="24"/>
          <w:szCs w:val="24"/>
          <w:highlight w:val="none"/>
        </w:rPr>
        <w:t>武进区</w:t>
      </w:r>
      <w:r>
        <w:rPr>
          <w:rFonts w:hint="eastAsia" w:ascii="宋体" w:hAnsi="宋体" w:eastAsia="宋体" w:cs="宋体"/>
          <w:color w:val="auto"/>
          <w:sz w:val="24"/>
          <w:szCs w:val="24"/>
          <w:highlight w:val="none"/>
          <w:lang w:val="zh-CN"/>
        </w:rPr>
        <w:t>政府采购中心的采购结果签订本合同。</w:t>
      </w:r>
    </w:p>
    <w:p w14:paraId="30BB451F">
      <w:pPr>
        <w:spacing w:line="400" w:lineRule="exact"/>
        <w:rPr>
          <w:rFonts w:hint="eastAsia" w:ascii="宋体" w:hAnsi="宋体" w:eastAsia="宋体" w:cs="宋体"/>
          <w:b/>
          <w:bCs/>
          <w:color w:val="auto"/>
          <w:sz w:val="24"/>
          <w:szCs w:val="24"/>
          <w:highlight w:val="none"/>
        </w:rPr>
      </w:pPr>
    </w:p>
    <w:p w14:paraId="028A6A87">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采购内容</w:t>
      </w:r>
    </w:p>
    <w:p w14:paraId="65B9A409">
      <w:pPr>
        <w:spacing w:line="4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1、项目名称（项目编号）：</w:t>
      </w:r>
      <w:r>
        <w:rPr>
          <w:rFonts w:hint="eastAsia" w:ascii="宋体" w:hAnsi="宋体" w:eastAsia="宋体" w:cs="宋体"/>
          <w:bCs/>
          <w:color w:val="auto"/>
          <w:sz w:val="24"/>
          <w:szCs w:val="24"/>
          <w:highlight w:val="none"/>
          <w:u w:val="single"/>
        </w:rPr>
        <w:t>202</w:t>
      </w:r>
      <w:r>
        <w:rPr>
          <w:rFonts w:hint="eastAsia" w:ascii="宋体" w:hAnsi="宋体" w:eastAsia="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—202</w:t>
      </w:r>
      <w:r>
        <w:rPr>
          <w:rFonts w:hint="eastAsia" w:ascii="宋体" w:hAnsi="宋体" w:eastAsia="宋体" w:cs="宋体"/>
          <w:bCs/>
          <w:color w:val="auto"/>
          <w:sz w:val="24"/>
          <w:szCs w:val="24"/>
          <w:highlight w:val="none"/>
          <w:u w:val="single"/>
          <w:lang w:val="en-US" w:eastAsia="zh-CN"/>
        </w:rPr>
        <w:t>7</w:t>
      </w:r>
      <w:r>
        <w:rPr>
          <w:rFonts w:hint="eastAsia" w:ascii="宋体" w:hAnsi="宋体" w:eastAsia="宋体" w:cs="宋体"/>
          <w:bCs/>
          <w:color w:val="auto"/>
          <w:sz w:val="24"/>
          <w:szCs w:val="24"/>
          <w:highlight w:val="none"/>
          <w:u w:val="single"/>
        </w:rPr>
        <w:t>年常州经济开发区排水管理服务项目</w:t>
      </w:r>
    </w:p>
    <w:p w14:paraId="04AB7F82">
      <w:pPr>
        <w:spacing w:line="400" w:lineRule="exact"/>
        <w:ind w:firstLine="480" w:firstLineChars="200"/>
        <w:jc w:val="left"/>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color w:val="auto"/>
          <w:sz w:val="24"/>
          <w:szCs w:val="24"/>
          <w:highlight w:val="none"/>
        </w:rPr>
        <w:t>2、服务范围：</w:t>
      </w:r>
      <w:r>
        <w:rPr>
          <w:rFonts w:hint="eastAsia" w:ascii="宋体" w:hAnsi="宋体" w:eastAsia="宋体" w:cs="宋体"/>
          <w:bCs/>
          <w:color w:val="auto"/>
          <w:sz w:val="24"/>
          <w:szCs w:val="24"/>
          <w:highlight w:val="none"/>
          <w:u w:val="single"/>
          <w:lang w:val="en-US" w:eastAsia="zh-CN"/>
        </w:rPr>
        <w:t xml:space="preserve">                                                         </w:t>
      </w:r>
    </w:p>
    <w:p w14:paraId="148CADCD">
      <w:pPr>
        <w:spacing w:line="4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45117746">
      <w:pPr>
        <w:autoSpaceDE w:val="0"/>
        <w:autoSpaceDN w:val="0"/>
        <w:adjustRightInd w:val="0"/>
        <w:spacing w:line="400" w:lineRule="exact"/>
        <w:jc w:val="left"/>
        <w:rPr>
          <w:rFonts w:hint="eastAsia" w:ascii="宋体" w:hAnsi="宋体" w:eastAsia="宋体" w:cs="宋体"/>
          <w:bCs/>
          <w:color w:val="auto"/>
          <w:sz w:val="24"/>
          <w:szCs w:val="24"/>
          <w:highlight w:val="none"/>
          <w:lang w:val="zh-CN"/>
        </w:rPr>
      </w:pPr>
    </w:p>
    <w:p w14:paraId="4D9D03AC">
      <w:pPr>
        <w:autoSpaceDE w:val="0"/>
        <w:autoSpaceDN w:val="0"/>
        <w:adjustRightInd w:val="0"/>
        <w:spacing w:line="400" w:lineRule="exact"/>
        <w:jc w:val="lef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第二条　合同总价款</w:t>
      </w:r>
    </w:p>
    <w:p w14:paraId="5FD1B31E">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本合同人民币总价款为</w:t>
      </w:r>
      <w:r>
        <w:rPr>
          <w:rFonts w:hint="eastAsia" w:ascii="宋体" w:hAnsi="宋体" w:eastAsia="宋体" w:cs="宋体"/>
          <w:color w:val="auto"/>
          <w:sz w:val="24"/>
          <w:szCs w:val="24"/>
          <w:highlight w:val="none"/>
          <w:u w:val="single"/>
          <w:lang w:val="zh-CN"/>
        </w:rPr>
        <w:t>　　　　　　　</w:t>
      </w:r>
      <w:r>
        <w:rPr>
          <w:rFonts w:hint="eastAsia" w:ascii="宋体" w:hAnsi="宋体" w:eastAsia="宋体" w:cs="宋体"/>
          <w:color w:val="auto"/>
          <w:sz w:val="24"/>
          <w:szCs w:val="24"/>
          <w:highlight w:val="none"/>
          <w:lang w:val="zh-CN"/>
        </w:rPr>
        <w:t>（小写），</w:t>
      </w:r>
      <w:r>
        <w:rPr>
          <w:rFonts w:hint="eastAsia" w:ascii="宋体" w:hAnsi="宋体" w:eastAsia="宋体" w:cs="宋体"/>
          <w:color w:val="auto"/>
          <w:sz w:val="24"/>
          <w:szCs w:val="24"/>
          <w:highlight w:val="none"/>
          <w:u w:val="single"/>
          <w:lang w:val="zh-CN"/>
        </w:rPr>
        <w:t>　　　　　　　　</w:t>
      </w:r>
      <w:r>
        <w:rPr>
          <w:rFonts w:hint="eastAsia" w:ascii="宋体" w:hAnsi="宋体" w:eastAsia="宋体" w:cs="宋体"/>
          <w:color w:val="auto"/>
          <w:sz w:val="24"/>
          <w:szCs w:val="24"/>
          <w:highlight w:val="none"/>
          <w:lang w:val="zh-CN"/>
        </w:rPr>
        <w:t>（大写）（</w:t>
      </w:r>
      <w:r>
        <w:rPr>
          <w:rFonts w:hint="eastAsia" w:ascii="宋体" w:hAnsi="宋体" w:eastAsia="宋体" w:cs="宋体"/>
          <w:color w:val="auto"/>
          <w:sz w:val="24"/>
          <w:szCs w:val="24"/>
          <w:highlight w:val="none"/>
          <w:lang w:val="en-US" w:eastAsia="zh-CN"/>
        </w:rPr>
        <w:t>其中：</w:t>
      </w:r>
      <w:r>
        <w:rPr>
          <w:rFonts w:hint="default" w:ascii="宋体" w:hAnsi="宋体" w:eastAsia="宋体" w:cs="宋体"/>
          <w:color w:val="auto"/>
          <w:sz w:val="24"/>
          <w:szCs w:val="24"/>
          <w:highlight w:val="none"/>
          <w:lang w:val="zh-CN"/>
        </w:rPr>
        <w:t>日常排水综合管理基础服务</w:t>
      </w:r>
      <w:r>
        <w:rPr>
          <w:rFonts w:hint="eastAsia" w:ascii="宋体" w:hAnsi="宋体" w:eastAsia="宋体" w:cs="宋体"/>
          <w:color w:val="auto"/>
          <w:sz w:val="24"/>
          <w:szCs w:val="24"/>
          <w:highlight w:val="none"/>
          <w:lang w:val="en-US" w:eastAsia="zh-CN"/>
        </w:rPr>
        <w:t>费：        元；方案编制费：     元；检测费：     元</w:t>
      </w:r>
      <w:r>
        <w:rPr>
          <w:rFonts w:hint="eastAsia" w:ascii="宋体" w:hAnsi="宋体" w:eastAsia="宋体" w:cs="宋体"/>
          <w:color w:val="auto"/>
          <w:sz w:val="24"/>
          <w:szCs w:val="24"/>
          <w:highlight w:val="none"/>
          <w:lang w:val="zh-CN"/>
        </w:rPr>
        <w:t>）。</w:t>
      </w:r>
    </w:p>
    <w:p w14:paraId="2C242AE3">
      <w:pPr>
        <w:autoSpaceDE w:val="0"/>
        <w:autoSpaceDN w:val="0"/>
        <w:adjustRightInd w:val="0"/>
        <w:spacing w:line="40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lang w:val="zh-CN"/>
        </w:rPr>
        <w:t>按实结算项目的结算金额以项目完成后审计部门的审计结果作为结算依据。）</w:t>
      </w:r>
    </w:p>
    <w:p w14:paraId="5B198FFD">
      <w:pPr>
        <w:autoSpaceDE w:val="0"/>
        <w:autoSpaceDN w:val="0"/>
        <w:adjustRightInd w:val="0"/>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本合同履行期限：</w:t>
      </w:r>
      <w:r>
        <w:rPr>
          <w:rFonts w:hint="eastAsia" w:ascii="宋体" w:hAnsi="宋体" w:eastAsia="宋体" w:cs="宋体"/>
          <w:color w:val="auto"/>
          <w:sz w:val="24"/>
          <w:szCs w:val="24"/>
          <w:highlight w:val="none"/>
          <w:lang w:val="zh-CN"/>
        </w:rPr>
        <w:t xml:space="preserve">    年   月   日至   年   月   日</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lang w:val="zh-CN"/>
        </w:rPr>
        <w:t>。</w:t>
      </w:r>
    </w:p>
    <w:p w14:paraId="594626B0">
      <w:pPr>
        <w:autoSpaceDE w:val="0"/>
        <w:autoSpaceDN w:val="0"/>
        <w:adjustRightInd w:val="0"/>
        <w:spacing w:line="400" w:lineRule="exac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第三条　组成本合同的有关文件</w:t>
      </w:r>
    </w:p>
    <w:p w14:paraId="575D4C5D">
      <w:pPr>
        <w:autoSpaceDE w:val="0"/>
        <w:autoSpaceDN w:val="0"/>
        <w:adjustRightInd w:val="0"/>
        <w:spacing w:line="40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下列关于本次采购活动方式相适应的文件及有关附件是本合同不可分割的组成部分，与本合同具有同等法律效力，这些文件包括但不限于：</w:t>
      </w:r>
    </w:p>
    <w:p w14:paraId="6DE057B2">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（1）招标文件；</w:t>
      </w:r>
    </w:p>
    <w:p w14:paraId="1CD7C590">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（2）投标文件；</w:t>
      </w:r>
    </w:p>
    <w:p w14:paraId="765B39E7">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（3）中标通知书；</w:t>
      </w:r>
    </w:p>
    <w:p w14:paraId="55A7D097">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（4）中标人在投标、评标过程中所作其它有关承诺、声明、书面澄清；</w:t>
      </w:r>
    </w:p>
    <w:p w14:paraId="28E91907">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（5）甲乙双方商定的其他文件等。</w:t>
      </w:r>
    </w:p>
    <w:p w14:paraId="2BF60C89">
      <w:pPr>
        <w:autoSpaceDE w:val="0"/>
        <w:autoSpaceDN w:val="0"/>
        <w:adjustRightInd w:val="0"/>
        <w:spacing w:line="400" w:lineRule="exact"/>
        <w:jc w:val="lef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第四条　权利保证</w:t>
      </w:r>
    </w:p>
    <w:p w14:paraId="14C30057">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乙方应保证甲方在合同履行期限内不受第三方提出侵犯其专利权、版权、商标权或其他权利的起诉。一旦出现侵权，乙方应承担全部责任。</w:t>
      </w:r>
    </w:p>
    <w:p w14:paraId="45B41551">
      <w:pPr>
        <w:autoSpaceDE w:val="0"/>
        <w:autoSpaceDN w:val="0"/>
        <w:adjustRightInd w:val="0"/>
        <w:spacing w:line="4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第五条</w:t>
      </w:r>
      <w:r>
        <w:rPr>
          <w:rFonts w:hint="eastAsia" w:ascii="宋体" w:hAnsi="宋体" w:eastAsia="宋体" w:cs="宋体"/>
          <w:bCs/>
          <w:color w:val="auto"/>
          <w:sz w:val="24"/>
          <w:szCs w:val="24"/>
          <w:highlight w:val="none"/>
        </w:rPr>
        <w:t xml:space="preserve"> 服务内容</w:t>
      </w:r>
    </w:p>
    <w:p w14:paraId="2EDC9959">
      <w:pPr>
        <w:spacing w:line="40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1、服务内容</w:t>
      </w:r>
      <w:r>
        <w:rPr>
          <w:rFonts w:hint="eastAsia" w:ascii="宋体" w:hAnsi="宋体" w:eastAsia="宋体" w:cs="宋体"/>
          <w:bCs/>
          <w:color w:val="auto"/>
          <w:sz w:val="24"/>
          <w:szCs w:val="24"/>
          <w:highlight w:val="none"/>
          <w:lang w:eastAsia="zh-CN"/>
        </w:rPr>
        <w:t>：</w:t>
      </w:r>
      <w:r>
        <w:rPr>
          <w:rFonts w:hint="default" w:ascii="宋体" w:hAnsi="宋体" w:eastAsia="宋体" w:cs="宋体"/>
          <w:color w:val="auto"/>
          <w:sz w:val="24"/>
          <w:szCs w:val="24"/>
          <w:highlight w:val="none"/>
          <w:lang w:val="zh-CN"/>
        </w:rPr>
        <w:t>主要</w:t>
      </w:r>
      <w:r>
        <w:rPr>
          <w:rFonts w:hint="eastAsia" w:ascii="宋体" w:hAnsi="宋体" w:eastAsia="宋体" w:cs="宋体"/>
          <w:color w:val="auto"/>
          <w:sz w:val="24"/>
          <w:szCs w:val="24"/>
          <w:highlight w:val="none"/>
          <w:lang w:val="en-US" w:eastAsia="zh-CN"/>
        </w:rPr>
        <w:t>服务</w:t>
      </w:r>
      <w:r>
        <w:rPr>
          <w:rFonts w:hint="default" w:ascii="宋体" w:hAnsi="宋体" w:eastAsia="宋体" w:cs="宋体"/>
          <w:color w:val="auto"/>
          <w:sz w:val="24"/>
          <w:szCs w:val="24"/>
          <w:highlight w:val="none"/>
          <w:lang w:val="zh-CN"/>
        </w:rPr>
        <w:t>内容为协助开展排水许可服务，协助开展排水户常态化巡查，协助协调处置水污染突发情况，协助推进雨水系统及防汛排涝管理，协助做好污水提质增效、宣传及综合配套等相关工作。</w:t>
      </w:r>
    </w:p>
    <w:p w14:paraId="65245705">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lang w:eastAsia="zh-CN"/>
        </w:rPr>
      </w:pPr>
    </w:p>
    <w:p w14:paraId="7CC2668C">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2、服务时间</w:t>
      </w:r>
    </w:p>
    <w:p w14:paraId="1D5B93E3">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实行每周工作5天，每天8小时工作制。每周休息2天，乙方保证双休日有满足服务需求的值班人员并对双休日值班安排调休，保证每周至少休息一日。乙方应当依法保证员工享受带薪年休假，具体休假时间协商确定。</w:t>
      </w:r>
    </w:p>
    <w:p w14:paraId="338092D6">
      <w:pPr>
        <w:numPr>
          <w:ilvl w:val="0"/>
          <w:numId w:val="8"/>
        </w:num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岗位配置表</w:t>
      </w:r>
      <w:r>
        <w:rPr>
          <w:rFonts w:hint="eastAsia" w:ascii="宋体" w:hAnsi="宋体" w:eastAsia="宋体" w:cs="宋体"/>
          <w:bCs/>
          <w:color w:val="auto"/>
          <w:sz w:val="24"/>
          <w:szCs w:val="24"/>
          <w:highlight w:val="none"/>
        </w:rPr>
        <w:t xml:space="preserve"> </w:t>
      </w:r>
    </w:p>
    <w:tbl>
      <w:tblPr>
        <w:tblStyle w:val="7"/>
        <w:tblW w:w="8601"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gridCol w:w="2745"/>
        <w:gridCol w:w="2256"/>
      </w:tblGrid>
      <w:tr w14:paraId="7656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600" w:type="dxa"/>
            <w:noWrap w:val="0"/>
            <w:vAlign w:val="center"/>
          </w:tcPr>
          <w:p w14:paraId="68E8EC33">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岗位</w:t>
            </w:r>
          </w:p>
        </w:tc>
        <w:tc>
          <w:tcPr>
            <w:tcW w:w="2745" w:type="dxa"/>
            <w:noWrap w:val="0"/>
            <w:vAlign w:val="center"/>
          </w:tcPr>
          <w:p w14:paraId="5BFF1772">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人数</w:t>
            </w:r>
          </w:p>
        </w:tc>
        <w:tc>
          <w:tcPr>
            <w:tcW w:w="2256" w:type="dxa"/>
            <w:noWrap w:val="0"/>
            <w:vAlign w:val="center"/>
          </w:tcPr>
          <w:p w14:paraId="3984FD7F">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23E2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24AA7C4D">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项目负责人</w:t>
            </w:r>
          </w:p>
        </w:tc>
        <w:tc>
          <w:tcPr>
            <w:tcW w:w="2745" w:type="dxa"/>
            <w:noWrap w:val="0"/>
            <w:vAlign w:val="center"/>
          </w:tcPr>
          <w:p w14:paraId="00485042">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2B090C7F">
            <w:pPr>
              <w:spacing w:line="400" w:lineRule="exact"/>
              <w:ind w:firstLine="480" w:firstLineChars="200"/>
              <w:jc w:val="center"/>
              <w:rPr>
                <w:rFonts w:hint="eastAsia" w:ascii="宋体" w:hAnsi="宋体" w:eastAsia="宋体" w:cs="宋体"/>
                <w:bCs/>
                <w:color w:val="auto"/>
                <w:sz w:val="24"/>
                <w:szCs w:val="24"/>
                <w:highlight w:val="none"/>
              </w:rPr>
            </w:pPr>
          </w:p>
        </w:tc>
      </w:tr>
      <w:tr w14:paraId="0E1E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600" w:type="dxa"/>
            <w:noWrap w:val="0"/>
            <w:vAlign w:val="center"/>
          </w:tcPr>
          <w:p w14:paraId="76957491">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技术负责人</w:t>
            </w:r>
          </w:p>
        </w:tc>
        <w:tc>
          <w:tcPr>
            <w:tcW w:w="2745" w:type="dxa"/>
            <w:noWrap w:val="0"/>
            <w:vAlign w:val="center"/>
          </w:tcPr>
          <w:p w14:paraId="19E1DFF2">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7DCB1F94">
            <w:pPr>
              <w:spacing w:line="400" w:lineRule="exact"/>
              <w:ind w:firstLine="480" w:firstLineChars="200"/>
              <w:jc w:val="center"/>
              <w:rPr>
                <w:rFonts w:hint="eastAsia" w:ascii="宋体" w:hAnsi="宋体" w:eastAsia="宋体" w:cs="宋体"/>
                <w:bCs/>
                <w:color w:val="auto"/>
                <w:sz w:val="24"/>
                <w:szCs w:val="24"/>
                <w:highlight w:val="none"/>
              </w:rPr>
            </w:pPr>
          </w:p>
        </w:tc>
      </w:tr>
      <w:tr w14:paraId="2EFB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16F854EE">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现场</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人员</w:t>
            </w:r>
          </w:p>
        </w:tc>
        <w:tc>
          <w:tcPr>
            <w:tcW w:w="2745" w:type="dxa"/>
            <w:noWrap w:val="0"/>
            <w:vAlign w:val="center"/>
          </w:tcPr>
          <w:p w14:paraId="3E587ADF">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0716E2E6">
            <w:pPr>
              <w:spacing w:line="400" w:lineRule="exact"/>
              <w:ind w:firstLine="480" w:firstLineChars="200"/>
              <w:jc w:val="center"/>
              <w:rPr>
                <w:rFonts w:hint="eastAsia" w:ascii="宋体" w:hAnsi="宋体" w:eastAsia="宋体" w:cs="宋体"/>
                <w:bCs/>
                <w:color w:val="auto"/>
                <w:sz w:val="24"/>
                <w:szCs w:val="24"/>
                <w:highlight w:val="none"/>
              </w:rPr>
            </w:pPr>
          </w:p>
        </w:tc>
      </w:tr>
      <w:tr w14:paraId="3319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5AEC1C0D">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档案</w:t>
            </w:r>
            <w:r>
              <w:rPr>
                <w:rFonts w:hint="eastAsia" w:ascii="宋体" w:hAnsi="宋体" w:eastAsia="宋体" w:cs="宋体"/>
                <w:bCs/>
                <w:color w:val="auto"/>
                <w:sz w:val="24"/>
                <w:szCs w:val="24"/>
                <w:highlight w:val="none"/>
              </w:rPr>
              <w:t>人员</w:t>
            </w:r>
            <w:r>
              <w:rPr>
                <w:rFonts w:hint="eastAsia" w:ascii="宋体" w:hAnsi="宋体" w:eastAsia="宋体" w:cs="宋体"/>
                <w:bCs/>
                <w:color w:val="auto"/>
                <w:sz w:val="24"/>
                <w:szCs w:val="24"/>
                <w:highlight w:val="none"/>
                <w:lang w:val="en-US" w:eastAsia="zh-CN"/>
              </w:rPr>
              <w:t>及文员</w:t>
            </w:r>
          </w:p>
        </w:tc>
        <w:tc>
          <w:tcPr>
            <w:tcW w:w="2745" w:type="dxa"/>
            <w:noWrap w:val="0"/>
            <w:vAlign w:val="center"/>
          </w:tcPr>
          <w:p w14:paraId="00641E3B">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7D04D14A">
            <w:pPr>
              <w:spacing w:line="400" w:lineRule="exact"/>
              <w:ind w:firstLine="480" w:firstLineChars="200"/>
              <w:jc w:val="center"/>
              <w:rPr>
                <w:rFonts w:hint="eastAsia" w:ascii="宋体" w:hAnsi="宋体" w:eastAsia="宋体" w:cs="宋体"/>
                <w:bCs/>
                <w:color w:val="auto"/>
                <w:sz w:val="24"/>
                <w:szCs w:val="24"/>
                <w:highlight w:val="none"/>
              </w:rPr>
            </w:pPr>
          </w:p>
        </w:tc>
      </w:tr>
      <w:tr w14:paraId="5D6C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2FAD52EE">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745" w:type="dxa"/>
            <w:noWrap w:val="0"/>
            <w:vAlign w:val="center"/>
          </w:tcPr>
          <w:p w14:paraId="0944FE2C">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46882DE9">
            <w:pPr>
              <w:spacing w:line="400" w:lineRule="exact"/>
              <w:ind w:firstLine="480" w:firstLineChars="200"/>
              <w:jc w:val="center"/>
              <w:rPr>
                <w:rFonts w:hint="eastAsia" w:ascii="宋体" w:hAnsi="宋体" w:eastAsia="宋体" w:cs="宋体"/>
                <w:bCs/>
                <w:color w:val="auto"/>
                <w:sz w:val="24"/>
                <w:szCs w:val="24"/>
                <w:highlight w:val="none"/>
              </w:rPr>
            </w:pPr>
          </w:p>
        </w:tc>
      </w:tr>
      <w:tr w14:paraId="3688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7323C0CD">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专业及内容自行扩充</w:t>
            </w:r>
          </w:p>
        </w:tc>
        <w:tc>
          <w:tcPr>
            <w:tcW w:w="2745" w:type="dxa"/>
            <w:noWrap w:val="0"/>
            <w:vAlign w:val="center"/>
          </w:tcPr>
          <w:p w14:paraId="71EED03B">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3A7F97AD">
            <w:pPr>
              <w:spacing w:line="400" w:lineRule="exact"/>
              <w:ind w:firstLine="480" w:firstLineChars="200"/>
              <w:jc w:val="center"/>
              <w:rPr>
                <w:rFonts w:hint="eastAsia" w:ascii="宋体" w:hAnsi="宋体" w:eastAsia="宋体" w:cs="宋体"/>
                <w:bCs/>
                <w:color w:val="auto"/>
                <w:sz w:val="24"/>
                <w:szCs w:val="24"/>
                <w:highlight w:val="none"/>
              </w:rPr>
            </w:pPr>
          </w:p>
        </w:tc>
      </w:tr>
      <w:tr w14:paraId="14E6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600" w:type="dxa"/>
            <w:noWrap w:val="0"/>
            <w:vAlign w:val="center"/>
          </w:tcPr>
          <w:p w14:paraId="1D278BF5">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合计</w:t>
            </w:r>
          </w:p>
        </w:tc>
        <w:tc>
          <w:tcPr>
            <w:tcW w:w="2745" w:type="dxa"/>
            <w:noWrap w:val="0"/>
            <w:vAlign w:val="center"/>
          </w:tcPr>
          <w:p w14:paraId="1A15FB9B">
            <w:pPr>
              <w:spacing w:line="400" w:lineRule="exact"/>
              <w:ind w:firstLine="480" w:firstLineChars="200"/>
              <w:jc w:val="center"/>
              <w:rPr>
                <w:rFonts w:hint="eastAsia" w:ascii="宋体" w:hAnsi="宋体" w:eastAsia="宋体" w:cs="宋体"/>
                <w:bCs/>
                <w:color w:val="auto"/>
                <w:sz w:val="24"/>
                <w:szCs w:val="24"/>
                <w:highlight w:val="none"/>
              </w:rPr>
            </w:pPr>
          </w:p>
        </w:tc>
        <w:tc>
          <w:tcPr>
            <w:tcW w:w="2256" w:type="dxa"/>
            <w:noWrap w:val="0"/>
            <w:vAlign w:val="center"/>
          </w:tcPr>
          <w:p w14:paraId="67E0BD32">
            <w:pPr>
              <w:spacing w:line="400" w:lineRule="exact"/>
              <w:ind w:firstLine="480" w:firstLineChars="200"/>
              <w:jc w:val="center"/>
              <w:rPr>
                <w:rFonts w:hint="eastAsia" w:ascii="宋体" w:hAnsi="宋体" w:eastAsia="宋体" w:cs="宋体"/>
                <w:bCs/>
                <w:color w:val="auto"/>
                <w:sz w:val="24"/>
                <w:szCs w:val="24"/>
                <w:highlight w:val="none"/>
              </w:rPr>
            </w:pPr>
          </w:p>
        </w:tc>
      </w:tr>
    </w:tbl>
    <w:p w14:paraId="56985BE5">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注：中标单位要根据甲方需要及时投入人员，甲方有权要求更换人员，如乙方有特殊情况需更换人员，须经过甲方同意。所有人员均须身体健康，年龄</w:t>
      </w:r>
      <w:r>
        <w:rPr>
          <w:rFonts w:hint="eastAsia" w:ascii="宋体" w:hAnsi="宋体" w:eastAsia="宋体" w:cs="宋体"/>
          <w:bCs/>
          <w:color w:val="auto"/>
          <w:sz w:val="24"/>
          <w:szCs w:val="24"/>
          <w:highlight w:val="none"/>
          <w:lang w:val="en-US" w:eastAsia="zh-CN"/>
        </w:rPr>
        <w:t>要求男≤60周岁，女≤55周岁</w:t>
      </w:r>
      <w:r>
        <w:rPr>
          <w:rFonts w:hint="eastAsia" w:ascii="宋体" w:hAnsi="宋体" w:eastAsia="宋体" w:cs="宋体"/>
          <w:bCs/>
          <w:color w:val="auto"/>
          <w:sz w:val="24"/>
          <w:szCs w:val="24"/>
          <w:highlight w:val="none"/>
        </w:rPr>
        <w:t>。</w:t>
      </w:r>
    </w:p>
    <w:p w14:paraId="13961E25">
      <w:pPr>
        <w:numPr>
          <w:ilvl w:val="0"/>
          <w:numId w:val="8"/>
        </w:num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管理要求</w:t>
      </w:r>
    </w:p>
    <w:p w14:paraId="59F26366">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乙方负责协助管理企</w:t>
      </w:r>
      <w:r>
        <w:rPr>
          <w:rFonts w:hint="eastAsia" w:ascii="宋体" w:hAnsi="宋体" w:eastAsia="宋体" w:cs="宋体"/>
          <w:bCs/>
          <w:color w:val="auto"/>
          <w:sz w:val="24"/>
          <w:szCs w:val="24"/>
          <w:highlight w:val="none"/>
        </w:rPr>
        <w:t>业办理</w:t>
      </w:r>
      <w:r>
        <w:rPr>
          <w:rFonts w:hint="default" w:ascii="宋体" w:hAnsi="宋体" w:eastAsia="宋体" w:cs="宋体"/>
          <w:bCs/>
          <w:color w:val="auto"/>
          <w:sz w:val="24"/>
          <w:szCs w:val="24"/>
          <w:highlight w:val="none"/>
        </w:rPr>
        <w:t>排水许可服务，协助开展排水户常态化巡查，协助协调处置水污染突发情况，协助推进雨水系统及防汛排涝管理，协助做好污水提质增效、宣传及综合配套等相关工作。</w:t>
      </w:r>
    </w:p>
    <w:p w14:paraId="6C0E4E85">
      <w:pPr>
        <w:numPr>
          <w:ilvl w:val="0"/>
          <w:numId w:val="9"/>
        </w:num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有对</w:t>
      </w:r>
      <w:r>
        <w:rPr>
          <w:rFonts w:hint="eastAsia" w:ascii="宋体" w:hAnsi="宋体" w:eastAsia="宋体" w:cs="宋体"/>
          <w:bCs/>
          <w:color w:val="auto"/>
          <w:sz w:val="24"/>
          <w:szCs w:val="24"/>
          <w:highlight w:val="none"/>
        </w:rPr>
        <w:t>现场人员</w:t>
      </w:r>
      <w:r>
        <w:rPr>
          <w:rFonts w:hint="eastAsia" w:ascii="宋体" w:hAnsi="宋体" w:eastAsia="宋体" w:cs="宋体"/>
          <w:color w:val="auto"/>
          <w:sz w:val="24"/>
          <w:szCs w:val="24"/>
          <w:highlight w:val="none"/>
          <w:lang w:val="zh-CN"/>
        </w:rPr>
        <w:t>的人事管理制度。</w:t>
      </w:r>
    </w:p>
    <w:p w14:paraId="74EACDEB">
      <w:pPr>
        <w:numPr>
          <w:ilvl w:val="0"/>
          <w:numId w:val="9"/>
        </w:num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乙方应选派技术水平高、有实际经验、熟悉经开区排水系统的专业技术人员完成合同各项工作，</w:t>
      </w:r>
    </w:p>
    <w:p w14:paraId="775CD008">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（3）制定符合常州经济开发区排水管理服务工作特点的详细方案</w:t>
      </w:r>
      <w:r>
        <w:rPr>
          <w:rFonts w:hint="eastAsia" w:ascii="宋体" w:hAnsi="宋体" w:eastAsia="宋体" w:cs="宋体"/>
          <w:color w:val="auto"/>
          <w:sz w:val="24"/>
          <w:szCs w:val="24"/>
          <w:highlight w:val="none"/>
        </w:rPr>
        <w:t>，报备给甲方</w:t>
      </w:r>
      <w:r>
        <w:rPr>
          <w:rFonts w:hint="eastAsia" w:ascii="宋体" w:hAnsi="宋体" w:eastAsia="宋体" w:cs="宋体"/>
          <w:color w:val="auto"/>
          <w:sz w:val="24"/>
          <w:szCs w:val="24"/>
          <w:highlight w:val="none"/>
          <w:lang w:val="zh-CN"/>
        </w:rPr>
        <w:t>。</w:t>
      </w:r>
    </w:p>
    <w:p w14:paraId="6CA63F28">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（4）加强对</w:t>
      </w:r>
      <w:r>
        <w:rPr>
          <w:rFonts w:hint="eastAsia" w:ascii="宋体" w:hAnsi="宋体" w:eastAsia="宋体" w:cs="宋体"/>
          <w:bCs/>
          <w:color w:val="auto"/>
          <w:sz w:val="24"/>
          <w:szCs w:val="24"/>
          <w:highlight w:val="none"/>
        </w:rPr>
        <w:t>现场人员</w:t>
      </w:r>
      <w:r>
        <w:rPr>
          <w:rFonts w:hint="eastAsia" w:ascii="宋体" w:hAnsi="宋体" w:eastAsia="宋体" w:cs="宋体"/>
          <w:color w:val="auto"/>
          <w:sz w:val="24"/>
          <w:szCs w:val="24"/>
          <w:highlight w:val="none"/>
          <w:lang w:val="zh-CN"/>
        </w:rPr>
        <w:t>的管理与培训，并保证</w:t>
      </w:r>
      <w:r>
        <w:rPr>
          <w:rFonts w:hint="eastAsia" w:ascii="宋体" w:hAnsi="宋体" w:eastAsia="宋体" w:cs="宋体"/>
          <w:bCs/>
          <w:color w:val="auto"/>
          <w:sz w:val="24"/>
          <w:szCs w:val="24"/>
          <w:highlight w:val="none"/>
        </w:rPr>
        <w:t>现场人员</w:t>
      </w:r>
      <w:r>
        <w:rPr>
          <w:rFonts w:hint="eastAsia" w:ascii="宋体" w:hAnsi="宋体" w:eastAsia="宋体" w:cs="宋体"/>
          <w:color w:val="auto"/>
          <w:sz w:val="24"/>
          <w:szCs w:val="24"/>
          <w:highlight w:val="none"/>
          <w:lang w:val="zh-CN"/>
        </w:rPr>
        <w:t>的稳定性，未经甲方书面同意不得擅自更换项目负责人等核心岗位人员。</w:t>
      </w:r>
    </w:p>
    <w:p w14:paraId="3CE7FDE6">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）参与本项目的所有人员应具有良好的沟通、表达及组织协调能力，逻辑思维能力强，具有良好的团队合作精神，无治安行政或刑事处罚记录，遵守各项管理制度和要求。</w:t>
      </w:r>
      <w:r>
        <w:rPr>
          <w:rFonts w:hint="eastAsia" w:ascii="宋体" w:hAnsi="宋体" w:eastAsia="宋体" w:cs="宋体"/>
          <w:color w:val="auto"/>
          <w:sz w:val="24"/>
          <w:szCs w:val="24"/>
          <w:highlight w:val="none"/>
        </w:rPr>
        <w:t> </w:t>
      </w:r>
    </w:p>
    <w:p w14:paraId="2B8F3728">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（6）建立事故应急预案，及时解决突发性问题，防止事态扩大。 </w:t>
      </w:r>
    </w:p>
    <w:p w14:paraId="038C038B">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5、其他要求</w:t>
      </w:r>
    </w:p>
    <w:p w14:paraId="30ECB932">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（1）乙方应在承包期内对所用员工及运营安全负责。若出现人生伤亡等安全事件发生，则由乙方承担一切法律责任。  </w:t>
      </w:r>
    </w:p>
    <w:p w14:paraId="7E21D3B0">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）乙方在承包期内，必须严格遵守法律法规和甲方各项有关规定，维护甲方的利益和形象</w:t>
      </w:r>
      <w:r>
        <w:rPr>
          <w:rFonts w:hint="eastAsia" w:ascii="宋体" w:hAnsi="宋体" w:eastAsia="宋体" w:cs="宋体"/>
          <w:color w:val="auto"/>
          <w:sz w:val="24"/>
          <w:szCs w:val="24"/>
          <w:highlight w:val="none"/>
          <w:lang w:eastAsia="zh-CN"/>
        </w:rPr>
        <w:t>。</w:t>
      </w:r>
    </w:p>
    <w:p w14:paraId="4B60F878">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）乙方在承包期内，须在常州经济开发区提供</w:t>
      </w:r>
      <w:r>
        <w:rPr>
          <w:rFonts w:hint="eastAsia" w:ascii="宋体" w:hAnsi="宋体" w:eastAsia="宋体" w:cs="宋体"/>
          <w:color w:val="auto"/>
          <w:sz w:val="24"/>
          <w:szCs w:val="24"/>
          <w:highlight w:val="none"/>
          <w:lang w:val="en-US" w:eastAsia="zh-CN"/>
        </w:rPr>
        <w:t>150平方米以上的</w:t>
      </w:r>
      <w:r>
        <w:rPr>
          <w:rFonts w:hint="eastAsia" w:ascii="宋体" w:hAnsi="宋体" w:eastAsia="宋体" w:cs="宋体"/>
          <w:color w:val="auto"/>
          <w:sz w:val="24"/>
          <w:szCs w:val="24"/>
          <w:highlight w:val="none"/>
          <w:lang w:eastAsia="zh-CN"/>
        </w:rPr>
        <w:t>固定办公场所，用于办公及仪器的日常维护及养护。</w:t>
      </w:r>
    </w:p>
    <w:p w14:paraId="50EB7C17">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注：未制定管理制度，无证上岗，无法提供、伪造管理日常记录或记录不全的，甲方有权单方面终止合同，并没收投标人的履约保证金。</w:t>
      </w:r>
    </w:p>
    <w:p w14:paraId="14B8F190">
      <w:pPr>
        <w:autoSpaceDE w:val="0"/>
        <w:autoSpaceDN w:val="0"/>
        <w:adjustRightInd w:val="0"/>
        <w:spacing w:line="400" w:lineRule="exact"/>
        <w:jc w:val="lef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第六条　质量保证和售后服务</w:t>
      </w:r>
    </w:p>
    <w:p w14:paraId="6792648C">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1、乙方应按招标文件规定的服务要求、技术要求、质量标准向甲方提供服务。</w:t>
      </w:r>
    </w:p>
    <w:p w14:paraId="0FB42FE3">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2、质量保证：</w:t>
      </w:r>
      <w:r>
        <w:rPr>
          <w:rFonts w:hint="eastAsia" w:ascii="宋体" w:hAnsi="宋体" w:eastAsia="宋体" w:cs="宋体"/>
          <w:bCs/>
          <w:color w:val="auto"/>
          <w:sz w:val="24"/>
          <w:szCs w:val="24"/>
          <w:highlight w:val="none"/>
          <w:u w:val="single"/>
          <w:lang w:val="zh-CN"/>
        </w:rPr>
        <w:t>　　　　　　　　　　　　　　　　　　　　　　　　　　</w:t>
      </w:r>
    </w:p>
    <w:p w14:paraId="608A9705">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3、售后服务：</w:t>
      </w:r>
      <w:r>
        <w:rPr>
          <w:rFonts w:hint="eastAsia" w:ascii="宋体" w:hAnsi="宋体" w:eastAsia="宋体" w:cs="宋体"/>
          <w:bCs/>
          <w:color w:val="auto"/>
          <w:sz w:val="24"/>
          <w:szCs w:val="24"/>
          <w:highlight w:val="none"/>
          <w:u w:val="single"/>
          <w:lang w:val="zh-CN"/>
        </w:rPr>
        <w:t>　　　　　　　　　　　　　　　　　　　　　　　　　　</w:t>
      </w:r>
    </w:p>
    <w:p w14:paraId="1B7CC414">
      <w:pPr>
        <w:tabs>
          <w:tab w:val="left" w:pos="210"/>
          <w:tab w:val="left" w:pos="420"/>
          <w:tab w:val="left" w:pos="1155"/>
        </w:tabs>
        <w:spacing w:line="400" w:lineRule="exact"/>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招标文件、投标文件、合同条款及中标通知书，中标人在投标、评标过程中所作其它有关承诺、声明、书面澄清等均为合同不可分割的部分，与主合同具有同等法律效力。</w:t>
      </w:r>
    </w:p>
    <w:p w14:paraId="204694D1">
      <w:pPr>
        <w:autoSpaceDE w:val="0"/>
        <w:autoSpaceDN w:val="0"/>
        <w:adjustRightInd w:val="0"/>
        <w:spacing w:line="400" w:lineRule="exact"/>
        <w:jc w:val="lef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第七条　验收</w:t>
      </w:r>
    </w:p>
    <w:p w14:paraId="62B7E730">
      <w:pPr>
        <w:autoSpaceDE w:val="0"/>
        <w:autoSpaceDN w:val="0"/>
        <w:adjustRightInd w:val="0"/>
        <w:spacing w:line="400" w:lineRule="exact"/>
        <w:ind w:firstLine="480" w:firstLineChars="20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验收标准：</w:t>
      </w:r>
      <w:r>
        <w:rPr>
          <w:rFonts w:hint="eastAsia" w:ascii="宋体" w:hAnsi="宋体" w:eastAsia="宋体" w:cs="宋体"/>
          <w:color w:val="auto"/>
          <w:sz w:val="24"/>
          <w:szCs w:val="24"/>
          <w:highlight w:val="none"/>
          <w:lang w:val="zh-CN"/>
        </w:rPr>
        <w:t>按招标文件所规定的服务标准和乙方投标文件的承诺</w:t>
      </w:r>
      <w:r>
        <w:rPr>
          <w:rFonts w:hint="eastAsia" w:ascii="宋体" w:hAnsi="宋体" w:eastAsia="宋体" w:cs="宋体"/>
          <w:color w:val="auto"/>
          <w:sz w:val="24"/>
          <w:szCs w:val="24"/>
          <w:highlight w:val="none"/>
        </w:rPr>
        <w:t>。</w:t>
      </w:r>
    </w:p>
    <w:p w14:paraId="1C326009">
      <w:pPr>
        <w:autoSpaceDE w:val="0"/>
        <w:autoSpaceDN w:val="0"/>
        <w:adjustRightInd w:val="0"/>
        <w:spacing w:line="400" w:lineRule="exact"/>
        <w:jc w:val="left"/>
        <w:rPr>
          <w:rFonts w:hint="default" w:ascii="宋体" w:hAnsi="宋体" w:eastAsia="宋体" w:cs="宋体"/>
          <w:b/>
          <w:bCs w:val="0"/>
          <w:i/>
          <w:iCs/>
          <w:color w:val="auto"/>
          <w:sz w:val="24"/>
          <w:szCs w:val="24"/>
          <w:highlight w:val="none"/>
          <w:lang w:val="en-US" w:eastAsia="zh-CN"/>
        </w:rPr>
      </w:pPr>
      <w:r>
        <w:rPr>
          <w:rFonts w:hint="eastAsia" w:ascii="宋体" w:hAnsi="宋体" w:eastAsia="宋体" w:cs="宋体"/>
          <w:b/>
          <w:bCs w:val="0"/>
          <w:color w:val="auto"/>
          <w:sz w:val="24"/>
          <w:szCs w:val="24"/>
          <w:highlight w:val="none"/>
          <w:lang w:val="zh-CN"/>
        </w:rPr>
        <w:t>第八条　付款</w:t>
      </w:r>
      <w:r>
        <w:rPr>
          <w:rFonts w:hint="eastAsia" w:ascii="宋体" w:hAnsi="宋体" w:eastAsia="宋体" w:cs="宋体"/>
          <w:b/>
          <w:bCs w:val="0"/>
          <w:color w:val="auto"/>
          <w:sz w:val="24"/>
          <w:szCs w:val="24"/>
          <w:highlight w:val="none"/>
          <w:lang w:val="en-US" w:eastAsia="zh-CN"/>
        </w:rPr>
        <w:t>方式</w:t>
      </w:r>
    </w:p>
    <w:p w14:paraId="657636C1">
      <w:pPr>
        <w:autoSpaceDE w:val="0"/>
        <w:autoSpaceDN w:val="0"/>
        <w:adjustRightInd w:val="0"/>
        <w:spacing w:line="400" w:lineRule="exact"/>
        <w:ind w:firstLine="420"/>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1、本合同项下所有款项均以人民币支付，乙方向甲方开具发票。</w:t>
      </w:r>
    </w:p>
    <w:p w14:paraId="21FABE1C">
      <w:pPr>
        <w:autoSpaceDE w:val="0"/>
        <w:autoSpaceDN w:val="0"/>
        <w:adjustRightInd w:val="0"/>
        <w:spacing w:line="400" w:lineRule="exact"/>
        <w:ind w:firstLine="480" w:firstLineChars="20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2、付款方式：项目分两类节点支付；</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日常排水综合管理基础服务费：以日常排水综合管理基础服务部分中标合同总价为基数，平均分</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lang w:val="zh-CN" w:eastAsia="zh-CN"/>
        </w:rPr>
        <w:t>4个季度支付。每季度支付款项由两部分组成：本部分合同总价的15%为季度固定款，本部分合同总价的10%为季度考核浮动款。</w:t>
      </w:r>
      <w:r>
        <w:rPr>
          <w:rFonts w:hint="eastAsia" w:ascii="宋体" w:hAnsi="宋体" w:eastAsia="宋体" w:cs="宋体"/>
          <w:color w:val="auto"/>
          <w:sz w:val="24"/>
          <w:szCs w:val="24"/>
          <w:highlight w:val="none"/>
          <w:lang w:val="en-US" w:eastAsia="zh-CN"/>
        </w:rPr>
        <w:t>浮动款按照考核汇总结果进行支付</w:t>
      </w:r>
      <w:r>
        <w:rPr>
          <w:rFonts w:hint="eastAsia" w:ascii="宋体" w:hAnsi="宋体" w:eastAsia="宋体" w:cs="宋体"/>
          <w:color w:val="auto"/>
          <w:sz w:val="24"/>
          <w:szCs w:val="24"/>
          <w:highlight w:val="none"/>
          <w:lang w:val="zh-CN" w:eastAsia="zh-CN"/>
        </w:rPr>
        <w:t>2.方案编制费、检测服务费待项目完成后，服务期满一次性付清。</w:t>
      </w:r>
    </w:p>
    <w:p w14:paraId="06728268">
      <w:pPr>
        <w:autoSpaceDE w:val="0"/>
        <w:autoSpaceDN w:val="0"/>
        <w:adjustRightInd w:val="0"/>
        <w:spacing w:line="400" w:lineRule="exact"/>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第九条 结算方式</w:t>
      </w:r>
    </w:p>
    <w:p w14:paraId="28898311">
      <w:pPr>
        <w:numPr>
          <w:ilvl w:val="0"/>
          <w:numId w:val="0"/>
        </w:numPr>
        <w:autoSpaceDE w:val="0"/>
        <w:autoSpaceDN w:val="0"/>
        <w:adjustRightInd w:val="0"/>
        <w:spacing w:line="400" w:lineRule="exact"/>
        <w:ind w:left="420" w:leftChars="0"/>
        <w:jc w:val="left"/>
        <w:rPr>
          <w:rFonts w:hint="eastAsia" w:ascii="宋体" w:hAnsi="宋体" w:eastAsia="宋体" w:cs="宋体"/>
          <w:color w:val="auto"/>
          <w:spacing w:val="6"/>
          <w:sz w:val="24"/>
          <w:szCs w:val="24"/>
          <w:highlight w:val="none"/>
          <w:lang w:val="zh-CN" w:eastAsia="zh-CN"/>
        </w:rPr>
      </w:pPr>
      <w:r>
        <w:rPr>
          <w:rFonts w:hint="eastAsia" w:ascii="宋体" w:hAnsi="宋体" w:eastAsia="宋体" w:cs="宋体"/>
          <w:b/>
          <w:bCs/>
          <w:color w:val="auto"/>
          <w:spacing w:val="6"/>
          <w:sz w:val="24"/>
          <w:szCs w:val="24"/>
          <w:highlight w:val="none"/>
          <w:lang w:val="zh-CN" w:eastAsia="zh-CN"/>
        </w:rPr>
        <w:t>日常排水综合管理基础服务费</w:t>
      </w:r>
      <w:r>
        <w:rPr>
          <w:rFonts w:hint="eastAsia" w:ascii="宋体" w:hAnsi="宋体" w:eastAsia="宋体" w:cs="宋体"/>
          <w:b/>
          <w:bCs/>
          <w:color w:val="auto"/>
          <w:spacing w:val="6"/>
          <w:sz w:val="24"/>
          <w:szCs w:val="24"/>
          <w:highlight w:val="none"/>
          <w:lang w:val="en-US" w:eastAsia="zh-CN"/>
        </w:rPr>
        <w:t>考核结算：</w:t>
      </w:r>
      <w:r>
        <w:rPr>
          <w:rFonts w:hint="eastAsia" w:ascii="宋体" w:hAnsi="宋体" w:eastAsia="宋体" w:cs="宋体"/>
          <w:color w:val="auto"/>
          <w:sz w:val="24"/>
          <w:szCs w:val="24"/>
          <w:highlight w:val="none"/>
          <w:lang w:val="zh-CN" w:eastAsia="zh-CN"/>
        </w:rPr>
        <w:t>（1）季度固定款15%，按季度正常予以拨付；（2）季度考核浮动款10%，依据当季度考核得分进行核算：①季度考核得分≥90分：全额发放本季度考核浮动款；②80分≤季度考核得分＜90分：浮动款 =本季度考核浮动款金额×（季度考核得分÷100）；③季度考核得分＜80分：本季度考核浮动款不予支付，不予后期补付。</w:t>
      </w:r>
    </w:p>
    <w:p w14:paraId="4D747487">
      <w:pPr>
        <w:numPr>
          <w:ilvl w:val="0"/>
          <w:numId w:val="0"/>
        </w:numPr>
        <w:autoSpaceDE w:val="0"/>
        <w:autoSpaceDN w:val="0"/>
        <w:adjustRightInd w:val="0"/>
        <w:spacing w:line="400" w:lineRule="exact"/>
        <w:ind w:left="420" w:leftChars="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方案编制服务费结算规则：</w:t>
      </w:r>
      <w:r>
        <w:rPr>
          <w:rFonts w:ascii="宋体" w:hAnsi="宋体" w:eastAsia="宋体" w:cs="宋体"/>
          <w:b w:val="0"/>
          <w:bCs w:val="0"/>
          <w:color w:val="auto"/>
          <w:sz w:val="24"/>
          <w:szCs w:val="24"/>
          <w:highlight w:val="none"/>
        </w:rPr>
        <w:t>采用</w:t>
      </w:r>
      <w:r>
        <w:rPr>
          <w:rStyle w:val="10"/>
          <w:rFonts w:ascii="宋体" w:hAnsi="宋体" w:eastAsia="宋体" w:cs="宋体"/>
          <w:b w:val="0"/>
          <w:bCs w:val="0"/>
          <w:color w:val="auto"/>
          <w:sz w:val="24"/>
          <w:szCs w:val="24"/>
          <w:highlight w:val="none"/>
        </w:rPr>
        <w:t>总价控制、按实结算</w:t>
      </w:r>
      <w:r>
        <w:rPr>
          <w:rFonts w:hint="eastAsia" w:ascii="宋体" w:hAnsi="宋体" w:eastAsia="宋体" w:cs="宋体"/>
          <w:b w:val="0"/>
          <w:bCs w:val="0"/>
          <w:color w:val="auto"/>
          <w:sz w:val="24"/>
          <w:szCs w:val="24"/>
          <w:highlight w:val="none"/>
          <w:lang w:val="en-US" w:eastAsia="zh-CN"/>
        </w:rPr>
        <w:t>方式</w:t>
      </w:r>
      <w:r>
        <w:rPr>
          <w:rFonts w:ascii="宋体" w:hAnsi="宋体" w:eastAsia="宋体" w:cs="宋体"/>
          <w:b w:val="0"/>
          <w:bCs w:val="0"/>
          <w:color w:val="auto"/>
          <w:sz w:val="24"/>
          <w:szCs w:val="24"/>
          <w:highlight w:val="none"/>
        </w:rPr>
        <w:t>。投标人报本板块总报价。项目实施过程中，每次开展具体任务委托前，甲乙双方结合任务范围、技术难度、工作量，以中标总报价为基准测算该批次任务费用，签署《任务确认单》作为开展工作及结算依据。采购人实际委托方案数量</w:t>
      </w:r>
      <w:r>
        <w:rPr>
          <w:rStyle w:val="10"/>
          <w:rFonts w:ascii="宋体" w:hAnsi="宋体" w:eastAsia="宋体" w:cs="宋体"/>
          <w:b w:val="0"/>
          <w:bCs w:val="0"/>
          <w:color w:val="auto"/>
          <w:sz w:val="24"/>
          <w:szCs w:val="24"/>
          <w:highlight w:val="none"/>
        </w:rPr>
        <w:t>不少于2 套</w:t>
      </w:r>
      <w:r>
        <w:rPr>
          <w:rFonts w:ascii="宋体" w:hAnsi="宋体" w:eastAsia="宋体" w:cs="宋体"/>
          <w:b w:val="0"/>
          <w:bCs w:val="0"/>
          <w:color w:val="auto"/>
          <w:sz w:val="24"/>
          <w:szCs w:val="24"/>
          <w:highlight w:val="none"/>
        </w:rPr>
        <w:t>。</w:t>
      </w:r>
      <w:r>
        <w:rPr>
          <w:rStyle w:val="10"/>
          <w:rFonts w:ascii="宋体" w:hAnsi="宋体" w:eastAsia="宋体" w:cs="宋体"/>
          <w:b w:val="0"/>
          <w:bCs w:val="0"/>
          <w:color w:val="auto"/>
          <w:sz w:val="24"/>
          <w:szCs w:val="24"/>
          <w:highlight w:val="none"/>
        </w:rPr>
        <w:t>具体实施套数以采购人书面委托为准</w:t>
      </w:r>
      <w:r>
        <w:rPr>
          <w:rFonts w:ascii="宋体" w:hAnsi="宋体" w:eastAsia="宋体" w:cs="宋体"/>
          <w:b w:val="0"/>
          <w:bCs w:val="0"/>
          <w:color w:val="auto"/>
          <w:sz w:val="24"/>
          <w:szCs w:val="24"/>
          <w:highlight w:val="none"/>
        </w:rPr>
        <w:t>。最终结算金额为各批次经甲方验收合格、成果资料完整移交的任务对应费用累计之和，</w:t>
      </w:r>
      <w:r>
        <w:rPr>
          <w:rStyle w:val="10"/>
          <w:rFonts w:ascii="宋体" w:hAnsi="宋体" w:eastAsia="宋体" w:cs="宋体"/>
          <w:b w:val="0"/>
          <w:bCs w:val="0"/>
          <w:color w:val="auto"/>
          <w:sz w:val="24"/>
          <w:szCs w:val="24"/>
          <w:highlight w:val="none"/>
        </w:rPr>
        <w:t>全部任务累计结算总金额不得超过</w:t>
      </w:r>
      <w:r>
        <w:rPr>
          <w:rStyle w:val="10"/>
          <w:rFonts w:hint="eastAsia" w:ascii="宋体" w:hAnsi="宋体" w:eastAsia="宋体" w:cs="宋体"/>
          <w:b w:val="0"/>
          <w:bCs w:val="0"/>
          <w:color w:val="auto"/>
          <w:sz w:val="24"/>
          <w:szCs w:val="24"/>
          <w:highlight w:val="none"/>
          <w:lang w:val="en-US" w:eastAsia="zh-CN"/>
        </w:rPr>
        <w:t>中标价</w:t>
      </w:r>
      <w:r>
        <w:rPr>
          <w:rStyle w:val="10"/>
          <w:rFonts w:ascii="宋体" w:hAnsi="宋体" w:eastAsia="宋体" w:cs="宋体"/>
          <w:b w:val="0"/>
          <w:bCs w:val="0"/>
          <w:color w:val="auto"/>
          <w:sz w:val="24"/>
          <w:szCs w:val="24"/>
          <w:highlight w:val="none"/>
        </w:rPr>
        <w:t>；未通过验收或成果资料移交不全的任务不予计费</w:t>
      </w:r>
      <w:r>
        <w:rPr>
          <w:rFonts w:ascii="宋体" w:hAnsi="宋体" w:eastAsia="宋体" w:cs="宋体"/>
          <w:b w:val="0"/>
          <w:bCs w:val="0"/>
          <w:color w:val="auto"/>
          <w:sz w:val="24"/>
          <w:szCs w:val="24"/>
          <w:highlight w:val="none"/>
        </w:rPr>
        <w:t>。</w:t>
      </w:r>
    </w:p>
    <w:p w14:paraId="24D1200D">
      <w:pPr>
        <w:numPr>
          <w:ilvl w:val="0"/>
          <w:numId w:val="0"/>
        </w:numPr>
        <w:autoSpaceDE w:val="0"/>
        <w:autoSpaceDN w:val="0"/>
        <w:adjustRightInd w:val="0"/>
        <w:spacing w:line="400" w:lineRule="exact"/>
        <w:ind w:left="420" w:leftChars="0"/>
        <w:jc w:val="lef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检测费结算规则</w:t>
      </w:r>
      <w:r>
        <w:rPr>
          <w:rFonts w:hint="default" w:ascii="宋体" w:hAnsi="宋体" w:eastAsia="宋体" w:cs="宋体"/>
          <w:b w:val="0"/>
          <w:bCs w:val="0"/>
          <w:color w:val="auto"/>
          <w:spacing w:val="6"/>
          <w:sz w:val="24"/>
          <w:szCs w:val="24"/>
          <w:highlight w:val="none"/>
          <w:lang w:val="en-US" w:eastAsia="zh-CN"/>
        </w:rPr>
        <w:t>：</w:t>
      </w:r>
      <w:r>
        <w:rPr>
          <w:rFonts w:ascii="宋体" w:hAnsi="宋体" w:eastAsia="宋体" w:cs="宋体"/>
          <w:b w:val="0"/>
          <w:bCs w:val="0"/>
          <w:color w:val="auto"/>
          <w:sz w:val="24"/>
          <w:szCs w:val="24"/>
          <w:highlight w:val="none"/>
        </w:rPr>
        <w:t>结算价款 = 实际发生检测次数 × 对应项目投标综合单价；</w:t>
      </w:r>
      <w:r>
        <w:rPr>
          <w:rStyle w:val="10"/>
          <w:rFonts w:ascii="宋体" w:hAnsi="宋体" w:eastAsia="宋体" w:cs="宋体"/>
          <w:b w:val="0"/>
          <w:bCs w:val="0"/>
          <w:color w:val="auto"/>
          <w:sz w:val="24"/>
          <w:szCs w:val="24"/>
          <w:highlight w:val="none"/>
        </w:rPr>
        <w:t>检测</w:t>
      </w:r>
      <w:r>
        <w:rPr>
          <w:rStyle w:val="10"/>
          <w:rFonts w:hint="eastAsia" w:ascii="宋体" w:hAnsi="宋体" w:eastAsia="宋体" w:cs="宋体"/>
          <w:b w:val="0"/>
          <w:bCs w:val="0"/>
          <w:color w:val="auto"/>
          <w:sz w:val="24"/>
          <w:szCs w:val="24"/>
          <w:highlight w:val="none"/>
          <w:lang w:val="en-US" w:eastAsia="zh-CN"/>
        </w:rPr>
        <w:t>费</w:t>
      </w:r>
      <w:r>
        <w:rPr>
          <w:rStyle w:val="10"/>
          <w:rFonts w:ascii="宋体" w:hAnsi="宋体" w:eastAsia="宋体" w:cs="宋体"/>
          <w:b w:val="0"/>
          <w:bCs w:val="0"/>
          <w:color w:val="auto"/>
          <w:sz w:val="24"/>
          <w:szCs w:val="24"/>
          <w:highlight w:val="none"/>
        </w:rPr>
        <w:t>最终结算总额最高不超过 200000.00 元</w:t>
      </w:r>
      <w:r>
        <w:rPr>
          <w:rFonts w:ascii="宋体" w:hAnsi="宋体" w:eastAsia="宋体" w:cs="宋体"/>
          <w:b w:val="0"/>
          <w:bCs w:val="0"/>
          <w:color w:val="auto"/>
          <w:sz w:val="24"/>
          <w:szCs w:val="24"/>
          <w:highlight w:val="none"/>
        </w:rPr>
        <w:t>，超出部分采购人不予支付。</w:t>
      </w:r>
    </w:p>
    <w:p w14:paraId="11675EE0">
      <w:pPr>
        <w:autoSpaceDE w:val="0"/>
        <w:autoSpaceDN w:val="0"/>
        <w:adjustRightInd w:val="0"/>
        <w:spacing w:line="400" w:lineRule="exact"/>
        <w:jc w:val="left"/>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第</w:t>
      </w:r>
      <w:r>
        <w:rPr>
          <w:rFonts w:hint="eastAsia" w:ascii="宋体" w:hAnsi="宋体" w:eastAsia="宋体" w:cs="宋体"/>
          <w:b/>
          <w:bCs w:val="0"/>
          <w:color w:val="auto"/>
          <w:sz w:val="24"/>
          <w:szCs w:val="24"/>
          <w:highlight w:val="none"/>
          <w:lang w:val="en-US" w:eastAsia="zh-CN"/>
        </w:rPr>
        <w:t>十</w:t>
      </w:r>
      <w:r>
        <w:rPr>
          <w:rFonts w:hint="eastAsia" w:ascii="宋体" w:hAnsi="宋体" w:eastAsia="宋体" w:cs="宋体"/>
          <w:b/>
          <w:bCs w:val="0"/>
          <w:color w:val="auto"/>
          <w:sz w:val="24"/>
          <w:szCs w:val="24"/>
          <w:highlight w:val="none"/>
          <w:lang w:val="zh-CN"/>
        </w:rPr>
        <w:t>条　违约责任</w:t>
      </w:r>
    </w:p>
    <w:p w14:paraId="71F179D0">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1、甲方无正当理由拒绝验收或拒付合同款项的，应向乙方偿付合同总价</w:t>
      </w:r>
      <w:r>
        <w:rPr>
          <w:rFonts w:hint="eastAsia" w:ascii="宋体" w:hAnsi="宋体" w:eastAsia="宋体" w:cs="宋体"/>
          <w:color w:val="auto"/>
          <w:kern w:val="0"/>
          <w:sz w:val="24"/>
          <w:szCs w:val="24"/>
          <w:highlight w:val="none"/>
          <w:u w:val="single"/>
        </w:rPr>
        <w:t>10</w:t>
      </w:r>
      <w:r>
        <w:rPr>
          <w:rFonts w:hint="eastAsia" w:ascii="宋体" w:hAnsi="宋体" w:eastAsia="宋体" w:cs="宋体"/>
          <w:color w:val="auto"/>
          <w:kern w:val="0"/>
          <w:sz w:val="24"/>
          <w:szCs w:val="24"/>
          <w:highlight w:val="none"/>
        </w:rPr>
        <w:t>％的违约金。</w:t>
      </w:r>
    </w:p>
    <w:p w14:paraId="77E4B408">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因甲方原因无正当理由单方面变更、解除本合同，给乙方造成损失的，甲方应当赔偿乙方实际直接损失。</w:t>
      </w:r>
    </w:p>
    <w:p w14:paraId="0DD6FA13">
      <w:pPr>
        <w:widowControl/>
        <w:adjustRightIn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甲方未按合同约定及时提供本项目开展所需基础资料、必要工作条件，或无正当理由不及</w:t>
      </w:r>
      <w:r>
        <w:rPr>
          <w:rFonts w:ascii="宋体" w:hAnsi="宋体" w:eastAsia="宋体" w:cs="宋体"/>
          <w:color w:val="auto"/>
          <w:sz w:val="24"/>
          <w:szCs w:val="24"/>
          <w:highlight w:val="none"/>
        </w:rPr>
        <w:t>时下达工作指令，经乙方书面催告后仍未在合理期限内落实，造成乙方服务工作无法正常推进的，服务周期相应顺延；</w:t>
      </w:r>
    </w:p>
    <w:p w14:paraId="7BA607F3">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、乙方无法完成项目的，应向甲方支付合同总价</w:t>
      </w:r>
      <w:r>
        <w:rPr>
          <w:rFonts w:hint="eastAsia" w:ascii="宋体" w:hAnsi="宋体" w:eastAsia="宋体" w:cs="宋体"/>
          <w:color w:val="auto"/>
          <w:kern w:val="0"/>
          <w:sz w:val="24"/>
          <w:szCs w:val="24"/>
          <w:highlight w:val="none"/>
          <w:u w:val="single"/>
        </w:rPr>
        <w:t>10％</w:t>
      </w:r>
      <w:r>
        <w:rPr>
          <w:rFonts w:hint="eastAsia" w:ascii="宋体" w:hAnsi="宋体" w:eastAsia="宋体" w:cs="宋体"/>
          <w:color w:val="auto"/>
          <w:kern w:val="0"/>
          <w:sz w:val="24"/>
          <w:szCs w:val="24"/>
          <w:highlight w:val="none"/>
        </w:rPr>
        <w:t>的违约金，同时甲方有权解除合同。</w:t>
      </w:r>
    </w:p>
    <w:p w14:paraId="600461B9">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、乙方逾期完成项目的，每逾期</w:t>
      </w:r>
      <w:r>
        <w:rPr>
          <w:rFonts w:hint="eastAsia" w:ascii="宋体" w:hAnsi="宋体" w:eastAsia="宋体" w:cs="宋体"/>
          <w:color w:val="auto"/>
          <w:kern w:val="0"/>
          <w:sz w:val="24"/>
          <w:szCs w:val="24"/>
          <w:highlight w:val="none"/>
          <w:u w:val="single"/>
        </w:rPr>
        <w:t>1</w:t>
      </w:r>
      <w:r>
        <w:rPr>
          <w:rFonts w:hint="eastAsia" w:ascii="宋体" w:hAnsi="宋体" w:eastAsia="宋体" w:cs="宋体"/>
          <w:color w:val="auto"/>
          <w:kern w:val="0"/>
          <w:sz w:val="24"/>
          <w:szCs w:val="24"/>
          <w:highlight w:val="none"/>
        </w:rPr>
        <w:t>天应向甲方偿付逾期交付合同总额</w:t>
      </w:r>
      <w:r>
        <w:rPr>
          <w:rFonts w:hint="eastAsia" w:ascii="宋体" w:hAnsi="宋体" w:eastAsia="宋体" w:cs="宋体"/>
          <w:color w:val="auto"/>
          <w:kern w:val="0"/>
          <w:sz w:val="24"/>
          <w:szCs w:val="24"/>
          <w:highlight w:val="none"/>
          <w:u w:val="single"/>
        </w:rPr>
        <w:t>0.5％</w:t>
      </w:r>
      <w:r>
        <w:rPr>
          <w:rFonts w:hint="eastAsia" w:ascii="宋体" w:hAnsi="宋体" w:eastAsia="宋体" w:cs="宋体"/>
          <w:color w:val="auto"/>
          <w:kern w:val="0"/>
          <w:sz w:val="24"/>
          <w:szCs w:val="24"/>
          <w:highlight w:val="none"/>
        </w:rPr>
        <w:t>的滞纳金，但滞纳金累计不得超过逾期交付合同总额</w:t>
      </w:r>
      <w:r>
        <w:rPr>
          <w:rFonts w:hint="eastAsia" w:ascii="宋体" w:hAnsi="宋体" w:eastAsia="宋体" w:cs="宋体"/>
          <w:color w:val="auto"/>
          <w:kern w:val="0"/>
          <w:sz w:val="24"/>
          <w:szCs w:val="24"/>
          <w:highlight w:val="none"/>
          <w:u w:val="single"/>
        </w:rPr>
        <w:t>的5％</w:t>
      </w:r>
      <w:r>
        <w:rPr>
          <w:rFonts w:hint="eastAsia" w:ascii="宋体" w:hAnsi="宋体" w:eastAsia="宋体" w:cs="宋体"/>
          <w:color w:val="auto"/>
          <w:kern w:val="0"/>
          <w:sz w:val="24"/>
          <w:szCs w:val="24"/>
          <w:highlight w:val="none"/>
        </w:rPr>
        <w:t>；一旦滞纳金总额累计达到逾期交付合同总额的</w:t>
      </w:r>
      <w:r>
        <w:rPr>
          <w:rFonts w:hint="eastAsia" w:ascii="宋体" w:hAnsi="宋体" w:eastAsia="宋体" w:cs="宋体"/>
          <w:color w:val="auto"/>
          <w:kern w:val="0"/>
          <w:sz w:val="24"/>
          <w:szCs w:val="24"/>
          <w:highlight w:val="none"/>
          <w:u w:val="single"/>
        </w:rPr>
        <w:t>5％</w:t>
      </w:r>
      <w:r>
        <w:rPr>
          <w:rFonts w:hint="eastAsia" w:ascii="宋体" w:hAnsi="宋体" w:eastAsia="宋体" w:cs="宋体"/>
          <w:color w:val="auto"/>
          <w:kern w:val="0"/>
          <w:sz w:val="24"/>
          <w:szCs w:val="24"/>
          <w:highlight w:val="none"/>
        </w:rPr>
        <w:t>，甲方有权解除合同。逾期超过</w:t>
      </w:r>
      <w:r>
        <w:rPr>
          <w:rFonts w:hint="eastAsia" w:ascii="宋体" w:hAnsi="宋体" w:eastAsia="宋体" w:cs="宋体"/>
          <w:color w:val="auto"/>
          <w:kern w:val="0"/>
          <w:sz w:val="24"/>
          <w:szCs w:val="24"/>
          <w:highlight w:val="none"/>
          <w:u w:val="single"/>
        </w:rPr>
        <w:t>1年</w:t>
      </w:r>
      <w:r>
        <w:rPr>
          <w:rFonts w:hint="eastAsia" w:ascii="宋体" w:hAnsi="宋体" w:eastAsia="宋体" w:cs="宋体"/>
          <w:color w:val="auto"/>
          <w:kern w:val="0"/>
          <w:sz w:val="24"/>
          <w:szCs w:val="24"/>
          <w:highlight w:val="none"/>
        </w:rPr>
        <w:t>，视乙方无法完成项目，项目自动终止，甲方停止支付剩余款项并按相关条款进行处理，剩余款项包括已经申请但并未支付款项。</w:t>
      </w:r>
    </w:p>
    <w:p w14:paraId="2CFA45C7">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、乙方完成的项目不符合要求的，应按照甲方选择的下列一种或多种方式承担赔偿责任：</w:t>
      </w:r>
    </w:p>
    <w:p w14:paraId="36078214">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(1)在甲方同意延长的期限内交付符合要求的提供服务并承担由此给甲方造成的一切损失；逾期未完成或完成的项目仍不符合要求，乙方应向甲方支付合同总价</w:t>
      </w:r>
      <w:r>
        <w:rPr>
          <w:rFonts w:hint="eastAsia" w:ascii="宋体" w:hAnsi="宋体" w:eastAsia="宋体" w:cs="宋体"/>
          <w:color w:val="auto"/>
          <w:kern w:val="0"/>
          <w:sz w:val="24"/>
          <w:szCs w:val="24"/>
          <w:highlight w:val="none"/>
          <w:u w:val="single"/>
        </w:rPr>
        <w:t>10％</w:t>
      </w:r>
      <w:r>
        <w:rPr>
          <w:rFonts w:hint="eastAsia" w:ascii="宋体" w:hAnsi="宋体" w:eastAsia="宋体" w:cs="宋体"/>
          <w:color w:val="auto"/>
          <w:kern w:val="0"/>
          <w:sz w:val="24"/>
          <w:szCs w:val="24"/>
          <w:highlight w:val="none"/>
        </w:rPr>
        <w:t>的违约金，同时甲方有权解除合同。</w:t>
      </w:r>
    </w:p>
    <w:p w14:paraId="62FD94C2">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(2)在甲方规定时间内，修正有缺陷的部分以达到合同规定的要求并承担一切费用和风险，同时承担甲方因此所遭受的全部损失；</w:t>
      </w:r>
    </w:p>
    <w:p w14:paraId="0D362157">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(3)按合同规定同种货币退还甲方已付款项，同时承担由此发生的一切损失和费用，包括但不限于利息、银行手续费及所需的其他必要费用。</w:t>
      </w:r>
    </w:p>
    <w:p w14:paraId="50F87289">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现场项目负责人等相关工作人员未持证上岗的，每巡查到一次每人扣除违约金1万元，多人累加；发现未持证上岗事件三次给予警告，发现5次以上（含本数），甲方有权单方终止或解除合同；未给现场的所有工作人员办理意外伤害保险并支付保险费的，风险责任全部由乙方承担，未缴纳1人扣除违约金1万元，多人累加。</w:t>
      </w:r>
    </w:p>
    <w:p w14:paraId="62E05617">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、乙方须提供</w:t>
      </w:r>
      <w:r>
        <w:rPr>
          <w:rFonts w:hint="eastAsia" w:ascii="宋体" w:hAnsi="宋体" w:eastAsia="宋体" w:cs="宋体"/>
          <w:color w:val="auto"/>
          <w:kern w:val="0"/>
          <w:sz w:val="24"/>
          <w:szCs w:val="24"/>
          <w:highlight w:val="none"/>
          <w:lang w:val="zh-CN"/>
        </w:rPr>
        <w:t>岗位配置表</w:t>
      </w:r>
      <w:r>
        <w:rPr>
          <w:rFonts w:hint="eastAsia" w:ascii="宋体" w:hAnsi="宋体" w:eastAsia="宋体" w:cs="宋体"/>
          <w:color w:val="auto"/>
          <w:kern w:val="0"/>
          <w:sz w:val="24"/>
          <w:szCs w:val="24"/>
          <w:highlight w:val="none"/>
        </w:rPr>
        <w:t>，本项目人员在项目实施过程中不得更换，未经甲方同意的更换一人扣三万元。</w:t>
      </w:r>
    </w:p>
    <w:p w14:paraId="413912C3">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乙方应建立人员考勤考核系统，甲方可随时调阅；乙方因人员病假、事假已及时安排同等资质替补人员补足约定配备人数、外勤外出履行完整审批流程并留存请假条、不构成本项违约；若经查实，实际到岗人员不满足约定配备人员数量要求的、未按规定履行请假、外勤审批手续，个别人员擅自离岗、缺勤的每次扣除服务费10000 元；同一自然月内累计达到3次的，甲方有权单方面解除合同。有下列情形之一，即认定为实际到岗人员不满足投标及合同约定为本项目配备人员数量要求：</w:t>
      </w:r>
    </w:p>
    <w:p w14:paraId="448FD758">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①考勤台账、工作记录反映月度实际投入有效作业人力折算后未达到投标及合同约定为本项目配备人员数量；</w:t>
      </w:r>
    </w:p>
    <w:p w14:paraId="522964FE">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②投标及合同承诺配置人员长期脱岗，实际顶岗替代后项目有效作业人员未达到投标及合同约定为本项目配备人员数量；</w:t>
      </w:r>
    </w:p>
    <w:p w14:paraId="64C27BCD">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③存在伪造考勤、虚构人员在岗记录，经查实项目实际投入人员未达到投标及合同约定为本项目配备人员数量； </w:t>
      </w:r>
    </w:p>
    <w:p w14:paraId="2CE76CD5">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④人员不在岗，且无有效的请假条、外勤审批手续予以佐证，造成项目在岗作业人员未达到投标及合同约定为本项目配备人员数量。</w:t>
      </w:r>
    </w:p>
    <w:p w14:paraId="25FDC164">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ascii="宋体" w:hAnsi="宋体" w:eastAsia="宋体" w:cs="宋体"/>
          <w:color w:val="auto"/>
          <w:sz w:val="24"/>
          <w:szCs w:val="24"/>
          <w:highlight w:val="none"/>
        </w:rPr>
        <w:t>经查实，乙方工作人员利用职务便利，在服务过程中存在吃拿卡要、索贿受贿等违规违纪行为的，甲方视情节轻重作出如下处理：首次发生且情节较轻的，责令乙方限期整改</w:t>
      </w:r>
      <w:r>
        <w:rPr>
          <w:rFonts w:ascii="宋体" w:hAnsi="宋体" w:eastAsia="宋体" w:cs="宋体"/>
          <w:b w:val="0"/>
          <w:bCs w:val="0"/>
          <w:color w:val="auto"/>
          <w:sz w:val="24"/>
          <w:szCs w:val="24"/>
          <w:highlight w:val="none"/>
        </w:rPr>
        <w:t>，</w:t>
      </w:r>
      <w:r>
        <w:rPr>
          <w:rStyle w:val="10"/>
          <w:rFonts w:ascii="宋体" w:hAnsi="宋体" w:eastAsia="宋体" w:cs="宋体"/>
          <w:b w:val="0"/>
          <w:bCs w:val="0"/>
          <w:color w:val="auto"/>
          <w:sz w:val="24"/>
          <w:szCs w:val="24"/>
          <w:highlight w:val="none"/>
        </w:rPr>
        <w:t>当期考核得分最高计89分</w:t>
      </w:r>
      <w:r>
        <w:rPr>
          <w:rFonts w:ascii="宋体" w:hAnsi="宋体" w:eastAsia="宋体" w:cs="宋体"/>
          <w:color w:val="auto"/>
          <w:sz w:val="24"/>
          <w:szCs w:val="24"/>
          <w:highlight w:val="none"/>
        </w:rPr>
        <w:t>；发生两次此类违规行为的，当期考核得分为0分；拒不整改或累计发生三次及以上此类违规行为的，甲方有权单方解除本合同，因乙方违规行为给甲方造成经济损失的，甲方有权向乙方另行追偿；涉嫌违法犯罪的，移交司法机关依法处理</w:t>
      </w:r>
      <w:r>
        <w:rPr>
          <w:rFonts w:hint="eastAsia" w:ascii="宋体" w:hAnsi="宋体" w:eastAsia="宋体" w:cs="宋体"/>
          <w:color w:val="auto"/>
          <w:sz w:val="24"/>
          <w:szCs w:val="24"/>
          <w:highlight w:val="none"/>
          <w:lang w:eastAsia="zh-CN"/>
        </w:rPr>
        <w:t>。</w:t>
      </w:r>
    </w:p>
    <w:p w14:paraId="1054D350">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、乙方未按规定和承诺提供伴随服务、售后服务的，应向甲方支付合同总价</w:t>
      </w:r>
      <w:r>
        <w:rPr>
          <w:rFonts w:hint="eastAsia" w:ascii="宋体" w:hAnsi="宋体" w:eastAsia="宋体" w:cs="宋体"/>
          <w:color w:val="auto"/>
          <w:kern w:val="0"/>
          <w:sz w:val="24"/>
          <w:szCs w:val="24"/>
          <w:highlight w:val="none"/>
          <w:u w:val="single"/>
        </w:rPr>
        <w:t>5％</w:t>
      </w:r>
      <w:r>
        <w:rPr>
          <w:rFonts w:hint="eastAsia" w:ascii="宋体" w:hAnsi="宋体" w:eastAsia="宋体" w:cs="宋体"/>
          <w:color w:val="auto"/>
          <w:kern w:val="0"/>
          <w:sz w:val="24"/>
          <w:szCs w:val="24"/>
          <w:highlight w:val="none"/>
        </w:rPr>
        <w:t>的违约金。</w:t>
      </w:r>
    </w:p>
    <w:p w14:paraId="15768762">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12</w:t>
      </w:r>
      <w:r>
        <w:rPr>
          <w:rFonts w:hint="eastAsia" w:ascii="宋体" w:hAnsi="宋体" w:eastAsia="宋体" w:cs="宋体"/>
          <w:color w:val="auto"/>
          <w:kern w:val="0"/>
          <w:sz w:val="24"/>
          <w:szCs w:val="24"/>
          <w:highlight w:val="none"/>
        </w:rPr>
        <w:t>、违约方承担违约责任并不影响其合同项下的义务(合同解除的除外)。</w:t>
      </w:r>
    </w:p>
    <w:p w14:paraId="5F1918BA">
      <w:pPr>
        <w:widowControl/>
        <w:adjustRightInd w:val="0"/>
        <w:spacing w:line="400" w:lineRule="exact"/>
        <w:ind w:firstLine="480" w:firstLineChars="2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、其他：</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lang w:eastAsia="zh-CN"/>
        </w:rPr>
        <w:t>。</w:t>
      </w:r>
    </w:p>
    <w:p w14:paraId="752A7B4D">
      <w:pPr>
        <w:widowControl/>
        <w:adjustRightInd w:val="0"/>
        <w:spacing w:line="400" w:lineRule="exact"/>
        <w:jc w:val="left"/>
        <w:rPr>
          <w:rFonts w:hint="eastAsia" w:ascii="宋体" w:hAnsi="宋体" w:eastAsia="宋体" w:cs="宋体"/>
          <w:bCs/>
          <w:color w:val="auto"/>
          <w:kern w:val="0"/>
          <w:sz w:val="24"/>
          <w:szCs w:val="24"/>
          <w:highlight w:val="none"/>
          <w:lang w:val="zh-CN"/>
        </w:rPr>
      </w:pPr>
    </w:p>
    <w:p w14:paraId="086C32B9">
      <w:pPr>
        <w:widowControl/>
        <w:adjustRightInd w:val="0"/>
        <w:spacing w:line="400" w:lineRule="exact"/>
        <w:jc w:val="left"/>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val="zh-CN"/>
        </w:rPr>
        <w:t>第十</w:t>
      </w:r>
      <w:r>
        <w:rPr>
          <w:rFonts w:hint="eastAsia" w:ascii="宋体" w:hAnsi="宋体" w:eastAsia="宋体" w:cs="宋体"/>
          <w:b/>
          <w:bCs w:val="0"/>
          <w:color w:val="auto"/>
          <w:kern w:val="0"/>
          <w:sz w:val="24"/>
          <w:szCs w:val="24"/>
          <w:highlight w:val="none"/>
          <w:lang w:val="en-US" w:eastAsia="zh-CN"/>
        </w:rPr>
        <w:t>一</w:t>
      </w:r>
      <w:r>
        <w:rPr>
          <w:rFonts w:hint="eastAsia" w:ascii="宋体" w:hAnsi="宋体" w:eastAsia="宋体" w:cs="宋体"/>
          <w:b/>
          <w:bCs w:val="0"/>
          <w:color w:val="auto"/>
          <w:kern w:val="0"/>
          <w:sz w:val="24"/>
          <w:szCs w:val="24"/>
          <w:highlight w:val="none"/>
          <w:lang w:val="zh-CN"/>
        </w:rPr>
        <w:t>条　</w:t>
      </w:r>
      <w:r>
        <w:rPr>
          <w:rFonts w:hint="eastAsia" w:ascii="宋体" w:hAnsi="宋体" w:eastAsia="宋体" w:cs="宋体"/>
          <w:b/>
          <w:bCs w:val="0"/>
          <w:color w:val="auto"/>
          <w:kern w:val="0"/>
          <w:sz w:val="24"/>
          <w:szCs w:val="24"/>
          <w:highlight w:val="none"/>
        </w:rPr>
        <w:t>不可抗力</w:t>
      </w:r>
    </w:p>
    <w:p w14:paraId="0DBD19E9">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不可抗力的定义 </w:t>
      </w:r>
    </w:p>
    <w:p w14:paraId="5CB5B594">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不可抗力事件是指双方在签署本合同时不能预见、并且对发生及后果不能避免并且超过合理控制范围的、不能克服的自然事件和社会事件。此类事件包括： </w:t>
      </w:r>
    </w:p>
    <w:p w14:paraId="2C3A9164">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（1）雷电、地震、火山爆发、滑坡、水灾、冰灾、暴雨、海啸、台风、龙卷风或旱灾等自然灾害；  </w:t>
      </w:r>
    </w:p>
    <w:p w14:paraId="3F36A3F0">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（2）流行病、饥荒或瘟疫；   </w:t>
      </w:r>
    </w:p>
    <w:p w14:paraId="77224AF1">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（3）战争行为、入侵、武装冲突或外敌行为、封锁或军事力量的使用，暴乱或恐怖行为；   </w:t>
      </w:r>
    </w:p>
    <w:p w14:paraId="06009927">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（4）全国性、地区性、城市性或行业性罢工；   </w:t>
      </w:r>
    </w:p>
    <w:p w14:paraId="37F9DD05">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（5）由于不能归因于乙方的原因引起的供电中断；  </w:t>
      </w:r>
    </w:p>
    <w:p w14:paraId="290A1915">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（6）国家征用、征收；   </w:t>
      </w:r>
    </w:p>
    <w:p w14:paraId="54D13DEE">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（7）导致本合同实际上不能履行的法律变更。   </w:t>
      </w:r>
    </w:p>
    <w:p w14:paraId="7177F294">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不可抗力的影响 </w:t>
      </w:r>
    </w:p>
    <w:p w14:paraId="134AE84A">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若不可抗力事件的发生完全或部分妨碍一方履行本合同项下的任何义务，则该方可暂停履行其义务，但前提是： </w:t>
      </w:r>
    </w:p>
    <w:p w14:paraId="1827DBBA">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1）暂停履行的范围和时间不超过消除不可抗力事件影响的合理需要； </w:t>
      </w:r>
    </w:p>
    <w:p w14:paraId="0072B4F2">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2）受不可抗力事件影响的一方应继续履行本合同下未受不可抗力事件影响的其他义务，包括所有到期付款的义务； </w:t>
      </w:r>
    </w:p>
    <w:p w14:paraId="1FD1A940">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3）一旦不可抗力事件结束，受不可抗力影响方应尽快恢复履行本合同。 </w:t>
      </w:r>
    </w:p>
    <w:p w14:paraId="2947247C">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若任何一方因不可抗力事件而不能履行本合同，则该方应尽快书面通知另一方。该通知中应说明不可抗力事件的发生日期和预计持续的时间、事件性质、对该方履行本合同的影响及该方为减少不可抗力事件影响所采取的措施。 </w:t>
      </w:r>
    </w:p>
    <w:p w14:paraId="68173F6A">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 受不可抗力事件影响的一方应在不可抗力事件发生之日(如遇通讯中断，则自通讯恢复之日)起 10 天内向另一方提供一份由不可抗力事件发生地公证机构出具的证明文件。 </w:t>
      </w:r>
    </w:p>
    <w:p w14:paraId="3A3D4D65">
      <w:pPr>
        <w:widowControl/>
        <w:adjustRightInd w:val="0"/>
        <w:spacing w:line="400" w:lineRule="exact"/>
        <w:ind w:firstLine="480" w:firstLineChars="200"/>
        <w:jc w:val="left"/>
        <w:rPr>
          <w:rFonts w:hint="eastAsia" w:ascii="宋体" w:hAnsi="宋体" w:eastAsia="宋体" w:cs="宋体"/>
          <w:bCs/>
          <w:color w:val="auto"/>
          <w:kern w:val="0"/>
          <w:sz w:val="24"/>
          <w:szCs w:val="24"/>
          <w:highlight w:val="none"/>
          <w:lang w:val="zh-CN"/>
        </w:rPr>
      </w:pPr>
      <w:r>
        <w:rPr>
          <w:rFonts w:hint="eastAsia" w:ascii="宋体" w:hAnsi="宋体" w:eastAsia="宋体" w:cs="宋体"/>
          <w:color w:val="auto"/>
          <w:kern w:val="0"/>
          <w:sz w:val="24"/>
          <w:szCs w:val="24"/>
          <w:highlight w:val="none"/>
        </w:rPr>
        <w:t>5 受不可抗力事件影响的一方应采取合理的措施，以减少因不可抗力事件给另一方或双方带来的损失。双方应及时协商制定并实施补救计划及合理的替代措施以减少或消除不可抗力事件的影响。如果受不可抗力事件影响的一方未能尽其努力采取合理措施减少不可抗力事件的影响，则该方应承担由此而扩大的损失。第十条　</w:t>
      </w:r>
      <w:r>
        <w:rPr>
          <w:rFonts w:hint="eastAsia" w:ascii="宋体" w:hAnsi="宋体" w:eastAsia="宋体" w:cs="宋体"/>
          <w:bCs/>
          <w:color w:val="auto"/>
          <w:kern w:val="0"/>
          <w:sz w:val="24"/>
          <w:szCs w:val="24"/>
          <w:highlight w:val="none"/>
          <w:lang w:val="zh-CN"/>
        </w:rPr>
        <w:t>合同的变更和终止</w:t>
      </w:r>
    </w:p>
    <w:p w14:paraId="2FF90CA6">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1、除《政府采购法》第五十条规定的情形外，本合同一经签订，甲乙双方不得擅自变更、中止或终止合同。</w:t>
      </w:r>
    </w:p>
    <w:p w14:paraId="10CEFBA6">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2、</w:t>
      </w:r>
      <w:r>
        <w:rPr>
          <w:rFonts w:hint="eastAsia" w:ascii="宋体" w:hAnsi="宋体" w:eastAsia="宋体" w:cs="宋体"/>
          <w:color w:val="auto"/>
          <w:kern w:val="0"/>
          <w:sz w:val="24"/>
          <w:szCs w:val="24"/>
          <w:highlight w:val="none"/>
        </w:rPr>
        <w:t>除发生法律规定的不能预见、不能避免并不能克服的客观情况外，甲乙双方不得放弃或拒绝履行合同。</w:t>
      </w:r>
    </w:p>
    <w:p w14:paraId="4AE5CBEF">
      <w:pPr>
        <w:widowControl/>
        <w:adjustRightInd w:val="0"/>
        <w:spacing w:line="400" w:lineRule="exact"/>
        <w:jc w:val="left"/>
        <w:rPr>
          <w:rFonts w:hint="eastAsia" w:ascii="宋体" w:hAnsi="宋体" w:eastAsia="宋体" w:cs="宋体"/>
          <w:color w:val="auto"/>
          <w:kern w:val="0"/>
          <w:sz w:val="24"/>
          <w:szCs w:val="24"/>
          <w:highlight w:val="none"/>
        </w:rPr>
      </w:pPr>
    </w:p>
    <w:p w14:paraId="358442D3">
      <w:pPr>
        <w:widowControl/>
        <w:adjustRightInd w:val="0"/>
        <w:spacing w:line="40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第十</w:t>
      </w: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rPr>
        <w:t>条  合同的终止</w:t>
      </w:r>
    </w:p>
    <w:p w14:paraId="48E90612">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本合同因下列原因而终止：</w:t>
      </w:r>
    </w:p>
    <w:p w14:paraId="2DD6552A">
      <w:pPr>
        <w:widowControl/>
        <w:adjustRightInd w:val="0"/>
        <w:spacing w:line="400" w:lineRule="exact"/>
        <w:ind w:firstLine="482" w:firstLineChars="20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(1)本合同正常履行完毕；</w:t>
      </w:r>
    </w:p>
    <w:p w14:paraId="12C5A1C5">
      <w:pPr>
        <w:widowControl/>
        <w:adjustRightInd w:val="0"/>
        <w:spacing w:line="400" w:lineRule="exact"/>
        <w:ind w:firstLine="482" w:firstLineChars="20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(2)因不可抗力导致本合同无法履行或履行不必要；</w:t>
      </w:r>
    </w:p>
    <w:p w14:paraId="1342CD0D">
      <w:pPr>
        <w:widowControl/>
        <w:adjustRightInd w:val="0"/>
        <w:spacing w:line="400" w:lineRule="exact"/>
        <w:ind w:firstLine="482" w:firstLineChars="20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(3)任何一方行使解除权解除本合同；</w:t>
      </w:r>
    </w:p>
    <w:p w14:paraId="40B36734">
      <w:pPr>
        <w:widowControl/>
        <w:adjustRightInd w:val="0"/>
        <w:spacing w:line="400" w:lineRule="exact"/>
        <w:ind w:firstLine="482" w:firstLineChars="20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(4)合同的继续履行将损害国家利益和社会公共利益。</w:t>
      </w:r>
    </w:p>
    <w:p w14:paraId="2A60CD9A">
      <w:pPr>
        <w:widowControl/>
        <w:adjustRightInd w:val="0"/>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除上述情形外，甲乙双方不得擅自终止合同。</w:t>
      </w:r>
    </w:p>
    <w:p w14:paraId="2F3FC4B1">
      <w:pPr>
        <w:widowControl/>
        <w:adjustRightInd w:val="0"/>
        <w:spacing w:line="400" w:lineRule="exact"/>
        <w:jc w:val="left"/>
        <w:rPr>
          <w:rFonts w:hint="eastAsia" w:ascii="宋体" w:hAnsi="宋体" w:eastAsia="宋体" w:cs="宋体"/>
          <w:bCs/>
          <w:color w:val="auto"/>
          <w:kern w:val="0"/>
          <w:sz w:val="24"/>
          <w:szCs w:val="24"/>
          <w:highlight w:val="none"/>
          <w:lang w:val="zh-CN"/>
        </w:rPr>
      </w:pPr>
    </w:p>
    <w:p w14:paraId="79F91C86">
      <w:pPr>
        <w:widowControl/>
        <w:adjustRightInd w:val="0"/>
        <w:spacing w:line="400" w:lineRule="exact"/>
        <w:jc w:val="left"/>
        <w:rPr>
          <w:rFonts w:hint="eastAsia" w:ascii="宋体" w:hAnsi="宋体" w:eastAsia="宋体" w:cs="宋体"/>
          <w:b/>
          <w:bCs w:val="0"/>
          <w:color w:val="auto"/>
          <w:kern w:val="0"/>
          <w:sz w:val="24"/>
          <w:szCs w:val="24"/>
          <w:highlight w:val="none"/>
          <w:lang w:val="zh-CN"/>
        </w:rPr>
      </w:pPr>
      <w:r>
        <w:rPr>
          <w:rFonts w:hint="eastAsia" w:ascii="宋体" w:hAnsi="宋体" w:eastAsia="宋体" w:cs="宋体"/>
          <w:b/>
          <w:bCs w:val="0"/>
          <w:color w:val="auto"/>
          <w:kern w:val="0"/>
          <w:sz w:val="24"/>
          <w:szCs w:val="24"/>
          <w:highlight w:val="none"/>
          <w:lang w:val="zh-CN"/>
        </w:rPr>
        <w:t>第十</w:t>
      </w:r>
      <w:r>
        <w:rPr>
          <w:rFonts w:hint="eastAsia" w:ascii="宋体" w:hAnsi="宋体" w:eastAsia="宋体" w:cs="宋体"/>
          <w:b/>
          <w:bCs w:val="0"/>
          <w:color w:val="auto"/>
          <w:kern w:val="0"/>
          <w:sz w:val="24"/>
          <w:szCs w:val="24"/>
          <w:highlight w:val="none"/>
          <w:lang w:val="en-US" w:eastAsia="zh-CN"/>
        </w:rPr>
        <w:t>三</w:t>
      </w:r>
      <w:r>
        <w:rPr>
          <w:rFonts w:hint="eastAsia" w:ascii="宋体" w:hAnsi="宋体" w:eastAsia="宋体" w:cs="宋体"/>
          <w:b/>
          <w:bCs w:val="0"/>
          <w:color w:val="auto"/>
          <w:kern w:val="0"/>
          <w:sz w:val="24"/>
          <w:szCs w:val="24"/>
          <w:highlight w:val="none"/>
          <w:lang w:val="zh-CN"/>
        </w:rPr>
        <w:t>条　争议的解决</w:t>
      </w:r>
    </w:p>
    <w:p w14:paraId="6771602F">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1、因履行本合同引起的或与本合同有关的争议，甲、乙双方应首先通过友好协商解决，如果协商不能解决争议，则采取以下第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种方式解决争议：</w:t>
      </w:r>
    </w:p>
    <w:p w14:paraId="3C21E438">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（1）向甲方所在地有管辖权的人民法院提起诉讼；</w:t>
      </w:r>
    </w:p>
    <w:p w14:paraId="276CF495">
      <w:pPr>
        <w:widowControl/>
        <w:adjustRightInd w:val="0"/>
        <w:spacing w:line="400" w:lineRule="exact"/>
        <w:ind w:firstLine="480" w:firstLineChars="20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（2）向甲方所在地仲裁委员会按其仲裁规则申请仲裁。</w:t>
      </w:r>
    </w:p>
    <w:p w14:paraId="1130DC2A">
      <w:pPr>
        <w:widowControl/>
        <w:adjustRightInd w:val="0"/>
        <w:spacing w:line="400" w:lineRule="exact"/>
        <w:ind w:firstLine="42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2、在仲裁期间，本合同应继续履行。</w:t>
      </w:r>
    </w:p>
    <w:p w14:paraId="517EC762">
      <w:pPr>
        <w:widowControl/>
        <w:adjustRightInd w:val="0"/>
        <w:spacing w:line="400" w:lineRule="exact"/>
        <w:jc w:val="left"/>
        <w:rPr>
          <w:rFonts w:hint="eastAsia" w:ascii="宋体" w:hAnsi="宋体" w:eastAsia="宋体" w:cs="宋体"/>
          <w:bCs/>
          <w:color w:val="auto"/>
          <w:kern w:val="0"/>
          <w:sz w:val="24"/>
          <w:szCs w:val="24"/>
          <w:highlight w:val="none"/>
          <w:lang w:val="zh-CN"/>
        </w:rPr>
      </w:pPr>
    </w:p>
    <w:p w14:paraId="35C01A3E">
      <w:pPr>
        <w:widowControl/>
        <w:adjustRightInd w:val="0"/>
        <w:spacing w:line="400" w:lineRule="exact"/>
        <w:jc w:val="left"/>
        <w:rPr>
          <w:rFonts w:hint="eastAsia" w:ascii="宋体" w:hAnsi="宋体" w:eastAsia="宋体" w:cs="宋体"/>
          <w:b/>
          <w:bCs w:val="0"/>
          <w:color w:val="auto"/>
          <w:kern w:val="0"/>
          <w:sz w:val="24"/>
          <w:szCs w:val="24"/>
          <w:highlight w:val="none"/>
          <w:lang w:val="zh-CN"/>
        </w:rPr>
      </w:pPr>
      <w:r>
        <w:rPr>
          <w:rFonts w:hint="eastAsia" w:ascii="宋体" w:hAnsi="宋体" w:eastAsia="宋体" w:cs="宋体"/>
          <w:b/>
          <w:bCs w:val="0"/>
          <w:color w:val="auto"/>
          <w:kern w:val="0"/>
          <w:sz w:val="24"/>
          <w:szCs w:val="24"/>
          <w:highlight w:val="none"/>
          <w:lang w:val="zh-CN"/>
        </w:rPr>
        <w:t>第十</w:t>
      </w:r>
      <w:r>
        <w:rPr>
          <w:rFonts w:hint="eastAsia" w:ascii="宋体" w:hAnsi="宋体" w:eastAsia="宋体" w:cs="宋体"/>
          <w:b/>
          <w:bCs w:val="0"/>
          <w:color w:val="auto"/>
          <w:kern w:val="0"/>
          <w:sz w:val="24"/>
          <w:szCs w:val="24"/>
          <w:highlight w:val="none"/>
          <w:lang w:val="en-US" w:eastAsia="zh-CN"/>
        </w:rPr>
        <w:t>四</w:t>
      </w:r>
      <w:r>
        <w:rPr>
          <w:rFonts w:hint="eastAsia" w:ascii="宋体" w:hAnsi="宋体" w:eastAsia="宋体" w:cs="宋体"/>
          <w:b/>
          <w:bCs w:val="0"/>
          <w:color w:val="auto"/>
          <w:kern w:val="0"/>
          <w:sz w:val="24"/>
          <w:szCs w:val="24"/>
          <w:highlight w:val="none"/>
          <w:lang w:val="zh-CN"/>
        </w:rPr>
        <w:t>条　合同生效及其他</w:t>
      </w:r>
    </w:p>
    <w:p w14:paraId="7C3011BA">
      <w:pPr>
        <w:widowControl/>
        <w:adjustRightInd w:val="0"/>
        <w:spacing w:line="400" w:lineRule="exact"/>
        <w:ind w:firstLine="42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zh-CN"/>
        </w:rPr>
        <w:t>、本合同一式</w:t>
      </w:r>
      <w:r>
        <w:rPr>
          <w:rFonts w:hint="eastAsia" w:ascii="宋体" w:hAnsi="宋体" w:eastAsia="宋体" w:cs="宋体"/>
          <w:color w:val="auto"/>
          <w:kern w:val="0"/>
          <w:sz w:val="24"/>
          <w:szCs w:val="24"/>
          <w:highlight w:val="none"/>
          <w:lang w:val="en-US" w:eastAsia="zh-CN"/>
        </w:rPr>
        <w:t>伍</w:t>
      </w:r>
      <w:r>
        <w:rPr>
          <w:rFonts w:hint="eastAsia" w:ascii="宋体" w:hAnsi="宋体" w:eastAsia="宋体" w:cs="宋体"/>
          <w:color w:val="auto"/>
          <w:kern w:val="0"/>
          <w:sz w:val="24"/>
          <w:szCs w:val="24"/>
          <w:highlight w:val="none"/>
          <w:lang w:val="zh-CN"/>
        </w:rPr>
        <w:t>份，甲方、乙方</w:t>
      </w:r>
      <w:r>
        <w:rPr>
          <w:rFonts w:hint="eastAsia" w:ascii="宋体" w:hAnsi="宋体" w:eastAsia="宋体" w:cs="宋体"/>
          <w:color w:val="auto"/>
          <w:kern w:val="0"/>
          <w:sz w:val="24"/>
          <w:szCs w:val="24"/>
          <w:highlight w:val="none"/>
          <w:lang w:val="en-US" w:eastAsia="zh-CN"/>
        </w:rPr>
        <w:t>各执贰份，</w:t>
      </w:r>
      <w:r>
        <w:rPr>
          <w:rFonts w:hint="eastAsia" w:ascii="宋体" w:hAnsi="宋体" w:eastAsia="宋体" w:cs="宋体"/>
          <w:color w:val="auto"/>
          <w:kern w:val="0"/>
          <w:sz w:val="24"/>
          <w:szCs w:val="24"/>
          <w:highlight w:val="none"/>
        </w:rPr>
        <w:t>代理机构</w:t>
      </w:r>
      <w:r>
        <w:rPr>
          <w:rFonts w:hint="eastAsia" w:ascii="宋体" w:hAnsi="宋体" w:eastAsia="宋体" w:cs="宋体"/>
          <w:color w:val="auto"/>
          <w:kern w:val="0"/>
          <w:sz w:val="24"/>
          <w:szCs w:val="24"/>
          <w:highlight w:val="none"/>
          <w:lang w:val="zh-CN"/>
        </w:rPr>
        <w:t>各执一份。</w:t>
      </w:r>
    </w:p>
    <w:p w14:paraId="49257915">
      <w:pPr>
        <w:widowControl/>
        <w:adjustRightInd w:val="0"/>
        <w:spacing w:line="400" w:lineRule="exact"/>
        <w:ind w:firstLine="42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、本合同应按照中华人民共和国的现行法律进行解释。</w:t>
      </w:r>
    </w:p>
    <w:p w14:paraId="71943E32">
      <w:pPr>
        <w:spacing w:line="380" w:lineRule="exact"/>
        <w:jc w:val="left"/>
        <w:rPr>
          <w:rFonts w:hint="eastAsia" w:ascii="宋体" w:hAnsi="宋体" w:eastAsia="宋体" w:cs="宋体"/>
          <w:b/>
          <w:bCs/>
          <w:color w:val="auto"/>
          <w:sz w:val="24"/>
          <w:szCs w:val="24"/>
          <w:highlight w:val="none"/>
        </w:rPr>
      </w:pPr>
    </w:p>
    <w:p w14:paraId="73761AB9">
      <w:pPr>
        <w:spacing w:line="380" w:lineRule="exact"/>
        <w:jc w:val="left"/>
        <w:rPr>
          <w:rFonts w:hint="eastAsia" w:ascii="宋体" w:hAnsi="宋体" w:eastAsia="宋体" w:cs="宋体"/>
          <w:b/>
          <w:bCs/>
          <w:color w:val="auto"/>
          <w:sz w:val="24"/>
          <w:szCs w:val="24"/>
          <w:highlight w:val="none"/>
        </w:rPr>
      </w:pPr>
    </w:p>
    <w:p w14:paraId="14ADA28A">
      <w:pPr>
        <w:spacing w:line="380" w:lineRule="exact"/>
        <w:jc w:val="left"/>
        <w:rPr>
          <w:rFonts w:hint="eastAsia" w:ascii="宋体" w:hAnsi="宋体" w:eastAsia="宋体" w:cs="宋体"/>
          <w:b/>
          <w:bCs/>
          <w:color w:val="auto"/>
          <w:sz w:val="24"/>
          <w:szCs w:val="24"/>
          <w:highlight w:val="none"/>
        </w:rPr>
      </w:pPr>
    </w:p>
    <w:p w14:paraId="5FA9B791">
      <w:pPr>
        <w:spacing w:line="380" w:lineRule="exact"/>
        <w:jc w:val="left"/>
        <w:rPr>
          <w:rFonts w:hint="eastAsia" w:ascii="宋体" w:hAnsi="宋体" w:eastAsia="宋体" w:cs="宋体"/>
          <w:b/>
          <w:bCs/>
          <w:color w:val="auto"/>
          <w:sz w:val="24"/>
          <w:szCs w:val="24"/>
          <w:highlight w:val="none"/>
        </w:rPr>
      </w:pPr>
    </w:p>
    <w:p w14:paraId="7B168F24">
      <w:pPr>
        <w:spacing w:line="380" w:lineRule="exact"/>
        <w:jc w:val="left"/>
        <w:rPr>
          <w:rFonts w:hint="eastAsia" w:ascii="宋体" w:hAnsi="宋体" w:eastAsia="宋体" w:cs="宋体"/>
          <w:b/>
          <w:bCs/>
          <w:color w:val="auto"/>
          <w:sz w:val="24"/>
          <w:szCs w:val="24"/>
          <w:highlight w:val="none"/>
        </w:rPr>
      </w:pPr>
    </w:p>
    <w:p w14:paraId="2C5CF9D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A20B36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单位名称（章）：</w:t>
      </w:r>
      <w:r>
        <w:rPr>
          <w:rFonts w:hint="eastAsia" w:ascii="宋体" w:hAnsi="宋体" w:eastAsia="宋体" w:cs="宋体"/>
          <w:color w:val="auto"/>
          <w:sz w:val="24"/>
          <w:szCs w:val="24"/>
          <w:highlight w:val="none"/>
          <w:u w:val="single"/>
        </w:rPr>
        <w:t xml:space="preserve">              </w:t>
      </w:r>
    </w:p>
    <w:p w14:paraId="6E9EB37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4D57E1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委托代理人：          法定代表人：     委托代理人：                            </w:t>
      </w:r>
    </w:p>
    <w:p w14:paraId="265C2FA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            传真：</w:t>
      </w:r>
    </w:p>
    <w:p w14:paraId="67319268">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开户银行：        帐号：    </w:t>
      </w:r>
    </w:p>
    <w:p w14:paraId="4526EF2C">
      <w:pPr>
        <w:spacing w:line="360" w:lineRule="auto"/>
        <w:rPr>
          <w:rFonts w:hint="eastAsia" w:ascii="宋体" w:hAnsi="宋体" w:eastAsia="宋体" w:cs="宋体"/>
          <w:b/>
          <w:bCs/>
          <w:color w:val="auto"/>
          <w:sz w:val="24"/>
          <w:szCs w:val="24"/>
          <w:highlight w:val="none"/>
        </w:rPr>
      </w:pPr>
    </w:p>
    <w:p w14:paraId="018ABD6F">
      <w:pPr>
        <w:spacing w:line="360" w:lineRule="auto"/>
        <w:rPr>
          <w:rFonts w:hint="eastAsia" w:ascii="宋体" w:hAnsi="宋体" w:eastAsia="宋体" w:cs="宋体"/>
          <w:b/>
          <w:bCs/>
          <w:color w:val="auto"/>
          <w:sz w:val="24"/>
          <w:szCs w:val="24"/>
          <w:highlight w:val="none"/>
        </w:rPr>
      </w:pPr>
    </w:p>
    <w:p w14:paraId="4756597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4"/>
          <w:szCs w:val="24"/>
          <w:highlight w:val="none"/>
        </w:rPr>
      </w:pPr>
    </w:p>
    <w:p w14:paraId="013DE7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4"/>
          <w:szCs w:val="24"/>
          <w:highlight w:val="none"/>
        </w:rPr>
      </w:pPr>
    </w:p>
    <w:p w14:paraId="17C0FC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left="0" w:right="0" w:firstLine="422" w:firstLineChars="200"/>
        <w:jc w:val="left"/>
        <w:textAlignment w:val="auto"/>
        <w:rPr>
          <w:rFonts w:hint="eastAsia" w:ascii="宋体" w:hAnsi="宋体" w:eastAsia="宋体" w:cs="宋体"/>
          <w:b/>
          <w:bCs/>
          <w:color w:val="auto"/>
          <w:kern w:val="0"/>
          <w:szCs w:val="21"/>
          <w:highlight w:val="none"/>
        </w:rPr>
      </w:pPr>
    </w:p>
    <w:p w14:paraId="78B20B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544ECF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005633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3F83F0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2CA0DA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363133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65AF97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176215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2B7BE8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75DD1A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eastAsia" w:ascii="宋体" w:hAnsi="宋体" w:eastAsia="宋体" w:cs="宋体"/>
          <w:b/>
          <w:bCs/>
          <w:color w:val="auto"/>
          <w:kern w:val="0"/>
          <w:sz w:val="28"/>
          <w:szCs w:val="28"/>
          <w:highlight w:val="none"/>
        </w:rPr>
      </w:pPr>
    </w:p>
    <w:p w14:paraId="42879F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right="0"/>
        <w:jc w:val="left"/>
        <w:textAlignment w:val="auto"/>
        <w:rPr>
          <w:rFonts w:hint="default" w:ascii="宋体" w:hAnsi="宋体" w:eastAsia="宋体" w:cs="宋体"/>
          <w:color w:val="auto"/>
          <w:kern w:val="0"/>
          <w:sz w:val="24"/>
          <w:szCs w:val="24"/>
          <w:highlight w:val="none"/>
          <w:u w:val="none"/>
          <w:lang w:val="en-US" w:eastAsia="zh-CN" w:bidi="ar"/>
        </w:rPr>
      </w:pPr>
      <w:r>
        <w:rPr>
          <w:rFonts w:hint="eastAsia" w:ascii="宋体" w:hAnsi="宋体" w:eastAsia="宋体" w:cs="宋体"/>
          <w:b/>
          <w:bCs/>
          <w:color w:val="auto"/>
          <w:kern w:val="0"/>
          <w:sz w:val="28"/>
          <w:szCs w:val="28"/>
          <w:highlight w:val="none"/>
        </w:rPr>
        <w:t>附件1</w:t>
      </w:r>
      <w:r>
        <w:rPr>
          <w:rFonts w:hint="eastAsia" w:ascii="宋体" w:hAnsi="宋体" w:eastAsia="宋体" w:cs="宋体"/>
          <w:b/>
          <w:bCs/>
          <w:color w:val="auto"/>
          <w:kern w:val="0"/>
          <w:sz w:val="28"/>
          <w:szCs w:val="28"/>
          <w:highlight w:val="none"/>
          <w:lang w:eastAsia="zh-CN"/>
        </w:rPr>
        <w:t>：</w:t>
      </w:r>
      <w:r>
        <w:rPr>
          <w:rFonts w:hint="eastAsia" w:ascii="宋体" w:hAnsi="宋体" w:eastAsia="宋体" w:cs="宋体"/>
          <w:b/>
          <w:bCs/>
          <w:color w:val="auto"/>
          <w:kern w:val="0"/>
          <w:sz w:val="28"/>
          <w:szCs w:val="28"/>
          <w:highlight w:val="none"/>
        </w:rPr>
        <w:t>考评办法（甲方可根据实际情况进行优化与完善）</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 w:val="24"/>
          <w:szCs w:val="24"/>
          <w:highlight w:val="none"/>
          <w:u w:val="none"/>
          <w:lang w:val="en-US" w:eastAsia="zh-CN" w:bidi="ar"/>
        </w:rPr>
        <w:t>按照</w:t>
      </w:r>
      <w:r>
        <w:rPr>
          <w:rFonts w:hint="eastAsia" w:ascii="宋体" w:hAnsi="宋体" w:eastAsia="宋体" w:cs="宋体"/>
          <w:color w:val="auto"/>
          <w:kern w:val="0"/>
          <w:sz w:val="24"/>
          <w:szCs w:val="24"/>
          <w:highlight w:val="none"/>
          <w:u w:val="none"/>
          <w:lang w:val="zh-CN" w:eastAsia="zh-CN" w:bidi="ar"/>
        </w:rPr>
        <w:t>常州经济开发区排水管理服务</w:t>
      </w:r>
      <w:r>
        <w:rPr>
          <w:rFonts w:hint="eastAsia" w:ascii="宋体" w:hAnsi="宋体" w:eastAsia="宋体" w:cs="宋体"/>
          <w:color w:val="auto"/>
          <w:kern w:val="0"/>
          <w:sz w:val="24"/>
          <w:szCs w:val="24"/>
          <w:highlight w:val="none"/>
          <w:u w:val="none"/>
          <w:lang w:val="en-US" w:eastAsia="zh-CN" w:bidi="ar"/>
        </w:rPr>
        <w:t>的实际情况，制定本办法：</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一、考评内容及范围。</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w:t>
      </w:r>
      <w:r>
        <w:rPr>
          <w:rFonts w:hint="default" w:ascii="宋体" w:hAnsi="宋体" w:eastAsia="宋体" w:cs="Times New Roman"/>
          <w:color w:val="auto"/>
          <w:kern w:val="0"/>
          <w:sz w:val="24"/>
          <w:szCs w:val="24"/>
          <w:highlight w:val="none"/>
        </w:rPr>
        <w:t>主要</w:t>
      </w:r>
      <w:r>
        <w:rPr>
          <w:rFonts w:hint="eastAsia" w:ascii="宋体" w:hAnsi="宋体" w:eastAsia="宋体" w:cs="Times New Roman"/>
          <w:color w:val="auto"/>
          <w:kern w:val="0"/>
          <w:sz w:val="24"/>
          <w:szCs w:val="24"/>
          <w:highlight w:val="none"/>
          <w:lang w:val="en-US" w:eastAsia="zh-CN"/>
        </w:rPr>
        <w:t>服务</w:t>
      </w:r>
      <w:r>
        <w:rPr>
          <w:rFonts w:hint="default" w:ascii="宋体" w:hAnsi="宋体" w:eastAsia="宋体" w:cs="Times New Roman"/>
          <w:color w:val="auto"/>
          <w:kern w:val="0"/>
          <w:sz w:val="24"/>
          <w:szCs w:val="24"/>
          <w:highlight w:val="none"/>
        </w:rPr>
        <w:t>内容为协助开展排水许可服务，协助开展排水户常态化巡查，协助协调处置水污染突发情况，协助推进雨水系统及防汛排涝管理，协助做好污水提质增效、宣传及综</w:t>
      </w:r>
      <w:r>
        <w:rPr>
          <w:rFonts w:hint="default" w:ascii="宋体" w:hAnsi="宋体" w:eastAsia="宋体" w:cs="宋体"/>
          <w:color w:val="auto"/>
          <w:kern w:val="0"/>
          <w:sz w:val="24"/>
          <w:szCs w:val="24"/>
          <w:highlight w:val="none"/>
          <w:u w:val="none"/>
          <w:lang w:val="en-US" w:eastAsia="zh-CN" w:bidi="ar"/>
        </w:rPr>
        <w:t>合配套等相关工作。</w:t>
      </w:r>
    </w:p>
    <w:p w14:paraId="592058AA">
      <w:pPr>
        <w:numPr>
          <w:ilvl w:val="0"/>
          <w:numId w:val="0"/>
        </w:numPr>
        <w:autoSpaceDE w:val="0"/>
        <w:autoSpaceDN w:val="0"/>
        <w:adjustRightInd w:val="0"/>
        <w:spacing w:line="400" w:lineRule="exact"/>
        <w:ind w:left="420" w:leftChars="0"/>
        <w:jc w:val="left"/>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二、</w:t>
      </w:r>
      <w:r>
        <w:rPr>
          <w:rFonts w:hint="default" w:ascii="宋体" w:hAnsi="宋体" w:eastAsia="宋体" w:cs="宋体"/>
          <w:color w:val="auto"/>
          <w:kern w:val="0"/>
          <w:sz w:val="24"/>
          <w:szCs w:val="24"/>
          <w:highlight w:val="none"/>
          <w:u w:val="none"/>
          <w:lang w:val="en-US" w:eastAsia="zh-CN" w:bidi="ar"/>
        </w:rPr>
        <w:t>考核结算规则：</w:t>
      </w:r>
      <w:r>
        <w:rPr>
          <w:rFonts w:hint="eastAsia" w:ascii="宋体" w:hAnsi="宋体" w:eastAsia="宋体" w:cs="宋体"/>
          <w:color w:val="auto"/>
          <w:spacing w:val="6"/>
          <w:sz w:val="24"/>
          <w:szCs w:val="24"/>
          <w:highlight w:val="none"/>
          <w:lang w:val="zh-CN" w:eastAsia="zh-CN"/>
        </w:rPr>
        <w:t>（1）季度固定款15%，按季度正常予以拨付；（2）季度考核浮动款 10%，依据当季度考核得分进行核算：①季度考核得分≥90分：全额发放本季度考核浮动款；②80 分≤季度考核得分＜90分：浮动款 =本季度考核浮动款金额×（季度考核得分 ÷100）；③季度考核得分＜80分：本季度考核浮动款不予支付，不予后期补付。</w:t>
      </w:r>
    </w:p>
    <w:p w14:paraId="75FC1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三、考评方式</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1、按照《</w:t>
      </w:r>
      <w:r>
        <w:rPr>
          <w:rFonts w:hint="eastAsia" w:ascii="宋体" w:hAnsi="宋体" w:eastAsia="宋体" w:cs="宋体"/>
          <w:color w:val="auto"/>
          <w:kern w:val="0"/>
          <w:sz w:val="24"/>
          <w:szCs w:val="24"/>
          <w:highlight w:val="none"/>
          <w:u w:val="none"/>
          <w:lang w:val="zh-CN" w:eastAsia="zh-CN" w:bidi="ar"/>
        </w:rPr>
        <w:t>常州经济开发区排水管理服务</w:t>
      </w:r>
      <w:r>
        <w:rPr>
          <w:rFonts w:hint="eastAsia" w:ascii="宋体" w:hAnsi="宋体" w:eastAsia="宋体" w:cs="宋体"/>
          <w:color w:val="auto"/>
          <w:kern w:val="0"/>
          <w:sz w:val="24"/>
          <w:szCs w:val="24"/>
          <w:highlight w:val="none"/>
          <w:u w:val="none"/>
          <w:lang w:val="en-US" w:eastAsia="zh-CN" w:bidi="ar"/>
        </w:rPr>
        <w:t>考核明细表》进行考核。</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2、监查考评。考评工作小组按规定的时限，对相关中标人问题整改情况进行督查，认真登记整改情况，对在规定进限内未完成整改的，督促中标人再次组织整改。</w:t>
      </w:r>
      <w:r>
        <w:rPr>
          <w:rFonts w:hint="eastAsia" w:ascii="宋体" w:hAnsi="宋体" w:eastAsia="宋体" w:cs="宋体"/>
          <w:color w:val="auto"/>
          <w:kern w:val="0"/>
          <w:sz w:val="24"/>
          <w:szCs w:val="24"/>
          <w:highlight w:val="none"/>
          <w:u w:val="none"/>
          <w:lang w:val="en-US" w:eastAsia="zh-CN" w:bidi="ar"/>
        </w:rPr>
        <w:br w:type="textWrapping"/>
      </w:r>
      <w:r>
        <w:rPr>
          <w:rFonts w:hint="eastAsia" w:ascii="宋体" w:hAnsi="宋体" w:eastAsia="宋体" w:cs="宋体"/>
          <w:color w:val="auto"/>
          <w:kern w:val="0"/>
          <w:sz w:val="24"/>
          <w:szCs w:val="24"/>
          <w:highlight w:val="none"/>
          <w:u w:val="none"/>
          <w:lang w:val="en-US" w:eastAsia="zh-CN" w:bidi="ar"/>
        </w:rPr>
        <w:t xml:space="preserve">   3、现场考评。由考评工作小组不定期组织现场考评，进行即时扣分；由考评工作小组采取分类抽样方式，每季度组织2次现场考评，进行即时扣分，并对现场考评中存在的问题，责成相关中标人组织整改 </w:t>
      </w:r>
    </w:p>
    <w:p w14:paraId="6C6128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20" w:lineRule="exact"/>
        <w:ind w:left="0" w:right="0" w:firstLine="480" w:firstLineChars="200"/>
        <w:jc w:val="left"/>
        <w:textAlignment w:val="auto"/>
        <w:rPr>
          <w:rFonts w:hint="eastAsia" w:ascii="宋体" w:hAnsi="宋体" w:eastAsia="宋体" w:cs="宋体"/>
          <w:color w:val="auto"/>
          <w:kern w:val="0"/>
          <w:sz w:val="24"/>
          <w:szCs w:val="24"/>
          <w:highlight w:val="none"/>
          <w:u w:val="none"/>
          <w:lang w:val="en-US" w:eastAsia="zh-CN" w:bidi="ar"/>
        </w:rPr>
        <w:sectPr>
          <w:headerReference r:id="rId10" w:type="default"/>
          <w:footerReference r:id="rId11" w:type="default"/>
          <w:pgSz w:w="11907" w:h="16839"/>
          <w:pgMar w:top="1440" w:right="1310" w:bottom="1440" w:left="1349"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6F156C0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pacing w:val="2"/>
          <w:szCs w:val="21"/>
          <w:highlight w:val="none"/>
        </w:rPr>
      </w:pPr>
    </w:p>
    <w:p w14:paraId="45540A81">
      <w:pPr>
        <w:keepNext w:val="0"/>
        <w:keepLines w:val="0"/>
        <w:pageBreakBefore w:val="0"/>
        <w:widowControl/>
        <w:kinsoku/>
        <w:wordWrap/>
        <w:overflowPunct/>
        <w:topLinePunct w:val="0"/>
        <w:autoSpaceDE/>
        <w:autoSpaceDN/>
        <w:bidi w:val="0"/>
        <w:adjustRightInd w:val="0"/>
        <w:spacing w:line="240" w:lineRule="atLeast"/>
        <w:jc w:val="center"/>
        <w:textAlignment w:val="auto"/>
        <w:rPr>
          <w:rFonts w:hint="eastAsia" w:ascii="宋体" w:hAnsi="宋体" w:eastAsia="宋体" w:cs="宋体"/>
          <w:bCs/>
          <w:color w:val="auto"/>
          <w:kern w:val="0"/>
          <w:sz w:val="36"/>
          <w:szCs w:val="36"/>
          <w:highlight w:val="none"/>
          <w:lang w:eastAsia="zh-CN"/>
        </w:rPr>
      </w:pPr>
      <w:r>
        <w:rPr>
          <w:rFonts w:hint="eastAsia" w:ascii="宋体" w:hAnsi="宋体" w:eastAsia="宋体" w:cs="宋体"/>
          <w:bCs/>
          <w:color w:val="auto"/>
          <w:kern w:val="0"/>
          <w:sz w:val="36"/>
          <w:szCs w:val="36"/>
          <w:highlight w:val="none"/>
          <w:lang w:val="zh-CN"/>
        </w:rPr>
        <w:t>常州经济开发区排水管理服务</w:t>
      </w:r>
      <w:r>
        <w:rPr>
          <w:rFonts w:hint="eastAsia" w:ascii="宋体" w:hAnsi="宋体" w:eastAsia="宋体" w:cs="宋体"/>
          <w:bCs/>
          <w:color w:val="auto"/>
          <w:kern w:val="0"/>
          <w:sz w:val="36"/>
          <w:szCs w:val="36"/>
          <w:highlight w:val="none"/>
        </w:rPr>
        <w:t>考核明细表</w:t>
      </w:r>
    </w:p>
    <w:p w14:paraId="00EAAE20">
      <w:pPr>
        <w:keepNext w:val="0"/>
        <w:keepLines w:val="0"/>
        <w:pageBreakBefore w:val="0"/>
        <w:kinsoku/>
        <w:wordWrap/>
        <w:overflowPunct/>
        <w:topLinePunct w:val="0"/>
        <w:autoSpaceDE/>
        <w:autoSpaceDN/>
        <w:bidi w:val="0"/>
        <w:spacing w:line="240" w:lineRule="atLeast"/>
        <w:textAlignment w:val="auto"/>
        <w:rPr>
          <w:rFonts w:ascii="Times New Roman" w:hAnsi="Times New Roman" w:eastAsia="宋体" w:cs="Times New Roman"/>
          <w:color w:val="auto"/>
          <w:sz w:val="21"/>
          <w:szCs w:val="21"/>
          <w:highlight w:val="none"/>
        </w:rPr>
      </w:pPr>
    </w:p>
    <w:p w14:paraId="167D32E8">
      <w:pPr>
        <w:keepNext w:val="0"/>
        <w:keepLines w:val="0"/>
        <w:pageBreakBefore w:val="0"/>
        <w:widowControl/>
        <w:shd w:val="clear" w:color="auto" w:fill="FFFFFF"/>
        <w:kinsoku/>
        <w:wordWrap/>
        <w:overflowPunct/>
        <w:topLinePunct w:val="0"/>
        <w:autoSpaceDE/>
        <w:autoSpaceDN/>
        <w:bidi w:val="0"/>
        <w:adjustRightInd w:val="0"/>
        <w:snapToGrid w:val="0"/>
        <w:spacing w:line="240" w:lineRule="atLeast"/>
        <w:ind w:right="210" w:rightChars="100"/>
        <w:jc w:val="left"/>
        <w:textAlignment w:val="auto"/>
        <w:rPr>
          <w:rFonts w:ascii="Times New Roman" w:hAnsi="Times New Roman" w:eastAsia="宋体" w:cs="Times New Roman"/>
          <w:color w:val="auto"/>
          <w:highlight w:val="none"/>
        </w:rPr>
      </w:pPr>
      <w:r>
        <w:rPr>
          <w:rFonts w:hint="eastAsia" w:ascii="宋体" w:hAnsi="宋体" w:eastAsia="宋体" w:cs="宋体"/>
          <w:bCs/>
          <w:color w:val="auto"/>
          <w:sz w:val="28"/>
          <w:szCs w:val="28"/>
          <w:highlight w:val="none"/>
        </w:rPr>
        <w:t>申报单位：</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           日期：</w:t>
      </w:r>
    </w:p>
    <w:p w14:paraId="5461A386">
      <w:pPr>
        <w:widowControl/>
        <w:jc w:val="left"/>
        <w:rPr>
          <w:color w:val="auto"/>
          <w:highlight w:val="none"/>
        </w:rPr>
      </w:pPr>
    </w:p>
    <w:tbl>
      <w:tblPr>
        <w:tblStyle w:val="7"/>
        <w:tblW w:w="14315"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3982"/>
        <w:gridCol w:w="6946"/>
        <w:gridCol w:w="735"/>
        <w:gridCol w:w="1206"/>
      </w:tblGrid>
      <w:tr w14:paraId="594C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46" w:type="dxa"/>
            <w:noWrap w:val="0"/>
            <w:vAlign w:val="center"/>
          </w:tcPr>
          <w:p w14:paraId="0ED972F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考核项目</w:t>
            </w:r>
          </w:p>
        </w:tc>
        <w:tc>
          <w:tcPr>
            <w:tcW w:w="3982" w:type="dxa"/>
            <w:noWrap w:val="0"/>
            <w:vAlign w:val="center"/>
          </w:tcPr>
          <w:p w14:paraId="3B2ADA1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6946" w:type="dxa"/>
            <w:noWrap w:val="0"/>
            <w:vAlign w:val="center"/>
          </w:tcPr>
          <w:p w14:paraId="1FC42820">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评分说明</w:t>
            </w:r>
          </w:p>
        </w:tc>
        <w:tc>
          <w:tcPr>
            <w:tcW w:w="735" w:type="dxa"/>
            <w:noWrap w:val="0"/>
            <w:vAlign w:val="center"/>
          </w:tcPr>
          <w:p w14:paraId="6FEB83FC">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w:t>
            </w:r>
          </w:p>
          <w:p w14:paraId="1B7BD0AC">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权重</w:t>
            </w:r>
          </w:p>
        </w:tc>
        <w:tc>
          <w:tcPr>
            <w:tcW w:w="1206" w:type="dxa"/>
            <w:noWrap w:val="0"/>
            <w:vAlign w:val="center"/>
          </w:tcPr>
          <w:p w14:paraId="03972BB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考核/自评得分</w:t>
            </w:r>
          </w:p>
        </w:tc>
      </w:tr>
      <w:tr w14:paraId="088A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1446" w:type="dxa"/>
            <w:vMerge w:val="restart"/>
            <w:noWrap w:val="0"/>
            <w:vAlign w:val="center"/>
          </w:tcPr>
          <w:p w14:paraId="35548A3B">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一、针对排水企业巡查工作</w:t>
            </w:r>
          </w:p>
        </w:tc>
        <w:tc>
          <w:tcPr>
            <w:tcW w:w="3982" w:type="dxa"/>
            <w:vMerge w:val="restart"/>
            <w:noWrap w:val="0"/>
            <w:vAlign w:val="center"/>
          </w:tcPr>
          <w:p w14:paraId="53EE4C19">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排水企业的巡查工作，登记相关台账。发现企业违规排放的，应及时处理和上报。</w:t>
            </w:r>
          </w:p>
        </w:tc>
        <w:tc>
          <w:tcPr>
            <w:tcW w:w="6946" w:type="dxa"/>
            <w:noWrap w:val="0"/>
            <w:vAlign w:val="center"/>
          </w:tcPr>
          <w:p w14:paraId="21E312E2">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完成评价期内计划的日常巡查、不定期检查和夜查数量要求并规范登记台账，少一次扣1分。检查未及时发现问题或未及时处理和上报的发现一次扣1分。</w:t>
            </w:r>
          </w:p>
        </w:tc>
        <w:tc>
          <w:tcPr>
            <w:tcW w:w="735" w:type="dxa"/>
            <w:vMerge w:val="restart"/>
            <w:noWrap w:val="0"/>
            <w:vAlign w:val="center"/>
          </w:tcPr>
          <w:p w14:paraId="21E4311E">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206" w:type="dxa"/>
            <w:vMerge w:val="restart"/>
            <w:noWrap w:val="0"/>
            <w:vAlign w:val="center"/>
          </w:tcPr>
          <w:p w14:paraId="7C0AB752">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4B94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3D328F8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二、企业排水许可协助管理</w:t>
            </w:r>
          </w:p>
        </w:tc>
        <w:tc>
          <w:tcPr>
            <w:tcW w:w="3982" w:type="dxa"/>
            <w:noWrap w:val="0"/>
            <w:vAlign w:val="center"/>
          </w:tcPr>
          <w:p w14:paraId="2E4D0D1E">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排水许可证协助办理、资料归档；排水户管网工程施工图审查及施工技术交底</w:t>
            </w:r>
          </w:p>
        </w:tc>
        <w:tc>
          <w:tcPr>
            <w:tcW w:w="6946" w:type="dxa"/>
            <w:noWrap w:val="0"/>
            <w:vAlign w:val="center"/>
          </w:tcPr>
          <w:p w14:paraId="29A4D331">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负责各类企业雨污分流，排水许可的登记，汇总；</w:t>
            </w:r>
            <w:r>
              <w:rPr>
                <w:rFonts w:hint="eastAsia" w:ascii="宋体" w:hAnsi="宋体" w:eastAsia="宋体" w:cs="宋体"/>
                <w:color w:val="auto"/>
                <w:kern w:val="2"/>
                <w:sz w:val="21"/>
                <w:szCs w:val="21"/>
                <w:highlight w:val="none"/>
                <w:lang w:val="en-US" w:eastAsia="zh-CN" w:bidi="ar-SA"/>
              </w:rPr>
              <w:t>未进行登记与汇总，每有一次，扣1分。</w:t>
            </w:r>
          </w:p>
        </w:tc>
        <w:tc>
          <w:tcPr>
            <w:tcW w:w="735" w:type="dxa"/>
            <w:noWrap w:val="0"/>
            <w:vAlign w:val="center"/>
          </w:tcPr>
          <w:p w14:paraId="4EF64F6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00B75B6C">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6EDE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446" w:type="dxa"/>
            <w:noWrap w:val="0"/>
            <w:vAlign w:val="center"/>
          </w:tcPr>
          <w:p w14:paraId="22A298FD">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lang w:val="en-US" w:eastAsia="zh-CN"/>
              </w:rPr>
            </w:pPr>
          </w:p>
          <w:p w14:paraId="6195549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三、排水设施运行管理</w:t>
            </w:r>
          </w:p>
          <w:p w14:paraId="0D10062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p>
        </w:tc>
        <w:tc>
          <w:tcPr>
            <w:tcW w:w="3982" w:type="dxa"/>
            <w:noWrap w:val="0"/>
            <w:vAlign w:val="center"/>
          </w:tcPr>
          <w:p w14:paraId="2C14DC2C">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lang w:val="en-US" w:eastAsia="zh-CN"/>
              </w:rPr>
            </w:pPr>
          </w:p>
          <w:p w14:paraId="5282766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负责对泵站运行排查、管网拥堵运行状况排查、突发情况处理</w:t>
            </w:r>
          </w:p>
        </w:tc>
        <w:tc>
          <w:tcPr>
            <w:tcW w:w="6946" w:type="dxa"/>
            <w:noWrap w:val="0"/>
            <w:vAlign w:val="center"/>
          </w:tcPr>
          <w:p w14:paraId="0F97D9A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未开展相关排查及处置工作</w:t>
            </w:r>
            <w:r>
              <w:rPr>
                <w:rFonts w:hint="eastAsia" w:ascii="宋体" w:hAnsi="宋体" w:eastAsia="宋体" w:cs="宋体"/>
                <w:color w:val="auto"/>
                <w:kern w:val="2"/>
                <w:sz w:val="21"/>
                <w:szCs w:val="21"/>
                <w:highlight w:val="none"/>
                <w:lang w:val="en-US" w:eastAsia="zh-CN" w:bidi="ar-SA"/>
              </w:rPr>
              <w:t>，每有一次，扣1分。</w:t>
            </w:r>
          </w:p>
        </w:tc>
        <w:tc>
          <w:tcPr>
            <w:tcW w:w="735" w:type="dxa"/>
            <w:noWrap w:val="0"/>
            <w:vAlign w:val="center"/>
          </w:tcPr>
          <w:p w14:paraId="0CD81E44">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rPr>
            </w:pPr>
          </w:p>
          <w:p w14:paraId="57AEBBB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206" w:type="dxa"/>
            <w:noWrap w:val="0"/>
            <w:vAlign w:val="center"/>
          </w:tcPr>
          <w:p w14:paraId="6E0E708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r>
      <w:tr w14:paraId="584C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40B6F4CA">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四、管网、点源等污水设施的新建工程巡查</w:t>
            </w:r>
          </w:p>
        </w:tc>
        <w:tc>
          <w:tcPr>
            <w:tcW w:w="3982" w:type="dxa"/>
            <w:noWrap w:val="0"/>
            <w:vAlign w:val="center"/>
          </w:tcPr>
          <w:p w14:paraId="70951BF3">
            <w:pPr>
              <w:keepNext w:val="0"/>
              <w:keepLines w:val="0"/>
              <w:pageBreakBefore w:val="0"/>
              <w:widowControl/>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管网、泵站、农村点源等污水设施的新建工程巡查，通过日常巡查、定期抽查的方式进行工程监管</w:t>
            </w:r>
          </w:p>
        </w:tc>
        <w:tc>
          <w:tcPr>
            <w:tcW w:w="6946" w:type="dxa"/>
            <w:noWrap w:val="0"/>
            <w:vAlign w:val="center"/>
          </w:tcPr>
          <w:p w14:paraId="07C97557">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对污水设施工程类项目进行日常的工程巡查与监管，重点关注项目的进度、质量、安全文明等方面。未及时发现问题、上报问题、督促实施方解决问题的，一次扣1分。</w:t>
            </w:r>
          </w:p>
        </w:tc>
        <w:tc>
          <w:tcPr>
            <w:tcW w:w="735" w:type="dxa"/>
            <w:noWrap w:val="0"/>
            <w:vAlign w:val="center"/>
          </w:tcPr>
          <w:p w14:paraId="0B0BC503">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172175DA">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666A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1446" w:type="dxa"/>
            <w:noWrap w:val="0"/>
            <w:vAlign w:val="center"/>
          </w:tcPr>
          <w:p w14:paraId="7C66E16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五、污水提质增效及挤外水工作</w:t>
            </w:r>
          </w:p>
          <w:p w14:paraId="3FB3DA6D">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c>
          <w:tcPr>
            <w:tcW w:w="3982" w:type="dxa"/>
            <w:noWrap w:val="0"/>
            <w:vAlign w:val="center"/>
          </w:tcPr>
          <w:p w14:paraId="0D4BB79A">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负责配合推进污水提质增效相关工作，开展污水管网“挤外水”专项排查（包括排查地下水入渗、河水倒灌、雨水混接等），发现外水入侵问题及时上报并协助处置。</w:t>
            </w:r>
          </w:p>
          <w:p w14:paraId="462B2B1C">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p>
        </w:tc>
        <w:tc>
          <w:tcPr>
            <w:tcW w:w="6946" w:type="dxa"/>
            <w:noWrap w:val="0"/>
            <w:vAlign w:val="center"/>
          </w:tcPr>
          <w:p w14:paraId="2A6B4603">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未按计划开展管网外水排查及提质增效相关工作的，每有一次，扣 1 分；未及时发现或上报污水管网渗漏、倒灌、雨污混接等“外水入侵”问题，或发现问题后未督促、协助落实整改措施的，每一次，扣 1 分；因排查、处置不力导致污水进水浓度等指标未达甲方要求的，每一次，扣 1 分。</w:t>
            </w:r>
          </w:p>
        </w:tc>
        <w:tc>
          <w:tcPr>
            <w:tcW w:w="735" w:type="dxa"/>
            <w:noWrap w:val="0"/>
            <w:vAlign w:val="center"/>
          </w:tcPr>
          <w:p w14:paraId="14EDDB6D">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6DDDC06C">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328A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1DB95920">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六、沿河排水口调查工作</w:t>
            </w:r>
          </w:p>
        </w:tc>
        <w:tc>
          <w:tcPr>
            <w:tcW w:w="3982" w:type="dxa"/>
            <w:noWrap w:val="0"/>
            <w:vAlign w:val="center"/>
          </w:tcPr>
          <w:p w14:paraId="3513E7C6">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60" w:afterAutospacing="0" w:line="34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定期开展主要河道及支流支浜的排口调查，形成调查报告上报。</w:t>
            </w:r>
          </w:p>
        </w:tc>
        <w:tc>
          <w:tcPr>
            <w:tcW w:w="6946" w:type="dxa"/>
            <w:noWrap w:val="0"/>
            <w:vAlign w:val="center"/>
          </w:tcPr>
          <w:p w14:paraId="34E66B25">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未开展相关调查工作</w:t>
            </w:r>
            <w:r>
              <w:rPr>
                <w:rFonts w:hint="eastAsia" w:ascii="宋体" w:hAnsi="宋体" w:eastAsia="宋体" w:cs="宋体"/>
                <w:color w:val="auto"/>
                <w:kern w:val="2"/>
                <w:sz w:val="21"/>
                <w:szCs w:val="21"/>
                <w:highlight w:val="none"/>
                <w:lang w:val="en-US" w:eastAsia="zh-CN" w:bidi="ar-SA"/>
              </w:rPr>
              <w:t>，每有一次，扣1分；未形成调查报告上报，每有一次，扣1分。</w:t>
            </w:r>
          </w:p>
        </w:tc>
        <w:tc>
          <w:tcPr>
            <w:tcW w:w="735" w:type="dxa"/>
            <w:noWrap w:val="0"/>
            <w:vAlign w:val="center"/>
          </w:tcPr>
          <w:p w14:paraId="16D0CD5B">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47483CB0">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77418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7771DF1F">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七、排水行业安全生产管理</w:t>
            </w:r>
          </w:p>
        </w:tc>
        <w:tc>
          <w:tcPr>
            <w:tcW w:w="3982" w:type="dxa"/>
            <w:noWrap w:val="0"/>
            <w:vAlign w:val="center"/>
          </w:tcPr>
          <w:p w14:paraId="3803E971">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60" w:afterAutospacing="0" w:line="34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协助招标人对全区污水厂、网、站、排水在建工程和排水设施养护维修工作开展安全检查，督促整改工作，形成监管台账。</w:t>
            </w:r>
          </w:p>
        </w:tc>
        <w:tc>
          <w:tcPr>
            <w:tcW w:w="6946" w:type="dxa"/>
            <w:noWrap w:val="0"/>
            <w:vAlign w:val="center"/>
          </w:tcPr>
          <w:p w14:paraId="4FE28006">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未开展安全检查工作</w:t>
            </w:r>
            <w:r>
              <w:rPr>
                <w:rFonts w:hint="eastAsia" w:ascii="宋体" w:hAnsi="宋体" w:eastAsia="宋体" w:cs="宋体"/>
                <w:color w:val="auto"/>
                <w:kern w:val="2"/>
                <w:sz w:val="21"/>
                <w:szCs w:val="21"/>
                <w:highlight w:val="none"/>
                <w:lang w:val="en-US" w:eastAsia="zh-CN" w:bidi="ar-SA"/>
              </w:rPr>
              <w:t>，每有一次，扣1分；未形成监管台账，每有一次，扣1分。</w:t>
            </w:r>
          </w:p>
        </w:tc>
        <w:tc>
          <w:tcPr>
            <w:tcW w:w="735" w:type="dxa"/>
            <w:noWrap w:val="0"/>
            <w:vAlign w:val="center"/>
          </w:tcPr>
          <w:p w14:paraId="49F7277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3BC182FA">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5257E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vMerge w:val="restart"/>
            <w:noWrap w:val="0"/>
            <w:vAlign w:val="center"/>
          </w:tcPr>
          <w:p w14:paraId="634B70F0">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bCs/>
                <w:color w:val="auto"/>
                <w:szCs w:val="21"/>
                <w:highlight w:val="none"/>
              </w:rPr>
              <w:t>重点片区排水系统优化提升</w:t>
            </w:r>
          </w:p>
        </w:tc>
        <w:tc>
          <w:tcPr>
            <w:tcW w:w="3982" w:type="dxa"/>
            <w:vMerge w:val="restart"/>
            <w:noWrap w:val="0"/>
            <w:vAlign w:val="center"/>
          </w:tcPr>
          <w:p w14:paraId="387A2495">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针对重点片区存在的污水截流系统混乱、污水泵站缺乏调度管控方案、雨天溢流等问题，开展专项排查检查，编制科学、专业的系统优化提升方案，向招标人提供管理、协调、工程改造等方面的解决方案。</w:t>
            </w:r>
          </w:p>
        </w:tc>
        <w:tc>
          <w:tcPr>
            <w:tcW w:w="6946" w:type="dxa"/>
            <w:noWrap w:val="0"/>
            <w:vAlign w:val="center"/>
          </w:tcPr>
          <w:p w14:paraId="128FEDC4">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组织开展重点片区排查，</w:t>
            </w:r>
            <w:r>
              <w:rPr>
                <w:rFonts w:hint="eastAsia" w:ascii="宋体" w:hAnsi="宋体" w:eastAsia="宋体" w:cs="宋体"/>
                <w:color w:val="auto"/>
                <w:sz w:val="21"/>
                <w:szCs w:val="21"/>
                <w:highlight w:val="none"/>
              </w:rPr>
              <w:t>编制科学、专业的排水系统优化提升方案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lang w:val="en-US" w:eastAsia="zh-CN" w:bidi="ar-SA"/>
              </w:rPr>
              <w:t>未进行编制或制订，扣3分。</w:t>
            </w:r>
          </w:p>
        </w:tc>
        <w:tc>
          <w:tcPr>
            <w:tcW w:w="735" w:type="dxa"/>
            <w:vMerge w:val="restart"/>
            <w:noWrap w:val="0"/>
            <w:vAlign w:val="center"/>
          </w:tcPr>
          <w:p w14:paraId="2867CFFF">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0C3A4C3C">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1BA37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vMerge w:val="continue"/>
            <w:noWrap w:val="0"/>
            <w:vAlign w:val="center"/>
          </w:tcPr>
          <w:p w14:paraId="055D237E">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p>
        </w:tc>
        <w:tc>
          <w:tcPr>
            <w:tcW w:w="3982" w:type="dxa"/>
            <w:vMerge w:val="continue"/>
            <w:noWrap w:val="0"/>
            <w:vAlign w:val="center"/>
          </w:tcPr>
          <w:p w14:paraId="042C8F81">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p>
        </w:tc>
        <w:tc>
          <w:tcPr>
            <w:tcW w:w="6946" w:type="dxa"/>
            <w:noWrap w:val="0"/>
            <w:vAlign w:val="center"/>
          </w:tcPr>
          <w:p w14:paraId="56E24F1B">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负责组织对领导的各类工作汇总及工作汇报。</w:t>
            </w:r>
          </w:p>
          <w:p w14:paraId="336B8801">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未进行汇总或汇报，每有一次，扣1分。</w:t>
            </w:r>
          </w:p>
        </w:tc>
        <w:tc>
          <w:tcPr>
            <w:tcW w:w="735" w:type="dxa"/>
            <w:vMerge w:val="continue"/>
            <w:noWrap w:val="0"/>
            <w:vAlign w:val="center"/>
          </w:tcPr>
          <w:p w14:paraId="1FACA8F2">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c>
          <w:tcPr>
            <w:tcW w:w="1206" w:type="dxa"/>
            <w:noWrap w:val="0"/>
            <w:vAlign w:val="center"/>
          </w:tcPr>
          <w:p w14:paraId="5E7255BA">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r w14:paraId="7C46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55ED5024">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九、水质检测工作</w:t>
            </w:r>
          </w:p>
        </w:tc>
        <w:tc>
          <w:tcPr>
            <w:tcW w:w="3982" w:type="dxa"/>
            <w:noWrap w:val="0"/>
            <w:vAlign w:val="center"/>
          </w:tcPr>
          <w:p w14:paraId="0701E2AB">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对污水厂、农村生活污水处理设施、河道、市政排水口、排水户排水口水质进行取样检测，出具检测报告。</w:t>
            </w:r>
          </w:p>
        </w:tc>
        <w:tc>
          <w:tcPr>
            <w:tcW w:w="6946" w:type="dxa"/>
            <w:noWrap w:val="0"/>
            <w:vAlign w:val="center"/>
          </w:tcPr>
          <w:p w14:paraId="13943FE2">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未配合开展水质取样、检测工作</w:t>
            </w:r>
            <w:r>
              <w:rPr>
                <w:rFonts w:hint="eastAsia" w:ascii="宋体" w:hAnsi="宋体" w:eastAsia="宋体" w:cs="宋体"/>
                <w:color w:val="auto"/>
                <w:kern w:val="2"/>
                <w:sz w:val="21"/>
                <w:szCs w:val="21"/>
                <w:highlight w:val="none"/>
                <w:lang w:val="en-US" w:eastAsia="zh-CN" w:bidi="ar-SA"/>
              </w:rPr>
              <w:t>，每有一次，扣1分；未形成检测报告，每有一次，扣1分。</w:t>
            </w:r>
          </w:p>
        </w:tc>
        <w:tc>
          <w:tcPr>
            <w:tcW w:w="735" w:type="dxa"/>
            <w:noWrap w:val="0"/>
            <w:vAlign w:val="center"/>
          </w:tcPr>
          <w:p w14:paraId="3923731B">
            <w:pPr>
              <w:keepNext w:val="0"/>
              <w:keepLines w:val="0"/>
              <w:pageBreakBefore w:val="0"/>
              <w:widowControl/>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206" w:type="dxa"/>
            <w:noWrap w:val="0"/>
            <w:vAlign w:val="center"/>
          </w:tcPr>
          <w:p w14:paraId="3231E25B">
            <w:pPr>
              <w:keepNext w:val="0"/>
              <w:keepLines w:val="0"/>
              <w:pageBreakBefore w:val="0"/>
              <w:widowControl/>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color w:val="auto"/>
                <w:sz w:val="21"/>
                <w:szCs w:val="21"/>
                <w:highlight w:val="none"/>
              </w:rPr>
            </w:pPr>
          </w:p>
        </w:tc>
      </w:tr>
    </w:tbl>
    <w:p w14:paraId="6A91698F">
      <w:pPr>
        <w:widowControl/>
        <w:jc w:val="left"/>
        <w:rPr>
          <w:color w:val="auto"/>
          <w:highlight w:val="none"/>
        </w:rPr>
        <w:sectPr>
          <w:headerReference r:id="rId12" w:type="default"/>
          <w:footerReference r:id="rId13" w:type="default"/>
          <w:pgSz w:w="16838" w:h="11905" w:orient="landscape"/>
          <w:pgMar w:top="1803" w:right="1440" w:bottom="1706" w:left="1440" w:header="850" w:footer="992" w:gutter="0"/>
          <w:pgNumType w:fmt="decimal"/>
          <w:cols w:space="0" w:num="1"/>
          <w:rtlGutter w:val="0"/>
          <w:docGrid w:type="lines" w:linePitch="322" w:charSpace="0"/>
        </w:sectPr>
      </w:pPr>
    </w:p>
    <w:p w14:paraId="2EB9BE8C">
      <w:pPr>
        <w:spacing w:line="360" w:lineRule="auto"/>
        <w:rPr>
          <w:rFonts w:hint="eastAsia" w:ascii="宋体" w:hAnsi="宋体" w:eastAsia="宋体" w:cs="Times New Roman"/>
          <w:b/>
          <w:bCs/>
          <w:color w:val="auto"/>
          <w:kern w:val="0"/>
          <w:sz w:val="32"/>
          <w:szCs w:val="32"/>
          <w:highlight w:val="none"/>
        </w:rPr>
      </w:pPr>
    </w:p>
    <w:p w14:paraId="2D9B5E91">
      <w:pPr>
        <w:widowControl w:val="0"/>
        <w:spacing w:line="360" w:lineRule="auto"/>
        <w:jc w:val="center"/>
        <w:outlineLvl w:val="0"/>
        <w:rPr>
          <w:rFonts w:hint="eastAsia" w:ascii="宋体" w:hAnsi="宋体" w:eastAsia="宋体" w:cs="Times New Roman"/>
          <w:b/>
          <w:color w:val="auto"/>
          <w:sz w:val="36"/>
          <w:szCs w:val="36"/>
          <w:highlight w:val="none"/>
        </w:rPr>
      </w:pPr>
      <w:bookmarkStart w:id="509" w:name="_Toc2704"/>
      <w:bookmarkStart w:id="510" w:name="_Toc104818930"/>
      <w:r>
        <w:rPr>
          <w:rFonts w:hint="default" w:ascii="宋体" w:hAnsi="宋体" w:eastAsia="宋体" w:cs="Times New Roman"/>
          <w:b/>
          <w:color w:val="auto"/>
          <w:sz w:val="36"/>
          <w:szCs w:val="36"/>
          <w:highlight w:val="none"/>
        </w:rPr>
        <w:t>第</w:t>
      </w:r>
      <w:r>
        <w:rPr>
          <w:rFonts w:hint="eastAsia" w:ascii="宋体" w:hAnsi="宋体" w:eastAsia="宋体" w:cs="Times New Roman"/>
          <w:b/>
          <w:color w:val="auto"/>
          <w:sz w:val="36"/>
          <w:szCs w:val="36"/>
          <w:highlight w:val="none"/>
        </w:rPr>
        <w:t>七</w:t>
      </w:r>
      <w:r>
        <w:rPr>
          <w:rFonts w:hint="default" w:ascii="宋体" w:hAnsi="宋体" w:eastAsia="宋体" w:cs="Times New Roman"/>
          <w:b/>
          <w:color w:val="auto"/>
          <w:sz w:val="36"/>
          <w:szCs w:val="36"/>
          <w:highlight w:val="none"/>
        </w:rPr>
        <w:t>章</w:t>
      </w:r>
      <w:r>
        <w:rPr>
          <w:rFonts w:hint="eastAsia" w:ascii="宋体" w:hAnsi="宋体" w:eastAsia="宋体" w:cs="Times New Roman"/>
          <w:b/>
          <w:color w:val="auto"/>
          <w:sz w:val="36"/>
          <w:szCs w:val="36"/>
          <w:highlight w:val="none"/>
        </w:rPr>
        <w:t xml:space="preserve"> 投标</w:t>
      </w:r>
      <w:r>
        <w:rPr>
          <w:rFonts w:hint="default" w:ascii="宋体" w:hAnsi="宋体" w:eastAsia="宋体" w:cs="Times New Roman"/>
          <w:b/>
          <w:color w:val="auto"/>
          <w:sz w:val="36"/>
          <w:szCs w:val="36"/>
          <w:highlight w:val="none"/>
        </w:rPr>
        <w:t>文件格式</w:t>
      </w:r>
      <w:bookmarkEnd w:id="509"/>
      <w:bookmarkEnd w:id="510"/>
    </w:p>
    <w:p w14:paraId="4872A06A">
      <w:pPr>
        <w:widowControl w:val="0"/>
        <w:spacing w:line="360" w:lineRule="auto"/>
        <w:ind w:firstLine="482"/>
        <w:jc w:val="both"/>
        <w:rPr>
          <w:rFonts w:hint="eastAsia"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投标人编制文件须知</w:t>
      </w:r>
    </w:p>
    <w:p w14:paraId="56132BE7">
      <w:pPr>
        <w:widowControl w:val="0"/>
        <w:spacing w:line="360" w:lineRule="auto"/>
        <w:ind w:firstLine="480"/>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1、投标人按照本部分的顺序编制投标文件（资格证明文件）、投标文件（商务技术文件），编制中涉及格式资料的，应按照本部分提供的内容和格式（所有表格的格式可扩展）填写提交。</w:t>
      </w:r>
    </w:p>
    <w:p w14:paraId="61130A02">
      <w:pPr>
        <w:widowControl w:val="0"/>
        <w:spacing w:line="360" w:lineRule="auto"/>
        <w:ind w:firstLine="480"/>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18E9902D">
      <w:pPr>
        <w:widowControl w:val="0"/>
        <w:spacing w:line="360" w:lineRule="auto"/>
        <w:ind w:firstLine="480"/>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3、全部声明和问题的回答及所附材料必须是真实的、准确的和完整的。</w:t>
      </w:r>
    </w:p>
    <w:p w14:paraId="6EA4A280">
      <w:pPr>
        <w:spacing w:line="360" w:lineRule="auto"/>
        <w:ind w:firstLine="480"/>
        <w:rPr>
          <w:rFonts w:hint="eastAsia" w:eastAsia="宋体"/>
          <w:color w:val="auto"/>
          <w:sz w:val="24"/>
          <w:szCs w:val="24"/>
          <w:highlight w:val="none"/>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Times New Roman"/>
          <w:color w:val="auto"/>
          <w:sz w:val="24"/>
          <w:szCs w:val="24"/>
          <w:highlight w:val="none"/>
        </w:rPr>
        <w:t>4、实行电子化不见面交易方式的，加盖公章、签名等均通过</w:t>
      </w:r>
      <w:r>
        <w:rPr>
          <w:rFonts w:hint="default" w:ascii="宋体" w:hAnsi="宋体" w:eastAsia="宋体" w:cs="Times New Roman"/>
          <w:color w:val="auto"/>
          <w:sz w:val="24"/>
          <w:szCs w:val="24"/>
          <w:highlight w:val="none"/>
        </w:rPr>
        <w:t>投标文件编制工具</w:t>
      </w:r>
      <w:r>
        <w:rPr>
          <w:rFonts w:hint="eastAsia" w:ascii="宋体" w:hAnsi="宋体" w:eastAsia="宋体" w:cs="Times New Roman"/>
          <w:color w:val="auto"/>
          <w:sz w:val="24"/>
          <w:szCs w:val="24"/>
          <w:highlight w:val="none"/>
        </w:rPr>
        <w:t>加盖电子公章、</w:t>
      </w:r>
      <w:r>
        <w:rPr>
          <w:rFonts w:hint="default" w:ascii="宋体" w:hAnsi="宋体" w:eastAsia="宋体" w:cs="Times New Roman"/>
          <w:color w:val="auto"/>
          <w:sz w:val="24"/>
          <w:szCs w:val="24"/>
          <w:highlight w:val="none"/>
        </w:rPr>
        <w:t>签字</w:t>
      </w:r>
      <w:r>
        <w:rPr>
          <w:rFonts w:hint="eastAsia" w:ascii="宋体" w:hAnsi="宋体" w:eastAsia="宋体" w:cs="Times New Roman"/>
          <w:color w:val="auto"/>
          <w:sz w:val="24"/>
          <w:szCs w:val="24"/>
          <w:highlight w:val="none"/>
        </w:rPr>
        <w:t>、签章</w:t>
      </w:r>
      <w:r>
        <w:rPr>
          <w:rFonts w:hint="default" w:ascii="宋体" w:hAnsi="宋体" w:eastAsia="宋体" w:cs="Times New Roman"/>
          <w:color w:val="auto"/>
          <w:sz w:val="24"/>
          <w:szCs w:val="24"/>
          <w:highlight w:val="none"/>
        </w:rPr>
        <w:t>或</w:t>
      </w:r>
      <w:r>
        <w:rPr>
          <w:rFonts w:hint="eastAsia" w:ascii="宋体" w:hAnsi="宋体" w:eastAsia="宋体" w:cs="Times New Roman"/>
          <w:color w:val="auto"/>
          <w:sz w:val="24"/>
          <w:szCs w:val="24"/>
          <w:highlight w:val="none"/>
        </w:rPr>
        <w:t>印鉴。</w:t>
      </w:r>
    </w:p>
    <w:p w14:paraId="7F42D392">
      <w:pPr>
        <w:spacing w:line="360" w:lineRule="auto"/>
        <w:ind w:left="267" w:hanging="267"/>
        <w:rPr>
          <w:rFonts w:hint="eastAsia" w:ascii="宋体" w:hAnsi="宋体" w:eastAsia="宋体" w:cs="Times New Roman"/>
          <w:b/>
          <w:color w:val="auto"/>
          <w:kern w:val="0"/>
          <w:sz w:val="24"/>
          <w:szCs w:val="22"/>
          <w:highlight w:val="none"/>
        </w:rPr>
      </w:pPr>
      <w:r>
        <w:rPr>
          <w:rFonts w:hint="eastAsia" w:ascii="宋体" w:hAnsi="宋体" w:eastAsia="宋体" w:cs="Times New Roman"/>
          <w:b/>
          <w:color w:val="auto"/>
          <w:spacing w:val="20"/>
          <w:kern w:val="0"/>
          <w:sz w:val="24"/>
          <w:szCs w:val="22"/>
          <w:highlight w:val="none"/>
        </w:rPr>
        <w:t>投标</w:t>
      </w:r>
      <w:r>
        <w:rPr>
          <w:rFonts w:hint="default" w:ascii="宋体" w:hAnsi="宋体" w:eastAsia="宋体" w:cs="Times New Roman"/>
          <w:b/>
          <w:color w:val="auto"/>
          <w:spacing w:val="20"/>
          <w:kern w:val="0"/>
          <w:sz w:val="24"/>
          <w:szCs w:val="22"/>
          <w:highlight w:val="none"/>
        </w:rPr>
        <w:t>文件</w:t>
      </w:r>
      <w:r>
        <w:rPr>
          <w:rFonts w:hint="default" w:ascii="宋体" w:hAnsi="宋体" w:eastAsia="宋体" w:cs="Times New Roman"/>
          <w:b/>
          <w:color w:val="auto"/>
          <w:kern w:val="0"/>
          <w:sz w:val="24"/>
          <w:szCs w:val="22"/>
          <w:highlight w:val="none"/>
        </w:rPr>
        <w:t>封面（非实质性格式）</w:t>
      </w:r>
    </w:p>
    <w:p w14:paraId="5C39FB4D">
      <w:pPr>
        <w:spacing w:line="360" w:lineRule="auto"/>
        <w:ind w:left="915" w:hanging="915"/>
        <w:jc w:val="center"/>
        <w:rPr>
          <w:rFonts w:hint="eastAsia" w:ascii="宋体" w:hAnsi="宋体" w:eastAsia="宋体" w:cs="Times New Roman"/>
          <w:b/>
          <w:color w:val="auto"/>
          <w:spacing w:val="60"/>
          <w:kern w:val="0"/>
          <w:sz w:val="84"/>
          <w:szCs w:val="84"/>
          <w:highlight w:val="none"/>
        </w:rPr>
      </w:pPr>
    </w:p>
    <w:p w14:paraId="0191BE2D">
      <w:pPr>
        <w:spacing w:line="360" w:lineRule="auto"/>
        <w:ind w:left="915" w:hanging="915"/>
        <w:jc w:val="center"/>
        <w:rPr>
          <w:rFonts w:hint="eastAsia" w:ascii="宋体" w:hAnsi="宋体" w:eastAsia="宋体" w:cs="Times New Roman"/>
          <w:b/>
          <w:color w:val="auto"/>
          <w:spacing w:val="60"/>
          <w:kern w:val="0"/>
          <w:sz w:val="84"/>
          <w:szCs w:val="84"/>
          <w:highlight w:val="none"/>
        </w:rPr>
      </w:pPr>
    </w:p>
    <w:p w14:paraId="263AC188">
      <w:pPr>
        <w:spacing w:line="360" w:lineRule="auto"/>
        <w:ind w:left="915" w:hanging="915"/>
        <w:jc w:val="center"/>
        <w:rPr>
          <w:rFonts w:hint="eastAsia" w:ascii="宋体" w:hAnsi="宋体" w:eastAsia="宋体" w:cs="Times New Roman"/>
          <w:b/>
          <w:color w:val="auto"/>
          <w:spacing w:val="60"/>
          <w:kern w:val="0"/>
          <w:sz w:val="84"/>
          <w:szCs w:val="84"/>
          <w:highlight w:val="none"/>
        </w:rPr>
      </w:pPr>
      <w:r>
        <w:rPr>
          <w:rFonts w:hint="eastAsia" w:ascii="宋体" w:hAnsi="宋体" w:eastAsia="宋体" w:cs="Times New Roman"/>
          <w:b/>
          <w:color w:val="auto"/>
          <w:spacing w:val="60"/>
          <w:kern w:val="0"/>
          <w:sz w:val="84"/>
          <w:szCs w:val="84"/>
          <w:highlight w:val="none"/>
        </w:rPr>
        <w:t xml:space="preserve">投 标 </w:t>
      </w:r>
      <w:r>
        <w:rPr>
          <w:rFonts w:hint="default" w:ascii="宋体" w:hAnsi="宋体" w:eastAsia="宋体" w:cs="Times New Roman"/>
          <w:b/>
          <w:color w:val="auto"/>
          <w:spacing w:val="60"/>
          <w:kern w:val="0"/>
          <w:sz w:val="84"/>
          <w:szCs w:val="84"/>
          <w:highlight w:val="none"/>
        </w:rPr>
        <w:t>文件</w:t>
      </w:r>
    </w:p>
    <w:p w14:paraId="7C96981B">
      <w:pPr>
        <w:spacing w:line="360" w:lineRule="auto"/>
        <w:ind w:left="915" w:hanging="915"/>
        <w:jc w:val="center"/>
        <w:rPr>
          <w:rFonts w:hint="eastAsia" w:ascii="宋体" w:hAnsi="宋体" w:eastAsia="宋体" w:cs="Times New Roman"/>
          <w:b/>
          <w:color w:val="auto"/>
          <w:spacing w:val="60"/>
          <w:kern w:val="0"/>
          <w:sz w:val="84"/>
          <w:szCs w:val="84"/>
          <w:highlight w:val="none"/>
        </w:rPr>
      </w:pPr>
    </w:p>
    <w:p w14:paraId="590B5348">
      <w:pPr>
        <w:spacing w:line="360" w:lineRule="auto"/>
        <w:ind w:left="915" w:hanging="915"/>
        <w:jc w:val="center"/>
        <w:rPr>
          <w:rFonts w:hint="eastAsia" w:ascii="宋体" w:hAnsi="宋体" w:eastAsia="宋体" w:cs="Times New Roman"/>
          <w:b/>
          <w:color w:val="auto"/>
          <w:spacing w:val="60"/>
          <w:kern w:val="0"/>
          <w:sz w:val="84"/>
          <w:szCs w:val="84"/>
          <w:highlight w:val="none"/>
        </w:rPr>
      </w:pPr>
    </w:p>
    <w:p w14:paraId="265F438C">
      <w:pPr>
        <w:ind w:firstLine="1084"/>
        <w:rPr>
          <w:rFonts w:hint="eastAsia" w:ascii="宋体" w:hAnsi="宋体" w:eastAsia="宋体" w:cs="Times New Roman"/>
          <w:b/>
          <w:color w:val="auto"/>
          <w:kern w:val="0"/>
          <w:sz w:val="36"/>
          <w:szCs w:val="22"/>
          <w:highlight w:val="none"/>
        </w:rPr>
      </w:pPr>
      <w:r>
        <w:rPr>
          <w:rFonts w:hint="eastAsia" w:ascii="宋体" w:hAnsi="宋体" w:eastAsia="宋体" w:cs="Times New Roman"/>
          <w:b/>
          <w:color w:val="auto"/>
          <w:kern w:val="0"/>
          <w:sz w:val="36"/>
          <w:szCs w:val="22"/>
          <w:highlight w:val="none"/>
        </w:rPr>
        <w:t>项 目 名 称：</w:t>
      </w:r>
    </w:p>
    <w:p w14:paraId="1C7F13CF">
      <w:pPr>
        <w:ind w:firstLine="1084"/>
        <w:rPr>
          <w:rFonts w:hint="eastAsia" w:ascii="宋体" w:hAnsi="宋体" w:eastAsia="宋体" w:cs="Times New Roman"/>
          <w:b/>
          <w:color w:val="auto"/>
          <w:kern w:val="0"/>
          <w:sz w:val="36"/>
          <w:szCs w:val="22"/>
          <w:highlight w:val="none"/>
          <w:u w:val="single"/>
        </w:rPr>
      </w:pPr>
      <w:r>
        <w:rPr>
          <w:rFonts w:hint="eastAsia" w:ascii="宋体" w:hAnsi="宋体" w:eastAsia="宋体" w:cs="Times New Roman"/>
          <w:b/>
          <w:color w:val="auto"/>
          <w:kern w:val="0"/>
          <w:sz w:val="36"/>
          <w:szCs w:val="22"/>
          <w:highlight w:val="none"/>
        </w:rPr>
        <w:t>项 目 编 号：</w:t>
      </w:r>
    </w:p>
    <w:p w14:paraId="517C745A">
      <w:pPr>
        <w:ind w:firstLine="1084"/>
        <w:rPr>
          <w:rFonts w:hint="eastAsia" w:ascii="宋体" w:hAnsi="宋体" w:eastAsia="宋体" w:cs="Times New Roman"/>
          <w:b/>
          <w:color w:val="auto"/>
          <w:kern w:val="0"/>
          <w:sz w:val="36"/>
          <w:szCs w:val="22"/>
          <w:highlight w:val="none"/>
        </w:rPr>
      </w:pPr>
      <w:r>
        <w:rPr>
          <w:rFonts w:hint="eastAsia" w:ascii="宋体" w:hAnsi="宋体" w:eastAsia="宋体" w:cs="Times New Roman"/>
          <w:b/>
          <w:color w:val="auto"/>
          <w:kern w:val="0"/>
          <w:sz w:val="36"/>
          <w:szCs w:val="22"/>
          <w:highlight w:val="none"/>
        </w:rPr>
        <w:t>投标人名称 ：</w:t>
      </w:r>
    </w:p>
    <w:p w14:paraId="4A8C2AFE">
      <w:pPr>
        <w:ind w:firstLine="1084"/>
        <w:rPr>
          <w:rFonts w:hint="eastAsia" w:ascii="宋体" w:hAnsi="宋体" w:eastAsia="宋体" w:cs="Times New Roman"/>
          <w:b/>
          <w:color w:val="auto"/>
          <w:kern w:val="0"/>
          <w:sz w:val="36"/>
          <w:szCs w:val="22"/>
          <w:highlight w:val="none"/>
          <w:u w:val="single"/>
        </w:rPr>
      </w:pPr>
      <w:r>
        <w:rPr>
          <w:rFonts w:hint="eastAsia" w:ascii="宋体" w:hAnsi="宋体" w:eastAsia="宋体" w:cs="Times New Roman"/>
          <w:b/>
          <w:color w:val="auto"/>
          <w:kern w:val="0"/>
          <w:sz w:val="36"/>
          <w:szCs w:val="22"/>
          <w:highlight w:val="none"/>
        </w:rPr>
        <w:t>日      期 ：</w:t>
      </w:r>
    </w:p>
    <w:p w14:paraId="75BC80A1">
      <w:pPr>
        <w:ind w:left="343" w:hanging="343"/>
        <w:rPr>
          <w:rFonts w:hint="eastAsia" w:ascii="宋体" w:hAnsi="宋体" w:eastAsia="宋体"/>
          <w:b/>
          <w:color w:val="auto"/>
          <w:sz w:val="36"/>
          <w:highlight w:val="none"/>
        </w:rPr>
        <w:sectPr>
          <w:pgSz w:w="11906" w:h="16838"/>
          <w:pgMar w:top="1440" w:right="1800" w:bottom="1440" w:left="1800" w:header="851" w:footer="992" w:gutter="0"/>
          <w:pgNumType w:fmt="decimal"/>
          <w:cols w:space="425" w:num="1"/>
          <w:docGrid w:linePitch="360" w:charSpace="0"/>
        </w:sectPr>
      </w:pPr>
    </w:p>
    <w:p w14:paraId="37C59B5F">
      <w:pPr>
        <w:spacing w:line="360" w:lineRule="auto"/>
        <w:ind w:left="267" w:hanging="267"/>
        <w:outlineLvl w:val="2"/>
        <w:rPr>
          <w:rFonts w:hint="eastAsia" w:ascii="宋体" w:hAnsi="宋体" w:eastAsia="宋体" w:cs="Times New Roman"/>
          <w:color w:val="auto"/>
          <w:kern w:val="0"/>
          <w:sz w:val="28"/>
          <w:szCs w:val="28"/>
          <w:highlight w:val="none"/>
        </w:rPr>
      </w:pPr>
      <w:r>
        <w:rPr>
          <w:rFonts w:hint="eastAsia" w:ascii="宋体" w:hAnsi="宋体" w:eastAsia="宋体" w:cs="Times New Roman"/>
          <w:b/>
          <w:color w:val="auto"/>
          <w:kern w:val="0"/>
          <w:sz w:val="28"/>
          <w:szCs w:val="28"/>
          <w:highlight w:val="none"/>
        </w:rPr>
        <w:t>一、资格证明文件</w:t>
      </w:r>
    </w:p>
    <w:p w14:paraId="4DFDAF80">
      <w:pPr>
        <w:spacing w:line="360" w:lineRule="auto"/>
        <w:ind w:left="228" w:hanging="228"/>
        <w:outlineLvl w:val="2"/>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 xml:space="preserve">1 </w:t>
      </w:r>
      <w:r>
        <w:rPr>
          <w:rFonts w:hint="default" w:ascii="宋体" w:hAnsi="宋体" w:eastAsia="宋体" w:cs="Times New Roman"/>
          <w:color w:val="auto"/>
          <w:kern w:val="0"/>
          <w:sz w:val="24"/>
          <w:szCs w:val="22"/>
          <w:highlight w:val="none"/>
        </w:rPr>
        <w:t>满足《中华人民共和国政府采购法》第二十二条规定及法律法规的其他规定</w:t>
      </w:r>
    </w:p>
    <w:p w14:paraId="70FC02C1">
      <w:pPr>
        <w:spacing w:line="360" w:lineRule="auto"/>
        <w:ind w:left="228" w:hanging="228"/>
        <w:outlineLvl w:val="2"/>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1-</w:t>
      </w:r>
      <w:r>
        <w:rPr>
          <w:rFonts w:hint="eastAsia" w:ascii="宋体" w:hAnsi="宋体" w:eastAsia="宋体" w:cs="Times New Roman"/>
          <w:bCs/>
          <w:color w:val="auto"/>
          <w:kern w:val="0"/>
          <w:sz w:val="24"/>
          <w:szCs w:val="22"/>
          <w:highlight w:val="none"/>
        </w:rPr>
        <w:t>1投标人</w:t>
      </w:r>
      <w:r>
        <w:rPr>
          <w:rFonts w:hint="default" w:ascii="宋体" w:hAnsi="宋体" w:eastAsia="宋体" w:cs="Times New Roman"/>
          <w:color w:val="auto"/>
          <w:kern w:val="0"/>
          <w:sz w:val="24"/>
          <w:szCs w:val="22"/>
          <w:highlight w:val="none"/>
        </w:rPr>
        <w:t>资格</w:t>
      </w:r>
      <w:r>
        <w:rPr>
          <w:rFonts w:hint="default" w:ascii="宋体" w:hAnsi="宋体" w:eastAsia="宋体" w:cs="Times New Roman"/>
          <w:bCs/>
          <w:color w:val="auto"/>
          <w:kern w:val="0"/>
          <w:sz w:val="24"/>
          <w:szCs w:val="22"/>
          <w:highlight w:val="none"/>
        </w:rPr>
        <w:t>声明</w:t>
      </w:r>
      <w:r>
        <w:rPr>
          <w:rFonts w:hint="eastAsia" w:ascii="宋体" w:hAnsi="宋体" w:eastAsia="宋体" w:cs="Times New Roman"/>
          <w:bCs/>
          <w:color w:val="auto"/>
          <w:kern w:val="0"/>
          <w:sz w:val="24"/>
          <w:szCs w:val="22"/>
          <w:highlight w:val="none"/>
        </w:rPr>
        <w:t>函</w:t>
      </w:r>
      <w:r>
        <w:rPr>
          <w:rFonts w:hint="default" w:ascii="宋体" w:hAnsi="宋体" w:eastAsia="宋体" w:cs="Times New Roman"/>
          <w:bCs/>
          <w:color w:val="auto"/>
          <w:kern w:val="0"/>
          <w:sz w:val="24"/>
          <w:szCs w:val="22"/>
          <w:highlight w:val="none"/>
        </w:rPr>
        <w:t>（实质性格式）</w:t>
      </w:r>
    </w:p>
    <w:p w14:paraId="5559979B">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投标人资格声明函</w:t>
      </w:r>
    </w:p>
    <w:p w14:paraId="11418194">
      <w:pPr>
        <w:spacing w:line="360" w:lineRule="auto"/>
        <w:ind w:left="228" w:hanging="228"/>
        <w:contextualSpacing/>
        <w:rPr>
          <w:rFonts w:hint="eastAsia" w:ascii="宋体" w:hAnsi="宋体" w:eastAsia="宋体" w:cs="Times New Roman"/>
          <w:bCs/>
          <w:color w:val="auto"/>
          <w:kern w:val="0"/>
          <w:sz w:val="24"/>
          <w:szCs w:val="22"/>
          <w:highlight w:val="none"/>
          <w:lang w:eastAsia="zh-CN"/>
        </w:rPr>
      </w:pPr>
      <w:r>
        <w:rPr>
          <w:rFonts w:hint="eastAsia" w:ascii="宋体" w:hAnsi="宋体" w:eastAsia="宋体" w:cs="Times New Roman"/>
          <w:bCs/>
          <w:color w:val="auto"/>
          <w:kern w:val="0"/>
          <w:sz w:val="24"/>
          <w:szCs w:val="22"/>
          <w:highlight w:val="none"/>
        </w:rPr>
        <w:t>致：</w:t>
      </w:r>
      <w:r>
        <w:rPr>
          <w:rFonts w:hint="eastAsia" w:ascii="宋体" w:hAnsi="宋体" w:eastAsia="宋体" w:cs="Times New Roman"/>
          <w:bCs/>
          <w:color w:val="auto"/>
          <w:kern w:val="0"/>
          <w:sz w:val="24"/>
          <w:szCs w:val="22"/>
          <w:highlight w:val="none"/>
          <w:lang w:eastAsia="zh-CN"/>
        </w:rPr>
        <w:t>江苏昊丰润全建设项目管理有限公司</w:t>
      </w:r>
    </w:p>
    <w:p w14:paraId="0CAB9E75">
      <w:pPr>
        <w:spacing w:line="360" w:lineRule="auto"/>
        <w:ind w:firstLine="480"/>
        <w:contextualSpacing/>
        <w:rPr>
          <w:rFonts w:hint="eastAsia" w:ascii="宋体" w:hAnsi="宋体" w:eastAsia="宋体" w:cs="Times New Roman"/>
          <w:bCs/>
          <w:color w:val="auto"/>
          <w:kern w:val="0"/>
          <w:sz w:val="24"/>
          <w:szCs w:val="22"/>
          <w:highlight w:val="none"/>
          <w:lang w:eastAsia="zh-CN"/>
        </w:rPr>
      </w:pPr>
      <w:r>
        <w:rPr>
          <w:rFonts w:hint="eastAsia" w:ascii="宋体" w:hAnsi="宋体" w:eastAsia="宋体" w:cs="Times New Roman"/>
          <w:bCs/>
          <w:color w:val="auto"/>
          <w:kern w:val="0"/>
          <w:sz w:val="24"/>
          <w:szCs w:val="22"/>
          <w:highlight w:val="none"/>
          <w:lang w:eastAsia="zh-CN"/>
        </w:rPr>
        <w:t>江苏常州经济开发区农业农村工作局</w:t>
      </w:r>
    </w:p>
    <w:p w14:paraId="0AC72706">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按照《中华人民共和国政府采购法》第二十二条和招标文件的规定，我单位郑重声明如下：</w:t>
      </w:r>
    </w:p>
    <w:p w14:paraId="2622A6BF">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一、我单位是按照中华人民共和国法律规定登记注册的，注册地点为</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rPr>
        <w:t>，全称为</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rPr>
        <w:t>，统一社会信用代码为</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rPr>
        <w:t>，法定代表人（单位负责人）为</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rPr>
        <w:t>，具有独立承担民事责任的能力</w:t>
      </w:r>
      <w:r>
        <w:rPr>
          <w:rFonts w:hint="eastAsia" w:ascii="宋体" w:hAnsi="宋体" w:eastAsia="宋体" w:cs="Times New Roman"/>
          <w:b/>
          <w:color w:val="auto"/>
          <w:kern w:val="0"/>
          <w:sz w:val="24"/>
          <w:szCs w:val="22"/>
          <w:highlight w:val="none"/>
        </w:rPr>
        <w:t>（如属于分公司经总公司授权参与项目，由总公司承担民事责任的，需提供总公司项目授权书）</w:t>
      </w:r>
      <w:r>
        <w:rPr>
          <w:rFonts w:hint="eastAsia" w:ascii="宋体" w:hAnsi="宋体" w:eastAsia="宋体" w:cs="Times New Roman"/>
          <w:bCs/>
          <w:color w:val="auto"/>
          <w:kern w:val="0"/>
          <w:sz w:val="24"/>
          <w:szCs w:val="22"/>
          <w:highlight w:val="none"/>
        </w:rPr>
        <w:t>。</w:t>
      </w:r>
    </w:p>
    <w:p w14:paraId="4F06D943">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二、我单位具有良好的商业信誉（指投标人经营状况良好，无本资格声明第十条情形）和健全的财务会计制度。</w:t>
      </w:r>
    </w:p>
    <w:p w14:paraId="562C7BEC">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三、我单位依法进行纳税和社会保险申报并实际履行了义务。</w:t>
      </w:r>
    </w:p>
    <w:p w14:paraId="142AA2A3">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四、我单位具有履行本项目采购合同所必需的设备和专业技术能力，并具有履行合同的良好</w:t>
      </w:r>
      <w:r>
        <w:rPr>
          <w:rFonts w:hint="default" w:ascii="宋体" w:hAnsi="宋体" w:eastAsia="宋体" w:cs="Times New Roman"/>
          <w:bCs/>
          <w:color w:val="auto"/>
          <w:kern w:val="0"/>
          <w:sz w:val="24"/>
          <w:szCs w:val="22"/>
          <w:highlight w:val="none"/>
        </w:rPr>
        <w:t>记录</w:t>
      </w:r>
      <w:r>
        <w:rPr>
          <w:rFonts w:hint="eastAsia" w:ascii="宋体" w:hAnsi="宋体" w:eastAsia="宋体" w:cs="Times New Roman"/>
          <w:bCs/>
          <w:color w:val="auto"/>
          <w:kern w:val="0"/>
          <w:sz w:val="24"/>
          <w:szCs w:val="22"/>
          <w:highlight w:val="none"/>
        </w:rPr>
        <w:t>。为履行本项采购合同我单位具备如下主要设备和主要专业技术能力:</w:t>
      </w:r>
    </w:p>
    <w:p w14:paraId="6E1F3E49">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主要设备有：</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p>
    <w:p w14:paraId="43394396">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主要专业技术能力有：</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p>
    <w:p w14:paraId="08D1A513">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1542F09D">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六、我单位具备法律、行政法规规定的其他条件。</w:t>
      </w:r>
    </w:p>
    <w:p w14:paraId="2066263A">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七、与我单位存在“单位负责人为同一人或者存在直接控股、管理关系”的其他单位信息如下（如无此情形的，填写“无”）：</w:t>
      </w:r>
    </w:p>
    <w:p w14:paraId="010444A5">
      <w:pPr>
        <w:spacing w:line="360" w:lineRule="auto"/>
        <w:ind w:firstLine="480"/>
        <w:contextualSpacing/>
        <w:rPr>
          <w:rFonts w:hint="eastAsia" w:ascii="宋体" w:hAnsi="宋体" w:eastAsia="宋体" w:cs="Times New Roman"/>
          <w:bCs/>
          <w:color w:val="auto"/>
          <w:kern w:val="0"/>
          <w:sz w:val="24"/>
          <w:szCs w:val="22"/>
          <w:highlight w:val="none"/>
          <w:u w:val="single"/>
        </w:rPr>
      </w:pPr>
      <w:r>
        <w:rPr>
          <w:rFonts w:hint="eastAsia" w:ascii="宋体" w:hAnsi="宋体" w:eastAsia="宋体" w:cs="Times New Roman"/>
          <w:bCs/>
          <w:color w:val="auto"/>
          <w:kern w:val="0"/>
          <w:sz w:val="24"/>
          <w:szCs w:val="22"/>
          <w:highlight w:val="none"/>
        </w:rPr>
        <w:t>1、与我单位的法定代表人（单位负责人）为同一人的其他单位如下：</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p>
    <w:p w14:paraId="3493241F">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2、我单位直接控股的其他单位如下：</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p>
    <w:p w14:paraId="54EB5EF6">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3、与我单位存在管理关系的其他单位如下：</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r>
        <w:rPr>
          <w:rFonts w:hint="eastAsia" w:ascii="宋体" w:hAnsi="宋体" w:eastAsia="宋体" w:cs="Times New Roman"/>
          <w:bCs/>
          <w:color w:val="auto"/>
          <w:kern w:val="0"/>
          <w:sz w:val="24"/>
          <w:szCs w:val="22"/>
          <w:highlight w:val="none"/>
          <w:u w:val="single"/>
        </w:rPr>
        <w:t xml:space="preserve"> </w:t>
      </w:r>
      <w:r>
        <w:rPr>
          <w:rFonts w:hint="default" w:ascii="宋体" w:hAnsi="宋体" w:eastAsia="宋体" w:cs="Times New Roman"/>
          <w:bCs/>
          <w:color w:val="auto"/>
          <w:kern w:val="0"/>
          <w:sz w:val="24"/>
          <w:szCs w:val="22"/>
          <w:highlight w:val="none"/>
          <w:u w:val="single"/>
        </w:rPr>
        <w:t xml:space="preserve">  </w:t>
      </w:r>
    </w:p>
    <w:p w14:paraId="6D2EF07B">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八、</w:t>
      </w:r>
      <w:r>
        <w:rPr>
          <w:rFonts w:hint="default" w:ascii="宋体" w:hAnsi="宋体" w:eastAsia="宋体" w:cs="Times New Roman"/>
          <w:bCs/>
          <w:color w:val="auto"/>
          <w:kern w:val="0"/>
          <w:sz w:val="24"/>
          <w:szCs w:val="22"/>
          <w:highlight w:val="none"/>
        </w:rPr>
        <w:t>我</w:t>
      </w:r>
      <w:r>
        <w:rPr>
          <w:rFonts w:hint="eastAsia" w:ascii="宋体" w:hAnsi="宋体" w:eastAsia="宋体" w:cs="Times New Roman"/>
          <w:bCs/>
          <w:color w:val="auto"/>
          <w:kern w:val="0"/>
          <w:sz w:val="24"/>
          <w:szCs w:val="22"/>
          <w:highlight w:val="none"/>
        </w:rPr>
        <w:t>单位</w:t>
      </w:r>
      <w:r>
        <w:rPr>
          <w:rFonts w:hint="default" w:ascii="宋体" w:hAnsi="宋体" w:eastAsia="宋体" w:cs="Times New Roman"/>
          <w:bCs/>
          <w:color w:val="auto"/>
          <w:kern w:val="0"/>
          <w:sz w:val="24"/>
          <w:szCs w:val="22"/>
          <w:highlight w:val="none"/>
        </w:rPr>
        <w:t>不属于为本项目提供整体设计、规范编制或者项目管理、监理、检测等服务的投标人。</w:t>
      </w:r>
    </w:p>
    <w:p w14:paraId="25F1FA5E">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九、</w:t>
      </w:r>
      <w:r>
        <w:rPr>
          <w:rFonts w:hint="default" w:ascii="宋体" w:hAnsi="宋体" w:eastAsia="宋体" w:cs="Times New Roman"/>
          <w:bCs/>
          <w:color w:val="auto"/>
          <w:kern w:val="0"/>
          <w:sz w:val="24"/>
          <w:szCs w:val="22"/>
          <w:highlight w:val="none"/>
        </w:rPr>
        <w:t>我单位无以下不良信用记录情形：</w:t>
      </w:r>
    </w:p>
    <w:p w14:paraId="204F27D0">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1</w:t>
      </w:r>
      <w:r>
        <w:rPr>
          <w:rFonts w:hint="eastAsia" w:ascii="宋体" w:hAnsi="宋体" w:eastAsia="宋体" w:cs="Times New Roman"/>
          <w:bCs/>
          <w:color w:val="auto"/>
          <w:kern w:val="0"/>
          <w:sz w:val="24"/>
          <w:szCs w:val="22"/>
          <w:highlight w:val="none"/>
        </w:rPr>
        <w:t>、在“信用中国”网站被列入失信被执行人和重大税收违法案件当事人名单；</w:t>
      </w:r>
    </w:p>
    <w:p w14:paraId="16ED96E3">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2</w:t>
      </w:r>
      <w:r>
        <w:rPr>
          <w:rFonts w:hint="eastAsia" w:ascii="宋体" w:hAnsi="宋体" w:eastAsia="宋体" w:cs="Times New Roman"/>
          <w:bCs/>
          <w:color w:val="auto"/>
          <w:kern w:val="0"/>
          <w:sz w:val="24"/>
          <w:szCs w:val="22"/>
          <w:highlight w:val="none"/>
        </w:rPr>
        <w:t>、在“中国政府采购网”网站被列入政府采购严重违法失信行为记录名单；</w:t>
      </w:r>
    </w:p>
    <w:p w14:paraId="225E3390">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3</w:t>
      </w:r>
      <w:r>
        <w:rPr>
          <w:rFonts w:hint="eastAsia" w:ascii="宋体" w:hAnsi="宋体" w:eastAsia="宋体" w:cs="Times New Roman"/>
          <w:bCs/>
          <w:color w:val="auto"/>
          <w:kern w:val="0"/>
          <w:sz w:val="24"/>
          <w:szCs w:val="22"/>
          <w:highlight w:val="none"/>
        </w:rPr>
        <w:t>、</w:t>
      </w:r>
      <w:r>
        <w:rPr>
          <w:rFonts w:hint="default" w:ascii="宋体" w:hAnsi="宋体" w:eastAsia="宋体" w:cs="Times New Roman"/>
          <w:bCs/>
          <w:color w:val="auto"/>
          <w:kern w:val="0"/>
          <w:sz w:val="24"/>
          <w:szCs w:val="22"/>
          <w:highlight w:val="none"/>
        </w:rPr>
        <w:t>不符合《政府采购法》第二十二条规定的条件。</w:t>
      </w:r>
    </w:p>
    <w:p w14:paraId="7BFA90AA">
      <w:pPr>
        <w:spacing w:line="360" w:lineRule="auto"/>
        <w:ind w:firstLine="480"/>
        <w:contextualSpacing/>
        <w:rPr>
          <w:rFonts w:hint="eastAsia" w:ascii="宋体" w:hAnsi="宋体" w:eastAsia="宋体" w:cs="Times New Roman"/>
          <w:bCs/>
          <w:color w:val="auto"/>
          <w:kern w:val="0"/>
          <w:sz w:val="24"/>
          <w:szCs w:val="22"/>
          <w:highlight w:val="none"/>
        </w:rPr>
      </w:pPr>
    </w:p>
    <w:p w14:paraId="032769FB">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我单位保证上述声明的事项都是真实的，如有虚假，我单位愿意承担相应的法律责任，并承担因此所造成的一切损失</w:t>
      </w:r>
    </w:p>
    <w:p w14:paraId="4AF710D0">
      <w:pPr>
        <w:spacing w:line="360" w:lineRule="auto"/>
        <w:ind w:firstLine="480"/>
        <w:contextualSpacing/>
        <w:rPr>
          <w:rFonts w:hint="eastAsia" w:ascii="宋体" w:hAnsi="宋体" w:eastAsia="宋体" w:cs="Times New Roman"/>
          <w:bCs/>
          <w:color w:val="auto"/>
          <w:kern w:val="0"/>
          <w:sz w:val="24"/>
          <w:szCs w:val="22"/>
          <w:highlight w:val="none"/>
        </w:rPr>
      </w:pPr>
    </w:p>
    <w:p w14:paraId="33A7785D">
      <w:pPr>
        <w:spacing w:line="360" w:lineRule="auto"/>
        <w:ind w:firstLine="480"/>
        <w:contextualSpacing/>
        <w:rPr>
          <w:rFonts w:hint="eastAsia" w:ascii="宋体" w:hAnsi="宋体" w:eastAsia="宋体" w:cs="Times New Roman"/>
          <w:bCs/>
          <w:color w:val="auto"/>
          <w:kern w:val="0"/>
          <w:sz w:val="24"/>
          <w:szCs w:val="22"/>
          <w:highlight w:val="none"/>
        </w:rPr>
      </w:pPr>
    </w:p>
    <w:p w14:paraId="05190BFF">
      <w:pPr>
        <w:spacing w:line="360" w:lineRule="auto"/>
        <w:ind w:firstLine="480"/>
        <w:contextualSpacing/>
        <w:jc w:val="left"/>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投标人：（加盖公章）</w:t>
      </w:r>
    </w:p>
    <w:p w14:paraId="7CA45616">
      <w:pPr>
        <w:spacing w:line="360" w:lineRule="auto"/>
        <w:ind w:firstLine="480"/>
        <w:contextualSpacing/>
        <w:jc w:val="left"/>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法定代表人（或单位负责人）签字或盖章：</w:t>
      </w:r>
    </w:p>
    <w:p w14:paraId="1C954071">
      <w:pPr>
        <w:spacing w:line="360" w:lineRule="auto"/>
        <w:ind w:firstLine="480"/>
        <w:contextualSpacing/>
        <w:jc w:val="left"/>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日期：    年    月    日</w:t>
      </w:r>
    </w:p>
    <w:p w14:paraId="4EC8EFF8">
      <w:pPr>
        <w:spacing w:line="360" w:lineRule="auto"/>
        <w:ind w:firstLine="480"/>
        <w:contextualSpacing/>
        <w:rPr>
          <w:rFonts w:hint="eastAsia" w:ascii="宋体" w:hAnsi="宋体" w:eastAsia="宋体" w:cs="Times New Roman"/>
          <w:bCs/>
          <w:color w:val="auto"/>
          <w:kern w:val="0"/>
          <w:sz w:val="24"/>
          <w:szCs w:val="22"/>
          <w:highlight w:val="none"/>
        </w:rPr>
      </w:pPr>
    </w:p>
    <w:p w14:paraId="1B66DADC">
      <w:pPr>
        <w:spacing w:line="360" w:lineRule="auto"/>
        <w:ind w:firstLine="480"/>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r>
        <w:rPr>
          <w:rFonts w:hint="default" w:ascii="宋体" w:hAnsi="宋体" w:eastAsia="宋体" w:cs="Times New Roman"/>
          <w:bCs/>
          <w:color w:val="auto"/>
          <w:kern w:val="0"/>
          <w:sz w:val="24"/>
          <w:szCs w:val="22"/>
          <w:highlight w:val="none"/>
        </w:rPr>
        <w:t>说明：</w:t>
      </w:r>
      <w:r>
        <w:rPr>
          <w:rFonts w:hint="eastAsia" w:ascii="宋体" w:hAnsi="宋体" w:eastAsia="宋体" w:cs="Times New Roman"/>
          <w:bCs/>
          <w:color w:val="auto"/>
          <w:kern w:val="0"/>
          <w:sz w:val="24"/>
          <w:szCs w:val="22"/>
          <w:highlight w:val="none"/>
        </w:rPr>
        <w:t>投标人承诺不实的，依据《政府采购法》第七十七条“提供虚假材料谋取中标、成交的”有关规定予以处理</w:t>
      </w:r>
      <w:r>
        <w:rPr>
          <w:rFonts w:hint="default" w:ascii="宋体" w:hAnsi="宋体" w:eastAsia="宋体" w:cs="Times New Roman"/>
          <w:bCs/>
          <w:color w:val="auto"/>
          <w:kern w:val="0"/>
          <w:sz w:val="24"/>
          <w:szCs w:val="22"/>
          <w:highlight w:val="none"/>
        </w:rPr>
        <w:t>。</w:t>
      </w:r>
    </w:p>
    <w:p w14:paraId="2E4B4BCA">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 xml:space="preserve">1-2 </w:t>
      </w:r>
      <w:r>
        <w:rPr>
          <w:rFonts w:hint="eastAsia" w:ascii="宋体" w:hAnsi="宋体" w:eastAsia="宋体" w:cs="Times New Roman"/>
          <w:color w:val="auto"/>
          <w:kern w:val="0"/>
          <w:sz w:val="24"/>
          <w:szCs w:val="22"/>
          <w:highlight w:val="none"/>
        </w:rPr>
        <w:t>营业执照</w:t>
      </w:r>
      <w:r>
        <w:rPr>
          <w:rFonts w:hint="eastAsia" w:ascii="宋体" w:hAnsi="宋体" w:eastAsia="宋体" w:cs="Times New Roman"/>
          <w:color w:val="auto"/>
          <w:kern w:val="0"/>
          <w:sz w:val="24"/>
          <w:szCs w:val="20"/>
          <w:highlight w:val="none"/>
        </w:rPr>
        <w:t>（实质性格式）</w:t>
      </w:r>
    </w:p>
    <w:p w14:paraId="4CCF90BD">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投标人为法人或者其他组织的营业执照等证明文件</w:t>
      </w:r>
      <w:r>
        <w:rPr>
          <w:rFonts w:hint="eastAsia" w:ascii="宋体" w:hAnsi="宋体" w:eastAsia="宋体" w:cs="宋体"/>
          <w:color w:val="auto"/>
          <w:kern w:val="0"/>
          <w:sz w:val="24"/>
          <w:szCs w:val="22"/>
          <w:highlight w:val="none"/>
        </w:rPr>
        <w:t>扫描件</w:t>
      </w:r>
      <w:r>
        <w:rPr>
          <w:rFonts w:hint="eastAsia" w:ascii="宋体" w:hAnsi="宋体" w:eastAsia="宋体" w:cs="Times New Roman"/>
          <w:bCs/>
          <w:color w:val="auto"/>
          <w:kern w:val="0"/>
          <w:sz w:val="24"/>
          <w:szCs w:val="22"/>
          <w:highlight w:val="none"/>
        </w:rPr>
        <w:t>加盖公章，投标人为自然人提供营业执照（如有）及身份证明</w:t>
      </w:r>
      <w:r>
        <w:rPr>
          <w:rFonts w:hint="eastAsia" w:ascii="宋体" w:hAnsi="宋体" w:eastAsia="宋体" w:cs="宋体"/>
          <w:color w:val="auto"/>
          <w:kern w:val="0"/>
          <w:sz w:val="24"/>
          <w:szCs w:val="22"/>
          <w:highlight w:val="none"/>
        </w:rPr>
        <w:t>扫描件</w:t>
      </w:r>
      <w:r>
        <w:rPr>
          <w:rFonts w:hint="eastAsia" w:ascii="宋体" w:hAnsi="宋体" w:eastAsia="宋体" w:cs="Times New Roman"/>
          <w:bCs/>
          <w:color w:val="auto"/>
          <w:kern w:val="0"/>
          <w:sz w:val="24"/>
          <w:szCs w:val="22"/>
          <w:highlight w:val="none"/>
        </w:rPr>
        <w:t>加盖公章（双面）。</w:t>
      </w:r>
    </w:p>
    <w:p w14:paraId="3B31923E">
      <w:pPr>
        <w:spacing w:line="360" w:lineRule="auto"/>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23A00AB1">
      <w:pPr>
        <w:spacing w:line="360" w:lineRule="auto"/>
        <w:ind w:left="267" w:hanging="267"/>
        <w:outlineLvl w:val="2"/>
        <w:rPr>
          <w:rFonts w:hint="eastAsia" w:ascii="宋体" w:hAnsi="宋体" w:eastAsia="宋体" w:cs="Times New Roman"/>
          <w:color w:val="auto"/>
          <w:kern w:val="0"/>
          <w:sz w:val="28"/>
          <w:szCs w:val="28"/>
          <w:highlight w:val="none"/>
        </w:rPr>
      </w:pPr>
      <w:r>
        <w:rPr>
          <w:rFonts w:hint="eastAsia" w:ascii="宋体" w:hAnsi="宋体" w:eastAsia="宋体" w:cs="Times New Roman"/>
          <w:b/>
          <w:color w:val="auto"/>
          <w:kern w:val="0"/>
          <w:sz w:val="28"/>
          <w:szCs w:val="28"/>
          <w:highlight w:val="none"/>
        </w:rPr>
        <w:t>二、商务技术文件格式</w:t>
      </w:r>
    </w:p>
    <w:p w14:paraId="66DF0AA7">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2"/>
          <w:highlight w:val="none"/>
        </w:rPr>
        <w:t>1 投标函</w:t>
      </w:r>
      <w:r>
        <w:rPr>
          <w:rFonts w:hint="default" w:ascii="宋体" w:hAnsi="宋体" w:eastAsia="宋体" w:cs="Times New Roman"/>
          <w:color w:val="auto"/>
          <w:kern w:val="0"/>
          <w:sz w:val="24"/>
          <w:szCs w:val="20"/>
          <w:highlight w:val="none"/>
        </w:rPr>
        <w:t>（实质性格式）</w:t>
      </w:r>
    </w:p>
    <w:p w14:paraId="42EF3711">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投标函</w:t>
      </w:r>
    </w:p>
    <w:p w14:paraId="453616A1">
      <w:pPr>
        <w:spacing w:line="360" w:lineRule="auto"/>
        <w:ind w:firstLine="480"/>
        <w:contextualSpacing/>
        <w:rPr>
          <w:rFonts w:hint="eastAsia" w:ascii="宋体" w:hAnsi="宋体" w:eastAsia="宋体" w:cs="Times New Roman"/>
          <w:bCs/>
          <w:color w:val="auto"/>
          <w:kern w:val="0"/>
          <w:sz w:val="24"/>
          <w:szCs w:val="22"/>
          <w:highlight w:val="none"/>
          <w:lang w:eastAsia="zh-CN"/>
        </w:rPr>
      </w:pPr>
      <w:r>
        <w:rPr>
          <w:rFonts w:hint="default" w:ascii="宋体" w:hAnsi="宋体" w:eastAsia="宋体" w:cs="Times New Roman"/>
          <w:bCs/>
          <w:color w:val="auto"/>
          <w:kern w:val="0"/>
          <w:sz w:val="24"/>
          <w:szCs w:val="22"/>
          <w:highlight w:val="none"/>
        </w:rPr>
        <w:t>致：</w:t>
      </w:r>
      <w:r>
        <w:rPr>
          <w:rFonts w:hint="eastAsia" w:ascii="宋体" w:hAnsi="宋体" w:eastAsia="宋体" w:cs="Times New Roman"/>
          <w:bCs/>
          <w:color w:val="auto"/>
          <w:kern w:val="0"/>
          <w:sz w:val="24"/>
          <w:szCs w:val="22"/>
          <w:highlight w:val="none"/>
          <w:lang w:eastAsia="zh-CN"/>
        </w:rPr>
        <w:t>江苏昊丰润全建设项目管理有限公司</w:t>
      </w:r>
    </w:p>
    <w:p w14:paraId="4B1ECD2C">
      <w:pPr>
        <w:spacing w:line="360" w:lineRule="auto"/>
        <w:ind w:firstLine="480"/>
        <w:contextualSpacing/>
        <w:rPr>
          <w:rFonts w:hint="eastAsia" w:ascii="宋体" w:hAnsi="宋体" w:eastAsia="宋体" w:cs="Times New Roman"/>
          <w:bCs/>
          <w:color w:val="auto"/>
          <w:kern w:val="0"/>
          <w:sz w:val="24"/>
          <w:szCs w:val="22"/>
          <w:highlight w:val="none"/>
          <w:lang w:eastAsia="zh-CN"/>
        </w:rPr>
      </w:pPr>
      <w:r>
        <w:rPr>
          <w:rFonts w:hint="eastAsia" w:ascii="宋体" w:hAnsi="宋体" w:eastAsia="宋体" w:cs="Times New Roman"/>
          <w:bCs/>
          <w:color w:val="auto"/>
          <w:kern w:val="0"/>
          <w:sz w:val="24"/>
          <w:szCs w:val="22"/>
          <w:highlight w:val="none"/>
          <w:lang w:eastAsia="zh-CN"/>
        </w:rPr>
        <w:t>江苏常州经济开发区农业农村工作局</w:t>
      </w:r>
    </w:p>
    <w:p w14:paraId="00E7A152">
      <w:pPr>
        <w:spacing w:line="360" w:lineRule="auto"/>
        <w:ind w:firstLine="480"/>
        <w:contextualSpacing/>
        <w:rPr>
          <w:rFonts w:hint="eastAsia" w:ascii="宋体" w:hAnsi="宋体" w:eastAsia="宋体" w:cs="Times New Roman"/>
          <w:bCs/>
          <w:color w:val="auto"/>
          <w:kern w:val="0"/>
          <w:sz w:val="24"/>
          <w:szCs w:val="22"/>
          <w:highlight w:val="none"/>
        </w:rPr>
      </w:pPr>
    </w:p>
    <w:p w14:paraId="1A002D51">
      <w:pPr>
        <w:tabs>
          <w:tab w:val="left" w:pos="5580"/>
        </w:tabs>
        <w:spacing w:line="360" w:lineRule="auto"/>
        <w:ind w:left="228" w:hanging="228"/>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我方参加你方就___________（项目名称，项目编号）组织的招标活动，并对此项目进行投标。</w:t>
      </w:r>
    </w:p>
    <w:p w14:paraId="619B2904">
      <w:pPr>
        <w:tabs>
          <w:tab w:val="left" w:pos="5580"/>
        </w:tabs>
        <w:spacing w:line="360" w:lineRule="auto"/>
        <w:ind w:left="228" w:hanging="228"/>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1. 我方</w:t>
      </w:r>
      <w:r>
        <w:rPr>
          <w:rFonts w:hint="default" w:ascii="宋体" w:hAnsi="宋体" w:eastAsia="宋体" w:cs="Times New Roman"/>
          <w:color w:val="auto"/>
          <w:kern w:val="0"/>
          <w:sz w:val="24"/>
          <w:szCs w:val="22"/>
          <w:highlight w:val="none"/>
        </w:rPr>
        <w:t>已详细审查全部招标文件</w:t>
      </w:r>
      <w:r>
        <w:rPr>
          <w:rFonts w:hint="default" w:ascii="宋体" w:hAnsi="宋体" w:eastAsia="宋体" w:cs="Times New Roman"/>
          <w:color w:val="auto"/>
          <w:kern w:val="0"/>
          <w:sz w:val="24"/>
          <w:szCs w:val="20"/>
          <w:highlight w:val="none"/>
        </w:rPr>
        <w:t>，自愿参与投标并承诺如下：</w:t>
      </w:r>
    </w:p>
    <w:p w14:paraId="2FE8F722">
      <w:pPr>
        <w:tabs>
          <w:tab w:val="left" w:pos="720"/>
          <w:tab w:val="left" w:pos="900"/>
        </w:tabs>
        <w:spacing w:line="360" w:lineRule="auto"/>
        <w:ind w:left="360" w:firstLine="72"/>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（1）本投标有效期为自提交投标文件的截止之日起</w:t>
      </w:r>
      <w:r>
        <w:rPr>
          <w:rFonts w:hint="eastAsia" w:ascii="宋体" w:hAnsi="宋体" w:eastAsia="宋体" w:cs="Times New Roman"/>
          <w:color w:val="auto"/>
          <w:kern w:val="0"/>
          <w:sz w:val="24"/>
          <w:szCs w:val="22"/>
          <w:highlight w:val="none"/>
        </w:rPr>
        <w:t>60</w:t>
      </w:r>
      <w:r>
        <w:rPr>
          <w:rFonts w:hint="default" w:ascii="宋体" w:hAnsi="宋体" w:eastAsia="宋体" w:cs="Times New Roman"/>
          <w:color w:val="auto"/>
          <w:kern w:val="0"/>
          <w:sz w:val="24"/>
          <w:szCs w:val="20"/>
          <w:highlight w:val="none"/>
        </w:rPr>
        <w:t>个日历日。</w:t>
      </w:r>
    </w:p>
    <w:p w14:paraId="20106AE9">
      <w:pPr>
        <w:tabs>
          <w:tab w:val="left" w:pos="720"/>
          <w:tab w:val="left" w:pos="900"/>
        </w:tabs>
        <w:spacing w:line="360" w:lineRule="auto"/>
        <w:ind w:left="360" w:firstLine="72"/>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（2）除合同条款及采购需求偏离表列出的偏离外，我方响应招标文件的全部要求。</w:t>
      </w:r>
    </w:p>
    <w:p w14:paraId="71E8A2A4">
      <w:pPr>
        <w:tabs>
          <w:tab w:val="left" w:pos="5580"/>
        </w:tabs>
        <w:spacing w:line="360" w:lineRule="auto"/>
        <w:ind w:firstLine="420"/>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（3）我方已提供的全部文件资料是真实、准确的，并对此承担一切法律后果。</w:t>
      </w:r>
    </w:p>
    <w:p w14:paraId="3A5F7943">
      <w:pPr>
        <w:tabs>
          <w:tab w:val="left" w:pos="5580"/>
        </w:tabs>
        <w:spacing w:line="360" w:lineRule="auto"/>
        <w:ind w:firstLine="420"/>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0"/>
          <w:highlight w:val="none"/>
        </w:rPr>
        <w:t>（4）如我方中标，我方将在法律规定的期限内与你方签订合同，按照招标文件要求提交履约保证金，并在合同约定的期限内完成合同规定的全部义务。</w:t>
      </w:r>
    </w:p>
    <w:p w14:paraId="3376087D">
      <w:pPr>
        <w:spacing w:line="360" w:lineRule="auto"/>
        <w:ind w:left="228" w:hanging="228"/>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2. 其他补充条款（如有）：</w:t>
      </w:r>
      <w:r>
        <w:rPr>
          <w:rFonts w:hint="default" w:ascii="宋体" w:hAnsi="宋体" w:eastAsia="宋体" w:cs="Times New Roman"/>
          <w:color w:val="auto"/>
          <w:kern w:val="0"/>
          <w:sz w:val="24"/>
          <w:szCs w:val="20"/>
          <w:highlight w:val="none"/>
        </w:rPr>
        <w:t>___________</w:t>
      </w:r>
      <w:r>
        <w:rPr>
          <w:rFonts w:hint="default" w:ascii="宋体" w:hAnsi="宋体" w:eastAsia="宋体" w:cs="Times New Roman"/>
          <w:color w:val="auto"/>
          <w:kern w:val="0"/>
          <w:sz w:val="24"/>
          <w:szCs w:val="22"/>
          <w:highlight w:val="none"/>
        </w:rPr>
        <w:t>。</w:t>
      </w:r>
    </w:p>
    <w:p w14:paraId="74885F4B">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color w:val="auto"/>
          <w:kern w:val="0"/>
          <w:sz w:val="24"/>
          <w:szCs w:val="22"/>
          <w:highlight w:val="none"/>
        </w:rPr>
        <w:t>与本投标有关的一切正式往来信函请寄：</w:t>
      </w:r>
    </w:p>
    <w:p w14:paraId="04C45C74">
      <w:pPr>
        <w:spacing w:line="360" w:lineRule="auto"/>
        <w:ind w:firstLine="480"/>
        <w:contextualSpacing/>
        <w:rPr>
          <w:rFonts w:hint="eastAsia" w:ascii="宋体" w:hAnsi="宋体" w:eastAsia="宋体" w:cs="Times New Roman"/>
          <w:bCs/>
          <w:color w:val="auto"/>
          <w:kern w:val="0"/>
          <w:sz w:val="24"/>
          <w:szCs w:val="22"/>
          <w:highlight w:val="none"/>
        </w:rPr>
      </w:pPr>
    </w:p>
    <w:p w14:paraId="759F954E">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地址_________________________</w:t>
      </w:r>
    </w:p>
    <w:p w14:paraId="2C14DB39">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传真_________________________</w:t>
      </w:r>
    </w:p>
    <w:p w14:paraId="1B77C9AA">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电话_________________________</w:t>
      </w:r>
    </w:p>
    <w:p w14:paraId="70755FC8">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电子函件_____________________</w:t>
      </w:r>
    </w:p>
    <w:p w14:paraId="4A7F1609">
      <w:pPr>
        <w:spacing w:line="360" w:lineRule="auto"/>
        <w:ind w:firstLine="480"/>
        <w:contextualSpacing/>
        <w:rPr>
          <w:rFonts w:hint="eastAsia" w:ascii="宋体" w:hAnsi="宋体" w:eastAsia="宋体" w:cs="Times New Roman"/>
          <w:bCs/>
          <w:color w:val="auto"/>
          <w:kern w:val="0"/>
          <w:sz w:val="24"/>
          <w:szCs w:val="22"/>
          <w:highlight w:val="none"/>
        </w:rPr>
      </w:pPr>
    </w:p>
    <w:p w14:paraId="70621FFB">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w:t>
      </w:r>
      <w:r>
        <w:rPr>
          <w:rFonts w:hint="default" w:ascii="宋体" w:hAnsi="宋体" w:eastAsia="宋体" w:cs="Times New Roman"/>
          <w:bCs/>
          <w:color w:val="auto"/>
          <w:kern w:val="0"/>
          <w:sz w:val="24"/>
          <w:szCs w:val="22"/>
          <w:highlight w:val="none"/>
        </w:rPr>
        <w:t>名称（加盖公章） ___________</w:t>
      </w:r>
    </w:p>
    <w:p w14:paraId="47511FC0">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日期：_____年______月______日    </w:t>
      </w:r>
    </w:p>
    <w:p w14:paraId="7E558609">
      <w:pPr>
        <w:spacing w:line="360" w:lineRule="auto"/>
        <w:ind w:left="228" w:hanging="228"/>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1FD695AE">
      <w:pPr>
        <w:spacing w:line="360" w:lineRule="auto"/>
        <w:ind w:left="228" w:hanging="228"/>
        <w:outlineLvl w:val="2"/>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2 法定代表人资格证明书</w:t>
      </w:r>
      <w:r>
        <w:rPr>
          <w:rFonts w:hint="default" w:ascii="宋体" w:hAnsi="宋体" w:eastAsia="宋体" w:cs="Times New Roman"/>
          <w:color w:val="auto"/>
          <w:kern w:val="0"/>
          <w:sz w:val="24"/>
          <w:szCs w:val="22"/>
          <w:highlight w:val="none"/>
        </w:rPr>
        <w:t>（实质性格式）</w:t>
      </w:r>
    </w:p>
    <w:p w14:paraId="29A2605F">
      <w:pPr>
        <w:spacing w:line="360" w:lineRule="auto"/>
        <w:jc w:val="center"/>
        <w:rPr>
          <w:rFonts w:ascii="宋体" w:hAnsi="宋体" w:eastAsia="宋体" w:cs="黑体"/>
          <w:b/>
          <w:color w:val="auto"/>
          <w:kern w:val="0"/>
          <w:sz w:val="28"/>
          <w:szCs w:val="28"/>
          <w:highlight w:val="none"/>
        </w:rPr>
      </w:pPr>
      <w:r>
        <w:rPr>
          <w:rFonts w:hint="eastAsia" w:ascii="宋体" w:hAnsi="宋体" w:eastAsia="宋体" w:cs="黑体"/>
          <w:b/>
          <w:color w:val="auto"/>
          <w:kern w:val="0"/>
          <w:sz w:val="28"/>
          <w:szCs w:val="28"/>
          <w:highlight w:val="none"/>
        </w:rPr>
        <w:t>法定代表人资格证明书</w:t>
      </w:r>
    </w:p>
    <w:p w14:paraId="6DD1D3CF">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单位名称:</w:t>
      </w:r>
    </w:p>
    <w:p w14:paraId="413DE1EB">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地址:</w:t>
      </w:r>
    </w:p>
    <w:p w14:paraId="620DC6B9">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姓名:     性别:       年龄:      职务:</w:t>
      </w:r>
    </w:p>
    <w:p w14:paraId="44CE45D4">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系（供应商名称）的法定代表人。为参与（项目名称）的政府采购活动，</w:t>
      </w:r>
      <w:r>
        <w:rPr>
          <w:rFonts w:ascii="宋体" w:hAnsi="宋体" w:eastAsia="宋体" w:cs="黑体"/>
          <w:bCs/>
          <w:color w:val="auto"/>
          <w:kern w:val="0"/>
          <w:sz w:val="24"/>
          <w:szCs w:val="22"/>
          <w:highlight w:val="none"/>
        </w:rPr>
        <w:t>签署、澄清确认、递交、撤回、修改</w:t>
      </w:r>
      <w:r>
        <w:rPr>
          <w:rFonts w:hint="eastAsia" w:ascii="宋体" w:hAnsi="宋体" w:eastAsia="宋体" w:cs="黑体"/>
          <w:bCs/>
          <w:color w:val="auto"/>
          <w:kern w:val="0"/>
          <w:sz w:val="24"/>
          <w:szCs w:val="22"/>
          <w:highlight w:val="none"/>
        </w:rPr>
        <w:t>上述项目的响应文件、进行合同签署与之有关的一切事务。</w:t>
      </w:r>
    </w:p>
    <w:p w14:paraId="00B8BF07">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特此证明。</w:t>
      </w:r>
    </w:p>
    <w:p w14:paraId="7F926C7D">
      <w:pPr>
        <w:spacing w:line="360" w:lineRule="auto"/>
        <w:ind w:firstLine="480"/>
        <w:contextualSpacing/>
        <w:rPr>
          <w:rFonts w:ascii="宋体" w:hAnsi="宋体" w:eastAsia="宋体" w:cs="黑体"/>
          <w:bCs/>
          <w:color w:val="auto"/>
          <w:kern w:val="0"/>
          <w:sz w:val="24"/>
          <w:szCs w:val="22"/>
          <w:highlight w:val="none"/>
        </w:rPr>
      </w:pPr>
    </w:p>
    <w:p w14:paraId="0E652C95">
      <w:pPr>
        <w:spacing w:line="360" w:lineRule="auto"/>
        <w:ind w:firstLine="480"/>
        <w:contextualSpacing/>
        <w:rPr>
          <w:rFonts w:ascii="宋体" w:hAnsi="宋体" w:eastAsia="宋体" w:cs="黑体"/>
          <w:bCs/>
          <w:color w:val="auto"/>
          <w:kern w:val="0"/>
          <w:sz w:val="24"/>
          <w:szCs w:val="22"/>
          <w:highlight w:val="none"/>
        </w:rPr>
      </w:pPr>
      <w:r>
        <w:rPr>
          <w:rFonts w:ascii="宋体" w:hAnsi="宋体" w:eastAsia="宋体" w:cs="黑体"/>
          <w:bCs/>
          <w:color w:val="auto"/>
          <w:kern w:val="0"/>
          <w:sz w:val="24"/>
          <w:szCs w:val="22"/>
          <w:highlight w:val="none"/>
        </w:rPr>
        <w:t>附：法定代表人（单位负责人）有效期内的身</w:t>
      </w:r>
      <w:r>
        <w:rPr>
          <w:rFonts w:hint="eastAsia" w:ascii="宋体" w:hAnsi="宋体" w:eastAsia="宋体" w:cs="黑体"/>
          <w:bCs/>
          <w:color w:val="auto"/>
          <w:kern w:val="0"/>
          <w:sz w:val="24"/>
          <w:szCs w:val="22"/>
          <w:highlight w:val="none"/>
        </w:rPr>
        <w:t>份</w:t>
      </w:r>
      <w:r>
        <w:rPr>
          <w:rFonts w:ascii="宋体" w:hAnsi="宋体" w:eastAsia="宋体" w:cs="黑体"/>
          <w:bCs/>
          <w:color w:val="auto"/>
          <w:kern w:val="0"/>
          <w:sz w:val="24"/>
          <w:szCs w:val="22"/>
          <w:highlight w:val="none"/>
        </w:rPr>
        <w:t>证正反</w:t>
      </w:r>
      <w:r>
        <w:rPr>
          <w:rFonts w:hint="eastAsia" w:ascii="宋体" w:hAnsi="宋体" w:eastAsia="宋体" w:cs="黑体"/>
          <w:bCs/>
          <w:color w:val="auto"/>
          <w:kern w:val="0"/>
          <w:sz w:val="24"/>
          <w:szCs w:val="22"/>
          <w:highlight w:val="none"/>
        </w:rPr>
        <w:t>面。</w:t>
      </w:r>
    </w:p>
    <w:tbl>
      <w:tblPr>
        <w:tblStyle w:val="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92C0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D0323B2">
            <w:pPr>
              <w:spacing w:line="360" w:lineRule="auto"/>
              <w:ind w:firstLine="480"/>
              <w:contextualSpacing/>
              <w:rPr>
                <w:rFonts w:ascii="宋体" w:hAnsi="宋体" w:eastAsia="宋体" w:cs="黑体"/>
                <w:bCs/>
                <w:color w:val="auto"/>
                <w:kern w:val="0"/>
                <w:sz w:val="24"/>
                <w:szCs w:val="22"/>
                <w:highlight w:val="none"/>
              </w:rPr>
            </w:pPr>
          </w:p>
          <w:p w14:paraId="773E4A6C">
            <w:pPr>
              <w:spacing w:line="360" w:lineRule="auto"/>
              <w:ind w:firstLine="480"/>
              <w:contextualSpacing/>
              <w:rPr>
                <w:rFonts w:ascii="宋体" w:hAnsi="宋体" w:eastAsia="宋体" w:cs="黑体"/>
                <w:bCs/>
                <w:color w:val="auto"/>
                <w:kern w:val="0"/>
                <w:sz w:val="24"/>
                <w:szCs w:val="22"/>
                <w:highlight w:val="none"/>
              </w:rPr>
            </w:pPr>
          </w:p>
          <w:p w14:paraId="76F26EFC">
            <w:pPr>
              <w:spacing w:line="360" w:lineRule="auto"/>
              <w:ind w:firstLine="480"/>
              <w:contextualSpacing/>
              <w:rPr>
                <w:rFonts w:ascii="宋体" w:hAnsi="宋体" w:eastAsia="宋体" w:cs="黑体"/>
                <w:bCs/>
                <w:color w:val="auto"/>
                <w:kern w:val="0"/>
                <w:sz w:val="24"/>
                <w:szCs w:val="22"/>
                <w:highlight w:val="none"/>
              </w:rPr>
            </w:pPr>
          </w:p>
        </w:tc>
        <w:tc>
          <w:tcPr>
            <w:tcW w:w="4536" w:type="dxa"/>
          </w:tcPr>
          <w:p w14:paraId="7B216AA5">
            <w:pPr>
              <w:spacing w:line="360" w:lineRule="auto"/>
              <w:ind w:firstLine="480"/>
              <w:contextualSpacing/>
              <w:rPr>
                <w:rFonts w:ascii="宋体" w:hAnsi="宋体" w:eastAsia="宋体" w:cs="黑体"/>
                <w:bCs/>
                <w:color w:val="auto"/>
                <w:kern w:val="0"/>
                <w:sz w:val="24"/>
                <w:szCs w:val="22"/>
                <w:highlight w:val="none"/>
              </w:rPr>
            </w:pPr>
          </w:p>
          <w:p w14:paraId="597694F9">
            <w:pPr>
              <w:spacing w:line="360" w:lineRule="auto"/>
              <w:ind w:firstLine="480"/>
              <w:contextualSpacing/>
              <w:rPr>
                <w:rFonts w:ascii="宋体" w:hAnsi="宋体" w:eastAsia="宋体" w:cs="黑体"/>
                <w:bCs/>
                <w:color w:val="auto"/>
                <w:kern w:val="0"/>
                <w:sz w:val="24"/>
                <w:szCs w:val="22"/>
                <w:highlight w:val="none"/>
              </w:rPr>
            </w:pPr>
          </w:p>
          <w:p w14:paraId="0554D184">
            <w:pPr>
              <w:spacing w:line="360" w:lineRule="auto"/>
              <w:ind w:firstLine="480"/>
              <w:contextualSpacing/>
              <w:rPr>
                <w:rFonts w:ascii="宋体" w:hAnsi="宋体" w:eastAsia="宋体" w:cs="黑体"/>
                <w:bCs/>
                <w:color w:val="auto"/>
                <w:kern w:val="0"/>
                <w:sz w:val="24"/>
                <w:szCs w:val="22"/>
                <w:highlight w:val="none"/>
              </w:rPr>
            </w:pPr>
          </w:p>
        </w:tc>
      </w:tr>
    </w:tbl>
    <w:p w14:paraId="0574D57B">
      <w:pPr>
        <w:spacing w:line="360" w:lineRule="auto"/>
        <w:ind w:firstLine="480"/>
        <w:contextualSpacing/>
        <w:rPr>
          <w:rFonts w:ascii="宋体" w:hAnsi="宋体" w:eastAsia="宋体" w:cs="黑体"/>
          <w:bCs/>
          <w:color w:val="auto"/>
          <w:kern w:val="0"/>
          <w:sz w:val="24"/>
          <w:szCs w:val="22"/>
          <w:highlight w:val="none"/>
        </w:rPr>
      </w:pPr>
    </w:p>
    <w:p w14:paraId="3B658589">
      <w:pPr>
        <w:spacing w:line="360" w:lineRule="auto"/>
        <w:ind w:firstLine="480"/>
        <w:contextualSpacing/>
        <w:rPr>
          <w:rFonts w:ascii="宋体" w:hAnsi="宋体" w:eastAsia="宋体" w:cs="黑体"/>
          <w:bCs/>
          <w:color w:val="auto"/>
          <w:kern w:val="0"/>
          <w:sz w:val="24"/>
          <w:szCs w:val="22"/>
          <w:highlight w:val="none"/>
        </w:rPr>
      </w:pPr>
    </w:p>
    <w:p w14:paraId="47E7F706">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供应商：（加盖CA电子公章）</w:t>
      </w:r>
    </w:p>
    <w:p w14:paraId="5D831598">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法定代表人</w:t>
      </w:r>
      <w:r>
        <w:rPr>
          <w:rFonts w:ascii="宋体" w:hAnsi="宋体" w:eastAsia="宋体" w:cs="黑体"/>
          <w:bCs/>
          <w:color w:val="auto"/>
          <w:kern w:val="0"/>
          <w:sz w:val="24"/>
          <w:szCs w:val="22"/>
          <w:highlight w:val="none"/>
        </w:rPr>
        <w:t>签字</w:t>
      </w:r>
      <w:r>
        <w:rPr>
          <w:rFonts w:hint="eastAsia" w:ascii="宋体" w:hAnsi="宋体" w:eastAsia="宋体" w:cs="黑体"/>
          <w:bCs/>
          <w:color w:val="auto"/>
          <w:kern w:val="0"/>
          <w:sz w:val="24"/>
          <w:szCs w:val="22"/>
          <w:highlight w:val="none"/>
        </w:rPr>
        <w:t>或盖章：</w:t>
      </w:r>
    </w:p>
    <w:p w14:paraId="36623A57">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日期：    年    月    日</w:t>
      </w:r>
    </w:p>
    <w:p w14:paraId="45C3E635">
      <w:pPr>
        <w:spacing w:line="360" w:lineRule="auto"/>
        <w:ind w:firstLine="480"/>
        <w:contextualSpacing/>
        <w:rPr>
          <w:rFonts w:ascii="宋体" w:hAnsi="宋体" w:eastAsia="宋体" w:cs="黑体"/>
          <w:bCs/>
          <w:color w:val="auto"/>
          <w:kern w:val="0"/>
          <w:sz w:val="24"/>
          <w:szCs w:val="22"/>
          <w:highlight w:val="none"/>
        </w:rPr>
      </w:pPr>
    </w:p>
    <w:p w14:paraId="4CA86632">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说明</w:t>
      </w:r>
      <w:r>
        <w:rPr>
          <w:rFonts w:ascii="宋体" w:hAnsi="宋体" w:eastAsia="宋体" w:cs="黑体"/>
          <w:bCs/>
          <w:color w:val="auto"/>
          <w:kern w:val="0"/>
          <w:sz w:val="24"/>
          <w:szCs w:val="22"/>
          <w:highlight w:val="none"/>
        </w:rPr>
        <w:t>：</w:t>
      </w:r>
    </w:p>
    <w:p w14:paraId="0E9D3C39">
      <w:pPr>
        <w:spacing w:line="360" w:lineRule="auto"/>
        <w:ind w:firstLine="480"/>
        <w:contextualSpacing/>
        <w:rPr>
          <w:rFonts w:ascii="宋体" w:hAnsi="宋体" w:eastAsia="宋体" w:cs="黑体"/>
          <w:bCs/>
          <w:color w:val="auto"/>
          <w:kern w:val="0"/>
          <w:sz w:val="24"/>
          <w:szCs w:val="22"/>
          <w:highlight w:val="none"/>
        </w:rPr>
      </w:pPr>
      <w:r>
        <w:rPr>
          <w:rFonts w:ascii="宋体" w:hAnsi="宋体" w:eastAsia="宋体" w:cs="黑体"/>
          <w:bCs/>
          <w:color w:val="auto"/>
          <w:kern w:val="0"/>
          <w:sz w:val="24"/>
          <w:szCs w:val="22"/>
          <w:highlight w:val="none"/>
        </w:rPr>
        <w:t>1.若供应商为事业单位或其他组织或分支机构（仅当</w:t>
      </w:r>
      <w:r>
        <w:rPr>
          <w:rFonts w:hint="eastAsia" w:ascii="宋体" w:hAnsi="宋体" w:eastAsia="宋体" w:cs="黑体"/>
          <w:bCs/>
          <w:color w:val="auto"/>
          <w:kern w:val="0"/>
          <w:sz w:val="24"/>
          <w:szCs w:val="22"/>
          <w:highlight w:val="none"/>
          <w:lang w:val="en-US" w:eastAsia="zh-CN"/>
        </w:rPr>
        <w:t>投标</w:t>
      </w:r>
      <w:r>
        <w:rPr>
          <w:rFonts w:hint="eastAsia" w:ascii="宋体" w:hAnsi="宋体" w:eastAsia="宋体" w:cs="黑体"/>
          <w:bCs/>
          <w:color w:val="auto"/>
          <w:kern w:val="0"/>
          <w:sz w:val="24"/>
          <w:szCs w:val="22"/>
          <w:highlight w:val="none"/>
        </w:rPr>
        <w:t>文件</w:t>
      </w:r>
      <w:r>
        <w:rPr>
          <w:rFonts w:ascii="宋体" w:hAnsi="宋体" w:eastAsia="宋体" w:cs="黑体"/>
          <w:bCs/>
          <w:color w:val="auto"/>
          <w:kern w:val="0"/>
          <w:sz w:val="24"/>
          <w:szCs w:val="22"/>
          <w:highlight w:val="none"/>
        </w:rPr>
        <w:t>注明允许分支机构</w:t>
      </w:r>
      <w:r>
        <w:rPr>
          <w:rFonts w:hint="eastAsia" w:ascii="宋体" w:hAnsi="宋体" w:eastAsia="宋体" w:cs="黑体"/>
          <w:bCs/>
          <w:color w:val="auto"/>
          <w:kern w:val="0"/>
          <w:sz w:val="24"/>
          <w:szCs w:val="22"/>
          <w:highlight w:val="none"/>
        </w:rPr>
        <w:t>响应</w:t>
      </w:r>
      <w:r>
        <w:rPr>
          <w:rFonts w:ascii="宋体" w:hAnsi="宋体" w:eastAsia="宋体" w:cs="黑体"/>
          <w:bCs/>
          <w:color w:val="auto"/>
          <w:kern w:val="0"/>
          <w:sz w:val="24"/>
          <w:szCs w:val="22"/>
          <w:highlight w:val="none"/>
        </w:rPr>
        <w:t>的），则法定代表人（单位负责人）</w:t>
      </w:r>
      <w:r>
        <w:rPr>
          <w:rFonts w:hint="eastAsia" w:ascii="宋体" w:hAnsi="宋体" w:eastAsia="宋体" w:cs="黑体"/>
          <w:bCs/>
          <w:color w:val="auto"/>
          <w:kern w:val="0"/>
          <w:sz w:val="24"/>
          <w:szCs w:val="22"/>
          <w:highlight w:val="none"/>
        </w:rPr>
        <w:t>处</w:t>
      </w:r>
      <w:r>
        <w:rPr>
          <w:rFonts w:ascii="宋体" w:hAnsi="宋体" w:eastAsia="宋体" w:cs="黑体"/>
          <w:bCs/>
          <w:color w:val="auto"/>
          <w:kern w:val="0"/>
          <w:sz w:val="24"/>
          <w:szCs w:val="22"/>
          <w:highlight w:val="none"/>
        </w:rPr>
        <w:t>的签署人可为单位负责人</w:t>
      </w:r>
      <w:r>
        <w:rPr>
          <w:rFonts w:hint="eastAsia" w:ascii="宋体" w:hAnsi="宋体" w:eastAsia="宋体" w:cs="黑体"/>
          <w:bCs/>
          <w:color w:val="auto"/>
          <w:kern w:val="0"/>
          <w:sz w:val="24"/>
          <w:szCs w:val="22"/>
          <w:highlight w:val="none"/>
        </w:rPr>
        <w:t>。</w:t>
      </w:r>
    </w:p>
    <w:p w14:paraId="187AE15A">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2</w:t>
      </w:r>
      <w:r>
        <w:rPr>
          <w:rFonts w:ascii="宋体" w:hAnsi="宋体" w:eastAsia="宋体" w:cs="黑体"/>
          <w:bCs/>
          <w:color w:val="auto"/>
          <w:kern w:val="0"/>
          <w:sz w:val="24"/>
          <w:szCs w:val="22"/>
          <w:highlight w:val="none"/>
        </w:rPr>
        <w:t>.</w:t>
      </w:r>
      <w:r>
        <w:rPr>
          <w:rFonts w:hint="eastAsia" w:ascii="宋体" w:hAnsi="宋体" w:eastAsia="宋体" w:cs="黑体"/>
          <w:bCs/>
          <w:color w:val="auto"/>
          <w:kern w:val="0"/>
          <w:sz w:val="24"/>
          <w:szCs w:val="22"/>
          <w:highlight w:val="none"/>
        </w:rPr>
        <w:t>供应商为自然人的情形，可不提供本</w:t>
      </w:r>
      <w:r>
        <w:rPr>
          <w:rFonts w:ascii="宋体" w:hAnsi="宋体" w:eastAsia="宋体" w:cs="黑体"/>
          <w:bCs/>
          <w:color w:val="auto"/>
          <w:kern w:val="0"/>
          <w:sz w:val="24"/>
          <w:szCs w:val="22"/>
          <w:highlight w:val="none"/>
        </w:rPr>
        <w:t>《</w:t>
      </w:r>
      <w:r>
        <w:rPr>
          <w:rFonts w:hint="eastAsia" w:ascii="宋体" w:hAnsi="宋体" w:eastAsia="宋体" w:cs="黑体"/>
          <w:bCs/>
          <w:color w:val="auto"/>
          <w:kern w:val="0"/>
          <w:sz w:val="24"/>
          <w:szCs w:val="22"/>
          <w:highlight w:val="none"/>
        </w:rPr>
        <w:t>法定代表人资格证明书</w:t>
      </w:r>
      <w:r>
        <w:rPr>
          <w:rFonts w:ascii="宋体" w:hAnsi="宋体" w:eastAsia="宋体" w:cs="黑体"/>
          <w:bCs/>
          <w:color w:val="auto"/>
          <w:kern w:val="0"/>
          <w:sz w:val="24"/>
          <w:szCs w:val="22"/>
          <w:highlight w:val="none"/>
        </w:rPr>
        <w:t>》</w:t>
      </w:r>
      <w:r>
        <w:rPr>
          <w:rFonts w:hint="eastAsia" w:ascii="宋体" w:hAnsi="宋体" w:eastAsia="宋体" w:cs="黑体"/>
          <w:bCs/>
          <w:color w:val="auto"/>
          <w:kern w:val="0"/>
          <w:sz w:val="24"/>
          <w:szCs w:val="22"/>
          <w:highlight w:val="none"/>
        </w:rPr>
        <w:t>。</w:t>
      </w:r>
    </w:p>
    <w:p w14:paraId="4E4210B4">
      <w:pPr>
        <w:spacing w:line="360" w:lineRule="auto"/>
        <w:ind w:firstLine="480"/>
        <w:contextualSpacing/>
        <w:rPr>
          <w:rFonts w:ascii="宋体" w:hAnsi="宋体"/>
          <w:bCs/>
          <w:color w:val="auto"/>
          <w:sz w:val="24"/>
          <w:highlight w:val="none"/>
        </w:rPr>
        <w:sectPr>
          <w:pgSz w:w="11906" w:h="16838"/>
          <w:pgMar w:top="1440" w:right="1800" w:bottom="1440" w:left="1800" w:header="851" w:footer="992" w:gutter="0"/>
          <w:pgNumType w:fmt="decimal"/>
          <w:cols w:space="1701" w:num="1"/>
          <w:docGrid w:linePitch="360" w:charSpace="0"/>
        </w:sectPr>
      </w:pPr>
    </w:p>
    <w:p w14:paraId="1286AFC1">
      <w:pPr>
        <w:spacing w:line="360" w:lineRule="auto"/>
        <w:outlineLvl w:val="2"/>
        <w:rPr>
          <w:rFonts w:ascii="宋体" w:hAnsi="宋体" w:eastAsia="宋体" w:cs="黑体"/>
          <w:color w:val="auto"/>
          <w:kern w:val="0"/>
          <w:sz w:val="24"/>
          <w:szCs w:val="22"/>
          <w:highlight w:val="none"/>
        </w:rPr>
      </w:pPr>
      <w:r>
        <w:rPr>
          <w:rFonts w:hint="eastAsia" w:ascii="宋体" w:hAnsi="宋体" w:eastAsia="宋体" w:cs="黑体"/>
          <w:color w:val="auto"/>
          <w:kern w:val="0"/>
          <w:sz w:val="24"/>
          <w:szCs w:val="22"/>
          <w:highlight w:val="none"/>
        </w:rPr>
        <w:t xml:space="preserve"> 授权委托书（实质性格式）</w:t>
      </w:r>
    </w:p>
    <w:p w14:paraId="3CA13537">
      <w:pPr>
        <w:spacing w:line="360" w:lineRule="auto"/>
        <w:jc w:val="center"/>
        <w:rPr>
          <w:rFonts w:ascii="宋体" w:hAnsi="宋体" w:eastAsia="宋体" w:cs="黑体"/>
          <w:b/>
          <w:color w:val="auto"/>
          <w:kern w:val="0"/>
          <w:sz w:val="28"/>
          <w:szCs w:val="28"/>
          <w:highlight w:val="none"/>
        </w:rPr>
      </w:pPr>
      <w:r>
        <w:rPr>
          <w:rFonts w:hint="eastAsia" w:ascii="宋体" w:hAnsi="宋体" w:eastAsia="宋体" w:cs="黑体"/>
          <w:b/>
          <w:color w:val="auto"/>
          <w:kern w:val="0"/>
          <w:sz w:val="28"/>
          <w:szCs w:val="28"/>
          <w:highlight w:val="none"/>
        </w:rPr>
        <w:t>授权委托书</w:t>
      </w:r>
    </w:p>
    <w:p w14:paraId="70A23344">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本授权委托书声明：_______________（供应商名称）的__________（法定代表人姓名、职务）代表供应商授权____________（被授权人的姓名、职务）为</w:t>
      </w:r>
      <w:r>
        <w:rPr>
          <w:rFonts w:hint="eastAsia" w:ascii="宋体" w:hAnsi="宋体" w:eastAsia="宋体" w:cs="黑体"/>
          <w:bCs/>
          <w:color w:val="auto"/>
          <w:kern w:val="0"/>
          <w:sz w:val="24"/>
          <w:szCs w:val="22"/>
          <w:highlight w:val="none"/>
          <w:u w:val="single"/>
        </w:rPr>
        <w:t xml:space="preserve">      </w:t>
      </w:r>
      <w:r>
        <w:rPr>
          <w:rFonts w:hint="eastAsia" w:ascii="宋体" w:hAnsi="宋体" w:eastAsia="宋体" w:cs="黑体"/>
          <w:bCs/>
          <w:color w:val="auto"/>
          <w:kern w:val="0"/>
          <w:sz w:val="24"/>
          <w:szCs w:val="22"/>
          <w:highlight w:val="none"/>
        </w:rPr>
        <w:t>（项目名称）  项目的合法代理人，全权负责参加本次政府采购项目的采购活动、签订合约以及与之相关的各项工作。本供应商对代理人的所有签名负全部责任。</w:t>
      </w:r>
    </w:p>
    <w:p w14:paraId="0B554D91">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本授权书于__________年_______月________日签字生效，特此声明。</w:t>
      </w:r>
    </w:p>
    <w:p w14:paraId="7BEB41F4">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eastAsia="宋体" w:cs="黑体"/>
          <w:bCs/>
          <w:color w:val="auto"/>
          <w:kern w:val="0"/>
          <w:sz w:val="24"/>
          <w:szCs w:val="22"/>
          <w:highlight w:val="none"/>
        </w:rPr>
      </w:pPr>
    </w:p>
    <w:p w14:paraId="206484CC">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法定代表人</w:t>
      </w:r>
      <w:r>
        <w:rPr>
          <w:rFonts w:ascii="宋体" w:hAnsi="宋体" w:eastAsia="宋体" w:cs="黑体"/>
          <w:color w:val="auto"/>
          <w:kern w:val="0"/>
          <w:sz w:val="24"/>
          <w:szCs w:val="20"/>
          <w:highlight w:val="none"/>
        </w:rPr>
        <w:t>签字</w:t>
      </w:r>
      <w:r>
        <w:rPr>
          <w:rFonts w:hint="eastAsia" w:ascii="宋体" w:hAnsi="宋体" w:eastAsia="宋体" w:cs="黑体"/>
          <w:color w:val="auto"/>
          <w:kern w:val="0"/>
          <w:sz w:val="24"/>
          <w:szCs w:val="20"/>
          <w:highlight w:val="none"/>
        </w:rPr>
        <w:t>、签章</w:t>
      </w:r>
      <w:r>
        <w:rPr>
          <w:rFonts w:ascii="宋体" w:hAnsi="宋体" w:eastAsia="宋体" w:cs="黑体"/>
          <w:color w:val="auto"/>
          <w:kern w:val="0"/>
          <w:sz w:val="24"/>
          <w:szCs w:val="20"/>
          <w:highlight w:val="none"/>
        </w:rPr>
        <w:t>或</w:t>
      </w:r>
      <w:r>
        <w:rPr>
          <w:rFonts w:hint="eastAsia" w:ascii="宋体" w:hAnsi="宋体" w:eastAsia="宋体" w:cs="黑体"/>
          <w:color w:val="auto"/>
          <w:kern w:val="0"/>
          <w:sz w:val="24"/>
          <w:szCs w:val="20"/>
          <w:highlight w:val="none"/>
        </w:rPr>
        <w:t>印鉴</w:t>
      </w:r>
      <w:r>
        <w:rPr>
          <w:rFonts w:hint="eastAsia" w:ascii="宋体" w:hAnsi="宋体" w:eastAsia="宋体" w:cs="黑体"/>
          <w:bCs/>
          <w:color w:val="auto"/>
          <w:kern w:val="0"/>
          <w:sz w:val="24"/>
          <w:szCs w:val="22"/>
          <w:highlight w:val="none"/>
        </w:rPr>
        <w:t>：                日期：</w:t>
      </w:r>
    </w:p>
    <w:p w14:paraId="356FF887">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职务：                                       联系电话：</w:t>
      </w:r>
    </w:p>
    <w:p w14:paraId="16305DB5">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单位名称：                                   地址：</w:t>
      </w:r>
    </w:p>
    <w:p w14:paraId="41B1DB0D">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 xml:space="preserve">身份证号码： </w:t>
      </w:r>
    </w:p>
    <w:p w14:paraId="30DDB31E">
      <w:pPr>
        <w:spacing w:line="360" w:lineRule="auto"/>
        <w:ind w:firstLine="480"/>
        <w:contextualSpacing/>
        <w:rPr>
          <w:rFonts w:ascii="宋体" w:hAnsi="宋体" w:eastAsia="宋体" w:cs="黑体"/>
          <w:bCs/>
          <w:color w:val="auto"/>
          <w:kern w:val="0"/>
          <w:sz w:val="24"/>
          <w:szCs w:val="22"/>
          <w:highlight w:val="none"/>
        </w:rPr>
      </w:pPr>
    </w:p>
    <w:p w14:paraId="38F4EF8F">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委托代理人</w:t>
      </w:r>
      <w:r>
        <w:rPr>
          <w:rFonts w:ascii="宋体" w:hAnsi="宋体" w:eastAsia="宋体" w:cs="黑体"/>
          <w:color w:val="auto"/>
          <w:kern w:val="0"/>
          <w:sz w:val="24"/>
          <w:szCs w:val="20"/>
          <w:highlight w:val="none"/>
        </w:rPr>
        <w:t>签字</w:t>
      </w:r>
      <w:r>
        <w:rPr>
          <w:rFonts w:hint="eastAsia" w:ascii="宋体" w:hAnsi="宋体" w:eastAsia="宋体" w:cs="黑体"/>
          <w:color w:val="auto"/>
          <w:kern w:val="0"/>
          <w:sz w:val="24"/>
          <w:szCs w:val="20"/>
          <w:highlight w:val="none"/>
        </w:rPr>
        <w:t>、签章</w:t>
      </w:r>
      <w:r>
        <w:rPr>
          <w:rFonts w:ascii="宋体" w:hAnsi="宋体" w:eastAsia="宋体" w:cs="黑体"/>
          <w:color w:val="auto"/>
          <w:kern w:val="0"/>
          <w:sz w:val="24"/>
          <w:szCs w:val="20"/>
          <w:highlight w:val="none"/>
        </w:rPr>
        <w:t>或</w:t>
      </w:r>
      <w:r>
        <w:rPr>
          <w:rFonts w:hint="eastAsia" w:ascii="宋体" w:hAnsi="宋体" w:eastAsia="宋体" w:cs="黑体"/>
          <w:color w:val="auto"/>
          <w:kern w:val="0"/>
          <w:sz w:val="24"/>
          <w:szCs w:val="20"/>
          <w:highlight w:val="none"/>
        </w:rPr>
        <w:t>印鉴</w:t>
      </w:r>
      <w:r>
        <w:rPr>
          <w:rFonts w:hint="eastAsia" w:ascii="宋体" w:hAnsi="宋体" w:eastAsia="宋体" w:cs="黑体"/>
          <w:bCs/>
          <w:color w:val="auto"/>
          <w:kern w:val="0"/>
          <w:sz w:val="24"/>
          <w:szCs w:val="22"/>
          <w:highlight w:val="none"/>
        </w:rPr>
        <w:t>：                日期：</w:t>
      </w:r>
    </w:p>
    <w:p w14:paraId="2FED6D2F">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职务：                                       联系电话：</w:t>
      </w:r>
    </w:p>
    <w:p w14:paraId="4EB89426">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单位名称：                                   地址：</w:t>
      </w:r>
    </w:p>
    <w:p w14:paraId="12B10E40">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身份证号码：</w:t>
      </w:r>
    </w:p>
    <w:p w14:paraId="62AAB077">
      <w:pPr>
        <w:spacing w:line="360" w:lineRule="auto"/>
        <w:ind w:firstLine="480"/>
        <w:contextualSpacing/>
        <w:rPr>
          <w:rFonts w:ascii="宋体" w:hAnsi="宋体" w:eastAsia="宋体" w:cs="黑体"/>
          <w:bCs/>
          <w:color w:val="auto"/>
          <w:kern w:val="0"/>
          <w:sz w:val="24"/>
          <w:szCs w:val="22"/>
          <w:highlight w:val="none"/>
        </w:rPr>
      </w:pPr>
    </w:p>
    <w:p w14:paraId="2ABEBD73">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供应商：（加盖CA电子公章）</w:t>
      </w:r>
    </w:p>
    <w:p w14:paraId="11E8EF36">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地址：                                        电话：</w:t>
      </w:r>
    </w:p>
    <w:p w14:paraId="194A8479">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传真：                                        邮编：</w:t>
      </w:r>
    </w:p>
    <w:p w14:paraId="3F895247">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开户行：</w:t>
      </w:r>
    </w:p>
    <w:p w14:paraId="7CD8DDC6">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帐号：</w:t>
      </w:r>
    </w:p>
    <w:p w14:paraId="19A939B9">
      <w:pPr>
        <w:spacing w:line="360" w:lineRule="auto"/>
        <w:ind w:firstLine="480"/>
        <w:contextualSpacing/>
        <w:rPr>
          <w:rFonts w:ascii="宋体" w:hAnsi="宋体" w:eastAsia="宋体" w:cs="黑体"/>
          <w:bCs/>
          <w:color w:val="auto"/>
          <w:kern w:val="0"/>
          <w:sz w:val="24"/>
          <w:szCs w:val="22"/>
          <w:highlight w:val="none"/>
        </w:rPr>
      </w:pPr>
    </w:p>
    <w:p w14:paraId="7B1B2E7A">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附：委托代理人有效期内的身份证正反面。</w:t>
      </w:r>
    </w:p>
    <w:tbl>
      <w:tblPr>
        <w:tblStyle w:val="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87"/>
        <w:gridCol w:w="4452"/>
      </w:tblGrid>
      <w:tr w14:paraId="536E5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trPr>
        <w:tc>
          <w:tcPr>
            <w:tcW w:w="4587" w:type="dxa"/>
          </w:tcPr>
          <w:p w14:paraId="7465DEBB">
            <w:pPr>
              <w:spacing w:line="360" w:lineRule="auto"/>
              <w:ind w:firstLine="480"/>
              <w:contextualSpacing/>
              <w:rPr>
                <w:rFonts w:ascii="宋体" w:hAnsi="宋体" w:eastAsia="宋体" w:cs="黑体"/>
                <w:bCs/>
                <w:color w:val="auto"/>
                <w:kern w:val="0"/>
                <w:sz w:val="24"/>
                <w:szCs w:val="22"/>
                <w:highlight w:val="none"/>
              </w:rPr>
            </w:pPr>
          </w:p>
          <w:p w14:paraId="22214DE5">
            <w:pPr>
              <w:spacing w:line="360" w:lineRule="auto"/>
              <w:ind w:firstLine="480"/>
              <w:contextualSpacing/>
              <w:rPr>
                <w:rFonts w:ascii="宋体" w:hAnsi="宋体" w:eastAsia="宋体" w:cs="黑体"/>
                <w:bCs/>
                <w:color w:val="auto"/>
                <w:kern w:val="0"/>
                <w:sz w:val="24"/>
                <w:szCs w:val="22"/>
                <w:highlight w:val="none"/>
              </w:rPr>
            </w:pPr>
          </w:p>
          <w:p w14:paraId="48F6C53F">
            <w:pPr>
              <w:spacing w:line="360" w:lineRule="auto"/>
              <w:ind w:firstLine="480"/>
              <w:contextualSpacing/>
              <w:rPr>
                <w:rFonts w:ascii="宋体" w:hAnsi="宋体" w:eastAsia="宋体" w:cs="黑体"/>
                <w:bCs/>
                <w:color w:val="auto"/>
                <w:kern w:val="0"/>
                <w:sz w:val="24"/>
                <w:szCs w:val="22"/>
                <w:highlight w:val="none"/>
              </w:rPr>
            </w:pPr>
          </w:p>
        </w:tc>
        <w:tc>
          <w:tcPr>
            <w:tcW w:w="4452" w:type="dxa"/>
          </w:tcPr>
          <w:p w14:paraId="29572101">
            <w:pPr>
              <w:spacing w:line="360" w:lineRule="auto"/>
              <w:ind w:firstLine="480"/>
              <w:contextualSpacing/>
              <w:rPr>
                <w:rFonts w:ascii="宋体" w:hAnsi="宋体" w:eastAsia="宋体" w:cs="黑体"/>
                <w:bCs/>
                <w:color w:val="auto"/>
                <w:kern w:val="0"/>
                <w:sz w:val="24"/>
                <w:szCs w:val="22"/>
                <w:highlight w:val="none"/>
              </w:rPr>
            </w:pPr>
          </w:p>
          <w:p w14:paraId="1ECB79A8">
            <w:pPr>
              <w:spacing w:line="360" w:lineRule="auto"/>
              <w:ind w:firstLine="480"/>
              <w:contextualSpacing/>
              <w:rPr>
                <w:rFonts w:ascii="宋体" w:hAnsi="宋体" w:eastAsia="宋体" w:cs="黑体"/>
                <w:bCs/>
                <w:color w:val="auto"/>
                <w:kern w:val="0"/>
                <w:sz w:val="24"/>
                <w:szCs w:val="22"/>
                <w:highlight w:val="none"/>
              </w:rPr>
            </w:pPr>
          </w:p>
          <w:p w14:paraId="40315ABE">
            <w:pPr>
              <w:spacing w:line="360" w:lineRule="auto"/>
              <w:ind w:firstLine="480"/>
              <w:contextualSpacing/>
              <w:rPr>
                <w:rFonts w:ascii="宋体" w:hAnsi="宋体" w:eastAsia="宋体" w:cs="黑体"/>
                <w:bCs/>
                <w:color w:val="auto"/>
                <w:kern w:val="0"/>
                <w:sz w:val="24"/>
                <w:szCs w:val="22"/>
                <w:highlight w:val="none"/>
              </w:rPr>
            </w:pPr>
          </w:p>
        </w:tc>
      </w:tr>
    </w:tbl>
    <w:p w14:paraId="00968B8D">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说明：</w:t>
      </w:r>
    </w:p>
    <w:p w14:paraId="0E31AEBD">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1.若供应商为事业单位或其他组织或分支机构（仅当</w:t>
      </w:r>
      <w:r>
        <w:rPr>
          <w:rFonts w:hint="eastAsia" w:ascii="宋体" w:hAnsi="宋体" w:eastAsia="宋体" w:cs="黑体"/>
          <w:bCs/>
          <w:color w:val="auto"/>
          <w:kern w:val="0"/>
          <w:sz w:val="24"/>
          <w:szCs w:val="22"/>
          <w:highlight w:val="none"/>
          <w:lang w:val="en-US" w:eastAsia="zh-CN"/>
        </w:rPr>
        <w:t>投标</w:t>
      </w:r>
      <w:r>
        <w:rPr>
          <w:rFonts w:hint="eastAsia" w:ascii="宋体" w:hAnsi="宋体" w:eastAsia="宋体" w:cs="黑体"/>
          <w:bCs/>
          <w:color w:val="auto"/>
          <w:kern w:val="0"/>
          <w:sz w:val="24"/>
          <w:szCs w:val="22"/>
          <w:highlight w:val="none"/>
        </w:rPr>
        <w:t>文件注明允许分支机构响应的），则法定代表人处的签署人可为单位负责人。</w:t>
      </w:r>
    </w:p>
    <w:p w14:paraId="51D423B4">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2.法定代表人参加</w:t>
      </w:r>
      <w:r>
        <w:rPr>
          <w:rFonts w:hint="eastAsia" w:ascii="宋体" w:hAnsi="宋体" w:eastAsia="宋体" w:cs="黑体"/>
          <w:bCs/>
          <w:color w:val="auto"/>
          <w:kern w:val="0"/>
          <w:sz w:val="24"/>
          <w:szCs w:val="22"/>
          <w:highlight w:val="none"/>
          <w:lang w:val="en-US" w:eastAsia="zh-CN"/>
        </w:rPr>
        <w:t>投标</w:t>
      </w:r>
      <w:r>
        <w:rPr>
          <w:rFonts w:hint="eastAsia" w:ascii="宋体" w:hAnsi="宋体" w:eastAsia="宋体" w:cs="黑体"/>
          <w:bCs/>
          <w:color w:val="auto"/>
          <w:kern w:val="0"/>
          <w:sz w:val="24"/>
          <w:szCs w:val="22"/>
          <w:highlight w:val="none"/>
        </w:rPr>
        <w:t>时，提供《法定代表人资格证明书》。</w:t>
      </w:r>
    </w:p>
    <w:p w14:paraId="65C67FDB">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3.委托代理人参加</w:t>
      </w:r>
      <w:r>
        <w:rPr>
          <w:rFonts w:hint="eastAsia" w:ascii="宋体" w:hAnsi="宋体" w:eastAsia="宋体" w:cs="黑体"/>
          <w:bCs/>
          <w:color w:val="auto"/>
          <w:kern w:val="0"/>
          <w:sz w:val="24"/>
          <w:szCs w:val="22"/>
          <w:highlight w:val="none"/>
          <w:lang w:val="en-US" w:eastAsia="zh-CN"/>
        </w:rPr>
        <w:t>投标</w:t>
      </w:r>
      <w:r>
        <w:rPr>
          <w:rFonts w:hint="eastAsia" w:ascii="宋体" w:hAnsi="宋体" w:eastAsia="宋体" w:cs="黑体"/>
          <w:bCs/>
          <w:color w:val="auto"/>
          <w:kern w:val="0"/>
          <w:sz w:val="24"/>
          <w:szCs w:val="22"/>
          <w:highlight w:val="none"/>
        </w:rPr>
        <w:t>时，提供《法定代表人资格证明书》</w:t>
      </w:r>
      <w:r>
        <w:rPr>
          <w:rFonts w:hint="eastAsia" w:ascii="宋体" w:hAnsi="宋体" w:eastAsia="宋体" w:cs="黑体"/>
          <w:bCs/>
          <w:color w:val="auto"/>
          <w:kern w:val="0"/>
          <w:sz w:val="24"/>
          <w:szCs w:val="22"/>
          <w:highlight w:val="none"/>
          <w:lang w:eastAsia="zh-CN"/>
        </w:rPr>
        <w:t>、</w:t>
      </w:r>
      <w:r>
        <w:rPr>
          <w:rFonts w:hint="eastAsia" w:ascii="宋体" w:hAnsi="宋体" w:eastAsia="宋体" w:cs="黑体"/>
          <w:bCs/>
          <w:color w:val="auto"/>
          <w:kern w:val="0"/>
          <w:sz w:val="24"/>
          <w:szCs w:val="22"/>
          <w:highlight w:val="none"/>
        </w:rPr>
        <w:t>《授权委托书》。</w:t>
      </w:r>
    </w:p>
    <w:p w14:paraId="7D2739E1">
      <w:pPr>
        <w:spacing w:line="360" w:lineRule="auto"/>
        <w:ind w:firstLine="480"/>
        <w:contextualSpacing/>
        <w:rPr>
          <w:rFonts w:ascii="宋体" w:hAnsi="宋体" w:eastAsia="宋体" w:cs="黑体"/>
          <w:bCs/>
          <w:color w:val="auto"/>
          <w:kern w:val="0"/>
          <w:sz w:val="24"/>
          <w:szCs w:val="22"/>
          <w:highlight w:val="none"/>
        </w:rPr>
      </w:pPr>
      <w:r>
        <w:rPr>
          <w:rFonts w:hint="eastAsia" w:ascii="宋体" w:hAnsi="宋体" w:eastAsia="宋体" w:cs="黑体"/>
          <w:bCs/>
          <w:color w:val="auto"/>
          <w:kern w:val="0"/>
          <w:sz w:val="24"/>
          <w:szCs w:val="22"/>
          <w:highlight w:val="none"/>
        </w:rPr>
        <w:t>4.供应商为自然人的情形，可不提供本《授权委托书》。</w:t>
      </w:r>
    </w:p>
    <w:p w14:paraId="60002DA6">
      <w:pPr>
        <w:spacing w:line="360" w:lineRule="auto"/>
        <w:contextualSpacing/>
        <w:rPr>
          <w:rFonts w:ascii="宋体" w:hAnsi="宋体"/>
          <w:bCs/>
          <w:color w:val="auto"/>
          <w:sz w:val="24"/>
          <w:highlight w:val="none"/>
        </w:rPr>
        <w:sectPr>
          <w:pgSz w:w="11906" w:h="16838"/>
          <w:pgMar w:top="1440" w:right="1800" w:bottom="1440" w:left="1800" w:header="851" w:footer="992" w:gutter="0"/>
          <w:pgNumType w:fmt="decimal"/>
          <w:cols w:space="1701" w:num="1"/>
          <w:docGrid w:linePitch="360" w:charSpace="0"/>
        </w:sectPr>
      </w:pPr>
    </w:p>
    <w:p w14:paraId="769355B6">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3 政府采购供应商信用承诺书</w:t>
      </w:r>
      <w:r>
        <w:rPr>
          <w:rFonts w:hint="default" w:ascii="宋体" w:hAnsi="宋体" w:eastAsia="宋体" w:cs="Times New Roman"/>
          <w:color w:val="auto"/>
          <w:kern w:val="0"/>
          <w:sz w:val="24"/>
          <w:szCs w:val="20"/>
          <w:highlight w:val="none"/>
        </w:rPr>
        <w:t>（实质性格式）</w:t>
      </w:r>
    </w:p>
    <w:p w14:paraId="7044600D">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政府采购供应商信用承诺书</w:t>
      </w:r>
    </w:p>
    <w:p w14:paraId="384FC739">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为维护公开、公平、公正的政府采购市场秩序，树立诚实守信的供应商形象，本单位在参与政府采购活动中,自愿作出以下承诺：</w:t>
      </w:r>
    </w:p>
    <w:p w14:paraId="23944C95">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一、严格遵守国家法律、法规和规章，全面履行应尽的责任和义务，全面做到履约守信，具备《政府采购法》第二十二条第一款规定的条件。</w:t>
      </w:r>
    </w:p>
    <w:p w14:paraId="270EC6D2">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B3996A6">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三、本单位提供给注册登记部门、行业管理部门、司法部门、行业组织以及在政府采购活动中提交的所有资料均合法、真实、有效，无任何伪造、修改、虚假成份，并对所提供资料的真实性负责。</w:t>
      </w:r>
    </w:p>
    <w:p w14:paraId="355614B0">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四、严格依法开展生产经营活动，主动接受行业监管，自愿接受依法开展的日常检查；违法失信经营后将自愿接受约束和惩戒，并依法承担相应责任。</w:t>
      </w:r>
    </w:p>
    <w:p w14:paraId="6C51B376">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五、承诺本单位自觉接受行政管理部门、行业组织、社会公众、新闻舆论的监督。 </w:t>
      </w:r>
    </w:p>
    <w:p w14:paraId="105FB32C">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六、承诺本单位自我约束、自我管理，重合同、守信用，不制假售假、商标侵权、虚假宣传、违约毁约、恶意逃债、偷税漏税、价格欺诈、垄断和不正当竞争，维护经营者、消费者的合法权益。 </w:t>
      </w:r>
    </w:p>
    <w:p w14:paraId="342EDF37">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七、承诺本单位在信用中国（江苏）网站中无违法违规、较重或严重失信记录。 </w:t>
      </w:r>
    </w:p>
    <w:p w14:paraId="12D8061C">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八、承诺本单位提出政府采购质疑和投诉坚持依法依规、诚实信用原则。</w:t>
      </w:r>
    </w:p>
    <w:p w14:paraId="0092515D">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九、根据政府采购相关法律法规的规定需要作出的其他承诺。 </w:t>
      </w:r>
    </w:p>
    <w:p w14:paraId="37CBEFBF">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十、承诺本单位若违背承诺约定，经查实，愿意接受行业主管部门和信用管理部门相应的规定处罚，承担违约责任，并依法承担相应的法律责任。</w:t>
      </w:r>
    </w:p>
    <w:p w14:paraId="0C34F99E">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十一、承诺本单位同意将以上承诺事项上网公示，违背承诺约定行为将作为失信信息，记录到常州市公共信用信息系统，并予以公开。</w:t>
      </w:r>
    </w:p>
    <w:p w14:paraId="28D5105D">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名称（加盖公章）：____________</w:t>
      </w:r>
    </w:p>
    <w:p w14:paraId="5337488F">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日期：_____年______月______日   </w:t>
      </w:r>
    </w:p>
    <w:p w14:paraId="139143E2">
      <w:pPr>
        <w:spacing w:line="360" w:lineRule="auto"/>
        <w:ind w:left="228" w:hanging="228"/>
        <w:outlineLvl w:val="2"/>
        <w:rPr>
          <w:rFonts w:hint="eastAsia" w:ascii="宋体" w:hAnsi="宋体" w:eastAsia="宋体"/>
          <w:color w:val="auto"/>
          <w:sz w:val="24"/>
          <w:szCs w:val="20"/>
          <w:highlight w:val="none"/>
        </w:rPr>
        <w:sectPr>
          <w:pgSz w:w="11906" w:h="16838"/>
          <w:pgMar w:top="1440" w:right="1800" w:bottom="1440" w:left="1800" w:header="851" w:footer="992" w:gutter="0"/>
          <w:pgNumType w:fmt="decimal"/>
          <w:cols w:space="425" w:num="1"/>
          <w:docGrid w:linePitch="360" w:charSpace="0"/>
        </w:sectPr>
      </w:pPr>
    </w:p>
    <w:p w14:paraId="20828269">
      <w:pPr>
        <w:spacing w:line="360" w:lineRule="auto"/>
        <w:ind w:left="228" w:hanging="228"/>
        <w:outlineLvl w:val="2"/>
        <w:rPr>
          <w:rFonts w:hint="eastAsia" w:ascii="宋体" w:hAnsi="宋体" w:eastAsia="宋体" w:cs="Times New Roman"/>
          <w:color w:val="auto"/>
          <w:kern w:val="0"/>
          <w:sz w:val="24"/>
          <w:szCs w:val="20"/>
          <w:highlight w:val="none"/>
        </w:rPr>
      </w:pPr>
    </w:p>
    <w:p w14:paraId="173593DD">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 xml:space="preserve">4 </w:t>
      </w:r>
      <w:r>
        <w:rPr>
          <w:rFonts w:hint="default" w:ascii="宋体" w:hAnsi="宋体" w:eastAsia="宋体" w:cs="Times New Roman"/>
          <w:color w:val="auto"/>
          <w:kern w:val="0"/>
          <w:sz w:val="24"/>
          <w:szCs w:val="20"/>
          <w:highlight w:val="none"/>
        </w:rPr>
        <w:t>开标一览表（实质性格式）</w:t>
      </w:r>
    </w:p>
    <w:p w14:paraId="5D63D2AC">
      <w:pPr>
        <w:spacing w:line="360" w:lineRule="exact"/>
        <w:ind w:left="343" w:hanging="343"/>
        <w:jc w:val="center"/>
        <w:rPr>
          <w:rFonts w:hint="eastAsia" w:ascii="宋体" w:hAnsi="宋体" w:eastAsia="宋体" w:cs="Times New Roman"/>
          <w:b/>
          <w:color w:val="auto"/>
          <w:kern w:val="0"/>
          <w:sz w:val="36"/>
          <w:szCs w:val="36"/>
          <w:highlight w:val="none"/>
        </w:rPr>
      </w:pPr>
      <w:bookmarkStart w:id="511" w:name="_Toc164608827"/>
      <w:bookmarkStart w:id="512" w:name="_Toc195842923"/>
      <w:bookmarkStart w:id="513" w:name="_Toc226337254"/>
      <w:bookmarkStart w:id="514" w:name="_Toc226309802"/>
      <w:bookmarkStart w:id="515" w:name="_Toc265228396"/>
      <w:bookmarkStart w:id="516" w:name="_Toc226965831"/>
      <w:bookmarkStart w:id="517" w:name="_Toc305158826"/>
      <w:bookmarkStart w:id="518" w:name="_Toc305158900"/>
      <w:bookmarkStart w:id="519" w:name="_Toc264969248"/>
      <w:bookmarkStart w:id="520" w:name="_Toc164608672"/>
      <w:bookmarkStart w:id="521" w:name="_Toc226965748"/>
      <w:r>
        <w:rPr>
          <w:rFonts w:hint="eastAsia" w:ascii="宋体" w:hAnsi="宋体" w:eastAsia="宋体" w:cs="Times New Roman"/>
          <w:b/>
          <w:color w:val="auto"/>
          <w:kern w:val="0"/>
          <w:sz w:val="36"/>
          <w:szCs w:val="36"/>
          <w:highlight w:val="none"/>
        </w:rPr>
        <w:t>开标一览表</w:t>
      </w:r>
      <w:bookmarkEnd w:id="511"/>
      <w:bookmarkEnd w:id="512"/>
      <w:bookmarkEnd w:id="513"/>
      <w:bookmarkEnd w:id="514"/>
      <w:bookmarkEnd w:id="515"/>
      <w:bookmarkEnd w:id="516"/>
      <w:bookmarkEnd w:id="517"/>
      <w:bookmarkEnd w:id="518"/>
      <w:bookmarkEnd w:id="519"/>
      <w:bookmarkEnd w:id="520"/>
      <w:bookmarkEnd w:id="521"/>
    </w:p>
    <w:p w14:paraId="5778B52B">
      <w:pPr>
        <w:tabs>
          <w:tab w:val="left" w:pos="1800"/>
          <w:tab w:val="left" w:pos="5580"/>
        </w:tabs>
        <w:spacing w:line="360" w:lineRule="auto"/>
        <w:ind w:left="228" w:hanging="228"/>
        <w:jc w:val="left"/>
        <w:rPr>
          <w:rFonts w:hint="eastAsia" w:ascii="宋体" w:hAnsi="宋体" w:eastAsia="宋体" w:cs="Times New Roman"/>
          <w:i/>
          <w:color w:val="auto"/>
          <w:kern w:val="0"/>
          <w:sz w:val="24"/>
          <w:szCs w:val="22"/>
          <w:highlight w:val="none"/>
        </w:rPr>
      </w:pPr>
    </w:p>
    <w:p w14:paraId="10118304">
      <w:pPr>
        <w:pStyle w:val="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67"/>
        </w:tabs>
        <w:spacing w:before="120" w:beforeAutospacing="0" w:after="0" w:afterAutospacing="0" w:line="360" w:lineRule="auto"/>
        <w:ind w:left="0" w:right="0" w:firstLine="422"/>
        <w:jc w:val="both"/>
        <w:rPr>
          <w:color w:val="auto"/>
          <w:sz w:val="24"/>
          <w:szCs w:val="24"/>
          <w:highlight w:val="none"/>
        </w:rPr>
      </w:pPr>
      <w:r>
        <w:rPr>
          <w:rFonts w:hint="eastAsia" w:ascii="宋体" w:hAnsi="宋体" w:eastAsia="宋体" w:cs="宋体"/>
          <w:b/>
          <w:bCs/>
          <w:color w:val="auto"/>
          <w:sz w:val="24"/>
          <w:szCs w:val="24"/>
          <w:highlight w:val="none"/>
        </w:rPr>
        <w:t>（一）投标人在提交投标文件时，应按照投标工具（苏采云客户端）的提示流程编制提交开标一览表，开标一览表格式以投标工具中的为准。</w:t>
      </w:r>
    </w:p>
    <w:p w14:paraId="070B76EF">
      <w:pPr>
        <w:spacing w:line="360" w:lineRule="auto"/>
        <w:ind w:left="228" w:hanging="228"/>
        <w:outlineLvl w:val="2"/>
        <w:rPr>
          <w:rFonts w:hint="eastAsia" w:ascii="宋体" w:hAnsi="宋体" w:eastAsia="宋体" w:cs="Times New Roman"/>
          <w:color w:val="auto"/>
          <w:kern w:val="0"/>
          <w:sz w:val="24"/>
          <w:szCs w:val="20"/>
          <w:highlight w:val="none"/>
        </w:rPr>
      </w:pPr>
    </w:p>
    <w:p w14:paraId="31585465">
      <w:pPr>
        <w:spacing w:line="360" w:lineRule="auto"/>
        <w:ind w:left="228" w:hanging="228"/>
        <w:outlineLvl w:val="2"/>
        <w:rPr>
          <w:rFonts w:hint="eastAsia" w:ascii="宋体" w:hAnsi="宋体" w:eastAsia="宋体" w:cs="Times New Roman"/>
          <w:color w:val="auto"/>
          <w:kern w:val="0"/>
          <w:sz w:val="24"/>
          <w:szCs w:val="20"/>
          <w:highlight w:val="none"/>
        </w:rPr>
      </w:pPr>
    </w:p>
    <w:p w14:paraId="534FAB56">
      <w:pPr>
        <w:spacing w:line="360" w:lineRule="auto"/>
        <w:ind w:left="228" w:hanging="228"/>
        <w:outlineLvl w:val="2"/>
        <w:rPr>
          <w:rFonts w:hint="eastAsia" w:ascii="宋体" w:hAnsi="宋体" w:eastAsia="宋体" w:cs="Times New Roman"/>
          <w:color w:val="auto"/>
          <w:kern w:val="0"/>
          <w:sz w:val="24"/>
          <w:szCs w:val="20"/>
          <w:highlight w:val="none"/>
        </w:rPr>
      </w:pPr>
    </w:p>
    <w:p w14:paraId="6BC3C16E">
      <w:pPr>
        <w:spacing w:line="360" w:lineRule="auto"/>
        <w:ind w:left="228" w:hanging="228"/>
        <w:outlineLvl w:val="2"/>
        <w:rPr>
          <w:rFonts w:hint="eastAsia" w:ascii="宋体" w:hAnsi="宋体" w:eastAsia="宋体" w:cs="Times New Roman"/>
          <w:color w:val="auto"/>
          <w:kern w:val="0"/>
          <w:sz w:val="24"/>
          <w:szCs w:val="20"/>
          <w:highlight w:val="none"/>
        </w:rPr>
      </w:pPr>
    </w:p>
    <w:p w14:paraId="7C61D3E6">
      <w:pPr>
        <w:spacing w:line="360" w:lineRule="auto"/>
        <w:ind w:left="228" w:hanging="228"/>
        <w:outlineLvl w:val="2"/>
        <w:rPr>
          <w:rFonts w:hint="eastAsia" w:ascii="宋体" w:hAnsi="宋体" w:eastAsia="宋体" w:cs="Times New Roman"/>
          <w:color w:val="auto"/>
          <w:kern w:val="0"/>
          <w:sz w:val="24"/>
          <w:szCs w:val="20"/>
          <w:highlight w:val="none"/>
        </w:rPr>
      </w:pPr>
    </w:p>
    <w:p w14:paraId="1F8EA5C9">
      <w:pPr>
        <w:spacing w:line="360" w:lineRule="auto"/>
        <w:ind w:left="228" w:hanging="228"/>
        <w:outlineLvl w:val="2"/>
        <w:rPr>
          <w:rFonts w:hint="eastAsia" w:ascii="宋体" w:hAnsi="宋体" w:eastAsia="宋体" w:cs="Times New Roman"/>
          <w:color w:val="auto"/>
          <w:kern w:val="0"/>
          <w:sz w:val="24"/>
          <w:szCs w:val="20"/>
          <w:highlight w:val="none"/>
        </w:rPr>
      </w:pPr>
    </w:p>
    <w:p w14:paraId="3438A34E">
      <w:pPr>
        <w:spacing w:line="360" w:lineRule="auto"/>
        <w:ind w:left="228" w:hanging="228"/>
        <w:outlineLvl w:val="2"/>
        <w:rPr>
          <w:rFonts w:hint="eastAsia" w:ascii="宋体" w:hAnsi="宋体" w:eastAsia="宋体" w:cs="Times New Roman"/>
          <w:color w:val="auto"/>
          <w:kern w:val="0"/>
          <w:sz w:val="24"/>
          <w:szCs w:val="20"/>
          <w:highlight w:val="none"/>
        </w:rPr>
      </w:pPr>
    </w:p>
    <w:p w14:paraId="3FA30BEF">
      <w:pPr>
        <w:spacing w:line="360" w:lineRule="auto"/>
        <w:ind w:left="228" w:hanging="228"/>
        <w:outlineLvl w:val="2"/>
        <w:rPr>
          <w:rFonts w:hint="eastAsia" w:ascii="宋体" w:hAnsi="宋体" w:eastAsia="宋体" w:cs="Times New Roman"/>
          <w:color w:val="auto"/>
          <w:kern w:val="0"/>
          <w:sz w:val="24"/>
          <w:szCs w:val="20"/>
          <w:highlight w:val="none"/>
        </w:rPr>
      </w:pPr>
    </w:p>
    <w:p w14:paraId="48BE585C">
      <w:pPr>
        <w:spacing w:line="360" w:lineRule="auto"/>
        <w:ind w:left="228" w:hanging="228"/>
        <w:outlineLvl w:val="2"/>
        <w:rPr>
          <w:rFonts w:hint="eastAsia" w:ascii="宋体" w:hAnsi="宋体" w:eastAsia="宋体" w:cs="Times New Roman"/>
          <w:color w:val="auto"/>
          <w:kern w:val="0"/>
          <w:sz w:val="24"/>
          <w:szCs w:val="20"/>
          <w:highlight w:val="none"/>
        </w:rPr>
      </w:pPr>
    </w:p>
    <w:p w14:paraId="02079A34">
      <w:pPr>
        <w:spacing w:line="360" w:lineRule="auto"/>
        <w:ind w:left="228" w:hanging="228"/>
        <w:outlineLvl w:val="2"/>
        <w:rPr>
          <w:rFonts w:hint="eastAsia" w:ascii="宋体" w:hAnsi="宋体" w:eastAsia="宋体" w:cs="Times New Roman"/>
          <w:color w:val="auto"/>
          <w:kern w:val="0"/>
          <w:sz w:val="24"/>
          <w:szCs w:val="20"/>
          <w:highlight w:val="none"/>
        </w:rPr>
      </w:pPr>
    </w:p>
    <w:p w14:paraId="0A31FCC5">
      <w:pPr>
        <w:spacing w:line="360" w:lineRule="auto"/>
        <w:ind w:left="228" w:hanging="228"/>
        <w:outlineLvl w:val="2"/>
        <w:rPr>
          <w:rFonts w:hint="eastAsia" w:ascii="宋体" w:hAnsi="宋体" w:eastAsia="宋体" w:cs="Times New Roman"/>
          <w:color w:val="auto"/>
          <w:kern w:val="0"/>
          <w:sz w:val="24"/>
          <w:szCs w:val="20"/>
          <w:highlight w:val="none"/>
        </w:rPr>
      </w:pPr>
    </w:p>
    <w:p w14:paraId="6719D94D">
      <w:pPr>
        <w:spacing w:line="360" w:lineRule="auto"/>
        <w:ind w:left="228" w:hanging="228"/>
        <w:outlineLvl w:val="2"/>
        <w:rPr>
          <w:rFonts w:hint="eastAsia" w:ascii="宋体" w:hAnsi="宋体" w:eastAsia="宋体" w:cs="Times New Roman"/>
          <w:color w:val="auto"/>
          <w:kern w:val="0"/>
          <w:sz w:val="24"/>
          <w:szCs w:val="20"/>
          <w:highlight w:val="none"/>
        </w:rPr>
      </w:pPr>
    </w:p>
    <w:p w14:paraId="61CA30EB">
      <w:pPr>
        <w:spacing w:line="360" w:lineRule="auto"/>
        <w:ind w:left="228" w:hanging="228"/>
        <w:outlineLvl w:val="2"/>
        <w:rPr>
          <w:rFonts w:hint="eastAsia" w:ascii="宋体" w:hAnsi="宋体" w:eastAsia="宋体" w:cs="Times New Roman"/>
          <w:color w:val="auto"/>
          <w:kern w:val="0"/>
          <w:sz w:val="24"/>
          <w:szCs w:val="20"/>
          <w:highlight w:val="none"/>
        </w:rPr>
      </w:pPr>
    </w:p>
    <w:p w14:paraId="1AE33A98">
      <w:pPr>
        <w:spacing w:line="360" w:lineRule="auto"/>
        <w:ind w:left="228" w:hanging="228"/>
        <w:outlineLvl w:val="2"/>
        <w:rPr>
          <w:rFonts w:hint="eastAsia" w:ascii="宋体" w:hAnsi="宋体" w:eastAsia="宋体" w:cs="Times New Roman"/>
          <w:color w:val="auto"/>
          <w:kern w:val="0"/>
          <w:sz w:val="24"/>
          <w:szCs w:val="20"/>
          <w:highlight w:val="none"/>
        </w:rPr>
      </w:pPr>
    </w:p>
    <w:p w14:paraId="0C3DACF4">
      <w:pPr>
        <w:spacing w:line="360" w:lineRule="auto"/>
        <w:ind w:left="228" w:hanging="228"/>
        <w:outlineLvl w:val="2"/>
        <w:rPr>
          <w:rFonts w:hint="eastAsia" w:ascii="宋体" w:hAnsi="宋体" w:eastAsia="宋体" w:cs="Times New Roman"/>
          <w:color w:val="auto"/>
          <w:kern w:val="0"/>
          <w:sz w:val="24"/>
          <w:szCs w:val="20"/>
          <w:highlight w:val="none"/>
        </w:rPr>
      </w:pPr>
    </w:p>
    <w:p w14:paraId="417F4862">
      <w:pPr>
        <w:spacing w:line="360" w:lineRule="auto"/>
        <w:ind w:left="228" w:hanging="228"/>
        <w:outlineLvl w:val="2"/>
        <w:rPr>
          <w:rFonts w:hint="eastAsia" w:ascii="宋体" w:hAnsi="宋体" w:eastAsia="宋体" w:cs="Times New Roman"/>
          <w:color w:val="auto"/>
          <w:kern w:val="0"/>
          <w:sz w:val="24"/>
          <w:szCs w:val="20"/>
          <w:highlight w:val="none"/>
        </w:rPr>
      </w:pPr>
    </w:p>
    <w:p w14:paraId="52291B80">
      <w:pPr>
        <w:spacing w:line="360" w:lineRule="auto"/>
        <w:ind w:left="228" w:hanging="228"/>
        <w:outlineLvl w:val="2"/>
        <w:rPr>
          <w:rFonts w:hint="eastAsia" w:ascii="宋体" w:hAnsi="宋体" w:eastAsia="宋体" w:cs="Times New Roman"/>
          <w:color w:val="auto"/>
          <w:kern w:val="0"/>
          <w:sz w:val="24"/>
          <w:szCs w:val="20"/>
          <w:highlight w:val="none"/>
        </w:rPr>
      </w:pPr>
    </w:p>
    <w:p w14:paraId="5A850BD9">
      <w:pPr>
        <w:spacing w:line="360" w:lineRule="auto"/>
        <w:ind w:left="228" w:hanging="228"/>
        <w:outlineLvl w:val="2"/>
        <w:rPr>
          <w:rFonts w:hint="eastAsia" w:ascii="宋体" w:hAnsi="宋体" w:eastAsia="宋体" w:cs="Times New Roman"/>
          <w:color w:val="auto"/>
          <w:kern w:val="0"/>
          <w:sz w:val="24"/>
          <w:szCs w:val="20"/>
          <w:highlight w:val="none"/>
        </w:rPr>
      </w:pPr>
    </w:p>
    <w:p w14:paraId="076C26BB">
      <w:pPr>
        <w:spacing w:line="360" w:lineRule="auto"/>
        <w:ind w:left="228" w:hanging="228"/>
        <w:outlineLvl w:val="2"/>
        <w:rPr>
          <w:rFonts w:hint="eastAsia" w:ascii="宋体" w:hAnsi="宋体" w:eastAsia="宋体" w:cs="Times New Roman"/>
          <w:color w:val="auto"/>
          <w:kern w:val="0"/>
          <w:sz w:val="24"/>
          <w:szCs w:val="20"/>
          <w:highlight w:val="none"/>
        </w:rPr>
      </w:pPr>
    </w:p>
    <w:p w14:paraId="5AB94DD3">
      <w:pPr>
        <w:spacing w:line="360" w:lineRule="auto"/>
        <w:ind w:left="228" w:hanging="228"/>
        <w:outlineLvl w:val="2"/>
        <w:rPr>
          <w:rFonts w:hint="eastAsia" w:ascii="宋体" w:hAnsi="宋体" w:eastAsia="宋体" w:cs="Times New Roman"/>
          <w:color w:val="auto"/>
          <w:kern w:val="0"/>
          <w:sz w:val="24"/>
          <w:szCs w:val="20"/>
          <w:highlight w:val="none"/>
        </w:rPr>
      </w:pPr>
    </w:p>
    <w:p w14:paraId="442E3A31">
      <w:pPr>
        <w:spacing w:line="360" w:lineRule="auto"/>
        <w:ind w:left="228" w:hanging="228"/>
        <w:outlineLvl w:val="2"/>
        <w:rPr>
          <w:rFonts w:hint="eastAsia" w:ascii="宋体" w:hAnsi="宋体" w:eastAsia="宋体" w:cs="Times New Roman"/>
          <w:color w:val="auto"/>
          <w:kern w:val="0"/>
          <w:sz w:val="24"/>
          <w:szCs w:val="20"/>
          <w:highlight w:val="none"/>
        </w:rPr>
      </w:pPr>
    </w:p>
    <w:p w14:paraId="18E34E9F">
      <w:pPr>
        <w:spacing w:line="360" w:lineRule="auto"/>
        <w:ind w:left="228" w:hanging="228"/>
        <w:outlineLvl w:val="2"/>
        <w:rPr>
          <w:rFonts w:hint="eastAsia" w:ascii="宋体" w:hAnsi="宋体" w:eastAsia="宋体" w:cs="Times New Roman"/>
          <w:color w:val="auto"/>
          <w:kern w:val="0"/>
          <w:sz w:val="24"/>
          <w:szCs w:val="20"/>
          <w:highlight w:val="none"/>
        </w:rPr>
      </w:pPr>
    </w:p>
    <w:p w14:paraId="402B311F">
      <w:pPr>
        <w:spacing w:line="360" w:lineRule="auto"/>
        <w:ind w:left="228" w:hanging="228"/>
        <w:outlineLvl w:val="2"/>
        <w:rPr>
          <w:rFonts w:hint="eastAsia" w:ascii="宋体" w:hAnsi="宋体" w:eastAsia="宋体" w:cs="Times New Roman"/>
          <w:color w:val="auto"/>
          <w:kern w:val="0"/>
          <w:sz w:val="24"/>
          <w:szCs w:val="20"/>
          <w:highlight w:val="none"/>
        </w:rPr>
      </w:pPr>
    </w:p>
    <w:p w14:paraId="45498687">
      <w:pPr>
        <w:spacing w:line="360" w:lineRule="auto"/>
        <w:ind w:left="228" w:hanging="228"/>
        <w:outlineLvl w:val="2"/>
        <w:rPr>
          <w:rFonts w:hint="eastAsia" w:ascii="宋体" w:hAnsi="宋体" w:eastAsia="宋体" w:cs="Times New Roman"/>
          <w:color w:val="auto"/>
          <w:kern w:val="0"/>
          <w:sz w:val="24"/>
          <w:szCs w:val="20"/>
          <w:highlight w:val="none"/>
        </w:rPr>
      </w:pPr>
    </w:p>
    <w:p w14:paraId="07A32A4E">
      <w:pPr>
        <w:spacing w:line="360" w:lineRule="auto"/>
        <w:ind w:left="228" w:hanging="228"/>
        <w:outlineLvl w:val="2"/>
        <w:rPr>
          <w:rFonts w:hint="eastAsia" w:ascii="宋体" w:hAnsi="宋体" w:eastAsia="宋体" w:cs="Times New Roman"/>
          <w:color w:val="auto"/>
          <w:kern w:val="0"/>
          <w:sz w:val="24"/>
          <w:szCs w:val="20"/>
          <w:highlight w:val="none"/>
        </w:rPr>
      </w:pPr>
    </w:p>
    <w:p w14:paraId="56EE1B7F">
      <w:pPr>
        <w:spacing w:line="360" w:lineRule="auto"/>
        <w:ind w:left="228" w:hanging="228"/>
        <w:outlineLvl w:val="2"/>
        <w:rPr>
          <w:rFonts w:hint="eastAsia" w:ascii="宋体" w:hAnsi="宋体" w:eastAsia="宋体" w:cs="Times New Roman"/>
          <w:color w:val="auto"/>
          <w:kern w:val="0"/>
          <w:sz w:val="24"/>
          <w:szCs w:val="20"/>
          <w:highlight w:val="none"/>
        </w:rPr>
      </w:pPr>
    </w:p>
    <w:p w14:paraId="1ABC0AD4">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 xml:space="preserve">5 </w:t>
      </w:r>
      <w:r>
        <w:rPr>
          <w:rFonts w:hint="default" w:ascii="宋体" w:hAnsi="宋体" w:eastAsia="宋体" w:cs="Times New Roman"/>
          <w:color w:val="auto"/>
          <w:kern w:val="0"/>
          <w:sz w:val="24"/>
          <w:szCs w:val="20"/>
          <w:highlight w:val="none"/>
        </w:rPr>
        <w:t>投标分项报价表（实质性格式）</w:t>
      </w:r>
    </w:p>
    <w:p w14:paraId="46CC8FD6">
      <w:pPr>
        <w:tabs>
          <w:tab w:val="left" w:pos="1800"/>
          <w:tab w:val="left" w:pos="5580"/>
        </w:tabs>
        <w:jc w:val="center"/>
        <w:rPr>
          <w:rFonts w:hint="eastAsia" w:ascii="宋体" w:hAnsi="宋体" w:eastAsia="宋体" w:cs="Times New Roman"/>
          <w:b/>
          <w:color w:val="auto"/>
          <w:kern w:val="0"/>
          <w:sz w:val="36"/>
          <w:szCs w:val="36"/>
          <w:highlight w:val="none"/>
        </w:rPr>
      </w:pPr>
      <w:r>
        <w:rPr>
          <w:rFonts w:hint="eastAsia" w:ascii="宋体" w:hAnsi="宋体" w:eastAsia="宋体" w:cs="Times New Roman"/>
          <w:b/>
          <w:color w:val="auto"/>
          <w:kern w:val="0"/>
          <w:sz w:val="36"/>
          <w:szCs w:val="36"/>
          <w:highlight w:val="none"/>
        </w:rPr>
        <w:t>投标分项报价表</w:t>
      </w:r>
    </w:p>
    <w:p w14:paraId="19BEDCAD">
      <w:pPr>
        <w:kinsoku w:val="0"/>
        <w:autoSpaceDE w:val="0"/>
        <w:autoSpaceDN w:val="0"/>
        <w:adjustRightInd w:val="0"/>
        <w:snapToGrid w:val="0"/>
        <w:spacing w:before="308" w:line="219" w:lineRule="auto"/>
        <w:jc w:val="center"/>
        <w:textAlignment w:val="baseline"/>
        <w:outlineLvl w:val="0"/>
        <w:rPr>
          <w:rFonts w:ascii="宋体" w:hAnsi="宋体" w:eastAsia="宋体" w:cs="宋体"/>
          <w:snapToGrid w:val="0"/>
          <w:color w:val="auto"/>
          <w:kern w:val="0"/>
          <w:sz w:val="28"/>
          <w:szCs w:val="28"/>
          <w:highlight w:val="none"/>
          <w:lang w:val="en-US" w:eastAsia="en-US" w:bidi="ar-SA"/>
        </w:rPr>
      </w:pPr>
      <w:r>
        <w:rPr>
          <w:rFonts w:ascii="宋体" w:hAnsi="宋体" w:eastAsia="宋体" w:cs="宋体"/>
          <w:b/>
          <w:bCs/>
          <w:snapToGrid w:val="0"/>
          <w:color w:val="auto"/>
          <w:spacing w:val="-4"/>
          <w:kern w:val="0"/>
          <w:sz w:val="28"/>
          <w:szCs w:val="28"/>
          <w:highlight w:val="none"/>
          <w:lang w:val="en-US" w:eastAsia="en-US" w:bidi="ar-SA"/>
        </w:rPr>
        <w:t>第一部分：</w:t>
      </w:r>
      <w:r>
        <w:rPr>
          <w:rFonts w:hint="default" w:ascii="宋体" w:hAnsi="宋体" w:eastAsia="宋体" w:cs="宋体"/>
          <w:b/>
          <w:bCs/>
          <w:snapToGrid w:val="0"/>
          <w:color w:val="auto"/>
          <w:spacing w:val="-4"/>
          <w:kern w:val="0"/>
          <w:sz w:val="28"/>
          <w:szCs w:val="28"/>
          <w:highlight w:val="none"/>
          <w:lang w:val="en-US" w:eastAsia="en-US" w:bidi="ar-SA"/>
        </w:rPr>
        <w:t>日常排水综合管理基础服务</w:t>
      </w:r>
      <w:r>
        <w:rPr>
          <w:rFonts w:hint="eastAsia" w:ascii="宋体" w:hAnsi="宋体" w:eastAsia="宋体" w:cs="宋体"/>
          <w:b/>
          <w:bCs/>
          <w:snapToGrid w:val="0"/>
          <w:color w:val="auto"/>
          <w:spacing w:val="-4"/>
          <w:kern w:val="0"/>
          <w:sz w:val="28"/>
          <w:szCs w:val="28"/>
          <w:highlight w:val="none"/>
          <w:lang w:val="en-US" w:eastAsia="en-US" w:bidi="ar-SA"/>
        </w:rPr>
        <w:t>部分</w:t>
      </w:r>
      <w:r>
        <w:rPr>
          <w:rFonts w:ascii="宋体" w:hAnsi="宋体" w:eastAsia="宋体" w:cs="宋体"/>
          <w:b/>
          <w:bCs/>
          <w:snapToGrid w:val="0"/>
          <w:color w:val="auto"/>
          <w:spacing w:val="-7"/>
          <w:kern w:val="0"/>
          <w:sz w:val="28"/>
          <w:szCs w:val="28"/>
          <w:highlight w:val="none"/>
          <w:lang w:val="en-US" w:eastAsia="en-US" w:bidi="ar-SA"/>
        </w:rPr>
        <w:t>（限价</w:t>
      </w:r>
      <w:r>
        <w:rPr>
          <w:rFonts w:ascii="宋体" w:hAnsi="宋体" w:eastAsia="宋体" w:cs="宋体"/>
          <w:snapToGrid w:val="0"/>
          <w:color w:val="auto"/>
          <w:spacing w:val="-44"/>
          <w:kern w:val="0"/>
          <w:sz w:val="28"/>
          <w:szCs w:val="28"/>
          <w:highlight w:val="none"/>
          <w:lang w:val="en-US" w:eastAsia="en-US" w:bidi="ar-SA"/>
        </w:rPr>
        <w:t xml:space="preserve"> </w:t>
      </w:r>
      <w:r>
        <w:rPr>
          <w:rFonts w:hint="eastAsia" w:ascii="宋体" w:hAnsi="宋体" w:eastAsia="宋体" w:cs="宋体"/>
          <w:b/>
          <w:bCs/>
          <w:snapToGrid w:val="0"/>
          <w:color w:val="auto"/>
          <w:spacing w:val="-7"/>
          <w:kern w:val="0"/>
          <w:sz w:val="28"/>
          <w:szCs w:val="28"/>
          <w:highlight w:val="none"/>
          <w:lang w:val="en-US" w:eastAsia="zh-CN" w:bidi="ar-SA"/>
        </w:rPr>
        <w:t>24</w:t>
      </w:r>
      <w:r>
        <w:rPr>
          <w:rFonts w:ascii="宋体" w:hAnsi="宋体" w:eastAsia="宋体" w:cs="宋体"/>
          <w:b/>
          <w:bCs/>
          <w:snapToGrid w:val="0"/>
          <w:color w:val="auto"/>
          <w:spacing w:val="-7"/>
          <w:kern w:val="0"/>
          <w:sz w:val="28"/>
          <w:szCs w:val="28"/>
          <w:highlight w:val="none"/>
          <w:lang w:val="en-US" w:eastAsia="en-US" w:bidi="ar-SA"/>
        </w:rPr>
        <w:t>0</w:t>
      </w:r>
      <w:r>
        <w:rPr>
          <w:rFonts w:ascii="宋体" w:hAnsi="宋体" w:eastAsia="宋体" w:cs="宋体"/>
          <w:snapToGrid w:val="0"/>
          <w:color w:val="auto"/>
          <w:spacing w:val="-52"/>
          <w:kern w:val="0"/>
          <w:sz w:val="28"/>
          <w:szCs w:val="28"/>
          <w:highlight w:val="none"/>
          <w:lang w:val="en-US" w:eastAsia="en-US" w:bidi="ar-SA"/>
        </w:rPr>
        <w:t xml:space="preserve"> </w:t>
      </w:r>
      <w:r>
        <w:rPr>
          <w:rFonts w:ascii="宋体" w:hAnsi="宋体" w:eastAsia="宋体" w:cs="宋体"/>
          <w:b/>
          <w:bCs/>
          <w:snapToGrid w:val="0"/>
          <w:color w:val="auto"/>
          <w:spacing w:val="-7"/>
          <w:kern w:val="0"/>
          <w:sz w:val="28"/>
          <w:szCs w:val="28"/>
          <w:highlight w:val="none"/>
          <w:lang w:val="en-US" w:eastAsia="en-US" w:bidi="ar-SA"/>
        </w:rPr>
        <w:t>万元）</w:t>
      </w:r>
    </w:p>
    <w:p w14:paraId="4B0E19F3">
      <w:pPr>
        <w:widowControl/>
        <w:kinsoku w:val="0"/>
        <w:autoSpaceDE w:val="0"/>
        <w:autoSpaceDN w:val="0"/>
        <w:adjustRightInd w:val="0"/>
        <w:snapToGrid w:val="0"/>
        <w:spacing w:line="132" w:lineRule="exact"/>
        <w:jc w:val="left"/>
        <w:textAlignment w:val="baseline"/>
        <w:rPr>
          <w:rFonts w:ascii="Arial" w:hAnsi="Arial" w:eastAsia="Arial" w:cs="Arial"/>
          <w:snapToGrid w:val="0"/>
          <w:color w:val="auto"/>
          <w:kern w:val="0"/>
          <w:szCs w:val="21"/>
          <w:highlight w:val="none"/>
          <w:lang w:eastAsia="en-US"/>
        </w:rPr>
      </w:pPr>
    </w:p>
    <w:tbl>
      <w:tblPr>
        <w:tblStyle w:val="11"/>
        <w:tblW w:w="10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1600"/>
        <w:gridCol w:w="1367"/>
        <w:gridCol w:w="650"/>
        <w:gridCol w:w="850"/>
        <w:gridCol w:w="1133"/>
        <w:gridCol w:w="900"/>
        <w:gridCol w:w="3000"/>
      </w:tblGrid>
      <w:tr w14:paraId="310BF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793" w:type="dxa"/>
            <w:vAlign w:val="top"/>
          </w:tcPr>
          <w:p w14:paraId="7B15206B">
            <w:pPr>
              <w:widowControl/>
              <w:kinsoku w:val="0"/>
              <w:autoSpaceDE w:val="0"/>
              <w:autoSpaceDN w:val="0"/>
              <w:adjustRightInd w:val="0"/>
              <w:snapToGrid w:val="0"/>
              <w:spacing w:line="250" w:lineRule="auto"/>
              <w:jc w:val="left"/>
              <w:textAlignment w:val="baseline"/>
              <w:rPr>
                <w:rFonts w:hint="eastAsia" w:ascii="宋体" w:hAnsi="宋体" w:eastAsia="宋体" w:cs="宋体"/>
                <w:snapToGrid w:val="0"/>
                <w:color w:val="auto"/>
                <w:kern w:val="0"/>
                <w:sz w:val="24"/>
                <w:szCs w:val="24"/>
                <w:highlight w:val="none"/>
                <w:lang w:eastAsia="en-US"/>
              </w:rPr>
            </w:pPr>
          </w:p>
          <w:p w14:paraId="748D58A0">
            <w:pPr>
              <w:kinsoku w:val="0"/>
              <w:autoSpaceDE w:val="0"/>
              <w:autoSpaceDN w:val="0"/>
              <w:adjustRightInd w:val="0"/>
              <w:snapToGrid w:val="0"/>
              <w:spacing w:before="65" w:line="156" w:lineRule="exact"/>
              <w:ind w:left="379"/>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3"/>
                <w:kern w:val="0"/>
                <w:position w:val="-4"/>
                <w:sz w:val="24"/>
                <w:szCs w:val="24"/>
                <w:highlight w:val="none"/>
                <w:lang w:val="en-US" w:eastAsia="en-US" w:bidi="ar-SA"/>
              </w:rPr>
              <w:t>一</w:t>
            </w:r>
          </w:p>
        </w:tc>
        <w:tc>
          <w:tcPr>
            <w:tcW w:w="9500" w:type="dxa"/>
            <w:gridSpan w:val="7"/>
            <w:vAlign w:val="top"/>
          </w:tcPr>
          <w:p w14:paraId="239887DC">
            <w:pPr>
              <w:kinsoku w:val="0"/>
              <w:autoSpaceDE w:val="0"/>
              <w:autoSpaceDN w:val="0"/>
              <w:adjustRightInd w:val="0"/>
              <w:snapToGrid w:val="0"/>
              <w:spacing w:before="239" w:line="226" w:lineRule="auto"/>
              <w:jc w:val="center"/>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日常排水综合管理基础服务部分</w:t>
            </w:r>
          </w:p>
        </w:tc>
      </w:tr>
      <w:tr w14:paraId="437C2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793" w:type="dxa"/>
            <w:vAlign w:val="top"/>
          </w:tcPr>
          <w:p w14:paraId="49DFED15">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auto"/>
                <w:kern w:val="0"/>
                <w:sz w:val="24"/>
                <w:szCs w:val="24"/>
                <w:highlight w:val="none"/>
                <w:lang w:eastAsia="en-US"/>
              </w:rPr>
            </w:pPr>
          </w:p>
          <w:p w14:paraId="1B236955">
            <w:pPr>
              <w:kinsoku w:val="0"/>
              <w:autoSpaceDE w:val="0"/>
              <w:autoSpaceDN w:val="0"/>
              <w:adjustRightInd w:val="0"/>
              <w:snapToGrid w:val="0"/>
              <w:spacing w:before="65" w:line="229" w:lineRule="auto"/>
              <w:ind w:left="269"/>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4"/>
                <w:kern w:val="0"/>
                <w:sz w:val="24"/>
                <w:szCs w:val="24"/>
                <w:highlight w:val="none"/>
                <w:lang w:val="en-US" w:eastAsia="en-US" w:bidi="ar-SA"/>
              </w:rPr>
              <w:t>序号</w:t>
            </w:r>
          </w:p>
        </w:tc>
        <w:tc>
          <w:tcPr>
            <w:tcW w:w="1600" w:type="dxa"/>
            <w:vAlign w:val="top"/>
          </w:tcPr>
          <w:p w14:paraId="48C8516E">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auto"/>
                <w:kern w:val="0"/>
                <w:sz w:val="24"/>
                <w:szCs w:val="24"/>
                <w:highlight w:val="none"/>
                <w:lang w:eastAsia="en-US"/>
              </w:rPr>
            </w:pPr>
          </w:p>
          <w:p w14:paraId="47ABCA89">
            <w:pPr>
              <w:kinsoku w:val="0"/>
              <w:autoSpaceDE w:val="0"/>
              <w:autoSpaceDN w:val="0"/>
              <w:adjustRightInd w:val="0"/>
              <w:snapToGrid w:val="0"/>
              <w:spacing w:before="65" w:line="228" w:lineRule="auto"/>
              <w:ind w:left="299"/>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3"/>
                <w:kern w:val="0"/>
                <w:sz w:val="24"/>
                <w:szCs w:val="24"/>
                <w:highlight w:val="none"/>
                <w:lang w:val="en-US" w:eastAsia="en-US" w:bidi="ar-SA"/>
              </w:rPr>
              <w:t>费用名称</w:t>
            </w:r>
          </w:p>
        </w:tc>
        <w:tc>
          <w:tcPr>
            <w:tcW w:w="1367" w:type="dxa"/>
            <w:vAlign w:val="top"/>
          </w:tcPr>
          <w:p w14:paraId="6CAFED6B">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auto"/>
                <w:kern w:val="0"/>
                <w:sz w:val="24"/>
                <w:szCs w:val="24"/>
                <w:highlight w:val="none"/>
                <w:lang w:eastAsia="en-US"/>
              </w:rPr>
            </w:pPr>
          </w:p>
          <w:p w14:paraId="7BFB2616">
            <w:pPr>
              <w:kinsoku w:val="0"/>
              <w:autoSpaceDE w:val="0"/>
              <w:autoSpaceDN w:val="0"/>
              <w:adjustRightInd w:val="0"/>
              <w:snapToGrid w:val="0"/>
              <w:spacing w:before="65" w:line="228" w:lineRule="auto"/>
              <w:ind w:left="505"/>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6"/>
                <w:kern w:val="0"/>
                <w:sz w:val="24"/>
                <w:szCs w:val="24"/>
                <w:highlight w:val="none"/>
                <w:lang w:val="en-US" w:eastAsia="en-US" w:bidi="ar-SA"/>
              </w:rPr>
              <w:t>计算方式</w:t>
            </w:r>
          </w:p>
        </w:tc>
        <w:tc>
          <w:tcPr>
            <w:tcW w:w="650" w:type="dxa"/>
            <w:vAlign w:val="top"/>
          </w:tcPr>
          <w:p w14:paraId="1E3FC0D4">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auto"/>
                <w:kern w:val="0"/>
                <w:sz w:val="24"/>
                <w:szCs w:val="24"/>
                <w:highlight w:val="none"/>
                <w:lang w:eastAsia="en-US"/>
              </w:rPr>
            </w:pPr>
          </w:p>
          <w:p w14:paraId="119CED83">
            <w:pPr>
              <w:kinsoku w:val="0"/>
              <w:autoSpaceDE w:val="0"/>
              <w:autoSpaceDN w:val="0"/>
              <w:adjustRightInd w:val="0"/>
              <w:snapToGrid w:val="0"/>
              <w:spacing w:before="65" w:line="228" w:lineRule="auto"/>
              <w:ind w:left="14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3"/>
                <w:kern w:val="0"/>
                <w:sz w:val="24"/>
                <w:szCs w:val="24"/>
                <w:highlight w:val="none"/>
                <w:lang w:val="en-US" w:eastAsia="en-US" w:bidi="ar-SA"/>
              </w:rPr>
              <w:t>单位</w:t>
            </w:r>
          </w:p>
        </w:tc>
        <w:tc>
          <w:tcPr>
            <w:tcW w:w="850" w:type="dxa"/>
            <w:vAlign w:val="top"/>
          </w:tcPr>
          <w:p w14:paraId="0C5B0F90">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auto"/>
                <w:kern w:val="0"/>
                <w:sz w:val="24"/>
                <w:szCs w:val="24"/>
                <w:highlight w:val="none"/>
                <w:lang w:eastAsia="en-US"/>
              </w:rPr>
            </w:pPr>
          </w:p>
          <w:p w14:paraId="5A16F143">
            <w:pPr>
              <w:kinsoku w:val="0"/>
              <w:autoSpaceDE w:val="0"/>
              <w:autoSpaceDN w:val="0"/>
              <w:adjustRightInd w:val="0"/>
              <w:snapToGrid w:val="0"/>
              <w:spacing w:before="65" w:line="228" w:lineRule="auto"/>
              <w:ind w:left="21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3"/>
                <w:kern w:val="0"/>
                <w:sz w:val="24"/>
                <w:szCs w:val="24"/>
                <w:highlight w:val="none"/>
                <w:lang w:val="en-US" w:eastAsia="en-US" w:bidi="ar-SA"/>
              </w:rPr>
              <w:t>数量</w:t>
            </w:r>
          </w:p>
        </w:tc>
        <w:tc>
          <w:tcPr>
            <w:tcW w:w="1133" w:type="dxa"/>
            <w:vAlign w:val="top"/>
          </w:tcPr>
          <w:p w14:paraId="043A82A2">
            <w:pPr>
              <w:kinsoku w:val="0"/>
              <w:autoSpaceDE w:val="0"/>
              <w:autoSpaceDN w:val="0"/>
              <w:adjustRightInd w:val="0"/>
              <w:snapToGrid w:val="0"/>
              <w:spacing w:before="141" w:line="301" w:lineRule="auto"/>
              <w:ind w:left="171" w:right="172" w:firstLine="97"/>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3"/>
                <w:kern w:val="0"/>
                <w:sz w:val="24"/>
                <w:szCs w:val="24"/>
                <w:highlight w:val="none"/>
                <w:lang w:val="en-US" w:eastAsia="en-US" w:bidi="ar-SA"/>
              </w:rPr>
              <w:t>单价</w:t>
            </w:r>
            <w:r>
              <w:rPr>
                <w:rFonts w:hint="eastAsia" w:ascii="宋体" w:hAnsi="宋体" w:eastAsia="宋体" w:cs="宋体"/>
                <w:b/>
                <w:bCs/>
                <w:snapToGrid w:val="0"/>
                <w:color w:val="auto"/>
                <w:spacing w:val="-4"/>
                <w:kern w:val="0"/>
                <w:sz w:val="24"/>
                <w:szCs w:val="24"/>
                <w:highlight w:val="none"/>
                <w:lang w:val="en-US" w:eastAsia="en-US" w:bidi="ar-SA"/>
              </w:rPr>
              <w:t>（元）</w:t>
            </w:r>
          </w:p>
        </w:tc>
        <w:tc>
          <w:tcPr>
            <w:tcW w:w="900" w:type="dxa"/>
            <w:vAlign w:val="top"/>
          </w:tcPr>
          <w:p w14:paraId="067409F8">
            <w:pPr>
              <w:kinsoku w:val="0"/>
              <w:autoSpaceDE w:val="0"/>
              <w:autoSpaceDN w:val="0"/>
              <w:adjustRightInd w:val="0"/>
              <w:snapToGrid w:val="0"/>
              <w:spacing w:before="141" w:line="301" w:lineRule="auto"/>
              <w:ind w:left="144" w:right="143" w:firstLine="9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小计</w:t>
            </w:r>
            <w:r>
              <w:rPr>
                <w:rFonts w:hint="eastAsia" w:ascii="宋体" w:hAnsi="宋体" w:eastAsia="宋体" w:cs="宋体"/>
                <w:b/>
                <w:bCs/>
                <w:snapToGrid w:val="0"/>
                <w:color w:val="auto"/>
                <w:spacing w:val="-5"/>
                <w:kern w:val="0"/>
                <w:sz w:val="24"/>
                <w:szCs w:val="24"/>
                <w:highlight w:val="none"/>
                <w:lang w:val="en-US" w:eastAsia="en-US" w:bidi="ar-SA"/>
              </w:rPr>
              <w:t>（元）</w:t>
            </w:r>
          </w:p>
        </w:tc>
        <w:tc>
          <w:tcPr>
            <w:tcW w:w="3000" w:type="dxa"/>
            <w:vAlign w:val="top"/>
          </w:tcPr>
          <w:p w14:paraId="15FCBC34">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auto"/>
                <w:kern w:val="0"/>
                <w:sz w:val="24"/>
                <w:szCs w:val="24"/>
                <w:highlight w:val="none"/>
                <w:lang w:eastAsia="en-US"/>
              </w:rPr>
            </w:pPr>
          </w:p>
          <w:p w14:paraId="6838842D">
            <w:pPr>
              <w:kinsoku w:val="0"/>
              <w:autoSpaceDE w:val="0"/>
              <w:autoSpaceDN w:val="0"/>
              <w:adjustRightInd w:val="0"/>
              <w:snapToGrid w:val="0"/>
              <w:spacing w:before="65" w:line="229" w:lineRule="auto"/>
              <w:ind w:left="1152"/>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b/>
                <w:bCs/>
                <w:snapToGrid w:val="0"/>
                <w:color w:val="auto"/>
                <w:spacing w:val="2"/>
                <w:kern w:val="0"/>
                <w:sz w:val="24"/>
                <w:szCs w:val="24"/>
                <w:highlight w:val="none"/>
                <w:lang w:val="en-US" w:eastAsia="en-US" w:bidi="ar-SA"/>
              </w:rPr>
              <w:t>备注</w:t>
            </w:r>
          </w:p>
        </w:tc>
      </w:tr>
      <w:tr w14:paraId="6F89F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793" w:type="dxa"/>
            <w:vAlign w:val="top"/>
          </w:tcPr>
          <w:p w14:paraId="15899B46">
            <w:pPr>
              <w:widowControl/>
              <w:kinsoku w:val="0"/>
              <w:autoSpaceDE w:val="0"/>
              <w:autoSpaceDN w:val="0"/>
              <w:adjustRightInd w:val="0"/>
              <w:snapToGrid w:val="0"/>
              <w:spacing w:line="276" w:lineRule="auto"/>
              <w:jc w:val="left"/>
              <w:textAlignment w:val="baseline"/>
              <w:rPr>
                <w:rFonts w:hint="eastAsia" w:ascii="宋体" w:hAnsi="宋体" w:eastAsia="宋体" w:cs="宋体"/>
                <w:snapToGrid w:val="0"/>
                <w:color w:val="auto"/>
                <w:kern w:val="0"/>
                <w:sz w:val="24"/>
                <w:szCs w:val="24"/>
                <w:highlight w:val="none"/>
                <w:lang w:eastAsia="en-US"/>
              </w:rPr>
            </w:pPr>
          </w:p>
          <w:p w14:paraId="316DEA2E">
            <w:pPr>
              <w:kinsoku w:val="0"/>
              <w:autoSpaceDE w:val="0"/>
              <w:autoSpaceDN w:val="0"/>
              <w:adjustRightInd w:val="0"/>
              <w:snapToGrid w:val="0"/>
              <w:spacing w:before="65" w:line="270" w:lineRule="exact"/>
              <w:ind w:left="444"/>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1</w:t>
            </w:r>
          </w:p>
        </w:tc>
        <w:tc>
          <w:tcPr>
            <w:tcW w:w="1600" w:type="dxa"/>
            <w:vAlign w:val="top"/>
          </w:tcPr>
          <w:p w14:paraId="54F890AE">
            <w:pPr>
              <w:widowControl/>
              <w:kinsoku w:val="0"/>
              <w:autoSpaceDE w:val="0"/>
              <w:autoSpaceDN w:val="0"/>
              <w:adjustRightInd w:val="0"/>
              <w:snapToGrid w:val="0"/>
              <w:spacing w:line="264" w:lineRule="auto"/>
              <w:jc w:val="left"/>
              <w:textAlignment w:val="baseline"/>
              <w:rPr>
                <w:rFonts w:hint="eastAsia" w:ascii="宋体" w:hAnsi="宋体" w:eastAsia="宋体" w:cs="宋体"/>
                <w:snapToGrid w:val="0"/>
                <w:color w:val="auto"/>
                <w:kern w:val="0"/>
                <w:sz w:val="24"/>
                <w:szCs w:val="24"/>
                <w:highlight w:val="none"/>
                <w:lang w:eastAsia="en-US"/>
              </w:rPr>
            </w:pPr>
          </w:p>
          <w:p w14:paraId="5322E080">
            <w:pPr>
              <w:kinsoku w:val="0"/>
              <w:autoSpaceDE w:val="0"/>
              <w:autoSpaceDN w:val="0"/>
              <w:adjustRightInd w:val="0"/>
              <w:snapToGrid w:val="0"/>
              <w:spacing w:before="65" w:line="229" w:lineRule="auto"/>
              <w:ind w:left="289"/>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en-US" w:bidi="ar-SA"/>
              </w:rPr>
              <w:t>人员工资</w:t>
            </w:r>
          </w:p>
        </w:tc>
        <w:tc>
          <w:tcPr>
            <w:tcW w:w="1367" w:type="dxa"/>
            <w:vAlign w:val="top"/>
          </w:tcPr>
          <w:p w14:paraId="57DEB4AD">
            <w:pPr>
              <w:widowControl/>
              <w:kinsoku w:val="0"/>
              <w:autoSpaceDE w:val="0"/>
              <w:autoSpaceDN w:val="0"/>
              <w:adjustRightInd w:val="0"/>
              <w:snapToGrid w:val="0"/>
              <w:spacing w:line="276" w:lineRule="auto"/>
              <w:jc w:val="left"/>
              <w:textAlignment w:val="baseline"/>
              <w:rPr>
                <w:rFonts w:hint="eastAsia" w:ascii="宋体" w:hAnsi="宋体" w:eastAsia="宋体" w:cs="宋体"/>
                <w:snapToGrid w:val="0"/>
                <w:color w:val="auto"/>
                <w:kern w:val="0"/>
                <w:sz w:val="24"/>
                <w:szCs w:val="24"/>
                <w:highlight w:val="none"/>
                <w:lang w:eastAsia="en-US"/>
              </w:rPr>
            </w:pPr>
          </w:p>
          <w:p w14:paraId="022B4415">
            <w:pPr>
              <w:kinsoku w:val="0"/>
              <w:autoSpaceDE w:val="0"/>
              <w:autoSpaceDN w:val="0"/>
              <w:adjustRightInd w:val="0"/>
              <w:snapToGrid w:val="0"/>
              <w:spacing w:before="65" w:line="228" w:lineRule="auto"/>
              <w:ind w:left="114"/>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6"/>
                <w:kern w:val="0"/>
                <w:sz w:val="24"/>
                <w:szCs w:val="24"/>
                <w:highlight w:val="none"/>
                <w:lang w:val="en-US" w:eastAsia="en-US" w:bidi="ar-SA"/>
              </w:rPr>
              <w:t>年薪*人数</w:t>
            </w:r>
          </w:p>
        </w:tc>
        <w:tc>
          <w:tcPr>
            <w:tcW w:w="650" w:type="dxa"/>
            <w:vAlign w:val="top"/>
          </w:tcPr>
          <w:p w14:paraId="1630F6D7">
            <w:pPr>
              <w:widowControl/>
              <w:kinsoku w:val="0"/>
              <w:autoSpaceDE w:val="0"/>
              <w:autoSpaceDN w:val="0"/>
              <w:adjustRightInd w:val="0"/>
              <w:snapToGrid w:val="0"/>
              <w:spacing w:line="276" w:lineRule="auto"/>
              <w:jc w:val="left"/>
              <w:textAlignment w:val="baseline"/>
              <w:rPr>
                <w:rFonts w:hint="eastAsia" w:ascii="宋体" w:hAnsi="宋体" w:eastAsia="宋体" w:cs="宋体"/>
                <w:snapToGrid w:val="0"/>
                <w:color w:val="auto"/>
                <w:kern w:val="0"/>
                <w:sz w:val="24"/>
                <w:szCs w:val="24"/>
                <w:highlight w:val="none"/>
                <w:lang w:eastAsia="en-US"/>
              </w:rPr>
            </w:pPr>
          </w:p>
          <w:p w14:paraId="54A07553">
            <w:pPr>
              <w:kinsoku w:val="0"/>
              <w:autoSpaceDE w:val="0"/>
              <w:autoSpaceDN w:val="0"/>
              <w:adjustRightInd w:val="0"/>
              <w:snapToGrid w:val="0"/>
              <w:spacing w:before="65" w:line="231" w:lineRule="auto"/>
              <w:ind w:firstLine="240" w:firstLineChars="10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人</w:t>
            </w:r>
          </w:p>
        </w:tc>
        <w:tc>
          <w:tcPr>
            <w:tcW w:w="850" w:type="dxa"/>
            <w:vAlign w:val="top"/>
          </w:tcPr>
          <w:p w14:paraId="480A825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1133" w:type="dxa"/>
            <w:vAlign w:val="top"/>
          </w:tcPr>
          <w:p w14:paraId="3D13222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900" w:type="dxa"/>
            <w:vAlign w:val="top"/>
          </w:tcPr>
          <w:p w14:paraId="4900057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3000" w:type="dxa"/>
            <w:vAlign w:val="top"/>
          </w:tcPr>
          <w:p w14:paraId="7A85D727">
            <w:pPr>
              <w:kinsoku w:val="0"/>
              <w:autoSpaceDE w:val="0"/>
              <w:autoSpaceDN w:val="0"/>
              <w:adjustRightInd w:val="0"/>
              <w:snapToGrid w:val="0"/>
              <w:spacing w:before="141" w:line="301" w:lineRule="auto"/>
              <w:ind w:left="116" w:right="10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0"/>
                <w:kern w:val="0"/>
                <w:sz w:val="24"/>
                <w:szCs w:val="24"/>
                <w:highlight w:val="none"/>
                <w:lang w:val="en-US" w:eastAsia="en-US" w:bidi="ar-SA"/>
              </w:rPr>
              <w:t>人数不少于</w:t>
            </w:r>
            <w:r>
              <w:rPr>
                <w:rFonts w:hint="eastAsia" w:ascii="宋体" w:hAnsi="宋体" w:eastAsia="宋体" w:cs="宋体"/>
                <w:snapToGrid w:val="0"/>
                <w:color w:val="auto"/>
                <w:spacing w:val="-11"/>
                <w:kern w:val="0"/>
                <w:sz w:val="24"/>
                <w:szCs w:val="24"/>
                <w:highlight w:val="none"/>
                <w:lang w:val="en-US" w:eastAsia="en-US" w:bidi="ar-SA"/>
              </w:rPr>
              <w:t xml:space="preserve"> </w:t>
            </w:r>
            <w:r>
              <w:rPr>
                <w:rFonts w:hint="eastAsia" w:ascii="宋体" w:hAnsi="宋体" w:eastAsia="宋体" w:cs="宋体"/>
                <w:snapToGrid w:val="0"/>
                <w:color w:val="auto"/>
                <w:spacing w:val="10"/>
                <w:kern w:val="0"/>
                <w:sz w:val="24"/>
                <w:szCs w:val="24"/>
                <w:highlight w:val="none"/>
                <w:lang w:val="en-US" w:eastAsia="en-US" w:bidi="ar-SA"/>
              </w:rPr>
              <w:t>12</w:t>
            </w:r>
            <w:r>
              <w:rPr>
                <w:rFonts w:hint="eastAsia" w:ascii="宋体" w:hAnsi="宋体" w:eastAsia="宋体" w:cs="宋体"/>
                <w:snapToGrid w:val="0"/>
                <w:color w:val="auto"/>
                <w:spacing w:val="-31"/>
                <w:kern w:val="0"/>
                <w:sz w:val="24"/>
                <w:szCs w:val="24"/>
                <w:highlight w:val="none"/>
                <w:lang w:val="en-US" w:eastAsia="en-US" w:bidi="ar-SA"/>
              </w:rPr>
              <w:t xml:space="preserve"> </w:t>
            </w:r>
            <w:r>
              <w:rPr>
                <w:rFonts w:hint="eastAsia" w:ascii="宋体" w:hAnsi="宋体" w:eastAsia="宋体" w:cs="宋体"/>
                <w:snapToGrid w:val="0"/>
                <w:color w:val="auto"/>
                <w:spacing w:val="10"/>
                <w:kern w:val="0"/>
                <w:sz w:val="24"/>
                <w:szCs w:val="24"/>
                <w:highlight w:val="none"/>
                <w:lang w:val="en-US" w:eastAsia="en-US" w:bidi="ar-SA"/>
              </w:rPr>
              <w:t>人，</w:t>
            </w:r>
            <w:r>
              <w:rPr>
                <w:rFonts w:hint="eastAsia" w:ascii="宋体" w:hAnsi="宋体" w:eastAsia="宋体" w:cs="宋体"/>
                <w:color w:val="auto"/>
                <w:sz w:val="24"/>
                <w:szCs w:val="24"/>
                <w:highlight w:val="none"/>
              </w:rPr>
              <w:t>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p>
        </w:tc>
      </w:tr>
      <w:tr w14:paraId="61FE7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93" w:type="dxa"/>
            <w:vAlign w:val="top"/>
          </w:tcPr>
          <w:p w14:paraId="04E5513D">
            <w:pPr>
              <w:widowControl/>
              <w:kinsoku w:val="0"/>
              <w:autoSpaceDE w:val="0"/>
              <w:autoSpaceDN w:val="0"/>
              <w:adjustRightInd w:val="0"/>
              <w:snapToGrid w:val="0"/>
              <w:spacing w:line="474" w:lineRule="auto"/>
              <w:jc w:val="left"/>
              <w:textAlignment w:val="baseline"/>
              <w:rPr>
                <w:rFonts w:hint="eastAsia" w:ascii="宋体" w:hAnsi="宋体" w:eastAsia="宋体" w:cs="宋体"/>
                <w:snapToGrid w:val="0"/>
                <w:color w:val="auto"/>
                <w:kern w:val="0"/>
                <w:sz w:val="24"/>
                <w:szCs w:val="24"/>
                <w:highlight w:val="none"/>
                <w:lang w:eastAsia="en-US"/>
              </w:rPr>
            </w:pPr>
          </w:p>
          <w:p w14:paraId="2AE16289">
            <w:pPr>
              <w:kinsoku w:val="0"/>
              <w:autoSpaceDE w:val="0"/>
              <w:autoSpaceDN w:val="0"/>
              <w:adjustRightInd w:val="0"/>
              <w:snapToGrid w:val="0"/>
              <w:spacing w:before="65" w:line="270" w:lineRule="exact"/>
              <w:ind w:left="431"/>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2</w:t>
            </w:r>
          </w:p>
        </w:tc>
        <w:tc>
          <w:tcPr>
            <w:tcW w:w="1600" w:type="dxa"/>
            <w:vAlign w:val="top"/>
          </w:tcPr>
          <w:p w14:paraId="5C816E7E">
            <w:pPr>
              <w:widowControl/>
              <w:kinsoku w:val="0"/>
              <w:autoSpaceDE w:val="0"/>
              <w:autoSpaceDN w:val="0"/>
              <w:adjustRightInd w:val="0"/>
              <w:snapToGrid w:val="0"/>
              <w:spacing w:line="284" w:lineRule="auto"/>
              <w:jc w:val="left"/>
              <w:textAlignment w:val="baseline"/>
              <w:rPr>
                <w:rFonts w:hint="eastAsia" w:ascii="宋体" w:hAnsi="宋体" w:eastAsia="宋体" w:cs="宋体"/>
                <w:snapToGrid w:val="0"/>
                <w:color w:val="auto"/>
                <w:kern w:val="0"/>
                <w:sz w:val="24"/>
                <w:szCs w:val="24"/>
                <w:highlight w:val="none"/>
                <w:lang w:eastAsia="en-US"/>
              </w:rPr>
            </w:pPr>
          </w:p>
          <w:p w14:paraId="399A09D6">
            <w:pPr>
              <w:kinsoku w:val="0"/>
              <w:autoSpaceDE w:val="0"/>
              <w:autoSpaceDN w:val="0"/>
              <w:adjustRightInd w:val="0"/>
              <w:snapToGrid w:val="0"/>
              <w:spacing w:before="65" w:line="333" w:lineRule="auto"/>
              <w:ind w:left="392" w:right="179" w:hanging="172"/>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日常巡查车</w:t>
            </w:r>
            <w:r>
              <w:rPr>
                <w:rFonts w:hint="eastAsia" w:ascii="宋体" w:hAnsi="宋体" w:eastAsia="宋体" w:cs="宋体"/>
                <w:snapToGrid w:val="0"/>
                <w:color w:val="auto"/>
                <w:spacing w:val="7"/>
                <w:kern w:val="0"/>
                <w:sz w:val="24"/>
                <w:szCs w:val="24"/>
                <w:highlight w:val="none"/>
                <w:lang w:val="en-US" w:eastAsia="en-US" w:bidi="ar-SA"/>
              </w:rPr>
              <w:t>辆成本</w:t>
            </w:r>
          </w:p>
        </w:tc>
        <w:tc>
          <w:tcPr>
            <w:tcW w:w="1367" w:type="dxa"/>
            <w:vAlign w:val="top"/>
          </w:tcPr>
          <w:p w14:paraId="1529176E">
            <w:pPr>
              <w:kinsoku w:val="0"/>
              <w:autoSpaceDE w:val="0"/>
              <w:autoSpaceDN w:val="0"/>
              <w:adjustRightInd w:val="0"/>
              <w:snapToGrid w:val="0"/>
              <w:spacing w:before="144" w:line="323" w:lineRule="auto"/>
              <w:ind w:left="115" w:right="73" w:firstLine="34"/>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22"/>
                <w:kern w:val="0"/>
                <w:sz w:val="24"/>
                <w:szCs w:val="24"/>
                <w:highlight w:val="none"/>
                <w:lang w:val="en-US" w:eastAsia="en-US" w:bidi="ar-SA"/>
              </w:rPr>
              <w:t>日公里*天数*车</w:t>
            </w:r>
            <w:r>
              <w:rPr>
                <w:rFonts w:hint="eastAsia" w:ascii="宋体" w:hAnsi="宋体" w:eastAsia="宋体" w:cs="宋体"/>
                <w:snapToGrid w:val="0"/>
                <w:color w:val="auto"/>
                <w:spacing w:val="2"/>
                <w:kern w:val="0"/>
                <w:sz w:val="24"/>
                <w:szCs w:val="24"/>
                <w:highlight w:val="none"/>
                <w:lang w:val="en-US" w:eastAsia="en-US" w:bidi="ar-SA"/>
              </w:rPr>
              <w:t>数量*（公里油费+</w:t>
            </w:r>
            <w:r>
              <w:rPr>
                <w:rFonts w:hint="eastAsia" w:ascii="宋体" w:hAnsi="宋体" w:eastAsia="宋体" w:cs="宋体"/>
                <w:snapToGrid w:val="0"/>
                <w:color w:val="auto"/>
                <w:spacing w:val="5"/>
                <w:kern w:val="0"/>
                <w:sz w:val="24"/>
                <w:szCs w:val="24"/>
                <w:highlight w:val="none"/>
                <w:lang w:val="en-US" w:eastAsia="en-US" w:bidi="ar-SA"/>
              </w:rPr>
              <w:t>折旧+保险+保养）</w:t>
            </w:r>
          </w:p>
        </w:tc>
        <w:tc>
          <w:tcPr>
            <w:tcW w:w="650" w:type="dxa"/>
            <w:vAlign w:val="top"/>
          </w:tcPr>
          <w:p w14:paraId="6E8D474F">
            <w:pPr>
              <w:widowControl/>
              <w:kinsoku w:val="0"/>
              <w:autoSpaceDE w:val="0"/>
              <w:autoSpaceDN w:val="0"/>
              <w:adjustRightInd w:val="0"/>
              <w:snapToGrid w:val="0"/>
              <w:spacing w:line="473" w:lineRule="auto"/>
              <w:jc w:val="left"/>
              <w:textAlignment w:val="baseline"/>
              <w:rPr>
                <w:rFonts w:hint="eastAsia" w:ascii="宋体" w:hAnsi="宋体" w:eastAsia="宋体" w:cs="宋体"/>
                <w:snapToGrid w:val="0"/>
                <w:color w:val="auto"/>
                <w:kern w:val="0"/>
                <w:sz w:val="24"/>
                <w:szCs w:val="24"/>
                <w:highlight w:val="none"/>
                <w:lang w:eastAsia="en-US"/>
              </w:rPr>
            </w:pPr>
          </w:p>
          <w:p w14:paraId="50EC1762">
            <w:pPr>
              <w:kinsoku w:val="0"/>
              <w:autoSpaceDE w:val="0"/>
              <w:autoSpaceDN w:val="0"/>
              <w:adjustRightInd w:val="0"/>
              <w:snapToGrid w:val="0"/>
              <w:spacing w:before="65" w:line="228" w:lineRule="auto"/>
              <w:ind w:left="251"/>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辆</w:t>
            </w:r>
          </w:p>
        </w:tc>
        <w:tc>
          <w:tcPr>
            <w:tcW w:w="850" w:type="dxa"/>
            <w:vAlign w:val="top"/>
          </w:tcPr>
          <w:p w14:paraId="35F4390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1133" w:type="dxa"/>
            <w:vAlign w:val="top"/>
          </w:tcPr>
          <w:p w14:paraId="1921485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900" w:type="dxa"/>
            <w:vAlign w:val="top"/>
          </w:tcPr>
          <w:p w14:paraId="6095BF3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3000" w:type="dxa"/>
            <w:vAlign w:val="top"/>
          </w:tcPr>
          <w:p w14:paraId="6A728860">
            <w:pPr>
              <w:kinsoku w:val="0"/>
              <w:autoSpaceDE w:val="0"/>
              <w:autoSpaceDN w:val="0"/>
              <w:adjustRightInd w:val="0"/>
              <w:snapToGrid w:val="0"/>
              <w:spacing w:before="144" w:line="323" w:lineRule="auto"/>
              <w:ind w:left="117" w:right="108"/>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4"/>
                <w:kern w:val="0"/>
                <w:sz w:val="24"/>
                <w:szCs w:val="24"/>
                <w:highlight w:val="none"/>
                <w:lang w:val="en-US" w:eastAsia="en-US" w:bidi="ar-SA"/>
              </w:rPr>
              <w:t>至少按</w:t>
            </w:r>
            <w:r>
              <w:rPr>
                <w:rFonts w:hint="eastAsia" w:ascii="宋体" w:hAnsi="宋体" w:eastAsia="宋体" w:cs="宋体"/>
                <w:snapToGrid w:val="0"/>
                <w:color w:val="auto"/>
                <w:spacing w:val="-32"/>
                <w:kern w:val="0"/>
                <w:sz w:val="24"/>
                <w:szCs w:val="24"/>
                <w:highlight w:val="none"/>
                <w:lang w:val="en-US" w:eastAsia="en-US" w:bidi="ar-SA"/>
              </w:rPr>
              <w:t xml:space="preserve"> </w:t>
            </w:r>
            <w:r>
              <w:rPr>
                <w:rFonts w:hint="eastAsia" w:ascii="宋体" w:hAnsi="宋体" w:eastAsia="宋体" w:cs="宋体"/>
                <w:snapToGrid w:val="0"/>
                <w:color w:val="auto"/>
                <w:spacing w:val="4"/>
                <w:kern w:val="0"/>
                <w:sz w:val="24"/>
                <w:szCs w:val="24"/>
                <w:highlight w:val="none"/>
                <w:lang w:val="en-US" w:eastAsia="en-US" w:bidi="ar-SA"/>
              </w:rPr>
              <w:t>3</w:t>
            </w:r>
            <w:r>
              <w:rPr>
                <w:rFonts w:hint="eastAsia" w:ascii="宋体" w:hAnsi="宋体" w:eastAsia="宋体" w:cs="宋体"/>
                <w:snapToGrid w:val="0"/>
                <w:color w:val="auto"/>
                <w:spacing w:val="-38"/>
                <w:kern w:val="0"/>
                <w:sz w:val="24"/>
                <w:szCs w:val="24"/>
                <w:highlight w:val="none"/>
                <w:lang w:val="en-US" w:eastAsia="en-US" w:bidi="ar-SA"/>
              </w:rPr>
              <w:t xml:space="preserve"> </w:t>
            </w:r>
            <w:r>
              <w:rPr>
                <w:rFonts w:hint="eastAsia" w:ascii="宋体" w:hAnsi="宋体" w:eastAsia="宋体" w:cs="宋体"/>
                <w:snapToGrid w:val="0"/>
                <w:color w:val="auto"/>
                <w:spacing w:val="4"/>
                <w:kern w:val="0"/>
                <w:sz w:val="24"/>
                <w:szCs w:val="24"/>
                <w:highlight w:val="none"/>
                <w:lang w:val="en-US" w:eastAsia="en-US" w:bidi="ar-SA"/>
              </w:rPr>
              <w:t>辆车，每辆车每日按</w:t>
            </w:r>
            <w:r>
              <w:rPr>
                <w:rFonts w:hint="eastAsia" w:ascii="宋体" w:hAnsi="宋体" w:eastAsia="宋体" w:cs="宋体"/>
                <w:snapToGrid w:val="0"/>
                <w:color w:val="auto"/>
                <w:spacing w:val="-24"/>
                <w:kern w:val="0"/>
                <w:sz w:val="24"/>
                <w:szCs w:val="24"/>
                <w:highlight w:val="none"/>
                <w:lang w:val="en-US" w:eastAsia="en-US" w:bidi="ar-SA"/>
              </w:rPr>
              <w:t xml:space="preserve"> </w:t>
            </w:r>
            <w:r>
              <w:rPr>
                <w:rFonts w:hint="eastAsia" w:ascii="宋体" w:hAnsi="宋体" w:eastAsia="宋体" w:cs="宋体"/>
                <w:snapToGrid w:val="0"/>
                <w:color w:val="auto"/>
                <w:spacing w:val="4"/>
                <w:kern w:val="0"/>
                <w:sz w:val="24"/>
                <w:szCs w:val="24"/>
                <w:highlight w:val="none"/>
                <w:lang w:val="en-US" w:eastAsia="en-US" w:bidi="ar-SA"/>
              </w:rPr>
              <w:t>100</w:t>
            </w:r>
            <w:r>
              <w:rPr>
                <w:rFonts w:hint="eastAsia" w:ascii="宋体" w:hAnsi="宋体" w:eastAsia="宋体" w:cs="宋体"/>
                <w:snapToGrid w:val="0"/>
                <w:color w:val="auto"/>
                <w:kern w:val="0"/>
                <w:sz w:val="24"/>
                <w:szCs w:val="24"/>
                <w:highlight w:val="none"/>
                <w:lang w:val="en-US" w:eastAsia="en-US" w:bidi="ar-SA"/>
              </w:rPr>
              <w:t>KM</w:t>
            </w:r>
            <w:r>
              <w:rPr>
                <w:rFonts w:hint="eastAsia" w:ascii="宋体" w:hAnsi="宋体" w:eastAsia="宋体" w:cs="宋体"/>
                <w:snapToGrid w:val="0"/>
                <w:color w:val="auto"/>
                <w:spacing w:val="-38"/>
                <w:kern w:val="0"/>
                <w:sz w:val="24"/>
                <w:szCs w:val="24"/>
                <w:highlight w:val="none"/>
                <w:lang w:val="en-US" w:eastAsia="en-US" w:bidi="ar-SA"/>
              </w:rPr>
              <w:t xml:space="preserve"> </w:t>
            </w:r>
            <w:r>
              <w:rPr>
                <w:rFonts w:hint="eastAsia" w:ascii="宋体" w:hAnsi="宋体" w:eastAsia="宋体" w:cs="宋体"/>
                <w:snapToGrid w:val="0"/>
                <w:color w:val="auto"/>
                <w:spacing w:val="4"/>
                <w:kern w:val="0"/>
                <w:sz w:val="24"/>
                <w:szCs w:val="24"/>
                <w:highlight w:val="none"/>
                <w:lang w:val="en-US" w:eastAsia="en-US" w:bidi="ar-SA"/>
              </w:rPr>
              <w:t>计算，一年按</w:t>
            </w:r>
            <w:r>
              <w:rPr>
                <w:rFonts w:hint="eastAsia" w:ascii="宋体" w:hAnsi="宋体" w:eastAsia="宋体" w:cs="宋体"/>
                <w:snapToGrid w:val="0"/>
                <w:color w:val="auto"/>
                <w:spacing w:val="-35"/>
                <w:kern w:val="0"/>
                <w:sz w:val="24"/>
                <w:szCs w:val="24"/>
                <w:highlight w:val="none"/>
                <w:lang w:val="en-US" w:eastAsia="en-US" w:bidi="ar-SA"/>
              </w:rPr>
              <w:t xml:space="preserve"> </w:t>
            </w:r>
            <w:r>
              <w:rPr>
                <w:rFonts w:hint="eastAsia" w:ascii="宋体" w:hAnsi="宋体" w:eastAsia="宋体" w:cs="宋体"/>
                <w:snapToGrid w:val="0"/>
                <w:color w:val="auto"/>
                <w:spacing w:val="4"/>
                <w:kern w:val="0"/>
                <w:sz w:val="24"/>
                <w:szCs w:val="24"/>
                <w:highlight w:val="none"/>
                <w:lang w:val="en-US" w:eastAsia="en-US" w:bidi="ar-SA"/>
              </w:rPr>
              <w:t>365</w:t>
            </w:r>
            <w:r>
              <w:rPr>
                <w:rFonts w:hint="eastAsia" w:ascii="宋体" w:hAnsi="宋体" w:eastAsia="宋体" w:cs="宋体"/>
                <w:snapToGrid w:val="0"/>
                <w:color w:val="auto"/>
                <w:spacing w:val="6"/>
                <w:kern w:val="0"/>
                <w:sz w:val="24"/>
                <w:szCs w:val="24"/>
                <w:highlight w:val="none"/>
                <w:lang w:val="en-US" w:eastAsia="en-US" w:bidi="ar-SA"/>
              </w:rPr>
              <w:t>日计算</w:t>
            </w:r>
          </w:p>
        </w:tc>
      </w:tr>
      <w:tr w14:paraId="6CC82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93" w:type="dxa"/>
            <w:vAlign w:val="top"/>
          </w:tcPr>
          <w:p w14:paraId="634612F7">
            <w:pPr>
              <w:widowControl/>
              <w:kinsoku w:val="0"/>
              <w:autoSpaceDE w:val="0"/>
              <w:autoSpaceDN w:val="0"/>
              <w:adjustRightInd w:val="0"/>
              <w:snapToGrid w:val="0"/>
              <w:spacing w:line="477" w:lineRule="auto"/>
              <w:jc w:val="left"/>
              <w:textAlignment w:val="baseline"/>
              <w:rPr>
                <w:rFonts w:hint="eastAsia" w:ascii="宋体" w:hAnsi="宋体" w:eastAsia="宋体" w:cs="宋体"/>
                <w:snapToGrid w:val="0"/>
                <w:color w:val="auto"/>
                <w:kern w:val="0"/>
                <w:sz w:val="24"/>
                <w:szCs w:val="24"/>
                <w:highlight w:val="none"/>
                <w:lang w:eastAsia="en-US"/>
              </w:rPr>
            </w:pPr>
          </w:p>
          <w:p w14:paraId="78D5351F">
            <w:pPr>
              <w:kinsoku w:val="0"/>
              <w:autoSpaceDE w:val="0"/>
              <w:autoSpaceDN w:val="0"/>
              <w:adjustRightInd w:val="0"/>
              <w:snapToGrid w:val="0"/>
              <w:spacing w:before="65" w:line="268" w:lineRule="exact"/>
              <w:ind w:left="432"/>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3</w:t>
            </w:r>
          </w:p>
        </w:tc>
        <w:tc>
          <w:tcPr>
            <w:tcW w:w="1600" w:type="dxa"/>
            <w:vAlign w:val="top"/>
          </w:tcPr>
          <w:p w14:paraId="584BB714">
            <w:pPr>
              <w:widowControl/>
              <w:kinsoku w:val="0"/>
              <w:autoSpaceDE w:val="0"/>
              <w:autoSpaceDN w:val="0"/>
              <w:adjustRightInd w:val="0"/>
              <w:snapToGrid w:val="0"/>
              <w:spacing w:line="465" w:lineRule="auto"/>
              <w:jc w:val="left"/>
              <w:textAlignment w:val="baseline"/>
              <w:rPr>
                <w:rFonts w:hint="eastAsia" w:ascii="宋体" w:hAnsi="宋体" w:eastAsia="宋体" w:cs="宋体"/>
                <w:snapToGrid w:val="0"/>
                <w:color w:val="auto"/>
                <w:kern w:val="0"/>
                <w:sz w:val="24"/>
                <w:szCs w:val="24"/>
                <w:highlight w:val="none"/>
                <w:lang w:eastAsia="en-US"/>
              </w:rPr>
            </w:pPr>
          </w:p>
          <w:p w14:paraId="310B2278">
            <w:pPr>
              <w:kinsoku w:val="0"/>
              <w:autoSpaceDE w:val="0"/>
              <w:autoSpaceDN w:val="0"/>
              <w:adjustRightInd w:val="0"/>
              <w:snapToGrid w:val="0"/>
              <w:spacing w:before="65" w:line="228" w:lineRule="auto"/>
              <w:ind w:left="18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7"/>
                <w:kern w:val="0"/>
                <w:sz w:val="24"/>
                <w:szCs w:val="24"/>
                <w:highlight w:val="none"/>
                <w:lang w:val="en-US" w:eastAsia="en-US" w:bidi="ar-SA"/>
              </w:rPr>
              <w:t>企业管理费</w:t>
            </w:r>
          </w:p>
        </w:tc>
        <w:tc>
          <w:tcPr>
            <w:tcW w:w="1367" w:type="dxa"/>
            <w:vAlign w:val="top"/>
          </w:tcPr>
          <w:p w14:paraId="25CA8A7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650" w:type="dxa"/>
            <w:vAlign w:val="top"/>
          </w:tcPr>
          <w:p w14:paraId="2738714A">
            <w:pPr>
              <w:widowControl/>
              <w:kinsoku w:val="0"/>
              <w:autoSpaceDE w:val="0"/>
              <w:autoSpaceDN w:val="0"/>
              <w:adjustRightInd w:val="0"/>
              <w:snapToGrid w:val="0"/>
              <w:spacing w:line="477" w:lineRule="auto"/>
              <w:jc w:val="left"/>
              <w:textAlignment w:val="baseline"/>
              <w:rPr>
                <w:rFonts w:hint="eastAsia" w:ascii="宋体" w:hAnsi="宋体" w:eastAsia="宋体" w:cs="宋体"/>
                <w:snapToGrid w:val="0"/>
                <w:color w:val="auto"/>
                <w:kern w:val="0"/>
                <w:sz w:val="24"/>
                <w:szCs w:val="24"/>
                <w:highlight w:val="none"/>
                <w:lang w:eastAsia="en-US"/>
              </w:rPr>
            </w:pPr>
          </w:p>
          <w:p w14:paraId="10F50D18">
            <w:pPr>
              <w:kinsoku w:val="0"/>
              <w:autoSpaceDE w:val="0"/>
              <w:autoSpaceDN w:val="0"/>
              <w:adjustRightInd w:val="0"/>
              <w:snapToGrid w:val="0"/>
              <w:spacing w:before="65" w:line="228" w:lineRule="auto"/>
              <w:ind w:left="255"/>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项</w:t>
            </w:r>
          </w:p>
        </w:tc>
        <w:tc>
          <w:tcPr>
            <w:tcW w:w="850" w:type="dxa"/>
            <w:vAlign w:val="top"/>
          </w:tcPr>
          <w:p w14:paraId="01B81DE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1133" w:type="dxa"/>
            <w:vAlign w:val="top"/>
          </w:tcPr>
          <w:p w14:paraId="5905BD8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900" w:type="dxa"/>
            <w:vAlign w:val="top"/>
          </w:tcPr>
          <w:p w14:paraId="55238C1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3000" w:type="dxa"/>
            <w:vAlign w:val="top"/>
          </w:tcPr>
          <w:p w14:paraId="7D763C56">
            <w:pPr>
              <w:kinsoku w:val="0"/>
              <w:autoSpaceDE w:val="0"/>
              <w:autoSpaceDN w:val="0"/>
              <w:adjustRightInd w:val="0"/>
              <w:snapToGrid w:val="0"/>
              <w:spacing w:before="144" w:line="323" w:lineRule="auto"/>
              <w:ind w:left="117" w:right="108" w:firstLine="9"/>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8"/>
                <w:kern w:val="0"/>
                <w:sz w:val="24"/>
                <w:szCs w:val="24"/>
                <w:highlight w:val="none"/>
                <w:lang w:val="en-US" w:eastAsia="en-US" w:bidi="ar-SA"/>
              </w:rPr>
              <w:t>需包含拟投入本项</w:t>
            </w:r>
            <w:r>
              <w:rPr>
                <w:rFonts w:hint="eastAsia" w:ascii="宋体" w:hAnsi="宋体" w:eastAsia="宋体" w:cs="宋体"/>
                <w:snapToGrid w:val="0"/>
                <w:color w:val="auto"/>
                <w:spacing w:val="-30"/>
                <w:kern w:val="0"/>
                <w:sz w:val="24"/>
                <w:szCs w:val="24"/>
                <w:highlight w:val="none"/>
                <w:lang w:val="en-US" w:eastAsia="en-US" w:bidi="ar-SA"/>
              </w:rPr>
              <w:t xml:space="preserve"> </w:t>
            </w:r>
            <w:r>
              <w:rPr>
                <w:rFonts w:hint="eastAsia" w:ascii="宋体" w:hAnsi="宋体" w:eastAsia="宋体" w:cs="宋体"/>
                <w:snapToGrid w:val="0"/>
                <w:color w:val="auto"/>
                <w:spacing w:val="18"/>
                <w:kern w:val="0"/>
                <w:sz w:val="24"/>
                <w:szCs w:val="24"/>
                <w:highlight w:val="none"/>
                <w:lang w:val="en-US" w:eastAsia="en-US" w:bidi="ar-SA"/>
              </w:rPr>
              <w:t>目设备</w:t>
            </w:r>
            <w:r>
              <w:rPr>
                <w:rFonts w:hint="eastAsia" w:ascii="宋体" w:hAnsi="宋体" w:eastAsia="宋体" w:cs="宋体"/>
                <w:snapToGrid w:val="0"/>
                <w:color w:val="auto"/>
                <w:spacing w:val="6"/>
                <w:kern w:val="0"/>
                <w:sz w:val="24"/>
                <w:szCs w:val="24"/>
                <w:highlight w:val="none"/>
                <w:lang w:val="en-US" w:eastAsia="en-US" w:bidi="ar-SA"/>
              </w:rPr>
              <w:t>的折旧、办公费用等相关费</w:t>
            </w:r>
            <w:r>
              <w:rPr>
                <w:rFonts w:hint="eastAsia" w:ascii="宋体" w:hAnsi="宋体" w:eastAsia="宋体" w:cs="宋体"/>
                <w:snapToGrid w:val="0"/>
                <w:color w:val="auto"/>
                <w:kern w:val="0"/>
                <w:sz w:val="24"/>
                <w:szCs w:val="24"/>
                <w:highlight w:val="none"/>
                <w:lang w:val="en-US" w:eastAsia="en-US" w:bidi="ar-SA"/>
              </w:rPr>
              <w:t>用</w:t>
            </w:r>
          </w:p>
        </w:tc>
      </w:tr>
      <w:tr w14:paraId="01CB0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93" w:type="dxa"/>
            <w:vAlign w:val="top"/>
          </w:tcPr>
          <w:p w14:paraId="400D6D02">
            <w:pPr>
              <w:kinsoku w:val="0"/>
              <w:autoSpaceDE w:val="0"/>
              <w:autoSpaceDN w:val="0"/>
              <w:adjustRightInd w:val="0"/>
              <w:snapToGrid w:val="0"/>
              <w:spacing w:before="171" w:line="270" w:lineRule="exact"/>
              <w:ind w:left="427"/>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4</w:t>
            </w:r>
          </w:p>
        </w:tc>
        <w:tc>
          <w:tcPr>
            <w:tcW w:w="1600" w:type="dxa"/>
            <w:vAlign w:val="top"/>
          </w:tcPr>
          <w:p w14:paraId="180620CC">
            <w:pPr>
              <w:kinsoku w:val="0"/>
              <w:autoSpaceDE w:val="0"/>
              <w:autoSpaceDN w:val="0"/>
              <w:adjustRightInd w:val="0"/>
              <w:snapToGrid w:val="0"/>
              <w:spacing w:before="159" w:line="228" w:lineRule="auto"/>
              <w:ind w:left="499"/>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4"/>
                <w:kern w:val="0"/>
                <w:sz w:val="24"/>
                <w:szCs w:val="24"/>
                <w:highlight w:val="none"/>
                <w:lang w:val="en-US" w:eastAsia="en-US" w:bidi="ar-SA"/>
              </w:rPr>
              <w:t>利润</w:t>
            </w:r>
          </w:p>
        </w:tc>
        <w:tc>
          <w:tcPr>
            <w:tcW w:w="1367" w:type="dxa"/>
            <w:vAlign w:val="top"/>
          </w:tcPr>
          <w:p w14:paraId="4C6B248D">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650" w:type="dxa"/>
            <w:vAlign w:val="top"/>
          </w:tcPr>
          <w:p w14:paraId="3B323859">
            <w:pPr>
              <w:kinsoku w:val="0"/>
              <w:autoSpaceDE w:val="0"/>
              <w:autoSpaceDN w:val="0"/>
              <w:adjustRightInd w:val="0"/>
              <w:snapToGrid w:val="0"/>
              <w:spacing w:before="171" w:line="228" w:lineRule="auto"/>
              <w:ind w:left="255"/>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项</w:t>
            </w:r>
          </w:p>
        </w:tc>
        <w:tc>
          <w:tcPr>
            <w:tcW w:w="850" w:type="dxa"/>
            <w:vAlign w:val="top"/>
          </w:tcPr>
          <w:p w14:paraId="4AF0CE5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1133" w:type="dxa"/>
            <w:vAlign w:val="top"/>
          </w:tcPr>
          <w:p w14:paraId="3E20936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900" w:type="dxa"/>
            <w:vAlign w:val="top"/>
          </w:tcPr>
          <w:p w14:paraId="00FB25A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3000" w:type="dxa"/>
            <w:vAlign w:val="top"/>
          </w:tcPr>
          <w:p w14:paraId="0CA0765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r>
      <w:tr w14:paraId="61187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93" w:type="dxa"/>
            <w:vAlign w:val="top"/>
          </w:tcPr>
          <w:p w14:paraId="320950B3">
            <w:pPr>
              <w:kinsoku w:val="0"/>
              <w:autoSpaceDE w:val="0"/>
              <w:autoSpaceDN w:val="0"/>
              <w:adjustRightInd w:val="0"/>
              <w:snapToGrid w:val="0"/>
              <w:spacing w:before="172" w:line="268" w:lineRule="exact"/>
              <w:ind w:left="432"/>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5</w:t>
            </w:r>
          </w:p>
        </w:tc>
        <w:tc>
          <w:tcPr>
            <w:tcW w:w="1600" w:type="dxa"/>
            <w:vAlign w:val="top"/>
          </w:tcPr>
          <w:p w14:paraId="01129E03">
            <w:pPr>
              <w:kinsoku w:val="0"/>
              <w:autoSpaceDE w:val="0"/>
              <w:autoSpaceDN w:val="0"/>
              <w:adjustRightInd w:val="0"/>
              <w:snapToGrid w:val="0"/>
              <w:spacing w:before="160" w:line="228" w:lineRule="auto"/>
              <w:ind w:left="236"/>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5"/>
                <w:kern w:val="0"/>
                <w:sz w:val="24"/>
                <w:szCs w:val="24"/>
                <w:highlight w:val="none"/>
                <w:lang w:val="en-US" w:eastAsia="en-US" w:bidi="ar-SA"/>
              </w:rPr>
              <w:t>税金（%）</w:t>
            </w:r>
          </w:p>
        </w:tc>
        <w:tc>
          <w:tcPr>
            <w:tcW w:w="1367" w:type="dxa"/>
            <w:vAlign w:val="top"/>
          </w:tcPr>
          <w:p w14:paraId="2ADC0BD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650" w:type="dxa"/>
            <w:vAlign w:val="top"/>
          </w:tcPr>
          <w:p w14:paraId="1AA2EFED">
            <w:pPr>
              <w:kinsoku w:val="0"/>
              <w:autoSpaceDE w:val="0"/>
              <w:autoSpaceDN w:val="0"/>
              <w:adjustRightInd w:val="0"/>
              <w:snapToGrid w:val="0"/>
              <w:spacing w:before="172" w:line="228" w:lineRule="auto"/>
              <w:ind w:left="255"/>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项</w:t>
            </w:r>
          </w:p>
        </w:tc>
        <w:tc>
          <w:tcPr>
            <w:tcW w:w="850" w:type="dxa"/>
            <w:vAlign w:val="top"/>
          </w:tcPr>
          <w:p w14:paraId="07B4EB0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1133" w:type="dxa"/>
            <w:vAlign w:val="top"/>
          </w:tcPr>
          <w:p w14:paraId="629EB50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900" w:type="dxa"/>
            <w:vAlign w:val="top"/>
          </w:tcPr>
          <w:p w14:paraId="5CA35AF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c>
          <w:tcPr>
            <w:tcW w:w="3000" w:type="dxa"/>
            <w:vAlign w:val="top"/>
          </w:tcPr>
          <w:p w14:paraId="4D4D0BB7">
            <w:pPr>
              <w:kinsoku w:val="0"/>
              <w:autoSpaceDE w:val="0"/>
              <w:autoSpaceDN w:val="0"/>
              <w:adjustRightInd w:val="0"/>
              <w:snapToGrid w:val="0"/>
              <w:spacing w:before="171" w:line="228" w:lineRule="auto"/>
              <w:ind w:left="118"/>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8"/>
                <w:kern w:val="0"/>
                <w:sz w:val="24"/>
                <w:szCs w:val="24"/>
                <w:highlight w:val="none"/>
                <w:lang w:val="en-US" w:eastAsia="en-US" w:bidi="ar-SA"/>
              </w:rPr>
              <w:t>须满足国家现行规定</w:t>
            </w:r>
          </w:p>
        </w:tc>
      </w:tr>
      <w:tr w14:paraId="393EA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93" w:type="dxa"/>
            <w:vAlign w:val="top"/>
          </w:tcPr>
          <w:p w14:paraId="711CED2B">
            <w:pPr>
              <w:kinsoku w:val="0"/>
              <w:autoSpaceDE w:val="0"/>
              <w:autoSpaceDN w:val="0"/>
              <w:adjustRightInd w:val="0"/>
              <w:snapToGrid w:val="0"/>
              <w:spacing w:before="172" w:line="269" w:lineRule="exact"/>
              <w:ind w:left="43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position w:val="1"/>
                <w:sz w:val="24"/>
                <w:szCs w:val="24"/>
                <w:highlight w:val="none"/>
                <w:lang w:val="en-US" w:eastAsia="en-US" w:bidi="ar-SA"/>
              </w:rPr>
              <w:t>6</w:t>
            </w:r>
          </w:p>
        </w:tc>
        <w:tc>
          <w:tcPr>
            <w:tcW w:w="1600" w:type="dxa"/>
            <w:vAlign w:val="top"/>
          </w:tcPr>
          <w:p w14:paraId="19823C86">
            <w:pPr>
              <w:kinsoku w:val="0"/>
              <w:autoSpaceDE w:val="0"/>
              <w:autoSpaceDN w:val="0"/>
              <w:adjustRightInd w:val="0"/>
              <w:snapToGrid w:val="0"/>
              <w:spacing w:before="160" w:line="228" w:lineRule="auto"/>
              <w:ind w:right="13"/>
              <w:jc w:val="righ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4"/>
                <w:kern w:val="0"/>
                <w:sz w:val="24"/>
                <w:szCs w:val="24"/>
                <w:highlight w:val="none"/>
                <w:lang w:val="en-US" w:eastAsia="en-US" w:bidi="ar-SA"/>
              </w:rPr>
              <w:t>合计（元）</w:t>
            </w:r>
          </w:p>
        </w:tc>
        <w:tc>
          <w:tcPr>
            <w:tcW w:w="7900" w:type="dxa"/>
            <w:gridSpan w:val="6"/>
            <w:vAlign w:val="top"/>
          </w:tcPr>
          <w:p w14:paraId="40A660F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highlight w:val="none"/>
                <w:lang w:eastAsia="en-US"/>
              </w:rPr>
            </w:pPr>
          </w:p>
        </w:tc>
      </w:tr>
    </w:tbl>
    <w:p w14:paraId="27964E3C">
      <w:pPr>
        <w:widowControl/>
        <w:kinsoku w:val="0"/>
        <w:autoSpaceDE w:val="0"/>
        <w:autoSpaceDN w:val="0"/>
        <w:adjustRightInd w:val="0"/>
        <w:snapToGrid w:val="0"/>
        <w:spacing w:line="408" w:lineRule="auto"/>
        <w:jc w:val="left"/>
        <w:textAlignment w:val="baseline"/>
        <w:rPr>
          <w:rFonts w:ascii="Arial" w:hAnsi="Arial" w:eastAsia="Arial" w:cs="Arial"/>
          <w:snapToGrid w:val="0"/>
          <w:color w:val="auto"/>
          <w:kern w:val="0"/>
          <w:sz w:val="21"/>
          <w:szCs w:val="21"/>
          <w:highlight w:val="none"/>
          <w:lang w:eastAsia="en-US"/>
        </w:rPr>
      </w:pPr>
    </w:p>
    <w:p w14:paraId="4EA1451D">
      <w:pPr>
        <w:kinsoku w:val="0"/>
        <w:autoSpaceDE w:val="0"/>
        <w:autoSpaceDN w:val="0"/>
        <w:adjustRightInd w:val="0"/>
        <w:snapToGrid w:val="0"/>
        <w:spacing w:before="91" w:line="219" w:lineRule="auto"/>
        <w:ind w:left="962"/>
        <w:jc w:val="left"/>
        <w:textAlignment w:val="baseline"/>
        <w:outlineLvl w:val="0"/>
        <w:rPr>
          <w:rFonts w:ascii="宋体" w:hAnsi="宋体" w:eastAsia="宋体" w:cs="宋体"/>
          <w:snapToGrid w:val="0"/>
          <w:color w:val="auto"/>
          <w:kern w:val="0"/>
          <w:sz w:val="28"/>
          <w:szCs w:val="28"/>
          <w:highlight w:val="none"/>
          <w:lang w:val="en-US" w:eastAsia="en-US" w:bidi="ar-SA"/>
        </w:rPr>
      </w:pPr>
      <w:r>
        <w:rPr>
          <w:rFonts w:ascii="宋体" w:hAnsi="宋体" w:eastAsia="宋体" w:cs="宋体"/>
          <w:b/>
          <w:bCs/>
          <w:snapToGrid w:val="0"/>
          <w:color w:val="auto"/>
          <w:spacing w:val="-6"/>
          <w:kern w:val="0"/>
          <w:sz w:val="28"/>
          <w:szCs w:val="28"/>
          <w:highlight w:val="none"/>
          <w:lang w:val="en-US" w:eastAsia="en-US" w:bidi="ar-SA"/>
        </w:rPr>
        <w:t>第二部分：</w:t>
      </w:r>
      <w:r>
        <w:rPr>
          <w:rFonts w:hint="default" w:ascii="宋体" w:hAnsi="宋体" w:eastAsia="宋体" w:cs="宋体"/>
          <w:b/>
          <w:bCs/>
          <w:snapToGrid w:val="0"/>
          <w:color w:val="auto"/>
          <w:spacing w:val="-6"/>
          <w:kern w:val="0"/>
          <w:sz w:val="28"/>
          <w:szCs w:val="28"/>
          <w:highlight w:val="none"/>
          <w:lang w:val="en-US" w:eastAsia="en-US" w:bidi="ar-SA"/>
        </w:rPr>
        <w:t>重点片区排水问题摸排及优化提升方案编制服务</w:t>
      </w:r>
      <w:r>
        <w:rPr>
          <w:rFonts w:hint="eastAsia" w:ascii="宋体" w:hAnsi="宋体" w:eastAsia="宋体" w:cs="宋体"/>
          <w:b/>
          <w:bCs/>
          <w:snapToGrid w:val="0"/>
          <w:color w:val="auto"/>
          <w:spacing w:val="-6"/>
          <w:kern w:val="0"/>
          <w:sz w:val="28"/>
          <w:szCs w:val="28"/>
          <w:highlight w:val="none"/>
          <w:lang w:val="en-US" w:eastAsia="en-US" w:bidi="ar-SA"/>
        </w:rPr>
        <w:t>部分</w:t>
      </w:r>
      <w:r>
        <w:rPr>
          <w:rFonts w:ascii="宋体" w:hAnsi="宋体" w:eastAsia="宋体" w:cs="宋体"/>
          <w:b/>
          <w:bCs/>
          <w:snapToGrid w:val="0"/>
          <w:color w:val="auto"/>
          <w:spacing w:val="-6"/>
          <w:kern w:val="0"/>
          <w:sz w:val="28"/>
          <w:szCs w:val="28"/>
          <w:highlight w:val="none"/>
          <w:lang w:val="en-US" w:eastAsia="en-US" w:bidi="ar-SA"/>
        </w:rPr>
        <w:t>（限价</w:t>
      </w:r>
      <w:r>
        <w:rPr>
          <w:rFonts w:hint="eastAsia" w:ascii="宋体" w:hAnsi="宋体" w:eastAsia="宋体" w:cs="宋体"/>
          <w:b/>
          <w:bCs/>
          <w:snapToGrid w:val="0"/>
          <w:color w:val="auto"/>
          <w:spacing w:val="-7"/>
          <w:kern w:val="0"/>
          <w:sz w:val="28"/>
          <w:szCs w:val="28"/>
          <w:highlight w:val="none"/>
          <w:lang w:val="en-US" w:eastAsia="zh-CN" w:bidi="ar-SA"/>
        </w:rPr>
        <w:t>40</w:t>
      </w:r>
      <w:r>
        <w:rPr>
          <w:rFonts w:ascii="宋体" w:hAnsi="宋体" w:eastAsia="宋体" w:cs="宋体"/>
          <w:b/>
          <w:bCs/>
          <w:snapToGrid w:val="0"/>
          <w:color w:val="auto"/>
          <w:spacing w:val="-7"/>
          <w:kern w:val="0"/>
          <w:sz w:val="28"/>
          <w:szCs w:val="28"/>
          <w:highlight w:val="none"/>
          <w:lang w:val="en-US" w:eastAsia="en-US" w:bidi="ar-SA"/>
        </w:rPr>
        <w:t>万元）</w:t>
      </w:r>
    </w:p>
    <w:p w14:paraId="58519657">
      <w:pPr>
        <w:widowControl/>
        <w:kinsoku w:val="0"/>
        <w:autoSpaceDE w:val="0"/>
        <w:autoSpaceDN w:val="0"/>
        <w:adjustRightInd w:val="0"/>
        <w:snapToGrid w:val="0"/>
        <w:spacing w:line="132" w:lineRule="exact"/>
        <w:jc w:val="left"/>
        <w:textAlignment w:val="baseline"/>
        <w:rPr>
          <w:rFonts w:ascii="Arial" w:hAnsi="Arial" w:eastAsia="Arial" w:cs="Arial"/>
          <w:snapToGrid w:val="0"/>
          <w:color w:val="auto"/>
          <w:kern w:val="0"/>
          <w:szCs w:val="21"/>
          <w:highlight w:val="none"/>
          <w:lang w:eastAsia="en-US"/>
        </w:rPr>
      </w:pPr>
    </w:p>
    <w:tbl>
      <w:tblPr>
        <w:tblStyle w:val="11"/>
        <w:tblW w:w="10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6"/>
        <w:gridCol w:w="1484"/>
        <w:gridCol w:w="3916"/>
        <w:gridCol w:w="2117"/>
        <w:gridCol w:w="2050"/>
      </w:tblGrid>
      <w:tr w14:paraId="10A8F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rPr>
        <w:tc>
          <w:tcPr>
            <w:tcW w:w="726" w:type="dxa"/>
            <w:vAlign w:val="top"/>
          </w:tcPr>
          <w:p w14:paraId="64D72437">
            <w:pPr>
              <w:kinsoku w:val="0"/>
              <w:autoSpaceDE w:val="0"/>
              <w:autoSpaceDN w:val="0"/>
              <w:adjustRightInd w:val="0"/>
              <w:snapToGrid w:val="0"/>
              <w:spacing w:before="261" w:line="183" w:lineRule="auto"/>
              <w:ind w:left="379"/>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kern w:val="0"/>
                <w:sz w:val="24"/>
                <w:szCs w:val="24"/>
                <w:highlight w:val="none"/>
                <w:lang w:val="en-US" w:eastAsia="en-US" w:bidi="ar-SA"/>
              </w:rPr>
              <w:t>二</w:t>
            </w:r>
          </w:p>
        </w:tc>
        <w:tc>
          <w:tcPr>
            <w:tcW w:w="9567" w:type="dxa"/>
            <w:gridSpan w:val="4"/>
            <w:vAlign w:val="top"/>
          </w:tcPr>
          <w:p w14:paraId="1CA13AB9">
            <w:pPr>
              <w:kinsoku w:val="0"/>
              <w:autoSpaceDE w:val="0"/>
              <w:autoSpaceDN w:val="0"/>
              <w:adjustRightInd w:val="0"/>
              <w:snapToGrid w:val="0"/>
              <w:spacing w:before="222" w:line="226" w:lineRule="auto"/>
              <w:jc w:val="center"/>
              <w:textAlignment w:val="baseline"/>
              <w:rPr>
                <w:rFonts w:hint="eastAsia" w:ascii="宋体" w:hAnsi="宋体" w:eastAsia="宋体" w:cs="宋体"/>
                <w:snapToGrid w:val="0"/>
                <w:color w:val="auto"/>
                <w:kern w:val="0"/>
                <w:sz w:val="24"/>
                <w:szCs w:val="24"/>
                <w:highlight w:val="none"/>
                <w:lang w:val="en-US" w:eastAsia="zh-CN" w:bidi="ar-SA"/>
              </w:rPr>
            </w:pPr>
            <w:r>
              <w:rPr>
                <w:rFonts w:hint="default" w:ascii="宋体" w:hAnsi="宋体" w:eastAsia="宋体" w:cs="宋体"/>
                <w:snapToGrid w:val="0"/>
                <w:color w:val="auto"/>
                <w:kern w:val="0"/>
                <w:sz w:val="24"/>
                <w:szCs w:val="24"/>
                <w:highlight w:val="none"/>
                <w:lang w:val="en-US" w:eastAsia="en-US" w:bidi="ar-SA"/>
              </w:rPr>
              <w:t>重点片区排水问题摸排及优化提升方案编制服务</w:t>
            </w:r>
            <w:r>
              <w:rPr>
                <w:rFonts w:hint="eastAsia" w:ascii="宋体" w:hAnsi="宋体" w:eastAsia="宋体" w:cs="宋体"/>
                <w:snapToGrid w:val="0"/>
                <w:color w:val="auto"/>
                <w:kern w:val="0"/>
                <w:sz w:val="24"/>
                <w:szCs w:val="24"/>
                <w:highlight w:val="none"/>
                <w:lang w:val="en-US" w:eastAsia="zh-CN" w:bidi="ar-SA"/>
              </w:rPr>
              <w:t>部分</w:t>
            </w:r>
          </w:p>
        </w:tc>
      </w:tr>
      <w:tr w14:paraId="2E423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26" w:type="dxa"/>
            <w:vAlign w:val="top"/>
          </w:tcPr>
          <w:p w14:paraId="55A3D2CB">
            <w:pPr>
              <w:widowControl/>
              <w:kinsoku w:val="0"/>
              <w:autoSpaceDE w:val="0"/>
              <w:autoSpaceDN w:val="0"/>
              <w:adjustRightInd w:val="0"/>
              <w:snapToGrid w:val="0"/>
              <w:spacing w:line="274" w:lineRule="auto"/>
              <w:jc w:val="left"/>
              <w:textAlignment w:val="baseline"/>
              <w:rPr>
                <w:rFonts w:ascii="Arial" w:hAnsi="Arial" w:eastAsia="Arial" w:cs="Arial"/>
                <w:snapToGrid w:val="0"/>
                <w:color w:val="auto"/>
                <w:kern w:val="0"/>
                <w:sz w:val="24"/>
                <w:szCs w:val="24"/>
                <w:highlight w:val="none"/>
                <w:lang w:eastAsia="en-US"/>
              </w:rPr>
            </w:pPr>
          </w:p>
          <w:p w14:paraId="6428400D">
            <w:pPr>
              <w:kinsoku w:val="0"/>
              <w:autoSpaceDE w:val="0"/>
              <w:autoSpaceDN w:val="0"/>
              <w:adjustRightInd w:val="0"/>
              <w:snapToGrid w:val="0"/>
              <w:spacing w:before="65" w:line="229" w:lineRule="auto"/>
              <w:ind w:left="269"/>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4"/>
                <w:kern w:val="0"/>
                <w:sz w:val="24"/>
                <w:szCs w:val="24"/>
                <w:highlight w:val="none"/>
                <w:lang w:val="en-US" w:eastAsia="en-US" w:bidi="ar-SA"/>
              </w:rPr>
              <w:t>序号</w:t>
            </w:r>
          </w:p>
        </w:tc>
        <w:tc>
          <w:tcPr>
            <w:tcW w:w="1484" w:type="dxa"/>
            <w:vAlign w:val="top"/>
          </w:tcPr>
          <w:p w14:paraId="73F99E89">
            <w:pPr>
              <w:widowControl/>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4"/>
                <w:szCs w:val="24"/>
                <w:highlight w:val="none"/>
                <w:lang w:eastAsia="en-US"/>
              </w:rPr>
            </w:pPr>
          </w:p>
          <w:p w14:paraId="70A922B5">
            <w:pPr>
              <w:kinsoku w:val="0"/>
              <w:autoSpaceDE w:val="0"/>
              <w:autoSpaceDN w:val="0"/>
              <w:adjustRightInd w:val="0"/>
              <w:snapToGrid w:val="0"/>
              <w:spacing w:before="65" w:line="228" w:lineRule="auto"/>
              <w:jc w:val="center"/>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3"/>
                <w:kern w:val="0"/>
                <w:sz w:val="24"/>
                <w:szCs w:val="24"/>
                <w:highlight w:val="none"/>
                <w:lang w:val="en-US" w:eastAsia="en-US" w:bidi="ar-SA"/>
              </w:rPr>
              <w:t>费用名称</w:t>
            </w:r>
          </w:p>
        </w:tc>
        <w:tc>
          <w:tcPr>
            <w:tcW w:w="3916" w:type="dxa"/>
            <w:vAlign w:val="top"/>
          </w:tcPr>
          <w:p w14:paraId="19CB9DE5">
            <w:pPr>
              <w:widowControl/>
              <w:kinsoku w:val="0"/>
              <w:autoSpaceDE w:val="0"/>
              <w:autoSpaceDN w:val="0"/>
              <w:adjustRightInd w:val="0"/>
              <w:snapToGrid w:val="0"/>
              <w:spacing w:line="274" w:lineRule="auto"/>
              <w:jc w:val="left"/>
              <w:textAlignment w:val="baseline"/>
              <w:rPr>
                <w:rFonts w:ascii="Arial" w:hAnsi="Arial" w:eastAsia="Arial" w:cs="Arial"/>
                <w:snapToGrid w:val="0"/>
                <w:color w:val="auto"/>
                <w:kern w:val="0"/>
                <w:sz w:val="24"/>
                <w:szCs w:val="24"/>
                <w:highlight w:val="none"/>
                <w:lang w:eastAsia="en-US"/>
              </w:rPr>
            </w:pPr>
          </w:p>
          <w:p w14:paraId="4185E7BD">
            <w:pPr>
              <w:kinsoku w:val="0"/>
              <w:autoSpaceDE w:val="0"/>
              <w:autoSpaceDN w:val="0"/>
              <w:adjustRightInd w:val="0"/>
              <w:snapToGrid w:val="0"/>
              <w:spacing w:before="65" w:line="228" w:lineRule="auto"/>
              <w:ind w:left="239"/>
              <w:jc w:val="center"/>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服务内容与说明</w:t>
            </w:r>
          </w:p>
        </w:tc>
        <w:tc>
          <w:tcPr>
            <w:tcW w:w="2117" w:type="dxa"/>
            <w:vAlign w:val="top"/>
          </w:tcPr>
          <w:p w14:paraId="017AA9B0">
            <w:pPr>
              <w:kinsoku w:val="0"/>
              <w:autoSpaceDE w:val="0"/>
              <w:autoSpaceDN w:val="0"/>
              <w:adjustRightInd w:val="0"/>
              <w:snapToGrid w:val="0"/>
              <w:spacing w:before="142" w:line="300" w:lineRule="auto"/>
              <w:ind w:left="144" w:right="143" w:firstLine="98"/>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投标报价（元）</w:t>
            </w:r>
          </w:p>
        </w:tc>
        <w:tc>
          <w:tcPr>
            <w:tcW w:w="2050" w:type="dxa"/>
            <w:vAlign w:val="top"/>
          </w:tcPr>
          <w:p w14:paraId="2582F603">
            <w:pPr>
              <w:widowControl/>
              <w:kinsoku w:val="0"/>
              <w:autoSpaceDE w:val="0"/>
              <w:autoSpaceDN w:val="0"/>
              <w:adjustRightInd w:val="0"/>
              <w:snapToGrid w:val="0"/>
              <w:spacing w:line="274" w:lineRule="auto"/>
              <w:jc w:val="left"/>
              <w:textAlignment w:val="baseline"/>
              <w:rPr>
                <w:rFonts w:ascii="Arial" w:hAnsi="Arial" w:eastAsia="Arial" w:cs="Arial"/>
                <w:snapToGrid w:val="0"/>
                <w:color w:val="auto"/>
                <w:kern w:val="0"/>
                <w:sz w:val="24"/>
                <w:szCs w:val="24"/>
                <w:highlight w:val="none"/>
                <w:lang w:eastAsia="en-US"/>
              </w:rPr>
            </w:pPr>
          </w:p>
          <w:p w14:paraId="3482C9C4">
            <w:pPr>
              <w:kinsoku w:val="0"/>
              <w:autoSpaceDE w:val="0"/>
              <w:autoSpaceDN w:val="0"/>
              <w:adjustRightInd w:val="0"/>
              <w:snapToGrid w:val="0"/>
              <w:spacing w:before="65" w:line="229" w:lineRule="auto"/>
              <w:jc w:val="center"/>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b/>
                <w:bCs/>
                <w:snapToGrid w:val="0"/>
                <w:color w:val="auto"/>
                <w:spacing w:val="2"/>
                <w:kern w:val="0"/>
                <w:sz w:val="24"/>
                <w:szCs w:val="24"/>
                <w:highlight w:val="none"/>
                <w:lang w:val="en-US" w:eastAsia="en-US" w:bidi="ar-SA"/>
              </w:rPr>
              <w:t>备注</w:t>
            </w:r>
          </w:p>
        </w:tc>
      </w:tr>
      <w:tr w14:paraId="3089A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726" w:type="dxa"/>
            <w:vAlign w:val="top"/>
          </w:tcPr>
          <w:p w14:paraId="6E4AE7E6">
            <w:pPr>
              <w:widowControl/>
              <w:kinsoku w:val="0"/>
              <w:autoSpaceDE w:val="0"/>
              <w:autoSpaceDN w:val="0"/>
              <w:adjustRightInd w:val="0"/>
              <w:snapToGrid w:val="0"/>
              <w:spacing w:line="475" w:lineRule="auto"/>
              <w:jc w:val="left"/>
              <w:textAlignment w:val="baseline"/>
              <w:rPr>
                <w:rFonts w:ascii="Arial" w:hAnsi="Arial" w:eastAsia="Arial" w:cs="Arial"/>
                <w:snapToGrid w:val="0"/>
                <w:color w:val="auto"/>
                <w:kern w:val="0"/>
                <w:sz w:val="24"/>
                <w:szCs w:val="24"/>
                <w:highlight w:val="none"/>
                <w:lang w:eastAsia="en-US"/>
              </w:rPr>
            </w:pPr>
          </w:p>
          <w:p w14:paraId="084369DC">
            <w:pPr>
              <w:kinsoku w:val="0"/>
              <w:autoSpaceDE w:val="0"/>
              <w:autoSpaceDN w:val="0"/>
              <w:adjustRightInd w:val="0"/>
              <w:snapToGrid w:val="0"/>
              <w:spacing w:before="65" w:line="270" w:lineRule="exact"/>
              <w:ind w:left="444"/>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kern w:val="0"/>
                <w:position w:val="1"/>
                <w:sz w:val="24"/>
                <w:szCs w:val="24"/>
                <w:highlight w:val="none"/>
                <w:lang w:val="en-US" w:eastAsia="en-US" w:bidi="ar-SA"/>
              </w:rPr>
              <w:t>1</w:t>
            </w:r>
          </w:p>
        </w:tc>
        <w:tc>
          <w:tcPr>
            <w:tcW w:w="1484" w:type="dxa"/>
            <w:vAlign w:val="top"/>
          </w:tcPr>
          <w:p w14:paraId="07E96F92">
            <w:pPr>
              <w:widowControl/>
              <w:kinsoku w:val="0"/>
              <w:autoSpaceDE w:val="0"/>
              <w:autoSpaceDN w:val="0"/>
              <w:adjustRightInd w:val="0"/>
              <w:snapToGrid w:val="0"/>
              <w:spacing w:line="463" w:lineRule="auto"/>
              <w:jc w:val="left"/>
              <w:textAlignment w:val="baseline"/>
              <w:rPr>
                <w:rFonts w:ascii="Arial" w:hAnsi="Arial" w:eastAsia="Arial" w:cs="Arial"/>
                <w:snapToGrid w:val="0"/>
                <w:color w:val="auto"/>
                <w:kern w:val="0"/>
                <w:sz w:val="24"/>
                <w:szCs w:val="24"/>
                <w:highlight w:val="none"/>
                <w:lang w:eastAsia="en-US"/>
              </w:rPr>
            </w:pPr>
          </w:p>
          <w:p w14:paraId="5F05E356">
            <w:pPr>
              <w:kinsoku w:val="0"/>
              <w:autoSpaceDE w:val="0"/>
              <w:autoSpaceDN w:val="0"/>
              <w:adjustRightInd w:val="0"/>
              <w:snapToGrid w:val="0"/>
              <w:spacing w:before="65" w:line="228" w:lineRule="auto"/>
              <w:ind w:left="112"/>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color w:val="auto"/>
                <w:sz w:val="24"/>
                <w:szCs w:val="24"/>
                <w:highlight w:val="none"/>
              </w:rPr>
              <w:t>重点片区排水问题摸排及优化提升方案编制</w:t>
            </w:r>
          </w:p>
        </w:tc>
        <w:tc>
          <w:tcPr>
            <w:tcW w:w="3916" w:type="dxa"/>
            <w:vAlign w:val="top"/>
          </w:tcPr>
          <w:p w14:paraId="229AD18B">
            <w:pPr>
              <w:kinsoku w:val="0"/>
              <w:autoSpaceDE w:val="0"/>
              <w:autoSpaceDN w:val="0"/>
              <w:adjustRightInd w:val="0"/>
              <w:snapToGrid w:val="0"/>
              <w:spacing w:before="65" w:line="372" w:lineRule="auto"/>
              <w:ind w:left="125" w:right="108" w:hanging="6"/>
              <w:jc w:val="center"/>
              <w:textAlignment w:val="baseline"/>
              <w:rPr>
                <w:rFonts w:hint="eastAsia" w:ascii="宋体" w:hAnsi="宋体" w:eastAsia="宋体" w:cs="宋体"/>
                <w:snapToGrid w:val="0"/>
                <w:color w:val="auto"/>
                <w:kern w:val="0"/>
                <w:sz w:val="24"/>
                <w:szCs w:val="24"/>
                <w:highlight w:val="none"/>
                <w:lang w:val="en-US" w:eastAsia="zh-CN" w:bidi="ar-SA"/>
              </w:rPr>
            </w:pPr>
            <w:r>
              <w:rPr>
                <w:rFonts w:ascii="宋体" w:hAnsi="宋体" w:eastAsia="宋体" w:cs="宋体"/>
                <w:color w:val="auto"/>
                <w:sz w:val="24"/>
                <w:szCs w:val="24"/>
                <w:highlight w:val="none"/>
              </w:rPr>
              <w:t>1、开展片区现状排水系统摸排调查，梳理排水现存问题；2、编制排水优化提升方案</w:t>
            </w:r>
            <w:r>
              <w:rPr>
                <w:rFonts w:ascii="宋体" w:hAnsi="宋体" w:eastAsia="宋体" w:cs="宋体"/>
                <w:b w:val="0"/>
                <w:bCs w:val="0"/>
                <w:color w:val="auto"/>
                <w:sz w:val="24"/>
                <w:szCs w:val="24"/>
                <w:highlight w:val="none"/>
              </w:rPr>
              <w:t>，</w:t>
            </w:r>
            <w:r>
              <w:rPr>
                <w:rStyle w:val="10"/>
                <w:rFonts w:ascii="宋体" w:hAnsi="宋体" w:eastAsia="宋体" w:cs="宋体"/>
                <w:b w:val="0"/>
                <w:bCs w:val="0"/>
                <w:color w:val="auto"/>
                <w:sz w:val="24"/>
                <w:szCs w:val="24"/>
                <w:highlight w:val="none"/>
              </w:rPr>
              <w:t>成果方案不少于 2 套</w:t>
            </w:r>
            <w:r>
              <w:rPr>
                <w:rStyle w:val="10"/>
                <w:rFonts w:hint="eastAsia" w:ascii="宋体" w:hAnsi="宋体" w:eastAsia="宋体" w:cs="宋体"/>
                <w:b w:val="0"/>
                <w:bCs w:val="0"/>
                <w:color w:val="auto"/>
                <w:sz w:val="24"/>
                <w:szCs w:val="24"/>
                <w:highlight w:val="none"/>
                <w:lang w:eastAsia="zh-CN"/>
              </w:rPr>
              <w:t>，具体实施套数以采购人书面委托为准</w:t>
            </w:r>
            <w:r>
              <w:rPr>
                <w:rFonts w:ascii="宋体" w:hAnsi="宋体" w:eastAsia="宋体" w:cs="宋体"/>
                <w:b w:val="0"/>
                <w:bCs w:val="0"/>
                <w:color w:val="auto"/>
                <w:sz w:val="24"/>
                <w:szCs w:val="24"/>
                <w:highlight w:val="none"/>
              </w:rPr>
              <w:t>；</w:t>
            </w:r>
            <w:r>
              <w:rPr>
                <w:rFonts w:ascii="宋体" w:hAnsi="宋体" w:eastAsia="宋体" w:cs="宋体"/>
                <w:color w:val="auto"/>
                <w:sz w:val="24"/>
                <w:szCs w:val="24"/>
                <w:highlight w:val="none"/>
              </w:rPr>
              <w:t>3、配合甲方开展方案汇报、修改完善、成果资料整理归档移交；4、后续新增任务，按《任务确认单》实施，以中标总报价为基准测算批次费用；5、仅对验收合格、完整移交成果的任务计取费用。</w:t>
            </w:r>
          </w:p>
        </w:tc>
        <w:tc>
          <w:tcPr>
            <w:tcW w:w="2117" w:type="dxa"/>
            <w:vAlign w:val="top"/>
          </w:tcPr>
          <w:p w14:paraId="1F41DE63">
            <w:pPr>
              <w:widowControl/>
              <w:kinsoku w:val="0"/>
              <w:autoSpaceDE w:val="0"/>
              <w:autoSpaceDN w:val="0"/>
              <w:adjustRightInd w:val="0"/>
              <w:snapToGrid w:val="0"/>
              <w:spacing w:line="240" w:lineRule="auto"/>
              <w:jc w:val="left"/>
              <w:textAlignment w:val="baseline"/>
              <w:rPr>
                <w:rFonts w:hint="default" w:ascii="Arial" w:hAnsi="Arial" w:eastAsia="宋体" w:cs="Arial"/>
                <w:snapToGrid w:val="0"/>
                <w:color w:val="auto"/>
                <w:kern w:val="0"/>
                <w:sz w:val="24"/>
                <w:szCs w:val="24"/>
                <w:highlight w:val="none"/>
                <w:lang w:val="en-US" w:eastAsia="zh-CN"/>
              </w:rPr>
            </w:pPr>
          </w:p>
          <w:p w14:paraId="404BB11F">
            <w:pPr>
              <w:bidi w:val="0"/>
              <w:rPr>
                <w:rFonts w:hint="default" w:asciiTheme="minorHAnsi" w:hAnsiTheme="minorHAnsi" w:eastAsiaTheme="minorEastAsia" w:cstheme="minorBidi"/>
                <w:color w:val="auto"/>
                <w:kern w:val="2"/>
                <w:sz w:val="21"/>
                <w:szCs w:val="24"/>
                <w:highlight w:val="none"/>
                <w:lang w:val="en-US" w:eastAsia="zh-CN" w:bidi="ar-SA"/>
              </w:rPr>
            </w:pPr>
          </w:p>
          <w:p w14:paraId="3A79B3F5">
            <w:pPr>
              <w:bidi w:val="0"/>
              <w:rPr>
                <w:rFonts w:hint="default"/>
                <w:color w:val="auto"/>
                <w:highlight w:val="none"/>
                <w:lang w:val="en-US" w:eastAsia="zh-CN"/>
              </w:rPr>
            </w:pPr>
          </w:p>
          <w:p w14:paraId="6D8A09A6">
            <w:pPr>
              <w:bidi w:val="0"/>
              <w:ind w:firstLine="598" w:firstLineChars="0"/>
              <w:jc w:val="left"/>
              <w:rPr>
                <w:rFonts w:hint="eastAsia" w:eastAsiaTheme="minorEastAsia"/>
                <w:color w:val="auto"/>
                <w:highlight w:val="none"/>
                <w:lang w:val="en-US" w:eastAsia="zh-CN"/>
              </w:rPr>
            </w:pPr>
          </w:p>
        </w:tc>
        <w:tc>
          <w:tcPr>
            <w:tcW w:w="2050" w:type="dxa"/>
            <w:vAlign w:val="top"/>
          </w:tcPr>
          <w:p w14:paraId="5F985B41">
            <w:pPr>
              <w:widowControl/>
              <w:kinsoku w:val="0"/>
              <w:autoSpaceDE w:val="0"/>
              <w:autoSpaceDN w:val="0"/>
              <w:adjustRightInd w:val="0"/>
              <w:snapToGrid w:val="0"/>
              <w:spacing w:line="271" w:lineRule="auto"/>
              <w:jc w:val="left"/>
              <w:textAlignment w:val="baseline"/>
              <w:rPr>
                <w:rFonts w:ascii="Arial" w:hAnsi="Arial" w:eastAsia="Arial" w:cs="Arial"/>
                <w:snapToGrid w:val="0"/>
                <w:color w:val="auto"/>
                <w:kern w:val="0"/>
                <w:sz w:val="24"/>
                <w:szCs w:val="24"/>
                <w:highlight w:val="none"/>
                <w:lang w:eastAsia="en-US"/>
              </w:rPr>
            </w:pPr>
          </w:p>
          <w:p w14:paraId="035E010B">
            <w:pPr>
              <w:kinsoku w:val="0"/>
              <w:autoSpaceDE w:val="0"/>
              <w:autoSpaceDN w:val="0"/>
              <w:adjustRightInd w:val="0"/>
              <w:snapToGrid w:val="0"/>
              <w:spacing w:before="65" w:line="298" w:lineRule="auto"/>
              <w:ind w:left="117" w:right="288"/>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color w:val="auto"/>
                <w:sz w:val="24"/>
                <w:szCs w:val="24"/>
                <w:highlight w:val="none"/>
              </w:rPr>
              <w:t>本板块为总报价；实际结算为各批次验收合格任务费用累计，</w:t>
            </w:r>
            <w:r>
              <w:rPr>
                <w:rFonts w:hint="eastAsia" w:ascii="宋体" w:hAnsi="宋体" w:eastAsia="宋体" w:cs="宋体"/>
                <w:color w:val="auto"/>
                <w:sz w:val="24"/>
                <w:szCs w:val="24"/>
                <w:highlight w:val="none"/>
                <w:lang w:val="en-US" w:eastAsia="zh-CN"/>
              </w:rPr>
              <w:t>最终</w:t>
            </w:r>
            <w:r>
              <w:rPr>
                <w:rStyle w:val="10"/>
                <w:rFonts w:hint="eastAsia" w:ascii="宋体" w:hAnsi="宋体" w:eastAsia="宋体" w:cs="宋体"/>
                <w:b w:val="0"/>
                <w:bCs/>
                <w:color w:val="auto"/>
                <w:sz w:val="24"/>
                <w:szCs w:val="24"/>
                <w:highlight w:val="none"/>
                <w:lang w:val="en-US" w:eastAsia="zh-CN"/>
              </w:rPr>
              <w:t>结算总价不超过中标价</w:t>
            </w:r>
            <w:r>
              <w:rPr>
                <w:rFonts w:ascii="宋体" w:hAnsi="宋体" w:eastAsia="宋体" w:cs="宋体"/>
                <w:b w:val="0"/>
                <w:bCs/>
                <w:color w:val="auto"/>
                <w:sz w:val="24"/>
                <w:szCs w:val="24"/>
                <w:highlight w:val="none"/>
              </w:rPr>
              <w:t>。</w:t>
            </w:r>
          </w:p>
        </w:tc>
      </w:tr>
      <w:tr w14:paraId="68B57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26" w:type="dxa"/>
            <w:vAlign w:val="top"/>
          </w:tcPr>
          <w:p w14:paraId="74F71F80">
            <w:pPr>
              <w:kinsoku w:val="0"/>
              <w:autoSpaceDE w:val="0"/>
              <w:autoSpaceDN w:val="0"/>
              <w:adjustRightInd w:val="0"/>
              <w:snapToGrid w:val="0"/>
              <w:spacing w:before="173" w:line="270" w:lineRule="exact"/>
              <w:ind w:left="431"/>
              <w:jc w:val="both"/>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kern w:val="0"/>
                <w:position w:val="1"/>
                <w:sz w:val="24"/>
                <w:szCs w:val="24"/>
                <w:highlight w:val="none"/>
                <w:lang w:val="en-US" w:eastAsia="en-US" w:bidi="ar-SA"/>
              </w:rPr>
              <w:t>2</w:t>
            </w:r>
          </w:p>
        </w:tc>
        <w:tc>
          <w:tcPr>
            <w:tcW w:w="1484" w:type="dxa"/>
            <w:vAlign w:val="top"/>
          </w:tcPr>
          <w:p w14:paraId="68074FF5">
            <w:pPr>
              <w:kinsoku w:val="0"/>
              <w:autoSpaceDE w:val="0"/>
              <w:autoSpaceDN w:val="0"/>
              <w:adjustRightInd w:val="0"/>
              <w:snapToGrid w:val="0"/>
              <w:spacing w:before="161" w:line="228" w:lineRule="auto"/>
              <w:ind w:left="113"/>
              <w:jc w:val="center"/>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5"/>
                <w:kern w:val="0"/>
                <w:sz w:val="24"/>
                <w:szCs w:val="24"/>
                <w:highlight w:val="none"/>
                <w:lang w:val="en-US" w:eastAsia="en-US" w:bidi="ar-SA"/>
              </w:rPr>
              <w:t>合计</w:t>
            </w:r>
            <w:r>
              <w:rPr>
                <w:rFonts w:ascii="宋体" w:hAnsi="宋体" w:eastAsia="宋体" w:cs="宋体"/>
                <w:b/>
                <w:bCs/>
                <w:snapToGrid w:val="0"/>
                <w:color w:val="auto"/>
                <w:spacing w:val="5"/>
                <w:kern w:val="0"/>
                <w:sz w:val="24"/>
                <w:szCs w:val="24"/>
                <w:highlight w:val="none"/>
                <w:lang w:val="en-US" w:eastAsia="en-US" w:bidi="ar-SA"/>
              </w:rPr>
              <w:t>（元）</w:t>
            </w:r>
          </w:p>
        </w:tc>
        <w:tc>
          <w:tcPr>
            <w:tcW w:w="8083" w:type="dxa"/>
            <w:gridSpan w:val="3"/>
            <w:vAlign w:val="top"/>
          </w:tcPr>
          <w:p w14:paraId="2C599677">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4"/>
                <w:szCs w:val="24"/>
                <w:highlight w:val="none"/>
                <w:lang w:eastAsia="en-US"/>
              </w:rPr>
            </w:pPr>
          </w:p>
        </w:tc>
      </w:tr>
    </w:tbl>
    <w:p w14:paraId="787E1F4A">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4"/>
          <w:szCs w:val="24"/>
          <w:highlight w:val="none"/>
          <w:lang w:eastAsia="en-US"/>
        </w:rPr>
      </w:pPr>
    </w:p>
    <w:p w14:paraId="4AFFFD6D">
      <w:pPr>
        <w:rPr>
          <w:rFonts w:ascii="Arial" w:hAnsi="Arial" w:eastAsia="Arial" w:cs="Arial"/>
          <w:color w:val="auto"/>
          <w:sz w:val="21"/>
          <w:szCs w:val="21"/>
          <w:highlight w:val="none"/>
        </w:rPr>
        <w:sectPr>
          <w:headerReference r:id="rId14" w:type="default"/>
          <w:footerReference r:id="rId15" w:type="default"/>
          <w:pgSz w:w="11905" w:h="16839"/>
          <w:pgMar w:top="1165" w:right="755" w:bottom="1086" w:left="851" w:header="829" w:footer="872" w:gutter="0"/>
          <w:pgNumType w:fmt="decimal"/>
          <w:cols w:space="720" w:num="1"/>
        </w:sectPr>
      </w:pPr>
    </w:p>
    <w:p w14:paraId="2D7CAE71">
      <w:pPr>
        <w:widowControl/>
        <w:kinsoku w:val="0"/>
        <w:autoSpaceDE w:val="0"/>
        <w:autoSpaceDN w:val="0"/>
        <w:adjustRightInd w:val="0"/>
        <w:snapToGrid w:val="0"/>
        <w:spacing w:line="363" w:lineRule="auto"/>
        <w:jc w:val="left"/>
        <w:textAlignment w:val="baseline"/>
        <w:rPr>
          <w:rFonts w:ascii="Arial" w:hAnsi="Arial" w:eastAsia="Arial" w:cs="Arial"/>
          <w:snapToGrid w:val="0"/>
          <w:color w:val="auto"/>
          <w:kern w:val="0"/>
          <w:sz w:val="21"/>
          <w:szCs w:val="21"/>
          <w:highlight w:val="none"/>
          <w:lang w:eastAsia="en-US"/>
        </w:rPr>
      </w:pPr>
    </w:p>
    <w:p w14:paraId="16E9A32A">
      <w:pPr>
        <w:kinsoku w:val="0"/>
        <w:autoSpaceDE w:val="0"/>
        <w:autoSpaceDN w:val="0"/>
        <w:adjustRightInd w:val="0"/>
        <w:snapToGrid w:val="0"/>
        <w:spacing w:before="309" w:line="219" w:lineRule="auto"/>
        <w:jc w:val="left"/>
        <w:textAlignment w:val="baseline"/>
        <w:outlineLvl w:val="0"/>
        <w:rPr>
          <w:rFonts w:ascii="宋体" w:hAnsi="宋体" w:eastAsia="宋体" w:cs="宋体"/>
          <w:snapToGrid w:val="0"/>
          <w:color w:val="auto"/>
          <w:spacing w:val="-6"/>
          <w:kern w:val="0"/>
          <w:sz w:val="28"/>
          <w:szCs w:val="28"/>
          <w:highlight w:val="none"/>
          <w:lang w:val="en-US" w:eastAsia="en-US" w:bidi="ar-SA"/>
        </w:rPr>
      </w:pPr>
      <w:r>
        <w:rPr>
          <w:rFonts w:ascii="宋体" w:hAnsi="宋体" w:eastAsia="宋体" w:cs="宋体"/>
          <w:b/>
          <w:bCs/>
          <w:snapToGrid w:val="0"/>
          <w:color w:val="auto"/>
          <w:spacing w:val="-6"/>
          <w:kern w:val="0"/>
          <w:sz w:val="28"/>
          <w:szCs w:val="28"/>
          <w:highlight w:val="none"/>
          <w:lang w:val="en-US" w:eastAsia="en-US" w:bidi="ar-SA"/>
        </w:rPr>
        <w:t>第三部分：</w:t>
      </w:r>
      <w:r>
        <w:rPr>
          <w:rFonts w:hint="eastAsia" w:ascii="宋体" w:hAnsi="宋体" w:eastAsia="宋体" w:cs="宋体"/>
          <w:b/>
          <w:bCs/>
          <w:snapToGrid w:val="0"/>
          <w:color w:val="auto"/>
          <w:spacing w:val="-6"/>
          <w:kern w:val="0"/>
          <w:sz w:val="28"/>
          <w:szCs w:val="28"/>
          <w:highlight w:val="none"/>
          <w:lang w:val="en-US" w:eastAsia="en-US" w:bidi="ar-SA"/>
        </w:rPr>
        <w:t>污水厂、农村生活污水处理设施、企业排水及河道水质检测</w:t>
      </w:r>
      <w:r>
        <w:rPr>
          <w:rFonts w:hint="eastAsia" w:ascii="宋体" w:hAnsi="宋体" w:eastAsia="宋体" w:cs="宋体"/>
          <w:b/>
          <w:bCs/>
          <w:snapToGrid w:val="0"/>
          <w:color w:val="auto"/>
          <w:spacing w:val="-6"/>
          <w:kern w:val="0"/>
          <w:sz w:val="28"/>
          <w:szCs w:val="28"/>
          <w:highlight w:val="none"/>
          <w:lang w:val="en-US" w:eastAsia="zh-CN" w:bidi="ar-SA"/>
        </w:rPr>
        <w:t>部分</w:t>
      </w:r>
      <w:r>
        <w:rPr>
          <w:rFonts w:ascii="宋体" w:hAnsi="宋体" w:eastAsia="宋体" w:cs="宋体"/>
          <w:b/>
          <w:bCs/>
          <w:snapToGrid w:val="0"/>
          <w:color w:val="auto"/>
          <w:spacing w:val="-6"/>
          <w:kern w:val="0"/>
          <w:sz w:val="28"/>
          <w:szCs w:val="28"/>
          <w:highlight w:val="none"/>
          <w:lang w:val="en-US" w:eastAsia="en-US" w:bidi="ar-SA"/>
        </w:rPr>
        <w:t>（限价20</w:t>
      </w:r>
      <w:r>
        <w:rPr>
          <w:rFonts w:ascii="宋体" w:hAnsi="宋体" w:eastAsia="宋体" w:cs="宋体"/>
          <w:snapToGrid w:val="0"/>
          <w:color w:val="auto"/>
          <w:spacing w:val="-6"/>
          <w:kern w:val="0"/>
          <w:sz w:val="28"/>
          <w:szCs w:val="28"/>
          <w:highlight w:val="none"/>
          <w:lang w:val="en-US" w:eastAsia="en-US" w:bidi="ar-SA"/>
        </w:rPr>
        <w:t xml:space="preserve"> </w:t>
      </w:r>
      <w:r>
        <w:rPr>
          <w:rFonts w:ascii="宋体" w:hAnsi="宋体" w:eastAsia="宋体" w:cs="宋体"/>
          <w:b/>
          <w:bCs/>
          <w:snapToGrid w:val="0"/>
          <w:color w:val="auto"/>
          <w:spacing w:val="-6"/>
          <w:kern w:val="0"/>
          <w:sz w:val="28"/>
          <w:szCs w:val="28"/>
          <w:highlight w:val="none"/>
          <w:lang w:val="en-US" w:eastAsia="en-US" w:bidi="ar-SA"/>
        </w:rPr>
        <w:t>万元）</w:t>
      </w:r>
    </w:p>
    <w:p w14:paraId="64B0BC2E">
      <w:pPr>
        <w:widowControl/>
        <w:kinsoku w:val="0"/>
        <w:autoSpaceDE w:val="0"/>
        <w:autoSpaceDN w:val="0"/>
        <w:adjustRightInd w:val="0"/>
        <w:snapToGrid w:val="0"/>
        <w:spacing w:line="131" w:lineRule="exact"/>
        <w:jc w:val="left"/>
        <w:textAlignment w:val="baseline"/>
        <w:rPr>
          <w:rFonts w:ascii="Arial" w:hAnsi="Arial" w:eastAsia="Arial" w:cs="Arial"/>
          <w:snapToGrid w:val="0"/>
          <w:color w:val="auto"/>
          <w:kern w:val="0"/>
          <w:szCs w:val="21"/>
          <w:highlight w:val="none"/>
          <w:lang w:eastAsia="en-US"/>
        </w:rPr>
      </w:pPr>
    </w:p>
    <w:tbl>
      <w:tblPr>
        <w:tblStyle w:val="7"/>
        <w:tblW w:w="102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3030"/>
        <w:gridCol w:w="780"/>
        <w:gridCol w:w="2385"/>
        <w:gridCol w:w="2010"/>
        <w:gridCol w:w="1290"/>
      </w:tblGrid>
      <w:tr w14:paraId="0B41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FD5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三</w:t>
            </w:r>
          </w:p>
        </w:tc>
        <w:tc>
          <w:tcPr>
            <w:tcW w:w="94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B9F246">
            <w:pPr>
              <w:kinsoku w:val="0"/>
              <w:autoSpaceDE w:val="0"/>
              <w:autoSpaceDN w:val="0"/>
              <w:adjustRightInd w:val="0"/>
              <w:snapToGrid w:val="0"/>
              <w:spacing w:before="91" w:line="219" w:lineRule="auto"/>
              <w:jc w:val="center"/>
              <w:textAlignment w:val="baseline"/>
              <w:outlineLvl w:val="0"/>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污水厂、农村生活污水处理设施、企业排水及河道水质检测部分</w:t>
            </w:r>
          </w:p>
        </w:tc>
      </w:tr>
      <w:tr w14:paraId="72279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AD75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F804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检测项目名称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0E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次数</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2008">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最高限价单价检测项目收费（元/次）</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B87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投标单价检测项目收费（元/次）</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70E8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小计（元）</w:t>
            </w:r>
          </w:p>
        </w:tc>
      </w:tr>
      <w:tr w14:paraId="2D294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CF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EC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95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A5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63D7">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C734">
            <w:pPr>
              <w:jc w:val="center"/>
              <w:rPr>
                <w:rFonts w:hint="eastAsia" w:ascii="宋体" w:hAnsi="宋体" w:eastAsia="宋体" w:cs="宋体"/>
                <w:i w:val="0"/>
                <w:iCs w:val="0"/>
                <w:color w:val="auto"/>
                <w:sz w:val="24"/>
                <w:szCs w:val="24"/>
                <w:highlight w:val="none"/>
                <w:u w:val="none"/>
              </w:rPr>
            </w:pPr>
          </w:p>
        </w:tc>
      </w:tr>
      <w:tr w14:paraId="03DAD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8F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84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色度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57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5D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507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F9A13">
            <w:pPr>
              <w:jc w:val="center"/>
              <w:rPr>
                <w:rFonts w:hint="eastAsia" w:ascii="宋体" w:hAnsi="宋体" w:eastAsia="宋体" w:cs="宋体"/>
                <w:i w:val="0"/>
                <w:iCs w:val="0"/>
                <w:color w:val="auto"/>
                <w:sz w:val="24"/>
                <w:szCs w:val="24"/>
                <w:highlight w:val="none"/>
                <w:u w:val="none"/>
              </w:rPr>
            </w:pPr>
          </w:p>
        </w:tc>
      </w:tr>
      <w:tr w14:paraId="0F787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BAE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26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易沉固体</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EC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45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DC37">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237A">
            <w:pPr>
              <w:jc w:val="center"/>
              <w:rPr>
                <w:rFonts w:hint="eastAsia" w:ascii="宋体" w:hAnsi="宋体" w:eastAsia="宋体" w:cs="宋体"/>
                <w:i w:val="0"/>
                <w:iCs w:val="0"/>
                <w:color w:val="auto"/>
                <w:sz w:val="24"/>
                <w:szCs w:val="24"/>
                <w:highlight w:val="none"/>
                <w:u w:val="none"/>
              </w:rPr>
            </w:pPr>
          </w:p>
        </w:tc>
      </w:tr>
      <w:tr w14:paraId="29142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E2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DD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悬浮物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26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2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C14B">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9588">
            <w:pPr>
              <w:jc w:val="center"/>
              <w:rPr>
                <w:rFonts w:hint="eastAsia" w:ascii="宋体" w:hAnsi="宋体" w:eastAsia="宋体" w:cs="宋体"/>
                <w:i w:val="0"/>
                <w:iCs w:val="0"/>
                <w:color w:val="auto"/>
                <w:sz w:val="24"/>
                <w:szCs w:val="24"/>
                <w:highlight w:val="none"/>
                <w:u w:val="none"/>
              </w:rPr>
            </w:pPr>
          </w:p>
        </w:tc>
      </w:tr>
      <w:tr w14:paraId="00F6B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0F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DE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溶解性总固体</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908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1C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C49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BAF2">
            <w:pPr>
              <w:jc w:val="center"/>
              <w:rPr>
                <w:rFonts w:hint="eastAsia" w:ascii="宋体" w:hAnsi="宋体" w:eastAsia="宋体" w:cs="宋体"/>
                <w:i w:val="0"/>
                <w:iCs w:val="0"/>
                <w:color w:val="auto"/>
                <w:sz w:val="24"/>
                <w:szCs w:val="24"/>
                <w:highlight w:val="none"/>
                <w:u w:val="none"/>
              </w:rPr>
            </w:pPr>
          </w:p>
        </w:tc>
      </w:tr>
      <w:tr w14:paraId="1EFBB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9C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F0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动植物油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7AE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D29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A8CC">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3245">
            <w:pPr>
              <w:jc w:val="center"/>
              <w:rPr>
                <w:rFonts w:hint="eastAsia" w:ascii="宋体" w:hAnsi="宋体" w:eastAsia="宋体" w:cs="宋体"/>
                <w:i w:val="0"/>
                <w:iCs w:val="0"/>
                <w:color w:val="auto"/>
                <w:sz w:val="24"/>
                <w:szCs w:val="24"/>
                <w:highlight w:val="none"/>
                <w:u w:val="none"/>
              </w:rPr>
            </w:pPr>
          </w:p>
        </w:tc>
      </w:tr>
      <w:tr w14:paraId="13A3C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A7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10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石油类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D4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D7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FFB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14E7">
            <w:pPr>
              <w:jc w:val="center"/>
              <w:rPr>
                <w:rFonts w:hint="eastAsia" w:ascii="宋体" w:hAnsi="宋体" w:eastAsia="宋体" w:cs="宋体"/>
                <w:i w:val="0"/>
                <w:iCs w:val="0"/>
                <w:color w:val="auto"/>
                <w:sz w:val="24"/>
                <w:szCs w:val="24"/>
                <w:highlight w:val="none"/>
                <w:u w:val="none"/>
              </w:rPr>
            </w:pPr>
          </w:p>
        </w:tc>
      </w:tr>
      <w:tr w14:paraId="47564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16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5E0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pH值</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E56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F0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200EE">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27F9">
            <w:pPr>
              <w:jc w:val="center"/>
              <w:rPr>
                <w:rFonts w:hint="eastAsia" w:ascii="宋体" w:hAnsi="宋体" w:eastAsia="宋体" w:cs="宋体"/>
                <w:i w:val="0"/>
                <w:iCs w:val="0"/>
                <w:color w:val="auto"/>
                <w:sz w:val="24"/>
                <w:szCs w:val="24"/>
                <w:highlight w:val="none"/>
                <w:u w:val="none"/>
              </w:rPr>
            </w:pPr>
          </w:p>
        </w:tc>
      </w:tr>
      <w:tr w14:paraId="1389C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D4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57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五日生化需氧量(BOD5)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9F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66E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5795">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4CE5">
            <w:pPr>
              <w:jc w:val="center"/>
              <w:rPr>
                <w:rFonts w:hint="eastAsia" w:ascii="宋体" w:hAnsi="宋体" w:eastAsia="宋体" w:cs="宋体"/>
                <w:i w:val="0"/>
                <w:iCs w:val="0"/>
                <w:color w:val="auto"/>
                <w:sz w:val="24"/>
                <w:szCs w:val="24"/>
                <w:highlight w:val="none"/>
                <w:u w:val="none"/>
              </w:rPr>
            </w:pPr>
          </w:p>
        </w:tc>
      </w:tr>
      <w:tr w14:paraId="30157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957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D4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化学需氧量(COD)</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19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42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354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9064">
            <w:pPr>
              <w:jc w:val="center"/>
              <w:rPr>
                <w:rFonts w:hint="eastAsia" w:ascii="宋体" w:hAnsi="宋体" w:eastAsia="宋体" w:cs="宋体"/>
                <w:i w:val="0"/>
                <w:iCs w:val="0"/>
                <w:color w:val="auto"/>
                <w:sz w:val="24"/>
                <w:szCs w:val="24"/>
                <w:highlight w:val="none"/>
                <w:u w:val="none"/>
              </w:rPr>
            </w:pPr>
          </w:p>
        </w:tc>
      </w:tr>
      <w:tr w14:paraId="0E23D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3F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F5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氨氮(以N计)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3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4A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85DD">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2233">
            <w:pPr>
              <w:jc w:val="center"/>
              <w:rPr>
                <w:rFonts w:hint="eastAsia" w:ascii="宋体" w:hAnsi="宋体" w:eastAsia="宋体" w:cs="宋体"/>
                <w:i w:val="0"/>
                <w:iCs w:val="0"/>
                <w:color w:val="auto"/>
                <w:sz w:val="24"/>
                <w:szCs w:val="24"/>
                <w:highlight w:val="none"/>
                <w:u w:val="none"/>
              </w:rPr>
            </w:pPr>
          </w:p>
        </w:tc>
      </w:tr>
      <w:tr w14:paraId="6C2A2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2B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78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总氮(以N计)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4A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91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060C">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439E5">
            <w:pPr>
              <w:jc w:val="center"/>
              <w:rPr>
                <w:rFonts w:hint="eastAsia" w:ascii="宋体" w:hAnsi="宋体" w:eastAsia="宋体" w:cs="宋体"/>
                <w:i w:val="0"/>
                <w:iCs w:val="0"/>
                <w:color w:val="auto"/>
                <w:sz w:val="24"/>
                <w:szCs w:val="24"/>
                <w:highlight w:val="none"/>
                <w:u w:val="none"/>
              </w:rPr>
            </w:pPr>
          </w:p>
        </w:tc>
      </w:tr>
      <w:tr w14:paraId="10540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53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EE0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总磷(以P计)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29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47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8AE9">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2D6B">
            <w:pPr>
              <w:jc w:val="center"/>
              <w:rPr>
                <w:rFonts w:hint="eastAsia" w:ascii="宋体" w:hAnsi="宋体" w:eastAsia="宋体" w:cs="宋体"/>
                <w:i w:val="0"/>
                <w:iCs w:val="0"/>
                <w:color w:val="auto"/>
                <w:sz w:val="24"/>
                <w:szCs w:val="24"/>
                <w:highlight w:val="none"/>
                <w:u w:val="none"/>
              </w:rPr>
            </w:pPr>
          </w:p>
        </w:tc>
      </w:tr>
      <w:tr w14:paraId="3BD37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CA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24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阴离子表面活性剂(LAS)</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66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D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00BD">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D5A0">
            <w:pPr>
              <w:jc w:val="center"/>
              <w:rPr>
                <w:rFonts w:hint="eastAsia" w:ascii="宋体" w:hAnsi="宋体" w:eastAsia="宋体" w:cs="宋体"/>
                <w:i w:val="0"/>
                <w:iCs w:val="0"/>
                <w:color w:val="auto"/>
                <w:sz w:val="24"/>
                <w:szCs w:val="24"/>
                <w:highlight w:val="none"/>
                <w:u w:val="none"/>
              </w:rPr>
            </w:pPr>
          </w:p>
        </w:tc>
      </w:tr>
      <w:tr w14:paraId="276A8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D5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6D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总氰化物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E06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F1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6BD0">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5578">
            <w:pPr>
              <w:jc w:val="center"/>
              <w:rPr>
                <w:rFonts w:hint="eastAsia" w:ascii="宋体" w:hAnsi="宋体" w:eastAsia="宋体" w:cs="宋体"/>
                <w:i w:val="0"/>
                <w:iCs w:val="0"/>
                <w:color w:val="auto"/>
                <w:sz w:val="24"/>
                <w:szCs w:val="24"/>
                <w:highlight w:val="none"/>
                <w:u w:val="none"/>
              </w:rPr>
            </w:pPr>
          </w:p>
        </w:tc>
      </w:tr>
      <w:tr w14:paraId="0396D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B3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DF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总余氯(以Cl2计)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47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B5C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7FBE">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EAE1">
            <w:pPr>
              <w:jc w:val="center"/>
              <w:rPr>
                <w:rFonts w:hint="eastAsia" w:ascii="宋体" w:hAnsi="宋体" w:eastAsia="宋体" w:cs="宋体"/>
                <w:i w:val="0"/>
                <w:iCs w:val="0"/>
                <w:color w:val="auto"/>
                <w:sz w:val="24"/>
                <w:szCs w:val="24"/>
                <w:highlight w:val="none"/>
                <w:u w:val="none"/>
              </w:rPr>
            </w:pPr>
          </w:p>
        </w:tc>
      </w:tr>
      <w:tr w14:paraId="38E65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D3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536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硫化物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21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7A7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76F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6967">
            <w:pPr>
              <w:jc w:val="center"/>
              <w:rPr>
                <w:rFonts w:hint="eastAsia" w:ascii="宋体" w:hAnsi="宋体" w:eastAsia="宋体" w:cs="宋体"/>
                <w:i w:val="0"/>
                <w:iCs w:val="0"/>
                <w:color w:val="auto"/>
                <w:sz w:val="24"/>
                <w:szCs w:val="24"/>
                <w:highlight w:val="none"/>
                <w:u w:val="none"/>
              </w:rPr>
            </w:pPr>
          </w:p>
        </w:tc>
      </w:tr>
      <w:tr w14:paraId="0091C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98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26D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氟化物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C1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29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03C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27C3">
            <w:pPr>
              <w:jc w:val="center"/>
              <w:rPr>
                <w:rFonts w:hint="eastAsia" w:ascii="宋体" w:hAnsi="宋体" w:eastAsia="宋体" w:cs="宋体"/>
                <w:i w:val="0"/>
                <w:iCs w:val="0"/>
                <w:color w:val="auto"/>
                <w:sz w:val="24"/>
                <w:szCs w:val="24"/>
                <w:highlight w:val="none"/>
                <w:u w:val="none"/>
              </w:rPr>
            </w:pPr>
          </w:p>
        </w:tc>
      </w:tr>
      <w:tr w14:paraId="30FEA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A3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5D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氯化物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AC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79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98F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6B3C">
            <w:pPr>
              <w:jc w:val="center"/>
              <w:rPr>
                <w:rFonts w:hint="eastAsia" w:ascii="宋体" w:hAnsi="宋体" w:eastAsia="宋体" w:cs="宋体"/>
                <w:i w:val="0"/>
                <w:iCs w:val="0"/>
                <w:color w:val="auto"/>
                <w:sz w:val="24"/>
                <w:szCs w:val="24"/>
                <w:highlight w:val="none"/>
                <w:u w:val="none"/>
              </w:rPr>
            </w:pPr>
          </w:p>
        </w:tc>
      </w:tr>
      <w:tr w14:paraId="0DFE5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B0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5D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硫酸盐</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83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D2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AEFD">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351F">
            <w:pPr>
              <w:jc w:val="center"/>
              <w:rPr>
                <w:rFonts w:hint="eastAsia" w:ascii="宋体" w:hAnsi="宋体" w:eastAsia="宋体" w:cs="宋体"/>
                <w:i w:val="0"/>
                <w:iCs w:val="0"/>
                <w:color w:val="auto"/>
                <w:sz w:val="24"/>
                <w:szCs w:val="24"/>
                <w:highlight w:val="none"/>
                <w:u w:val="none"/>
              </w:rPr>
            </w:pPr>
          </w:p>
        </w:tc>
      </w:tr>
      <w:tr w14:paraId="7DC41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D6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AB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总汞</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21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F5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C786">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B2B6">
            <w:pPr>
              <w:jc w:val="center"/>
              <w:rPr>
                <w:rFonts w:hint="eastAsia" w:ascii="宋体" w:hAnsi="宋体" w:eastAsia="宋体" w:cs="宋体"/>
                <w:i w:val="0"/>
                <w:iCs w:val="0"/>
                <w:color w:val="auto"/>
                <w:sz w:val="24"/>
                <w:szCs w:val="24"/>
                <w:highlight w:val="none"/>
                <w:u w:val="none"/>
              </w:rPr>
            </w:pPr>
          </w:p>
        </w:tc>
      </w:tr>
      <w:tr w14:paraId="52AC8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19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71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25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A6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58D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4E76">
            <w:pPr>
              <w:jc w:val="center"/>
              <w:rPr>
                <w:rFonts w:hint="eastAsia" w:ascii="宋体" w:hAnsi="宋体" w:eastAsia="宋体" w:cs="宋体"/>
                <w:i w:val="0"/>
                <w:iCs w:val="0"/>
                <w:color w:val="auto"/>
                <w:sz w:val="24"/>
                <w:szCs w:val="24"/>
                <w:highlight w:val="none"/>
                <w:u w:val="none"/>
              </w:rPr>
            </w:pPr>
          </w:p>
        </w:tc>
      </w:tr>
      <w:tr w14:paraId="68783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AF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9D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总铬</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7E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CF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5944">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6E33">
            <w:pPr>
              <w:jc w:val="center"/>
              <w:rPr>
                <w:rFonts w:hint="eastAsia" w:ascii="宋体" w:hAnsi="宋体" w:eastAsia="宋体" w:cs="宋体"/>
                <w:i w:val="0"/>
                <w:iCs w:val="0"/>
                <w:color w:val="auto"/>
                <w:sz w:val="24"/>
                <w:szCs w:val="24"/>
                <w:highlight w:val="none"/>
                <w:u w:val="none"/>
              </w:rPr>
            </w:pPr>
          </w:p>
        </w:tc>
      </w:tr>
      <w:tr w14:paraId="5E6D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D63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37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六价铬</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A9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DE5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BBB1C">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0844">
            <w:pPr>
              <w:jc w:val="center"/>
              <w:rPr>
                <w:rFonts w:hint="eastAsia" w:ascii="宋体" w:hAnsi="宋体" w:eastAsia="宋体" w:cs="宋体"/>
                <w:i w:val="0"/>
                <w:iCs w:val="0"/>
                <w:color w:val="auto"/>
                <w:sz w:val="24"/>
                <w:szCs w:val="24"/>
                <w:highlight w:val="none"/>
                <w:u w:val="none"/>
              </w:rPr>
            </w:pPr>
          </w:p>
        </w:tc>
      </w:tr>
      <w:tr w14:paraId="2916C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37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42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总砷</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3A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14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38D5">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70F5">
            <w:pPr>
              <w:jc w:val="center"/>
              <w:rPr>
                <w:rFonts w:hint="eastAsia" w:ascii="宋体" w:hAnsi="宋体" w:eastAsia="宋体" w:cs="宋体"/>
                <w:i w:val="0"/>
                <w:iCs w:val="0"/>
                <w:color w:val="auto"/>
                <w:sz w:val="24"/>
                <w:szCs w:val="24"/>
                <w:highlight w:val="none"/>
                <w:u w:val="none"/>
              </w:rPr>
            </w:pPr>
          </w:p>
        </w:tc>
      </w:tr>
      <w:tr w14:paraId="152C9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3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F3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总铅</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08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B1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883E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6072">
            <w:pPr>
              <w:jc w:val="center"/>
              <w:rPr>
                <w:rFonts w:hint="eastAsia" w:ascii="宋体" w:hAnsi="宋体" w:eastAsia="宋体" w:cs="宋体"/>
                <w:i w:val="0"/>
                <w:iCs w:val="0"/>
                <w:color w:val="auto"/>
                <w:sz w:val="24"/>
                <w:szCs w:val="24"/>
                <w:highlight w:val="none"/>
                <w:u w:val="none"/>
              </w:rPr>
            </w:pPr>
          </w:p>
        </w:tc>
      </w:tr>
      <w:tr w14:paraId="080FE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E2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7E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99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2C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56657">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944E">
            <w:pPr>
              <w:jc w:val="center"/>
              <w:rPr>
                <w:rFonts w:hint="eastAsia" w:ascii="宋体" w:hAnsi="宋体" w:eastAsia="宋体" w:cs="宋体"/>
                <w:i w:val="0"/>
                <w:iCs w:val="0"/>
                <w:color w:val="auto"/>
                <w:sz w:val="24"/>
                <w:szCs w:val="24"/>
                <w:highlight w:val="none"/>
                <w:u w:val="none"/>
              </w:rPr>
            </w:pPr>
          </w:p>
        </w:tc>
      </w:tr>
      <w:tr w14:paraId="0D850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DD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68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4E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56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C014">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73BB8">
            <w:pPr>
              <w:jc w:val="center"/>
              <w:rPr>
                <w:rFonts w:hint="eastAsia" w:ascii="宋体" w:hAnsi="宋体" w:eastAsia="宋体" w:cs="宋体"/>
                <w:i w:val="0"/>
                <w:iCs w:val="0"/>
                <w:color w:val="auto"/>
                <w:sz w:val="24"/>
                <w:szCs w:val="24"/>
                <w:highlight w:val="none"/>
                <w:u w:val="none"/>
              </w:rPr>
            </w:pPr>
          </w:p>
        </w:tc>
      </w:tr>
      <w:tr w14:paraId="007B1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A7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21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总银</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37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57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4EDAC">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74A6">
            <w:pPr>
              <w:jc w:val="center"/>
              <w:rPr>
                <w:rFonts w:hint="eastAsia" w:ascii="宋体" w:hAnsi="宋体" w:eastAsia="宋体" w:cs="宋体"/>
                <w:i w:val="0"/>
                <w:iCs w:val="0"/>
                <w:color w:val="auto"/>
                <w:sz w:val="24"/>
                <w:szCs w:val="24"/>
                <w:highlight w:val="none"/>
                <w:u w:val="none"/>
              </w:rPr>
            </w:pPr>
          </w:p>
        </w:tc>
      </w:tr>
      <w:tr w14:paraId="718F2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26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3B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总硒</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9F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D9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F2D9">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298D">
            <w:pPr>
              <w:jc w:val="center"/>
              <w:rPr>
                <w:rFonts w:hint="eastAsia" w:ascii="宋体" w:hAnsi="宋体" w:eastAsia="宋体" w:cs="宋体"/>
                <w:i w:val="0"/>
                <w:iCs w:val="0"/>
                <w:color w:val="auto"/>
                <w:sz w:val="24"/>
                <w:szCs w:val="24"/>
                <w:highlight w:val="none"/>
                <w:u w:val="none"/>
              </w:rPr>
            </w:pPr>
          </w:p>
        </w:tc>
      </w:tr>
      <w:tr w14:paraId="0D1D9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6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D1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总铜</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D7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FF6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851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68B5">
            <w:pPr>
              <w:jc w:val="center"/>
              <w:rPr>
                <w:rFonts w:hint="eastAsia" w:ascii="宋体" w:hAnsi="宋体" w:eastAsia="宋体" w:cs="宋体"/>
                <w:i w:val="0"/>
                <w:iCs w:val="0"/>
                <w:color w:val="auto"/>
                <w:sz w:val="24"/>
                <w:szCs w:val="24"/>
                <w:highlight w:val="none"/>
                <w:u w:val="none"/>
              </w:rPr>
            </w:pPr>
          </w:p>
        </w:tc>
      </w:tr>
      <w:tr w14:paraId="002A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C2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44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D2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E8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C09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38F0">
            <w:pPr>
              <w:jc w:val="center"/>
              <w:rPr>
                <w:rFonts w:hint="eastAsia" w:ascii="宋体" w:hAnsi="宋体" w:eastAsia="宋体" w:cs="宋体"/>
                <w:i w:val="0"/>
                <w:iCs w:val="0"/>
                <w:color w:val="auto"/>
                <w:sz w:val="24"/>
                <w:szCs w:val="24"/>
                <w:highlight w:val="none"/>
                <w:u w:val="none"/>
              </w:rPr>
            </w:pPr>
          </w:p>
        </w:tc>
      </w:tr>
      <w:tr w14:paraId="50116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23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FF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1E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B1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6174">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368ED">
            <w:pPr>
              <w:jc w:val="center"/>
              <w:rPr>
                <w:rFonts w:hint="eastAsia" w:ascii="宋体" w:hAnsi="宋体" w:eastAsia="宋体" w:cs="宋体"/>
                <w:i w:val="0"/>
                <w:iCs w:val="0"/>
                <w:color w:val="auto"/>
                <w:sz w:val="24"/>
                <w:szCs w:val="24"/>
                <w:highlight w:val="none"/>
                <w:u w:val="none"/>
              </w:rPr>
            </w:pPr>
          </w:p>
        </w:tc>
      </w:tr>
      <w:tr w14:paraId="4C90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60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354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总铁</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5A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F9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078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D83D">
            <w:pPr>
              <w:jc w:val="center"/>
              <w:rPr>
                <w:rFonts w:hint="eastAsia" w:ascii="宋体" w:hAnsi="宋体" w:eastAsia="宋体" w:cs="宋体"/>
                <w:i w:val="0"/>
                <w:iCs w:val="0"/>
                <w:color w:val="auto"/>
                <w:sz w:val="24"/>
                <w:szCs w:val="24"/>
                <w:highlight w:val="none"/>
                <w:u w:val="none"/>
              </w:rPr>
            </w:pPr>
          </w:p>
        </w:tc>
      </w:tr>
      <w:tr w14:paraId="34B9E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21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4D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锑</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80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BD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31F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3B94">
            <w:pPr>
              <w:jc w:val="center"/>
              <w:rPr>
                <w:rFonts w:hint="eastAsia" w:ascii="宋体" w:hAnsi="宋体" w:eastAsia="宋体" w:cs="宋体"/>
                <w:i w:val="0"/>
                <w:iCs w:val="0"/>
                <w:color w:val="auto"/>
                <w:sz w:val="24"/>
                <w:szCs w:val="24"/>
                <w:highlight w:val="none"/>
                <w:u w:val="none"/>
              </w:rPr>
            </w:pPr>
          </w:p>
        </w:tc>
      </w:tr>
      <w:tr w14:paraId="053B7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F5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8F9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挥发酚</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CD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23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BCF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5ECE">
            <w:pPr>
              <w:jc w:val="center"/>
              <w:rPr>
                <w:rFonts w:hint="eastAsia" w:ascii="宋体" w:hAnsi="宋体" w:eastAsia="宋体" w:cs="宋体"/>
                <w:i w:val="0"/>
                <w:iCs w:val="0"/>
                <w:color w:val="auto"/>
                <w:sz w:val="24"/>
                <w:szCs w:val="24"/>
                <w:highlight w:val="none"/>
                <w:u w:val="none"/>
              </w:rPr>
            </w:pPr>
          </w:p>
        </w:tc>
      </w:tr>
      <w:tr w14:paraId="45F5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71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8D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苯系物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11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55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D1EE">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18EE">
            <w:pPr>
              <w:jc w:val="center"/>
              <w:rPr>
                <w:rFonts w:hint="eastAsia" w:ascii="宋体" w:hAnsi="宋体" w:eastAsia="宋体" w:cs="宋体"/>
                <w:i w:val="0"/>
                <w:iCs w:val="0"/>
                <w:color w:val="auto"/>
                <w:sz w:val="24"/>
                <w:szCs w:val="24"/>
                <w:highlight w:val="none"/>
                <w:u w:val="none"/>
              </w:rPr>
            </w:pPr>
          </w:p>
        </w:tc>
      </w:tr>
      <w:tr w14:paraId="47846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2B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96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苯胺类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2A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31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F45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7082">
            <w:pPr>
              <w:jc w:val="center"/>
              <w:rPr>
                <w:rFonts w:hint="eastAsia" w:ascii="宋体" w:hAnsi="宋体" w:eastAsia="宋体" w:cs="宋体"/>
                <w:i w:val="0"/>
                <w:iCs w:val="0"/>
                <w:color w:val="auto"/>
                <w:sz w:val="24"/>
                <w:szCs w:val="24"/>
                <w:highlight w:val="none"/>
                <w:u w:val="none"/>
              </w:rPr>
            </w:pPr>
          </w:p>
        </w:tc>
      </w:tr>
      <w:tr w14:paraId="29211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AC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A3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硝基苯类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DD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77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F06E">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4345">
            <w:pPr>
              <w:jc w:val="center"/>
              <w:rPr>
                <w:rFonts w:hint="eastAsia" w:ascii="宋体" w:hAnsi="宋体" w:eastAsia="宋体" w:cs="宋体"/>
                <w:i w:val="0"/>
                <w:iCs w:val="0"/>
                <w:color w:val="auto"/>
                <w:sz w:val="24"/>
                <w:szCs w:val="24"/>
                <w:highlight w:val="none"/>
                <w:u w:val="none"/>
              </w:rPr>
            </w:pPr>
          </w:p>
        </w:tc>
      </w:tr>
      <w:tr w14:paraId="2D621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89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4B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甲醛</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AF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07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301A">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D219">
            <w:pPr>
              <w:jc w:val="center"/>
              <w:rPr>
                <w:rFonts w:hint="eastAsia" w:ascii="宋体" w:hAnsi="宋体" w:eastAsia="宋体" w:cs="宋体"/>
                <w:i w:val="0"/>
                <w:iCs w:val="0"/>
                <w:color w:val="auto"/>
                <w:sz w:val="24"/>
                <w:szCs w:val="24"/>
                <w:highlight w:val="none"/>
                <w:u w:val="none"/>
              </w:rPr>
            </w:pPr>
          </w:p>
        </w:tc>
      </w:tr>
      <w:tr w14:paraId="0D59E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8B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34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挥发性卤代烃（包括但不限于二氯甲烷、三氯甲烷、四氯化碳、三氯乙烯、四氯乙烯）</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6C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36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4294">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9631">
            <w:pPr>
              <w:jc w:val="center"/>
              <w:rPr>
                <w:rFonts w:hint="eastAsia" w:ascii="宋体" w:hAnsi="宋体" w:eastAsia="宋体" w:cs="宋体"/>
                <w:i w:val="0"/>
                <w:iCs w:val="0"/>
                <w:color w:val="auto"/>
                <w:sz w:val="24"/>
                <w:szCs w:val="24"/>
                <w:highlight w:val="none"/>
                <w:u w:val="none"/>
              </w:rPr>
            </w:pPr>
          </w:p>
        </w:tc>
      </w:tr>
      <w:tr w14:paraId="5E4D2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5B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E2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可吸附有机卤化物(AOX，以Cl计)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73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D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210.00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3B58B">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5EDD">
            <w:pPr>
              <w:jc w:val="center"/>
              <w:rPr>
                <w:rFonts w:hint="eastAsia" w:ascii="宋体" w:hAnsi="宋体" w:eastAsia="宋体" w:cs="宋体"/>
                <w:i w:val="0"/>
                <w:iCs w:val="0"/>
                <w:color w:val="auto"/>
                <w:sz w:val="24"/>
                <w:szCs w:val="24"/>
                <w:highlight w:val="none"/>
                <w:u w:val="none"/>
              </w:rPr>
            </w:pPr>
          </w:p>
        </w:tc>
      </w:tr>
      <w:tr w14:paraId="5F129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860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31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有机磷农药(以P计)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ED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44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240.00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A2E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6943A">
            <w:pPr>
              <w:jc w:val="center"/>
              <w:rPr>
                <w:rFonts w:hint="eastAsia" w:ascii="宋体" w:hAnsi="宋体" w:eastAsia="宋体" w:cs="宋体"/>
                <w:i w:val="0"/>
                <w:iCs w:val="0"/>
                <w:color w:val="auto"/>
                <w:sz w:val="24"/>
                <w:szCs w:val="24"/>
                <w:highlight w:val="none"/>
                <w:u w:val="none"/>
              </w:rPr>
            </w:pPr>
          </w:p>
        </w:tc>
      </w:tr>
      <w:tr w14:paraId="6B29E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F5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BA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五氯酚</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44D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6F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210.00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976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15B0">
            <w:pPr>
              <w:jc w:val="center"/>
              <w:rPr>
                <w:rFonts w:hint="eastAsia" w:ascii="宋体" w:hAnsi="宋体" w:eastAsia="宋体" w:cs="宋体"/>
                <w:i w:val="0"/>
                <w:iCs w:val="0"/>
                <w:color w:val="auto"/>
                <w:sz w:val="24"/>
                <w:szCs w:val="24"/>
                <w:highlight w:val="none"/>
                <w:u w:val="none"/>
              </w:rPr>
            </w:pPr>
          </w:p>
        </w:tc>
      </w:tr>
      <w:tr w14:paraId="6B1EF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BA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9E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大肠菌群数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B5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11C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160.00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A236">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7A3C">
            <w:pPr>
              <w:jc w:val="center"/>
              <w:rPr>
                <w:rFonts w:hint="eastAsia" w:ascii="宋体" w:hAnsi="宋体" w:eastAsia="宋体" w:cs="宋体"/>
                <w:i w:val="0"/>
                <w:iCs w:val="0"/>
                <w:color w:val="auto"/>
                <w:sz w:val="24"/>
                <w:szCs w:val="24"/>
                <w:highlight w:val="none"/>
                <w:u w:val="none"/>
              </w:rPr>
            </w:pPr>
          </w:p>
        </w:tc>
      </w:tr>
      <w:tr w14:paraId="33B99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FC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91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二氧化氯</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F0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75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E6E7">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9843">
            <w:pPr>
              <w:jc w:val="center"/>
              <w:rPr>
                <w:rFonts w:hint="eastAsia" w:ascii="宋体" w:hAnsi="宋体" w:eastAsia="宋体" w:cs="宋体"/>
                <w:i w:val="0"/>
                <w:iCs w:val="0"/>
                <w:color w:val="auto"/>
                <w:sz w:val="24"/>
                <w:szCs w:val="24"/>
                <w:highlight w:val="none"/>
                <w:u w:val="none"/>
              </w:rPr>
            </w:pPr>
          </w:p>
        </w:tc>
      </w:tr>
      <w:tr w14:paraId="74565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C5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2B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总铝</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FD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12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7FB3">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D2F1">
            <w:pPr>
              <w:jc w:val="center"/>
              <w:rPr>
                <w:rFonts w:hint="eastAsia" w:ascii="宋体" w:hAnsi="宋体" w:eastAsia="宋体" w:cs="宋体"/>
                <w:i w:val="0"/>
                <w:iCs w:val="0"/>
                <w:color w:val="auto"/>
                <w:sz w:val="24"/>
                <w:szCs w:val="24"/>
                <w:highlight w:val="none"/>
                <w:u w:val="none"/>
              </w:rPr>
            </w:pPr>
          </w:p>
        </w:tc>
      </w:tr>
      <w:tr w14:paraId="6E8B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7F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3F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烷基汞</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C2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3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2D1F">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ABA2">
            <w:pPr>
              <w:jc w:val="center"/>
              <w:rPr>
                <w:rFonts w:hint="eastAsia" w:ascii="宋体" w:hAnsi="宋体" w:eastAsia="宋体" w:cs="宋体"/>
                <w:i w:val="0"/>
                <w:iCs w:val="0"/>
                <w:color w:val="auto"/>
                <w:sz w:val="24"/>
                <w:szCs w:val="24"/>
                <w:highlight w:val="none"/>
                <w:u w:val="none"/>
              </w:rPr>
            </w:pPr>
          </w:p>
        </w:tc>
      </w:tr>
      <w:tr w14:paraId="1E152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03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B0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总有机碳</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CB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85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240.00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5392">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5572">
            <w:pPr>
              <w:jc w:val="center"/>
              <w:rPr>
                <w:rFonts w:hint="eastAsia" w:ascii="宋体" w:hAnsi="宋体" w:eastAsia="宋体" w:cs="宋体"/>
                <w:i w:val="0"/>
                <w:iCs w:val="0"/>
                <w:color w:val="auto"/>
                <w:sz w:val="24"/>
                <w:szCs w:val="24"/>
                <w:highlight w:val="none"/>
                <w:u w:val="none"/>
              </w:rPr>
            </w:pPr>
          </w:p>
        </w:tc>
      </w:tr>
      <w:tr w14:paraId="26CF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3C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3B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苯并芘</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E2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24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BB91">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9A4D">
            <w:pPr>
              <w:jc w:val="center"/>
              <w:rPr>
                <w:rFonts w:hint="eastAsia" w:ascii="宋体" w:hAnsi="宋体" w:eastAsia="宋体" w:cs="宋体"/>
                <w:i w:val="0"/>
                <w:iCs w:val="0"/>
                <w:color w:val="auto"/>
                <w:sz w:val="24"/>
                <w:szCs w:val="24"/>
                <w:highlight w:val="none"/>
                <w:u w:val="none"/>
              </w:rPr>
            </w:pPr>
          </w:p>
        </w:tc>
      </w:tr>
      <w:tr w14:paraId="356F3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4B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B7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急性毒性(HgCl2)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9C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B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34B9">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0EA54">
            <w:pPr>
              <w:jc w:val="center"/>
              <w:rPr>
                <w:rFonts w:hint="eastAsia" w:ascii="宋体" w:hAnsi="宋体" w:eastAsia="宋体" w:cs="宋体"/>
                <w:i w:val="0"/>
                <w:iCs w:val="0"/>
                <w:color w:val="auto"/>
                <w:sz w:val="24"/>
                <w:szCs w:val="24"/>
                <w:highlight w:val="none"/>
                <w:u w:val="none"/>
              </w:rPr>
            </w:pPr>
          </w:p>
        </w:tc>
      </w:tr>
      <w:tr w14:paraId="57FA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ED5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3C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人工、车辆等综合取样费（元/次）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22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8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300.00 </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013B">
            <w:pPr>
              <w:jc w:val="center"/>
              <w:rPr>
                <w:rFonts w:hint="eastAsia" w:ascii="宋体" w:hAnsi="宋体" w:eastAsia="宋体" w:cs="宋体"/>
                <w:i w:val="0"/>
                <w:iCs w:val="0"/>
                <w:color w:val="auto"/>
                <w:sz w:val="24"/>
                <w:szCs w:val="24"/>
                <w:highlight w:val="none"/>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41BC7">
            <w:pPr>
              <w:jc w:val="center"/>
              <w:rPr>
                <w:rFonts w:hint="eastAsia" w:ascii="宋体" w:hAnsi="宋体" w:eastAsia="宋体" w:cs="宋体"/>
                <w:i w:val="0"/>
                <w:iCs w:val="0"/>
                <w:color w:val="auto"/>
                <w:sz w:val="24"/>
                <w:szCs w:val="24"/>
                <w:highlight w:val="none"/>
                <w:u w:val="none"/>
              </w:rPr>
            </w:pPr>
          </w:p>
        </w:tc>
      </w:tr>
      <w:tr w14:paraId="21A9C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9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E7240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D7EE6">
            <w:pPr>
              <w:rPr>
                <w:rFonts w:hint="eastAsia" w:ascii="Calibri" w:hAnsi="Calibri" w:eastAsia="等线" w:cs="Calibri"/>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E5792">
            <w:pPr>
              <w:jc w:val="center"/>
              <w:rPr>
                <w:rFonts w:hint="default" w:ascii="Calibri" w:hAnsi="Calibri" w:eastAsia="等线" w:cs="Calibri"/>
                <w:i w:val="0"/>
                <w:iCs w:val="0"/>
                <w:color w:val="auto"/>
                <w:sz w:val="24"/>
                <w:szCs w:val="24"/>
                <w:highlight w:val="none"/>
                <w:u w:val="none"/>
              </w:rPr>
            </w:pPr>
          </w:p>
        </w:tc>
      </w:tr>
    </w:tbl>
    <w:p w14:paraId="13379622">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eastAsia="en-US"/>
        </w:rPr>
      </w:pPr>
    </w:p>
    <w:p w14:paraId="07DB1900">
      <w:pPr>
        <w:rPr>
          <w:rFonts w:ascii="Arial" w:hAnsi="Arial" w:eastAsia="Arial" w:cs="Arial"/>
          <w:color w:val="auto"/>
          <w:sz w:val="21"/>
          <w:szCs w:val="21"/>
          <w:highlight w:val="none"/>
        </w:rPr>
        <w:sectPr>
          <w:headerReference r:id="rId16" w:type="default"/>
          <w:footerReference r:id="rId17" w:type="default"/>
          <w:pgSz w:w="11905" w:h="16839"/>
          <w:pgMar w:top="1165" w:right="768" w:bottom="1086" w:left="865" w:header="829" w:footer="872" w:gutter="0"/>
          <w:pgNumType w:fmt="decimal"/>
          <w:cols w:space="720" w:num="1"/>
        </w:sectPr>
      </w:pPr>
    </w:p>
    <w:p w14:paraId="27A07A8A">
      <w:pPr>
        <w:pStyle w:val="2"/>
        <w:keepNext w:val="0"/>
        <w:keepLines w:val="0"/>
        <w:pageBreakBefore w:val="0"/>
        <w:widowControl/>
        <w:suppressLineNumbers w:val="0"/>
        <w:kinsoku/>
        <w:wordWrap/>
        <w:overflowPunct/>
        <w:topLinePunct w:val="0"/>
        <w:autoSpaceDE/>
        <w:autoSpaceDN/>
        <w:bidi w:val="0"/>
        <w:adjustRightIn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en-US" w:bidi="ar-SA"/>
        </w:rPr>
        <w:t>备注：1</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en-US" w:bidi="ar-SA"/>
        </w:rPr>
        <w:t>投标单位自行报价，根据项目情况综合考虑各种因素。报价明细表必须至少满足备注栏中相关数据</w:t>
      </w:r>
      <w:r>
        <w:rPr>
          <w:rFonts w:hint="eastAsia" w:ascii="宋体" w:hAnsi="宋体" w:eastAsia="宋体" w:cs="宋体"/>
          <w:b w:val="0"/>
          <w:bCs w:val="0"/>
          <w:color w:val="auto"/>
          <w:kern w:val="0"/>
          <w:sz w:val="24"/>
          <w:szCs w:val="24"/>
          <w:highlight w:val="none"/>
          <w:lang w:val="en-US" w:eastAsia="zh-CN" w:bidi="ar-SA"/>
        </w:rPr>
        <w:t>。</w:t>
      </w:r>
    </w:p>
    <w:p w14:paraId="5242FA39">
      <w:pPr>
        <w:pStyle w:val="2"/>
        <w:keepNext w:val="0"/>
        <w:keepLines w:val="0"/>
        <w:pageBreakBefore w:val="0"/>
        <w:widowControl/>
        <w:suppressLineNumbers w:val="0"/>
        <w:kinsoku/>
        <w:wordWrap/>
        <w:overflowPunct/>
        <w:topLinePunct w:val="0"/>
        <w:autoSpaceDE/>
        <w:autoSpaceDN/>
        <w:bidi w:val="0"/>
        <w:adjustRightIn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w:t>
      </w:r>
      <w:r>
        <w:rPr>
          <w:rFonts w:hint="eastAsia" w:ascii="宋体" w:hAnsi="宋体" w:eastAsia="宋体" w:cs="宋体"/>
          <w:b w:val="0"/>
          <w:bCs w:val="0"/>
          <w:color w:val="auto"/>
          <w:kern w:val="0"/>
          <w:sz w:val="24"/>
          <w:szCs w:val="24"/>
          <w:highlight w:val="none"/>
          <w:lang w:val="en-US" w:eastAsia="en-US" w:bidi="ar-SA"/>
        </w:rPr>
        <w:t>投标单位的投标报价不得超过每个部分的限价，否则视为无效投标。</w:t>
      </w:r>
    </w:p>
    <w:p w14:paraId="0EBF6687">
      <w:pPr>
        <w:pStyle w:val="2"/>
        <w:keepNext w:val="0"/>
        <w:keepLines w:val="0"/>
        <w:pageBreakBefore w:val="0"/>
        <w:widowControl/>
        <w:suppressLineNumbers w:val="0"/>
        <w:kinsoku/>
        <w:wordWrap/>
        <w:overflowPunct/>
        <w:topLinePunct w:val="0"/>
        <w:autoSpaceDE/>
        <w:autoSpaceDN/>
        <w:bidi w:val="0"/>
        <w:adjustRightIn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3.检测服务分项报价</w:t>
      </w:r>
      <w:r>
        <w:rPr>
          <w:rFonts w:hint="eastAsia" w:cs="宋体"/>
          <w:b w:val="0"/>
          <w:bCs w:val="0"/>
          <w:color w:val="auto"/>
          <w:kern w:val="0"/>
          <w:sz w:val="24"/>
          <w:szCs w:val="24"/>
          <w:highlight w:val="none"/>
          <w:lang w:val="en-US" w:eastAsia="zh-CN" w:bidi="ar-SA"/>
        </w:rPr>
        <w:t>要求：</w:t>
      </w:r>
    </w:p>
    <w:p w14:paraId="06E05D77">
      <w:pPr>
        <w:pStyle w:val="2"/>
        <w:keepNext w:val="0"/>
        <w:keepLines w:val="0"/>
        <w:pageBreakBefore w:val="0"/>
        <w:widowControl/>
        <w:suppressLineNumbers w:val="0"/>
        <w:kinsoku/>
        <w:wordWrap/>
        <w:overflowPunct/>
        <w:topLinePunct w:val="0"/>
        <w:autoSpaceDE/>
        <w:autoSpaceDN/>
        <w:bidi w:val="0"/>
        <w:adjustRightInd/>
        <w:spacing w:beforeAutospacing="0" w:afterAutospacing="0" w:line="44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①本检测分项采用单价报价方式，投标人须按本采购清单逐项填报各检测因子的投标单价，计算各检测项目小计，汇总生成本检测分项总报价。</w:t>
      </w:r>
    </w:p>
    <w:p w14:paraId="26F840AD">
      <w:pPr>
        <w:keepNext w:val="0"/>
        <w:keepLines w:val="0"/>
        <w:pageBreakBefore w:val="0"/>
        <w:widowControl w:val="0"/>
        <w:kinsoku/>
        <w:wordWrap/>
        <w:overflowPunct/>
        <w:topLinePunct w:val="0"/>
        <w:autoSpaceDE/>
        <w:autoSpaceDN/>
        <w:bidi w:val="0"/>
        <w:adjustRightInd/>
        <w:snapToGrid w:val="0"/>
        <w:spacing w:beforeAutospacing="0" w:afterAutospacing="0" w:line="440" w:lineRule="exact"/>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②清单内每一项检测项目的投标单价不得超过本清单列明的单项最高限价；检测分项全部项目汇总总报价，不得超过本分项最高限价人民币200000.00元</w:t>
      </w:r>
    </w:p>
    <w:p w14:paraId="10D2F5D3">
      <w:pPr>
        <w:keepNext w:val="0"/>
        <w:keepLines w:val="0"/>
        <w:pageBreakBefore w:val="0"/>
        <w:widowControl w:val="0"/>
        <w:kinsoku/>
        <w:wordWrap/>
        <w:overflowPunct/>
        <w:topLinePunct w:val="0"/>
        <w:autoSpaceDE/>
        <w:autoSpaceDN/>
        <w:bidi w:val="0"/>
        <w:adjustRightInd/>
        <w:snapToGrid w:val="0"/>
        <w:spacing w:beforeAutospacing="0" w:afterAutospacing="0" w:line="440" w:lineRule="exact"/>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③报价包含全部费用：投标人填报的单价为全费用综合单价，该单价包含采样人员人工、现场采样、样品运输、实验室分析、试剂耗材、仪器损耗、CMA 检测报告编制盖章、台账归档、税金、管理费、风险、利润等完成本项检测服务的一切费用。采购人不再支付清单以外其他任何费用。</w:t>
      </w:r>
    </w:p>
    <w:p w14:paraId="628BC098">
      <w:pPr>
        <w:keepNext w:val="0"/>
        <w:keepLines w:val="0"/>
        <w:pageBreakBefore w:val="0"/>
        <w:widowControl w:val="0"/>
        <w:kinsoku/>
        <w:wordWrap/>
        <w:overflowPunct/>
        <w:topLinePunct w:val="0"/>
        <w:autoSpaceDE/>
        <w:autoSpaceDN/>
        <w:bidi w:val="0"/>
        <w:adjustRightInd/>
        <w:snapToGrid w:val="0"/>
        <w:spacing w:beforeAutospacing="0" w:afterAutospacing="0" w:line="440" w:lineRule="exact"/>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④清单中所列检测频次为预估年度频次，仅作为投标报价参考，不作为采购人必须实施的工作量；实际检测点位、检测频次以采购人工作指令为准。</w:t>
      </w:r>
    </w:p>
    <w:p w14:paraId="4BC5C600">
      <w:pPr>
        <w:spacing w:line="228" w:lineRule="auto"/>
        <w:rPr>
          <w:color w:val="auto"/>
          <w:sz w:val="20"/>
          <w:szCs w:val="20"/>
          <w:highlight w:val="none"/>
        </w:rPr>
        <w:sectPr>
          <w:footerReference r:id="rId18" w:type="default"/>
          <w:pgSz w:w="11905" w:h="16839"/>
          <w:pgMar w:top="1165" w:right="768" w:bottom="1086" w:left="865" w:header="829" w:footer="872" w:gutter="0"/>
          <w:pgNumType w:fmt="decimal"/>
          <w:cols w:space="720" w:num="1"/>
        </w:sectPr>
      </w:pPr>
    </w:p>
    <w:p w14:paraId="18E46D3D">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1070EE60">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72F8382D">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57D1426B">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0994A890">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4BE11913">
      <w:pPr>
        <w:widowControl/>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eastAsia="en-US"/>
        </w:rPr>
      </w:pPr>
    </w:p>
    <w:p w14:paraId="69AD2A49">
      <w:pPr>
        <w:kinsoku w:val="0"/>
        <w:autoSpaceDE w:val="0"/>
        <w:autoSpaceDN w:val="0"/>
        <w:adjustRightInd w:val="0"/>
        <w:snapToGrid w:val="0"/>
        <w:spacing w:before="65" w:line="227" w:lineRule="auto"/>
        <w:ind w:left="27"/>
        <w:jc w:val="left"/>
        <w:textAlignment w:val="baseline"/>
        <w:rPr>
          <w:rFonts w:ascii="宋体" w:hAnsi="宋体" w:eastAsia="宋体" w:cs="宋体"/>
          <w:snapToGrid w:val="0"/>
          <w:color w:val="auto"/>
          <w:kern w:val="0"/>
          <w:sz w:val="20"/>
          <w:szCs w:val="20"/>
          <w:highlight w:val="none"/>
          <w:lang w:val="en-US" w:eastAsia="en-US" w:bidi="ar-SA"/>
        </w:rPr>
      </w:pPr>
      <w:r>
        <w:rPr>
          <w:rFonts w:ascii="宋体" w:hAnsi="宋体" w:eastAsia="宋体" w:cs="宋体"/>
          <w:snapToGrid w:val="0"/>
          <w:color w:val="auto"/>
          <w:spacing w:val="8"/>
          <w:kern w:val="0"/>
          <w:sz w:val="20"/>
          <w:szCs w:val="20"/>
          <w:highlight w:val="none"/>
          <w:lang w:val="en-US" w:eastAsia="en-US" w:bidi="ar-SA"/>
        </w:rPr>
        <w:t>投标人名称（加盖公章</w:t>
      </w:r>
      <w:r>
        <w:rPr>
          <w:rFonts w:ascii="宋体" w:hAnsi="宋体" w:eastAsia="宋体" w:cs="宋体"/>
          <w:snapToGrid w:val="0"/>
          <w:color w:val="auto"/>
          <w:spacing w:val="14"/>
          <w:kern w:val="0"/>
          <w:sz w:val="20"/>
          <w:szCs w:val="20"/>
          <w:highlight w:val="none"/>
          <w:lang w:val="en-US" w:eastAsia="en-US" w:bidi="ar-SA"/>
        </w:rPr>
        <w:t>）：</w:t>
      </w:r>
      <w:r>
        <w:rPr>
          <w:rFonts w:ascii="宋体" w:hAnsi="宋体" w:eastAsia="宋体" w:cs="宋体"/>
          <w:snapToGrid w:val="0"/>
          <w:color w:val="auto"/>
          <w:kern w:val="0"/>
          <w:sz w:val="20"/>
          <w:szCs w:val="20"/>
          <w:highlight w:val="none"/>
          <w:u w:val="single" w:color="auto"/>
          <w:lang w:val="en-US" w:eastAsia="en-US" w:bidi="ar-SA"/>
        </w:rPr>
        <w:t xml:space="preserve">             </w:t>
      </w:r>
    </w:p>
    <w:p w14:paraId="70A9DC72">
      <w:pPr>
        <w:kinsoku w:val="0"/>
        <w:autoSpaceDE w:val="0"/>
        <w:autoSpaceDN w:val="0"/>
        <w:adjustRightInd w:val="0"/>
        <w:snapToGrid w:val="0"/>
        <w:spacing w:before="198" w:line="219" w:lineRule="auto"/>
        <w:ind w:left="67"/>
        <w:jc w:val="left"/>
        <w:textAlignment w:val="baseline"/>
        <w:rPr>
          <w:rFonts w:ascii="宋体" w:hAnsi="宋体" w:eastAsia="宋体" w:cs="宋体"/>
          <w:snapToGrid w:val="0"/>
          <w:color w:val="auto"/>
          <w:kern w:val="0"/>
          <w:sz w:val="24"/>
          <w:szCs w:val="24"/>
          <w:highlight w:val="none"/>
          <w:lang w:val="en-US" w:eastAsia="en-US" w:bidi="ar-SA"/>
        </w:rPr>
      </w:pPr>
      <w:r>
        <w:rPr>
          <w:rFonts w:ascii="宋体" w:hAnsi="宋体" w:eastAsia="宋体" w:cs="宋体"/>
          <w:snapToGrid w:val="0"/>
          <w:color w:val="auto"/>
          <w:spacing w:val="-13"/>
          <w:kern w:val="0"/>
          <w:sz w:val="24"/>
          <w:szCs w:val="24"/>
          <w:highlight w:val="none"/>
          <w:lang w:val="en-US" w:eastAsia="en-US" w:bidi="ar-SA"/>
        </w:rPr>
        <w:t>日期：</w:t>
      </w:r>
      <w:r>
        <w:rPr>
          <w:rFonts w:ascii="宋体" w:hAnsi="宋体" w:eastAsia="宋体" w:cs="宋体"/>
          <w:snapToGrid w:val="0"/>
          <w:color w:val="auto"/>
          <w:kern w:val="0"/>
          <w:sz w:val="24"/>
          <w:szCs w:val="24"/>
          <w:highlight w:val="none"/>
          <w:u w:val="single" w:color="auto"/>
          <w:lang w:val="en-US" w:eastAsia="en-US" w:bidi="ar-SA"/>
        </w:rPr>
        <w:t xml:space="preserve">     </w:t>
      </w:r>
      <w:r>
        <w:rPr>
          <w:rFonts w:ascii="宋体" w:hAnsi="宋体" w:eastAsia="宋体" w:cs="宋体"/>
          <w:snapToGrid w:val="0"/>
          <w:color w:val="auto"/>
          <w:spacing w:val="-109"/>
          <w:kern w:val="0"/>
          <w:sz w:val="24"/>
          <w:szCs w:val="24"/>
          <w:highlight w:val="none"/>
          <w:lang w:val="en-US" w:eastAsia="en-US" w:bidi="ar-SA"/>
        </w:rPr>
        <w:t xml:space="preserve"> </w:t>
      </w:r>
      <w:r>
        <w:rPr>
          <w:rFonts w:ascii="宋体" w:hAnsi="宋体" w:eastAsia="宋体" w:cs="宋体"/>
          <w:snapToGrid w:val="0"/>
          <w:color w:val="auto"/>
          <w:spacing w:val="-13"/>
          <w:kern w:val="0"/>
          <w:sz w:val="24"/>
          <w:szCs w:val="24"/>
          <w:highlight w:val="none"/>
          <w:lang w:val="en-US" w:eastAsia="en-US" w:bidi="ar-SA"/>
        </w:rPr>
        <w:t>年</w:t>
      </w:r>
      <w:r>
        <w:rPr>
          <w:rFonts w:ascii="宋体" w:hAnsi="宋体" w:eastAsia="宋体" w:cs="宋体"/>
          <w:snapToGrid w:val="0"/>
          <w:color w:val="auto"/>
          <w:kern w:val="0"/>
          <w:sz w:val="24"/>
          <w:szCs w:val="24"/>
          <w:highlight w:val="none"/>
          <w:u w:val="single" w:color="auto"/>
          <w:lang w:val="en-US" w:eastAsia="en-US" w:bidi="ar-SA"/>
        </w:rPr>
        <w:t xml:space="preserve">      </w:t>
      </w:r>
      <w:r>
        <w:rPr>
          <w:rFonts w:ascii="宋体" w:hAnsi="宋体" w:eastAsia="宋体" w:cs="宋体"/>
          <w:snapToGrid w:val="0"/>
          <w:color w:val="auto"/>
          <w:spacing w:val="-105"/>
          <w:kern w:val="0"/>
          <w:sz w:val="24"/>
          <w:szCs w:val="24"/>
          <w:highlight w:val="none"/>
          <w:lang w:val="en-US" w:eastAsia="en-US" w:bidi="ar-SA"/>
        </w:rPr>
        <w:t xml:space="preserve"> </w:t>
      </w:r>
      <w:r>
        <w:rPr>
          <w:rFonts w:ascii="宋体" w:hAnsi="宋体" w:eastAsia="宋体" w:cs="宋体"/>
          <w:snapToGrid w:val="0"/>
          <w:color w:val="auto"/>
          <w:spacing w:val="-13"/>
          <w:kern w:val="0"/>
          <w:sz w:val="24"/>
          <w:szCs w:val="24"/>
          <w:highlight w:val="none"/>
          <w:lang w:val="en-US" w:eastAsia="en-US" w:bidi="ar-SA"/>
        </w:rPr>
        <w:t>月</w:t>
      </w:r>
      <w:r>
        <w:rPr>
          <w:rFonts w:ascii="宋体" w:hAnsi="宋体" w:eastAsia="宋体" w:cs="宋体"/>
          <w:snapToGrid w:val="0"/>
          <w:color w:val="auto"/>
          <w:kern w:val="0"/>
          <w:sz w:val="24"/>
          <w:szCs w:val="24"/>
          <w:highlight w:val="none"/>
          <w:u w:val="single" w:color="auto"/>
          <w:lang w:val="en-US" w:eastAsia="en-US" w:bidi="ar-SA"/>
        </w:rPr>
        <w:t xml:space="preserve">      </w:t>
      </w:r>
      <w:r>
        <w:rPr>
          <w:rFonts w:ascii="宋体" w:hAnsi="宋体" w:eastAsia="宋体" w:cs="宋体"/>
          <w:snapToGrid w:val="0"/>
          <w:color w:val="auto"/>
          <w:spacing w:val="-69"/>
          <w:kern w:val="0"/>
          <w:sz w:val="24"/>
          <w:szCs w:val="24"/>
          <w:highlight w:val="none"/>
          <w:lang w:val="en-US" w:eastAsia="en-US" w:bidi="ar-SA"/>
        </w:rPr>
        <w:t xml:space="preserve"> </w:t>
      </w:r>
      <w:r>
        <w:rPr>
          <w:rFonts w:ascii="宋体" w:hAnsi="宋体" w:eastAsia="宋体" w:cs="宋体"/>
          <w:snapToGrid w:val="0"/>
          <w:color w:val="auto"/>
          <w:spacing w:val="-13"/>
          <w:kern w:val="0"/>
          <w:sz w:val="24"/>
          <w:szCs w:val="24"/>
          <w:highlight w:val="none"/>
          <w:lang w:val="en-US" w:eastAsia="en-US" w:bidi="ar-SA"/>
        </w:rPr>
        <w:t>日</w:t>
      </w:r>
    </w:p>
    <w:p w14:paraId="33D82DE6">
      <w:pPr>
        <w:tabs>
          <w:tab w:val="left" w:pos="1800"/>
          <w:tab w:val="left" w:pos="5580"/>
        </w:tabs>
        <w:jc w:val="left"/>
        <w:rPr>
          <w:rFonts w:hint="eastAsia" w:ascii="宋体" w:hAnsi="宋体" w:eastAsia="宋体" w:cs="Times New Roman"/>
          <w:color w:val="auto"/>
          <w:kern w:val="0"/>
          <w:sz w:val="24"/>
          <w:szCs w:val="22"/>
          <w:highlight w:val="none"/>
        </w:rPr>
      </w:pPr>
    </w:p>
    <w:p w14:paraId="11ACD846">
      <w:pPr>
        <w:tabs>
          <w:tab w:val="left" w:pos="1800"/>
          <w:tab w:val="left" w:pos="5580"/>
        </w:tabs>
        <w:jc w:val="left"/>
        <w:rPr>
          <w:rFonts w:hint="eastAsia" w:ascii="宋体" w:hAnsi="宋体" w:eastAsia="宋体" w:cs="Times New Roman"/>
          <w:color w:val="auto"/>
          <w:kern w:val="0"/>
          <w:sz w:val="24"/>
          <w:szCs w:val="22"/>
          <w:highlight w:val="none"/>
        </w:rPr>
      </w:pPr>
    </w:p>
    <w:p w14:paraId="4B87AFF5">
      <w:pPr>
        <w:tabs>
          <w:tab w:val="left" w:pos="1800"/>
          <w:tab w:val="left" w:pos="5580"/>
        </w:tabs>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投标</w:t>
      </w:r>
      <w:r>
        <w:rPr>
          <w:rFonts w:hint="eastAsia" w:ascii="宋体" w:hAnsi="宋体" w:eastAsia="宋体" w:cs="Times New Roman"/>
          <w:color w:val="auto"/>
          <w:kern w:val="0"/>
          <w:sz w:val="24"/>
          <w:szCs w:val="22"/>
          <w:highlight w:val="none"/>
          <w:lang w:val="en-US" w:eastAsia="zh-CN"/>
        </w:rPr>
        <w:t>人</w:t>
      </w:r>
      <w:r>
        <w:rPr>
          <w:rFonts w:hint="eastAsia" w:ascii="宋体" w:hAnsi="宋体" w:eastAsia="宋体" w:cs="Times New Roman"/>
          <w:color w:val="auto"/>
          <w:kern w:val="0"/>
          <w:sz w:val="24"/>
          <w:szCs w:val="22"/>
          <w:highlight w:val="none"/>
        </w:rPr>
        <w:t xml:space="preserve">名称（加盖公章）：  </w:t>
      </w:r>
    </w:p>
    <w:p w14:paraId="33DA9687">
      <w:pPr>
        <w:tabs>
          <w:tab w:val="left" w:pos="1800"/>
          <w:tab w:val="left" w:pos="5580"/>
        </w:tabs>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日期：</w:t>
      </w:r>
      <w:r>
        <w:rPr>
          <w:rFonts w:hint="eastAsia" w:ascii="宋体" w:hAnsi="宋体" w:eastAsia="宋体" w:cs="Times New Roman"/>
          <w:color w:val="auto"/>
          <w:kern w:val="0"/>
          <w:sz w:val="24"/>
          <w:szCs w:val="22"/>
          <w:highlight w:val="none"/>
          <w:lang w:val="en-US" w:eastAsia="zh-CN"/>
        </w:rPr>
        <w:t xml:space="preserve"> </w:t>
      </w:r>
      <w:r>
        <w:rPr>
          <w:rFonts w:hint="eastAsia" w:ascii="宋体" w:hAnsi="宋体" w:eastAsia="宋体" w:cs="Times New Roman"/>
          <w:color w:val="auto"/>
          <w:kern w:val="0"/>
          <w:sz w:val="24"/>
          <w:szCs w:val="22"/>
          <w:highlight w:val="none"/>
        </w:rPr>
        <w:t>年</w:t>
      </w:r>
      <w:r>
        <w:rPr>
          <w:rFonts w:hint="eastAsia" w:ascii="宋体" w:hAnsi="宋体" w:eastAsia="宋体" w:cs="Times New Roman"/>
          <w:color w:val="auto"/>
          <w:kern w:val="0"/>
          <w:sz w:val="24"/>
          <w:szCs w:val="22"/>
          <w:highlight w:val="none"/>
          <w:lang w:val="en-US" w:eastAsia="zh-CN"/>
        </w:rPr>
        <w:t xml:space="preserve"> </w:t>
      </w:r>
      <w:r>
        <w:rPr>
          <w:rFonts w:hint="eastAsia" w:ascii="宋体" w:hAnsi="宋体" w:eastAsia="宋体" w:cs="Times New Roman"/>
          <w:color w:val="auto"/>
          <w:kern w:val="0"/>
          <w:sz w:val="24"/>
          <w:szCs w:val="22"/>
          <w:highlight w:val="none"/>
        </w:rPr>
        <w:t xml:space="preserve"> 月</w:t>
      </w:r>
      <w:r>
        <w:rPr>
          <w:rFonts w:hint="eastAsia" w:ascii="宋体" w:hAnsi="宋体" w:eastAsia="宋体" w:cs="Times New Roman"/>
          <w:color w:val="auto"/>
          <w:kern w:val="0"/>
          <w:sz w:val="24"/>
          <w:szCs w:val="22"/>
          <w:highlight w:val="none"/>
          <w:lang w:val="en-US" w:eastAsia="zh-CN"/>
        </w:rPr>
        <w:t xml:space="preserve"> </w:t>
      </w:r>
      <w:r>
        <w:rPr>
          <w:rFonts w:hint="eastAsia" w:ascii="宋体" w:hAnsi="宋体" w:eastAsia="宋体" w:cs="Times New Roman"/>
          <w:color w:val="auto"/>
          <w:kern w:val="0"/>
          <w:sz w:val="24"/>
          <w:szCs w:val="22"/>
          <w:highlight w:val="none"/>
        </w:rPr>
        <w:t xml:space="preserve"> 日</w:t>
      </w:r>
    </w:p>
    <w:p w14:paraId="2435D5C5">
      <w:pPr>
        <w:tabs>
          <w:tab w:val="left" w:pos="1800"/>
          <w:tab w:val="left" w:pos="5580"/>
        </w:tabs>
        <w:jc w:val="left"/>
        <w:rPr>
          <w:rFonts w:hint="eastAsia" w:ascii="宋体" w:hAnsi="宋体" w:eastAsia="宋体" w:cs="Times New Roman"/>
          <w:color w:val="auto"/>
          <w:kern w:val="0"/>
          <w:sz w:val="24"/>
          <w:szCs w:val="22"/>
          <w:highlight w:val="none"/>
        </w:rPr>
      </w:pPr>
    </w:p>
    <w:p w14:paraId="0261F232">
      <w:pPr>
        <w:tabs>
          <w:tab w:val="left" w:pos="1800"/>
          <w:tab w:val="left" w:pos="5580"/>
        </w:tabs>
        <w:jc w:val="left"/>
        <w:rPr>
          <w:rFonts w:hint="eastAsia" w:ascii="宋体" w:hAnsi="宋体" w:eastAsia="宋体" w:cs="Times New Roman"/>
          <w:color w:val="auto"/>
          <w:kern w:val="0"/>
          <w:sz w:val="24"/>
          <w:szCs w:val="22"/>
          <w:highlight w:val="none"/>
        </w:rPr>
      </w:pPr>
    </w:p>
    <w:p w14:paraId="532527E3">
      <w:pPr>
        <w:tabs>
          <w:tab w:val="left" w:pos="1800"/>
          <w:tab w:val="left" w:pos="5580"/>
        </w:tabs>
        <w:jc w:val="left"/>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注：1.本表应按包分别填写。</w:t>
      </w:r>
    </w:p>
    <w:p w14:paraId="41246F21">
      <w:pPr>
        <w:tabs>
          <w:tab w:val="left" w:pos="1800"/>
          <w:tab w:val="left" w:pos="5580"/>
        </w:tabs>
        <w:ind w:firstLine="480"/>
        <w:jc w:val="left"/>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2.如果不提供分项报价将视为没有实质性响应招标文件。</w:t>
      </w:r>
    </w:p>
    <w:p w14:paraId="4A218B48">
      <w:pPr>
        <w:tabs>
          <w:tab w:val="left" w:pos="1800"/>
          <w:tab w:val="left" w:pos="5580"/>
        </w:tabs>
        <w:ind w:firstLine="480"/>
        <w:jc w:val="left"/>
        <w:rPr>
          <w:rFonts w:hint="eastAsia" w:ascii="宋体" w:hAnsi="宋体" w:eastAsia="宋体" w:cs="Times New Roman"/>
          <w:color w:val="auto"/>
          <w:kern w:val="0"/>
          <w:sz w:val="24"/>
          <w:szCs w:val="22"/>
          <w:highlight w:val="none"/>
        </w:rPr>
      </w:pPr>
      <w:r>
        <w:rPr>
          <w:rFonts w:hint="default" w:ascii="宋体" w:hAnsi="宋体" w:eastAsia="宋体" w:cs="Times New Roman"/>
          <w:color w:val="auto"/>
          <w:kern w:val="0"/>
          <w:sz w:val="24"/>
          <w:szCs w:val="22"/>
          <w:highlight w:val="none"/>
        </w:rPr>
        <w:t>3.</w:t>
      </w:r>
      <w:r>
        <w:rPr>
          <w:rFonts w:hint="eastAsia" w:ascii="宋体" w:hAnsi="宋体" w:eastAsia="宋体" w:cs="Times New Roman"/>
          <w:color w:val="auto"/>
          <w:kern w:val="0"/>
          <w:sz w:val="24"/>
          <w:szCs w:val="22"/>
          <w:highlight w:val="none"/>
        </w:rPr>
        <w:t>本表行数可以按照项目分项情况增加。</w:t>
      </w:r>
    </w:p>
    <w:p w14:paraId="4F7B4ADA">
      <w:pPr>
        <w:tabs>
          <w:tab w:val="left" w:pos="1800"/>
          <w:tab w:val="left" w:pos="5580"/>
        </w:tabs>
        <w:ind w:firstLine="480"/>
        <w:jc w:val="left"/>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4.</w:t>
      </w:r>
      <w:r>
        <w:rPr>
          <w:rFonts w:hint="default" w:ascii="宋体" w:hAnsi="宋体" w:eastAsia="宋体" w:cs="Times New Roman"/>
          <w:color w:val="auto"/>
          <w:kern w:val="0"/>
          <w:sz w:val="24"/>
          <w:szCs w:val="22"/>
          <w:highlight w:val="none"/>
        </w:rPr>
        <w:t>上述各项的</w:t>
      </w:r>
      <w:r>
        <w:rPr>
          <w:rFonts w:hint="eastAsia" w:ascii="宋体" w:hAnsi="宋体" w:eastAsia="宋体" w:cs="Times New Roman"/>
          <w:color w:val="auto"/>
          <w:kern w:val="0"/>
          <w:sz w:val="24"/>
          <w:szCs w:val="22"/>
          <w:highlight w:val="none"/>
        </w:rPr>
        <w:t>内容如表格中填写不下的</w:t>
      </w:r>
      <w:r>
        <w:rPr>
          <w:rFonts w:hint="default" w:ascii="宋体" w:hAnsi="宋体" w:eastAsia="宋体" w:cs="Times New Roman"/>
          <w:color w:val="auto"/>
          <w:kern w:val="0"/>
          <w:sz w:val="24"/>
          <w:szCs w:val="22"/>
          <w:highlight w:val="none"/>
        </w:rPr>
        <w:t>，可</w:t>
      </w:r>
      <w:r>
        <w:rPr>
          <w:rFonts w:hint="eastAsia" w:ascii="宋体" w:hAnsi="宋体" w:eastAsia="宋体" w:cs="Times New Roman"/>
          <w:color w:val="auto"/>
          <w:kern w:val="0"/>
          <w:sz w:val="24"/>
          <w:szCs w:val="22"/>
          <w:highlight w:val="none"/>
        </w:rPr>
        <w:t>以逐项</w:t>
      </w:r>
      <w:r>
        <w:rPr>
          <w:rFonts w:hint="default" w:ascii="宋体" w:hAnsi="宋体" w:eastAsia="宋体" w:cs="Times New Roman"/>
          <w:color w:val="auto"/>
          <w:kern w:val="0"/>
          <w:sz w:val="24"/>
          <w:szCs w:val="22"/>
          <w:highlight w:val="none"/>
        </w:rPr>
        <w:t>另页描述。</w:t>
      </w:r>
    </w:p>
    <w:p w14:paraId="533DB53B">
      <w:pPr>
        <w:tabs>
          <w:tab w:val="left" w:pos="1800"/>
          <w:tab w:val="left" w:pos="5580"/>
        </w:tabs>
        <w:jc w:val="left"/>
        <w:rPr>
          <w:rFonts w:hint="eastAsia" w:ascii="宋体" w:hAnsi="宋体" w:eastAsia="宋体"/>
          <w:color w:val="auto"/>
          <w:sz w:val="24"/>
          <w:szCs w:val="20"/>
          <w:highlight w:val="none"/>
        </w:rPr>
        <w:sectPr>
          <w:pgSz w:w="11906" w:h="16838"/>
          <w:pgMar w:top="1440" w:right="1800" w:bottom="1440" w:left="1800" w:header="851" w:footer="992" w:gutter="0"/>
          <w:pgNumType w:fmt="decimal"/>
          <w:cols w:space="425" w:num="1"/>
          <w:docGrid w:linePitch="360" w:charSpace="0"/>
        </w:sectPr>
      </w:pPr>
    </w:p>
    <w:p w14:paraId="16E89AEB">
      <w:pPr>
        <w:tabs>
          <w:tab w:val="left" w:pos="1800"/>
          <w:tab w:val="left" w:pos="5580"/>
        </w:tabs>
        <w:jc w:val="left"/>
        <w:rPr>
          <w:rFonts w:hint="eastAsia" w:ascii="宋体" w:hAnsi="宋体" w:eastAsia="宋体" w:cs="Times New Roman"/>
          <w:b/>
          <w:color w:val="auto"/>
          <w:kern w:val="0"/>
          <w:sz w:val="36"/>
          <w:szCs w:val="36"/>
          <w:highlight w:val="none"/>
        </w:rPr>
      </w:pPr>
      <w:r>
        <w:rPr>
          <w:rFonts w:hint="eastAsia" w:ascii="宋体" w:hAnsi="宋体" w:eastAsia="宋体" w:cs="Times New Roman"/>
          <w:color w:val="auto"/>
          <w:kern w:val="0"/>
          <w:sz w:val="24"/>
          <w:szCs w:val="20"/>
          <w:highlight w:val="none"/>
        </w:rPr>
        <w:t xml:space="preserve">6 </w:t>
      </w:r>
      <w:r>
        <w:rPr>
          <w:rFonts w:hint="default" w:ascii="宋体" w:hAnsi="宋体" w:eastAsia="宋体" w:cs="Times New Roman"/>
          <w:color w:val="auto"/>
          <w:kern w:val="0"/>
          <w:sz w:val="24"/>
          <w:szCs w:val="20"/>
          <w:highlight w:val="none"/>
        </w:rPr>
        <w:t>合同条款偏离表</w:t>
      </w:r>
    </w:p>
    <w:p w14:paraId="51C1E39B">
      <w:pPr>
        <w:tabs>
          <w:tab w:val="left" w:pos="1800"/>
          <w:tab w:val="left" w:pos="5580"/>
        </w:tabs>
        <w:jc w:val="center"/>
        <w:rPr>
          <w:rFonts w:hint="eastAsia" w:ascii="宋体" w:hAnsi="宋体" w:eastAsia="宋体" w:cs="Times New Roman"/>
          <w:b/>
          <w:color w:val="auto"/>
          <w:kern w:val="0"/>
          <w:sz w:val="36"/>
          <w:szCs w:val="36"/>
          <w:highlight w:val="none"/>
        </w:rPr>
      </w:pPr>
      <w:r>
        <w:rPr>
          <w:rFonts w:hint="eastAsia" w:ascii="宋体" w:hAnsi="宋体" w:eastAsia="宋体" w:cs="Times New Roman"/>
          <w:b/>
          <w:color w:val="auto"/>
          <w:kern w:val="0"/>
          <w:sz w:val="36"/>
          <w:szCs w:val="36"/>
          <w:highlight w:val="none"/>
        </w:rPr>
        <w:t>合同条款偏离表</w:t>
      </w:r>
    </w:p>
    <w:p w14:paraId="6D2D8712">
      <w:pPr>
        <w:spacing w:line="360" w:lineRule="auto"/>
        <w:ind w:left="228" w:hanging="228"/>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项目编号/包号：</w:t>
      </w:r>
      <w:r>
        <w:rPr>
          <w:rFonts w:hint="default" w:ascii="宋体" w:hAnsi="宋体" w:eastAsia="宋体" w:cs="Times New Roman"/>
          <w:bCs/>
          <w:color w:val="auto"/>
          <w:kern w:val="0"/>
          <w:sz w:val="24"/>
          <w:szCs w:val="22"/>
          <w:highlight w:val="none"/>
          <w:u w:val="single"/>
        </w:rPr>
        <w:t xml:space="preserve">_______________  </w:t>
      </w:r>
      <w:r>
        <w:rPr>
          <w:rFonts w:hint="default" w:ascii="宋体" w:hAnsi="宋体" w:eastAsia="宋体" w:cs="Times New Roman"/>
          <w:bCs/>
          <w:color w:val="auto"/>
          <w:kern w:val="0"/>
          <w:sz w:val="24"/>
          <w:szCs w:val="22"/>
          <w:highlight w:val="none"/>
        </w:rPr>
        <w:t xml:space="preserve">   项目名称：</w:t>
      </w:r>
      <w:r>
        <w:rPr>
          <w:rFonts w:hint="default" w:ascii="宋体" w:hAnsi="宋体" w:eastAsia="宋体" w:cs="Times New Roman"/>
          <w:bCs/>
          <w:color w:val="auto"/>
          <w:kern w:val="0"/>
          <w:sz w:val="24"/>
          <w:szCs w:val="22"/>
          <w:highlight w:val="none"/>
          <w:u w:val="single"/>
        </w:rPr>
        <w:t>_____________________</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910"/>
        <w:gridCol w:w="1645"/>
        <w:gridCol w:w="1629"/>
        <w:gridCol w:w="1629"/>
        <w:gridCol w:w="886"/>
      </w:tblGrid>
      <w:tr w14:paraId="2ABD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noWrap w:val="0"/>
            <w:vAlign w:val="center"/>
          </w:tcPr>
          <w:p w14:paraId="2E9DE636">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对本项目合同条款的偏离情况（请进行勾选）：</w:t>
            </w:r>
          </w:p>
          <w:p w14:paraId="2071A87E">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□无偏离（如无偏离，仅勾选无偏离即可）</w:t>
            </w:r>
          </w:p>
          <w:p w14:paraId="4C713806">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□有偏离（如有偏离，则须在本表中对偏离项逐一列明）</w:t>
            </w:r>
          </w:p>
        </w:tc>
      </w:tr>
      <w:tr w14:paraId="0A8AC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205F36F">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序号</w:t>
            </w:r>
          </w:p>
        </w:tc>
        <w:tc>
          <w:tcPr>
            <w:tcW w:w="1985" w:type="dxa"/>
            <w:noWrap w:val="0"/>
            <w:vAlign w:val="center"/>
          </w:tcPr>
          <w:p w14:paraId="173A760A">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招标文件条目号（页码）</w:t>
            </w:r>
          </w:p>
        </w:tc>
        <w:tc>
          <w:tcPr>
            <w:tcW w:w="1718" w:type="dxa"/>
            <w:noWrap w:val="0"/>
            <w:vAlign w:val="center"/>
          </w:tcPr>
          <w:p w14:paraId="6F4D8CCE">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招标文件要求</w:t>
            </w:r>
          </w:p>
        </w:tc>
        <w:tc>
          <w:tcPr>
            <w:tcW w:w="1701" w:type="dxa"/>
            <w:noWrap w:val="0"/>
            <w:vAlign w:val="center"/>
          </w:tcPr>
          <w:p w14:paraId="28949EFD">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投标文件内容</w:t>
            </w:r>
          </w:p>
        </w:tc>
        <w:tc>
          <w:tcPr>
            <w:tcW w:w="1701" w:type="dxa"/>
            <w:noWrap w:val="0"/>
            <w:vAlign w:val="center"/>
          </w:tcPr>
          <w:p w14:paraId="170C3816">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偏离情况</w:t>
            </w:r>
          </w:p>
        </w:tc>
        <w:tc>
          <w:tcPr>
            <w:tcW w:w="901" w:type="dxa"/>
            <w:noWrap w:val="0"/>
            <w:vAlign w:val="center"/>
          </w:tcPr>
          <w:p w14:paraId="251DD1D3">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说明</w:t>
            </w:r>
          </w:p>
        </w:tc>
      </w:tr>
      <w:tr w14:paraId="79DF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3407CA6">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985" w:type="dxa"/>
            <w:noWrap w:val="0"/>
            <w:vAlign w:val="center"/>
          </w:tcPr>
          <w:p w14:paraId="70AA3C2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18" w:type="dxa"/>
            <w:noWrap w:val="0"/>
            <w:vAlign w:val="center"/>
          </w:tcPr>
          <w:p w14:paraId="489AE54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2F57A9D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411BE78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01" w:type="dxa"/>
            <w:noWrap w:val="0"/>
            <w:vAlign w:val="center"/>
          </w:tcPr>
          <w:p w14:paraId="51912C1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6B67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707E07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985" w:type="dxa"/>
            <w:noWrap w:val="0"/>
            <w:vAlign w:val="center"/>
          </w:tcPr>
          <w:p w14:paraId="47E6212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18" w:type="dxa"/>
            <w:noWrap w:val="0"/>
            <w:vAlign w:val="center"/>
          </w:tcPr>
          <w:p w14:paraId="407409F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7B760118">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1C4F5D9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01" w:type="dxa"/>
            <w:noWrap w:val="0"/>
            <w:vAlign w:val="center"/>
          </w:tcPr>
          <w:p w14:paraId="5F7FA658">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335B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4D3585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985" w:type="dxa"/>
            <w:noWrap w:val="0"/>
            <w:vAlign w:val="center"/>
          </w:tcPr>
          <w:p w14:paraId="20F0C5A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18" w:type="dxa"/>
            <w:noWrap w:val="0"/>
            <w:vAlign w:val="center"/>
          </w:tcPr>
          <w:p w14:paraId="661FD61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59C4AC1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788644A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01" w:type="dxa"/>
            <w:noWrap w:val="0"/>
            <w:vAlign w:val="center"/>
          </w:tcPr>
          <w:p w14:paraId="2D73FC2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65E1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70140F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985" w:type="dxa"/>
            <w:noWrap w:val="0"/>
            <w:vAlign w:val="center"/>
          </w:tcPr>
          <w:p w14:paraId="156F925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18" w:type="dxa"/>
            <w:noWrap w:val="0"/>
            <w:vAlign w:val="center"/>
          </w:tcPr>
          <w:p w14:paraId="3C1801B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4F68EA2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01" w:type="dxa"/>
            <w:noWrap w:val="0"/>
            <w:vAlign w:val="center"/>
          </w:tcPr>
          <w:p w14:paraId="3080701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01" w:type="dxa"/>
            <w:noWrap w:val="0"/>
            <w:vAlign w:val="center"/>
          </w:tcPr>
          <w:p w14:paraId="4624B5B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bl>
    <w:p w14:paraId="0150CA89">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注：</w:t>
      </w:r>
    </w:p>
    <w:p w14:paraId="5AFBDC81">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1. </w:t>
      </w:r>
      <w:r>
        <w:rPr>
          <w:rFonts w:hint="eastAsia" w:ascii="宋体" w:hAnsi="宋体" w:eastAsia="宋体" w:cs="Times New Roman"/>
          <w:bCs/>
          <w:color w:val="auto"/>
          <w:kern w:val="0"/>
          <w:sz w:val="24"/>
          <w:szCs w:val="22"/>
          <w:highlight w:val="none"/>
        </w:rPr>
        <w:t>对合同条款中的所有要求，除本表所列明的所有偏离外，均视作投标人已对之理解和响应。</w:t>
      </w:r>
    </w:p>
    <w:p w14:paraId="393B0E68">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2. </w:t>
      </w:r>
      <w:r>
        <w:rPr>
          <w:rFonts w:hint="eastAsia" w:ascii="宋体" w:hAnsi="宋体" w:eastAsia="宋体" w:cs="Times New Roman"/>
          <w:bCs/>
          <w:color w:val="auto"/>
          <w:kern w:val="0"/>
          <w:sz w:val="24"/>
          <w:szCs w:val="22"/>
          <w:highlight w:val="none"/>
        </w:rPr>
        <w:t>“偏离情况”列应据实填写“正偏离”或“负偏离”。</w:t>
      </w:r>
    </w:p>
    <w:p w14:paraId="39B8C070">
      <w:pPr>
        <w:spacing w:line="360" w:lineRule="auto"/>
        <w:ind w:firstLine="480"/>
        <w:contextualSpacing/>
        <w:rPr>
          <w:rFonts w:hint="eastAsia" w:ascii="宋体" w:hAnsi="宋体" w:eastAsia="宋体" w:cs="Times New Roman"/>
          <w:bCs/>
          <w:color w:val="auto"/>
          <w:kern w:val="0"/>
          <w:sz w:val="24"/>
          <w:szCs w:val="22"/>
          <w:highlight w:val="none"/>
        </w:rPr>
      </w:pPr>
    </w:p>
    <w:p w14:paraId="6DECFB7E">
      <w:pPr>
        <w:spacing w:line="360" w:lineRule="auto"/>
        <w:ind w:firstLine="480"/>
        <w:contextualSpacing/>
        <w:rPr>
          <w:rFonts w:hint="eastAsia" w:ascii="宋体" w:hAnsi="宋体" w:eastAsia="宋体" w:cs="Times New Roman"/>
          <w:bCs/>
          <w:color w:val="auto"/>
          <w:kern w:val="0"/>
          <w:sz w:val="24"/>
          <w:szCs w:val="22"/>
          <w:highlight w:val="none"/>
        </w:rPr>
      </w:pPr>
    </w:p>
    <w:p w14:paraId="41FF15A4">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名称（加盖公章）：    ____________</w:t>
      </w:r>
    </w:p>
    <w:p w14:paraId="3C21912E">
      <w:pPr>
        <w:spacing w:line="360" w:lineRule="auto"/>
        <w:ind w:firstLine="480"/>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r>
        <w:rPr>
          <w:rFonts w:hint="default" w:ascii="宋体" w:hAnsi="宋体" w:eastAsia="宋体" w:cs="Times New Roman"/>
          <w:bCs/>
          <w:color w:val="auto"/>
          <w:kern w:val="0"/>
          <w:sz w:val="24"/>
          <w:szCs w:val="22"/>
          <w:highlight w:val="none"/>
        </w:rPr>
        <w:t>日期：_____年______月______日</w:t>
      </w:r>
    </w:p>
    <w:p w14:paraId="60035DD1">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 xml:space="preserve">7 </w:t>
      </w:r>
      <w:r>
        <w:rPr>
          <w:rFonts w:hint="default" w:ascii="宋体" w:hAnsi="宋体" w:eastAsia="宋体" w:cs="Times New Roman"/>
          <w:color w:val="auto"/>
          <w:kern w:val="0"/>
          <w:sz w:val="24"/>
          <w:szCs w:val="20"/>
          <w:highlight w:val="none"/>
        </w:rPr>
        <w:t>采购需求偏离表</w:t>
      </w:r>
    </w:p>
    <w:p w14:paraId="5CDF9235">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采购需求偏离表</w:t>
      </w:r>
    </w:p>
    <w:p w14:paraId="241AC7C0">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项目编号/包号：_____________________项目名称_______________________</w:t>
      </w:r>
    </w:p>
    <w:p w14:paraId="156A2322">
      <w:pPr>
        <w:spacing w:line="360" w:lineRule="auto"/>
        <w:ind w:left="228" w:hanging="228"/>
        <w:contextualSpacing/>
        <w:jc w:val="left"/>
        <w:rPr>
          <w:rFonts w:hint="eastAsia" w:ascii="宋体" w:hAnsi="宋体" w:eastAsia="宋体" w:cs="Times New Roman"/>
          <w:bCs/>
          <w:color w:val="auto"/>
          <w:kern w:val="0"/>
          <w:sz w:val="24"/>
          <w:szCs w:val="22"/>
          <w:highlight w:val="none"/>
        </w:rPr>
      </w:pPr>
    </w:p>
    <w:tbl>
      <w:tblPr>
        <w:tblStyle w:val="7"/>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906"/>
        <w:gridCol w:w="1635"/>
        <w:gridCol w:w="1459"/>
        <w:gridCol w:w="1815"/>
        <w:gridCol w:w="902"/>
      </w:tblGrid>
      <w:tr w14:paraId="77C5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841" w:type="dxa"/>
            <w:noWrap w:val="0"/>
            <w:vAlign w:val="center"/>
          </w:tcPr>
          <w:p w14:paraId="325E0697">
            <w:pPr>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序号</w:t>
            </w:r>
          </w:p>
        </w:tc>
        <w:tc>
          <w:tcPr>
            <w:tcW w:w="1906" w:type="dxa"/>
            <w:noWrap w:val="0"/>
            <w:vAlign w:val="center"/>
          </w:tcPr>
          <w:p w14:paraId="15C7742D">
            <w:pPr>
              <w:spacing w:line="360" w:lineRule="auto"/>
              <w:contextualSpacing/>
              <w:jc w:val="center"/>
              <w:rPr>
                <w:rFonts w:hint="eastAsia" w:ascii="宋体" w:hAnsi="宋体" w:eastAsia="宋体" w:cs="宋体"/>
                <w:bCs/>
                <w:color w:val="auto"/>
                <w:kern w:val="0"/>
                <w:sz w:val="24"/>
                <w:szCs w:val="24"/>
                <w:highlight w:val="none"/>
              </w:rPr>
            </w:pPr>
            <w:r>
              <w:rPr>
                <w:rFonts w:hint="default" w:ascii="宋体" w:hAnsi="宋体" w:eastAsia="宋体" w:cs="Times New Roman"/>
                <w:color w:val="auto"/>
                <w:kern w:val="0"/>
                <w:sz w:val="24"/>
                <w:szCs w:val="22"/>
                <w:highlight w:val="none"/>
              </w:rPr>
              <w:t>招标文件条目号(页码)</w:t>
            </w:r>
          </w:p>
        </w:tc>
        <w:tc>
          <w:tcPr>
            <w:tcW w:w="1635" w:type="dxa"/>
            <w:noWrap w:val="0"/>
            <w:vAlign w:val="center"/>
          </w:tcPr>
          <w:p w14:paraId="35F2F33F">
            <w:pPr>
              <w:spacing w:line="360" w:lineRule="auto"/>
              <w:contextualSpacing/>
              <w:jc w:val="center"/>
              <w:rPr>
                <w:rFonts w:hint="eastAsia" w:ascii="宋体" w:hAnsi="宋体" w:eastAsia="宋体" w:cs="宋体"/>
                <w:bCs/>
                <w:color w:val="auto"/>
                <w:kern w:val="0"/>
                <w:sz w:val="24"/>
                <w:szCs w:val="24"/>
                <w:highlight w:val="none"/>
              </w:rPr>
            </w:pPr>
            <w:r>
              <w:rPr>
                <w:rFonts w:hint="default" w:ascii="宋体" w:hAnsi="宋体" w:eastAsia="宋体" w:cs="Times New Roman"/>
                <w:color w:val="auto"/>
                <w:kern w:val="0"/>
                <w:sz w:val="24"/>
                <w:szCs w:val="22"/>
                <w:highlight w:val="none"/>
              </w:rPr>
              <w:t>招标文件要求</w:t>
            </w:r>
          </w:p>
        </w:tc>
        <w:tc>
          <w:tcPr>
            <w:tcW w:w="1459" w:type="dxa"/>
            <w:noWrap w:val="0"/>
            <w:vAlign w:val="center"/>
          </w:tcPr>
          <w:p w14:paraId="0AE2741E">
            <w:pPr>
              <w:spacing w:line="360" w:lineRule="auto"/>
              <w:contextualSpacing/>
              <w:jc w:val="center"/>
              <w:rPr>
                <w:rFonts w:hint="eastAsia" w:ascii="宋体" w:hAnsi="宋体" w:eastAsia="宋体" w:cs="宋体"/>
                <w:bCs/>
                <w:color w:val="auto"/>
                <w:kern w:val="0"/>
                <w:sz w:val="24"/>
                <w:szCs w:val="24"/>
                <w:highlight w:val="none"/>
              </w:rPr>
            </w:pPr>
            <w:r>
              <w:rPr>
                <w:rFonts w:hint="default" w:ascii="宋体" w:hAnsi="宋体" w:eastAsia="宋体" w:cs="Times New Roman"/>
                <w:color w:val="auto"/>
                <w:kern w:val="0"/>
                <w:sz w:val="24"/>
                <w:szCs w:val="22"/>
                <w:highlight w:val="none"/>
              </w:rPr>
              <w:t>投标响应内容</w:t>
            </w:r>
          </w:p>
        </w:tc>
        <w:tc>
          <w:tcPr>
            <w:tcW w:w="1815" w:type="dxa"/>
            <w:noWrap w:val="0"/>
            <w:vAlign w:val="center"/>
          </w:tcPr>
          <w:p w14:paraId="479D1CEC">
            <w:pPr>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偏离情况</w:t>
            </w:r>
          </w:p>
          <w:p w14:paraId="6D8188EA">
            <w:pPr>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（据实填写）</w:t>
            </w:r>
          </w:p>
        </w:tc>
        <w:tc>
          <w:tcPr>
            <w:tcW w:w="902" w:type="dxa"/>
            <w:noWrap w:val="0"/>
            <w:vAlign w:val="center"/>
          </w:tcPr>
          <w:p w14:paraId="3C446E10">
            <w:pPr>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说明</w:t>
            </w:r>
          </w:p>
        </w:tc>
      </w:tr>
      <w:tr w14:paraId="6F52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8558" w:type="dxa"/>
            <w:gridSpan w:val="6"/>
            <w:noWrap w:val="0"/>
            <w:vAlign w:val="center"/>
          </w:tcPr>
          <w:p w14:paraId="1BBF57EF">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eastAsia" w:ascii="宋体" w:hAnsi="宋体" w:eastAsia="宋体" w:cs="宋体"/>
                <w:color w:val="auto"/>
                <w:kern w:val="0"/>
                <w:sz w:val="24"/>
                <w:szCs w:val="18"/>
                <w:highlight w:val="none"/>
              </w:rPr>
              <w:t>对</w:t>
            </w:r>
            <w:r>
              <w:rPr>
                <w:rFonts w:hint="eastAsia" w:ascii="宋体" w:hAnsi="宋体" w:eastAsia="宋体" w:cs="宋体"/>
                <w:bCs/>
                <w:color w:val="auto"/>
                <w:kern w:val="0"/>
                <w:sz w:val="24"/>
                <w:szCs w:val="24"/>
                <w:highlight w:val="none"/>
              </w:rPr>
              <w:t>招标文件</w:t>
            </w:r>
            <w:r>
              <w:rPr>
                <w:rFonts w:hint="eastAsia" w:ascii="宋体" w:hAnsi="宋体" w:eastAsia="宋体" w:cs="宋体"/>
                <w:b/>
                <w:color w:val="auto"/>
                <w:kern w:val="0"/>
                <w:sz w:val="24"/>
                <w:szCs w:val="24"/>
                <w:highlight w:val="none"/>
              </w:rPr>
              <w:t>第五章采购需求二、</w:t>
            </w:r>
            <w:r>
              <w:rPr>
                <w:rFonts w:hint="eastAsia" w:ascii="宋体" w:hAnsi="宋体" w:eastAsia="宋体" w:cs="宋体"/>
                <w:b/>
                <w:color w:val="auto"/>
                <w:kern w:val="0"/>
                <w:sz w:val="24"/>
                <w:szCs w:val="18"/>
                <w:highlight w:val="none"/>
                <w:lang w:val="zh-CN"/>
              </w:rPr>
              <w:t>商务</w:t>
            </w:r>
            <w:r>
              <w:rPr>
                <w:rFonts w:hint="eastAsia" w:ascii="宋体" w:hAnsi="宋体" w:eastAsia="宋体" w:cs="宋体"/>
                <w:b/>
                <w:color w:val="auto"/>
                <w:kern w:val="0"/>
                <w:sz w:val="24"/>
                <w:szCs w:val="18"/>
                <w:highlight w:val="none"/>
              </w:rPr>
              <w:t>要求</w:t>
            </w:r>
            <w:r>
              <w:rPr>
                <w:rFonts w:hint="eastAsia" w:ascii="宋体" w:hAnsi="宋体" w:eastAsia="宋体" w:cs="Times New Roman"/>
                <w:bCs/>
                <w:color w:val="auto"/>
                <w:kern w:val="0"/>
                <w:sz w:val="24"/>
                <w:szCs w:val="22"/>
                <w:highlight w:val="none"/>
              </w:rPr>
              <w:t>偏离情况（请进行勾选）：</w:t>
            </w:r>
          </w:p>
          <w:p w14:paraId="59120FD7">
            <w:pPr>
              <w:spacing w:line="360" w:lineRule="auto"/>
              <w:ind w:left="228" w:hanging="228"/>
              <w:contextualSpacing/>
              <w:jc w:val="left"/>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□无偏离（如无偏离，仅勾选无偏离即可）</w:t>
            </w:r>
          </w:p>
          <w:p w14:paraId="6CA85E95">
            <w:pPr>
              <w:spacing w:line="360" w:lineRule="auto"/>
              <w:ind w:left="228" w:hanging="228"/>
              <w:contextualSpacing/>
              <w:jc w:val="left"/>
              <w:rPr>
                <w:rFonts w:hint="eastAsia" w:ascii="宋体" w:hAnsi="宋体" w:eastAsia="宋体" w:cs="宋体"/>
                <w:bCs/>
                <w:color w:val="auto"/>
                <w:kern w:val="0"/>
                <w:sz w:val="24"/>
                <w:szCs w:val="24"/>
                <w:highlight w:val="none"/>
              </w:rPr>
            </w:pPr>
            <w:r>
              <w:rPr>
                <w:rFonts w:hint="default" w:ascii="宋体" w:hAnsi="宋体" w:eastAsia="宋体" w:cs="Times New Roman"/>
                <w:bCs/>
                <w:color w:val="auto"/>
                <w:kern w:val="0"/>
                <w:sz w:val="24"/>
                <w:szCs w:val="22"/>
                <w:highlight w:val="none"/>
              </w:rPr>
              <w:t>□有偏离（如有偏离，则须在本表中对偏离项逐一列明）</w:t>
            </w:r>
          </w:p>
        </w:tc>
      </w:tr>
      <w:tr w14:paraId="0B2C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841" w:type="dxa"/>
            <w:noWrap w:val="0"/>
            <w:vAlign w:val="center"/>
          </w:tcPr>
          <w:p w14:paraId="7F77ABAE">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906" w:type="dxa"/>
            <w:noWrap w:val="0"/>
            <w:vAlign w:val="center"/>
          </w:tcPr>
          <w:p w14:paraId="416A2C13">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635" w:type="dxa"/>
            <w:noWrap w:val="0"/>
            <w:vAlign w:val="center"/>
          </w:tcPr>
          <w:p w14:paraId="7BAE4862">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459" w:type="dxa"/>
            <w:noWrap w:val="0"/>
            <w:vAlign w:val="center"/>
          </w:tcPr>
          <w:p w14:paraId="5918AA0B">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815" w:type="dxa"/>
            <w:noWrap w:val="0"/>
            <w:vAlign w:val="center"/>
          </w:tcPr>
          <w:p w14:paraId="021486B1">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902" w:type="dxa"/>
            <w:noWrap w:val="0"/>
            <w:vAlign w:val="center"/>
          </w:tcPr>
          <w:p w14:paraId="2C9E93D8">
            <w:pPr>
              <w:spacing w:line="360" w:lineRule="auto"/>
              <w:ind w:left="228" w:hanging="228"/>
              <w:contextualSpacing/>
              <w:jc w:val="center"/>
              <w:rPr>
                <w:rFonts w:hint="eastAsia" w:ascii="宋体" w:hAnsi="宋体" w:eastAsia="宋体" w:cs="宋体"/>
                <w:bCs/>
                <w:color w:val="auto"/>
                <w:kern w:val="0"/>
                <w:sz w:val="24"/>
                <w:szCs w:val="24"/>
                <w:highlight w:val="none"/>
              </w:rPr>
            </w:pPr>
          </w:p>
        </w:tc>
      </w:tr>
      <w:tr w14:paraId="282C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8558" w:type="dxa"/>
            <w:gridSpan w:val="6"/>
            <w:noWrap w:val="0"/>
            <w:vAlign w:val="center"/>
          </w:tcPr>
          <w:p w14:paraId="626721CF">
            <w:pPr>
              <w:spacing w:line="360" w:lineRule="auto"/>
              <w:ind w:left="228" w:hanging="228"/>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2"/>
                <w:highlight w:val="none"/>
              </w:rPr>
              <w:t>对招标</w:t>
            </w:r>
            <w:r>
              <w:rPr>
                <w:rFonts w:hint="eastAsia" w:ascii="宋体" w:hAnsi="宋体" w:eastAsia="宋体" w:cs="宋体"/>
                <w:bCs/>
                <w:color w:val="auto"/>
                <w:kern w:val="0"/>
                <w:sz w:val="24"/>
                <w:szCs w:val="24"/>
                <w:highlight w:val="none"/>
              </w:rPr>
              <w:t>文件</w:t>
            </w:r>
            <w:r>
              <w:rPr>
                <w:rFonts w:hint="eastAsia" w:ascii="宋体" w:hAnsi="宋体" w:eastAsia="宋体" w:cs="宋体"/>
                <w:b/>
                <w:bCs/>
                <w:color w:val="auto"/>
                <w:kern w:val="0"/>
                <w:sz w:val="24"/>
                <w:szCs w:val="22"/>
                <w:highlight w:val="none"/>
              </w:rPr>
              <w:t>第五章采购需求三、技术要求（四）技术参数要求中的指标</w:t>
            </w:r>
            <w:r>
              <w:rPr>
                <w:rFonts w:hint="eastAsia" w:ascii="宋体" w:hAnsi="宋体" w:eastAsia="宋体" w:cs="宋体"/>
                <w:b/>
                <w:bCs/>
                <w:color w:val="auto"/>
                <w:kern w:val="0"/>
                <w:sz w:val="24"/>
                <w:szCs w:val="22"/>
                <w:highlight w:val="none"/>
                <w:u w:val="single"/>
              </w:rPr>
              <w:t>逐条进行描述</w:t>
            </w:r>
            <w:r>
              <w:rPr>
                <w:rFonts w:hint="eastAsia" w:ascii="宋体" w:hAnsi="宋体" w:eastAsia="宋体" w:cs="宋体"/>
                <w:color w:val="auto"/>
                <w:kern w:val="0"/>
                <w:sz w:val="24"/>
                <w:szCs w:val="22"/>
                <w:highlight w:val="none"/>
              </w:rPr>
              <w:t>并据实填写“正偏离、负偏离或无偏离”。</w:t>
            </w:r>
          </w:p>
        </w:tc>
      </w:tr>
      <w:tr w14:paraId="0D5C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841" w:type="dxa"/>
            <w:noWrap w:val="0"/>
            <w:vAlign w:val="center"/>
          </w:tcPr>
          <w:p w14:paraId="5B93F322">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906" w:type="dxa"/>
            <w:noWrap w:val="0"/>
            <w:vAlign w:val="center"/>
          </w:tcPr>
          <w:p w14:paraId="696961CA">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635" w:type="dxa"/>
            <w:noWrap w:val="0"/>
            <w:vAlign w:val="center"/>
          </w:tcPr>
          <w:p w14:paraId="49C3B80E">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459" w:type="dxa"/>
            <w:noWrap w:val="0"/>
            <w:vAlign w:val="center"/>
          </w:tcPr>
          <w:p w14:paraId="77A17A3E">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815" w:type="dxa"/>
            <w:noWrap w:val="0"/>
            <w:vAlign w:val="center"/>
          </w:tcPr>
          <w:p w14:paraId="59FBEAE9">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902" w:type="dxa"/>
            <w:noWrap w:val="0"/>
            <w:vAlign w:val="center"/>
          </w:tcPr>
          <w:p w14:paraId="69800804">
            <w:pPr>
              <w:spacing w:line="360" w:lineRule="auto"/>
              <w:ind w:left="228" w:hanging="228"/>
              <w:contextualSpacing/>
              <w:jc w:val="center"/>
              <w:rPr>
                <w:rFonts w:hint="eastAsia" w:ascii="宋体" w:hAnsi="宋体" w:eastAsia="宋体" w:cs="宋体"/>
                <w:bCs/>
                <w:color w:val="auto"/>
                <w:kern w:val="0"/>
                <w:sz w:val="24"/>
                <w:szCs w:val="24"/>
                <w:highlight w:val="none"/>
              </w:rPr>
            </w:pPr>
          </w:p>
        </w:tc>
      </w:tr>
      <w:tr w14:paraId="72EB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841" w:type="dxa"/>
            <w:noWrap w:val="0"/>
            <w:vAlign w:val="center"/>
          </w:tcPr>
          <w:p w14:paraId="7AA2C9BD">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906" w:type="dxa"/>
            <w:noWrap w:val="0"/>
            <w:vAlign w:val="center"/>
          </w:tcPr>
          <w:p w14:paraId="6FA20BF7">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635" w:type="dxa"/>
            <w:noWrap w:val="0"/>
            <w:vAlign w:val="center"/>
          </w:tcPr>
          <w:p w14:paraId="674FF03D">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459" w:type="dxa"/>
            <w:noWrap w:val="0"/>
            <w:vAlign w:val="center"/>
          </w:tcPr>
          <w:p w14:paraId="7F163D61">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1815" w:type="dxa"/>
            <w:noWrap w:val="0"/>
            <w:vAlign w:val="center"/>
          </w:tcPr>
          <w:p w14:paraId="78DE2707">
            <w:pPr>
              <w:spacing w:line="360" w:lineRule="auto"/>
              <w:ind w:left="228" w:hanging="228"/>
              <w:contextualSpacing/>
              <w:jc w:val="center"/>
              <w:rPr>
                <w:rFonts w:hint="eastAsia" w:ascii="宋体" w:hAnsi="宋体" w:eastAsia="宋体" w:cs="宋体"/>
                <w:bCs/>
                <w:color w:val="auto"/>
                <w:kern w:val="0"/>
                <w:sz w:val="24"/>
                <w:szCs w:val="24"/>
                <w:highlight w:val="none"/>
              </w:rPr>
            </w:pPr>
          </w:p>
        </w:tc>
        <w:tc>
          <w:tcPr>
            <w:tcW w:w="902" w:type="dxa"/>
            <w:noWrap w:val="0"/>
            <w:vAlign w:val="center"/>
          </w:tcPr>
          <w:p w14:paraId="03D36D63">
            <w:pPr>
              <w:spacing w:line="360" w:lineRule="auto"/>
              <w:ind w:left="228" w:hanging="228"/>
              <w:contextualSpacing/>
              <w:jc w:val="center"/>
              <w:rPr>
                <w:rFonts w:hint="eastAsia" w:ascii="宋体" w:hAnsi="宋体" w:eastAsia="宋体" w:cs="宋体"/>
                <w:bCs/>
                <w:color w:val="auto"/>
                <w:kern w:val="0"/>
                <w:sz w:val="24"/>
                <w:szCs w:val="24"/>
                <w:highlight w:val="none"/>
              </w:rPr>
            </w:pPr>
          </w:p>
        </w:tc>
      </w:tr>
    </w:tbl>
    <w:p w14:paraId="7F522303">
      <w:pPr>
        <w:spacing w:line="360" w:lineRule="auto"/>
        <w:ind w:left="228" w:hanging="228"/>
        <w:contextualSpacing/>
        <w:jc w:val="left"/>
        <w:rPr>
          <w:rFonts w:hint="eastAsia" w:ascii="宋体" w:hAnsi="宋体" w:eastAsia="宋体" w:cs="Times New Roman"/>
          <w:bCs/>
          <w:color w:val="auto"/>
          <w:kern w:val="0"/>
          <w:sz w:val="24"/>
          <w:szCs w:val="22"/>
          <w:highlight w:val="none"/>
        </w:rPr>
      </w:pPr>
    </w:p>
    <w:p w14:paraId="5AC7160F">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注：</w:t>
      </w:r>
    </w:p>
    <w:p w14:paraId="613ABEA2">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1</w:t>
      </w:r>
      <w:r>
        <w:rPr>
          <w:rFonts w:hint="default" w:ascii="宋体" w:hAnsi="宋体" w:eastAsia="宋体" w:cs="Times New Roman"/>
          <w:bCs/>
          <w:color w:val="auto"/>
          <w:kern w:val="0"/>
          <w:sz w:val="24"/>
          <w:szCs w:val="22"/>
          <w:highlight w:val="none"/>
        </w:rPr>
        <w:t>. 对招标文件中的所有商务、技术要求，除本表所列明的所有偏离外，均视作</w:t>
      </w: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已对之理解和</w:t>
      </w:r>
      <w:r>
        <w:rPr>
          <w:rFonts w:hint="eastAsia" w:ascii="宋体" w:hAnsi="宋体" w:eastAsia="宋体" w:cs="Times New Roman"/>
          <w:bCs/>
          <w:color w:val="auto"/>
          <w:kern w:val="0"/>
          <w:sz w:val="24"/>
          <w:szCs w:val="22"/>
          <w:highlight w:val="none"/>
        </w:rPr>
        <w:t>响应</w:t>
      </w:r>
      <w:r>
        <w:rPr>
          <w:rFonts w:hint="default" w:ascii="宋体" w:hAnsi="宋体" w:eastAsia="宋体" w:cs="Times New Roman"/>
          <w:bCs/>
          <w:color w:val="auto"/>
          <w:kern w:val="0"/>
          <w:sz w:val="24"/>
          <w:szCs w:val="22"/>
          <w:highlight w:val="none"/>
        </w:rPr>
        <w:t>。</w:t>
      </w:r>
      <w:r>
        <w:rPr>
          <w:rFonts w:hint="eastAsia" w:ascii="宋体" w:hAnsi="宋体" w:eastAsia="宋体" w:cs="Times New Roman"/>
          <w:bCs/>
          <w:color w:val="auto"/>
          <w:kern w:val="0"/>
          <w:sz w:val="24"/>
          <w:szCs w:val="22"/>
          <w:highlight w:val="none"/>
        </w:rPr>
        <w:t>此表中内容为空白，投标无效。</w:t>
      </w:r>
    </w:p>
    <w:p w14:paraId="6BD31ABD">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2.</w:t>
      </w:r>
      <w:r>
        <w:rPr>
          <w:rFonts w:hint="eastAsia" w:ascii="宋体" w:hAnsi="宋体" w:eastAsia="宋体" w:cs="Times New Roman"/>
          <w:bCs/>
          <w:color w:val="auto"/>
          <w:kern w:val="0"/>
          <w:sz w:val="24"/>
          <w:szCs w:val="22"/>
          <w:highlight w:val="none"/>
        </w:rPr>
        <w:t>“偏离情况”列应</w:t>
      </w:r>
      <w:r>
        <w:rPr>
          <w:rFonts w:hint="default" w:ascii="宋体" w:hAnsi="宋体" w:eastAsia="宋体" w:cs="Times New Roman"/>
          <w:bCs/>
          <w:color w:val="auto"/>
          <w:kern w:val="0"/>
          <w:sz w:val="24"/>
          <w:szCs w:val="22"/>
          <w:highlight w:val="none"/>
        </w:rPr>
        <w:t>据实</w:t>
      </w:r>
      <w:r>
        <w:rPr>
          <w:rFonts w:hint="eastAsia" w:ascii="宋体" w:hAnsi="宋体" w:eastAsia="宋体" w:cs="Times New Roman"/>
          <w:bCs/>
          <w:color w:val="auto"/>
          <w:kern w:val="0"/>
          <w:sz w:val="24"/>
          <w:szCs w:val="22"/>
          <w:highlight w:val="none"/>
        </w:rPr>
        <w:t>填写</w:t>
      </w:r>
      <w:r>
        <w:rPr>
          <w:rFonts w:hint="eastAsia" w:ascii="宋体" w:hAnsi="宋体" w:eastAsia="宋体" w:cs="宋体"/>
          <w:color w:val="auto"/>
          <w:kern w:val="0"/>
          <w:sz w:val="24"/>
          <w:szCs w:val="22"/>
          <w:highlight w:val="none"/>
        </w:rPr>
        <w:t>“正偏离、负偏离或无偏离”</w:t>
      </w:r>
      <w:r>
        <w:rPr>
          <w:rFonts w:hint="eastAsia" w:ascii="宋体" w:hAnsi="宋体" w:eastAsia="宋体" w:cs="Times New Roman"/>
          <w:bCs/>
          <w:color w:val="auto"/>
          <w:kern w:val="0"/>
          <w:sz w:val="24"/>
          <w:szCs w:val="22"/>
          <w:highlight w:val="none"/>
        </w:rPr>
        <w:t>。</w:t>
      </w:r>
    </w:p>
    <w:p w14:paraId="41A19EC8">
      <w:pPr>
        <w:spacing w:line="360" w:lineRule="auto"/>
        <w:ind w:firstLine="480"/>
        <w:contextualSpacing/>
        <w:rPr>
          <w:rFonts w:hint="eastAsia" w:ascii="宋体" w:hAnsi="宋体" w:eastAsia="宋体" w:cs="Times New Roman"/>
          <w:bCs/>
          <w:color w:val="auto"/>
          <w:kern w:val="0"/>
          <w:sz w:val="24"/>
          <w:szCs w:val="22"/>
          <w:highlight w:val="none"/>
        </w:rPr>
      </w:pPr>
    </w:p>
    <w:p w14:paraId="52B9F5D4">
      <w:pPr>
        <w:spacing w:line="360" w:lineRule="auto"/>
        <w:ind w:firstLine="480"/>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名称（加盖公章）：    ____________</w:t>
      </w:r>
    </w:p>
    <w:p w14:paraId="2EC775DE">
      <w:pPr>
        <w:spacing w:line="360" w:lineRule="auto"/>
        <w:ind w:firstLine="480"/>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日期：_____年______月______</w:t>
      </w:r>
    </w:p>
    <w:p w14:paraId="0AD2BD15">
      <w:pPr>
        <w:spacing w:line="360" w:lineRule="auto"/>
        <w:ind w:left="228" w:hanging="228"/>
        <w:contextualSpacing/>
        <w:jc w:val="left"/>
        <w:rPr>
          <w:rFonts w:hint="eastAsia" w:ascii="宋体" w:hAnsi="宋体" w:eastAsia="宋体" w:cs="Times New Roman"/>
          <w:bCs/>
          <w:color w:val="auto"/>
          <w:kern w:val="0"/>
          <w:sz w:val="24"/>
          <w:szCs w:val="22"/>
          <w:highlight w:val="none"/>
        </w:rPr>
      </w:pPr>
    </w:p>
    <w:p w14:paraId="4D5780BB">
      <w:pPr>
        <w:spacing w:line="360" w:lineRule="auto"/>
        <w:ind w:firstLine="480"/>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7719C59B">
      <w:pPr>
        <w:spacing w:line="360" w:lineRule="auto"/>
        <w:ind w:left="228" w:hanging="228"/>
        <w:outlineLvl w:val="2"/>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8 中小企业声明函</w:t>
      </w:r>
    </w:p>
    <w:p w14:paraId="6D11F0C3">
      <w:pPr>
        <w:spacing w:line="360" w:lineRule="auto"/>
        <w:outlineLvl w:val="2"/>
        <w:rPr>
          <w:rFonts w:hint="default" w:ascii="Times New Roman" w:hAnsi="Times New Roman" w:eastAsia="宋体" w:cs="Times New Roman"/>
          <w:color w:val="auto"/>
          <w:kern w:val="0"/>
          <w:sz w:val="24"/>
          <w:szCs w:val="20"/>
          <w:highlight w:val="none"/>
        </w:rPr>
      </w:pPr>
      <w:r>
        <w:rPr>
          <w:rFonts w:hint="default" w:ascii="Times New Roman" w:hAnsi="Times New Roman" w:eastAsia="宋体" w:cs="Times New Roman"/>
          <w:color w:val="auto"/>
          <w:kern w:val="0"/>
          <w:sz w:val="24"/>
          <w:szCs w:val="20"/>
          <w:highlight w:val="none"/>
        </w:rPr>
        <w:t xml:space="preserve"> </w:t>
      </w:r>
    </w:p>
    <w:p w14:paraId="38DAC8F5">
      <w:pPr>
        <w:tabs>
          <w:tab w:val="left" w:pos="5580"/>
        </w:tabs>
        <w:spacing w:line="360" w:lineRule="auto"/>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说明：</w:t>
      </w:r>
    </w:p>
    <w:p w14:paraId="35EA3695">
      <w:pPr>
        <w:tabs>
          <w:tab w:val="left" w:pos="5580"/>
        </w:tabs>
        <w:spacing w:line="360" w:lineRule="auto"/>
        <w:ind w:firstLine="482"/>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17B8EEDF">
      <w:pPr>
        <w:tabs>
          <w:tab w:val="left" w:pos="5580"/>
        </w:tabs>
        <w:spacing w:line="360" w:lineRule="auto"/>
        <w:ind w:firstLine="482"/>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65934E9">
      <w:pPr>
        <w:tabs>
          <w:tab w:val="left" w:pos="5580"/>
        </w:tabs>
        <w:spacing w:line="360" w:lineRule="auto"/>
        <w:ind w:firstLine="482"/>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3）对于多标的的采购项目，供应商应充分、准确地了解所投产品制造企业信息。对相关情况了解不清楚的，不建议填报本声明函。</w:t>
      </w:r>
    </w:p>
    <w:p w14:paraId="4DE9FB3F">
      <w:pPr>
        <w:tabs>
          <w:tab w:val="left" w:pos="5580"/>
        </w:tabs>
        <w:spacing w:line="360" w:lineRule="auto"/>
        <w:ind w:firstLine="482"/>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4）中小企业认定标准以《关于印发中小企业划型标准规定的通知》（工信部联企业〔2011〕300号）文件规定为准。</w:t>
      </w:r>
    </w:p>
    <w:p w14:paraId="0BBC1BB7">
      <w:pPr>
        <w:tabs>
          <w:tab w:val="left" w:pos="5580"/>
        </w:tabs>
        <w:spacing w:line="360" w:lineRule="auto"/>
        <w:ind w:firstLine="482"/>
        <w:rPr>
          <w:rFonts w:hint="default"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default" w:ascii="Times New Roman" w:hAnsi="Times New Roman" w:eastAsia="宋体" w:cs="Times New Roman"/>
          <w:color w:val="auto"/>
          <w:kern w:val="0"/>
          <w:highlight w:val="none"/>
        </w:rPr>
        <w:fldChar w:fldCharType="begin"/>
      </w:r>
      <w:r>
        <w:rPr>
          <w:rFonts w:hint="default" w:ascii="Times New Roman" w:hAnsi="Times New Roman" w:eastAsia="宋体" w:cs="Times New Roman"/>
          <w:color w:val="auto"/>
          <w:kern w:val="0"/>
          <w:highlight w:val="none"/>
        </w:rPr>
        <w:instrText xml:space="preserve"> HYPERLINK "http://202.106.120.146/baosong/appweb/orgScale.html" </w:instrText>
      </w:r>
      <w:r>
        <w:rPr>
          <w:rFonts w:hint="default" w:ascii="Times New Roman" w:hAnsi="Times New Roman" w:eastAsia="宋体" w:cs="Times New Roman"/>
          <w:color w:val="auto"/>
          <w:kern w:val="0"/>
          <w:highlight w:val="none"/>
        </w:rPr>
        <w:fldChar w:fldCharType="separate"/>
      </w:r>
      <w:r>
        <w:rPr>
          <w:rFonts w:hint="default" w:ascii="Times New Roman" w:hAnsi="Times New Roman" w:eastAsia="宋体" w:cs="Times New Roman"/>
          <w:color w:val="auto"/>
          <w:kern w:val="0"/>
          <w:sz w:val="24"/>
          <w:highlight w:val="none"/>
          <w:u w:val="single"/>
        </w:rPr>
        <w:t>http://202.106.120.146/baosong/appweb/orgScale.html</w:t>
      </w:r>
      <w:r>
        <w:rPr>
          <w:rFonts w:hint="default" w:ascii="Times New Roman" w:hAnsi="Times New Roman" w:eastAsia="宋体" w:cs="Times New Roman"/>
          <w:color w:val="auto"/>
          <w:kern w:val="0"/>
          <w:sz w:val="24"/>
          <w:highlight w:val="none"/>
          <w:u w:val="single"/>
        </w:rPr>
        <w:fldChar w:fldCharType="end"/>
      </w:r>
      <w:r>
        <w:rPr>
          <w:rFonts w:hint="eastAsia" w:ascii="Times New Roman" w:hAnsi="Times New Roman" w:eastAsia="宋体" w:cs="Times New Roman"/>
          <w:color w:val="auto"/>
          <w:kern w:val="0"/>
          <w:sz w:val="24"/>
          <w:highlight w:val="none"/>
        </w:rPr>
        <w:t>）</w:t>
      </w:r>
    </w:p>
    <w:p w14:paraId="34F8C5F1">
      <w:pPr>
        <w:tabs>
          <w:tab w:val="left" w:pos="5580"/>
        </w:tabs>
        <w:spacing w:line="360" w:lineRule="auto"/>
        <w:ind w:firstLine="482"/>
        <w:rPr>
          <w:rFonts w:hint="default" w:ascii="宋体" w:hAnsi="宋体" w:eastAsia="宋体" w:cs="Times New Roman"/>
          <w:b/>
          <w:color w:val="auto"/>
          <w:kern w:val="0"/>
          <w:sz w:val="24"/>
          <w:highlight w:val="none"/>
        </w:rPr>
      </w:pPr>
      <w:r>
        <w:rPr>
          <w:rFonts w:hint="eastAsia" w:ascii="Times New Roman" w:hAnsi="Times New Roman" w:eastAsia="宋体" w:cs="Times New Roman"/>
          <w:color w:val="auto"/>
          <w:kern w:val="0"/>
          <w:sz w:val="24"/>
          <w:highlight w:val="none"/>
        </w:rPr>
        <w:t>6）</w:t>
      </w:r>
      <w:r>
        <w:rPr>
          <w:rFonts w:hint="default" w:ascii="宋体" w:hAnsi="宋体" w:eastAsia="宋体" w:cs="Times New Roman"/>
          <w:b/>
          <w:color w:val="auto"/>
          <w:kern w:val="0"/>
          <w:sz w:val="24"/>
          <w:highlight w:val="none"/>
        </w:rPr>
        <w:t>在货物采购项目中，供应商提供的货物既有中</w:t>
      </w:r>
      <w:r>
        <w:rPr>
          <w:rFonts w:hint="eastAsia" w:ascii="宋体" w:hAnsi="宋体" w:eastAsia="宋体" w:cs="Times New Roman"/>
          <w:b/>
          <w:color w:val="auto"/>
          <w:kern w:val="0"/>
          <w:sz w:val="24"/>
          <w:highlight w:val="none"/>
        </w:rPr>
        <w:t>型</w:t>
      </w:r>
      <w:r>
        <w:rPr>
          <w:rFonts w:hint="default" w:ascii="宋体" w:hAnsi="宋体" w:eastAsia="宋体" w:cs="Times New Roman"/>
          <w:b/>
          <w:color w:val="auto"/>
          <w:kern w:val="0"/>
          <w:sz w:val="24"/>
          <w:highlight w:val="none"/>
        </w:rPr>
        <w:t>企业制造货物，也有</w:t>
      </w:r>
      <w:r>
        <w:rPr>
          <w:rFonts w:hint="eastAsia" w:ascii="宋体" w:hAnsi="宋体" w:eastAsia="宋体" w:cs="Times New Roman"/>
          <w:b/>
          <w:color w:val="auto"/>
          <w:kern w:val="0"/>
          <w:sz w:val="24"/>
          <w:highlight w:val="none"/>
        </w:rPr>
        <w:t>小微</w:t>
      </w:r>
      <w:r>
        <w:rPr>
          <w:rFonts w:hint="default" w:ascii="宋体" w:hAnsi="宋体" w:eastAsia="宋体" w:cs="Times New Roman"/>
          <w:b/>
          <w:color w:val="auto"/>
          <w:kern w:val="0"/>
          <w:sz w:val="24"/>
          <w:highlight w:val="none"/>
        </w:rPr>
        <w:t>企业制造货物的，不享受</w:t>
      </w:r>
      <w:r>
        <w:rPr>
          <w:rFonts w:hint="eastAsia" w:ascii="宋体" w:hAnsi="宋体" w:eastAsia="宋体" w:cs="Times New Roman"/>
          <w:b/>
          <w:color w:val="auto"/>
          <w:kern w:val="0"/>
          <w:sz w:val="24"/>
          <w:highlight w:val="none"/>
        </w:rPr>
        <w:t>小微</w:t>
      </w:r>
      <w:r>
        <w:rPr>
          <w:rFonts w:hint="default" w:ascii="宋体" w:hAnsi="宋体" w:eastAsia="宋体" w:cs="Times New Roman"/>
          <w:b/>
          <w:color w:val="auto"/>
          <w:kern w:val="0"/>
          <w:sz w:val="24"/>
          <w:highlight w:val="none"/>
        </w:rPr>
        <w:t>企业扶持政策</w:t>
      </w:r>
      <w:r>
        <w:rPr>
          <w:rFonts w:hint="eastAsia" w:ascii="宋体" w:hAnsi="宋体" w:eastAsia="宋体" w:cs="Times New Roman"/>
          <w:b/>
          <w:color w:val="auto"/>
          <w:kern w:val="0"/>
          <w:sz w:val="24"/>
          <w:highlight w:val="none"/>
        </w:rPr>
        <w:t>，不予价格扣除</w:t>
      </w:r>
      <w:r>
        <w:rPr>
          <w:rFonts w:hint="default" w:ascii="宋体" w:hAnsi="宋体" w:eastAsia="宋体" w:cs="Times New Roman"/>
          <w:b/>
          <w:color w:val="auto"/>
          <w:kern w:val="0"/>
          <w:sz w:val="24"/>
          <w:highlight w:val="none"/>
        </w:rPr>
        <w:t>。</w:t>
      </w:r>
    </w:p>
    <w:p w14:paraId="2E60E338">
      <w:pPr>
        <w:tabs>
          <w:tab w:val="left" w:pos="5580"/>
        </w:tabs>
        <w:spacing w:line="360" w:lineRule="auto"/>
        <w:ind w:firstLine="482"/>
        <w:rPr>
          <w:rFonts w:hint="default" w:ascii="宋体" w:hAnsi="宋体" w:eastAsia="宋体" w:cs="Times New Roman"/>
          <w:b/>
          <w:color w:val="auto"/>
          <w:kern w:val="0"/>
          <w:sz w:val="24"/>
          <w:highlight w:val="none"/>
        </w:rPr>
      </w:pPr>
      <w:r>
        <w:rPr>
          <w:rFonts w:hint="eastAsia" w:ascii="宋体" w:hAnsi="宋体" w:eastAsia="宋体" w:cs="Times New Roman"/>
          <w:b/>
          <w:color w:val="auto"/>
          <w:kern w:val="0"/>
          <w:sz w:val="24"/>
          <w:highlight w:val="none"/>
        </w:rPr>
        <w:t>7）小微企业未提供声明函的，价格分评审将不予价格扣除。</w:t>
      </w:r>
    </w:p>
    <w:p w14:paraId="6FE072FC">
      <w:pPr>
        <w:spacing w:before="240" w:after="240"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24"/>
          <w:highlight w:val="none"/>
        </w:rPr>
        <w:br w:type="page" w:clear="all"/>
      </w:r>
      <w:r>
        <w:rPr>
          <w:rFonts w:hint="eastAsia" w:ascii="Times New Roman" w:hAnsi="Times New Roman" w:eastAsia="宋体" w:cs="Times New Roman"/>
          <w:b/>
          <w:bCs/>
          <w:color w:val="auto"/>
          <w:kern w:val="0"/>
          <w:sz w:val="36"/>
          <w:szCs w:val="36"/>
          <w:highlight w:val="none"/>
        </w:rPr>
        <w:t>中小企业声明函（服务）格式</w:t>
      </w:r>
    </w:p>
    <w:p w14:paraId="638E1973">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DAC5F3C">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1.</w:t>
      </w:r>
      <w:r>
        <w:rPr>
          <w:rFonts w:hint="default" w:ascii="Times New Roman" w:hAnsi="Times New Roman" w:eastAsia="宋体" w:cs="Times New Roman"/>
          <w:color w:val="auto"/>
          <w:spacing w:val="6"/>
          <w:kern w:val="0"/>
          <w:sz w:val="24"/>
          <w:highlight w:val="none"/>
          <w:u w:val="single"/>
        </w:rPr>
        <w:t>（标的名称）</w:t>
      </w:r>
      <w:r>
        <w:rPr>
          <w:rFonts w:hint="default" w:ascii="Times New Roman" w:hAnsi="Times New Roman" w:eastAsia="宋体" w:cs="Times New Roman"/>
          <w:color w:val="auto"/>
          <w:spacing w:val="6"/>
          <w:kern w:val="0"/>
          <w:sz w:val="24"/>
          <w:highlight w:val="none"/>
        </w:rPr>
        <w:t>，属于</w:t>
      </w:r>
      <w:r>
        <w:rPr>
          <w:rFonts w:hint="default" w:ascii="Times New Roman" w:hAnsi="Times New Roman" w:eastAsia="宋体" w:cs="Times New Roman"/>
          <w:color w:val="auto"/>
          <w:spacing w:val="6"/>
          <w:kern w:val="0"/>
          <w:sz w:val="24"/>
          <w:highlight w:val="none"/>
          <w:u w:val="single"/>
        </w:rPr>
        <w:t>（采购文件中明确的所属行业）</w:t>
      </w:r>
      <w:r>
        <w:rPr>
          <w:rFonts w:hint="default" w:ascii="Times New Roman" w:hAnsi="Times New Roman" w:eastAsia="宋体" w:cs="Times New Roman"/>
          <w:color w:val="auto"/>
          <w:spacing w:val="6"/>
          <w:kern w:val="0"/>
          <w:sz w:val="24"/>
          <w:highlight w:val="none"/>
        </w:rPr>
        <w:t>行业；承建（承接）企业为</w:t>
      </w:r>
      <w:r>
        <w:rPr>
          <w:rFonts w:hint="default" w:ascii="Times New Roman" w:hAnsi="Times New Roman" w:eastAsia="宋体" w:cs="Times New Roman"/>
          <w:color w:val="auto"/>
          <w:spacing w:val="6"/>
          <w:kern w:val="0"/>
          <w:sz w:val="24"/>
          <w:highlight w:val="none"/>
          <w:u w:val="single"/>
        </w:rPr>
        <w:t>（企业名称）</w:t>
      </w:r>
      <w:r>
        <w:rPr>
          <w:rFonts w:hint="default" w:ascii="Times New Roman" w:hAnsi="Times New Roman" w:eastAsia="宋体" w:cs="Times New Roman"/>
          <w:color w:val="auto"/>
          <w:spacing w:val="6"/>
          <w:kern w:val="0"/>
          <w:sz w:val="24"/>
          <w:highlight w:val="none"/>
        </w:rPr>
        <w:t>，从业人员______人，营业收入为______万元，资产总额为______万元</w:t>
      </w:r>
      <w:r>
        <w:rPr>
          <w:rFonts w:hint="default" w:ascii="Times New Roman" w:hAnsi="Times New Roman" w:eastAsia="宋体" w:cs="Times New Roman"/>
          <w:color w:val="auto"/>
          <w:spacing w:val="6"/>
          <w:kern w:val="0"/>
          <w:sz w:val="24"/>
          <w:highlight w:val="none"/>
          <w:vertAlign w:val="superscript"/>
        </w:rPr>
        <w:t>1</w:t>
      </w:r>
      <w:r>
        <w:rPr>
          <w:rFonts w:hint="default" w:ascii="Times New Roman" w:hAnsi="Times New Roman" w:eastAsia="宋体" w:cs="Times New Roman"/>
          <w:color w:val="auto"/>
          <w:spacing w:val="6"/>
          <w:kern w:val="0"/>
          <w:sz w:val="24"/>
          <w:highlight w:val="none"/>
        </w:rPr>
        <w:t>，属于（中型企业、小型企业、微型企业）；</w:t>
      </w:r>
    </w:p>
    <w:p w14:paraId="4C3098EF">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2.</w:t>
      </w:r>
      <w:r>
        <w:rPr>
          <w:rFonts w:hint="default" w:ascii="Times New Roman" w:hAnsi="Times New Roman" w:eastAsia="宋体" w:cs="Times New Roman"/>
          <w:color w:val="auto"/>
          <w:spacing w:val="6"/>
          <w:kern w:val="0"/>
          <w:sz w:val="24"/>
          <w:highlight w:val="none"/>
          <w:u w:val="single"/>
        </w:rPr>
        <w:t>（标的名称）</w:t>
      </w:r>
      <w:r>
        <w:rPr>
          <w:rFonts w:hint="default" w:ascii="Times New Roman" w:hAnsi="Times New Roman" w:eastAsia="宋体" w:cs="Times New Roman"/>
          <w:color w:val="auto"/>
          <w:spacing w:val="6"/>
          <w:kern w:val="0"/>
          <w:sz w:val="24"/>
          <w:highlight w:val="none"/>
        </w:rPr>
        <w:t>，属于</w:t>
      </w:r>
      <w:r>
        <w:rPr>
          <w:rFonts w:hint="default" w:ascii="Times New Roman" w:hAnsi="Times New Roman" w:eastAsia="宋体" w:cs="Times New Roman"/>
          <w:color w:val="auto"/>
          <w:spacing w:val="6"/>
          <w:kern w:val="0"/>
          <w:sz w:val="24"/>
          <w:highlight w:val="none"/>
          <w:u w:val="single"/>
        </w:rPr>
        <w:t>（采购文件中明确的所属行业）</w:t>
      </w:r>
      <w:r>
        <w:rPr>
          <w:rFonts w:hint="default" w:ascii="Times New Roman" w:hAnsi="Times New Roman" w:eastAsia="宋体" w:cs="Times New Roman"/>
          <w:color w:val="auto"/>
          <w:spacing w:val="6"/>
          <w:kern w:val="0"/>
          <w:sz w:val="24"/>
          <w:highlight w:val="none"/>
        </w:rPr>
        <w:t>行业；承建（承接）企业为</w:t>
      </w:r>
      <w:r>
        <w:rPr>
          <w:rFonts w:hint="default" w:ascii="Times New Roman" w:hAnsi="Times New Roman" w:eastAsia="宋体" w:cs="Times New Roman"/>
          <w:color w:val="auto"/>
          <w:spacing w:val="6"/>
          <w:kern w:val="0"/>
          <w:sz w:val="24"/>
          <w:highlight w:val="none"/>
          <w:u w:val="single"/>
        </w:rPr>
        <w:t>（企业名称）</w:t>
      </w:r>
      <w:r>
        <w:rPr>
          <w:rFonts w:hint="default" w:ascii="Times New Roman" w:hAnsi="Times New Roman" w:eastAsia="宋体" w:cs="Times New Roman"/>
          <w:color w:val="auto"/>
          <w:spacing w:val="6"/>
          <w:kern w:val="0"/>
          <w:sz w:val="24"/>
          <w:highlight w:val="none"/>
        </w:rPr>
        <w:t>，从业人员______人，营业收入为______万元，资产总额为______万元，属于</w:t>
      </w:r>
      <w:r>
        <w:rPr>
          <w:rFonts w:hint="default" w:ascii="Times New Roman" w:hAnsi="Times New Roman" w:eastAsia="宋体" w:cs="Times New Roman"/>
          <w:color w:val="auto"/>
          <w:spacing w:val="6"/>
          <w:kern w:val="0"/>
          <w:sz w:val="24"/>
          <w:highlight w:val="none"/>
          <w:u w:val="single"/>
        </w:rPr>
        <w:t>（中型企业、小型企业、微型企业）</w:t>
      </w:r>
      <w:r>
        <w:rPr>
          <w:rFonts w:hint="default" w:ascii="Times New Roman" w:hAnsi="Times New Roman" w:eastAsia="宋体" w:cs="Times New Roman"/>
          <w:color w:val="auto"/>
          <w:spacing w:val="6"/>
          <w:kern w:val="0"/>
          <w:sz w:val="24"/>
          <w:highlight w:val="none"/>
        </w:rPr>
        <w:t>；</w:t>
      </w:r>
    </w:p>
    <w:p w14:paraId="6F2499E9">
      <w:pPr>
        <w:spacing w:line="360" w:lineRule="auto"/>
        <w:ind w:firstLine="504"/>
        <w:rPr>
          <w:rFonts w:hint="default" w:ascii="Times New Roman" w:hAnsi="Times New Roman" w:eastAsia="宋体" w:cs="Times New Roman"/>
          <w:color w:val="auto"/>
          <w:spacing w:val="6"/>
          <w:kern w:val="0"/>
          <w:sz w:val="24"/>
          <w:highlight w:val="none"/>
        </w:rPr>
      </w:pPr>
    </w:p>
    <w:p w14:paraId="68B78278">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w:t>
      </w:r>
    </w:p>
    <w:p w14:paraId="058352F9">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以上企业，不属于大企业的分支机构，不存在控股股东为大企业的情形，也不存在与大企业的负责人为同一人的情形。</w:t>
      </w:r>
    </w:p>
    <w:p w14:paraId="465506A1">
      <w:pPr>
        <w:spacing w:line="360" w:lineRule="auto"/>
        <w:ind w:firstLine="504"/>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本企业对上述声明内容的真实性负责。如有虚假，将依法承担相应责任。</w:t>
      </w:r>
    </w:p>
    <w:p w14:paraId="6F552776">
      <w:pPr>
        <w:spacing w:line="360" w:lineRule="auto"/>
        <w:ind w:right="360" w:firstLine="480"/>
        <w:jc w:val="right"/>
        <w:rPr>
          <w:rFonts w:hint="default" w:ascii="Times New Roman" w:hAnsi="Times New Roman" w:eastAsia="宋体" w:cs="Times New Roman"/>
          <w:color w:val="auto"/>
          <w:kern w:val="0"/>
          <w:sz w:val="24"/>
          <w:highlight w:val="none"/>
        </w:rPr>
      </w:pPr>
    </w:p>
    <w:p w14:paraId="76EE88A1">
      <w:pPr>
        <w:spacing w:line="360" w:lineRule="auto"/>
        <w:ind w:right="360" w:firstLine="480"/>
        <w:jc w:val="righ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企业名称（加盖公章）：________</w:t>
      </w:r>
    </w:p>
    <w:p w14:paraId="2060129E">
      <w:pPr>
        <w:spacing w:line="360" w:lineRule="auto"/>
        <w:ind w:right="360" w:firstLine="480"/>
        <w:jc w:val="righ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日 期：________</w:t>
      </w:r>
    </w:p>
    <w:p w14:paraId="7D27137B">
      <w:pPr>
        <w:jc w:val="left"/>
        <w:rPr>
          <w:rFonts w:hint="default" w:ascii="Times New Roman" w:hAnsi="Times New Roman" w:eastAsia="宋体" w:cs="Times New Roman"/>
          <w:color w:val="auto"/>
          <w:kern w:val="0"/>
          <w:sz w:val="24"/>
          <w:szCs w:val="21"/>
          <w:highlight w:val="none"/>
        </w:rPr>
      </w:pPr>
    </w:p>
    <w:p w14:paraId="34763F47">
      <w:pPr>
        <w:jc w:val="left"/>
        <w:rPr>
          <w:rFonts w:hint="default" w:ascii="Times New Roman" w:hAnsi="Times New Roman" w:eastAsia="宋体" w:cs="Times New Roman"/>
          <w:color w:val="auto"/>
          <w:kern w:val="0"/>
          <w:sz w:val="24"/>
          <w:szCs w:val="21"/>
          <w:highlight w:val="none"/>
        </w:rPr>
      </w:pPr>
    </w:p>
    <w:tbl>
      <w:tblPr>
        <w:tblStyle w:val="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630"/>
      </w:tblGrid>
      <w:tr w14:paraId="7DC01D8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083C253">
            <w:pPr>
              <w:jc w:val="left"/>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vertAlign w:val="superscript"/>
              </w:rPr>
              <w:t>1</w:t>
            </w:r>
            <w:r>
              <w:rPr>
                <w:rFonts w:hint="default" w:ascii="Times New Roman" w:hAnsi="Times New Roman" w:eastAsia="宋体" w:cs="Times New Roman"/>
                <w:color w:val="auto"/>
                <w:kern w:val="0"/>
                <w:szCs w:val="21"/>
                <w:highlight w:val="none"/>
              </w:rPr>
              <w:t>从业人员、营业收入、资产总额填报上一年度数据，无上一年度数据的新成立企业可不填报。</w:t>
            </w:r>
          </w:p>
        </w:tc>
      </w:tr>
    </w:tbl>
    <w:p w14:paraId="3123FFE5">
      <w:pPr>
        <w:jc w:val="left"/>
        <w:rPr>
          <w:rFonts w:hint="default" w:ascii="Times New Roman" w:hAnsi="Times New Roman" w:eastAsia="宋体" w:cs="Times New Roman"/>
          <w:color w:val="auto"/>
          <w:kern w:val="0"/>
          <w:szCs w:val="21"/>
          <w:highlight w:val="none"/>
          <w:vertAlign w:val="superscript"/>
        </w:rPr>
      </w:pPr>
    </w:p>
    <w:p w14:paraId="04A5BD02">
      <w:pPr>
        <w:spacing w:line="360" w:lineRule="auto"/>
        <w:ind w:firstLine="482"/>
        <w:jc w:val="left"/>
        <w:rPr>
          <w:rFonts w:hint="default" w:ascii="Times New Roman" w:hAnsi="Times New Roman" w:eastAsia="宋体" w:cs="Times New Roman"/>
          <w:color w:val="auto"/>
          <w:kern w:val="0"/>
          <w:sz w:val="24"/>
          <w:highlight w:val="none"/>
        </w:rPr>
      </w:pPr>
    </w:p>
    <w:p w14:paraId="500D92A5">
      <w:pPr>
        <w:spacing w:line="360" w:lineRule="auto"/>
        <w:ind w:firstLine="482"/>
        <w:rPr>
          <w:rFonts w:hint="default" w:ascii="Times New Roman" w:hAnsi="Times New Roman" w:eastAsia="宋体" w:cs="Times New Roman"/>
          <w:color w:val="auto"/>
          <w:kern w:val="0"/>
          <w:sz w:val="24"/>
          <w:highlight w:val="none"/>
        </w:rPr>
      </w:pPr>
    </w:p>
    <w:p w14:paraId="5BEB5058">
      <w:pPr>
        <w:spacing w:before="319" w:after="319" w:line="360" w:lineRule="auto"/>
        <w:ind w:firstLine="482"/>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xml:space="preserve"> </w:t>
      </w:r>
    </w:p>
    <w:p w14:paraId="04A6FB75">
      <w:pPr>
        <w:spacing w:before="319" w:after="319" w:line="360" w:lineRule="auto"/>
        <w:ind w:firstLine="482"/>
        <w:rPr>
          <w:rFonts w:hint="default" w:ascii="Times New Roman" w:hAnsi="Times New Roman" w:eastAsia="宋体" w:cs="Times New Roman"/>
          <w:color w:val="auto"/>
          <w:kern w:val="0"/>
          <w:sz w:val="24"/>
          <w:highlight w:val="none"/>
        </w:rPr>
      </w:pPr>
    </w:p>
    <w:p w14:paraId="44BC00FD">
      <w:pPr>
        <w:spacing w:before="319" w:after="319" w:line="360" w:lineRule="auto"/>
        <w:ind w:firstLine="482"/>
        <w:rPr>
          <w:rFonts w:hint="default" w:ascii="Times New Roman" w:hAnsi="Times New Roman" w:eastAsia="宋体" w:cs="Times New Roman"/>
          <w:color w:val="auto"/>
          <w:kern w:val="0"/>
          <w:sz w:val="24"/>
          <w:highlight w:val="none"/>
        </w:rPr>
      </w:pPr>
    </w:p>
    <w:p w14:paraId="448B6992">
      <w:pPr>
        <w:spacing w:before="159" w:line="360" w:lineRule="auto"/>
        <w:ind w:firstLine="562"/>
        <w:jc w:val="center"/>
        <w:rPr>
          <w:rFonts w:hint="default"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 xml:space="preserve">残疾人福利性单位声明函格式 </w:t>
      </w:r>
    </w:p>
    <w:p w14:paraId="089B6BE7">
      <w:pPr>
        <w:spacing w:line="360" w:lineRule="auto"/>
        <w:ind w:firstLine="506"/>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本单位郑重声明，根据《财政部 民政部 中国残疾人联合会关于促进残疾人就业政府采购政策的通知》（财库</w:t>
      </w:r>
      <w:r>
        <w:rPr>
          <w:rFonts w:hint="default" w:ascii="Times New Roman" w:hAnsi="Times New Roman" w:eastAsia="宋体" w:cs="Times New Roman"/>
          <w:color w:val="auto"/>
          <w:kern w:val="0"/>
          <w:sz w:val="24"/>
          <w:highlight w:val="none"/>
        </w:rPr>
        <w:t>〔2017〕141</w:t>
      </w:r>
      <w:r>
        <w:rPr>
          <w:rFonts w:hint="default" w:ascii="Times New Roman" w:hAnsi="Times New Roman" w:eastAsia="宋体" w:cs="Times New Roman"/>
          <w:color w:val="auto"/>
          <w:spacing w:val="6"/>
          <w:kern w:val="0"/>
          <w:sz w:val="24"/>
          <w:highlight w:val="none"/>
        </w:rPr>
        <w:t>号）的规定，本单位</w:t>
      </w:r>
      <w:r>
        <w:rPr>
          <w:rFonts w:hint="default" w:ascii="Times New Roman" w:hAnsi="Times New Roman" w:eastAsia="宋体" w:cs="Times New Roman"/>
          <w:b/>
          <w:color w:val="auto"/>
          <w:kern w:val="0"/>
          <w:sz w:val="24"/>
          <w:highlight w:val="none"/>
        </w:rPr>
        <w:t>（请进行勾选）</w:t>
      </w:r>
      <w:r>
        <w:rPr>
          <w:rFonts w:hint="default" w:ascii="Times New Roman" w:hAnsi="Times New Roman" w:eastAsia="宋体" w:cs="Times New Roman"/>
          <w:color w:val="auto"/>
          <w:spacing w:val="6"/>
          <w:kern w:val="0"/>
          <w:sz w:val="24"/>
          <w:highlight w:val="none"/>
        </w:rPr>
        <w:t>：</w:t>
      </w:r>
    </w:p>
    <w:p w14:paraId="36231DE6">
      <w:pPr>
        <w:spacing w:line="360" w:lineRule="auto"/>
        <w:ind w:firstLine="482"/>
        <w:rPr>
          <w:rFonts w:hint="default" w:ascii="Times New Roman" w:hAnsi="Times New Roman" w:eastAsia="宋体" w:cs="Times New Roman"/>
          <w:b/>
          <w:color w:val="auto"/>
          <w:spacing w:val="6"/>
          <w:kern w:val="0"/>
          <w:sz w:val="24"/>
          <w:highlight w:val="none"/>
        </w:rPr>
      </w:pPr>
      <w:r>
        <w:rPr>
          <w:rFonts w:hint="default" w:ascii="Times New Roman" w:hAnsi="Times New Roman" w:eastAsia="宋体" w:cs="Times New Roman"/>
          <w:b/>
          <w:color w:val="auto"/>
          <w:kern w:val="0"/>
          <w:sz w:val="24"/>
          <w:highlight w:val="none"/>
        </w:rPr>
        <w:t>□</w:t>
      </w:r>
      <w:r>
        <w:rPr>
          <w:rFonts w:hint="default" w:ascii="Times New Roman" w:hAnsi="Times New Roman" w:eastAsia="宋体" w:cs="Times New Roman"/>
          <w:b/>
          <w:color w:val="auto"/>
          <w:spacing w:val="6"/>
          <w:kern w:val="0"/>
          <w:sz w:val="24"/>
          <w:highlight w:val="none"/>
        </w:rPr>
        <w:t>不属于符合条件的残疾人福利性单位。</w:t>
      </w:r>
    </w:p>
    <w:p w14:paraId="2737DBE5">
      <w:pPr>
        <w:spacing w:line="360" w:lineRule="auto"/>
        <w:ind w:firstLine="482"/>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b/>
          <w:color w:val="auto"/>
          <w:kern w:val="0"/>
          <w:sz w:val="24"/>
          <w:highlight w:val="none"/>
        </w:rPr>
        <w:t>□</w:t>
      </w:r>
      <w:r>
        <w:rPr>
          <w:rFonts w:hint="default" w:ascii="Times New Roman" w:hAnsi="Times New Roman" w:eastAsia="宋体" w:cs="Times New Roman"/>
          <w:b/>
          <w:color w:val="auto"/>
          <w:spacing w:val="6"/>
          <w:kern w:val="0"/>
          <w:sz w:val="24"/>
          <w:highlight w:val="none"/>
        </w:rPr>
        <w:t>属于符合条件的残疾人福利性单位，</w:t>
      </w:r>
      <w:r>
        <w:rPr>
          <w:rFonts w:hint="default" w:ascii="Times New Roman" w:hAnsi="Times New Roman" w:eastAsia="宋体" w:cs="Times New Roman"/>
          <w:color w:val="auto"/>
          <w:spacing w:val="6"/>
          <w:kern w:val="0"/>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2FAA91F">
      <w:pPr>
        <w:spacing w:line="360" w:lineRule="auto"/>
        <w:ind w:firstLine="506"/>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b/>
          <w:color w:val="auto"/>
          <w:spacing w:val="6"/>
          <w:kern w:val="0"/>
          <w:sz w:val="24"/>
          <w:highlight w:val="none"/>
        </w:rPr>
        <w:t>本单位对上述声明的真实性负责。如有虚假，将依法承担相应责任。</w:t>
      </w:r>
    </w:p>
    <w:p w14:paraId="070EC945">
      <w:pPr>
        <w:spacing w:line="360" w:lineRule="auto"/>
        <w:ind w:firstLine="504"/>
        <w:rPr>
          <w:rFonts w:hint="default" w:ascii="Times New Roman" w:hAnsi="Times New Roman" w:eastAsia="宋体" w:cs="Times New Roman"/>
          <w:color w:val="auto"/>
          <w:spacing w:val="6"/>
          <w:kern w:val="0"/>
          <w:sz w:val="24"/>
          <w:highlight w:val="none"/>
        </w:rPr>
      </w:pPr>
    </w:p>
    <w:p w14:paraId="348E3C99">
      <w:pPr>
        <w:spacing w:line="360" w:lineRule="auto"/>
        <w:ind w:firstLine="504"/>
        <w:rPr>
          <w:rFonts w:hint="default" w:ascii="Times New Roman" w:hAnsi="Times New Roman" w:eastAsia="宋体" w:cs="Times New Roman"/>
          <w:color w:val="auto"/>
          <w:spacing w:val="6"/>
          <w:kern w:val="0"/>
          <w:sz w:val="24"/>
          <w:highlight w:val="none"/>
        </w:rPr>
      </w:pPr>
    </w:p>
    <w:p w14:paraId="6F575EF3">
      <w:pPr>
        <w:tabs>
          <w:tab w:val="left" w:pos="4860"/>
        </w:tabs>
        <w:spacing w:line="360" w:lineRule="auto"/>
        <w:ind w:right="1560" w:firstLine="504"/>
        <w:jc w:val="center"/>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 xml:space="preserve">               单位名称（加盖公章）：</w:t>
      </w:r>
    </w:p>
    <w:p w14:paraId="136DCE64">
      <w:pPr>
        <w:tabs>
          <w:tab w:val="left" w:pos="4860"/>
        </w:tabs>
        <w:spacing w:line="360" w:lineRule="auto"/>
        <w:ind w:right="1560" w:firstLine="504"/>
        <w:jc w:val="center"/>
        <w:rPr>
          <w:rFonts w:hint="default" w:ascii="Times New Roman" w:hAnsi="Times New Roman" w:eastAsia="宋体" w:cs="Times New Roman"/>
          <w:color w:val="auto"/>
          <w:spacing w:val="6"/>
          <w:kern w:val="0"/>
          <w:sz w:val="24"/>
          <w:highlight w:val="none"/>
        </w:rPr>
      </w:pPr>
      <w:r>
        <w:rPr>
          <w:rFonts w:hint="default" w:ascii="Times New Roman" w:hAnsi="Times New Roman" w:eastAsia="宋体" w:cs="Times New Roman"/>
          <w:color w:val="auto"/>
          <w:spacing w:val="6"/>
          <w:kern w:val="0"/>
          <w:sz w:val="24"/>
          <w:highlight w:val="none"/>
        </w:rPr>
        <w:t xml:space="preserve">  日  期：</w:t>
      </w:r>
    </w:p>
    <w:p w14:paraId="53766336">
      <w:pPr>
        <w:spacing w:line="360" w:lineRule="auto"/>
        <w:ind w:firstLine="480"/>
        <w:rPr>
          <w:rFonts w:hint="default" w:ascii="Times New Roman" w:hAnsi="Times New Roman" w:eastAsia="宋体" w:cs="Times New Roman"/>
          <w:b/>
          <w:color w:val="auto"/>
          <w:kern w:val="0"/>
          <w:sz w:val="24"/>
          <w:highlight w:val="none"/>
        </w:rPr>
      </w:pPr>
    </w:p>
    <w:p w14:paraId="11BE21ED">
      <w:pPr>
        <w:spacing w:line="360" w:lineRule="auto"/>
        <w:outlineLvl w:val="2"/>
        <w:rPr>
          <w:rFonts w:hint="eastAsia" w:ascii="宋体" w:hAnsi="宋体" w:eastAsia="宋体" w:cs="Times New Roman"/>
          <w:color w:val="auto"/>
          <w:kern w:val="0"/>
          <w:sz w:val="24"/>
          <w:szCs w:val="22"/>
          <w:highlight w:val="none"/>
        </w:rPr>
      </w:pPr>
      <w:r>
        <w:rPr>
          <w:rFonts w:hint="default" w:ascii="Times New Roman" w:hAnsi="Times New Roman" w:eastAsia="宋体" w:cs="Times New Roman"/>
          <w:color w:val="auto"/>
          <w:kern w:val="0"/>
          <w:sz w:val="24"/>
          <w:szCs w:val="20"/>
          <w:highlight w:val="none"/>
        </w:rPr>
        <w:br w:type="page" w:clear="all"/>
      </w:r>
      <w:r>
        <w:rPr>
          <w:rFonts w:hint="eastAsia" w:ascii="宋体" w:hAnsi="宋体" w:eastAsia="宋体" w:cs="Times New Roman"/>
          <w:color w:val="auto"/>
          <w:kern w:val="0"/>
          <w:sz w:val="24"/>
          <w:szCs w:val="22"/>
          <w:highlight w:val="none"/>
        </w:rPr>
        <w:t>10项目实施方案</w:t>
      </w:r>
    </w:p>
    <w:p w14:paraId="05DA0130">
      <w:pPr>
        <w:spacing w:line="360" w:lineRule="auto"/>
        <w:outlineLvl w:val="2"/>
        <w:rPr>
          <w:rFonts w:hint="default" w:ascii="宋体" w:hAnsi="宋体" w:eastAsia="宋体" w:cs="Times New Roman"/>
          <w:color w:val="auto"/>
          <w:kern w:val="0"/>
          <w:sz w:val="24"/>
          <w:szCs w:val="22"/>
          <w:highlight w:val="none"/>
          <w:lang w:val="en-US" w:eastAsia="zh-CN"/>
        </w:rPr>
      </w:pPr>
      <w:r>
        <w:rPr>
          <w:rFonts w:hint="eastAsia" w:ascii="宋体" w:hAnsi="宋体" w:eastAsia="宋体" w:cs="Times New Roman"/>
          <w:color w:val="auto"/>
          <w:kern w:val="0"/>
          <w:sz w:val="24"/>
          <w:szCs w:val="22"/>
          <w:highlight w:val="none"/>
          <w:lang w:val="en-US" w:eastAsia="zh-CN"/>
        </w:rPr>
        <w:t>根据评分细则主观分部分，自行编制。</w:t>
      </w:r>
    </w:p>
    <w:p w14:paraId="4364C35A">
      <w:pPr>
        <w:spacing w:line="360" w:lineRule="auto"/>
        <w:ind w:firstLine="480"/>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4C63DC01">
      <w:pPr>
        <w:spacing w:line="360" w:lineRule="auto"/>
        <w:ind w:left="228" w:hanging="228"/>
        <w:outlineLvl w:val="2"/>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11 参加本项目人员一览表</w:t>
      </w:r>
    </w:p>
    <w:p w14:paraId="59248079">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参加本项目人员一览表</w:t>
      </w:r>
    </w:p>
    <w:p w14:paraId="540CE230">
      <w:pPr>
        <w:spacing w:line="360" w:lineRule="auto"/>
        <w:ind w:left="228" w:hanging="228"/>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项目编号： </w:t>
      </w:r>
    </w:p>
    <w:tbl>
      <w:tblPr>
        <w:tblStyle w:val="7"/>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55D0E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3366C460">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6B7A1BF">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1E82B9">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2D7B2AA">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272244">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710C8E">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66EDF0">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B85F05">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D47A64">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责任</w:t>
            </w:r>
          </w:p>
          <w:p w14:paraId="45485E04">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BE26649">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项目经历或主要工作</w:t>
            </w:r>
          </w:p>
          <w:p w14:paraId="17843018">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业绩</w:t>
            </w:r>
          </w:p>
        </w:tc>
      </w:tr>
      <w:tr w14:paraId="41DD13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5CD04B57">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6CA21F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D1FB196">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83E463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E6F8C5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2F30CF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6FB2A1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0D934B">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A97A61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833968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570756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3B4F446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FCD954B">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F59C13B">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B6E07C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2A5B34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34D3787">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DFEBE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C8C9D0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28D23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D3CF0B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05AF8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1A01FC3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0157D8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251C4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62818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E25B756">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95B33D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D7230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5BEFA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5C64E6B">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166DBF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4ED627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04C438F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D74893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D2574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70E23C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5A875C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6B0C66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368939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38F11E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555273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FC250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045F5D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46588B5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FB613D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855D1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FF0E84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51ED54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AA79F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DC0A7C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BC117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1B5E3B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FD1B0F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62AA3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67A5062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04BA4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C04F5B8">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6F145A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D095B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31E23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EF9432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7687DD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D95035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E5D05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bl>
    <w:p w14:paraId="1BE1033A">
      <w:pPr>
        <w:spacing w:line="360" w:lineRule="auto"/>
        <w:ind w:left="228" w:hanging="228"/>
        <w:contextualSpacing/>
        <w:rPr>
          <w:rFonts w:hint="eastAsia" w:ascii="宋体" w:hAnsi="宋体" w:eastAsia="宋体" w:cs="Times New Roman"/>
          <w:bCs/>
          <w:color w:val="auto"/>
          <w:kern w:val="0"/>
          <w:sz w:val="24"/>
          <w:szCs w:val="22"/>
          <w:highlight w:val="none"/>
        </w:rPr>
      </w:pPr>
    </w:p>
    <w:p w14:paraId="49E98CED">
      <w:pPr>
        <w:spacing w:line="360" w:lineRule="auto"/>
        <w:ind w:left="228" w:hanging="228"/>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注：参加本项目人员须是投标人正式职工。</w:t>
      </w:r>
    </w:p>
    <w:p w14:paraId="65818932">
      <w:pPr>
        <w:spacing w:line="360" w:lineRule="auto"/>
        <w:ind w:left="228" w:hanging="228"/>
        <w:contextualSpacing/>
        <w:rPr>
          <w:rFonts w:hint="eastAsia" w:ascii="宋体" w:hAnsi="宋体" w:eastAsia="宋体" w:cs="Times New Roman"/>
          <w:bCs/>
          <w:color w:val="auto"/>
          <w:kern w:val="0"/>
          <w:sz w:val="24"/>
          <w:szCs w:val="22"/>
          <w:highlight w:val="none"/>
        </w:rPr>
      </w:pPr>
    </w:p>
    <w:p w14:paraId="73FC7BA7">
      <w:pPr>
        <w:spacing w:line="360" w:lineRule="auto"/>
        <w:ind w:left="228" w:hanging="228"/>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名称（加盖公章）：    ____________</w:t>
      </w:r>
    </w:p>
    <w:p w14:paraId="3D57E18B">
      <w:pPr>
        <w:spacing w:line="360" w:lineRule="auto"/>
        <w:ind w:left="228" w:hanging="228"/>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日期：_____年______月______日   </w:t>
      </w:r>
      <w:bookmarkStart w:id="522" w:name="_Toc288738397"/>
      <w:bookmarkEnd w:id="522"/>
      <w:bookmarkStart w:id="523" w:name="_Toc288738839"/>
      <w:bookmarkEnd w:id="523"/>
    </w:p>
    <w:p w14:paraId="27F1A51E">
      <w:pPr>
        <w:spacing w:line="360" w:lineRule="auto"/>
        <w:ind w:left="228" w:hanging="228"/>
        <w:outlineLvl w:val="2"/>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25C65F5F">
      <w:pPr>
        <w:spacing w:line="360" w:lineRule="auto"/>
        <w:ind w:left="228" w:hanging="228"/>
        <w:outlineLvl w:val="2"/>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12 相关业绩案例一览表</w:t>
      </w:r>
    </w:p>
    <w:p w14:paraId="424146C4">
      <w:pPr>
        <w:spacing w:line="360" w:lineRule="auto"/>
        <w:ind w:left="267" w:hanging="267"/>
        <w:jc w:val="center"/>
        <w:rPr>
          <w:rFonts w:hint="eastAsia" w:ascii="宋体" w:hAnsi="宋体" w:eastAsia="宋体" w:cs="Times New Roman"/>
          <w:b/>
          <w:color w:val="auto"/>
          <w:kern w:val="0"/>
          <w:sz w:val="28"/>
          <w:szCs w:val="28"/>
          <w:highlight w:val="none"/>
        </w:rPr>
      </w:pPr>
      <w:r>
        <w:rPr>
          <w:rFonts w:hint="eastAsia" w:ascii="宋体" w:hAnsi="宋体" w:eastAsia="宋体" w:cs="Times New Roman"/>
          <w:b/>
          <w:color w:val="auto"/>
          <w:kern w:val="0"/>
          <w:sz w:val="28"/>
          <w:szCs w:val="28"/>
          <w:highlight w:val="none"/>
        </w:rPr>
        <w:t>相关业绩案例一览表</w:t>
      </w:r>
    </w:p>
    <w:p w14:paraId="18631491">
      <w:pPr>
        <w:spacing w:line="360" w:lineRule="auto"/>
        <w:ind w:left="228" w:hanging="228"/>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 xml:space="preserve">项目编号：                   </w:t>
      </w:r>
    </w:p>
    <w:tbl>
      <w:tblPr>
        <w:tblStyle w:val="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C398BCE">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B928510">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85A5A92">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5C949C5">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1FF1DFA">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F860532">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C4C1076">
            <w:pPr>
              <w:spacing w:line="360" w:lineRule="auto"/>
              <w:ind w:left="228" w:hanging="228"/>
              <w:contextualSpacing/>
              <w:jc w:val="center"/>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联系电话</w:t>
            </w:r>
          </w:p>
        </w:tc>
      </w:tr>
      <w:tr w14:paraId="2E4273E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78B3708">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7142C1A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769A71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8170E6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29C02B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50F432D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65786BF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6B573A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2CF383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74062BD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665B3A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DD37C3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5826A727">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6170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2392E8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15FF1F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7CABC4C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20BBF07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7737DE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09D143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22D465B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AAAA07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7B8098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96F53F7">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712F7A0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3A8D19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D2DAF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5361C14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58C97F6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826A70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D2AA3F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24A7E0D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935E93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E563F8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4C3EDED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72A6447">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6B0FE24">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15354B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F449D31">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F4A33DB">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7E9A60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0530B9C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B1BB7C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42291E9">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3B61D2C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21127B5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7366F8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A402FF8">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754539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5458C0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411AB3F">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A018B7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AD3EEB5">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6E8699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60513CDD">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r w14:paraId="101C126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9BA66F2">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10FED3A">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7485233">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B367BFC">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685D34E">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0561200">
            <w:pPr>
              <w:spacing w:line="360" w:lineRule="auto"/>
              <w:ind w:left="228" w:hanging="228"/>
              <w:contextualSpacing/>
              <w:jc w:val="center"/>
              <w:rPr>
                <w:rFonts w:hint="eastAsia" w:ascii="宋体" w:hAnsi="宋体" w:eastAsia="宋体" w:cs="Times New Roman"/>
                <w:bCs/>
                <w:color w:val="auto"/>
                <w:kern w:val="0"/>
                <w:sz w:val="24"/>
                <w:szCs w:val="22"/>
                <w:highlight w:val="none"/>
              </w:rPr>
            </w:pPr>
          </w:p>
        </w:tc>
      </w:tr>
    </w:tbl>
    <w:p w14:paraId="29D4362D">
      <w:pPr>
        <w:spacing w:line="360" w:lineRule="auto"/>
        <w:ind w:left="228" w:hanging="228"/>
        <w:contextualSpacing/>
        <w:rPr>
          <w:rFonts w:hint="eastAsia" w:ascii="宋体" w:hAnsi="宋体" w:eastAsia="宋体" w:cs="Times New Roman"/>
          <w:bCs/>
          <w:color w:val="auto"/>
          <w:kern w:val="0"/>
          <w:sz w:val="24"/>
          <w:szCs w:val="22"/>
          <w:highlight w:val="none"/>
        </w:rPr>
      </w:pPr>
    </w:p>
    <w:p w14:paraId="7300AB70">
      <w:pPr>
        <w:spacing w:line="360" w:lineRule="auto"/>
        <w:ind w:left="228" w:hanging="228"/>
        <w:contextualSpacing/>
        <w:rPr>
          <w:rFonts w:hint="eastAsia" w:ascii="宋体" w:hAnsi="宋体" w:eastAsia="宋体" w:cs="Times New Roman"/>
          <w:bCs/>
          <w:color w:val="auto"/>
          <w:kern w:val="0"/>
          <w:sz w:val="24"/>
          <w:szCs w:val="22"/>
          <w:highlight w:val="none"/>
        </w:rPr>
      </w:pPr>
    </w:p>
    <w:p w14:paraId="41BF5397">
      <w:pPr>
        <w:spacing w:line="360" w:lineRule="auto"/>
        <w:ind w:left="228" w:hanging="228"/>
        <w:contextualSpacing/>
        <w:rPr>
          <w:rFonts w:hint="eastAsia" w:ascii="宋体" w:hAnsi="宋体" w:eastAsia="宋体" w:cs="Times New Roman"/>
          <w:bCs/>
          <w:color w:val="auto"/>
          <w:kern w:val="0"/>
          <w:sz w:val="24"/>
          <w:szCs w:val="22"/>
          <w:highlight w:val="none"/>
        </w:rPr>
      </w:pPr>
      <w:r>
        <w:rPr>
          <w:rFonts w:hint="eastAsia" w:ascii="宋体" w:hAnsi="宋体" w:eastAsia="宋体" w:cs="Times New Roman"/>
          <w:bCs/>
          <w:color w:val="auto"/>
          <w:kern w:val="0"/>
          <w:sz w:val="24"/>
          <w:szCs w:val="22"/>
          <w:highlight w:val="none"/>
        </w:rPr>
        <w:t>投标人</w:t>
      </w:r>
      <w:r>
        <w:rPr>
          <w:rFonts w:hint="default" w:ascii="宋体" w:hAnsi="宋体" w:eastAsia="宋体" w:cs="Times New Roman"/>
          <w:bCs/>
          <w:color w:val="auto"/>
          <w:kern w:val="0"/>
          <w:sz w:val="24"/>
          <w:szCs w:val="22"/>
          <w:highlight w:val="none"/>
        </w:rPr>
        <w:t>名称（加盖公章）：    ____________</w:t>
      </w:r>
    </w:p>
    <w:p w14:paraId="0E46CB38">
      <w:pPr>
        <w:spacing w:line="360" w:lineRule="auto"/>
        <w:ind w:left="228" w:hanging="228"/>
        <w:contextualSpacing/>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t xml:space="preserve">日期：_____年______月______日   </w:t>
      </w:r>
    </w:p>
    <w:p w14:paraId="24DB35DA">
      <w:pPr>
        <w:widowControl/>
        <w:jc w:val="left"/>
        <w:rPr>
          <w:rFonts w:hint="eastAsia" w:ascii="宋体" w:hAnsi="宋体" w:eastAsia="宋体" w:cs="Times New Roman"/>
          <w:bCs/>
          <w:color w:val="auto"/>
          <w:kern w:val="0"/>
          <w:sz w:val="24"/>
          <w:szCs w:val="22"/>
          <w:highlight w:val="none"/>
        </w:rPr>
      </w:pPr>
      <w:r>
        <w:rPr>
          <w:rFonts w:hint="default" w:ascii="宋体" w:hAnsi="宋体" w:eastAsia="宋体" w:cs="Times New Roman"/>
          <w:bCs/>
          <w:color w:val="auto"/>
          <w:kern w:val="0"/>
          <w:sz w:val="24"/>
          <w:szCs w:val="22"/>
          <w:highlight w:val="none"/>
        </w:rPr>
        <w:br w:type="page" w:clear="all"/>
      </w:r>
    </w:p>
    <w:p w14:paraId="2051C6E5">
      <w:pPr>
        <w:spacing w:line="360" w:lineRule="auto"/>
        <w:ind w:left="228" w:hanging="228"/>
        <w:contextualSpacing/>
        <w:rPr>
          <w:rFonts w:hint="eastAsia" w:ascii="宋体" w:hAnsi="宋体" w:eastAsia="宋体"/>
          <w:bCs/>
          <w:color w:val="auto"/>
          <w:sz w:val="24"/>
          <w:highlight w:val="none"/>
        </w:rPr>
        <w:sectPr>
          <w:pgSz w:w="11906" w:h="16838"/>
          <w:pgMar w:top="1440" w:right="1800" w:bottom="1440" w:left="1800" w:header="851" w:footer="992" w:gutter="0"/>
          <w:pgNumType w:fmt="decimal"/>
          <w:cols w:space="425" w:num="1"/>
          <w:docGrid w:linePitch="360" w:charSpace="0"/>
        </w:sectPr>
      </w:pPr>
    </w:p>
    <w:p w14:paraId="617D8898">
      <w:pPr>
        <w:spacing w:line="360" w:lineRule="auto"/>
        <w:ind w:left="228" w:hanging="228"/>
        <w:outlineLvl w:val="2"/>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13招标</w:t>
      </w:r>
      <w:r>
        <w:rPr>
          <w:rFonts w:hint="default" w:ascii="宋体" w:hAnsi="宋体" w:eastAsia="宋体" w:cs="Times New Roman"/>
          <w:color w:val="auto"/>
          <w:kern w:val="0"/>
          <w:sz w:val="24"/>
          <w:szCs w:val="22"/>
          <w:highlight w:val="none"/>
        </w:rPr>
        <w:t>文件要求提供或</w:t>
      </w:r>
      <w:r>
        <w:rPr>
          <w:rFonts w:hint="eastAsia" w:ascii="宋体" w:hAnsi="宋体" w:eastAsia="宋体" w:cs="Times New Roman"/>
          <w:color w:val="auto"/>
          <w:kern w:val="0"/>
          <w:sz w:val="24"/>
          <w:szCs w:val="22"/>
          <w:highlight w:val="none"/>
        </w:rPr>
        <w:t>投标人</w:t>
      </w:r>
      <w:r>
        <w:rPr>
          <w:rFonts w:hint="default" w:ascii="宋体" w:hAnsi="宋体" w:eastAsia="宋体" w:cs="Times New Roman"/>
          <w:color w:val="auto"/>
          <w:kern w:val="0"/>
          <w:sz w:val="24"/>
          <w:szCs w:val="22"/>
          <w:highlight w:val="none"/>
        </w:rPr>
        <w:t>认为应附的其他材料</w:t>
      </w:r>
    </w:p>
    <w:p w14:paraId="503B1761">
      <w:pPr>
        <w:spacing w:line="360" w:lineRule="auto"/>
        <w:ind w:left="228" w:hanging="228"/>
        <w:contextualSpacing/>
        <w:rPr>
          <w:rFonts w:hint="eastAsia" w:ascii="宋体" w:hAnsi="宋体" w:eastAsia="宋体" w:cs="Times New Roman"/>
          <w:bCs/>
          <w:color w:val="auto"/>
          <w:kern w:val="0"/>
          <w:sz w:val="24"/>
          <w:szCs w:val="22"/>
          <w:highlight w:val="none"/>
        </w:rPr>
      </w:pPr>
    </w:p>
    <w:p w14:paraId="053CD398">
      <w:pPr>
        <w:spacing w:line="360" w:lineRule="auto"/>
        <w:ind w:left="228" w:hanging="228"/>
        <w:contextualSpacing/>
        <w:rPr>
          <w:rFonts w:hint="eastAsia" w:ascii="宋体" w:hAnsi="宋体" w:eastAsia="宋体" w:cs="Times New Roman"/>
          <w:bCs/>
          <w:color w:val="auto"/>
          <w:kern w:val="0"/>
          <w:sz w:val="24"/>
          <w:szCs w:val="22"/>
          <w:highlight w:val="none"/>
        </w:rPr>
      </w:pPr>
    </w:p>
    <w:p w14:paraId="5BB3270D">
      <w:pPr>
        <w:spacing w:line="360" w:lineRule="auto"/>
        <w:ind w:left="228" w:hanging="228"/>
        <w:contextualSpacing/>
        <w:rPr>
          <w:rFonts w:hint="eastAsia" w:ascii="宋体" w:hAnsi="宋体" w:eastAsia="宋体" w:cs="Times New Roman"/>
          <w:bCs/>
          <w:color w:val="auto"/>
          <w:kern w:val="0"/>
          <w:sz w:val="24"/>
          <w:szCs w:val="22"/>
          <w:highlight w:val="none"/>
        </w:rPr>
      </w:pPr>
    </w:p>
    <w:p w14:paraId="3B3629BF">
      <w:pPr>
        <w:spacing w:line="360" w:lineRule="auto"/>
        <w:ind w:left="228" w:hanging="228"/>
        <w:jc w:val="center"/>
        <w:outlineLvl w:val="2"/>
        <w:rPr>
          <w:rFonts w:hint="eastAsia" w:ascii="宋体" w:hAnsi="宋体" w:eastAsia="宋体" w:cs="Times New Roman"/>
          <w:color w:val="auto"/>
          <w:kern w:val="0"/>
          <w:sz w:val="24"/>
          <w:szCs w:val="22"/>
          <w:highlight w:val="none"/>
        </w:rPr>
      </w:pPr>
      <w:r>
        <w:rPr>
          <w:rFonts w:hint="eastAsia" w:ascii="宋体" w:hAnsi="宋体" w:eastAsia="宋体" w:cs="Times New Roman"/>
          <w:color w:val="auto"/>
          <w:kern w:val="0"/>
          <w:sz w:val="24"/>
          <w:szCs w:val="22"/>
          <w:highlight w:val="none"/>
        </w:rPr>
        <w:t>（全文完）</w:t>
      </w:r>
    </w:p>
    <w:p w14:paraId="44BF0A5E">
      <w:pPr>
        <w:rPr>
          <w:color w:val="auto"/>
          <w:highlight w:val="none"/>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ascii="Calibri" w:hAnsi="Calibri" w:eastAsia="Arial" w:cs="Times New Roman"/>
        <w:sz w:val="21"/>
        <w:szCs w:val="22"/>
      </w:rPr>
      <w:id w:val="-2018119952"/>
    </w:sdtPr>
    <w:sdtEndPr>
      <w:rPr>
        <w:rFonts w:hint="default" w:ascii="Calibri" w:hAnsi="Calibri" w:eastAsia="Arial" w:cs="Times New Roman"/>
        <w:sz w:val="18"/>
        <w:szCs w:val="18"/>
      </w:rPr>
    </w:sdtEndPr>
    <w:sdtContent>
      <w:p w14:paraId="013CA5BE">
        <w:pPr>
          <w:widowControl w:val="0"/>
          <w:tabs>
            <w:tab w:val="center" w:pos="4153"/>
            <w:tab w:val="right" w:pos="8306"/>
          </w:tabs>
          <w:jc w:val="center"/>
          <w:rPr>
            <w:rFonts w:hint="default" w:ascii="Calibri" w:hAnsi="Calibri" w:eastAsia="Arial" w:cs="Times New Roman"/>
            <w:sz w:val="18"/>
            <w:szCs w:val="18"/>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43270">
    <w:pPr>
      <w:widowControl w:val="0"/>
      <w:tabs>
        <w:tab w:val="center" w:pos="4153"/>
        <w:tab w:val="right" w:pos="8306"/>
      </w:tabs>
      <w:jc w:val="center"/>
      <w:rPr>
        <w:rFonts w:hint="default" w:ascii="Calibri" w:hAnsi="Calibri" w:eastAsia="Arial"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8712E1">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68712E1">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9BDBA">
    <w:pPr>
      <w:widowControl w:val="0"/>
      <w:tabs>
        <w:tab w:val="center" w:pos="4153"/>
        <w:tab w:val="right" w:pos="8306"/>
      </w:tabs>
      <w:rPr>
        <w:rFonts w:hint="default" w:ascii="Calibri" w:hAnsi="Calibri" w:eastAsia="Arial"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4EC3">
                          <w:pPr>
                            <w:pStyle w:val="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1484EC3">
                    <w:pPr>
                      <w:pStyle w:val="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BB307">
    <w:pPr>
      <w:widowControl w:val="0"/>
      <w:tabs>
        <w:tab w:val="center" w:pos="4153"/>
        <w:tab w:val="right" w:pos="8307"/>
      </w:tabs>
      <w:autoSpaceDE w:val="0"/>
      <w:autoSpaceDN w:val="0"/>
      <w:adjustRightInd w:val="0"/>
      <w:snapToGrid w:val="0"/>
      <w:jc w:val="center"/>
      <w:rPr>
        <w:rFonts w:ascii="宋体" w:hAnsi="Times New Roman" w:eastAsia="宋体" w:cs="Times New Roman"/>
        <w:kern w:val="0"/>
        <w:sz w:val="18"/>
        <w:szCs w:val="20"/>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A8FEC1">
                          <w:pPr>
                            <w:pStyle w:val="5"/>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6A8FEC1">
                    <w:pPr>
                      <w:pStyle w:val="5"/>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p w14:paraId="34A6ACD0">
    <w:pPr>
      <w:widowControl w:val="0"/>
      <w:tabs>
        <w:tab w:val="center" w:pos="4153"/>
        <w:tab w:val="right" w:pos="8306"/>
      </w:tabs>
      <w:autoSpaceDE w:val="0"/>
      <w:autoSpaceDN w:val="0"/>
      <w:adjustRightInd w:val="0"/>
      <w:snapToGrid w:val="0"/>
      <w:jc w:val="center"/>
      <w:rPr>
        <w:rFonts w:ascii="楷体_GB2312" w:hAnsi="楷体_GB2312" w:eastAsia="宋体" w:cs="Times New Roman"/>
        <w:kern w:val="0"/>
        <w:sz w:val="18"/>
        <w:szCs w:val="20"/>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7685F">
    <w:pPr>
      <w:widowControl w:val="0"/>
      <w:tabs>
        <w:tab w:val="left" w:pos="567"/>
      </w:tabs>
      <w:spacing w:before="120" w:line="14" w:lineRule="auto"/>
      <w:jc w:val="both"/>
      <w:rPr>
        <w:rFonts w:ascii="宋体" w:hAnsi="宋体" w:eastAsia="宋体" w:cs="Times New Roman"/>
        <w:kern w:val="2"/>
        <w:sz w:val="20"/>
        <w:szCs w:val="24"/>
        <w:lang w:val="en-US" w:eastAsia="zh-CN" w:bidi="ar-SA"/>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BC52E">
                          <w:pPr>
                            <w:pStyle w:val="5"/>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3FBC52E">
                    <w:pPr>
                      <w:pStyle w:val="5"/>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A1CAB">
    <w:pPr>
      <w:widowControl w:val="0"/>
      <w:tabs>
        <w:tab w:val="center" w:pos="4153"/>
        <w:tab w:val="right" w:pos="8307"/>
      </w:tabs>
      <w:autoSpaceDE w:val="0"/>
      <w:autoSpaceDN w:val="0"/>
      <w:adjustRightInd w:val="0"/>
      <w:snapToGrid w:val="0"/>
      <w:jc w:val="center"/>
      <w:rPr>
        <w:rFonts w:ascii="宋体" w:hAnsi="Times New Roman" w:eastAsia="宋体" w:cs="Times New Roman"/>
        <w:kern w:val="0"/>
        <w:sz w:val="18"/>
        <w:szCs w:val="20"/>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14313">
                          <w:pPr>
                            <w:pStyle w:val="5"/>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9614313">
                    <w:pPr>
                      <w:pStyle w:val="5"/>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p w14:paraId="0C2137FA">
    <w:pPr>
      <w:widowControl w:val="0"/>
      <w:tabs>
        <w:tab w:val="center" w:pos="4153"/>
        <w:tab w:val="right" w:pos="8306"/>
      </w:tabs>
      <w:autoSpaceDE w:val="0"/>
      <w:autoSpaceDN w:val="0"/>
      <w:adjustRightInd w:val="0"/>
      <w:snapToGrid w:val="0"/>
      <w:jc w:val="center"/>
      <w:rPr>
        <w:rFonts w:ascii="楷体_GB2312" w:hAnsi="楷体_GB2312" w:eastAsia="宋体" w:cs="Times New Roman"/>
        <w:kern w:val="0"/>
        <w:sz w:val="18"/>
        <w:szCs w:val="20"/>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C8116">
    <w:pPr>
      <w:widowControl w:val="0"/>
      <w:tabs>
        <w:tab w:val="left" w:pos="567"/>
      </w:tabs>
      <w:spacing w:before="120" w:line="14" w:lineRule="auto"/>
      <w:jc w:val="both"/>
      <w:rPr>
        <w:rFonts w:ascii="宋体" w:hAnsi="宋体" w:eastAsia="宋体" w:cs="Times New Roman"/>
        <w:kern w:val="2"/>
        <w:sz w:val="20"/>
        <w:szCs w:val="24"/>
        <w:lang w:val="en-US" w:eastAsia="zh-CN" w:bidi="ar-SA"/>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492CC">
                          <w:pPr>
                            <w:pStyle w:val="5"/>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84492CC">
                    <w:pPr>
                      <w:pStyle w:val="5"/>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35945">
    <w:pPr>
      <w:kinsoku w:val="0"/>
      <w:autoSpaceDE w:val="0"/>
      <w:autoSpaceDN w:val="0"/>
      <w:adjustRightInd w:val="0"/>
      <w:snapToGrid w:val="0"/>
      <w:spacing w:line="209" w:lineRule="auto"/>
      <w:ind w:left="4392"/>
      <w:jc w:val="left"/>
      <w:textAlignment w:val="baseline"/>
      <w:rPr>
        <w:rFonts w:ascii="宋体" w:hAnsi="宋体" w:eastAsia="宋体" w:cs="宋体"/>
        <w:snapToGrid w:val="0"/>
        <w:color w:val="000000"/>
        <w:kern w:val="0"/>
        <w:sz w:val="18"/>
        <w:szCs w:val="18"/>
        <w:lang w:val="en-US" w:eastAsia="en-US"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3067F">
                          <w:pPr>
                            <w:pStyle w:val="5"/>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923067F">
                    <w:pPr>
                      <w:pStyle w:val="5"/>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B71E5">
    <w:pPr>
      <w:kinsoku w:val="0"/>
      <w:autoSpaceDE w:val="0"/>
      <w:autoSpaceDN w:val="0"/>
      <w:adjustRightInd w:val="0"/>
      <w:snapToGrid w:val="0"/>
      <w:spacing w:line="209" w:lineRule="auto"/>
      <w:ind w:left="4378"/>
      <w:jc w:val="left"/>
      <w:textAlignment w:val="baseline"/>
      <w:rPr>
        <w:rFonts w:ascii="宋体" w:hAnsi="宋体" w:eastAsia="宋体" w:cs="宋体"/>
        <w:snapToGrid w:val="0"/>
        <w:color w:val="000000"/>
        <w:kern w:val="0"/>
        <w:sz w:val="18"/>
        <w:szCs w:val="18"/>
        <w:lang w:val="en-US" w:eastAsia="en-US" w:bidi="ar-S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9A871">
                          <w:pPr>
                            <w:pStyle w:val="5"/>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9D9A871">
                    <w:pPr>
                      <w:pStyle w:val="5"/>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8D130">
    <w:pPr>
      <w:kinsoku w:val="0"/>
      <w:autoSpaceDE w:val="0"/>
      <w:autoSpaceDN w:val="0"/>
      <w:adjustRightInd w:val="0"/>
      <w:snapToGrid w:val="0"/>
      <w:spacing w:line="209" w:lineRule="auto"/>
      <w:ind w:left="4378"/>
      <w:jc w:val="left"/>
      <w:textAlignment w:val="baseline"/>
      <w:rPr>
        <w:rFonts w:ascii="宋体" w:hAnsi="宋体" w:eastAsia="宋体" w:cs="宋体"/>
        <w:snapToGrid w:val="0"/>
        <w:color w:val="000000"/>
        <w:kern w:val="0"/>
        <w:sz w:val="18"/>
        <w:szCs w:val="18"/>
        <w:lang w:val="en-US" w:eastAsia="en-US" w:bidi="ar-S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CA005">
                          <w:pPr>
                            <w:pStyle w:val="5"/>
                          </w:pPr>
                          <w:r>
                            <w:t xml:space="preserve">第 </w:t>
                          </w:r>
                          <w:r>
                            <w:fldChar w:fldCharType="begin"/>
                          </w:r>
                          <w:r>
                            <w:instrText xml:space="preserve"> PAGE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0DCA005">
                    <w:pPr>
                      <w:pStyle w:val="5"/>
                    </w:pPr>
                    <w:r>
                      <w:t xml:space="preserve">第 </w:t>
                    </w:r>
                    <w:r>
                      <w:fldChar w:fldCharType="begin"/>
                    </w:r>
                    <w:r>
                      <w:instrText xml:space="preserve"> PAGE  \* MERGEFORMAT </w:instrText>
                    </w:r>
                    <w:r>
                      <w:fldChar w:fldCharType="separate"/>
                    </w:r>
                    <w:r>
                      <w:t>69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902C4">
    <w:pPr>
      <w:widowControl w:val="0"/>
      <w:pBdr>
        <w:bottom w:val="single" w:color="auto" w:sz="6" w:space="1"/>
      </w:pBdr>
      <w:tabs>
        <w:tab w:val="center" w:pos="4153"/>
        <w:tab w:val="right" w:pos="8306"/>
      </w:tabs>
      <w:jc w:val="right"/>
      <w:rPr>
        <w:rFonts w:hint="default" w:ascii="Calibri" w:hAnsi="Calibri" w:eastAsia="Arial" w:cs="Times New Roman"/>
        <w:sz w:val="18"/>
        <w:szCs w:val="18"/>
      </w:rPr>
    </w:pPr>
    <w:r>
      <w:rPr>
        <w:rFonts w:hint="eastAsia" w:ascii="Calibri" w:hAnsi="Calibri" w:eastAsia="Arial" w:cs="Times New Roman"/>
        <w:sz w:val="18"/>
        <w:szCs w:val="18"/>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9D8EC">
    <w:pPr>
      <w:widowControl w:val="0"/>
      <w:pBdr>
        <w:bottom w:val="single" w:color="auto" w:sz="6" w:space="1"/>
      </w:pBdr>
      <w:tabs>
        <w:tab w:val="center" w:pos="4153"/>
        <w:tab w:val="right" w:pos="8306"/>
      </w:tabs>
      <w:snapToGrid w:val="0"/>
      <w:jc w:val="right"/>
      <w:rPr>
        <w:rFonts w:ascii="Times New Roman" w:hAnsi="Times New Roman" w:eastAsia="宋体" w:cs="Times New Roman"/>
        <w:kern w:val="2"/>
        <w:sz w:val="18"/>
        <w:szCs w:val="18"/>
        <w:lang w:val="en-US" w:eastAsia="zh-CN" w:bidi="ar-SA"/>
      </w:rPr>
    </w:pPr>
    <w:r>
      <w:rPr>
        <w:rFonts w:hint="eastAsia" w:ascii="Calibri" w:hAnsi="Calibri" w:eastAsia="Arial" w:cs="Times New Roman"/>
        <w:sz w:val="18"/>
        <w:szCs w:val="18"/>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0A173">
    <w:pPr>
      <w:jc w:val="right"/>
      <w:rPr>
        <w:lang w:val="en-US" w:eastAsia="zh-CN"/>
      </w:rPr>
    </w:pPr>
    <w:r>
      <w:rPr>
        <w:rFonts w:hint="eastAsia" w:ascii="Calibri" w:hAnsi="Calibri" w:eastAsia="Arial" w:cs="Times New Roman"/>
        <w:sz w:val="18"/>
        <w:szCs w:val="18"/>
      </w:rPr>
      <w:t>常州市政府采购项目公开招标文件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96B7B">
    <w:pPr>
      <w:widowControl w:val="0"/>
      <w:pBdr>
        <w:bottom w:val="single" w:color="auto" w:sz="6" w:space="1"/>
      </w:pBdr>
      <w:tabs>
        <w:tab w:val="center" w:pos="4153"/>
        <w:tab w:val="right" w:pos="8306"/>
      </w:tabs>
      <w:snapToGrid w:val="0"/>
      <w:jc w:val="right"/>
      <w:rPr>
        <w:rFonts w:ascii="Times New Roman" w:hAnsi="Times New Roman" w:eastAsia="宋体" w:cs="Times New Roman"/>
        <w:kern w:val="2"/>
        <w:sz w:val="18"/>
        <w:szCs w:val="18"/>
        <w:lang w:val="en-US" w:eastAsia="zh-CN" w:bidi="ar-SA"/>
      </w:rPr>
    </w:pPr>
    <w:r>
      <w:rPr>
        <w:rFonts w:hint="eastAsia" w:ascii="Calibri" w:hAnsi="Calibri" w:eastAsia="Arial" w:cs="Times New Roman"/>
        <w:sz w:val="18"/>
        <w:szCs w:val="18"/>
      </w:rPr>
      <w:t>常州市政府采购项目公开招标文件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5DD4C">
    <w:pPr>
      <w:kinsoku w:val="0"/>
      <w:autoSpaceDE w:val="0"/>
      <w:autoSpaceDN w:val="0"/>
      <w:adjustRightInd w:val="0"/>
      <w:snapToGrid w:val="0"/>
      <w:spacing w:before="48" w:line="219" w:lineRule="auto"/>
      <w:ind w:left="6300"/>
      <w:jc w:val="left"/>
      <w:textAlignment w:val="baseline"/>
      <w:rPr>
        <w:rFonts w:hint="eastAsia" w:ascii="宋体" w:hAnsi="宋体" w:eastAsia="宋体" w:cs="宋体"/>
        <w:snapToGrid w:val="0"/>
        <w:color w:val="000000"/>
        <w:kern w:val="0"/>
        <w:sz w:val="18"/>
        <w:szCs w:val="18"/>
        <w:lang w:val="en-US" w:eastAsia="zh-CN" w:bidi="ar-SA"/>
      </w:rPr>
    </w:pPr>
    <w:r>
      <w:rPr>
        <w:rFonts w:hint="eastAsia" w:ascii="Calibri" w:hAnsi="Calibri" w:eastAsia="Arial" w:cs="Times New Roman"/>
        <w:sz w:val="18"/>
        <w:szCs w:val="18"/>
      </w:rPr>
      <w:t>常州市政府采购项目公开招标文件</w:t>
    </w:r>
    <w:r>
      <w:rPr>
        <w:rFonts w:ascii="宋体" w:hAnsi="宋体" w:eastAsia="宋体" w:cs="宋体"/>
        <w:snapToGrid w:val="0"/>
        <w:color w:val="000000"/>
        <w:kern w:val="0"/>
        <w:sz w:val="28"/>
        <w:szCs w:val="28"/>
        <w:lang w:val="en-US" w:eastAsia="en-US" w:bidi="ar-SA"/>
      </w:rPr>
      <mc:AlternateContent>
        <mc:Choice Requires="wps">
          <w:drawing>
            <wp:anchor distT="0" distB="0" distL="114300" distR="114300" simplePos="0" relativeHeight="251659264" behindDoc="0" locked="0" layoutInCell="0" allowOverlap="1">
              <wp:simplePos x="0" y="0"/>
              <wp:positionH relativeFrom="page">
                <wp:posOffset>1144905</wp:posOffset>
              </wp:positionH>
              <wp:positionV relativeFrom="page">
                <wp:posOffset>700405</wp:posOffset>
              </wp:positionV>
              <wp:extent cx="5331460"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331460" cy="9525"/>
                      </a:xfrm>
                      <a:custGeom>
                        <a:avLst/>
                        <a:gdLst/>
                        <a:ahLst/>
                        <a:cxnLst/>
                        <a:pathLst>
                          <a:path w="8395" h="15">
                            <a:moveTo>
                              <a:pt x="0" y="0"/>
                            </a:moveTo>
                            <a:lnTo>
                              <a:pt x="8395" y="0"/>
                            </a:lnTo>
                            <a:lnTo>
                              <a:pt x="8395"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15pt;margin-top:55.15pt;height:0.75pt;width:419.8pt;mso-position-horizontal-relative:page;mso-position-vertical-relative:page;z-index:251659264;mso-width-relative:page;mso-height-relative:page;" fillcolor="#000000" filled="t" stroked="f" coordsize="8395,15" o:allowincell="f" o:gfxdata="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jlj61QAAAAwBAAAPAAAAAAAAAAEA&#10;IAAAACIAAABkcnMvZG93bnJldi54bWxQSwECFAAUAAAACACHTuJAcwCkNhICAAB7BAAADgAAAAAA&#10;AAABACAAAAAkAQAAZHJzL2Uyb0RvYy54bWxQSwUGAAAAAAYABgBZAQAAqAUAAAAA&#10;" path="m0,0l8395,0,8395,14,0,14,0,0xe">
              <v:fill on="t" focussize="0,0"/>
              <v:stroke on="f"/>
              <v:imagedata o:title=""/>
              <o:lock v:ext="edit" aspectratio="f"/>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7B157">
    <w:pPr>
      <w:jc w:val="right"/>
      <w:rPr>
        <w:rFonts w:hint="eastAsia"/>
        <w:lang w:val="en-US" w:eastAsia="zh-CN"/>
      </w:rPr>
    </w:pPr>
    <w:r>
      <w:rPr>
        <w:rFonts w:hint="eastAsia" w:ascii="Calibri" w:hAnsi="Calibri" w:eastAsia="Arial" w:cs="Times New Roman"/>
        <w:sz w:val="18"/>
        <w:szCs w:val="18"/>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AF727"/>
    <w:multiLevelType w:val="singleLevel"/>
    <w:tmpl w:val="97CAF727"/>
    <w:lvl w:ilvl="0" w:tentative="0">
      <w:start w:val="3"/>
      <w:numFmt w:val="decimal"/>
      <w:suff w:val="nothing"/>
      <w:lvlText w:val="%1、"/>
      <w:lvlJc w:val="left"/>
    </w:lvl>
  </w:abstractNum>
  <w:abstractNum w:abstractNumId="1">
    <w:nsid w:val="BFCA4EF9"/>
    <w:multiLevelType w:val="multilevel"/>
    <w:tmpl w:val="BFCA4EF9"/>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2">
    <w:nsid w:val="D766E770"/>
    <w:multiLevelType w:val="singleLevel"/>
    <w:tmpl w:val="D766E770"/>
    <w:lvl w:ilvl="0" w:tentative="0">
      <w:start w:val="2"/>
      <w:numFmt w:val="chineseCounting"/>
      <w:suff w:val="nothing"/>
      <w:lvlText w:val="（%1）"/>
      <w:lvlJc w:val="left"/>
      <w:rPr>
        <w:rFonts w:hint="eastAsia"/>
      </w:rPr>
    </w:lvl>
  </w:abstractNum>
  <w:abstractNum w:abstractNumId="3">
    <w:nsid w:val="EA0991B2"/>
    <w:multiLevelType w:val="singleLevel"/>
    <w:tmpl w:val="EA0991B2"/>
    <w:lvl w:ilvl="0" w:tentative="0">
      <w:start w:val="1"/>
      <w:numFmt w:val="decimal"/>
      <w:suff w:val="nothing"/>
      <w:lvlText w:val="（%1）"/>
      <w:lvlJc w:val="left"/>
    </w:lvl>
  </w:abstractNum>
  <w:abstractNum w:abstractNumId="4">
    <w:nsid w:val="077FF47A"/>
    <w:multiLevelType w:val="multilevel"/>
    <w:tmpl w:val="077FF47A"/>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5">
    <w:nsid w:val="22B622AC"/>
    <w:multiLevelType w:val="singleLevel"/>
    <w:tmpl w:val="22B622AC"/>
    <w:lvl w:ilvl="0" w:tentative="0">
      <w:start w:val="2"/>
      <w:numFmt w:val="chineseCounting"/>
      <w:suff w:val="nothing"/>
      <w:lvlText w:val="%1、"/>
      <w:lvlJc w:val="left"/>
      <w:rPr>
        <w:rFonts w:hint="eastAsia"/>
      </w:rPr>
    </w:lvl>
  </w:abstractNum>
  <w:abstractNum w:abstractNumId="6">
    <w:nsid w:val="25D16FB8"/>
    <w:multiLevelType w:val="multilevel"/>
    <w:tmpl w:val="25D16FB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5AE591D4"/>
    <w:multiLevelType w:val="multilevel"/>
    <w:tmpl w:val="5AE591D4"/>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E03B3C1"/>
    <w:multiLevelType w:val="multilevel"/>
    <w:tmpl w:val="5E03B3C1"/>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4"/>
  </w:num>
  <w:num w:numId="2">
    <w:abstractNumId w:val="8"/>
  </w:num>
  <w:num w:numId="3">
    <w:abstractNumId w:val="6"/>
  </w:num>
  <w:num w:numId="4">
    <w:abstractNumId w:val="1"/>
  </w:num>
  <w:num w:numId="5">
    <w:abstractNumId w:val="5"/>
  </w:num>
  <w:num w:numId="6">
    <w:abstractNumId w:val="7"/>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1C10"/>
    <w:rsid w:val="0075316D"/>
    <w:rsid w:val="007E2EF7"/>
    <w:rsid w:val="0092246C"/>
    <w:rsid w:val="00A61F42"/>
    <w:rsid w:val="00C67ECB"/>
    <w:rsid w:val="00DB20F7"/>
    <w:rsid w:val="018C11BF"/>
    <w:rsid w:val="01CC3898"/>
    <w:rsid w:val="021B6523"/>
    <w:rsid w:val="0240504A"/>
    <w:rsid w:val="034629C7"/>
    <w:rsid w:val="034F152E"/>
    <w:rsid w:val="035F5097"/>
    <w:rsid w:val="03E25F57"/>
    <w:rsid w:val="03F51722"/>
    <w:rsid w:val="03F733D5"/>
    <w:rsid w:val="03FA5235"/>
    <w:rsid w:val="04454353"/>
    <w:rsid w:val="048F7C19"/>
    <w:rsid w:val="05025778"/>
    <w:rsid w:val="054B2F85"/>
    <w:rsid w:val="056D7096"/>
    <w:rsid w:val="05923427"/>
    <w:rsid w:val="05BE424F"/>
    <w:rsid w:val="05E61B9C"/>
    <w:rsid w:val="06141C07"/>
    <w:rsid w:val="063B2B4D"/>
    <w:rsid w:val="063F6C07"/>
    <w:rsid w:val="0666792C"/>
    <w:rsid w:val="068A247A"/>
    <w:rsid w:val="073267E9"/>
    <w:rsid w:val="076B759D"/>
    <w:rsid w:val="07EE2F85"/>
    <w:rsid w:val="07F86E1A"/>
    <w:rsid w:val="08662693"/>
    <w:rsid w:val="089362EE"/>
    <w:rsid w:val="08A53DF9"/>
    <w:rsid w:val="08AC6819"/>
    <w:rsid w:val="08C474E1"/>
    <w:rsid w:val="08D61075"/>
    <w:rsid w:val="08D74BFB"/>
    <w:rsid w:val="08F0070A"/>
    <w:rsid w:val="08FC187D"/>
    <w:rsid w:val="091D7025"/>
    <w:rsid w:val="094E7C8D"/>
    <w:rsid w:val="09DE4A06"/>
    <w:rsid w:val="09EE7675"/>
    <w:rsid w:val="0A075BF1"/>
    <w:rsid w:val="0A2833B4"/>
    <w:rsid w:val="0A700EE9"/>
    <w:rsid w:val="0A831762"/>
    <w:rsid w:val="0A894677"/>
    <w:rsid w:val="0B1323BC"/>
    <w:rsid w:val="0B363184"/>
    <w:rsid w:val="0B5F3883"/>
    <w:rsid w:val="0BC63207"/>
    <w:rsid w:val="0BF91214"/>
    <w:rsid w:val="0BFF5782"/>
    <w:rsid w:val="0C4E160F"/>
    <w:rsid w:val="0C6531BD"/>
    <w:rsid w:val="0C8936A6"/>
    <w:rsid w:val="0C966C8D"/>
    <w:rsid w:val="0CE50A49"/>
    <w:rsid w:val="0D4E7778"/>
    <w:rsid w:val="0D7511DD"/>
    <w:rsid w:val="0DF920AE"/>
    <w:rsid w:val="0E194F31"/>
    <w:rsid w:val="0F2F4DC0"/>
    <w:rsid w:val="0F5C0A61"/>
    <w:rsid w:val="100B5E29"/>
    <w:rsid w:val="10523A58"/>
    <w:rsid w:val="107A6B0B"/>
    <w:rsid w:val="107F794E"/>
    <w:rsid w:val="10B0675A"/>
    <w:rsid w:val="10CC380A"/>
    <w:rsid w:val="11A76A18"/>
    <w:rsid w:val="120C7983"/>
    <w:rsid w:val="12280F14"/>
    <w:rsid w:val="12490E8B"/>
    <w:rsid w:val="12646113"/>
    <w:rsid w:val="127D2E0F"/>
    <w:rsid w:val="129B080A"/>
    <w:rsid w:val="12A14823"/>
    <w:rsid w:val="12F928B1"/>
    <w:rsid w:val="131F4C3F"/>
    <w:rsid w:val="13732930"/>
    <w:rsid w:val="14AE170F"/>
    <w:rsid w:val="14BE346A"/>
    <w:rsid w:val="15432709"/>
    <w:rsid w:val="157306F8"/>
    <w:rsid w:val="15A62D19"/>
    <w:rsid w:val="15AC59B8"/>
    <w:rsid w:val="16024AD5"/>
    <w:rsid w:val="16117F5B"/>
    <w:rsid w:val="162D761F"/>
    <w:rsid w:val="16372A09"/>
    <w:rsid w:val="172E76A1"/>
    <w:rsid w:val="17471E3D"/>
    <w:rsid w:val="17536547"/>
    <w:rsid w:val="17AF3CDF"/>
    <w:rsid w:val="17EE4066"/>
    <w:rsid w:val="17F94F4B"/>
    <w:rsid w:val="18285BB1"/>
    <w:rsid w:val="18692026"/>
    <w:rsid w:val="188C7801"/>
    <w:rsid w:val="19894F54"/>
    <w:rsid w:val="1A6176BF"/>
    <w:rsid w:val="1AA864CD"/>
    <w:rsid w:val="1AF34604"/>
    <w:rsid w:val="1AFE48C4"/>
    <w:rsid w:val="1B395F40"/>
    <w:rsid w:val="1B487A29"/>
    <w:rsid w:val="1B6D7935"/>
    <w:rsid w:val="1B740407"/>
    <w:rsid w:val="1C134FCD"/>
    <w:rsid w:val="1C6F667E"/>
    <w:rsid w:val="1C750971"/>
    <w:rsid w:val="1C8C2C61"/>
    <w:rsid w:val="1CBA09BB"/>
    <w:rsid w:val="1CC3154D"/>
    <w:rsid w:val="1CE53331"/>
    <w:rsid w:val="1CFE15FD"/>
    <w:rsid w:val="1D1B65B7"/>
    <w:rsid w:val="1D2000D1"/>
    <w:rsid w:val="1D4D6540"/>
    <w:rsid w:val="1D5A3F4C"/>
    <w:rsid w:val="1E0E6229"/>
    <w:rsid w:val="1E503C14"/>
    <w:rsid w:val="1EB5658B"/>
    <w:rsid w:val="1F38206B"/>
    <w:rsid w:val="1F525822"/>
    <w:rsid w:val="1F6F11A0"/>
    <w:rsid w:val="1F7C4F3A"/>
    <w:rsid w:val="1F8B4890"/>
    <w:rsid w:val="1FA02DB5"/>
    <w:rsid w:val="1FA37E2C"/>
    <w:rsid w:val="1FB170D8"/>
    <w:rsid w:val="20014B53"/>
    <w:rsid w:val="20076707"/>
    <w:rsid w:val="2027280B"/>
    <w:rsid w:val="206F14DE"/>
    <w:rsid w:val="20782F99"/>
    <w:rsid w:val="20817F35"/>
    <w:rsid w:val="20833BCE"/>
    <w:rsid w:val="20BC7BD2"/>
    <w:rsid w:val="20CC5C9C"/>
    <w:rsid w:val="20DA0FB5"/>
    <w:rsid w:val="20DB75CF"/>
    <w:rsid w:val="21725D08"/>
    <w:rsid w:val="21900575"/>
    <w:rsid w:val="21BC4301"/>
    <w:rsid w:val="22286D9D"/>
    <w:rsid w:val="22596EC8"/>
    <w:rsid w:val="232C10C9"/>
    <w:rsid w:val="239C41B3"/>
    <w:rsid w:val="23F70746"/>
    <w:rsid w:val="24463B76"/>
    <w:rsid w:val="24625C51"/>
    <w:rsid w:val="24715D06"/>
    <w:rsid w:val="247753E3"/>
    <w:rsid w:val="247E43DB"/>
    <w:rsid w:val="24B24B25"/>
    <w:rsid w:val="24C745BD"/>
    <w:rsid w:val="24EB01D7"/>
    <w:rsid w:val="25182FEB"/>
    <w:rsid w:val="253C24B5"/>
    <w:rsid w:val="253D1BE4"/>
    <w:rsid w:val="254A2AF8"/>
    <w:rsid w:val="25587434"/>
    <w:rsid w:val="25825149"/>
    <w:rsid w:val="25A91F14"/>
    <w:rsid w:val="25B306D9"/>
    <w:rsid w:val="25F56F08"/>
    <w:rsid w:val="26676E0F"/>
    <w:rsid w:val="2752170D"/>
    <w:rsid w:val="28BA076E"/>
    <w:rsid w:val="28DC0553"/>
    <w:rsid w:val="292968BC"/>
    <w:rsid w:val="298E5CB9"/>
    <w:rsid w:val="29C410CB"/>
    <w:rsid w:val="29C53046"/>
    <w:rsid w:val="2A001D22"/>
    <w:rsid w:val="2B4D6E9E"/>
    <w:rsid w:val="2B6C7C6C"/>
    <w:rsid w:val="2BC415B4"/>
    <w:rsid w:val="2C1820F9"/>
    <w:rsid w:val="2C1856FE"/>
    <w:rsid w:val="2C1A05D9"/>
    <w:rsid w:val="2C497025"/>
    <w:rsid w:val="2CB82A3D"/>
    <w:rsid w:val="2D022C3C"/>
    <w:rsid w:val="2D2241E0"/>
    <w:rsid w:val="2D477EDA"/>
    <w:rsid w:val="2DA779AB"/>
    <w:rsid w:val="2DB138C7"/>
    <w:rsid w:val="2DBD47AF"/>
    <w:rsid w:val="2DD92C6B"/>
    <w:rsid w:val="2DF734CE"/>
    <w:rsid w:val="2E127AAA"/>
    <w:rsid w:val="2E683B7B"/>
    <w:rsid w:val="2EDD789D"/>
    <w:rsid w:val="2EEB0CBB"/>
    <w:rsid w:val="2F8A2A02"/>
    <w:rsid w:val="30175AB7"/>
    <w:rsid w:val="302F6921"/>
    <w:rsid w:val="304270F6"/>
    <w:rsid w:val="309E384E"/>
    <w:rsid w:val="30AA3738"/>
    <w:rsid w:val="30E8072D"/>
    <w:rsid w:val="31191AA6"/>
    <w:rsid w:val="311C00BC"/>
    <w:rsid w:val="323B69EB"/>
    <w:rsid w:val="326215C5"/>
    <w:rsid w:val="32925435"/>
    <w:rsid w:val="32C739DA"/>
    <w:rsid w:val="32FF0989"/>
    <w:rsid w:val="335F3DDD"/>
    <w:rsid w:val="33730A17"/>
    <w:rsid w:val="33802DD5"/>
    <w:rsid w:val="33ED7470"/>
    <w:rsid w:val="340057F5"/>
    <w:rsid w:val="34485146"/>
    <w:rsid w:val="347656B7"/>
    <w:rsid w:val="347B0F20"/>
    <w:rsid w:val="34852299"/>
    <w:rsid w:val="34A1735C"/>
    <w:rsid w:val="34A71D15"/>
    <w:rsid w:val="34D2072D"/>
    <w:rsid w:val="34D67F04"/>
    <w:rsid w:val="351F3659"/>
    <w:rsid w:val="357C7BA9"/>
    <w:rsid w:val="362703C8"/>
    <w:rsid w:val="365C3EB7"/>
    <w:rsid w:val="3666673F"/>
    <w:rsid w:val="369260AD"/>
    <w:rsid w:val="36A858D0"/>
    <w:rsid w:val="36F01751"/>
    <w:rsid w:val="377B46F5"/>
    <w:rsid w:val="379E0C35"/>
    <w:rsid w:val="37D1267C"/>
    <w:rsid w:val="37EB5006"/>
    <w:rsid w:val="386D5023"/>
    <w:rsid w:val="38E31684"/>
    <w:rsid w:val="390C65EA"/>
    <w:rsid w:val="393D0E49"/>
    <w:rsid w:val="39462149"/>
    <w:rsid w:val="398B5761"/>
    <w:rsid w:val="39E60BE9"/>
    <w:rsid w:val="3A483652"/>
    <w:rsid w:val="3A5B0E94"/>
    <w:rsid w:val="3A942595"/>
    <w:rsid w:val="3AA40441"/>
    <w:rsid w:val="3B5B1995"/>
    <w:rsid w:val="3B8209C5"/>
    <w:rsid w:val="3B8F7FDC"/>
    <w:rsid w:val="3B9A36AF"/>
    <w:rsid w:val="3C2C3049"/>
    <w:rsid w:val="3C4943A1"/>
    <w:rsid w:val="3C5D6101"/>
    <w:rsid w:val="3C706E90"/>
    <w:rsid w:val="3CDE038F"/>
    <w:rsid w:val="3D0575D8"/>
    <w:rsid w:val="3D097CDC"/>
    <w:rsid w:val="3D4520CB"/>
    <w:rsid w:val="3D59448B"/>
    <w:rsid w:val="3D673DEF"/>
    <w:rsid w:val="3D867FBF"/>
    <w:rsid w:val="3DAB63D2"/>
    <w:rsid w:val="3E285C74"/>
    <w:rsid w:val="3EB7108E"/>
    <w:rsid w:val="3F1E642D"/>
    <w:rsid w:val="3F592485"/>
    <w:rsid w:val="3F7C39B5"/>
    <w:rsid w:val="3FCC6A38"/>
    <w:rsid w:val="3FDE3D90"/>
    <w:rsid w:val="40552625"/>
    <w:rsid w:val="407F6327"/>
    <w:rsid w:val="41100EA9"/>
    <w:rsid w:val="41160804"/>
    <w:rsid w:val="41453D85"/>
    <w:rsid w:val="41A95B48"/>
    <w:rsid w:val="41E40E4C"/>
    <w:rsid w:val="41E77BF5"/>
    <w:rsid w:val="41E8090D"/>
    <w:rsid w:val="41EA4926"/>
    <w:rsid w:val="4205007B"/>
    <w:rsid w:val="428216CB"/>
    <w:rsid w:val="42AD499A"/>
    <w:rsid w:val="42DF27C6"/>
    <w:rsid w:val="42E973DF"/>
    <w:rsid w:val="42EF4FB3"/>
    <w:rsid w:val="42FA43F0"/>
    <w:rsid w:val="4345603D"/>
    <w:rsid w:val="43685420"/>
    <w:rsid w:val="4391606A"/>
    <w:rsid w:val="441113B5"/>
    <w:rsid w:val="44242A3A"/>
    <w:rsid w:val="44494EFB"/>
    <w:rsid w:val="4469669F"/>
    <w:rsid w:val="447B1DEC"/>
    <w:rsid w:val="4494321F"/>
    <w:rsid w:val="44DB01A8"/>
    <w:rsid w:val="45644C1B"/>
    <w:rsid w:val="45C32FA8"/>
    <w:rsid w:val="45C96AF7"/>
    <w:rsid w:val="45FB65B9"/>
    <w:rsid w:val="46021BD4"/>
    <w:rsid w:val="461E1C9E"/>
    <w:rsid w:val="461E6DF1"/>
    <w:rsid w:val="467E51D6"/>
    <w:rsid w:val="468D2F08"/>
    <w:rsid w:val="4741018B"/>
    <w:rsid w:val="474B6220"/>
    <w:rsid w:val="474F1229"/>
    <w:rsid w:val="47586A71"/>
    <w:rsid w:val="476152FA"/>
    <w:rsid w:val="479845A6"/>
    <w:rsid w:val="479951A6"/>
    <w:rsid w:val="47B22662"/>
    <w:rsid w:val="47BE4880"/>
    <w:rsid w:val="47C2406F"/>
    <w:rsid w:val="481731C2"/>
    <w:rsid w:val="482B01E3"/>
    <w:rsid w:val="484A6940"/>
    <w:rsid w:val="484D0E76"/>
    <w:rsid w:val="48805E95"/>
    <w:rsid w:val="48934031"/>
    <w:rsid w:val="48A71E8C"/>
    <w:rsid w:val="48BD432F"/>
    <w:rsid w:val="48F64B00"/>
    <w:rsid w:val="490C2082"/>
    <w:rsid w:val="499637FE"/>
    <w:rsid w:val="49FD49AB"/>
    <w:rsid w:val="4A2C089A"/>
    <w:rsid w:val="4A5C07AF"/>
    <w:rsid w:val="4ACE3700"/>
    <w:rsid w:val="4AD62618"/>
    <w:rsid w:val="4AE45BD4"/>
    <w:rsid w:val="4AEA1D1A"/>
    <w:rsid w:val="4AED7781"/>
    <w:rsid w:val="4AF40152"/>
    <w:rsid w:val="4AFA44F5"/>
    <w:rsid w:val="4B3726D4"/>
    <w:rsid w:val="4C024AFC"/>
    <w:rsid w:val="4C2767A6"/>
    <w:rsid w:val="4C344283"/>
    <w:rsid w:val="4C41120B"/>
    <w:rsid w:val="4C447326"/>
    <w:rsid w:val="4C59524B"/>
    <w:rsid w:val="4C64349E"/>
    <w:rsid w:val="4C8E75EA"/>
    <w:rsid w:val="4CB6269D"/>
    <w:rsid w:val="4CBF221B"/>
    <w:rsid w:val="4CEF395A"/>
    <w:rsid w:val="4D1B7D7B"/>
    <w:rsid w:val="4D752AFB"/>
    <w:rsid w:val="4D9D6F07"/>
    <w:rsid w:val="4D9F660C"/>
    <w:rsid w:val="4DA120EF"/>
    <w:rsid w:val="4DA946D4"/>
    <w:rsid w:val="4DB10A21"/>
    <w:rsid w:val="4DBB1AD3"/>
    <w:rsid w:val="4E39442C"/>
    <w:rsid w:val="4ED176DC"/>
    <w:rsid w:val="4F75345F"/>
    <w:rsid w:val="4FA05CF0"/>
    <w:rsid w:val="50533EE1"/>
    <w:rsid w:val="50B138A7"/>
    <w:rsid w:val="50BA467C"/>
    <w:rsid w:val="52524C45"/>
    <w:rsid w:val="52961B04"/>
    <w:rsid w:val="53152211"/>
    <w:rsid w:val="536F00DD"/>
    <w:rsid w:val="53F36F74"/>
    <w:rsid w:val="54A26E92"/>
    <w:rsid w:val="54B0031A"/>
    <w:rsid w:val="54F14BBA"/>
    <w:rsid w:val="556A2E15"/>
    <w:rsid w:val="55B858D1"/>
    <w:rsid w:val="55BC1225"/>
    <w:rsid w:val="55EE7B38"/>
    <w:rsid w:val="56082161"/>
    <w:rsid w:val="560F068E"/>
    <w:rsid w:val="565F090E"/>
    <w:rsid w:val="567A1514"/>
    <w:rsid w:val="56A812A9"/>
    <w:rsid w:val="56DA4FD5"/>
    <w:rsid w:val="56DF077A"/>
    <w:rsid w:val="56F2384F"/>
    <w:rsid w:val="56FA17E2"/>
    <w:rsid w:val="5726041F"/>
    <w:rsid w:val="57437223"/>
    <w:rsid w:val="57497EA1"/>
    <w:rsid w:val="57C57C38"/>
    <w:rsid w:val="58605180"/>
    <w:rsid w:val="58C94295"/>
    <w:rsid w:val="597E2479"/>
    <w:rsid w:val="59A26483"/>
    <w:rsid w:val="59F303E7"/>
    <w:rsid w:val="5A264BBB"/>
    <w:rsid w:val="5A557999"/>
    <w:rsid w:val="5A7159CB"/>
    <w:rsid w:val="5A862F4C"/>
    <w:rsid w:val="5AAE0BD3"/>
    <w:rsid w:val="5AB0697E"/>
    <w:rsid w:val="5AC76F55"/>
    <w:rsid w:val="5B0D4A78"/>
    <w:rsid w:val="5B3D5C55"/>
    <w:rsid w:val="5B6A1223"/>
    <w:rsid w:val="5BBE331C"/>
    <w:rsid w:val="5C655EA5"/>
    <w:rsid w:val="5C981DBF"/>
    <w:rsid w:val="5CAB5591"/>
    <w:rsid w:val="5CE84454"/>
    <w:rsid w:val="5CE93476"/>
    <w:rsid w:val="5D186A5C"/>
    <w:rsid w:val="5D1A6C78"/>
    <w:rsid w:val="5D5D0727"/>
    <w:rsid w:val="5D716BFF"/>
    <w:rsid w:val="5D7B3260"/>
    <w:rsid w:val="5D841173"/>
    <w:rsid w:val="5DA30A1C"/>
    <w:rsid w:val="5DB17267"/>
    <w:rsid w:val="5DDE5652"/>
    <w:rsid w:val="5E4E007B"/>
    <w:rsid w:val="5E8819C0"/>
    <w:rsid w:val="5E8A0CE1"/>
    <w:rsid w:val="5EB97DCB"/>
    <w:rsid w:val="5EBA426F"/>
    <w:rsid w:val="5EC200EC"/>
    <w:rsid w:val="5ED75612"/>
    <w:rsid w:val="5ED97D1A"/>
    <w:rsid w:val="5EE6207A"/>
    <w:rsid w:val="5EE96902"/>
    <w:rsid w:val="5EEB17E8"/>
    <w:rsid w:val="5F6D4912"/>
    <w:rsid w:val="5F8108E9"/>
    <w:rsid w:val="5FCA1FBF"/>
    <w:rsid w:val="5FD924D3"/>
    <w:rsid w:val="5FEC1D6E"/>
    <w:rsid w:val="5FF3673B"/>
    <w:rsid w:val="60AF6C19"/>
    <w:rsid w:val="610213BD"/>
    <w:rsid w:val="61524697"/>
    <w:rsid w:val="615D7326"/>
    <w:rsid w:val="61637D56"/>
    <w:rsid w:val="61644AE5"/>
    <w:rsid w:val="619C6AD2"/>
    <w:rsid w:val="61C76119"/>
    <w:rsid w:val="61FE4D01"/>
    <w:rsid w:val="62364D6E"/>
    <w:rsid w:val="623D303B"/>
    <w:rsid w:val="62611C77"/>
    <w:rsid w:val="62620EA5"/>
    <w:rsid w:val="635D4FEB"/>
    <w:rsid w:val="638E6215"/>
    <w:rsid w:val="63B81CCF"/>
    <w:rsid w:val="63F45AFA"/>
    <w:rsid w:val="64104931"/>
    <w:rsid w:val="641B27E4"/>
    <w:rsid w:val="64370594"/>
    <w:rsid w:val="64A15589"/>
    <w:rsid w:val="64B769A8"/>
    <w:rsid w:val="64CD164D"/>
    <w:rsid w:val="64F12020"/>
    <w:rsid w:val="65451723"/>
    <w:rsid w:val="65975EE4"/>
    <w:rsid w:val="65BD4645"/>
    <w:rsid w:val="65E120E1"/>
    <w:rsid w:val="661B63DF"/>
    <w:rsid w:val="662B3557"/>
    <w:rsid w:val="663C7C5F"/>
    <w:rsid w:val="66524A62"/>
    <w:rsid w:val="66E365EB"/>
    <w:rsid w:val="67263872"/>
    <w:rsid w:val="67830108"/>
    <w:rsid w:val="6788378B"/>
    <w:rsid w:val="67D21B6D"/>
    <w:rsid w:val="67F63DAA"/>
    <w:rsid w:val="6812253D"/>
    <w:rsid w:val="683926A8"/>
    <w:rsid w:val="68512A58"/>
    <w:rsid w:val="6870115B"/>
    <w:rsid w:val="68C835DF"/>
    <w:rsid w:val="68DA34EE"/>
    <w:rsid w:val="690B1C5C"/>
    <w:rsid w:val="69461F71"/>
    <w:rsid w:val="698069BA"/>
    <w:rsid w:val="698F05F6"/>
    <w:rsid w:val="69C67F6C"/>
    <w:rsid w:val="69FB12B4"/>
    <w:rsid w:val="6A150A8A"/>
    <w:rsid w:val="6A1D40B5"/>
    <w:rsid w:val="6A2D1D20"/>
    <w:rsid w:val="6A331379"/>
    <w:rsid w:val="6AA272D3"/>
    <w:rsid w:val="6AA47B81"/>
    <w:rsid w:val="6AA7701A"/>
    <w:rsid w:val="6B461EDA"/>
    <w:rsid w:val="6B4E5A85"/>
    <w:rsid w:val="6C353187"/>
    <w:rsid w:val="6C596D7E"/>
    <w:rsid w:val="6C6E606C"/>
    <w:rsid w:val="6CE60AD8"/>
    <w:rsid w:val="6D3474F9"/>
    <w:rsid w:val="6DBE5BA3"/>
    <w:rsid w:val="6E201C15"/>
    <w:rsid w:val="6E30552B"/>
    <w:rsid w:val="6E4C0C5C"/>
    <w:rsid w:val="6E663ACB"/>
    <w:rsid w:val="6E755ABD"/>
    <w:rsid w:val="6E801271"/>
    <w:rsid w:val="6EA15191"/>
    <w:rsid w:val="6EDA0016"/>
    <w:rsid w:val="6EF80849"/>
    <w:rsid w:val="6F1201CC"/>
    <w:rsid w:val="6F602316"/>
    <w:rsid w:val="6FEA4E0D"/>
    <w:rsid w:val="70155F65"/>
    <w:rsid w:val="70205EFC"/>
    <w:rsid w:val="703507C6"/>
    <w:rsid w:val="70375A62"/>
    <w:rsid w:val="707221D1"/>
    <w:rsid w:val="70796994"/>
    <w:rsid w:val="70BD42B4"/>
    <w:rsid w:val="70EE06D2"/>
    <w:rsid w:val="71066EA0"/>
    <w:rsid w:val="71067748"/>
    <w:rsid w:val="712E2CE5"/>
    <w:rsid w:val="71706A0F"/>
    <w:rsid w:val="71834994"/>
    <w:rsid w:val="72005FE5"/>
    <w:rsid w:val="72761F95"/>
    <w:rsid w:val="72A12DDF"/>
    <w:rsid w:val="72C54B39"/>
    <w:rsid w:val="72CC5EC7"/>
    <w:rsid w:val="72E651DB"/>
    <w:rsid w:val="735305FA"/>
    <w:rsid w:val="735B1691"/>
    <w:rsid w:val="7370313B"/>
    <w:rsid w:val="73836344"/>
    <w:rsid w:val="73AC19C0"/>
    <w:rsid w:val="73D53B28"/>
    <w:rsid w:val="740447D4"/>
    <w:rsid w:val="74634609"/>
    <w:rsid w:val="74E92D60"/>
    <w:rsid w:val="74F10DEF"/>
    <w:rsid w:val="750F10FB"/>
    <w:rsid w:val="75680129"/>
    <w:rsid w:val="75B46FA7"/>
    <w:rsid w:val="75C37A55"/>
    <w:rsid w:val="75C535C7"/>
    <w:rsid w:val="75EE533D"/>
    <w:rsid w:val="763A3DB1"/>
    <w:rsid w:val="76F105F2"/>
    <w:rsid w:val="76FF4ABD"/>
    <w:rsid w:val="771B11CB"/>
    <w:rsid w:val="776C2956"/>
    <w:rsid w:val="77B85AD6"/>
    <w:rsid w:val="785E1648"/>
    <w:rsid w:val="78D930EC"/>
    <w:rsid w:val="7976132F"/>
    <w:rsid w:val="797E706E"/>
    <w:rsid w:val="79BF6786"/>
    <w:rsid w:val="7A195209"/>
    <w:rsid w:val="7A6A5E25"/>
    <w:rsid w:val="7A827452"/>
    <w:rsid w:val="7A83705F"/>
    <w:rsid w:val="7ABB5669"/>
    <w:rsid w:val="7AC676A0"/>
    <w:rsid w:val="7B024B7C"/>
    <w:rsid w:val="7B2A3405"/>
    <w:rsid w:val="7B2A3C59"/>
    <w:rsid w:val="7B5F3D7C"/>
    <w:rsid w:val="7B955588"/>
    <w:rsid w:val="7BBB040A"/>
    <w:rsid w:val="7BEA38B4"/>
    <w:rsid w:val="7C2617B3"/>
    <w:rsid w:val="7C9A0299"/>
    <w:rsid w:val="7CB15915"/>
    <w:rsid w:val="7CEC77B9"/>
    <w:rsid w:val="7D6438CC"/>
    <w:rsid w:val="7DBA6297"/>
    <w:rsid w:val="7E1C00FE"/>
    <w:rsid w:val="7E8F19F6"/>
    <w:rsid w:val="7E9640E7"/>
    <w:rsid w:val="7E9A50CB"/>
    <w:rsid w:val="7EB6304C"/>
    <w:rsid w:val="7EB83448"/>
    <w:rsid w:val="7ED61762"/>
    <w:rsid w:val="7EDB7A2B"/>
    <w:rsid w:val="7EEB03EA"/>
    <w:rsid w:val="7F037115"/>
    <w:rsid w:val="7F410439"/>
    <w:rsid w:val="7F8C12F1"/>
    <w:rsid w:val="7F8F5CCA"/>
    <w:rsid w:val="7FAD0312"/>
    <w:rsid w:val="7FBA1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161</Words>
  <Characters>203</Characters>
  <Lines>0</Lines>
  <Paragraphs>0</Paragraphs>
  <TotalTime>1428</TotalTime>
  <ScaleCrop>false</ScaleCrop>
  <LinksUpToDate>false</LinksUpToDate>
  <CharactersWithSpaces>218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2026-08-13T02:29:00Z</dcterms:created>
  <dc:creator>DELL</dc:creator>
  <cp:lastModifiedBy>王燕芬</cp:lastModifiedBy>
  <cp:lastPrinted>2026-08-18T09:54:00Z</cp:lastPrinted>
  <dcterms:modified xsi:type="dcterms:W3CDTF">2026-09-03T01:38:16Z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eyJoZGlkIjoiMmYzNmExYTFlZGNhMzRjZWViYThhMTAxMTQzZTQxMzkiLCJ1c2VySWQiOiIxMTQ4Mjc5MDkxIn0=</vt:lpwstr>
  </property>
  <property fmtid="{D5CDD505-2E9C-101B-9397-08002B2CF9AE}" pid="4" name="ICV">
    <vt:lpwstr>5286750254BD4925ABF2718DFE2DDAC8_13</vt:lpwstr>
  </property>
</Properties>
</file>