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D8FCE">
      <w:pPr>
        <w:pStyle w:val="33"/>
        <w:jc w:val="center"/>
        <w:rPr>
          <w:rFonts w:hint="eastAsia" w:ascii="Times New Roman" w:eastAsia="宋体" w:cs="Times New Roman"/>
          <w:b/>
          <w:bCs/>
          <w:color w:val="000000" w:themeColor="text1"/>
          <w:sz w:val="84"/>
          <w:szCs w:val="84"/>
          <w14:textFill>
            <w14:solidFill>
              <w14:schemeClr w14:val="tx1"/>
            </w14:solidFill>
          </w14:textFill>
        </w:rPr>
      </w:pPr>
      <w:bookmarkStart w:id="0" w:name="_Toc383698647"/>
      <w:bookmarkStart w:id="1" w:name="_Toc383679746"/>
      <w:bookmarkStart w:id="2" w:name="_Toc383587456"/>
      <w:bookmarkStart w:id="3" w:name="_Toc383623672"/>
      <w:bookmarkStart w:id="4" w:name="_Toc383625993"/>
      <w:bookmarkStart w:id="5" w:name="_Toc390246905"/>
      <w:bookmarkStart w:id="6" w:name="_Toc426469868"/>
      <w:bookmarkStart w:id="7" w:name="_Toc383623944"/>
      <w:bookmarkStart w:id="8" w:name="_Toc390099018"/>
      <w:bookmarkStart w:id="9" w:name="_Toc390098840"/>
    </w:p>
    <w:p w14:paraId="58B11702">
      <w:pPr>
        <w:pStyle w:val="33"/>
        <w:jc w:val="center"/>
        <w:rPr>
          <w:rFonts w:ascii="Times New Roman" w:eastAsia="宋体" w:cs="Times New Roman"/>
          <w:b/>
          <w:bCs/>
          <w:color w:val="000000" w:themeColor="text1"/>
          <w:sz w:val="84"/>
          <w:szCs w:val="84"/>
          <w14:textFill>
            <w14:solidFill>
              <w14:schemeClr w14:val="tx1"/>
            </w14:solidFill>
          </w14:textFill>
        </w:rPr>
      </w:pPr>
    </w:p>
    <w:p w14:paraId="06C1F64B">
      <w:pPr>
        <w:pStyle w:val="33"/>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招　标　文　件</w:t>
      </w:r>
    </w:p>
    <w:p w14:paraId="63D30B6E">
      <w:pPr>
        <w:pStyle w:val="33"/>
        <w:spacing w:line="540" w:lineRule="exact"/>
        <w:rPr>
          <w:rFonts w:ascii="Times New Roman" w:eastAsia="宋体" w:cs="Times New Roman"/>
          <w:b/>
          <w:bCs/>
          <w:color w:val="000000" w:themeColor="text1"/>
          <w:sz w:val="32"/>
          <w:szCs w:val="32"/>
          <w14:textFill>
            <w14:solidFill>
              <w14:schemeClr w14:val="tx1"/>
            </w14:solidFill>
          </w14:textFill>
        </w:rPr>
      </w:pPr>
    </w:p>
    <w:p w14:paraId="1F136792">
      <w:pPr>
        <w:pStyle w:val="33"/>
        <w:spacing w:line="540" w:lineRule="exact"/>
        <w:rPr>
          <w:rFonts w:ascii="Times New Roman" w:eastAsia="宋体" w:cs="Times New Roman"/>
          <w:b/>
          <w:bCs/>
          <w:color w:val="000000" w:themeColor="text1"/>
          <w:sz w:val="32"/>
          <w:szCs w:val="32"/>
          <w14:textFill>
            <w14:solidFill>
              <w14:schemeClr w14:val="tx1"/>
            </w14:solidFill>
          </w14:textFill>
        </w:rPr>
      </w:pPr>
    </w:p>
    <w:p w14:paraId="7BD8B07F">
      <w:pPr>
        <w:pStyle w:val="33"/>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p>
    <w:p w14:paraId="51B3E70F">
      <w:pPr>
        <w:widowControl/>
        <w:ind w:left="2266" w:hanging="2266" w:hangingChars="513"/>
        <w:jc w:val="left"/>
        <w:rPr>
          <w:rFonts w:hint="eastAsia"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项目名称</w:t>
      </w:r>
      <w:r>
        <w:rPr>
          <w:color w:val="000000" w:themeColor="text1"/>
          <w:sz w:val="44"/>
          <w:szCs w:val="44"/>
          <w14:textFill>
            <w14:solidFill>
              <w14:schemeClr w14:val="tx1"/>
            </w14:solidFill>
          </w14:textFill>
        </w:rPr>
        <w:t>：</w:t>
      </w:r>
      <w:r>
        <w:rPr>
          <w:rFonts w:hint="eastAsia"/>
          <w:color w:val="000000" w:themeColor="text1"/>
          <w:sz w:val="44"/>
          <w:szCs w:val="44"/>
          <w14:textFill>
            <w14:solidFill>
              <w14:schemeClr w14:val="tx1"/>
            </w14:solidFill>
          </w14:textFill>
        </w:rPr>
        <w:t>江苏省泰兴中等专业学校一体化数智治理平台采购</w:t>
      </w:r>
    </w:p>
    <w:p w14:paraId="739A5D19">
      <w:pPr>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项目编号：JSZC-321283-GXGL-G2026-0027</w:t>
      </w:r>
      <w:r>
        <w:rPr>
          <w:rFonts w:hint="eastAsia"/>
          <w:b/>
          <w:bCs/>
          <w:color w:val="000000" w:themeColor="text1"/>
          <w:sz w:val="44"/>
          <w:szCs w:val="44"/>
          <w14:textFill>
            <w14:solidFill>
              <w14:schemeClr w14:val="tx1"/>
            </w14:solidFill>
          </w14:textFill>
        </w:rPr>
        <w:t xml:space="preserve">    </w:t>
      </w:r>
    </w:p>
    <w:p w14:paraId="0AD68F14">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7613BF4F">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290D1F99">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142F60E2">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3A28EFE0">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4F30BF47">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22458BC6">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394F3961">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5CDCF470">
      <w:pPr>
        <w:pStyle w:val="33"/>
        <w:spacing w:line="540" w:lineRule="exact"/>
        <w:ind w:firstLine="643" w:firstLineChars="200"/>
        <w:jc w:val="center"/>
        <w:rPr>
          <w:rFonts w:ascii="Times New Roman" w:eastAsia="宋体" w:cs="Times New Roman"/>
          <w:b/>
          <w:color w:val="000000" w:themeColor="text1"/>
          <w:sz w:val="32"/>
          <w:szCs w:val="32"/>
          <w14:textFill>
            <w14:solidFill>
              <w14:schemeClr w14:val="tx1"/>
            </w14:solidFill>
          </w14:textFill>
        </w:rPr>
      </w:pPr>
    </w:p>
    <w:p w14:paraId="18BFD983">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江苏省泰兴中等专业学校</w:t>
      </w:r>
    </w:p>
    <w:p w14:paraId="253D5874">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二〇二六年</w:t>
      </w:r>
      <w:r>
        <w:rPr>
          <w:rFonts w:hint="eastAsia" w:ascii="宋体" w:hAnsi="宋体" w:cs="宋体"/>
          <w:b/>
          <w:sz w:val="36"/>
          <w:szCs w:val="36"/>
          <w:lang w:val="en-US" w:eastAsia="zh-CN"/>
        </w:rPr>
        <w:t>八</w:t>
      </w:r>
      <w:r>
        <w:rPr>
          <w:rFonts w:hint="eastAsia" w:ascii="宋体" w:hAnsi="宋体" w:cs="宋体"/>
          <w:b/>
          <w:color w:val="000000" w:themeColor="text1"/>
          <w:sz w:val="36"/>
          <w:szCs w:val="36"/>
          <w14:textFill>
            <w14:solidFill>
              <w14:schemeClr w14:val="tx1"/>
            </w14:solidFill>
          </w14:textFill>
        </w:rPr>
        <w:t>月</w:t>
      </w:r>
    </w:p>
    <w:p w14:paraId="7ACECE80">
      <w:pPr>
        <w:pStyle w:val="20"/>
        <w:tabs>
          <w:tab w:val="left" w:pos="3240"/>
        </w:tabs>
        <w:spacing w:line="500" w:lineRule="exact"/>
        <w:ind w:left="0" w:firstLine="0"/>
        <w:outlineLvl w:val="0"/>
        <w:rPr>
          <w:rFonts w:hint="eastAsia" w:ascii="黑体" w:hAnsi="黑体" w:eastAsia="黑体"/>
          <w:b/>
          <w:color w:val="000000" w:themeColor="text1"/>
          <w14:textFill>
            <w14:solidFill>
              <w14:schemeClr w14:val="tx1"/>
            </w14:solidFill>
          </w14:textFill>
        </w:rPr>
      </w:pPr>
    </w:p>
    <w:p w14:paraId="34B55211">
      <w:pPr>
        <w:pStyle w:val="20"/>
        <w:tabs>
          <w:tab w:val="left" w:pos="3240"/>
        </w:tabs>
        <w:spacing w:line="500" w:lineRule="exact"/>
        <w:ind w:left="0" w:firstLine="0"/>
        <w:jc w:val="center"/>
        <w:outlineLvl w:val="0"/>
        <w:rPr>
          <w:rFonts w:hint="eastAsia" w:ascii="黑体" w:hAnsi="黑体" w:eastAsia="黑体"/>
          <w:b/>
          <w:color w:val="000000" w:themeColor="text1"/>
          <w14:textFill>
            <w14:solidFill>
              <w14:schemeClr w14:val="tx1"/>
            </w14:solidFill>
          </w14:textFill>
        </w:rPr>
      </w:pPr>
    </w:p>
    <w:p w14:paraId="6C54B887">
      <w:pPr>
        <w:pStyle w:val="20"/>
        <w:tabs>
          <w:tab w:val="left" w:pos="3240"/>
        </w:tabs>
        <w:spacing w:line="500" w:lineRule="exact"/>
        <w:ind w:left="0" w:firstLine="0"/>
        <w:jc w:val="center"/>
        <w:outlineLvl w:val="0"/>
        <w:rPr>
          <w:rFonts w:hint="eastAsia" w:ascii="黑体" w:hAnsi="黑体" w:eastAsia="黑体"/>
          <w:b/>
          <w:color w:val="000000" w:themeColor="text1"/>
          <w14:textFill>
            <w14:solidFill>
              <w14:schemeClr w14:val="tx1"/>
            </w14:solidFill>
          </w14:textFill>
        </w:rPr>
      </w:pPr>
      <w:r>
        <w:rPr>
          <w:rFonts w:hint="eastAsia" w:ascii="黑体" w:hAnsi="黑体" w:eastAsia="黑体"/>
          <w:b/>
          <w:color w:val="000000" w:themeColor="text1"/>
          <w14:textFill>
            <w14:solidFill>
              <w14:schemeClr w14:val="tx1"/>
            </w14:solidFill>
          </w14:textFill>
        </w:rPr>
        <w:t>第一章</w:t>
      </w:r>
      <w:r>
        <w:rPr>
          <w:rFonts w:ascii="黑体" w:hAnsi="黑体" w:eastAsia="黑体"/>
          <w:b/>
          <w:color w:val="000000" w:themeColor="text1"/>
          <w14:textFill>
            <w14:solidFill>
              <w14:schemeClr w14:val="tx1"/>
            </w14:solidFill>
          </w14:textFill>
        </w:rPr>
        <w:t xml:space="preserve"> </w:t>
      </w:r>
      <w:bookmarkEnd w:id="0"/>
      <w:bookmarkEnd w:id="1"/>
      <w:bookmarkEnd w:id="2"/>
      <w:bookmarkEnd w:id="3"/>
      <w:bookmarkEnd w:id="4"/>
      <w:bookmarkEnd w:id="5"/>
      <w:bookmarkEnd w:id="6"/>
      <w:bookmarkEnd w:id="7"/>
      <w:bookmarkEnd w:id="8"/>
      <w:bookmarkEnd w:id="9"/>
      <w:r>
        <w:rPr>
          <w:rFonts w:hint="eastAsia" w:ascii="黑体" w:hAnsi="黑体" w:eastAsia="黑体"/>
          <w:b/>
          <w:color w:val="000000" w:themeColor="text1"/>
          <w14:textFill>
            <w14:solidFill>
              <w14:schemeClr w14:val="tx1"/>
            </w14:solidFill>
          </w14:textFill>
        </w:rPr>
        <w:t>招标公告</w:t>
      </w:r>
    </w:p>
    <w:p w14:paraId="65F48CE5">
      <w:pPr>
        <w:pBdr>
          <w:top w:val="single" w:color="auto" w:sz="4" w:space="1"/>
          <w:left w:val="single" w:color="auto" w:sz="4" w:space="4"/>
          <w:bottom w:val="single" w:color="auto" w:sz="4" w:space="1"/>
          <w:right w:val="single" w:color="auto" w:sz="4" w:space="4"/>
        </w:pBdr>
        <w:spacing w:line="460" w:lineRule="exact"/>
        <w:rPr>
          <w:rFonts w:asci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项目概况</w:t>
      </w:r>
    </w:p>
    <w:p w14:paraId="36B8F68A">
      <w:pPr>
        <w:pBdr>
          <w:top w:val="single" w:color="auto" w:sz="4" w:space="1"/>
          <w:left w:val="single" w:color="auto" w:sz="4" w:space="4"/>
          <w:bottom w:val="single" w:color="auto" w:sz="4" w:space="1"/>
          <w:right w:val="single" w:color="auto" w:sz="4" w:space="4"/>
        </w:pBdr>
        <w:spacing w:line="460" w:lineRule="exact"/>
        <w:ind w:firstLine="560" w:firstLineChars="200"/>
        <w:rPr>
          <w:rFonts w:asci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u w:val="single"/>
          <w14:textFill>
            <w14:solidFill>
              <w14:schemeClr w14:val="tx1"/>
            </w14:solidFill>
          </w14:textFill>
        </w:rPr>
        <w:t>江苏省泰兴中等专业学校一体化数智治理平台采购</w:t>
      </w:r>
      <w:r>
        <w:rPr>
          <w:rFonts w:hint="eastAsia" w:ascii="宋体" w:hAnsi="宋体"/>
          <w:color w:val="000000" w:themeColor="text1"/>
          <w:kern w:val="2"/>
          <w:sz w:val="28"/>
          <w:szCs w:val="28"/>
          <w14:textFill>
            <w14:solidFill>
              <w14:schemeClr w14:val="tx1"/>
            </w14:solidFill>
          </w14:textFill>
        </w:rPr>
        <w:t>招标项目的潜在投标人应在</w:t>
      </w:r>
      <w:r>
        <w:rPr>
          <w:rFonts w:hint="eastAsia" w:ascii="宋体" w:hAnsi="宋体"/>
          <w:color w:val="000000" w:themeColor="text1"/>
          <w:kern w:val="2"/>
          <w:sz w:val="28"/>
          <w:szCs w:val="28"/>
          <w:u w:val="single"/>
          <w14:textFill>
            <w14:solidFill>
              <w14:schemeClr w14:val="tx1"/>
            </w14:solidFill>
          </w14:textFill>
        </w:rPr>
        <w:t>“苏采云”政府采购一体化平台获取招标文件</w:t>
      </w:r>
      <w:r>
        <w:rPr>
          <w:rFonts w:hint="eastAsia" w:ascii="宋体" w:hAnsi="宋体"/>
          <w:color w:val="000000" w:themeColor="text1"/>
          <w:kern w:val="2"/>
          <w:sz w:val="28"/>
          <w:szCs w:val="28"/>
          <w14:textFill>
            <w14:solidFill>
              <w14:schemeClr w14:val="tx1"/>
            </w14:solidFill>
          </w14:textFill>
        </w:rPr>
        <w:t>，并于</w:t>
      </w:r>
      <w:r>
        <w:rPr>
          <w:rFonts w:hint="eastAsia" w:ascii="宋体" w:hAnsi="宋体"/>
          <w:color w:val="000000" w:themeColor="text1"/>
          <w:kern w:val="2"/>
          <w:sz w:val="28"/>
          <w:szCs w:val="28"/>
          <w:u w:val="single"/>
          <w14:textFill>
            <w14:solidFill>
              <w14:schemeClr w14:val="tx1"/>
            </w14:solidFill>
          </w14:textFill>
        </w:rPr>
        <w:t>2026</w:t>
      </w:r>
      <w:r>
        <w:rPr>
          <w:rFonts w:hint="eastAsia" w:ascii="宋体" w:hAnsi="宋体"/>
          <w:bCs/>
          <w:color w:val="000000" w:themeColor="text1"/>
          <w:kern w:val="2"/>
          <w:sz w:val="28"/>
          <w:szCs w:val="28"/>
          <w:u w:val="single"/>
          <w14:textFill>
            <w14:solidFill>
              <w14:schemeClr w14:val="tx1"/>
            </w14:solidFill>
          </w14:textFill>
        </w:rPr>
        <w:t>年</w:t>
      </w:r>
      <w:r>
        <w:rPr>
          <w:rFonts w:hint="eastAsia" w:ascii="宋体" w:hAnsi="宋体"/>
          <w:bCs/>
          <w:color w:val="000000" w:themeColor="text1"/>
          <w:kern w:val="2"/>
          <w:sz w:val="28"/>
          <w:szCs w:val="28"/>
          <w:u w:val="single"/>
          <w:lang w:val="en-US" w:eastAsia="zh-CN"/>
          <w14:textFill>
            <w14:solidFill>
              <w14:schemeClr w14:val="tx1"/>
            </w14:solidFill>
          </w14:textFill>
        </w:rPr>
        <w:t>9</w:t>
      </w:r>
      <w:r>
        <w:rPr>
          <w:rFonts w:hint="eastAsia" w:ascii="宋体" w:hAnsi="宋体"/>
          <w:bCs/>
          <w:color w:val="000000" w:themeColor="text1"/>
          <w:kern w:val="2"/>
          <w:sz w:val="28"/>
          <w:szCs w:val="28"/>
          <w:u w:val="single"/>
          <w14:textFill>
            <w14:solidFill>
              <w14:schemeClr w14:val="tx1"/>
            </w14:solidFill>
          </w14:textFill>
        </w:rPr>
        <w:t>月</w:t>
      </w:r>
      <w:r>
        <w:rPr>
          <w:rFonts w:hint="eastAsia" w:ascii="宋体" w:hAnsi="宋体"/>
          <w:bCs/>
          <w:color w:val="000000" w:themeColor="text1"/>
          <w:kern w:val="2"/>
          <w:sz w:val="28"/>
          <w:szCs w:val="28"/>
          <w:u w:val="single"/>
          <w:lang w:val="en-US" w:eastAsia="zh-CN"/>
          <w14:textFill>
            <w14:solidFill>
              <w14:schemeClr w14:val="tx1"/>
            </w14:solidFill>
          </w14:textFill>
        </w:rPr>
        <w:t>10</w:t>
      </w:r>
      <w:r>
        <w:rPr>
          <w:rFonts w:hint="eastAsia" w:ascii="宋体" w:hAnsi="宋体"/>
          <w:bCs/>
          <w:color w:val="000000" w:themeColor="text1"/>
          <w:kern w:val="2"/>
          <w:sz w:val="28"/>
          <w:szCs w:val="28"/>
          <w:u w:val="single"/>
          <w14:textFill>
            <w14:solidFill>
              <w14:schemeClr w14:val="tx1"/>
            </w14:solidFill>
          </w14:textFill>
        </w:rPr>
        <w:t>日 9 点00分（</w:t>
      </w:r>
      <w:r>
        <w:rPr>
          <w:rFonts w:hint="eastAsia" w:ascii="宋体" w:hAnsi="宋体"/>
          <w:bCs/>
          <w:color w:val="000000" w:themeColor="text1"/>
          <w:kern w:val="2"/>
          <w:sz w:val="28"/>
          <w:szCs w:val="28"/>
          <w14:textFill>
            <w14:solidFill>
              <w14:schemeClr w14:val="tx1"/>
            </w14:solidFill>
          </w14:textFill>
        </w:rPr>
        <w:t>北京时间）前递交投标文件</w:t>
      </w:r>
      <w:r>
        <w:rPr>
          <w:rFonts w:hint="eastAsia" w:ascii="宋体" w:hAnsi="宋体"/>
          <w:color w:val="000000" w:themeColor="text1"/>
          <w:kern w:val="2"/>
          <w:sz w:val="28"/>
          <w:szCs w:val="28"/>
          <w14:textFill>
            <w14:solidFill>
              <w14:schemeClr w14:val="tx1"/>
            </w14:solidFill>
          </w14:textFill>
        </w:rPr>
        <w:t>。</w:t>
      </w:r>
      <w:bookmarkStart w:id="10" w:name="_Toc35393790"/>
      <w:bookmarkStart w:id="11" w:name="_Toc28359079"/>
      <w:bookmarkStart w:id="12" w:name="_Toc35393621"/>
      <w:bookmarkStart w:id="13" w:name="_Toc28359002"/>
      <w:bookmarkStart w:id="14" w:name="_Hlk24379207"/>
    </w:p>
    <w:p w14:paraId="287D6269">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一、项目基本情况</w:t>
      </w:r>
      <w:bookmarkEnd w:id="10"/>
      <w:bookmarkEnd w:id="11"/>
      <w:bookmarkEnd w:id="12"/>
      <w:bookmarkEnd w:id="13"/>
    </w:p>
    <w:p w14:paraId="22DB1150">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项目编号：JSZC-321283-GXGL-G2026-0027     </w:t>
      </w:r>
    </w:p>
    <w:p w14:paraId="574DEEAB">
      <w:pPr>
        <w:spacing w:line="460" w:lineRule="exact"/>
        <w:ind w:firstLine="560" w:firstLineChars="200"/>
        <w:rPr>
          <w:rFonts w:hint="eastAsia" w:ascii="宋体" w:hAnsi="宋体"/>
          <w:color w:val="000000" w:themeColor="text1"/>
          <w:kern w:val="2"/>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2.项目名称：</w:t>
      </w:r>
      <w:bookmarkEnd w:id="14"/>
      <w:r>
        <w:rPr>
          <w:rFonts w:hint="eastAsia" w:asciiTheme="majorEastAsia" w:hAnsiTheme="majorEastAsia" w:eastAsiaTheme="majorEastAsia"/>
          <w:color w:val="000000" w:themeColor="text1"/>
          <w:sz w:val="28"/>
          <w:szCs w:val="28"/>
          <w14:textFill>
            <w14:solidFill>
              <w14:schemeClr w14:val="tx1"/>
            </w14:solidFill>
          </w14:textFill>
        </w:rPr>
        <w:t>江苏省泰兴中等专业学校一体化数智治理平台采购</w:t>
      </w:r>
    </w:p>
    <w:p w14:paraId="16277862">
      <w:pPr>
        <w:spacing w:line="460" w:lineRule="exact"/>
        <w:ind w:left="557" w:leftChars="232"/>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3.采购方式：公开招标</w:t>
      </w:r>
    </w:p>
    <w:p w14:paraId="66F0F68B">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4.预算金额：</w:t>
      </w:r>
      <w:r>
        <w:rPr>
          <w:rFonts w:hint="eastAsia" w:ascii="宋体" w:hAnsi="宋体" w:cs="宋体" w:eastAsiaTheme="majorEastAsia"/>
          <w:color w:val="000000" w:themeColor="text1"/>
          <w:kern w:val="2"/>
          <w:sz w:val="28"/>
          <w:szCs w:val="28"/>
          <w14:textFill>
            <w14:solidFill>
              <w14:schemeClr w14:val="tx1"/>
            </w14:solidFill>
          </w14:textFill>
        </w:rPr>
        <w:t>119.97万元</w:t>
      </w:r>
    </w:p>
    <w:p w14:paraId="5F7AC65F">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5.</w:t>
      </w:r>
      <w:r>
        <w:rPr>
          <w:rFonts w:hint="eastAsia" w:asciiTheme="majorEastAsia" w:hAnsiTheme="majorEastAsia" w:eastAsiaTheme="majorEastAsia"/>
          <w:color w:val="000000" w:themeColor="text1"/>
          <w:sz w:val="28"/>
          <w:szCs w:val="28"/>
          <w14:textFill>
            <w14:solidFill>
              <w14:schemeClr w14:val="tx1"/>
            </w14:solidFill>
          </w14:textFill>
        </w:rPr>
        <w:t>最高限价：</w:t>
      </w:r>
      <w:r>
        <w:rPr>
          <w:rFonts w:hint="eastAsia" w:ascii="宋体" w:hAnsi="宋体" w:cs="宋体" w:eastAsiaTheme="majorEastAsia"/>
          <w:color w:val="000000" w:themeColor="text1"/>
          <w:kern w:val="2"/>
          <w:sz w:val="28"/>
          <w:szCs w:val="28"/>
          <w14:textFill>
            <w14:solidFill>
              <w14:schemeClr w14:val="tx1"/>
            </w14:solidFill>
          </w14:textFill>
        </w:rPr>
        <w:t>119.97万元</w:t>
      </w:r>
    </w:p>
    <w:p w14:paraId="672BE5FA">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6.报价要求：开标一览表中填报总价，且不得超过最高限价。</w:t>
      </w:r>
    </w:p>
    <w:p w14:paraId="4E73A79C">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7</w:t>
      </w:r>
      <w:r>
        <w:rPr>
          <w:rFonts w:asciiTheme="majorEastAsia" w:hAnsiTheme="majorEastAsia" w:eastAsiaTheme="majorEastAsia"/>
          <w:color w:val="000000" w:themeColor="text1"/>
          <w:sz w:val="28"/>
          <w:szCs w:val="28"/>
          <w14:textFill>
            <w14:solidFill>
              <w14:schemeClr w14:val="tx1"/>
            </w14:solidFill>
          </w14:textFill>
        </w:rPr>
        <w:t>.</w:t>
      </w:r>
      <w:r>
        <w:rPr>
          <w:rFonts w:hint="eastAsia" w:asciiTheme="majorEastAsia" w:hAnsiTheme="majorEastAsia" w:eastAsiaTheme="majorEastAsia"/>
          <w:color w:val="000000" w:themeColor="text1"/>
          <w:sz w:val="28"/>
          <w:szCs w:val="28"/>
          <w14:textFill>
            <w14:solidFill>
              <w14:schemeClr w14:val="tx1"/>
            </w14:solidFill>
          </w14:textFill>
        </w:rPr>
        <w:t>采购需求：建设一体化数智治理平台、完善校园数据治理体系。具体详见招标文件第五章；</w:t>
      </w:r>
    </w:p>
    <w:p w14:paraId="55C903F2">
      <w:pPr>
        <w:spacing w:line="460" w:lineRule="exact"/>
        <w:ind w:firstLine="560" w:firstLineChars="200"/>
        <w:rPr>
          <w:rFonts w:hint="eastAsia" w:asciiTheme="majorEastAsia" w:hAnsiTheme="majorEastAsia" w:eastAsiaTheme="majorEastAsia"/>
          <w:color w:val="auto"/>
          <w:sz w:val="28"/>
          <w:szCs w:val="28"/>
        </w:rPr>
      </w:pPr>
      <w:bookmarkStart w:id="15" w:name="OLE_LINK1"/>
      <w:r>
        <w:rPr>
          <w:rFonts w:hint="eastAsia" w:asciiTheme="majorEastAsia" w:hAnsiTheme="majorEastAsia" w:eastAsiaTheme="majorEastAsia"/>
          <w:color w:val="auto"/>
          <w:sz w:val="28"/>
          <w:szCs w:val="28"/>
        </w:rPr>
        <w:t>8</w:t>
      </w:r>
      <w:r>
        <w:rPr>
          <w:rFonts w:asciiTheme="majorEastAsia" w:hAnsiTheme="majorEastAsia" w:eastAsiaTheme="majorEastAsia"/>
          <w:color w:val="auto"/>
          <w:sz w:val="28"/>
          <w:szCs w:val="28"/>
        </w:rPr>
        <w:t>.</w:t>
      </w:r>
      <w:r>
        <w:rPr>
          <w:rFonts w:hint="eastAsia" w:asciiTheme="majorEastAsia" w:hAnsiTheme="majorEastAsia" w:eastAsiaTheme="majorEastAsia"/>
          <w:color w:val="auto"/>
          <w:sz w:val="28"/>
          <w:szCs w:val="28"/>
        </w:rPr>
        <w:t>合同履行期限：两年</w:t>
      </w:r>
    </w:p>
    <w:bookmarkEnd w:id="15"/>
    <w:p w14:paraId="7A6D220F">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9</w:t>
      </w:r>
      <w:r>
        <w:rPr>
          <w:rFonts w:asciiTheme="majorEastAsia" w:hAnsiTheme="majorEastAsia" w:eastAsiaTheme="majorEastAsia"/>
          <w:color w:val="000000" w:themeColor="text1"/>
          <w:sz w:val="28"/>
          <w:szCs w:val="28"/>
          <w14:textFill>
            <w14:solidFill>
              <w14:schemeClr w14:val="tx1"/>
            </w14:solidFill>
          </w14:textFill>
        </w:rPr>
        <w:t>.</w:t>
      </w:r>
      <w:r>
        <w:rPr>
          <w:rFonts w:hint="eastAsia" w:asciiTheme="majorEastAsia" w:hAnsiTheme="majorEastAsia" w:eastAsiaTheme="majorEastAsia"/>
          <w:color w:val="000000" w:themeColor="text1"/>
          <w:sz w:val="28"/>
          <w:szCs w:val="28"/>
          <w14:textFill>
            <w14:solidFill>
              <w14:schemeClr w14:val="tx1"/>
            </w14:solidFill>
          </w14:textFill>
        </w:rPr>
        <w:t>本项目不接受联合体投标。</w:t>
      </w:r>
    </w:p>
    <w:p w14:paraId="353EF7B4">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bookmarkStart w:id="16" w:name="_Toc35393791"/>
      <w:bookmarkStart w:id="17" w:name="_Toc28359080"/>
      <w:bookmarkStart w:id="18" w:name="_Toc35393622"/>
      <w:bookmarkStart w:id="19" w:name="_Toc28359003"/>
      <w:r>
        <w:rPr>
          <w:rFonts w:hint="eastAsia" w:asciiTheme="majorEastAsia" w:hAnsiTheme="majorEastAsia" w:eastAsiaTheme="majorEastAsia"/>
          <w:b/>
          <w:color w:val="000000" w:themeColor="text1"/>
          <w:sz w:val="32"/>
          <w:szCs w:val="32"/>
          <w14:textFill>
            <w14:solidFill>
              <w14:schemeClr w14:val="tx1"/>
            </w14:solidFill>
          </w14:textFill>
        </w:rPr>
        <w:t>二、申请人的资格要求：</w:t>
      </w:r>
      <w:bookmarkEnd w:id="16"/>
      <w:bookmarkEnd w:id="17"/>
      <w:bookmarkEnd w:id="18"/>
      <w:bookmarkEnd w:id="19"/>
    </w:p>
    <w:p w14:paraId="50A93D52">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满足《中华人民共和国政府采购法》第二十二条规定；</w:t>
      </w:r>
    </w:p>
    <w:p w14:paraId="3390D028">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（1）具有有效的营业执照；</w:t>
      </w:r>
    </w:p>
    <w:p w14:paraId="572B23C9">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（2）基本资格条件的承诺（根据供应商提供的承诺函，内容完整且具有法人及法定代表人的印章）。</w:t>
      </w:r>
    </w:p>
    <w:p w14:paraId="6F8E121E">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bookmarkStart w:id="20" w:name="_Toc28359004"/>
      <w:bookmarkStart w:id="21" w:name="_Toc28359081"/>
      <w:r>
        <w:rPr>
          <w:rFonts w:asciiTheme="majorEastAsia" w:hAnsiTheme="majorEastAsia" w:eastAsiaTheme="majorEastAsia"/>
          <w:color w:val="000000" w:themeColor="text1"/>
          <w:sz w:val="28"/>
          <w:szCs w:val="28"/>
          <w14:textFill>
            <w14:solidFill>
              <w14:schemeClr w14:val="tx1"/>
            </w14:solidFill>
          </w14:textFill>
        </w:rPr>
        <w:t>2.</w:t>
      </w:r>
      <w:r>
        <w:rPr>
          <w:rFonts w:hint="eastAsia" w:asciiTheme="majorEastAsia" w:hAnsiTheme="majorEastAsia" w:eastAsiaTheme="majorEastAsia"/>
          <w:color w:val="000000" w:themeColor="text1"/>
          <w:sz w:val="28"/>
          <w:szCs w:val="28"/>
          <w14:textFill>
            <w14:solidFill>
              <w14:schemeClr w14:val="tx1"/>
            </w14:solidFill>
          </w14:textFill>
        </w:rPr>
        <w:t>落实政府采购政策需满足的资格要求：</w:t>
      </w:r>
      <w:r>
        <w:rPr>
          <w:rFonts w:hint="eastAsia" w:asciiTheme="majorEastAsia" w:hAnsiTheme="majorEastAsia" w:eastAsiaTheme="majorEastAsia"/>
          <w:b/>
          <w:bCs/>
          <w:color w:val="000000" w:themeColor="text1"/>
          <w:sz w:val="28"/>
          <w:szCs w:val="28"/>
          <w14:textFill>
            <w14:solidFill>
              <w14:schemeClr w14:val="tx1"/>
            </w14:solidFill>
          </w14:textFill>
        </w:rPr>
        <w:t>本项目为专门面向中小企业的项目</w:t>
      </w:r>
      <w:r>
        <w:rPr>
          <w:rFonts w:hint="eastAsia" w:asciiTheme="majorEastAsia" w:hAnsiTheme="majorEastAsia" w:eastAsiaTheme="majorEastAsia"/>
          <w:color w:val="000000" w:themeColor="text1"/>
          <w:sz w:val="28"/>
          <w:szCs w:val="28"/>
          <w14:textFill>
            <w14:solidFill>
              <w14:schemeClr w14:val="tx1"/>
            </w14:solidFill>
          </w14:textFill>
        </w:rPr>
        <w:t>；</w:t>
      </w:r>
    </w:p>
    <w:p w14:paraId="4399DDF2">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3.</w:t>
      </w:r>
      <w:r>
        <w:rPr>
          <w:rFonts w:hint="eastAsia" w:asciiTheme="majorEastAsia" w:hAnsiTheme="majorEastAsia" w:eastAsiaTheme="majorEastAsia"/>
          <w:color w:val="000000" w:themeColor="text1"/>
          <w:sz w:val="28"/>
          <w:szCs w:val="28"/>
          <w14:textFill>
            <w14:solidFill>
              <w14:schemeClr w14:val="tx1"/>
            </w14:solidFill>
          </w14:textFill>
        </w:rPr>
        <w:t>本项目的特定资格要求：</w:t>
      </w:r>
      <w:bookmarkEnd w:id="20"/>
      <w:bookmarkEnd w:id="21"/>
      <w:bookmarkStart w:id="22" w:name="_Toc28359085"/>
      <w:bookmarkStart w:id="23" w:name="_Toc28359008"/>
      <w:bookmarkStart w:id="24" w:name="_Toc35393796"/>
      <w:bookmarkStart w:id="25" w:name="_Toc35393627"/>
      <w:r>
        <w:rPr>
          <w:rFonts w:hint="eastAsia" w:asciiTheme="majorEastAsia" w:hAnsiTheme="majorEastAsia" w:eastAsiaTheme="majorEastAsia"/>
          <w:color w:val="000000" w:themeColor="text1"/>
          <w:sz w:val="28"/>
          <w:szCs w:val="28"/>
          <w14:textFill>
            <w14:solidFill>
              <w14:schemeClr w14:val="tx1"/>
            </w14:solidFill>
          </w14:textFill>
        </w:rPr>
        <w:t>无</w:t>
      </w:r>
    </w:p>
    <w:p w14:paraId="178EBA78">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三、获取招标文件</w:t>
      </w:r>
    </w:p>
    <w:p w14:paraId="76902CF3">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获取时间：2026年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8</w:t>
      </w:r>
      <w:r>
        <w:rPr>
          <w:rFonts w:hint="eastAsia" w:asciiTheme="majorEastAsia" w:hAnsiTheme="majorEastAsia" w:eastAsiaTheme="majorEastAsia"/>
          <w:color w:val="000000" w:themeColor="text1"/>
          <w:sz w:val="28"/>
          <w:szCs w:val="28"/>
          <w14:textFill>
            <w14:solidFill>
              <w14:schemeClr w14:val="tx1"/>
            </w14:solidFill>
          </w14:textFill>
        </w:rPr>
        <w:t>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21</w:t>
      </w:r>
      <w:r>
        <w:rPr>
          <w:rFonts w:hint="eastAsia" w:asciiTheme="majorEastAsia" w:hAnsiTheme="majorEastAsia" w:eastAsiaTheme="majorEastAsia"/>
          <w:color w:val="000000" w:themeColor="text1"/>
          <w:sz w:val="28"/>
          <w:szCs w:val="28"/>
          <w14:textFill>
            <w14:solidFill>
              <w14:schemeClr w14:val="tx1"/>
            </w14:solidFill>
          </w14:textFill>
        </w:rPr>
        <w:t>日</w:t>
      </w:r>
      <w:r>
        <w:rPr>
          <w:rFonts w:asciiTheme="majorEastAsia" w:hAnsiTheme="majorEastAsia" w:eastAsiaTheme="majorEastAsia"/>
          <w:color w:val="000000" w:themeColor="text1"/>
          <w:sz w:val="28"/>
          <w:szCs w:val="28"/>
          <w14:textFill>
            <w14:solidFill>
              <w14:schemeClr w14:val="tx1"/>
            </w14:solidFill>
          </w14:textFill>
        </w:rPr>
        <w:t>00</w:t>
      </w:r>
      <w:r>
        <w:rPr>
          <w:rFonts w:hint="eastAsia" w:asciiTheme="majorEastAsia" w:hAnsiTheme="majorEastAsia" w:eastAsiaTheme="majorEastAsia"/>
          <w:color w:val="000000" w:themeColor="text1"/>
          <w:sz w:val="28"/>
          <w:szCs w:val="28"/>
          <w14:textFill>
            <w14:solidFill>
              <w14:schemeClr w14:val="tx1"/>
            </w14:solidFill>
          </w14:textFill>
        </w:rPr>
        <w:t>时起，到2026年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8</w:t>
      </w:r>
      <w:r>
        <w:rPr>
          <w:rFonts w:hint="eastAsia" w:asciiTheme="majorEastAsia" w:hAnsiTheme="majorEastAsia" w:eastAsiaTheme="majorEastAsia"/>
          <w:color w:val="000000" w:themeColor="text1"/>
          <w:sz w:val="28"/>
          <w:szCs w:val="28"/>
          <w14:textFill>
            <w14:solidFill>
              <w14:schemeClr w14:val="tx1"/>
            </w14:solidFill>
          </w14:textFill>
        </w:rPr>
        <w:t>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27</w:t>
      </w:r>
      <w:r>
        <w:rPr>
          <w:rFonts w:hint="eastAsia" w:asciiTheme="majorEastAsia" w:hAnsiTheme="majorEastAsia" w:eastAsiaTheme="majorEastAsia"/>
          <w:color w:val="000000" w:themeColor="text1"/>
          <w:sz w:val="28"/>
          <w:szCs w:val="28"/>
          <w14:textFill>
            <w14:solidFill>
              <w14:schemeClr w14:val="tx1"/>
            </w14:solidFill>
          </w14:textFill>
        </w:rPr>
        <w:t>日23时59分59秒止；</w:t>
      </w:r>
    </w:p>
    <w:p w14:paraId="1DD1DE20">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2.</w:t>
      </w:r>
      <w:r>
        <w:rPr>
          <w:rFonts w:hint="eastAsia" w:asciiTheme="majorEastAsia" w:hAnsiTheme="majorEastAsia" w:eastAsiaTheme="majorEastAsia"/>
          <w:color w:val="000000" w:themeColor="text1"/>
          <w:sz w:val="28"/>
          <w:szCs w:val="28"/>
          <w14:textFill>
            <w14:solidFill>
              <w14:schemeClr w14:val="tx1"/>
            </w14:solidFill>
          </w14:textFill>
        </w:rPr>
        <w:t>获取方式：</w:t>
      </w:r>
      <w:r>
        <w:rPr>
          <w:rFonts w:hint="eastAsia" w:asciiTheme="majorEastAsia" w:hAnsiTheme="majorEastAsia" w:eastAsiaTheme="majorEastAsia"/>
          <w:b/>
          <w:color w:val="000000" w:themeColor="text1"/>
          <w:sz w:val="28"/>
          <w:szCs w:val="28"/>
          <w14:textFill>
            <w14:solidFill>
              <w14:schemeClr w14:val="tx1"/>
            </w14:solidFill>
          </w14:textFill>
        </w:rPr>
        <w:t>投标人完成注册并办理CA证书后，登录江苏省政府采购管理交易系统（苏采云）（http://jszfcg.jsczt.cn/）获取本项目的招标文件及有关资料。</w:t>
      </w:r>
    </w:p>
    <w:p w14:paraId="433FC5BD">
      <w:pPr>
        <w:spacing w:line="460" w:lineRule="exact"/>
        <w:ind w:firstLine="560" w:firstLineChars="200"/>
        <w:rPr>
          <w:rFonts w:hint="eastAsia"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3.</w:t>
      </w:r>
      <w:r>
        <w:rPr>
          <w:rFonts w:hint="eastAsia" w:asciiTheme="majorEastAsia" w:hAnsiTheme="majorEastAsia" w:eastAsiaTheme="majorEastAsia"/>
          <w:color w:val="000000" w:themeColor="text1"/>
          <w:sz w:val="28"/>
          <w:szCs w:val="28"/>
          <w14:textFill>
            <w14:solidFill>
              <w14:schemeClr w14:val="tx1"/>
            </w14:solidFill>
          </w14:textFill>
        </w:rPr>
        <w:t>售价：</w:t>
      </w:r>
      <w:r>
        <w:rPr>
          <w:rFonts w:hint="eastAsia" w:asciiTheme="majorEastAsia" w:hAnsiTheme="majorEastAsia" w:eastAsiaTheme="majorEastAsia"/>
          <w:sz w:val="28"/>
          <w:szCs w:val="28"/>
        </w:rPr>
        <w:t>免费。</w:t>
      </w:r>
    </w:p>
    <w:p w14:paraId="7988ABCC">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bookmarkStart w:id="26" w:name="_Toc28359082"/>
      <w:bookmarkStart w:id="27" w:name="_Toc28359005"/>
      <w:bookmarkStart w:id="28" w:name="_Toc35393624"/>
      <w:bookmarkStart w:id="29" w:name="_Toc35393793"/>
      <w:r>
        <w:rPr>
          <w:rFonts w:hint="eastAsia" w:asciiTheme="majorEastAsia" w:hAnsiTheme="majorEastAsia" w:eastAsiaTheme="majorEastAsia"/>
          <w:b/>
          <w:color w:val="000000" w:themeColor="text1"/>
          <w:sz w:val="32"/>
          <w:szCs w:val="32"/>
          <w14:textFill>
            <w14:solidFill>
              <w14:schemeClr w14:val="tx1"/>
            </w14:solidFill>
          </w14:textFill>
        </w:rPr>
        <w:t>四、提交投标文件</w:t>
      </w:r>
      <w:bookmarkEnd w:id="26"/>
      <w:bookmarkEnd w:id="27"/>
      <w:r>
        <w:rPr>
          <w:rFonts w:hint="eastAsia" w:asciiTheme="majorEastAsia" w:hAnsiTheme="majorEastAsia" w:eastAsiaTheme="majorEastAsia"/>
          <w:b/>
          <w:color w:val="000000" w:themeColor="text1"/>
          <w:sz w:val="32"/>
          <w:szCs w:val="32"/>
          <w14:textFill>
            <w14:solidFill>
              <w14:schemeClr w14:val="tx1"/>
            </w14:solidFill>
          </w14:textFill>
        </w:rPr>
        <w:t>截止时间、开标时间和地点</w:t>
      </w:r>
      <w:bookmarkEnd w:id="28"/>
      <w:bookmarkEnd w:id="29"/>
    </w:p>
    <w:p w14:paraId="18932C0A">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1.提交投标文件截止时间：2026年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9</w:t>
      </w:r>
      <w:r>
        <w:rPr>
          <w:rFonts w:hint="eastAsia" w:asciiTheme="majorEastAsia" w:hAnsiTheme="majorEastAsia" w:eastAsiaTheme="majorEastAsia"/>
          <w:color w:val="000000" w:themeColor="text1"/>
          <w:sz w:val="28"/>
          <w:szCs w:val="28"/>
          <w14:textFill>
            <w14:solidFill>
              <w14:schemeClr w14:val="tx1"/>
            </w14:solidFill>
          </w14:textFill>
        </w:rPr>
        <w:t xml:space="preserve"> 月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10</w:t>
      </w:r>
      <w:r>
        <w:rPr>
          <w:rFonts w:hint="eastAsia" w:asciiTheme="majorEastAsia" w:hAnsiTheme="majorEastAsia" w:eastAsiaTheme="majorEastAsia"/>
          <w:color w:val="000000" w:themeColor="text1"/>
          <w:sz w:val="28"/>
          <w:szCs w:val="28"/>
          <w14:textFill>
            <w14:solidFill>
              <w14:schemeClr w14:val="tx1"/>
            </w14:solidFill>
          </w14:textFill>
        </w:rPr>
        <w:t xml:space="preserve"> 日9点</w:t>
      </w:r>
      <w:r>
        <w:rPr>
          <w:rFonts w:asciiTheme="majorEastAsia" w:hAnsiTheme="majorEastAsia" w:eastAsiaTheme="majorEastAsia"/>
          <w:color w:val="000000" w:themeColor="text1"/>
          <w:sz w:val="28"/>
          <w:szCs w:val="28"/>
          <w14:textFill>
            <w14:solidFill>
              <w14:schemeClr w14:val="tx1"/>
            </w14:solidFill>
          </w14:textFill>
        </w:rPr>
        <w:t xml:space="preserve"> </w:t>
      </w:r>
      <w:r>
        <w:rPr>
          <w:rFonts w:hint="eastAsia" w:asciiTheme="majorEastAsia" w:hAnsiTheme="majorEastAsia" w:eastAsiaTheme="majorEastAsia"/>
          <w:color w:val="000000" w:themeColor="text1"/>
          <w:sz w:val="28"/>
          <w:szCs w:val="28"/>
          <w14:textFill>
            <w14:solidFill>
              <w14:schemeClr w14:val="tx1"/>
            </w14:solidFill>
          </w14:textFill>
        </w:rPr>
        <w:t>00分止（北京时间）；</w:t>
      </w:r>
    </w:p>
    <w:p w14:paraId="405AC1AD">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2.开标时间：同投标文件递交截止时间；</w:t>
      </w:r>
    </w:p>
    <w:p w14:paraId="602EB3FE">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3.开标地点：“苏采云”系统“开标大厅”。</w:t>
      </w:r>
    </w:p>
    <w:p w14:paraId="75B23539">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bookmarkStart w:id="30" w:name="_Toc28359007"/>
      <w:bookmarkStart w:id="31" w:name="_Toc35393625"/>
      <w:bookmarkStart w:id="32" w:name="_Toc28359084"/>
      <w:bookmarkStart w:id="33" w:name="_Toc35393794"/>
      <w:r>
        <w:rPr>
          <w:rFonts w:hint="eastAsia" w:asciiTheme="majorEastAsia" w:hAnsiTheme="majorEastAsia" w:eastAsiaTheme="majorEastAsia"/>
          <w:b/>
          <w:color w:val="000000" w:themeColor="text1"/>
          <w:sz w:val="32"/>
          <w:szCs w:val="32"/>
          <w14:textFill>
            <w14:solidFill>
              <w14:schemeClr w14:val="tx1"/>
            </w14:solidFill>
          </w14:textFill>
        </w:rPr>
        <w:t>五、公告期限</w:t>
      </w:r>
      <w:bookmarkEnd w:id="30"/>
      <w:bookmarkEnd w:id="31"/>
      <w:bookmarkEnd w:id="32"/>
      <w:bookmarkEnd w:id="33"/>
    </w:p>
    <w:p w14:paraId="4EE20BF7">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自本公告发布之日起</w:t>
      </w:r>
      <w:r>
        <w:rPr>
          <w:rFonts w:asciiTheme="majorEastAsia" w:hAnsiTheme="majorEastAsia" w:eastAsiaTheme="majorEastAsia"/>
          <w:color w:val="000000" w:themeColor="text1"/>
          <w:sz w:val="28"/>
          <w:szCs w:val="28"/>
          <w14:textFill>
            <w14:solidFill>
              <w14:schemeClr w14:val="tx1"/>
            </w14:solidFill>
          </w14:textFill>
        </w:rPr>
        <w:t>5</w:t>
      </w:r>
      <w:r>
        <w:rPr>
          <w:rFonts w:hint="eastAsia" w:asciiTheme="majorEastAsia" w:hAnsiTheme="majorEastAsia" w:eastAsiaTheme="majorEastAsia"/>
          <w:color w:val="000000" w:themeColor="text1"/>
          <w:sz w:val="28"/>
          <w:szCs w:val="28"/>
          <w14:textFill>
            <w14:solidFill>
              <w14:schemeClr w14:val="tx1"/>
            </w14:solidFill>
          </w14:textFill>
        </w:rPr>
        <w:t>个工作日。</w:t>
      </w:r>
    </w:p>
    <w:p w14:paraId="71A606BD">
      <w:pPr>
        <w:spacing w:line="460" w:lineRule="exact"/>
        <w:ind w:firstLine="643" w:firstLineChars="200"/>
        <w:rPr>
          <w:rFonts w:hint="eastAsia" w:asciiTheme="majorEastAsia" w:hAnsiTheme="majorEastAsia" w:eastAsiaTheme="majorEastAsia"/>
          <w:b/>
          <w:color w:val="000000" w:themeColor="text1"/>
          <w:sz w:val="32"/>
          <w:szCs w:val="32"/>
          <w14:textFill>
            <w14:solidFill>
              <w14:schemeClr w14:val="tx1"/>
            </w14:solidFill>
          </w14:textFill>
        </w:rPr>
      </w:pPr>
      <w:bookmarkStart w:id="34" w:name="_Toc35393626"/>
      <w:bookmarkStart w:id="35" w:name="_Toc35393795"/>
      <w:r>
        <w:rPr>
          <w:rFonts w:hint="eastAsia" w:asciiTheme="majorEastAsia" w:hAnsiTheme="majorEastAsia" w:eastAsiaTheme="majorEastAsia"/>
          <w:b/>
          <w:color w:val="000000" w:themeColor="text1"/>
          <w:sz w:val="32"/>
          <w:szCs w:val="32"/>
          <w14:textFill>
            <w14:solidFill>
              <w14:schemeClr w14:val="tx1"/>
            </w14:solidFill>
          </w14:textFill>
        </w:rPr>
        <w:t>六、其他补充事宜</w:t>
      </w:r>
      <w:bookmarkEnd w:id="34"/>
      <w:bookmarkEnd w:id="35"/>
    </w:p>
    <w:p w14:paraId="41F72CE9">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1.</w:t>
      </w:r>
      <w:r>
        <w:rPr>
          <w:rFonts w:hint="eastAsia" w:asciiTheme="majorEastAsia" w:hAnsiTheme="majorEastAsia" w:eastAsiaTheme="majorEastAsia"/>
          <w:color w:val="000000" w:themeColor="text1"/>
          <w:sz w:val="28"/>
          <w:szCs w:val="28"/>
          <w14:textFill>
            <w14:solidFill>
              <w14:schemeClr w14:val="tx1"/>
            </w14:solidFill>
          </w14:textFill>
        </w:rPr>
        <w:t>投标保证金：无。</w:t>
      </w:r>
    </w:p>
    <w:p w14:paraId="2894A731">
      <w:pPr>
        <w:spacing w:line="460" w:lineRule="exact"/>
        <w:ind w:firstLine="560"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2</w:t>
      </w:r>
      <w:r>
        <w:rPr>
          <w:rFonts w:asciiTheme="majorEastAsia" w:hAnsiTheme="majorEastAsia" w:eastAsiaTheme="majorEastAsia"/>
          <w:color w:val="000000" w:themeColor="text1"/>
          <w:sz w:val="28"/>
          <w:szCs w:val="28"/>
          <w14:textFill>
            <w14:solidFill>
              <w14:schemeClr w14:val="tx1"/>
            </w14:solidFill>
          </w14:textFill>
        </w:rPr>
        <w:t>.</w:t>
      </w:r>
      <w:r>
        <w:rPr>
          <w:rFonts w:hint="eastAsia" w:asciiTheme="majorEastAsia" w:hAnsiTheme="majorEastAsia" w:eastAsiaTheme="majorEastAsia"/>
          <w:color w:val="000000" w:themeColor="text1"/>
          <w:sz w:val="28"/>
          <w:szCs w:val="28"/>
          <w14:textFill>
            <w14:solidFill>
              <w14:schemeClr w14:val="tx1"/>
            </w14:solidFill>
          </w14:textFill>
        </w:rPr>
        <w:t>公告发布媒介：江苏政府采购网（</w:t>
      </w:r>
      <w:r>
        <w:rPr>
          <w:rFonts w:asciiTheme="majorEastAsia" w:hAnsiTheme="majorEastAsia" w:eastAsiaTheme="majorEastAsia"/>
          <w:color w:val="000000" w:themeColor="text1"/>
          <w:sz w:val="28"/>
          <w:szCs w:val="28"/>
          <w14:textFill>
            <w14:solidFill>
              <w14:schemeClr w14:val="tx1"/>
            </w14:solidFill>
          </w14:textFill>
        </w:rPr>
        <w:t>www.ccgp-jiangsu.gov.cn</w:t>
      </w:r>
      <w:r>
        <w:rPr>
          <w:rFonts w:hint="eastAsia" w:asciiTheme="majorEastAsia" w:hAnsiTheme="majorEastAsia" w:eastAsiaTheme="majorEastAsia"/>
          <w:color w:val="000000" w:themeColor="text1"/>
          <w:sz w:val="28"/>
          <w:szCs w:val="28"/>
          <w14:textFill>
            <w14:solidFill>
              <w14:schemeClr w14:val="tx1"/>
            </w14:solidFill>
          </w14:textFill>
        </w:rPr>
        <w:t>）</w:t>
      </w:r>
    </w:p>
    <w:p w14:paraId="23184021">
      <w:pPr>
        <w:spacing w:line="460" w:lineRule="exact"/>
        <w:ind w:firstLine="562" w:firstLineChars="200"/>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注意事项：</w:t>
      </w:r>
    </w:p>
    <w:p w14:paraId="52386151">
      <w:pPr>
        <w:spacing w:line="460" w:lineRule="exact"/>
        <w:ind w:firstLine="562" w:firstLineChars="200"/>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7F7C0D41">
      <w:pPr>
        <w:spacing w:line="460" w:lineRule="exact"/>
        <w:ind w:firstLine="562" w:firstLineChars="200"/>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0505A9F9">
      <w:pPr>
        <w:spacing w:line="460" w:lineRule="exact"/>
        <w:ind w:firstLine="562" w:firstLineChars="200"/>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（3）有关本次招标的事项若存在变动或修改，敬请及时关注“江苏政府采购网”发布的更正公告。</w:t>
      </w:r>
    </w:p>
    <w:p w14:paraId="65079691">
      <w:pPr>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如潜在投标人未按上述要求操作，将自行承担所产生的风险。</w:t>
      </w:r>
    </w:p>
    <w:p w14:paraId="69CA1524">
      <w:pPr>
        <w:spacing w:line="460" w:lineRule="exact"/>
        <w:ind w:firstLine="643" w:firstLineChars="200"/>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七、对本次招标提出询问，请按以下方式联系。</w:t>
      </w:r>
      <w:bookmarkEnd w:id="22"/>
      <w:bookmarkEnd w:id="23"/>
      <w:bookmarkEnd w:id="24"/>
      <w:bookmarkEnd w:id="25"/>
    </w:p>
    <w:p w14:paraId="7D3297E5">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bookmarkStart w:id="36" w:name="_Toc426469869"/>
      <w:bookmarkStart w:id="37" w:name="_Toc513029200"/>
      <w:bookmarkStart w:id="38" w:name="_Toc20823272"/>
      <w:bookmarkStart w:id="39" w:name="_Toc523127445"/>
      <w:bookmarkStart w:id="40" w:name="_Toc382813885"/>
      <w:bookmarkStart w:id="41" w:name="_Toc479757206"/>
      <w:bookmarkStart w:id="42" w:name="_Toc382812472"/>
      <w:bookmarkStart w:id="43" w:name="_Toc382813966"/>
      <w:bookmarkStart w:id="44" w:name="_Toc16938516"/>
      <w:r>
        <w:rPr>
          <w:rFonts w:hint="eastAsia" w:asciiTheme="majorEastAsia" w:hAnsiTheme="majorEastAsia" w:eastAsiaTheme="majorEastAsia"/>
          <w:bCs/>
          <w:color w:val="000000" w:themeColor="text1"/>
          <w:sz w:val="28"/>
          <w:szCs w:val="28"/>
          <w14:textFill>
            <w14:solidFill>
              <w14:schemeClr w14:val="tx1"/>
            </w14:solidFill>
          </w14:textFill>
        </w:rPr>
        <w:t>1.采购人信息</w:t>
      </w:r>
    </w:p>
    <w:p w14:paraId="3B345C29">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名称：江苏省泰兴中等专业学校</w:t>
      </w:r>
    </w:p>
    <w:p w14:paraId="0B7E1BAD">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地址：江苏省泰兴市文昌东路1号</w:t>
      </w:r>
    </w:p>
    <w:p w14:paraId="2AB07398">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联系方式：0523-87703636</w:t>
      </w:r>
    </w:p>
    <w:p w14:paraId="348669BE">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2.采购代理机构信息</w:t>
      </w:r>
    </w:p>
    <w:p w14:paraId="7CC7241B">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名 称：江苏国兴建设项目管理有限公司</w:t>
      </w:r>
    </w:p>
    <w:p w14:paraId="4876B3A2">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地　址：泰兴市政务服务中心十楼</w:t>
      </w:r>
    </w:p>
    <w:p w14:paraId="10E8F04E">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联系方式：15261059924</w:t>
      </w:r>
    </w:p>
    <w:p w14:paraId="7E6D9F51">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3.项目联系方式</w:t>
      </w:r>
    </w:p>
    <w:p w14:paraId="2809CA40">
      <w:pPr>
        <w:spacing w:line="460" w:lineRule="exact"/>
        <w:ind w:firstLine="560" w:firstLineChars="200"/>
        <w:rPr>
          <w:rFonts w:hint="eastAsia" w:asciiTheme="majorEastAsia" w:hAnsiTheme="majorEastAsia" w:eastAsiaTheme="majorEastAsia"/>
          <w:bCs/>
          <w:sz w:val="28"/>
          <w:szCs w:val="28"/>
        </w:rPr>
      </w:pPr>
      <w:r>
        <w:rPr>
          <w:rFonts w:hint="eastAsia" w:asciiTheme="majorEastAsia" w:hAnsiTheme="majorEastAsia" w:eastAsiaTheme="majorEastAsia"/>
          <w:bCs/>
          <w:color w:val="000000" w:themeColor="text1"/>
          <w:sz w:val="28"/>
          <w:szCs w:val="28"/>
          <w14:textFill>
            <w14:solidFill>
              <w14:schemeClr w14:val="tx1"/>
            </w14:solidFill>
          </w14:textFill>
        </w:rPr>
        <w:t>项目联系</w:t>
      </w:r>
      <w:r>
        <w:rPr>
          <w:rFonts w:hint="eastAsia" w:asciiTheme="majorEastAsia" w:hAnsiTheme="majorEastAsia" w:eastAsiaTheme="majorEastAsia"/>
          <w:bCs/>
          <w:sz w:val="28"/>
          <w:szCs w:val="28"/>
        </w:rPr>
        <w:t xml:space="preserve">人：江苏省泰兴中等专业学校   闾主任 </w:t>
      </w:r>
    </w:p>
    <w:p w14:paraId="3C47DD14">
      <w:pPr>
        <w:spacing w:line="460" w:lineRule="exact"/>
        <w:ind w:firstLine="560" w:firstLineChars="200"/>
        <w:rPr>
          <w:rFonts w:hint="eastAsia" w:asciiTheme="majorEastAsia" w:hAnsiTheme="majorEastAsia" w:eastAsiaTheme="majorEastAsia"/>
          <w:bCs/>
          <w:sz w:val="28"/>
          <w:szCs w:val="28"/>
        </w:rPr>
      </w:pPr>
      <w:r>
        <w:rPr>
          <w:rFonts w:hint="eastAsia" w:asciiTheme="majorEastAsia" w:hAnsiTheme="majorEastAsia" w:eastAsiaTheme="majorEastAsia"/>
          <w:bCs/>
          <w:sz w:val="28"/>
          <w:szCs w:val="28"/>
        </w:rPr>
        <w:t>电　话：13852886321</w:t>
      </w:r>
    </w:p>
    <w:p w14:paraId="678CC99A">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项目联系人：江苏国兴建设项目管理有限公司  杨先生</w:t>
      </w:r>
    </w:p>
    <w:p w14:paraId="51AEEFF5">
      <w:pPr>
        <w:spacing w:line="460" w:lineRule="exact"/>
        <w:ind w:firstLine="560" w:firstLineChars="200"/>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电　话：15261059924</w:t>
      </w:r>
    </w:p>
    <w:p w14:paraId="743AF884">
      <w:pPr>
        <w:widowControl/>
        <w:jc w:val="center"/>
        <w:rPr>
          <w:rFonts w:hint="eastAsia"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br w:type="page"/>
      </w:r>
      <w:r>
        <w:rPr>
          <w:rFonts w:hint="eastAsia" w:ascii="黑体" w:hAnsi="黑体" w:eastAsia="黑体"/>
          <w:b/>
          <w:color w:val="000000" w:themeColor="text1"/>
          <w:sz w:val="32"/>
          <w:szCs w:val="32"/>
          <w14:textFill>
            <w14:solidFill>
              <w14:schemeClr w14:val="tx1"/>
            </w14:solidFill>
          </w14:textFill>
        </w:rPr>
        <w:t>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供应商须知</w:t>
      </w:r>
      <w:bookmarkEnd w:id="36"/>
    </w:p>
    <w:p w14:paraId="7D005D36">
      <w:pPr>
        <w:rPr>
          <w:color w:val="000000" w:themeColor="text1"/>
          <w:sz w:val="28"/>
          <w:szCs w:val="28"/>
          <w14:textFill>
            <w14:solidFill>
              <w14:schemeClr w14:val="tx1"/>
            </w14:solidFill>
          </w14:textFill>
        </w:rPr>
      </w:pPr>
      <w:bookmarkStart w:id="45" w:name="_Toc426469870"/>
      <w:r>
        <w:rPr>
          <w:rFonts w:hint="eastAsia"/>
          <w:color w:val="000000" w:themeColor="text1"/>
          <w:sz w:val="28"/>
          <w:szCs w:val="28"/>
          <w14:textFill>
            <w14:solidFill>
              <w14:schemeClr w14:val="tx1"/>
            </w14:solidFill>
          </w14:textFill>
        </w:rPr>
        <w:t>供应商须知前附表</w:t>
      </w:r>
      <w:bookmarkEnd w:id="45"/>
    </w:p>
    <w:tbl>
      <w:tblPr>
        <w:tblStyle w:val="2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3CA1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1850DD39">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条款号</w:t>
            </w:r>
          </w:p>
        </w:tc>
        <w:tc>
          <w:tcPr>
            <w:tcW w:w="2552" w:type="dxa"/>
            <w:gridSpan w:val="2"/>
            <w:vAlign w:val="center"/>
          </w:tcPr>
          <w:p w14:paraId="414202D2">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称</w:t>
            </w:r>
          </w:p>
        </w:tc>
        <w:tc>
          <w:tcPr>
            <w:tcW w:w="5987" w:type="dxa"/>
            <w:vAlign w:val="center"/>
          </w:tcPr>
          <w:p w14:paraId="530BD001">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容</w:t>
            </w:r>
          </w:p>
        </w:tc>
      </w:tr>
      <w:tr w14:paraId="7217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1236646D">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1.1.2</w:t>
            </w:r>
          </w:p>
        </w:tc>
        <w:tc>
          <w:tcPr>
            <w:tcW w:w="2552" w:type="dxa"/>
            <w:gridSpan w:val="2"/>
            <w:vAlign w:val="center"/>
          </w:tcPr>
          <w:p w14:paraId="14D55062">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招标人</w:t>
            </w:r>
          </w:p>
        </w:tc>
        <w:tc>
          <w:tcPr>
            <w:tcW w:w="5987" w:type="dxa"/>
            <w:vAlign w:val="center"/>
          </w:tcPr>
          <w:p w14:paraId="570ED746">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名 称：江苏省泰兴中等专业学校</w:t>
            </w:r>
          </w:p>
          <w:p w14:paraId="47D528D2">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地 址：江苏省泰兴市文昌东路1号</w:t>
            </w:r>
          </w:p>
          <w:p w14:paraId="44302300">
            <w:pPr>
              <w:spacing w:line="360" w:lineRule="exact"/>
              <w:jc w:val="left"/>
              <w:rPr>
                <w:rFonts w:hint="eastAsia" w:ascii="宋体" w:hAnsi="宋体"/>
                <w:sz w:val="28"/>
                <w:szCs w:val="28"/>
              </w:rPr>
            </w:pPr>
            <w:r>
              <w:rPr>
                <w:rFonts w:hint="eastAsia" w:ascii="宋体" w:hAnsi="宋体"/>
                <w:color w:val="000000" w:themeColor="text1"/>
                <w:sz w:val="28"/>
                <w:szCs w:val="28"/>
                <w14:textFill>
                  <w14:solidFill>
                    <w14:schemeClr w14:val="tx1"/>
                  </w14:solidFill>
                </w14:textFill>
              </w:rPr>
              <w:t>联系人：</w:t>
            </w:r>
            <w:r>
              <w:rPr>
                <w:rFonts w:hint="eastAsia" w:asciiTheme="majorEastAsia" w:hAnsiTheme="majorEastAsia" w:eastAsiaTheme="majorEastAsia"/>
                <w:bCs/>
                <w:sz w:val="28"/>
                <w:szCs w:val="28"/>
              </w:rPr>
              <w:t>闾主任</w:t>
            </w:r>
          </w:p>
          <w:p w14:paraId="12C32896">
            <w:pPr>
              <w:spacing w:line="360" w:lineRule="exact"/>
              <w:jc w:val="left"/>
              <w:rPr>
                <w:rFonts w:hint="eastAsia" w:ascii="宋体" w:hAnsi="宋体"/>
                <w:color w:val="000000" w:themeColor="text1"/>
                <w:sz w:val="28"/>
                <w:szCs w:val="28"/>
                <w:highlight w:val="yellow"/>
                <w14:textFill>
                  <w14:solidFill>
                    <w14:schemeClr w14:val="tx1"/>
                  </w14:solidFill>
                </w14:textFill>
              </w:rPr>
            </w:pPr>
            <w:r>
              <w:rPr>
                <w:rFonts w:hint="eastAsia" w:ascii="宋体" w:hAnsi="宋体"/>
                <w:sz w:val="28"/>
                <w:szCs w:val="28"/>
              </w:rPr>
              <w:t>联系电话：</w:t>
            </w:r>
            <w:r>
              <w:rPr>
                <w:rFonts w:hint="eastAsia" w:asciiTheme="majorEastAsia" w:hAnsiTheme="majorEastAsia" w:eastAsiaTheme="majorEastAsia"/>
                <w:bCs/>
                <w:sz w:val="28"/>
                <w:szCs w:val="28"/>
              </w:rPr>
              <w:t>13852886321</w:t>
            </w:r>
          </w:p>
        </w:tc>
      </w:tr>
      <w:tr w14:paraId="479D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5A1ADC6A">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1.1.3</w:t>
            </w:r>
          </w:p>
        </w:tc>
        <w:tc>
          <w:tcPr>
            <w:tcW w:w="2552" w:type="dxa"/>
            <w:gridSpan w:val="2"/>
            <w:vAlign w:val="center"/>
          </w:tcPr>
          <w:p w14:paraId="62A29C6C">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采购代理机构</w:t>
            </w:r>
          </w:p>
        </w:tc>
        <w:tc>
          <w:tcPr>
            <w:tcW w:w="5987" w:type="dxa"/>
            <w:vAlign w:val="center"/>
          </w:tcPr>
          <w:p w14:paraId="58DA6552">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名称：江苏国兴建设项目管理有限公司</w:t>
            </w:r>
          </w:p>
          <w:p w14:paraId="46781DD4">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地址：泰兴市政务服务中心十楼</w:t>
            </w:r>
          </w:p>
          <w:p w14:paraId="255BEC0C">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联系人：杨先生</w:t>
            </w:r>
          </w:p>
          <w:p w14:paraId="4AFB020C">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联系电话：15261059924</w:t>
            </w:r>
          </w:p>
        </w:tc>
      </w:tr>
      <w:tr w14:paraId="28F0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1CD68457">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1.1.4</w:t>
            </w:r>
          </w:p>
        </w:tc>
        <w:tc>
          <w:tcPr>
            <w:tcW w:w="2552" w:type="dxa"/>
            <w:gridSpan w:val="2"/>
            <w:vAlign w:val="center"/>
          </w:tcPr>
          <w:p w14:paraId="5966E6DF">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项目名称及项目编号</w:t>
            </w:r>
          </w:p>
        </w:tc>
        <w:tc>
          <w:tcPr>
            <w:tcW w:w="5987" w:type="dxa"/>
            <w:vAlign w:val="center"/>
          </w:tcPr>
          <w:p w14:paraId="0137E8E5">
            <w:pPr>
              <w:spacing w:line="360" w:lineRule="exact"/>
              <w:rPr>
                <w:rFonts w:hint="eastAsia" w:ascii="仿宋" w:hAnsi="仿宋" w:eastAsia="仿宋" w:cs="仿宋"/>
                <w:bCs/>
                <w:color w:val="000000" w:themeColor="text1"/>
                <w:sz w:val="32"/>
                <w:szCs w:val="32"/>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项目名称：</w:t>
            </w:r>
            <w:r>
              <w:rPr>
                <w:rFonts w:hint="eastAsia" w:asciiTheme="majorEastAsia" w:hAnsiTheme="majorEastAsia" w:eastAsiaTheme="majorEastAsia"/>
                <w:color w:val="000000" w:themeColor="text1"/>
                <w:sz w:val="28"/>
                <w:szCs w:val="28"/>
                <w14:textFill>
                  <w14:solidFill>
                    <w14:schemeClr w14:val="tx1"/>
                  </w14:solidFill>
                </w14:textFill>
              </w:rPr>
              <w:t>江苏省泰兴中等专业学校一体化数智治理平台采购</w:t>
            </w:r>
          </w:p>
          <w:p w14:paraId="5DE5DBCC">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项目编号：JSZC-321283-GXGL-G2026-0027 </w:t>
            </w:r>
            <w:r>
              <w:rPr>
                <w:rFonts w:hint="eastAsia" w:asciiTheme="majorEastAsia" w:hAnsiTheme="majorEastAsia" w:eastAsiaTheme="majorEastAsia"/>
                <w:color w:val="000000" w:themeColor="text1"/>
                <w:sz w:val="28"/>
                <w:szCs w:val="28"/>
                <w14:textFill>
                  <w14:solidFill>
                    <w14:schemeClr w14:val="tx1"/>
                  </w14:solidFill>
                </w14:textFill>
              </w:rPr>
              <w:t xml:space="preserve"> </w:t>
            </w:r>
          </w:p>
        </w:tc>
      </w:tr>
      <w:tr w14:paraId="6295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1085E42B">
            <w:pPr>
              <w:spacing w:line="38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1.2.</w:t>
            </w:r>
            <w:r>
              <w:rPr>
                <w:rFonts w:hint="eastAsia" w:ascii="宋体" w:hAnsi="宋体"/>
                <w:color w:val="000000" w:themeColor="text1"/>
                <w:sz w:val="28"/>
                <w:szCs w:val="28"/>
                <w14:textFill>
                  <w14:solidFill>
                    <w14:schemeClr w14:val="tx1"/>
                  </w14:solidFill>
                </w14:textFill>
              </w:rPr>
              <w:t>1</w:t>
            </w:r>
          </w:p>
        </w:tc>
        <w:tc>
          <w:tcPr>
            <w:tcW w:w="2552" w:type="dxa"/>
            <w:gridSpan w:val="2"/>
            <w:vAlign w:val="center"/>
          </w:tcPr>
          <w:p w14:paraId="768D1DB6">
            <w:pPr>
              <w:spacing w:line="380" w:lineRule="exact"/>
              <w:jc w:val="center"/>
              <w:rPr>
                <w:rFonts w:ascii="宋体"/>
                <w:color w:val="auto"/>
                <w:sz w:val="28"/>
                <w:szCs w:val="28"/>
              </w:rPr>
            </w:pPr>
            <w:r>
              <w:rPr>
                <w:rFonts w:hint="eastAsia" w:ascii="宋体" w:hAnsi="宋体"/>
                <w:color w:val="auto"/>
                <w:sz w:val="28"/>
                <w:szCs w:val="28"/>
              </w:rPr>
              <w:t>付款方式</w:t>
            </w:r>
          </w:p>
        </w:tc>
        <w:tc>
          <w:tcPr>
            <w:tcW w:w="5987" w:type="dxa"/>
            <w:vAlign w:val="center"/>
          </w:tcPr>
          <w:p w14:paraId="0A6572FA">
            <w:pPr>
              <w:adjustRightInd w:val="0"/>
              <w:snapToGrid w:val="0"/>
              <w:spacing w:line="420" w:lineRule="exact"/>
              <w:jc w:val="left"/>
              <w:rPr>
                <w:rFonts w:hint="eastAsia" w:ascii="宋体"/>
                <w:color w:val="auto"/>
                <w:sz w:val="28"/>
                <w:szCs w:val="28"/>
              </w:rPr>
            </w:pPr>
            <w:r>
              <w:rPr>
                <w:rFonts w:hint="eastAsia" w:ascii="宋体"/>
                <w:color w:val="auto"/>
                <w:sz w:val="28"/>
                <w:szCs w:val="28"/>
                <w:lang w:val="en-US" w:eastAsia="zh-CN"/>
              </w:rPr>
              <w:t>合同签订后预付合同价的30%，</w:t>
            </w:r>
            <w:r>
              <w:rPr>
                <w:rFonts w:hint="eastAsia" w:ascii="宋体"/>
                <w:color w:val="auto"/>
                <w:sz w:val="28"/>
                <w:szCs w:val="28"/>
              </w:rPr>
              <w:t>2026年平台完成部署验收合格后付</w:t>
            </w:r>
            <w:r>
              <w:rPr>
                <w:rFonts w:hint="eastAsia" w:ascii="宋体"/>
                <w:color w:val="auto"/>
                <w:sz w:val="28"/>
                <w:szCs w:val="28"/>
                <w:lang w:val="en-US" w:eastAsia="zh-CN"/>
              </w:rPr>
              <w:t>至合同</w:t>
            </w:r>
            <w:r>
              <w:rPr>
                <w:rFonts w:hint="eastAsia" w:ascii="宋体"/>
                <w:color w:val="auto"/>
                <w:sz w:val="28"/>
                <w:szCs w:val="28"/>
              </w:rPr>
              <w:t>总价的70%，剩余30%在平台服务期满后一次性付清。</w:t>
            </w:r>
          </w:p>
        </w:tc>
      </w:tr>
      <w:tr w14:paraId="59F6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5A5188E9">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1.3.1</w:t>
            </w:r>
          </w:p>
        </w:tc>
        <w:tc>
          <w:tcPr>
            <w:tcW w:w="2552" w:type="dxa"/>
            <w:gridSpan w:val="2"/>
            <w:vAlign w:val="center"/>
          </w:tcPr>
          <w:p w14:paraId="6AE28C4B">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采购范围</w:t>
            </w:r>
          </w:p>
        </w:tc>
        <w:tc>
          <w:tcPr>
            <w:tcW w:w="5987" w:type="dxa"/>
            <w:vAlign w:val="center"/>
          </w:tcPr>
          <w:p w14:paraId="61AD3DEE">
            <w:pPr>
              <w:adjustRightInd w:val="0"/>
              <w:snapToGrid w:val="0"/>
              <w:spacing w:line="42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见第五章采购需求</w:t>
            </w:r>
          </w:p>
        </w:tc>
      </w:tr>
      <w:tr w14:paraId="3E01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389F46E6">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1.3.2</w:t>
            </w:r>
          </w:p>
        </w:tc>
        <w:tc>
          <w:tcPr>
            <w:tcW w:w="2552" w:type="dxa"/>
            <w:gridSpan w:val="2"/>
            <w:vAlign w:val="center"/>
          </w:tcPr>
          <w:p w14:paraId="3362880F">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合同履行期限</w:t>
            </w:r>
          </w:p>
        </w:tc>
        <w:tc>
          <w:tcPr>
            <w:tcW w:w="5987" w:type="dxa"/>
            <w:vAlign w:val="center"/>
          </w:tcPr>
          <w:p w14:paraId="1091AB5A">
            <w:pPr>
              <w:spacing w:line="360" w:lineRule="exact"/>
              <w:jc w:val="lef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详见招标公告</w:t>
            </w:r>
          </w:p>
        </w:tc>
      </w:tr>
      <w:tr w14:paraId="7269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2EEE6116">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1.4.2</w:t>
            </w:r>
          </w:p>
        </w:tc>
        <w:tc>
          <w:tcPr>
            <w:tcW w:w="2552" w:type="dxa"/>
            <w:gridSpan w:val="2"/>
            <w:vAlign w:val="center"/>
          </w:tcPr>
          <w:p w14:paraId="38E0B29A">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要求供应商具备的特定条件</w:t>
            </w:r>
          </w:p>
        </w:tc>
        <w:tc>
          <w:tcPr>
            <w:tcW w:w="5987" w:type="dxa"/>
            <w:vAlign w:val="center"/>
          </w:tcPr>
          <w:p w14:paraId="75777647">
            <w:pPr>
              <w:spacing w:line="420" w:lineRule="exact"/>
              <w:jc w:val="left"/>
              <w:rPr>
                <w:rFonts w:ascii="宋体" w:cs="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详见招标公告</w:t>
            </w:r>
          </w:p>
        </w:tc>
      </w:tr>
      <w:tr w14:paraId="2EFA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0C2E65E1">
            <w:pPr>
              <w:spacing w:line="32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.2</w:t>
            </w:r>
          </w:p>
        </w:tc>
        <w:tc>
          <w:tcPr>
            <w:tcW w:w="2552" w:type="dxa"/>
            <w:gridSpan w:val="2"/>
            <w:vAlign w:val="center"/>
          </w:tcPr>
          <w:p w14:paraId="1B4E8141">
            <w:pPr>
              <w:spacing w:line="320" w:lineRule="exact"/>
              <w:jc w:val="center"/>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偏离</w:t>
            </w:r>
          </w:p>
        </w:tc>
        <w:tc>
          <w:tcPr>
            <w:tcW w:w="5987" w:type="dxa"/>
            <w:vAlign w:val="center"/>
          </w:tcPr>
          <w:p w14:paraId="578425C5">
            <w:pPr>
              <w:pStyle w:val="8"/>
              <w:spacing w:line="320" w:lineRule="exact"/>
              <w:rPr>
                <w:rFonts w:ascii="宋体"/>
                <w:color w:val="000000" w:themeColor="text1"/>
                <w:sz w:val="28"/>
                <w:szCs w:val="28"/>
                <w:highlight w:val="yellow"/>
                <w14:textFill>
                  <w14:solidFill>
                    <w14:schemeClr w14:val="tx1"/>
                  </w14:solidFill>
                </w14:textFill>
              </w:rPr>
            </w:pPr>
            <w:bookmarkStart w:id="46" w:name="FBfe800446baa24252acf6b14953dc4897"/>
            <w:bookmarkEnd w:id="46"/>
            <w:bookmarkStart w:id="47" w:name="FEfe800446baa24252acf6b14953dc4897"/>
            <w:bookmarkEnd w:id="47"/>
            <w:r>
              <w:rPr>
                <w:rFonts w:hint="eastAsia" w:ascii="宋体"/>
                <w:color w:val="000000" w:themeColor="text1"/>
                <w:sz w:val="28"/>
                <w:szCs w:val="28"/>
                <w14:textFill>
                  <w14:solidFill>
                    <w14:schemeClr w14:val="tx1"/>
                  </w14:solidFill>
                </w14:textFill>
              </w:rPr>
              <w:t>第五章采购需求允许负偏离</w:t>
            </w:r>
          </w:p>
        </w:tc>
      </w:tr>
      <w:tr w14:paraId="690A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4CF6D669">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2.1</w:t>
            </w:r>
          </w:p>
        </w:tc>
        <w:tc>
          <w:tcPr>
            <w:tcW w:w="2552" w:type="dxa"/>
            <w:gridSpan w:val="2"/>
            <w:vAlign w:val="center"/>
          </w:tcPr>
          <w:p w14:paraId="23A914C3">
            <w:pPr>
              <w:spacing w:line="32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构成招标文件的其他材料</w:t>
            </w:r>
          </w:p>
        </w:tc>
        <w:tc>
          <w:tcPr>
            <w:tcW w:w="5987" w:type="dxa"/>
            <w:vAlign w:val="center"/>
          </w:tcPr>
          <w:p w14:paraId="65F9ADAC">
            <w:pPr>
              <w:spacing w:line="360" w:lineRule="exact"/>
              <w:jc w:val="left"/>
              <w:rPr>
                <w:rFonts w:ascii="宋体"/>
                <w:color w:val="000000" w:themeColor="text1"/>
                <w:sz w:val="28"/>
                <w:szCs w:val="28"/>
                <w:highlight w:val="yellow"/>
                <w14:textFill>
                  <w14:solidFill>
                    <w14:schemeClr w14:val="tx1"/>
                  </w14:solidFill>
                </w14:textFill>
              </w:rPr>
            </w:pPr>
            <w:bookmarkStart w:id="48" w:name="EB35ced2e8f8364f63a510bf246ff979f0"/>
            <w:bookmarkEnd w:id="48"/>
            <w:r>
              <w:rPr>
                <w:rFonts w:hint="eastAsia" w:ascii="宋体" w:hAnsi="宋体"/>
                <w:color w:val="000000" w:themeColor="text1"/>
                <w:sz w:val="28"/>
                <w:szCs w:val="28"/>
                <w14:textFill>
                  <w14:solidFill>
                    <w14:schemeClr w14:val="tx1"/>
                  </w14:solidFill>
                </w14:textFill>
              </w:rPr>
              <w:t>无</w:t>
            </w:r>
          </w:p>
        </w:tc>
      </w:tr>
      <w:tr w14:paraId="7FE1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603AC12F">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2.2</w:t>
            </w:r>
          </w:p>
        </w:tc>
        <w:tc>
          <w:tcPr>
            <w:tcW w:w="2552" w:type="dxa"/>
            <w:gridSpan w:val="2"/>
            <w:vAlign w:val="center"/>
          </w:tcPr>
          <w:p w14:paraId="5D8B2CBC">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供应商要求澄清招标文件的截止时间</w:t>
            </w:r>
          </w:p>
        </w:tc>
        <w:tc>
          <w:tcPr>
            <w:tcW w:w="5987" w:type="dxa"/>
            <w:vAlign w:val="center"/>
          </w:tcPr>
          <w:p w14:paraId="5C3A157A">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2026年</w:t>
            </w:r>
            <w:r>
              <w:rPr>
                <w:rFonts w:hint="eastAsia" w:ascii="宋体" w:hAnsi="宋体"/>
                <w:color w:val="000000" w:themeColor="text1"/>
                <w:sz w:val="28"/>
                <w:lang w:val="en-US" w:eastAsia="zh-CN"/>
                <w14:textFill>
                  <w14:solidFill>
                    <w14:schemeClr w14:val="tx1"/>
                  </w14:solidFill>
                </w14:textFill>
              </w:rPr>
              <w:t>8</w:t>
            </w:r>
            <w:r>
              <w:rPr>
                <w:rFonts w:hint="eastAsia" w:ascii="宋体" w:hAnsi="宋体"/>
                <w:color w:val="000000" w:themeColor="text1"/>
                <w:sz w:val="28"/>
                <w14:textFill>
                  <w14:solidFill>
                    <w14:schemeClr w14:val="tx1"/>
                  </w14:solidFill>
                </w14:textFill>
              </w:rPr>
              <w:t>月</w:t>
            </w:r>
            <w:r>
              <w:rPr>
                <w:rFonts w:hint="eastAsia" w:ascii="宋体" w:hAnsi="宋体"/>
                <w:color w:val="000000" w:themeColor="text1"/>
                <w:sz w:val="28"/>
                <w:lang w:val="en-US" w:eastAsia="zh-CN"/>
                <w14:textFill>
                  <w14:solidFill>
                    <w14:schemeClr w14:val="tx1"/>
                  </w14:solidFill>
                </w14:textFill>
              </w:rPr>
              <w:t>28</w:t>
            </w:r>
            <w:r>
              <w:rPr>
                <w:rFonts w:hint="eastAsia" w:ascii="宋体" w:hAnsi="宋体"/>
                <w:color w:val="000000" w:themeColor="text1"/>
                <w:sz w:val="28"/>
                <w14:textFill>
                  <w14:solidFill>
                    <w14:schemeClr w14:val="tx1"/>
                  </w14:solidFill>
                </w14:textFill>
              </w:rPr>
              <w:t>日17时30分</w:t>
            </w:r>
          </w:p>
        </w:tc>
      </w:tr>
      <w:tr w14:paraId="2766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165FD6C">
            <w:pPr>
              <w:spacing w:line="38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3.1</w:t>
            </w:r>
          </w:p>
        </w:tc>
        <w:tc>
          <w:tcPr>
            <w:tcW w:w="2552" w:type="dxa"/>
            <w:gridSpan w:val="2"/>
            <w:vAlign w:val="center"/>
          </w:tcPr>
          <w:p w14:paraId="5752E265">
            <w:pPr>
              <w:spacing w:line="38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投标文件的组成</w:t>
            </w:r>
          </w:p>
        </w:tc>
        <w:tc>
          <w:tcPr>
            <w:tcW w:w="5987" w:type="dxa"/>
            <w:vAlign w:val="center"/>
          </w:tcPr>
          <w:p w14:paraId="1846DA71">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（1）开标一览表；</w:t>
            </w:r>
          </w:p>
          <w:p w14:paraId="53A0FA2F">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（2）投标函；</w:t>
            </w:r>
          </w:p>
          <w:p w14:paraId="64FC42C4">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（3）中小企业声明函；</w:t>
            </w:r>
          </w:p>
          <w:p w14:paraId="74CE1EAE">
            <w:pPr>
              <w:spacing w:line="400" w:lineRule="exact"/>
              <w:rPr>
                <w:rFonts w:hint="eastAsia" w:ascii="宋体" w:hAnsi="宋体" w:eastAsia="宋体" w:cs="宋体"/>
                <w:color w:val="000000" w:themeColor="text1"/>
                <w:sz w:val="28"/>
                <w:lang w:eastAsia="zh-CN"/>
                <w14:textFill>
                  <w14:solidFill>
                    <w14:schemeClr w14:val="tx1"/>
                  </w14:solidFill>
                </w14:textFill>
              </w:rPr>
            </w:pPr>
            <w:r>
              <w:rPr>
                <w:rFonts w:hint="eastAsia" w:ascii="宋体" w:hAnsi="宋体" w:eastAsia="宋体" w:cs="宋体"/>
                <w:color w:val="000000" w:themeColor="text1"/>
                <w:sz w:val="28"/>
                <w:lang w:eastAsia="zh-CN"/>
                <w14:textFill>
                  <w14:solidFill>
                    <w14:schemeClr w14:val="tx1"/>
                  </w14:solidFill>
                </w14:textFill>
              </w:rPr>
              <w:t>（</w:t>
            </w:r>
            <w:r>
              <w:rPr>
                <w:rFonts w:hint="eastAsia" w:ascii="宋体" w:hAnsi="宋体" w:eastAsia="宋体" w:cs="宋体"/>
                <w:color w:val="000000" w:themeColor="text1"/>
                <w:sz w:val="28"/>
                <w:lang w:val="en-US" w:eastAsia="zh-CN"/>
                <w14:textFill>
                  <w14:solidFill>
                    <w14:schemeClr w14:val="tx1"/>
                  </w14:solidFill>
                </w14:textFill>
              </w:rPr>
              <w:t>4</w:t>
            </w:r>
            <w:r>
              <w:rPr>
                <w:rFonts w:hint="eastAsia" w:ascii="宋体" w:hAnsi="宋体" w:eastAsia="宋体" w:cs="宋体"/>
                <w:color w:val="000000" w:themeColor="text1"/>
                <w:sz w:val="28"/>
                <w:lang w:eastAsia="zh-CN"/>
                <w14:textFill>
                  <w14:solidFill>
                    <w14:schemeClr w14:val="tx1"/>
                  </w14:solidFill>
                </w14:textFill>
              </w:rPr>
              <w:t>）</w:t>
            </w:r>
            <w:r>
              <w:rPr>
                <w:rFonts w:hint="eastAsia" w:ascii="宋体" w:hAnsi="宋体" w:cs="宋体"/>
                <w:color w:val="000000" w:themeColor="text1"/>
                <w:sz w:val="28"/>
                <w14:textFill>
                  <w14:solidFill>
                    <w14:schemeClr w14:val="tx1"/>
                  </w14:solidFill>
                </w14:textFill>
              </w:rPr>
              <w:t>关于符合本国产品标准的声明函</w:t>
            </w:r>
            <w:r>
              <w:rPr>
                <w:rFonts w:hint="eastAsia" w:ascii="宋体" w:hAnsi="宋体" w:cs="宋体"/>
                <w:color w:val="000000" w:themeColor="text1"/>
                <w:sz w:val="28"/>
                <w14:textFill>
                  <w14:solidFill>
                    <w14:schemeClr w14:val="tx1"/>
                  </w14:solidFill>
                </w14:textFill>
              </w:rPr>
              <w:t>（若有）</w:t>
            </w:r>
            <w:r>
              <w:rPr>
                <w:rFonts w:hint="eastAsia" w:ascii="宋体" w:hAnsi="宋体" w:cs="宋体"/>
                <w:color w:val="000000" w:themeColor="text1"/>
                <w:sz w:val="28"/>
                <w:lang w:eastAsia="zh-CN"/>
                <w14:textFill>
                  <w14:solidFill>
                    <w14:schemeClr w14:val="tx1"/>
                  </w14:solidFill>
                </w14:textFill>
              </w:rPr>
              <w:t>；</w:t>
            </w:r>
          </w:p>
          <w:p w14:paraId="4FEB2BEA">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w:t>
            </w:r>
            <w:r>
              <w:rPr>
                <w:rFonts w:hint="eastAsia" w:ascii="宋体" w:hAnsi="宋体" w:cs="宋体"/>
                <w:color w:val="000000" w:themeColor="text1"/>
                <w:sz w:val="28"/>
                <w:lang w:val="en-US" w:eastAsia="zh-CN"/>
                <w14:textFill>
                  <w14:solidFill>
                    <w14:schemeClr w14:val="tx1"/>
                  </w14:solidFill>
                </w14:textFill>
              </w:rPr>
              <w:t>5</w:t>
            </w:r>
            <w:r>
              <w:rPr>
                <w:rFonts w:hint="eastAsia" w:ascii="宋体" w:hAnsi="宋体" w:cs="宋体"/>
                <w:color w:val="000000" w:themeColor="text1"/>
                <w:sz w:val="28"/>
                <w14:textFill>
                  <w14:solidFill>
                    <w14:schemeClr w14:val="tx1"/>
                  </w14:solidFill>
                </w14:textFill>
              </w:rPr>
              <w:t>）投标报价明细表及分析说明（若有）；</w:t>
            </w:r>
          </w:p>
          <w:p w14:paraId="01E5AE8E">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w:t>
            </w:r>
            <w:r>
              <w:rPr>
                <w:rFonts w:hint="eastAsia" w:ascii="宋体" w:hAnsi="宋体" w:cs="宋体"/>
                <w:color w:val="000000" w:themeColor="text1"/>
                <w:sz w:val="28"/>
                <w:lang w:val="en-US" w:eastAsia="zh-CN"/>
                <w14:textFill>
                  <w14:solidFill>
                    <w14:schemeClr w14:val="tx1"/>
                  </w14:solidFill>
                </w14:textFill>
              </w:rPr>
              <w:t>6</w:t>
            </w:r>
            <w:r>
              <w:rPr>
                <w:rFonts w:hint="eastAsia" w:ascii="宋体" w:hAnsi="宋体" w:cs="宋体"/>
                <w:color w:val="000000" w:themeColor="text1"/>
                <w:sz w:val="28"/>
                <w14:textFill>
                  <w14:solidFill>
                    <w14:schemeClr w14:val="tx1"/>
                  </w14:solidFill>
                </w14:textFill>
              </w:rPr>
              <w:t>）资格性审查和符合性评审文件；</w:t>
            </w:r>
          </w:p>
          <w:p w14:paraId="24BE0C68">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w:t>
            </w:r>
            <w:r>
              <w:rPr>
                <w:rFonts w:hint="eastAsia" w:ascii="宋体" w:hAnsi="宋体" w:cs="宋体"/>
                <w:color w:val="000000" w:themeColor="text1"/>
                <w:sz w:val="28"/>
                <w:lang w:val="en-US" w:eastAsia="zh-CN"/>
                <w14:textFill>
                  <w14:solidFill>
                    <w14:schemeClr w14:val="tx1"/>
                  </w14:solidFill>
                </w14:textFill>
              </w:rPr>
              <w:t>7</w:t>
            </w:r>
            <w:r>
              <w:rPr>
                <w:rFonts w:hint="eastAsia" w:ascii="宋体" w:hAnsi="宋体" w:cs="宋体"/>
                <w:color w:val="000000" w:themeColor="text1"/>
                <w:sz w:val="28"/>
                <w14:textFill>
                  <w14:solidFill>
                    <w14:schemeClr w14:val="tx1"/>
                  </w14:solidFill>
                </w14:textFill>
              </w:rPr>
              <w:t>）采购需求响应表；</w:t>
            </w:r>
          </w:p>
          <w:p w14:paraId="507B80BD">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w:t>
            </w:r>
            <w:r>
              <w:rPr>
                <w:rFonts w:hint="eastAsia" w:ascii="宋体" w:hAnsi="宋体" w:cs="宋体"/>
                <w:color w:val="000000" w:themeColor="text1"/>
                <w:sz w:val="28"/>
                <w:lang w:val="en-US" w:eastAsia="zh-CN"/>
                <w14:textFill>
                  <w14:solidFill>
                    <w14:schemeClr w14:val="tx1"/>
                  </w14:solidFill>
                </w14:textFill>
              </w:rPr>
              <w:t>8</w:t>
            </w:r>
            <w:r>
              <w:rPr>
                <w:rFonts w:hint="eastAsia" w:ascii="宋体" w:hAnsi="宋体" w:cs="宋体"/>
                <w:color w:val="000000" w:themeColor="text1"/>
                <w:sz w:val="28"/>
                <w14:textFill>
                  <w14:solidFill>
                    <w14:schemeClr w14:val="tx1"/>
                  </w14:solidFill>
                </w14:textFill>
              </w:rPr>
              <w:t>）对照第三章评标办法，认为应列入投标文件的其他材料。</w:t>
            </w:r>
          </w:p>
          <w:p w14:paraId="3434BB38">
            <w:pPr>
              <w:pStyle w:val="13"/>
              <w:spacing w:after="0" w:line="400" w:lineRule="exact"/>
              <w:ind w:left="0" w:leftChars="0"/>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w:t>
            </w:r>
            <w:r>
              <w:rPr>
                <w:rFonts w:hint="eastAsia" w:ascii="宋体" w:hAnsi="宋体" w:cs="宋体"/>
                <w:color w:val="000000" w:themeColor="text1"/>
                <w:sz w:val="28"/>
                <w:lang w:val="en-US" w:eastAsia="zh-CN"/>
                <w14:textFill>
                  <w14:solidFill>
                    <w14:schemeClr w14:val="tx1"/>
                  </w14:solidFill>
                </w14:textFill>
              </w:rPr>
              <w:t>9</w:t>
            </w:r>
            <w:r>
              <w:rPr>
                <w:rFonts w:hint="eastAsia" w:ascii="宋体" w:hAnsi="宋体" w:cs="宋体"/>
                <w:color w:val="000000" w:themeColor="text1"/>
                <w:sz w:val="28"/>
                <w14:textFill>
                  <w14:solidFill>
                    <w14:schemeClr w14:val="tx1"/>
                  </w14:solidFill>
                </w14:textFill>
              </w:rPr>
              <w:t>）法定代表人身份证明书或法定代表人授权委托书（附身份证复印件）</w:t>
            </w:r>
          </w:p>
        </w:tc>
      </w:tr>
      <w:tr w14:paraId="062E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633CAFD1">
            <w:pPr>
              <w:spacing w:line="38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3.3.1</w:t>
            </w:r>
          </w:p>
        </w:tc>
        <w:tc>
          <w:tcPr>
            <w:tcW w:w="2552" w:type="dxa"/>
            <w:gridSpan w:val="2"/>
            <w:vAlign w:val="center"/>
          </w:tcPr>
          <w:p w14:paraId="5620EAA5">
            <w:pPr>
              <w:spacing w:line="380" w:lineRule="exact"/>
              <w:jc w:val="center"/>
              <w:rPr>
                <w:rFonts w:ascii="宋体"/>
                <w:sz w:val="28"/>
                <w:szCs w:val="28"/>
              </w:rPr>
            </w:pPr>
            <w:r>
              <w:rPr>
                <w:rFonts w:hint="eastAsia" w:ascii="宋体" w:hAnsi="宋体" w:cs="宋体"/>
                <w:sz w:val="28"/>
                <w:szCs w:val="28"/>
              </w:rPr>
              <w:t>投标有效期</w:t>
            </w:r>
          </w:p>
        </w:tc>
        <w:tc>
          <w:tcPr>
            <w:tcW w:w="5987" w:type="dxa"/>
            <w:vAlign w:val="center"/>
          </w:tcPr>
          <w:p w14:paraId="61879B1C">
            <w:pPr>
              <w:spacing w:line="440" w:lineRule="exact"/>
              <w:rPr>
                <w:rFonts w:ascii="宋体"/>
                <w:sz w:val="28"/>
                <w:szCs w:val="28"/>
              </w:rPr>
            </w:pPr>
            <w:r>
              <w:rPr>
                <w:rFonts w:hint="eastAsia" w:ascii="宋体" w:hAnsi="宋体" w:cs="宋体"/>
                <w:sz w:val="28"/>
              </w:rPr>
              <w:t>60天</w:t>
            </w:r>
          </w:p>
        </w:tc>
      </w:tr>
      <w:tr w14:paraId="2D9E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58F6CF26">
            <w:pPr>
              <w:spacing w:line="38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w:t>
            </w:r>
            <w:r>
              <w:rPr>
                <w:rFonts w:hint="eastAsia" w:ascii="宋体" w:hAnsi="宋体"/>
                <w:color w:val="000000" w:themeColor="text1"/>
                <w:sz w:val="28"/>
                <w:szCs w:val="28"/>
                <w14:textFill>
                  <w14:solidFill>
                    <w14:schemeClr w14:val="tx1"/>
                  </w14:solidFill>
                </w14:textFill>
              </w:rPr>
              <w:t>4</w:t>
            </w:r>
            <w:r>
              <w:rPr>
                <w:rFonts w:ascii="宋体" w:hAnsi="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3</w:t>
            </w:r>
          </w:p>
        </w:tc>
        <w:tc>
          <w:tcPr>
            <w:tcW w:w="2552" w:type="dxa"/>
            <w:gridSpan w:val="2"/>
            <w:vAlign w:val="center"/>
          </w:tcPr>
          <w:p w14:paraId="44303D9C">
            <w:pPr>
              <w:spacing w:line="38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投标文件的份数</w:t>
            </w:r>
          </w:p>
        </w:tc>
        <w:tc>
          <w:tcPr>
            <w:tcW w:w="5987" w:type="dxa"/>
            <w:vAlign w:val="center"/>
          </w:tcPr>
          <w:p w14:paraId="4CDC499D">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电子投标文件壹份；</w:t>
            </w:r>
          </w:p>
        </w:tc>
      </w:tr>
      <w:tr w14:paraId="7F5A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0923E68">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3.4.4</w:t>
            </w:r>
          </w:p>
        </w:tc>
        <w:tc>
          <w:tcPr>
            <w:tcW w:w="2552" w:type="dxa"/>
            <w:gridSpan w:val="2"/>
            <w:vAlign w:val="center"/>
          </w:tcPr>
          <w:p w14:paraId="60962116">
            <w:pPr>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投标文件的签署</w:t>
            </w:r>
          </w:p>
        </w:tc>
        <w:tc>
          <w:tcPr>
            <w:tcW w:w="5987" w:type="dxa"/>
            <w:vAlign w:val="center"/>
          </w:tcPr>
          <w:p w14:paraId="555022C0">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1.投标函、供应商基本资格条件承诺函中须加盖供应商法人章并经法定代表人签字或签章。</w:t>
            </w:r>
          </w:p>
          <w:p w14:paraId="20960A05">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2.投标文件中的任何重要的插字、涂改和增删，修改处须有法定代表人签章或签字。</w:t>
            </w:r>
          </w:p>
        </w:tc>
      </w:tr>
      <w:tr w14:paraId="6985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08D2ACB5">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5.1.1</w:t>
            </w:r>
          </w:p>
        </w:tc>
        <w:tc>
          <w:tcPr>
            <w:tcW w:w="2552" w:type="dxa"/>
            <w:gridSpan w:val="2"/>
            <w:vAlign w:val="center"/>
          </w:tcPr>
          <w:p w14:paraId="0818B258">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开标时间和地点</w:t>
            </w:r>
          </w:p>
        </w:tc>
        <w:tc>
          <w:tcPr>
            <w:tcW w:w="5987" w:type="dxa"/>
            <w:vAlign w:val="center"/>
          </w:tcPr>
          <w:p w14:paraId="41BA928E">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开标时间</w:t>
            </w:r>
            <w:r>
              <w:rPr>
                <w:rFonts w:hint="eastAsia" w:ascii="宋体" w:hAnsi="宋体"/>
                <w:sz w:val="28"/>
                <w:szCs w:val="28"/>
              </w:rPr>
              <w:t>：</w:t>
            </w:r>
            <w:bookmarkStart w:id="49" w:name="EB72e20e40757d438698d0d924b6237fcc"/>
            <w:bookmarkEnd w:id="49"/>
            <w:r>
              <w:rPr>
                <w:rFonts w:hint="eastAsia" w:ascii="宋体" w:hAnsi="宋体"/>
                <w:sz w:val="28"/>
                <w:szCs w:val="28"/>
              </w:rPr>
              <w:t>同投标截止时间</w:t>
            </w:r>
          </w:p>
          <w:p w14:paraId="7C76AD0E">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开标地点：</w:t>
            </w:r>
            <w:r>
              <w:rPr>
                <w:rFonts w:hint="eastAsia" w:asciiTheme="majorEastAsia" w:hAnsiTheme="majorEastAsia" w:eastAsiaTheme="majorEastAsia"/>
                <w:color w:val="000000" w:themeColor="text1"/>
                <w:sz w:val="28"/>
                <w:szCs w:val="28"/>
                <w14:textFill>
                  <w14:solidFill>
                    <w14:schemeClr w14:val="tx1"/>
                  </w14:solidFill>
                </w14:textFill>
              </w:rPr>
              <w:t>“苏采云”系统“开标大厅”</w:t>
            </w:r>
          </w:p>
        </w:tc>
      </w:tr>
      <w:tr w14:paraId="0F9D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33CE3CC0">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5.1.2</w:t>
            </w:r>
          </w:p>
        </w:tc>
        <w:tc>
          <w:tcPr>
            <w:tcW w:w="2552" w:type="dxa"/>
            <w:gridSpan w:val="2"/>
            <w:vAlign w:val="center"/>
          </w:tcPr>
          <w:p w14:paraId="6C92C6F2">
            <w:pPr>
              <w:spacing w:line="46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供应商参与开标要求</w:t>
            </w:r>
          </w:p>
        </w:tc>
        <w:tc>
          <w:tcPr>
            <w:tcW w:w="5987" w:type="dxa"/>
            <w:vAlign w:val="center"/>
          </w:tcPr>
          <w:p w14:paraId="52A0E155">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《江苏省政府采购管理交易系统（苏采云）供应商操作手册》</w:t>
            </w:r>
            <w:r>
              <w:rPr>
                <w:rFonts w:hint="eastAsia" w:ascii="宋体" w:hAnsi="宋体"/>
                <w:color w:val="000000" w:themeColor="text1"/>
                <w:sz w:val="28"/>
                <w:szCs w:val="28"/>
                <w14:textFill>
                  <w14:solidFill>
                    <w14:schemeClr w14:val="tx1"/>
                  </w14:solidFill>
                </w14:textFill>
              </w:rPr>
              <w:t>规定，参加开标活动。</w:t>
            </w:r>
          </w:p>
        </w:tc>
      </w:tr>
      <w:tr w14:paraId="0F56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018CE14C">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6.1.1</w:t>
            </w:r>
          </w:p>
        </w:tc>
        <w:tc>
          <w:tcPr>
            <w:tcW w:w="2552" w:type="dxa"/>
            <w:gridSpan w:val="2"/>
            <w:vAlign w:val="center"/>
          </w:tcPr>
          <w:p w14:paraId="5588E342">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评标委员会</w:t>
            </w:r>
          </w:p>
        </w:tc>
        <w:tc>
          <w:tcPr>
            <w:tcW w:w="5987" w:type="dxa"/>
            <w:vAlign w:val="center"/>
          </w:tcPr>
          <w:p w14:paraId="73323390">
            <w:pPr>
              <w:spacing w:line="360" w:lineRule="exact"/>
              <w:jc w:val="lef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评标委员会人数</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人。</w:t>
            </w:r>
          </w:p>
        </w:tc>
      </w:tr>
      <w:tr w14:paraId="2F271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17D02A44">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7.2</w:t>
            </w:r>
            <w:r>
              <w:rPr>
                <w:rFonts w:hint="eastAsia" w:ascii="宋体" w:hAnsi="宋体"/>
                <w:color w:val="000000" w:themeColor="text1"/>
                <w:sz w:val="28"/>
                <w:szCs w:val="28"/>
                <w14:textFill>
                  <w14:solidFill>
                    <w14:schemeClr w14:val="tx1"/>
                  </w14:solidFill>
                </w14:textFill>
              </w:rPr>
              <w:t>.1</w:t>
            </w:r>
          </w:p>
        </w:tc>
        <w:tc>
          <w:tcPr>
            <w:tcW w:w="2552" w:type="dxa"/>
            <w:gridSpan w:val="2"/>
            <w:vAlign w:val="center"/>
          </w:tcPr>
          <w:p w14:paraId="63BF900D">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中标公告媒介</w:t>
            </w:r>
          </w:p>
        </w:tc>
        <w:tc>
          <w:tcPr>
            <w:tcW w:w="5987" w:type="dxa"/>
            <w:vAlign w:val="center"/>
          </w:tcPr>
          <w:p w14:paraId="062ABA3E">
            <w:pPr>
              <w:spacing w:line="360" w:lineRule="exact"/>
              <w:jc w:val="lef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江苏政府采购网（</w:t>
            </w:r>
            <w:r>
              <w:rPr>
                <w:rFonts w:ascii="宋体" w:hAnsi="宋体" w:cs="宋体"/>
                <w:color w:val="000000" w:themeColor="text1"/>
                <w:sz w:val="28"/>
                <w:szCs w:val="28"/>
                <w14:textFill>
                  <w14:solidFill>
                    <w14:schemeClr w14:val="tx1"/>
                  </w14:solidFill>
                </w14:textFill>
              </w:rPr>
              <w:t>www.ccgp-jiangsu.gov.cn</w:t>
            </w:r>
            <w:r>
              <w:rPr>
                <w:rFonts w:hint="eastAsia" w:ascii="宋体" w:hAnsi="宋体" w:cs="宋体"/>
                <w:color w:val="000000" w:themeColor="text1"/>
                <w:sz w:val="28"/>
                <w:szCs w:val="28"/>
                <w14:textFill>
                  <w14:solidFill>
                    <w14:schemeClr w14:val="tx1"/>
                  </w14:solidFill>
                </w14:textFill>
              </w:rPr>
              <w:t>）</w:t>
            </w:r>
          </w:p>
        </w:tc>
      </w:tr>
      <w:tr w14:paraId="26F2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41DEF16B">
            <w:pPr>
              <w:spacing w:line="34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8.1.1</w:t>
            </w:r>
          </w:p>
        </w:tc>
        <w:tc>
          <w:tcPr>
            <w:tcW w:w="2552" w:type="dxa"/>
            <w:gridSpan w:val="2"/>
            <w:vAlign w:val="center"/>
          </w:tcPr>
          <w:p w14:paraId="00ED2BB7">
            <w:pPr>
              <w:spacing w:line="340" w:lineRule="exact"/>
              <w:jc w:val="center"/>
              <w:rPr>
                <w:rFonts w:hint="eastAsia" w:ascii="宋体" w:hAnsi="宋体"/>
                <w:sz w:val="28"/>
                <w:szCs w:val="28"/>
              </w:rPr>
            </w:pPr>
            <w:r>
              <w:rPr>
                <w:rFonts w:hint="eastAsia" w:ascii="宋体" w:hAnsi="宋体"/>
                <w:sz w:val="28"/>
                <w:szCs w:val="28"/>
              </w:rPr>
              <w:t>履约保证金</w:t>
            </w:r>
          </w:p>
        </w:tc>
        <w:tc>
          <w:tcPr>
            <w:tcW w:w="5987" w:type="dxa"/>
            <w:vAlign w:val="center"/>
          </w:tcPr>
          <w:p w14:paraId="2D0A059A">
            <w:pPr>
              <w:spacing w:line="400" w:lineRule="exact"/>
              <w:jc w:val="left"/>
              <w:rPr>
                <w:rFonts w:hint="eastAsia" w:ascii="宋体" w:hAnsi="宋体"/>
                <w:sz w:val="28"/>
                <w:szCs w:val="28"/>
              </w:rPr>
            </w:pPr>
            <w:r>
              <w:rPr>
                <w:rFonts w:hint="eastAsia" w:ascii="宋体" w:hAnsi="宋体"/>
                <w:sz w:val="28"/>
                <w:szCs w:val="28"/>
              </w:rPr>
              <w:t>无</w:t>
            </w:r>
          </w:p>
        </w:tc>
      </w:tr>
      <w:tr w14:paraId="6EFB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486C7A41">
            <w:pPr>
              <w:spacing w:line="360" w:lineRule="exact"/>
              <w:jc w:val="cente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8.2.1</w:t>
            </w:r>
          </w:p>
        </w:tc>
        <w:tc>
          <w:tcPr>
            <w:tcW w:w="2552" w:type="dxa"/>
            <w:gridSpan w:val="2"/>
            <w:vAlign w:val="center"/>
          </w:tcPr>
          <w:p w14:paraId="79ECCC10">
            <w:pPr>
              <w:spacing w:line="36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签订合同的</w:t>
            </w:r>
          </w:p>
          <w:p w14:paraId="69E8853A">
            <w:pPr>
              <w:spacing w:line="360" w:lineRule="exact"/>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时间要求</w:t>
            </w:r>
          </w:p>
        </w:tc>
        <w:tc>
          <w:tcPr>
            <w:tcW w:w="5987" w:type="dxa"/>
            <w:vAlign w:val="center"/>
          </w:tcPr>
          <w:p w14:paraId="0D7AA349">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自中标通知书发出之日起</w:t>
            </w:r>
            <w:r>
              <w:rPr>
                <w:rFonts w:ascii="宋体" w:hAnsi="宋体"/>
                <w:color w:val="FF0000"/>
                <w:sz w:val="28"/>
                <w:szCs w:val="28"/>
                <w:u w:val="single"/>
              </w:rPr>
              <w:t xml:space="preserve"> </w:t>
            </w:r>
            <w:r>
              <w:rPr>
                <w:rFonts w:hint="eastAsia" w:ascii="宋体" w:hAnsi="宋体"/>
                <w:color w:val="FF0000"/>
                <w:sz w:val="28"/>
                <w:szCs w:val="28"/>
                <w:u w:val="single"/>
              </w:rPr>
              <w:t>30</w:t>
            </w:r>
            <w:r>
              <w:rPr>
                <w:rFonts w:ascii="宋体" w:hAnsi="宋体"/>
                <w:color w:val="FF0000"/>
                <w:sz w:val="28"/>
                <w:szCs w:val="28"/>
                <w:u w:val="single"/>
              </w:rPr>
              <w:t xml:space="preserve"> </w:t>
            </w:r>
            <w:r>
              <w:rPr>
                <w:rFonts w:hint="eastAsia" w:ascii="宋体" w:hAnsi="宋体"/>
                <w:color w:val="000000" w:themeColor="text1"/>
                <w:sz w:val="28"/>
                <w:szCs w:val="28"/>
                <w14:textFill>
                  <w14:solidFill>
                    <w14:schemeClr w14:val="tx1"/>
                  </w14:solidFill>
                </w14:textFill>
              </w:rPr>
              <w:t>天内</w:t>
            </w:r>
          </w:p>
        </w:tc>
      </w:tr>
      <w:tr w14:paraId="4A93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45BBD2D1">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p>
        </w:tc>
        <w:tc>
          <w:tcPr>
            <w:tcW w:w="8539" w:type="dxa"/>
            <w:gridSpan w:val="3"/>
            <w:vAlign w:val="center"/>
          </w:tcPr>
          <w:p w14:paraId="4E9772E5">
            <w:pPr>
              <w:spacing w:line="360" w:lineRule="exact"/>
              <w:jc w:val="center"/>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需要补充的其他内容</w:t>
            </w:r>
          </w:p>
        </w:tc>
      </w:tr>
      <w:tr w14:paraId="6C77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00006D1A">
            <w:pPr>
              <w:spacing w:line="360" w:lineRule="exact"/>
              <w:jc w:val="cente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r>
              <w:rPr>
                <w:rFonts w:ascii="宋体" w:hAnsi="宋体"/>
                <w:b/>
                <w:color w:val="000000" w:themeColor="text1"/>
                <w:sz w:val="28"/>
                <w:szCs w:val="28"/>
                <w14:textFill>
                  <w14:solidFill>
                    <w14:schemeClr w14:val="tx1"/>
                  </w14:solidFill>
                </w14:textFill>
              </w:rPr>
              <w:t>.1</w:t>
            </w:r>
          </w:p>
        </w:tc>
        <w:tc>
          <w:tcPr>
            <w:tcW w:w="2521" w:type="dxa"/>
            <w:vAlign w:val="center"/>
          </w:tcPr>
          <w:p w14:paraId="4BEB9F38">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质疑和投诉</w:t>
            </w:r>
          </w:p>
        </w:tc>
        <w:tc>
          <w:tcPr>
            <w:tcW w:w="6018" w:type="dxa"/>
            <w:gridSpan w:val="2"/>
            <w:vAlign w:val="center"/>
          </w:tcPr>
          <w:p w14:paraId="163751F5">
            <w:pPr>
              <w:spacing w:line="360" w:lineRule="exact"/>
              <w:jc w:val="lef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按照《政府采购质疑和投诉办法》（财政部第</w:t>
            </w:r>
            <w:r>
              <w:rPr>
                <w:rFonts w:ascii="宋体" w:hAnsi="宋体"/>
                <w:color w:val="000000" w:themeColor="text1"/>
                <w:sz w:val="28"/>
                <w:szCs w:val="28"/>
                <w14:textFill>
                  <w14:solidFill>
                    <w14:schemeClr w14:val="tx1"/>
                  </w14:solidFill>
                </w14:textFill>
              </w:rPr>
              <w:t>94</w:t>
            </w:r>
            <w:r>
              <w:rPr>
                <w:rFonts w:hint="eastAsia" w:ascii="宋体" w:hAnsi="宋体"/>
                <w:color w:val="000000" w:themeColor="text1"/>
                <w:sz w:val="28"/>
                <w:szCs w:val="28"/>
                <w14:textFill>
                  <w14:solidFill>
                    <w14:schemeClr w14:val="tx1"/>
                  </w14:solidFill>
                </w14:textFill>
              </w:rPr>
              <w:t>号令）处理</w:t>
            </w:r>
          </w:p>
        </w:tc>
      </w:tr>
      <w:tr w14:paraId="0127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65E4EE25">
            <w:pPr>
              <w:spacing w:line="360" w:lineRule="exact"/>
              <w:jc w:val="cente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w:t>
            </w:r>
            <w:r>
              <w:rPr>
                <w:rFonts w:ascii="宋体" w:hAnsi="宋体"/>
                <w:b/>
                <w:color w:val="000000" w:themeColor="text1"/>
                <w:sz w:val="28"/>
                <w:szCs w:val="28"/>
                <w14:textFill>
                  <w14:solidFill>
                    <w14:schemeClr w14:val="tx1"/>
                  </w14:solidFill>
                </w14:textFill>
              </w:rPr>
              <w:t>.2</w:t>
            </w:r>
          </w:p>
        </w:tc>
        <w:tc>
          <w:tcPr>
            <w:tcW w:w="2521" w:type="dxa"/>
            <w:vAlign w:val="center"/>
          </w:tcPr>
          <w:p w14:paraId="4F65CF0A">
            <w:pPr>
              <w:spacing w:line="360" w:lineRule="exact"/>
              <w:jc w:val="center"/>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招标文件的解释</w:t>
            </w:r>
          </w:p>
        </w:tc>
        <w:tc>
          <w:tcPr>
            <w:tcW w:w="6018" w:type="dxa"/>
            <w:gridSpan w:val="2"/>
            <w:vAlign w:val="center"/>
          </w:tcPr>
          <w:p w14:paraId="68B5B5D6">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由招标人负责</w:t>
            </w:r>
          </w:p>
        </w:tc>
      </w:tr>
      <w:tr w14:paraId="15EB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36B7F7C3">
            <w:pPr>
              <w:spacing w:line="360" w:lineRule="exact"/>
              <w:jc w:val="cente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9.3</w:t>
            </w:r>
          </w:p>
        </w:tc>
        <w:tc>
          <w:tcPr>
            <w:tcW w:w="2521" w:type="dxa"/>
            <w:vAlign w:val="center"/>
          </w:tcPr>
          <w:p w14:paraId="75A44C59">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落实政府采购政策</w:t>
            </w:r>
          </w:p>
        </w:tc>
        <w:tc>
          <w:tcPr>
            <w:tcW w:w="6018" w:type="dxa"/>
            <w:gridSpan w:val="2"/>
            <w:vAlign w:val="center"/>
          </w:tcPr>
          <w:p w14:paraId="44D48CD5">
            <w:pPr>
              <w:pStyle w:val="40"/>
              <w:spacing w:line="380" w:lineRule="exact"/>
              <w:jc w:val="both"/>
              <w:textAlignment w:val="center"/>
              <w:rPr>
                <w:rFonts w:hint="eastAsia" w:ascii="宋体" w:hAnsi="宋体"/>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14:textFill>
                  <w14:solidFill>
                    <w14:schemeClr w14:val="tx1"/>
                  </w14:solidFill>
                </w14:textFill>
              </w:rPr>
              <w:t>本项目为专门面向中小企业的项目</w:t>
            </w:r>
            <w:r>
              <w:rPr>
                <w:rFonts w:hint="eastAsia" w:ascii="宋体" w:hAnsi="宋体"/>
                <w:sz w:val="28"/>
                <w:szCs w:val="28"/>
              </w:rPr>
              <w:t>。供应商应当提供《中小企业声明函》（格式见附件）</w:t>
            </w:r>
          </w:p>
        </w:tc>
      </w:tr>
      <w:tr w14:paraId="62110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5837FF45">
            <w:pPr>
              <w:spacing w:line="360" w:lineRule="exact"/>
              <w:jc w:val="cente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9.4</w:t>
            </w:r>
          </w:p>
        </w:tc>
        <w:tc>
          <w:tcPr>
            <w:tcW w:w="2521" w:type="dxa"/>
            <w:vAlign w:val="center"/>
          </w:tcPr>
          <w:p w14:paraId="0B6F2544">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投标报价</w:t>
            </w:r>
          </w:p>
        </w:tc>
        <w:tc>
          <w:tcPr>
            <w:tcW w:w="6018" w:type="dxa"/>
            <w:gridSpan w:val="2"/>
            <w:vAlign w:val="center"/>
          </w:tcPr>
          <w:p w14:paraId="3EE1AA94">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1.</w:t>
            </w:r>
            <w:r>
              <w:rPr>
                <w:rFonts w:ascii="宋体" w:hAnsi="宋体"/>
                <w:color w:val="000000" w:themeColor="text1"/>
                <w:sz w:val="28"/>
                <w:szCs w:val="28"/>
                <w14:textFill>
                  <w14:solidFill>
                    <w14:schemeClr w14:val="tx1"/>
                  </w14:solidFill>
                </w14:textFill>
              </w:rPr>
              <w:t>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理性报价。</w:t>
            </w:r>
          </w:p>
          <w:p w14:paraId="3915AF35">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2.</w:t>
            </w:r>
            <w:r>
              <w:rPr>
                <w:rFonts w:ascii="宋体" w:hAnsi="宋体"/>
                <w:color w:val="000000" w:themeColor="text1"/>
                <w:sz w:val="28"/>
                <w:szCs w:val="28"/>
                <w14:textFill>
                  <w14:solidFill>
                    <w14:schemeClr w14:val="tx1"/>
                  </w14:solidFill>
                </w14:textFill>
              </w:rPr>
              <w:t>中标价格即为合同价格</w:t>
            </w:r>
            <w:r>
              <w:rPr>
                <w:rFonts w:hint="eastAsia" w:ascii="宋体" w:hAnsi="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在合同期内不予调增</w:t>
            </w:r>
            <w:r>
              <w:rPr>
                <w:rFonts w:hint="eastAsia" w:ascii="宋体" w:hAnsi="宋体"/>
                <w:color w:val="000000" w:themeColor="text1"/>
                <w:sz w:val="28"/>
                <w:szCs w:val="28"/>
                <w14:textFill>
                  <w14:solidFill>
                    <w14:schemeClr w14:val="tx1"/>
                  </w14:solidFill>
                </w14:textFill>
              </w:rPr>
              <w:t>。</w:t>
            </w:r>
          </w:p>
          <w:p w14:paraId="0A00A37B">
            <w:pPr>
              <w:spacing w:line="360" w:lineRule="exact"/>
              <w:jc w:val="left"/>
              <w:rPr>
                <w:rFonts w:hint="eastAsia"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3.异常的低价可能会导致投标无效。</w:t>
            </w:r>
          </w:p>
        </w:tc>
      </w:tr>
      <w:tr w14:paraId="2825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8BE67A5">
            <w:pPr>
              <w:spacing w:line="360" w:lineRule="exact"/>
              <w:jc w:val="center"/>
              <w:rPr>
                <w:rFonts w:hint="eastAsia" w:ascii="宋体" w:hAnsi="宋体"/>
                <w:b/>
                <w:color w:val="000000" w:themeColor="text1"/>
                <w:sz w:val="28"/>
                <w:szCs w:val="28"/>
                <w14:textFill>
                  <w14:solidFill>
                    <w14:schemeClr w14:val="tx1"/>
                  </w14:solidFill>
                </w14:textFill>
              </w:rPr>
            </w:pPr>
            <w:bookmarkStart w:id="50" w:name="_Toc367784995"/>
            <w:bookmarkStart w:id="51" w:name="_Toc426469871"/>
            <w:r>
              <w:rPr>
                <w:rFonts w:hint="eastAsia" w:ascii="宋体" w:hAnsi="宋体"/>
                <w:b/>
                <w:color w:val="000000" w:themeColor="text1"/>
                <w:sz w:val="28"/>
                <w:szCs w:val="28"/>
                <w14:textFill>
                  <w14:solidFill>
                    <w14:schemeClr w14:val="tx1"/>
                  </w14:solidFill>
                </w14:textFill>
              </w:rPr>
              <w:t>9.5</w:t>
            </w:r>
          </w:p>
        </w:tc>
        <w:tc>
          <w:tcPr>
            <w:tcW w:w="2521" w:type="dxa"/>
            <w:vAlign w:val="center"/>
          </w:tcPr>
          <w:p w14:paraId="62DB671D">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其他内容</w:t>
            </w:r>
          </w:p>
        </w:tc>
        <w:tc>
          <w:tcPr>
            <w:tcW w:w="6018" w:type="dxa"/>
            <w:gridSpan w:val="2"/>
            <w:vAlign w:val="center"/>
          </w:tcPr>
          <w:p w14:paraId="10373EE9">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1、本项目的招标代理费由中标人支付，代理费收费标准按照《江苏省政府采购代理服务收费指导意见》苏政采协[2024]20号文的60%收取。投标单位在投标报价时应将该费用综合考虑在投标报价中，采购人不再另外支付，该费用由中标人在领取中标通知书前支付给招标代理单位。</w:t>
            </w:r>
          </w:p>
          <w:p w14:paraId="1376BCF0">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2、评审费：按苏财购〔2016〕48号规定，外加路费补贴。</w:t>
            </w:r>
          </w:p>
        </w:tc>
      </w:tr>
      <w:tr w14:paraId="467B7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44A9F1C8">
            <w:pPr>
              <w:spacing w:line="360" w:lineRule="exact"/>
              <w:jc w:val="center"/>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9.6</w:t>
            </w:r>
          </w:p>
        </w:tc>
        <w:tc>
          <w:tcPr>
            <w:tcW w:w="2521" w:type="dxa"/>
            <w:vAlign w:val="center"/>
          </w:tcPr>
          <w:p w14:paraId="51DE50FB">
            <w:pPr>
              <w:spacing w:line="360" w:lineRule="exact"/>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本项目所属行业</w:t>
            </w:r>
          </w:p>
        </w:tc>
        <w:tc>
          <w:tcPr>
            <w:tcW w:w="6018" w:type="dxa"/>
            <w:gridSpan w:val="2"/>
            <w:vAlign w:val="center"/>
          </w:tcPr>
          <w:p w14:paraId="20E3C1B6">
            <w:pPr>
              <w:spacing w:line="360" w:lineRule="exact"/>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其他未列明行业</w:t>
            </w:r>
          </w:p>
        </w:tc>
      </w:tr>
    </w:tbl>
    <w:p w14:paraId="74F7578F">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1.</w:t>
      </w:r>
      <w:r>
        <w:rPr>
          <w:rFonts w:hint="eastAsia" w:ascii="黑体" w:hAnsi="黑体" w:eastAsia="黑体"/>
          <w:color w:val="000000" w:themeColor="text1"/>
          <w:sz w:val="32"/>
          <w:szCs w:val="32"/>
          <w14:textFill>
            <w14:solidFill>
              <w14:schemeClr w14:val="tx1"/>
            </w14:solidFill>
          </w14:textFill>
        </w:rPr>
        <w:t>总则</w:t>
      </w:r>
      <w:bookmarkEnd w:id="50"/>
      <w:bookmarkEnd w:id="51"/>
    </w:p>
    <w:p w14:paraId="68F29BA9">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52" w:name="_Toc179632547"/>
      <w:bookmarkStart w:id="53" w:name="_Toc343525506"/>
      <w:bookmarkStart w:id="54" w:name="_Toc144974498"/>
      <w:bookmarkStart w:id="55" w:name="_Toc152042306"/>
      <w:bookmarkStart w:id="56" w:name="_Toc383438593"/>
      <w:bookmarkStart w:id="57" w:name="_Toc247085690"/>
      <w:bookmarkStart w:id="58" w:name="_Toc152045530"/>
      <w:bookmarkStart w:id="59" w:name="_Toc246996176"/>
      <w:bookmarkStart w:id="60" w:name="_Toc246996919"/>
      <w:bookmarkStart w:id="61" w:name="_Toc426469872"/>
      <w:bookmarkStart w:id="62"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项目概况</w:t>
      </w:r>
      <w:bookmarkEnd w:id="52"/>
      <w:bookmarkEnd w:id="53"/>
      <w:bookmarkEnd w:id="54"/>
      <w:bookmarkEnd w:id="55"/>
      <w:bookmarkEnd w:id="56"/>
      <w:bookmarkEnd w:id="57"/>
      <w:bookmarkEnd w:id="58"/>
      <w:bookmarkEnd w:id="59"/>
      <w:bookmarkEnd w:id="60"/>
      <w:bookmarkEnd w:id="61"/>
    </w:p>
    <w:p w14:paraId="5D58E3E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1.1.1</w:t>
      </w:r>
      <w:r>
        <w:rPr>
          <w:rFonts w:hint="eastAsia" w:ascii="宋体" w:hAnsi="宋体" w:cs="宋体"/>
          <w:color w:val="000000" w:themeColor="text1"/>
          <w:sz w:val="28"/>
          <w:szCs w:val="28"/>
          <w14:textFill>
            <w14:solidFill>
              <w14:schemeClr w14:val="tx1"/>
            </w14:solidFill>
          </w14:textFill>
        </w:rPr>
        <w:t>根据《中华人民共和国政府采购法》、《中华人民共和国政府采购法实施条例》等有关法律、法规和规章的规定，本采购项目已具备采购条件，现对本项目进行公开招标。</w:t>
      </w:r>
    </w:p>
    <w:p w14:paraId="7FA425F1">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招标人：见供应商须知前附表。</w:t>
      </w:r>
    </w:p>
    <w:p w14:paraId="24A670EC">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采购代理机构：见供应商须知前附表。</w:t>
      </w:r>
    </w:p>
    <w:p w14:paraId="3C7CCC5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项目名称及项目编号：见供应商须知前附表。</w:t>
      </w:r>
    </w:p>
    <w:p w14:paraId="13C47FAA">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63" w:name="_Toc343525507"/>
      <w:bookmarkStart w:id="64" w:name="_Toc426469873"/>
      <w:bookmarkStart w:id="65" w:name="_Toc383438594"/>
      <w:bookmarkStart w:id="66" w:name="_Toc152042307"/>
      <w:bookmarkStart w:id="67" w:name="_Toc246996177"/>
      <w:bookmarkStart w:id="68" w:name="_Toc179632548"/>
      <w:bookmarkStart w:id="69" w:name="_Toc152045531"/>
      <w:bookmarkStart w:id="70" w:name="_Toc144974499"/>
      <w:bookmarkStart w:id="71" w:name="_Toc246996920"/>
      <w:bookmarkStart w:id="72" w:name="_Toc247085691"/>
      <w:r>
        <w:rPr>
          <w:rFonts w:ascii="楷体" w:hAnsi="楷体" w:eastAsia="楷体"/>
          <w:b/>
          <w:color w:val="000000" w:themeColor="text1"/>
          <w:sz w:val="28"/>
          <w:szCs w:val="28"/>
          <w14:textFill>
            <w14:solidFill>
              <w14:schemeClr w14:val="tx1"/>
            </w14:solidFill>
          </w14:textFill>
        </w:rPr>
        <w:t>1.2</w:t>
      </w:r>
      <w:bookmarkEnd w:id="63"/>
      <w:bookmarkEnd w:id="64"/>
      <w:bookmarkEnd w:id="65"/>
      <w:bookmarkEnd w:id="66"/>
      <w:bookmarkEnd w:id="67"/>
      <w:bookmarkEnd w:id="68"/>
      <w:bookmarkEnd w:id="69"/>
      <w:bookmarkEnd w:id="70"/>
      <w:bookmarkEnd w:id="71"/>
      <w:bookmarkEnd w:id="72"/>
      <w:r>
        <w:rPr>
          <w:rFonts w:hint="eastAsia" w:ascii="楷体" w:hAnsi="楷体" w:eastAsia="楷体"/>
          <w:b/>
          <w:color w:val="000000" w:themeColor="text1"/>
          <w:sz w:val="28"/>
          <w:szCs w:val="28"/>
          <w14:textFill>
            <w14:solidFill>
              <w14:schemeClr w14:val="tx1"/>
            </w14:solidFill>
          </w14:textFill>
        </w:rPr>
        <w:t>付款方式</w:t>
      </w:r>
    </w:p>
    <w:p w14:paraId="41E7E11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1.2.</w:t>
      </w:r>
      <w:r>
        <w:rPr>
          <w:rFonts w:hint="eastAsia"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付款方式：见供应商须知前附表。</w:t>
      </w:r>
    </w:p>
    <w:p w14:paraId="27EE3DD1">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73" w:name="_Toc247085692"/>
      <w:bookmarkStart w:id="74" w:name="_Toc179632549"/>
      <w:bookmarkStart w:id="75" w:name="_Toc343525508"/>
      <w:bookmarkStart w:id="76" w:name="_Toc152045532"/>
      <w:bookmarkStart w:id="77" w:name="_Toc246996921"/>
      <w:bookmarkStart w:id="78" w:name="_Toc144974500"/>
      <w:bookmarkStart w:id="79" w:name="_Toc383438595"/>
      <w:bookmarkStart w:id="80" w:name="_Toc152042308"/>
      <w:bookmarkStart w:id="81" w:name="_Toc246996178"/>
      <w:bookmarkStart w:id="82" w:name="_Toc426469874"/>
      <w:r>
        <w:rPr>
          <w:rFonts w:ascii="楷体" w:hAnsi="楷体" w:eastAsia="楷体"/>
          <w:b/>
          <w:color w:val="000000" w:themeColor="text1"/>
          <w:sz w:val="28"/>
          <w:szCs w:val="28"/>
          <w14:textFill>
            <w14:solidFill>
              <w14:schemeClr w14:val="tx1"/>
            </w14:solidFill>
          </w14:textFill>
        </w:rPr>
        <w:t xml:space="preserve">1.3 </w:t>
      </w:r>
      <w:bookmarkEnd w:id="73"/>
      <w:bookmarkEnd w:id="74"/>
      <w:bookmarkEnd w:id="75"/>
      <w:bookmarkEnd w:id="76"/>
      <w:bookmarkEnd w:id="77"/>
      <w:bookmarkEnd w:id="78"/>
      <w:bookmarkEnd w:id="79"/>
      <w:bookmarkEnd w:id="80"/>
      <w:bookmarkEnd w:id="81"/>
      <w:r>
        <w:rPr>
          <w:rFonts w:hint="eastAsia" w:ascii="楷体" w:hAnsi="楷体" w:eastAsia="楷体"/>
          <w:b/>
          <w:color w:val="000000" w:themeColor="text1"/>
          <w:sz w:val="28"/>
          <w:szCs w:val="28"/>
          <w14:textFill>
            <w14:solidFill>
              <w14:schemeClr w14:val="tx1"/>
            </w14:solidFill>
          </w14:textFill>
        </w:rPr>
        <w:t>采购范围</w:t>
      </w:r>
      <w:bookmarkEnd w:id="82"/>
      <w:r>
        <w:rPr>
          <w:rFonts w:hint="eastAsia" w:ascii="楷体" w:hAnsi="楷体" w:eastAsia="楷体"/>
          <w:b/>
          <w:color w:val="000000" w:themeColor="text1"/>
          <w:sz w:val="28"/>
          <w:szCs w:val="28"/>
          <w14:textFill>
            <w14:solidFill>
              <w14:schemeClr w14:val="tx1"/>
            </w14:solidFill>
          </w14:textFill>
        </w:rPr>
        <w:t>与合同履行期限</w:t>
      </w:r>
    </w:p>
    <w:p w14:paraId="5669099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采购范围：见供应商须知前附表。</w:t>
      </w:r>
    </w:p>
    <w:p w14:paraId="212B1ED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合同履行期限：见供应商须知前附表。</w:t>
      </w:r>
    </w:p>
    <w:p w14:paraId="3A2D745B">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83" w:name="_Toc247085693"/>
      <w:bookmarkStart w:id="84" w:name="_Toc383438596"/>
      <w:bookmarkStart w:id="85" w:name="_Toc343525509"/>
      <w:bookmarkStart w:id="86" w:name="_Toc426469875"/>
      <w:bookmarkStart w:id="87" w:name="_Toc179632551"/>
      <w:bookmarkStart w:id="88" w:name="_Toc246996179"/>
      <w:bookmarkStart w:id="89" w:name="_Toc246996922"/>
      <w:bookmarkStart w:id="90" w:name="_Toc144974502"/>
      <w:bookmarkStart w:id="91" w:name="_Toc152045534"/>
      <w:bookmarkStart w:id="92" w:name="_Toc152042310"/>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供应商资格要求</w:t>
      </w:r>
      <w:bookmarkEnd w:id="83"/>
      <w:bookmarkEnd w:id="84"/>
      <w:bookmarkEnd w:id="85"/>
      <w:bookmarkEnd w:id="86"/>
      <w:bookmarkEnd w:id="87"/>
      <w:bookmarkEnd w:id="88"/>
      <w:bookmarkEnd w:id="89"/>
      <w:bookmarkEnd w:id="90"/>
      <w:bookmarkEnd w:id="91"/>
      <w:bookmarkEnd w:id="92"/>
    </w:p>
    <w:p w14:paraId="1135A64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供应商参加政府采购活动应当具备下列条件：</w:t>
      </w:r>
    </w:p>
    <w:p w14:paraId="6A44DF2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）具有独立承担民事责任的能力；</w:t>
      </w:r>
    </w:p>
    <w:p w14:paraId="775B92D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）具有良好的商业信誉和健全的财务会计制度；</w:t>
      </w:r>
    </w:p>
    <w:p w14:paraId="04320E7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）具有履行合同所必需的设备和专业技术能力；</w:t>
      </w:r>
    </w:p>
    <w:p w14:paraId="6546A597">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）有依法缴纳税收和社会保障资金的良好记录；</w:t>
      </w:r>
    </w:p>
    <w:p w14:paraId="1FFFF69A">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）参加政府采购活动前三年内，在经营活动中没有重大违法记录；</w:t>
      </w:r>
    </w:p>
    <w:p w14:paraId="21BA1F07">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6</w:t>
      </w:r>
      <w:r>
        <w:rPr>
          <w:rFonts w:hint="eastAsia" w:ascii="宋体" w:hAnsi="宋体" w:cs="宋体"/>
          <w:color w:val="000000" w:themeColor="text1"/>
          <w:sz w:val="28"/>
          <w:szCs w:val="28"/>
          <w14:textFill>
            <w14:solidFill>
              <w14:schemeClr w14:val="tx1"/>
            </w14:solidFill>
          </w14:textFill>
        </w:rPr>
        <w:t>）法律、行政法规规定的其他条件。</w:t>
      </w:r>
    </w:p>
    <w:p w14:paraId="5EE591C5">
      <w:pPr>
        <w:adjustRightInd w:val="0"/>
        <w:snapToGrid w:val="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1.4.2</w:t>
      </w:r>
      <w:r>
        <w:rPr>
          <w:rFonts w:hint="eastAsia" w:ascii="宋体" w:hAnsi="宋体" w:cs="宋体"/>
          <w:color w:val="000000" w:themeColor="text1"/>
          <w:sz w:val="28"/>
          <w:szCs w:val="28"/>
          <w14:textFill>
            <w14:solidFill>
              <w14:schemeClr w14:val="tx1"/>
            </w14:solidFill>
          </w14:textFill>
        </w:rPr>
        <w:t>根据采购项目特殊要求，要求供应商具备的特定条件：见供应商须知前附表。</w:t>
      </w:r>
    </w:p>
    <w:p w14:paraId="639CC3B1">
      <w:pPr>
        <w:adjustRightInd w:val="0"/>
        <w:snapToGrid w:val="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1.4.3</w:t>
      </w:r>
      <w:r>
        <w:rPr>
          <w:rFonts w:hint="eastAsia" w:ascii="宋体" w:hAnsi="宋体" w:cs="宋体"/>
          <w:color w:val="000000" w:themeColor="text1"/>
          <w:sz w:val="28"/>
          <w:szCs w:val="28"/>
          <w14:textFill>
            <w14:solidFill>
              <w14:schemeClr w14:val="tx1"/>
            </w14:solidFill>
          </w14:textFill>
        </w:rPr>
        <w:t>供应商不得存在下列情形之一：</w:t>
      </w:r>
    </w:p>
    <w:p w14:paraId="4DE96EC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l</w:t>
      </w:r>
      <w:r>
        <w:rPr>
          <w:rFonts w:hint="eastAsia" w:ascii="宋体" w:hAnsi="宋体" w:cs="宋体"/>
          <w:color w:val="000000" w:themeColor="text1"/>
          <w:sz w:val="28"/>
          <w:szCs w:val="28"/>
          <w14:textFill>
            <w14:solidFill>
              <w14:schemeClr w14:val="tx1"/>
            </w14:solidFill>
          </w14:textFill>
        </w:rPr>
        <w:t>）与招标人或采购代理机构存在隶属关系或者其他利害关系；</w:t>
      </w:r>
    </w:p>
    <w:p w14:paraId="1DBE346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）为采购项目提供了整体设计、规范编制或者项目管理、监理、检测等服务；</w:t>
      </w:r>
    </w:p>
    <w:p w14:paraId="6CB8274B">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）单位负责人为同一人或者存在直接控股、管理关系的不同供应商，参加同一合同项下的政府采购活动。</w:t>
      </w:r>
    </w:p>
    <w:p w14:paraId="7D7BB81D">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（4）以联合体形式参加政府采购活动的，联合体各方再单独参加或者与其他供应商另外组成联合体参加同一合同项下的政府采购活动。</w:t>
      </w:r>
    </w:p>
    <w:p w14:paraId="1848C52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）法律、行政法规规定的其他条件。</w:t>
      </w:r>
    </w:p>
    <w:p w14:paraId="183205C1">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93" w:name="_Toc152045535"/>
      <w:bookmarkStart w:id="94" w:name="_Toc246996923"/>
      <w:bookmarkStart w:id="95" w:name="_Toc179632552"/>
      <w:bookmarkStart w:id="96" w:name="_Toc426469876"/>
      <w:bookmarkStart w:id="97" w:name="_Toc343525510"/>
      <w:bookmarkStart w:id="98" w:name="_Toc383438597"/>
      <w:bookmarkStart w:id="99" w:name="_Toc152042311"/>
      <w:bookmarkStart w:id="100" w:name="_Toc144974503"/>
      <w:bookmarkStart w:id="101" w:name="_Toc246996180"/>
      <w:bookmarkStart w:id="102" w:name="_Toc247085694"/>
      <w:r>
        <w:rPr>
          <w:rFonts w:ascii="楷体" w:hAnsi="楷体" w:eastAsia="楷体"/>
          <w:b/>
          <w:color w:val="000000" w:themeColor="text1"/>
          <w:sz w:val="28"/>
          <w:szCs w:val="28"/>
          <w14:textFill>
            <w14:solidFill>
              <w14:schemeClr w14:val="tx1"/>
            </w14:solidFill>
          </w14:textFill>
        </w:rPr>
        <w:t>1.5</w:t>
      </w:r>
      <w:r>
        <w:rPr>
          <w:rFonts w:hint="eastAsia" w:ascii="楷体" w:hAnsi="楷体" w:eastAsia="楷体" w:cs="宋体"/>
          <w:b/>
          <w:color w:val="000000" w:themeColor="text1"/>
          <w:sz w:val="28"/>
          <w:szCs w:val="28"/>
          <w14:textFill>
            <w14:solidFill>
              <w14:schemeClr w14:val="tx1"/>
            </w14:solidFill>
          </w14:textFill>
        </w:rPr>
        <w:t>费用承担</w:t>
      </w:r>
      <w:bookmarkEnd w:id="93"/>
      <w:bookmarkEnd w:id="94"/>
      <w:bookmarkEnd w:id="95"/>
      <w:bookmarkEnd w:id="96"/>
      <w:bookmarkEnd w:id="97"/>
      <w:bookmarkEnd w:id="98"/>
      <w:bookmarkEnd w:id="99"/>
      <w:bookmarkEnd w:id="100"/>
      <w:bookmarkEnd w:id="101"/>
      <w:bookmarkEnd w:id="102"/>
    </w:p>
    <w:p w14:paraId="406FAF7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无论采购结果如何，供应商为准备和参加投标活动发生的费用自理。</w:t>
      </w:r>
    </w:p>
    <w:p w14:paraId="6FB132F8">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03" w:name="_Toc144974505"/>
      <w:bookmarkStart w:id="104" w:name="_Toc246996925"/>
      <w:bookmarkStart w:id="105" w:name="_Toc246996182"/>
      <w:bookmarkStart w:id="106" w:name="_Toc152042313"/>
      <w:bookmarkStart w:id="107" w:name="_Toc152045537"/>
      <w:bookmarkStart w:id="108" w:name="_Toc247085696"/>
      <w:bookmarkStart w:id="109" w:name="_Toc343525512"/>
      <w:bookmarkStart w:id="110" w:name="_Toc426469878"/>
      <w:bookmarkStart w:id="111" w:name="_Toc179632554"/>
      <w:bookmarkStart w:id="112" w:name="_Toc383438599"/>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6</w:t>
      </w:r>
      <w:r>
        <w:rPr>
          <w:rFonts w:hint="eastAsia" w:ascii="楷体" w:hAnsi="楷体" w:eastAsia="楷体" w:cs="宋体"/>
          <w:b/>
          <w:color w:val="000000" w:themeColor="text1"/>
          <w:sz w:val="28"/>
          <w:szCs w:val="28"/>
          <w14:textFill>
            <w14:solidFill>
              <w14:schemeClr w14:val="tx1"/>
            </w14:solidFill>
          </w14:textFill>
        </w:rPr>
        <w:t>语言</w:t>
      </w:r>
      <w:bookmarkEnd w:id="103"/>
      <w:r>
        <w:rPr>
          <w:rFonts w:hint="eastAsia" w:ascii="楷体" w:hAnsi="楷体" w:eastAsia="楷体" w:cs="宋体"/>
          <w:b/>
          <w:color w:val="000000" w:themeColor="text1"/>
          <w:sz w:val="28"/>
          <w:szCs w:val="28"/>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23E719E6">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bookmarkStart w:id="113" w:name="_Toc152045538"/>
      <w:bookmarkStart w:id="114" w:name="_Toc144974506"/>
      <w:bookmarkStart w:id="115" w:name="_Toc179632555"/>
      <w:bookmarkStart w:id="116" w:name="_Toc247085697"/>
      <w:bookmarkStart w:id="117" w:name="_Toc152042314"/>
      <w:bookmarkStart w:id="118" w:name="_Toc246996926"/>
      <w:bookmarkStart w:id="119" w:name="_Toc246996183"/>
      <w:r>
        <w:rPr>
          <w:rFonts w:hint="eastAsia" w:ascii="宋体" w:hAnsi="宋体" w:cs="宋体"/>
          <w:color w:val="000000" w:themeColor="text1"/>
          <w:sz w:val="28"/>
          <w:szCs w:val="28"/>
          <w14:textFill>
            <w14:solidFill>
              <w14:schemeClr w14:val="tx1"/>
            </w14:solidFill>
          </w14:textFill>
        </w:rPr>
        <w:t>招投标文件使用的语言文字为中文。专用术语使用外文的，应附有中文注释。</w:t>
      </w:r>
    </w:p>
    <w:p w14:paraId="30B4AF82">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20" w:name="_Toc343525513"/>
      <w:bookmarkStart w:id="121" w:name="_Toc426469879"/>
      <w:bookmarkStart w:id="122" w:name="_Toc383438600"/>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计量单位</w:t>
      </w:r>
      <w:bookmarkEnd w:id="113"/>
      <w:bookmarkEnd w:id="114"/>
      <w:bookmarkEnd w:id="115"/>
      <w:bookmarkEnd w:id="116"/>
      <w:bookmarkEnd w:id="117"/>
      <w:bookmarkEnd w:id="118"/>
      <w:bookmarkEnd w:id="119"/>
      <w:bookmarkEnd w:id="120"/>
      <w:bookmarkEnd w:id="121"/>
      <w:bookmarkEnd w:id="122"/>
    </w:p>
    <w:p w14:paraId="441F8869">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所有计量均采用中华人民共和国法定计量单位。</w:t>
      </w:r>
    </w:p>
    <w:p w14:paraId="1EA888DC">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23" w:name="_Toc426469881"/>
      <w:r>
        <w:rPr>
          <w:rFonts w:ascii="楷体" w:hAnsi="楷体" w:eastAsia="楷体"/>
          <w:b/>
          <w:color w:val="000000" w:themeColor="text1"/>
          <w:sz w:val="28"/>
          <w:szCs w:val="28"/>
          <w14:textFill>
            <w14:solidFill>
              <w14:schemeClr w14:val="tx1"/>
            </w14:solidFill>
          </w14:textFill>
        </w:rPr>
        <w:t>1.</w:t>
      </w:r>
      <w:r>
        <w:rPr>
          <w:rFonts w:hint="eastAsia" w:ascii="楷体" w:hAnsi="楷体" w:eastAsia="楷体"/>
          <w:b/>
          <w:color w:val="000000" w:themeColor="text1"/>
          <w:sz w:val="28"/>
          <w:szCs w:val="28"/>
          <w14:textFill>
            <w14:solidFill>
              <w14:schemeClr w14:val="tx1"/>
            </w14:solidFill>
          </w14:textFill>
        </w:rPr>
        <w:t>8</w:t>
      </w:r>
      <w:r>
        <w:rPr>
          <w:rFonts w:hint="eastAsia" w:ascii="楷体" w:hAnsi="楷体" w:eastAsia="楷体" w:cs="宋体"/>
          <w:b/>
          <w:color w:val="000000" w:themeColor="text1"/>
          <w:sz w:val="28"/>
          <w:szCs w:val="28"/>
          <w14:textFill>
            <w14:solidFill>
              <w14:schemeClr w14:val="tx1"/>
            </w14:solidFill>
          </w14:textFill>
        </w:rPr>
        <w:t>偏离</w:t>
      </w:r>
      <w:bookmarkEnd w:id="123"/>
    </w:p>
    <w:p w14:paraId="3572ED55">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偏离是指投标文件中的内容与招标文件中规定的技术参数、标准、服务要求等不一致的情形。优于招标文件规定的技术参数、标准、服务要求的为正偏离，反之为负偏离。</w:t>
      </w:r>
    </w:p>
    <w:p w14:paraId="30124962">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1.</w:t>
      </w:r>
      <w:r>
        <w:rPr>
          <w:rFonts w:hint="eastAsia" w:ascii="宋体" w:hAnsi="宋体"/>
          <w:color w:val="000000" w:themeColor="text1"/>
          <w:sz w:val="28"/>
          <w:szCs w:val="28"/>
          <w14:textFill>
            <w14:solidFill>
              <w14:schemeClr w14:val="tx1"/>
            </w14:solidFill>
          </w14:textFill>
        </w:rPr>
        <w:t>8</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偏离的具体要求见供应商须知前附表。</w:t>
      </w:r>
    </w:p>
    <w:p w14:paraId="243E4EA3">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bookmarkStart w:id="124" w:name="_Toc426469882"/>
      <w:bookmarkStart w:id="125" w:name="_Toc343525517"/>
      <w:bookmarkStart w:id="126" w:name="_Toc383438604"/>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招标文件</w:t>
      </w:r>
      <w:bookmarkEnd w:id="124"/>
      <w:bookmarkEnd w:id="125"/>
      <w:bookmarkEnd w:id="126"/>
    </w:p>
    <w:p w14:paraId="1CF2F126">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27" w:name="_Toc246996188"/>
      <w:bookmarkStart w:id="128" w:name="_Toc144974511"/>
      <w:bookmarkStart w:id="129" w:name="_Toc383438605"/>
      <w:bookmarkStart w:id="130" w:name="_Toc152042319"/>
      <w:bookmarkStart w:id="131" w:name="_Toc179632561"/>
      <w:bookmarkStart w:id="132" w:name="_Toc246996931"/>
      <w:bookmarkStart w:id="133" w:name="_Toc426469883"/>
      <w:bookmarkStart w:id="134" w:name="_Toc343525518"/>
      <w:bookmarkStart w:id="135" w:name="_Toc247085702"/>
      <w:bookmarkStart w:id="136" w:name="_Toc152045543"/>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招标文件的组成</w:t>
      </w:r>
      <w:bookmarkEnd w:id="127"/>
      <w:bookmarkEnd w:id="128"/>
      <w:bookmarkEnd w:id="129"/>
      <w:bookmarkEnd w:id="130"/>
      <w:bookmarkEnd w:id="131"/>
      <w:bookmarkEnd w:id="132"/>
      <w:bookmarkEnd w:id="133"/>
      <w:bookmarkEnd w:id="134"/>
      <w:bookmarkEnd w:id="135"/>
      <w:bookmarkEnd w:id="136"/>
    </w:p>
    <w:p w14:paraId="0BCDA36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本招标文件包括：</w:t>
      </w:r>
    </w:p>
    <w:p w14:paraId="070802C6">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）招标公告；</w:t>
      </w:r>
    </w:p>
    <w:p w14:paraId="0940C821">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）供应商须知；</w:t>
      </w:r>
    </w:p>
    <w:p w14:paraId="1D5CD1CC">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）评标办法；</w:t>
      </w:r>
    </w:p>
    <w:p w14:paraId="3AB996E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）合同条款及格式；</w:t>
      </w:r>
    </w:p>
    <w:p w14:paraId="55402692">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t>）</w:t>
      </w:r>
      <w:r>
        <w:rPr>
          <w:rFonts w:hint="eastAsia" w:ascii="宋体" w:hAnsi="宋体"/>
          <w:color w:val="000000" w:themeColor="text1"/>
          <w:sz w:val="28"/>
          <w:szCs w:val="28"/>
          <w14:textFill>
            <w14:solidFill>
              <w14:schemeClr w14:val="tx1"/>
            </w14:solidFill>
          </w14:textFill>
        </w:rPr>
        <w:t>采购需求</w:t>
      </w: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 xml:space="preserve"> </w:t>
      </w:r>
    </w:p>
    <w:p w14:paraId="2D13F0F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6</w:t>
      </w:r>
      <w:r>
        <w:rPr>
          <w:rFonts w:hint="eastAsia" w:ascii="宋体" w:hAnsi="宋体" w:cs="宋体"/>
          <w:color w:val="000000" w:themeColor="text1"/>
          <w:sz w:val="28"/>
          <w:szCs w:val="28"/>
          <w14:textFill>
            <w14:solidFill>
              <w14:schemeClr w14:val="tx1"/>
            </w14:solidFill>
          </w14:textFill>
        </w:rPr>
        <w:t>）投标文件的编制要求及参考格式；</w:t>
      </w:r>
    </w:p>
    <w:p w14:paraId="1DCA96D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7</w:t>
      </w:r>
      <w:r>
        <w:rPr>
          <w:rFonts w:hint="eastAsia" w:ascii="宋体" w:hAnsi="宋体" w:cs="宋体"/>
          <w:color w:val="000000" w:themeColor="text1"/>
          <w:sz w:val="28"/>
          <w:szCs w:val="28"/>
          <w14:textFill>
            <w14:solidFill>
              <w14:schemeClr w14:val="tx1"/>
            </w14:solidFill>
          </w14:textFill>
        </w:rPr>
        <w:t>）供应商须知前附表规定的构成招标文件的其他材料。</w:t>
      </w:r>
    </w:p>
    <w:p w14:paraId="616ED0F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2.1.2</w:t>
      </w:r>
      <w:r>
        <w:rPr>
          <w:rFonts w:hint="eastAsia" w:ascii="宋体" w:hAnsi="宋体" w:cs="宋体"/>
          <w:color w:val="000000" w:themeColor="text1"/>
          <w:sz w:val="28"/>
          <w:szCs w:val="28"/>
          <w14:textFill>
            <w14:solidFill>
              <w14:schemeClr w14:val="tx1"/>
            </w14:solidFill>
          </w14:textFill>
        </w:rPr>
        <w:t>根据本章第</w:t>
      </w:r>
      <w:r>
        <w:rPr>
          <w:rFonts w:ascii="宋体" w:hAnsi="宋体"/>
          <w:color w:val="000000" w:themeColor="text1"/>
          <w:sz w:val="28"/>
          <w:szCs w:val="28"/>
          <w14:textFill>
            <w14:solidFill>
              <w14:schemeClr w14:val="tx1"/>
            </w14:solidFill>
          </w14:textFill>
        </w:rPr>
        <w:t>2.2</w:t>
      </w:r>
      <w:r>
        <w:rPr>
          <w:rFonts w:hint="eastAsia" w:ascii="宋体" w:hAnsi="宋体" w:cs="宋体"/>
          <w:color w:val="000000" w:themeColor="text1"/>
          <w:sz w:val="28"/>
          <w:szCs w:val="28"/>
          <w14:textFill>
            <w14:solidFill>
              <w14:schemeClr w14:val="tx1"/>
            </w14:solidFill>
          </w14:textFill>
        </w:rPr>
        <w:t>款和第</w:t>
      </w:r>
      <w:r>
        <w:rPr>
          <w:rFonts w:ascii="宋体" w:hAnsi="宋体"/>
          <w:color w:val="000000" w:themeColor="text1"/>
          <w:sz w:val="28"/>
          <w:szCs w:val="28"/>
          <w14:textFill>
            <w14:solidFill>
              <w14:schemeClr w14:val="tx1"/>
            </w14:solidFill>
          </w14:textFill>
        </w:rPr>
        <w:t>2.3</w:t>
      </w:r>
      <w:r>
        <w:rPr>
          <w:rFonts w:hint="eastAsia" w:ascii="宋体" w:hAnsi="宋体" w:cs="宋体"/>
          <w:color w:val="000000" w:themeColor="text1"/>
          <w:sz w:val="28"/>
          <w:szCs w:val="28"/>
          <w14:textFill>
            <w14:solidFill>
              <w14:schemeClr w14:val="tx1"/>
            </w14:solidFill>
          </w14:textFill>
        </w:rPr>
        <w:t>款对招标文件所作的澄清、修改，构成招标文件的组成部分</w:t>
      </w:r>
      <w:r>
        <w:rPr>
          <w:rFonts w:hint="eastAsia" w:ascii="宋体" w:hAnsi="宋体"/>
          <w:color w:val="000000" w:themeColor="text1"/>
          <w:sz w:val="28"/>
          <w:szCs w:val="28"/>
          <w14:textFill>
            <w14:solidFill>
              <w14:schemeClr w14:val="tx1"/>
            </w14:solidFill>
          </w14:textFill>
        </w:rPr>
        <w:t>。</w:t>
      </w:r>
    </w:p>
    <w:p w14:paraId="5E79AAD5">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37" w:name="_Toc152045544"/>
      <w:bookmarkStart w:id="138" w:name="_Toc179632562"/>
      <w:bookmarkStart w:id="139" w:name="_Toc426469884"/>
      <w:bookmarkStart w:id="140" w:name="_Toc144974512"/>
      <w:bookmarkStart w:id="141" w:name="_Toc246996932"/>
      <w:bookmarkStart w:id="142" w:name="_Toc152042320"/>
      <w:bookmarkStart w:id="143" w:name="_Toc383438606"/>
      <w:bookmarkStart w:id="144" w:name="_Toc343525519"/>
      <w:bookmarkStart w:id="145" w:name="_Toc246996189"/>
      <w:bookmarkStart w:id="146" w:name="_Toc247085703"/>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招标文件的澄清</w:t>
      </w:r>
      <w:bookmarkEnd w:id="137"/>
      <w:bookmarkEnd w:id="138"/>
      <w:bookmarkEnd w:id="139"/>
      <w:bookmarkEnd w:id="140"/>
      <w:bookmarkEnd w:id="141"/>
      <w:bookmarkEnd w:id="142"/>
      <w:bookmarkEnd w:id="143"/>
      <w:bookmarkEnd w:id="144"/>
      <w:bookmarkEnd w:id="145"/>
      <w:bookmarkEnd w:id="146"/>
      <w:r>
        <w:rPr>
          <w:rFonts w:ascii="楷体" w:hAnsi="楷体" w:eastAsia="楷体"/>
          <w:b/>
          <w:color w:val="000000" w:themeColor="text1"/>
          <w:sz w:val="28"/>
          <w:szCs w:val="28"/>
          <w14:textFill>
            <w14:solidFill>
              <w14:schemeClr w14:val="tx1"/>
            </w14:solidFill>
          </w14:textFill>
        </w:rPr>
        <w:t xml:space="preserve"> </w:t>
      </w:r>
    </w:p>
    <w:p w14:paraId="5416C09D">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2356120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招标文件的澄清将在投标截止时间</w:t>
      </w:r>
      <w:r>
        <w:rPr>
          <w:rFonts w:ascii="宋体" w:hAnsi="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天前在原公告信息发布媒体公开发布</w:t>
      </w:r>
      <w:r>
        <w:rPr>
          <w:rFonts w:asci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但不指明问题的来源。如果澄清发布的时间距投标截止时间不足</w:t>
      </w:r>
      <w:r>
        <w:rPr>
          <w:rFonts w:ascii="宋体" w:hAnsi="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天，并且澄清内容影响投标文件编制的，将相应延长投标截止时间。</w:t>
      </w:r>
    </w:p>
    <w:p w14:paraId="2D6140A0">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47" w:name="_Toc246996933"/>
      <w:bookmarkStart w:id="148" w:name="_Toc426469885"/>
      <w:bookmarkStart w:id="149" w:name="_Toc152042321"/>
      <w:bookmarkStart w:id="150" w:name="_Toc179632563"/>
      <w:bookmarkStart w:id="151" w:name="_Toc343525520"/>
      <w:bookmarkStart w:id="152" w:name="_Toc152045545"/>
      <w:bookmarkStart w:id="153" w:name="_Toc246996190"/>
      <w:bookmarkStart w:id="154" w:name="_Toc144974513"/>
      <w:bookmarkStart w:id="155" w:name="_Toc383438607"/>
      <w:bookmarkStart w:id="156" w:name="_Toc247085704"/>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招标文件的修改</w:t>
      </w:r>
      <w:bookmarkEnd w:id="147"/>
      <w:bookmarkEnd w:id="148"/>
      <w:bookmarkEnd w:id="149"/>
      <w:bookmarkEnd w:id="150"/>
      <w:bookmarkEnd w:id="151"/>
      <w:bookmarkEnd w:id="152"/>
      <w:bookmarkEnd w:id="153"/>
      <w:bookmarkEnd w:id="154"/>
      <w:bookmarkEnd w:id="155"/>
      <w:bookmarkEnd w:id="156"/>
    </w:p>
    <w:p w14:paraId="05673AE8">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15</w:t>
      </w:r>
      <w:r>
        <w:rPr>
          <w:rFonts w:hint="eastAsia" w:ascii="宋体" w:hAnsi="宋体" w:cs="宋体"/>
          <w:color w:val="000000" w:themeColor="text1"/>
          <w:sz w:val="28"/>
          <w:szCs w:val="28"/>
          <w14:textFill>
            <w14:solidFill>
              <w14:schemeClr w14:val="tx1"/>
            </w14:solidFill>
          </w14:textFill>
        </w:rPr>
        <w:t>天，并且修改内容影响投标文件编制的，将相应延长投标截止时间。</w:t>
      </w:r>
    </w:p>
    <w:p w14:paraId="3BB993D3">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2.4招标文件的重新发布</w:t>
      </w:r>
    </w:p>
    <w:p w14:paraId="4BBED706">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招标文件的澄清或修改涉及到申请人的资格条件、评标办法、采购需求等实质性内容时，将重新发布招标公告。</w:t>
      </w:r>
    </w:p>
    <w:p w14:paraId="701749B7">
      <w:pPr>
        <w:adjustRightInd w:val="0"/>
        <w:snapToGrid w:val="0"/>
        <w:spacing w:line="490" w:lineRule="exact"/>
        <w:rPr>
          <w:rFonts w:hint="eastAsia" w:ascii="黑体" w:hAnsi="黑体" w:eastAsia="黑体"/>
          <w:b/>
          <w:color w:val="000000" w:themeColor="text1"/>
          <w:sz w:val="32"/>
          <w:szCs w:val="32"/>
          <w14:textFill>
            <w14:solidFill>
              <w14:schemeClr w14:val="tx1"/>
            </w14:solidFill>
          </w14:textFill>
        </w:rPr>
      </w:pPr>
      <w:bookmarkStart w:id="157" w:name="_Toc246996934"/>
      <w:bookmarkStart w:id="158" w:name="_Toc144974514"/>
      <w:bookmarkStart w:id="159" w:name="_Toc247085705"/>
      <w:bookmarkStart w:id="160" w:name="_Toc343525522"/>
      <w:bookmarkStart w:id="161" w:name="_Toc179632564"/>
      <w:bookmarkStart w:id="162" w:name="_Toc383438609"/>
      <w:bookmarkStart w:id="163" w:name="_Toc152045546"/>
      <w:bookmarkStart w:id="164" w:name="_Toc246996191"/>
      <w:bookmarkStart w:id="165" w:name="_Toc152042322"/>
      <w:bookmarkStart w:id="166"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投标</w:t>
      </w:r>
      <w:bookmarkEnd w:id="157"/>
      <w:bookmarkEnd w:id="158"/>
      <w:bookmarkEnd w:id="159"/>
      <w:bookmarkEnd w:id="160"/>
      <w:bookmarkEnd w:id="161"/>
      <w:bookmarkEnd w:id="162"/>
      <w:bookmarkEnd w:id="163"/>
      <w:bookmarkEnd w:id="164"/>
      <w:bookmarkEnd w:id="165"/>
      <w:r>
        <w:rPr>
          <w:rFonts w:hint="eastAsia" w:ascii="黑体" w:hAnsi="黑体" w:eastAsia="黑体" w:cs="宋体"/>
          <w:b/>
          <w:color w:val="000000" w:themeColor="text1"/>
          <w:sz w:val="32"/>
          <w:szCs w:val="32"/>
          <w14:textFill>
            <w14:solidFill>
              <w14:schemeClr w14:val="tx1"/>
            </w14:solidFill>
          </w14:textFill>
        </w:rPr>
        <w:t>文件</w:t>
      </w:r>
      <w:bookmarkEnd w:id="166"/>
    </w:p>
    <w:p w14:paraId="53F74CE9">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bookmarkStart w:id="167" w:name="_Toc343525523"/>
      <w:bookmarkStart w:id="168" w:name="_Toc247085706"/>
      <w:bookmarkStart w:id="169" w:name="_Toc152045547"/>
      <w:bookmarkStart w:id="170" w:name="_Toc179632565"/>
      <w:bookmarkStart w:id="171" w:name="_Toc246996935"/>
      <w:bookmarkStart w:id="172" w:name="_Toc383438610"/>
      <w:bookmarkStart w:id="173" w:name="_Toc246996192"/>
      <w:bookmarkStart w:id="174" w:name="_Toc152042323"/>
      <w:bookmarkStart w:id="175" w:name="_Toc144974515"/>
      <w:bookmarkStart w:id="176" w:name="_Toc426469888"/>
      <w:r>
        <w:rPr>
          <w:rFonts w:ascii="楷体" w:hAnsi="楷体" w:eastAsia="楷体"/>
          <w:b/>
          <w:color w:val="000000" w:themeColor="text1"/>
          <w:sz w:val="28"/>
          <w:szCs w:val="28"/>
          <w14:textFill>
            <w14:solidFill>
              <w14:schemeClr w14:val="tx1"/>
            </w14:solidFill>
          </w14:textFill>
        </w:rPr>
        <w:t>3</w:t>
      </w:r>
      <w:r>
        <w:rPr>
          <w:rFonts w:ascii="楷体" w:hAnsi="楷体" w:eastAsia="楷体" w:cs="宋体"/>
          <w:b/>
          <w:color w:val="000000" w:themeColor="text1"/>
          <w:sz w:val="28"/>
          <w:szCs w:val="28"/>
          <w14:textFill>
            <w14:solidFill>
              <w14:schemeClr w14:val="tx1"/>
            </w14:solidFill>
          </w14:textFill>
        </w:rPr>
        <w:t>.1</w:t>
      </w:r>
      <w:bookmarkEnd w:id="167"/>
      <w:bookmarkEnd w:id="168"/>
      <w:bookmarkEnd w:id="169"/>
      <w:bookmarkEnd w:id="170"/>
      <w:bookmarkEnd w:id="171"/>
      <w:bookmarkEnd w:id="172"/>
      <w:bookmarkEnd w:id="173"/>
      <w:bookmarkEnd w:id="174"/>
      <w:bookmarkEnd w:id="175"/>
      <w:r>
        <w:rPr>
          <w:rFonts w:hint="eastAsia" w:ascii="楷体" w:hAnsi="楷体" w:eastAsia="楷体" w:cs="宋体"/>
          <w:b/>
          <w:color w:val="000000" w:themeColor="text1"/>
          <w:sz w:val="28"/>
          <w:szCs w:val="28"/>
          <w14:textFill>
            <w14:solidFill>
              <w14:schemeClr w14:val="tx1"/>
            </w14:solidFill>
          </w14:textFill>
        </w:rPr>
        <w:t>投标文件的组成</w:t>
      </w:r>
      <w:bookmarkEnd w:id="176"/>
    </w:p>
    <w:p w14:paraId="7E82F25D">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投标文件的组成：见供应商须知前附表。</w:t>
      </w:r>
    </w:p>
    <w:p w14:paraId="7839D095">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bookmarkStart w:id="177" w:name="_Toc367785004"/>
      <w:bookmarkStart w:id="178" w:name="_Toc426469889"/>
      <w:r>
        <w:rPr>
          <w:rFonts w:ascii="楷体" w:hAnsi="楷体" w:eastAsia="楷体" w:cs="宋体"/>
          <w:b/>
          <w:color w:val="000000" w:themeColor="text1"/>
          <w:sz w:val="28"/>
          <w:szCs w:val="28"/>
          <w14:textFill>
            <w14:solidFill>
              <w14:schemeClr w14:val="tx1"/>
            </w14:solidFill>
          </w14:textFill>
        </w:rPr>
        <w:t>3.2</w:t>
      </w:r>
      <w:bookmarkEnd w:id="177"/>
      <w:r>
        <w:rPr>
          <w:rFonts w:hint="eastAsia" w:ascii="楷体" w:hAnsi="楷体" w:eastAsia="楷体" w:cs="宋体"/>
          <w:b/>
          <w:color w:val="000000" w:themeColor="text1"/>
          <w:sz w:val="28"/>
          <w:szCs w:val="28"/>
          <w14:textFill>
            <w14:solidFill>
              <w14:schemeClr w14:val="tx1"/>
            </w14:solidFill>
          </w14:textFill>
        </w:rPr>
        <w:t>投标报价</w:t>
      </w:r>
      <w:bookmarkEnd w:id="178"/>
    </w:p>
    <w:p w14:paraId="645B447A">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3.2.1</w:t>
      </w:r>
      <w:r>
        <w:rPr>
          <w:rFonts w:hint="eastAsia" w:ascii="宋体" w:hAnsi="宋体" w:cs="宋体"/>
          <w:color w:val="000000" w:themeColor="text1"/>
          <w:sz w:val="28"/>
          <w:szCs w:val="28"/>
          <w14:textFill>
            <w14:solidFill>
              <w14:schemeClr w14:val="tx1"/>
            </w14:solidFill>
          </w14:textFill>
        </w:rPr>
        <w:t>供应商应按招标文件规定的供货及服务要求、责任范围和合同条件，以人民币进行报价。</w:t>
      </w:r>
    </w:p>
    <w:p w14:paraId="4D3F8D46">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3.2.2供应商在投标文件中只能有一个投标报价，且</w:t>
      </w:r>
      <w:r>
        <w:rPr>
          <w:rFonts w:hint="eastAsia" w:ascii="宋体" w:hAnsi="宋体" w:cs="宋体"/>
          <w:color w:val="000000" w:themeColor="text1"/>
          <w:sz w:val="28"/>
          <w:szCs w:val="28"/>
          <w14:textFill>
            <w14:solidFill>
              <w14:schemeClr w14:val="tx1"/>
            </w14:solidFill>
          </w14:textFill>
        </w:rPr>
        <w:t>不得超过招标公告中载明的最高限价。任何包含价格调整要求和条件的投标报价均将视为无效报价。</w:t>
      </w:r>
    </w:p>
    <w:p w14:paraId="422AC1D6">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79" w:name="_Toc426469890"/>
      <w:bookmarkStart w:id="180" w:name="_Toc246996937"/>
      <w:bookmarkStart w:id="181" w:name="_Toc343525525"/>
      <w:bookmarkStart w:id="182" w:name="_Toc152045549"/>
      <w:bookmarkStart w:id="183" w:name="_Toc247085708"/>
      <w:bookmarkStart w:id="184" w:name="_Toc179632567"/>
      <w:bookmarkStart w:id="185" w:name="_Toc144974517"/>
      <w:bookmarkStart w:id="186" w:name="_Toc152042325"/>
      <w:bookmarkStart w:id="187" w:name="_Toc383438612"/>
      <w:bookmarkStart w:id="188" w:name="_Toc246996194"/>
      <w:r>
        <w:rPr>
          <w:rFonts w:ascii="楷体" w:hAnsi="楷体" w:eastAsia="楷体"/>
          <w:b/>
          <w:color w:val="000000" w:themeColor="text1"/>
          <w:sz w:val="28"/>
          <w:szCs w:val="28"/>
          <w14:textFill>
            <w14:solidFill>
              <w14:schemeClr w14:val="tx1"/>
            </w14:solidFill>
          </w14:textFill>
        </w:rPr>
        <w:t>3.3</w:t>
      </w:r>
      <w:r>
        <w:rPr>
          <w:rFonts w:hint="eastAsia" w:ascii="楷体" w:hAnsi="楷体" w:eastAsia="楷体" w:cs="宋体"/>
          <w:b/>
          <w:color w:val="000000" w:themeColor="text1"/>
          <w:sz w:val="28"/>
          <w:szCs w:val="28"/>
          <w14:textFill>
            <w14:solidFill>
              <w14:schemeClr w14:val="tx1"/>
            </w14:solidFill>
          </w14:textFill>
        </w:rPr>
        <w:t>投标有效期</w:t>
      </w:r>
      <w:bookmarkEnd w:id="179"/>
      <w:bookmarkEnd w:id="180"/>
      <w:bookmarkEnd w:id="181"/>
      <w:bookmarkEnd w:id="182"/>
      <w:bookmarkEnd w:id="183"/>
      <w:bookmarkEnd w:id="184"/>
      <w:bookmarkEnd w:id="185"/>
      <w:bookmarkEnd w:id="186"/>
      <w:bookmarkEnd w:id="187"/>
      <w:bookmarkEnd w:id="188"/>
    </w:p>
    <w:p w14:paraId="72A8CC7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3.3.1在</w:t>
      </w:r>
      <w:r>
        <w:rPr>
          <w:rFonts w:hint="eastAsia" w:ascii="宋体" w:hAnsi="宋体" w:cs="宋体"/>
          <w:color w:val="000000" w:themeColor="text1"/>
          <w:sz w:val="28"/>
          <w:szCs w:val="28"/>
          <w14:textFill>
            <w14:solidFill>
              <w14:schemeClr w14:val="tx1"/>
            </w14:solidFill>
          </w14:textFill>
        </w:rPr>
        <w:t>供应商须知前附表规定的投标有效期内，供应商不得要求撤销或修改其投标文件。</w:t>
      </w:r>
    </w:p>
    <w:p w14:paraId="78552EC3">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3.3.2</w:t>
      </w:r>
      <w:r>
        <w:rPr>
          <w:rFonts w:hint="eastAsia" w:ascii="宋体" w:hAnsi="宋体" w:cs="宋体"/>
          <w:color w:val="000000" w:themeColor="text1"/>
          <w:sz w:val="28"/>
          <w:szCs w:val="28"/>
          <w14:textFill>
            <w14:solidFill>
              <w14:schemeClr w14:val="tx1"/>
            </w14:solidFill>
          </w14:textFill>
        </w:rPr>
        <w:t>出现特殊情况需要延长投标有效期的，招标人将以书面形式通知供应商。供应商拒绝延长投标有效期的，其投标失效。</w:t>
      </w:r>
    </w:p>
    <w:p w14:paraId="7A16DA6E">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bookmarkStart w:id="189" w:name="_Toc426469892"/>
      <w:r>
        <w:rPr>
          <w:rFonts w:ascii="楷体" w:hAnsi="楷体" w:eastAsia="楷体"/>
          <w:b/>
          <w:color w:val="000000" w:themeColor="text1"/>
          <w:sz w:val="28"/>
          <w:szCs w:val="28"/>
          <w14:textFill>
            <w14:solidFill>
              <w14:schemeClr w14:val="tx1"/>
            </w14:solidFill>
          </w14:textFill>
        </w:rPr>
        <w:t>3.4</w:t>
      </w:r>
      <w:r>
        <w:rPr>
          <w:rFonts w:hint="eastAsia" w:ascii="楷体" w:hAnsi="楷体" w:eastAsia="楷体" w:cs="宋体"/>
          <w:b/>
          <w:color w:val="000000" w:themeColor="text1"/>
          <w:sz w:val="28"/>
          <w:szCs w:val="28"/>
          <w14:textFill>
            <w14:solidFill>
              <w14:schemeClr w14:val="tx1"/>
            </w14:solidFill>
          </w14:textFill>
        </w:rPr>
        <w:t>投标文件的编制</w:t>
      </w:r>
      <w:bookmarkEnd w:id="189"/>
    </w:p>
    <w:p w14:paraId="5B53A452">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3.4.1</w:t>
      </w:r>
      <w:r>
        <w:rPr>
          <w:rFonts w:hint="eastAsia" w:ascii="宋体" w:hAnsi="宋体" w:cs="宋体"/>
          <w:color w:val="000000" w:themeColor="text1"/>
          <w:sz w:val="28"/>
          <w:szCs w:val="28"/>
          <w14:textFill>
            <w14:solidFill>
              <w14:schemeClr w14:val="tx1"/>
            </w14:solidFill>
          </w14:textFill>
        </w:rPr>
        <w:t>供应商可以按照第六章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投标文件的编制要求及参考格式</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要求编制投标文件。需另行增加的相关内容和材料应编入投标文件相应章节，作为投标文件的组成部分。</w:t>
      </w:r>
    </w:p>
    <w:p w14:paraId="6A33537D">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3.4.2供应商应对招标文件中的资格要求、</w:t>
      </w:r>
      <w:r>
        <w:rPr>
          <w:rFonts w:hint="eastAsia" w:ascii="宋体" w:hAnsi="宋体" w:cs="宋体"/>
          <w:color w:val="000000" w:themeColor="text1"/>
          <w:sz w:val="28"/>
          <w:szCs w:val="28"/>
          <w14:textFill>
            <w14:solidFill>
              <w14:schemeClr w14:val="tx1"/>
            </w14:solidFill>
          </w14:textFill>
        </w:rPr>
        <w:t>合同履行期限、投标有效期、技术、服务标准和要求等实质性内容作出响应，并根据评审因素提供相应的证明材料。</w:t>
      </w:r>
    </w:p>
    <w:p w14:paraId="53866D04">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3.4.3 投标文件的数量：见供应商须知前附表</w:t>
      </w:r>
    </w:p>
    <w:p w14:paraId="22BCC90D">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bookmarkStart w:id="190" w:name="_Toc426469894"/>
      <w:bookmarkStart w:id="191" w:name="_Toc367785016"/>
      <w:r>
        <w:rPr>
          <w:rFonts w:hint="eastAsia" w:ascii="宋体" w:hAnsi="宋体"/>
          <w:color w:val="000000" w:themeColor="text1"/>
          <w:sz w:val="28"/>
          <w:szCs w:val="28"/>
          <w14:textFill>
            <w14:solidFill>
              <w14:schemeClr w14:val="tx1"/>
            </w14:solidFill>
          </w14:textFill>
        </w:rPr>
        <w:t>3.4.4投标文件的签署：见供应商须知前附表</w:t>
      </w:r>
    </w:p>
    <w:bookmarkEnd w:id="62"/>
    <w:bookmarkEnd w:id="190"/>
    <w:bookmarkEnd w:id="191"/>
    <w:p w14:paraId="7A3C8C62">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bookmarkStart w:id="192" w:name="_Toc383623945"/>
      <w:bookmarkStart w:id="193" w:name="_Toc383625994"/>
      <w:bookmarkStart w:id="194" w:name="_Toc390246906"/>
      <w:bookmarkStart w:id="195" w:name="_Toc383587457"/>
      <w:bookmarkStart w:id="196" w:name="_Toc383438646"/>
      <w:bookmarkStart w:id="197" w:name="_Toc383623673"/>
      <w:bookmarkStart w:id="198" w:name="_Toc343525562"/>
      <w:bookmarkStart w:id="199" w:name="_Toc390098841"/>
      <w:bookmarkStart w:id="200" w:name="_Toc152045587"/>
      <w:bookmarkStart w:id="201" w:name="_Toc247085745"/>
      <w:bookmarkStart w:id="202" w:name="_Toc179632605"/>
      <w:bookmarkStart w:id="203" w:name="_Toc383679747"/>
      <w:bookmarkStart w:id="204" w:name="_Toc383698648"/>
      <w:bookmarkStart w:id="205" w:name="_Toc246996973"/>
      <w:bookmarkStart w:id="206" w:name="_Toc144974554"/>
      <w:bookmarkStart w:id="207" w:name="_Toc390099019"/>
      <w:bookmarkStart w:id="208" w:name="_Toc246996230"/>
      <w:bookmarkStart w:id="209" w:name="_Toc152042364"/>
      <w:r>
        <w:rPr>
          <w:rFonts w:ascii="黑体" w:hAnsi="黑体" w:eastAsia="黑体"/>
          <w:color w:val="000000" w:themeColor="text1"/>
          <w:sz w:val="32"/>
          <w:szCs w:val="32"/>
          <w14:textFill>
            <w14:solidFill>
              <w14:schemeClr w14:val="tx1"/>
            </w14:solidFill>
          </w14:textFill>
        </w:rPr>
        <w:t>4.</w:t>
      </w:r>
      <w:r>
        <w:rPr>
          <w:rFonts w:hint="eastAsia" w:ascii="黑体" w:hAnsi="黑体" w:eastAsia="黑体" w:cs="宋体"/>
          <w:color w:val="000000" w:themeColor="text1"/>
          <w:sz w:val="32"/>
          <w:szCs w:val="32"/>
          <w14:textFill>
            <w14:solidFill>
              <w14:schemeClr w14:val="tx1"/>
            </w14:solidFill>
          </w14:textFill>
        </w:rPr>
        <w:t>投标</w:t>
      </w:r>
    </w:p>
    <w:p w14:paraId="6E0F520A">
      <w:pPr>
        <w:adjustRightInd w:val="0"/>
        <w:snapToGrid w:val="0"/>
        <w:spacing w:line="490" w:lineRule="exact"/>
        <w:rPr>
          <w:rFonts w:hint="eastAsia"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4.1</w:t>
      </w:r>
      <w:r>
        <w:rPr>
          <w:rFonts w:hint="eastAsia" w:ascii="楷体" w:hAnsi="楷体" w:eastAsia="楷体" w:cs="宋体"/>
          <w:b/>
          <w:bCs/>
          <w:color w:val="000000" w:themeColor="text1"/>
          <w:sz w:val="28"/>
          <w:szCs w:val="28"/>
          <w14:textFill>
            <w14:solidFill>
              <w14:schemeClr w14:val="tx1"/>
            </w14:solidFill>
          </w14:textFill>
        </w:rPr>
        <w:t>投标文件的上传</w:t>
      </w:r>
    </w:p>
    <w:p w14:paraId="127472BF">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供应商应充分考虑</w:t>
      </w:r>
      <w:r>
        <w:rPr>
          <w:rFonts w:ascii="宋体" w:hAnsi="宋体" w:cs="宋体"/>
          <w:color w:val="000000" w:themeColor="text1"/>
          <w:sz w:val="28"/>
          <w:szCs w:val="28"/>
          <w14:textFill>
            <w14:solidFill>
              <w14:schemeClr w14:val="tx1"/>
            </w14:solidFill>
          </w14:textFill>
        </w:rPr>
        <w:t>网络及系统平台可能存在的非正常情况等</w:t>
      </w:r>
      <w:r>
        <w:rPr>
          <w:rFonts w:hint="eastAsia" w:ascii="宋体" w:hAnsi="宋体" w:cs="宋体"/>
          <w:color w:val="000000" w:themeColor="text1"/>
          <w:sz w:val="28"/>
          <w:szCs w:val="28"/>
          <w14:textFill>
            <w14:solidFill>
              <w14:schemeClr w14:val="tx1"/>
            </w14:solidFill>
          </w14:textFill>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4EE6DD12">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4.2</w:t>
      </w:r>
      <w:r>
        <w:rPr>
          <w:rFonts w:hint="eastAsia" w:ascii="楷体" w:hAnsi="楷体" w:eastAsia="楷体" w:cs="宋体"/>
          <w:b/>
          <w:color w:val="000000" w:themeColor="text1"/>
          <w:sz w:val="28"/>
          <w:szCs w:val="28"/>
          <w14:textFill>
            <w14:solidFill>
              <w14:schemeClr w14:val="tx1"/>
            </w14:solidFill>
          </w14:textFill>
        </w:rPr>
        <w:t>投标文件的修改与撤回</w:t>
      </w:r>
    </w:p>
    <w:p w14:paraId="40C4AE51">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4.2.1</w:t>
      </w:r>
      <w:r>
        <w:rPr>
          <w:rFonts w:hint="eastAsia" w:ascii="宋体" w:hAnsi="宋体" w:cs="宋体"/>
          <w:color w:val="000000" w:themeColor="text1"/>
          <w:sz w:val="28"/>
          <w:szCs w:val="28"/>
          <w14:textFill>
            <w14:solidFill>
              <w14:schemeClr w14:val="tx1"/>
            </w14:solidFill>
          </w14:textFill>
        </w:rPr>
        <w:t>在投标截止时间前，供应商可以修改或撤回已递交的投标文件。具体操作方法见《江苏省政府采购管理交易系统（苏采云）供应商操作手册》。</w:t>
      </w:r>
    </w:p>
    <w:p w14:paraId="0C514AD3">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4.2.2</w:t>
      </w:r>
      <w:r>
        <w:rPr>
          <w:rFonts w:hint="eastAsia" w:ascii="宋体" w:hAnsi="宋体" w:cs="宋体"/>
          <w:color w:val="000000" w:themeColor="text1"/>
          <w:sz w:val="28"/>
          <w:szCs w:val="28"/>
          <w14:textFill>
            <w14:solidFill>
              <w14:schemeClr w14:val="tx1"/>
            </w14:solidFill>
          </w14:textFill>
        </w:rPr>
        <w:t>修改的投标文件应按照本招标文件规定进行编制和重新上传。</w:t>
      </w:r>
    </w:p>
    <w:p w14:paraId="34AF17EE">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4.3投标文件的确认</w:t>
      </w:r>
    </w:p>
    <w:p w14:paraId="71FB10A5">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供应商可以通过江苏省政府采购管理交易系统（苏采云）多次上传投标文件，以招标文件规定的投标截止时间前，江苏省政府采购管理交易系统（苏采云）接受到的最后一份投标文件为准。</w:t>
      </w:r>
    </w:p>
    <w:p w14:paraId="648E98C3">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开标</w:t>
      </w:r>
    </w:p>
    <w:p w14:paraId="14CE33B4">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开标时间和地点</w:t>
      </w:r>
    </w:p>
    <w:p w14:paraId="65F7C83E">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5.1.1</w:t>
      </w:r>
      <w:r>
        <w:rPr>
          <w:rFonts w:hint="eastAsia" w:ascii="宋体" w:hAnsi="宋体" w:cs="宋体"/>
          <w:color w:val="000000" w:themeColor="text1"/>
          <w:sz w:val="28"/>
          <w:szCs w:val="28"/>
          <w14:textFill>
            <w14:solidFill>
              <w14:schemeClr w14:val="tx1"/>
            </w14:solidFill>
          </w14:textFill>
        </w:rPr>
        <w:t>开标时间和地点：见供应商须知前附表。</w:t>
      </w:r>
    </w:p>
    <w:p w14:paraId="2C594B99">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5.1.2</w:t>
      </w:r>
      <w:r>
        <w:rPr>
          <w:rFonts w:hint="eastAsia" w:ascii="宋体" w:hAnsi="宋体" w:cs="宋体"/>
          <w:color w:val="000000" w:themeColor="text1"/>
          <w:sz w:val="28"/>
          <w:szCs w:val="28"/>
          <w14:textFill>
            <w14:solidFill>
              <w14:schemeClr w14:val="tx1"/>
            </w14:solidFill>
          </w14:textFill>
        </w:rPr>
        <w:t>开标活动在江苏政府采购“苏采云”系统“开标大厅”内公开进行，供应商应当按照《江苏省政府采购管理交易系统（苏采云）供应商操作手册》规定，参加开标活动。</w:t>
      </w:r>
    </w:p>
    <w:p w14:paraId="5330E6BE">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5.2 不见面</w:t>
      </w:r>
      <w:r>
        <w:rPr>
          <w:rFonts w:hint="eastAsia" w:ascii="楷体" w:hAnsi="楷体" w:eastAsia="楷体" w:cs="宋体"/>
          <w:b/>
          <w:color w:val="000000" w:themeColor="text1"/>
          <w:sz w:val="28"/>
          <w:szCs w:val="28"/>
          <w14:textFill>
            <w14:solidFill>
              <w14:schemeClr w14:val="tx1"/>
            </w14:solidFill>
          </w14:textFill>
        </w:rPr>
        <w:t>开标程序</w:t>
      </w:r>
    </w:p>
    <w:p w14:paraId="751AC168">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（1）系统登录。供应商应在投标截止时间前登录开标大厅。</w:t>
      </w:r>
    </w:p>
    <w:p w14:paraId="03A990CC">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（2）供应商解密投标文件。按照系统内提示，在规定的时间内完成投标文件的解密。</w:t>
      </w:r>
    </w:p>
    <w:p w14:paraId="0435DB66">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（3）唱标。</w:t>
      </w:r>
    </w:p>
    <w:p w14:paraId="67EEDEF5">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（4）开标记录确认。</w:t>
      </w:r>
    </w:p>
    <w:p w14:paraId="042A5B3C">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（5）开标结束。</w:t>
      </w:r>
    </w:p>
    <w:p w14:paraId="51BDCE5B">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5.3特殊情况的处置</w:t>
      </w:r>
    </w:p>
    <w:p w14:paraId="40E98654">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5.3.1在投标截止时间后，开标系统出现下列情况之一时，项目未开标的，暂停开标活动；正在开标的，立即暂停开标，待系统恢复正常后再组织开标。</w:t>
      </w:r>
    </w:p>
    <w:p w14:paraId="37633C72">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p>
    <w:p w14:paraId="67CAF882">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p>
    <w:p w14:paraId="416C97DC">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p>
    <w:p w14:paraId="5784FF16">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（4）其他无法保证招投标过程公平和信息安全的情形。</w:t>
      </w:r>
    </w:p>
    <w:p w14:paraId="2496FE0A">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5.3.2因供应商自身原因造成投标文件无法解密的，视为撤销投标文件。</w:t>
      </w:r>
    </w:p>
    <w:p w14:paraId="37E2D5D7">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5.3.3供应商对开标过程和开标记录有疑义的，可向招标人或者采购代理机构提出。</w:t>
      </w:r>
    </w:p>
    <w:p w14:paraId="681EF968">
      <w:pPr>
        <w:adjustRightInd w:val="0"/>
        <w:snapToGrid w:val="0"/>
        <w:spacing w:line="490" w:lineRule="exact"/>
        <w:ind w:firstLine="560" w:firstLineChars="200"/>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5.3.4供应商未在开标系统中确认开标结果的，视同认可开标结果。</w:t>
      </w:r>
    </w:p>
    <w:p w14:paraId="43BD6B13">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评标</w:t>
      </w:r>
    </w:p>
    <w:p w14:paraId="32AA28BF">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评标委员会</w:t>
      </w:r>
    </w:p>
    <w:p w14:paraId="16DE5BD1">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6.1.1</w:t>
      </w:r>
      <w:r>
        <w:rPr>
          <w:rFonts w:hint="eastAsia" w:ascii="宋体" w:hAnsi="宋体" w:cs="宋体"/>
          <w:color w:val="000000" w:themeColor="text1"/>
          <w:sz w:val="28"/>
          <w:szCs w:val="28"/>
          <w14:textFill>
            <w14:solidFill>
              <w14:schemeClr w14:val="tx1"/>
            </w14:solidFill>
          </w14:textFill>
        </w:rPr>
        <w:t>评标由招标人依法组建的评标委员会负责。评标委员会由招标人代表，以及有关技术、经济等方面的专家组成。具体人数见供应商须知前附表。</w:t>
      </w:r>
    </w:p>
    <w:p w14:paraId="7EA4E08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6.1.2</w:t>
      </w:r>
      <w:r>
        <w:rPr>
          <w:rFonts w:hint="eastAsia" w:ascii="宋体" w:hAnsi="宋体" w:cs="宋体"/>
          <w:color w:val="000000" w:themeColor="text1"/>
          <w:sz w:val="28"/>
          <w:szCs w:val="28"/>
          <w14:textFill>
            <w14:solidFill>
              <w14:schemeClr w14:val="tx1"/>
            </w14:solidFill>
          </w14:textFill>
        </w:rPr>
        <w:t>评标委员会成员有下列情形之一的，应当回避：</w:t>
      </w:r>
    </w:p>
    <w:p w14:paraId="54E5786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w:t>
      </w:r>
    </w:p>
    <w:p w14:paraId="1D36F56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w:t>
      </w:r>
    </w:p>
    <w:p w14:paraId="32E1F734">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w:t>
      </w:r>
      <w:r>
        <w:rPr>
          <w:rFonts w:ascii="宋体" w:hAnsi="宋体" w:cs="宋体"/>
          <w:color w:val="000000" w:themeColor="text1"/>
          <w:sz w:val="28"/>
          <w:szCs w:val="28"/>
          <w14:textFill>
            <w14:solidFill>
              <w14:schemeClr w14:val="tx1"/>
            </w14:solidFill>
          </w14:textFill>
        </w:rPr>
        <w:t>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w:t>
      </w:r>
    </w:p>
    <w:p w14:paraId="173F07EB">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）法律、行政法规规定的其他条件。</w:t>
      </w:r>
    </w:p>
    <w:p w14:paraId="06B971D2">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评标</w:t>
      </w:r>
    </w:p>
    <w:p w14:paraId="2B9AA7E7">
      <w:pPr>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评标活动遵循公正、客观、审慎的原则。</w:t>
      </w:r>
      <w:r>
        <w:rPr>
          <w:rFonts w:hint="eastAsia" w:ascii="宋体" w:hAnsi="宋体" w:cs="宋体"/>
          <w:color w:val="000000" w:themeColor="text1"/>
          <w:sz w:val="28"/>
          <w:szCs w:val="28"/>
          <w14:textFill>
            <w14:solidFill>
              <w14:schemeClr w14:val="tx1"/>
            </w14:solidFill>
          </w14:textFill>
        </w:rPr>
        <w:t>评标委员会严格按照第三章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评标办法</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规定的评标方法、评标程序和评标标准进行独立评审。第三章</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评标办法</w:t>
      </w:r>
      <w:r>
        <w:rPr>
          <w:rFonts w:hint="eastAsia" w:ascii="宋体" w:hAnsi="宋体"/>
          <w:color w:val="000000" w:themeColor="text1"/>
          <w:sz w:val="28"/>
          <w:szCs w:val="28"/>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没有规定的评标标准，不得作为评标依据。</w:t>
      </w:r>
    </w:p>
    <w:p w14:paraId="1137F81B">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7.</w:t>
      </w:r>
      <w:r>
        <w:rPr>
          <w:rFonts w:hint="eastAsia" w:ascii="黑体" w:hAnsi="黑体" w:eastAsia="黑体" w:cs="宋体"/>
          <w:color w:val="000000" w:themeColor="text1"/>
          <w:sz w:val="32"/>
          <w:szCs w:val="32"/>
          <w14:textFill>
            <w14:solidFill>
              <w14:schemeClr w14:val="tx1"/>
            </w14:solidFill>
          </w14:textFill>
        </w:rPr>
        <w:t>中标</w:t>
      </w:r>
    </w:p>
    <w:p w14:paraId="3743C3FC">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7.1</w:t>
      </w:r>
      <w:r>
        <w:rPr>
          <w:rFonts w:hint="eastAsia" w:ascii="楷体" w:hAnsi="楷体" w:eastAsia="楷体"/>
          <w:b/>
          <w:color w:val="000000" w:themeColor="text1"/>
          <w:sz w:val="28"/>
          <w:szCs w:val="28"/>
          <w14:textFill>
            <w14:solidFill>
              <w14:schemeClr w14:val="tx1"/>
            </w14:solidFill>
          </w14:textFill>
        </w:rPr>
        <w:t>确定中标人</w:t>
      </w:r>
    </w:p>
    <w:p w14:paraId="0C865087">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7.1.1自收到评标报告之日起５个工作日内，在评标报告确定的中标候选人名单中按顺序确定中标人。</w:t>
      </w:r>
    </w:p>
    <w:p w14:paraId="48EEBBB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7.1.2排名第一的中标候选人出现下列情形之一的，除合格供应商的数量不符合法定的要求外，招标人将按照评标委员会提出的中标候选人名单排序依次确定其他中标候选人为中标人。</w:t>
      </w:r>
    </w:p>
    <w:p w14:paraId="07314CBF">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）因不可抗力或者自身原因不能履行合同的；</w:t>
      </w:r>
    </w:p>
    <w:p w14:paraId="4FF15220">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）经过财政部门处理投诉举报、监督检查，认定中标无效的；</w:t>
      </w:r>
    </w:p>
    <w:p w14:paraId="2B6A032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w:t>
      </w:r>
      <w:r>
        <w:rPr>
          <w:rFonts w:ascii="宋体" w:hAnsi="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）拒绝与招标人签订合同的。</w:t>
      </w:r>
    </w:p>
    <w:p w14:paraId="61D6C7F0">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7.2</w:t>
      </w:r>
      <w:r>
        <w:rPr>
          <w:rFonts w:hint="eastAsia" w:ascii="楷体" w:hAnsi="楷体" w:eastAsia="楷体"/>
          <w:b/>
          <w:color w:val="000000" w:themeColor="text1"/>
          <w:sz w:val="28"/>
          <w:szCs w:val="28"/>
          <w14:textFill>
            <w14:solidFill>
              <w14:schemeClr w14:val="tx1"/>
            </w14:solidFill>
          </w14:textFill>
        </w:rPr>
        <w:t>中标公告及中标通知书</w:t>
      </w:r>
    </w:p>
    <w:p w14:paraId="4714837F">
      <w:pPr>
        <w:adjustRightInd w:val="0"/>
        <w:snapToGrid w:val="0"/>
        <w:spacing w:line="49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7.2.1自中标人确定之日起2个工作日内，在供应商须知前附表规定的媒介上公告中标结果，公告期限为1个工作日。</w:t>
      </w:r>
    </w:p>
    <w:p w14:paraId="19C347C5">
      <w:pPr>
        <w:adjustRightInd w:val="0"/>
        <w:snapToGrid w:val="0"/>
        <w:spacing w:line="490" w:lineRule="exact"/>
        <w:ind w:firstLine="560" w:firstLineChars="200"/>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p>
    <w:p w14:paraId="0B0CA273">
      <w:pPr>
        <w:adjustRightInd w:val="0"/>
        <w:snapToGrid w:val="0"/>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8.</w:t>
      </w:r>
      <w:r>
        <w:rPr>
          <w:rFonts w:hint="eastAsia" w:ascii="黑体" w:hAnsi="黑体" w:eastAsia="黑体" w:cs="宋体"/>
          <w:color w:val="000000" w:themeColor="text1"/>
          <w:sz w:val="32"/>
          <w:szCs w:val="32"/>
          <w14:textFill>
            <w14:solidFill>
              <w14:schemeClr w14:val="tx1"/>
            </w14:solidFill>
          </w14:textFill>
        </w:rPr>
        <w:t>合同</w:t>
      </w:r>
    </w:p>
    <w:p w14:paraId="74C46C65">
      <w:pPr>
        <w:adjustRightInd w:val="0"/>
        <w:snapToGrid w:val="0"/>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履约保证金</w:t>
      </w:r>
    </w:p>
    <w:p w14:paraId="7D6630E6">
      <w:pPr>
        <w:adjustRightInd w:val="0"/>
        <w:snapToGrid w:val="0"/>
        <w:spacing w:line="490" w:lineRule="exact"/>
        <w:ind w:firstLine="560" w:firstLineChars="200"/>
        <w:rPr>
          <w:rFonts w:ascii="宋体"/>
          <w:sz w:val="28"/>
          <w:szCs w:val="28"/>
        </w:rPr>
      </w:pPr>
      <w:r>
        <w:rPr>
          <w:rFonts w:ascii="宋体" w:hAnsi="宋体"/>
          <w:sz w:val="28"/>
          <w:szCs w:val="28"/>
        </w:rPr>
        <w:t>8.1.1</w:t>
      </w:r>
      <w:r>
        <w:rPr>
          <w:rFonts w:hint="eastAsia" w:ascii="宋体" w:hAnsi="宋体" w:cs="宋体"/>
          <w:sz w:val="28"/>
          <w:szCs w:val="28"/>
        </w:rPr>
        <w:t>中标人应按供应商须知前附表规定的履约保证金的形式、金额和提交时间向招标人提交履约保证金。</w:t>
      </w:r>
    </w:p>
    <w:p w14:paraId="62CC577A">
      <w:pPr>
        <w:adjustRightInd w:val="0"/>
        <w:snapToGrid w:val="0"/>
        <w:spacing w:line="490" w:lineRule="exact"/>
        <w:ind w:firstLine="560" w:firstLineChars="200"/>
        <w:rPr>
          <w:rFonts w:hint="eastAsia" w:ascii="楷体" w:hAnsi="楷体" w:eastAsia="楷体"/>
          <w:b/>
          <w:sz w:val="28"/>
          <w:szCs w:val="28"/>
        </w:rPr>
      </w:pPr>
      <w:r>
        <w:rPr>
          <w:rFonts w:ascii="宋体" w:hAnsi="宋体"/>
          <w:sz w:val="28"/>
          <w:szCs w:val="28"/>
        </w:rPr>
        <w:t>8.1.2</w:t>
      </w:r>
      <w:r>
        <w:rPr>
          <w:rFonts w:hint="eastAsia" w:ascii="宋体" w:hAnsi="宋体" w:cs="宋体"/>
          <w:sz w:val="28"/>
          <w:szCs w:val="28"/>
        </w:rPr>
        <w:t>中标人不能按本招标文件要求提交履约保证金的，视为放弃中标，给招标人造成损失的，中标人还应当予以赔偿。</w:t>
      </w:r>
    </w:p>
    <w:p w14:paraId="07BB17B9">
      <w:pPr>
        <w:adjustRightInd w:val="0"/>
        <w:snapToGrid w:val="0"/>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8.2</w:t>
      </w:r>
      <w:r>
        <w:rPr>
          <w:rFonts w:hint="eastAsia" w:ascii="楷体" w:hAnsi="楷体" w:eastAsia="楷体" w:cs="宋体"/>
          <w:b/>
          <w:color w:val="000000" w:themeColor="text1"/>
          <w:sz w:val="28"/>
          <w:szCs w:val="28"/>
          <w14:textFill>
            <w14:solidFill>
              <w14:schemeClr w14:val="tx1"/>
            </w14:solidFill>
          </w14:textFill>
        </w:rPr>
        <w:t>签订合同</w:t>
      </w:r>
    </w:p>
    <w:p w14:paraId="4C5A21F8">
      <w:pPr>
        <w:adjustRightInd w:val="0"/>
        <w:snapToGrid w:val="0"/>
        <w:spacing w:line="49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0CA90F72">
      <w:pPr>
        <w:adjustRightInd w:val="0"/>
        <w:snapToGrid w:val="0"/>
        <w:spacing w:line="490" w:lineRule="exac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需要补充的其他内容</w:t>
      </w:r>
    </w:p>
    <w:p w14:paraId="127F1939">
      <w:pPr>
        <w:spacing w:line="490" w:lineRule="exact"/>
        <w:ind w:firstLine="560" w:firstLineChars="200"/>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需要补充的其他内容：见供应商须知前附表。</w:t>
      </w:r>
      <w:bookmarkEnd w:id="37"/>
      <w:bookmarkEnd w:id="38"/>
      <w:bookmarkEnd w:id="39"/>
      <w:bookmarkEnd w:id="40"/>
      <w:bookmarkEnd w:id="41"/>
      <w:bookmarkEnd w:id="42"/>
      <w:bookmarkEnd w:id="43"/>
      <w:bookmarkEnd w:id="44"/>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Start w:id="210" w:name="_Hlt26955064"/>
      <w:bookmarkEnd w:id="210"/>
      <w:bookmarkStart w:id="211" w:name="_Hlt26580838"/>
      <w:bookmarkEnd w:id="211"/>
      <w:bookmarkStart w:id="212" w:name="_Hlt26671343"/>
      <w:bookmarkEnd w:id="212"/>
      <w:bookmarkStart w:id="213" w:name="_Hlt26609391"/>
      <w:bookmarkEnd w:id="213"/>
      <w:bookmarkStart w:id="214" w:name="_Hlt26671372"/>
      <w:bookmarkEnd w:id="214"/>
      <w:bookmarkStart w:id="215" w:name="_Hlt26782999"/>
      <w:bookmarkEnd w:id="215"/>
      <w:bookmarkStart w:id="216" w:name="_Hlt24879081"/>
      <w:bookmarkEnd w:id="216"/>
      <w:bookmarkStart w:id="217" w:name="_Hlt26955056"/>
      <w:bookmarkEnd w:id="217"/>
    </w:p>
    <w:p w14:paraId="51AA56CD">
      <w:pPr>
        <w:adjustRightInd w:val="0"/>
        <w:snapToGrid w:val="0"/>
        <w:spacing w:line="490" w:lineRule="exac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10.</w:t>
      </w:r>
      <w:r>
        <w:rPr>
          <w:rFonts w:hint="eastAsia" w:ascii="黑体" w:hAnsi="黑体" w:eastAsia="黑体" w:cs="宋体"/>
          <w:color w:val="000000" w:themeColor="text1"/>
          <w:sz w:val="32"/>
          <w:szCs w:val="32"/>
          <w14:textFill>
            <w14:solidFill>
              <w14:schemeClr w14:val="tx1"/>
            </w14:solidFill>
          </w14:textFill>
        </w:rPr>
        <w:t>采购本国产品的支持政策</w:t>
      </w:r>
    </w:p>
    <w:p w14:paraId="1D9D4B10">
      <w:pPr>
        <w:adjustRightInd w:val="0"/>
        <w:snapToGrid w:val="0"/>
        <w:spacing w:line="49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.1 本项目政府采购活动中既有本国产品又有非本国产品参与竞争的，依法对本国产品给予价格评审优惠，对本国产品的报价给予20%的价格扣除，用扣除后的价格参与评审。</w:t>
      </w:r>
    </w:p>
    <w:p w14:paraId="57E783A5">
      <w:pPr>
        <w:adjustRightInd w:val="0"/>
        <w:snapToGrid w:val="0"/>
        <w:spacing w:line="49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CEDAA56">
      <w:pPr>
        <w:adjustRightInd w:val="0"/>
        <w:snapToGrid w:val="0"/>
        <w:spacing w:line="49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.3 供应商需按照招标文件的要求提供《关于符合本国产品标准的声明函》（以下简称《声明函》），如不提供将不享受本国产品价格评审优惠。</w:t>
      </w:r>
    </w:p>
    <w:p w14:paraId="04B47597">
      <w:pPr>
        <w:adjustRightInd w:val="0"/>
        <w:snapToGrid w:val="0"/>
        <w:spacing w:line="49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400D40A">
      <w:pPr>
        <w:adjustRightInd w:val="0"/>
        <w:snapToGrid w:val="0"/>
        <w:spacing w:line="49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5A90887">
      <w:pPr>
        <w:spacing w:line="490" w:lineRule="exact"/>
        <w:ind w:firstLine="560" w:firstLineChars="200"/>
        <w:rPr>
          <w:rFonts w:hint="eastAsia" w:ascii="宋体" w:hAnsi="宋体" w:cs="宋体"/>
          <w:color w:val="000000" w:themeColor="text1"/>
          <w:sz w:val="28"/>
          <w14:textFill>
            <w14:solidFill>
              <w14:schemeClr w14:val="tx1"/>
            </w14:solidFill>
          </w14:textFill>
        </w:rPr>
      </w:pPr>
    </w:p>
    <w:p w14:paraId="73B59EEE">
      <w:pPr>
        <w:widowControl/>
        <w:jc w:val="left"/>
      </w:pPr>
      <w:r>
        <w:br w:type="page"/>
      </w:r>
    </w:p>
    <w:p w14:paraId="72F7B6CB">
      <w:pPr>
        <w:pStyle w:val="33"/>
        <w:spacing w:line="360" w:lineRule="exact"/>
        <w:ind w:left="-2" w:leftChars="-1" w:firstLine="643" w:firstLineChars="200"/>
        <w:jc w:val="center"/>
        <w:outlineLvl w:val="0"/>
        <w:rPr>
          <w:rFonts w:hint="eastAsia" w:ascii="黑体" w:hAnsi="黑体" w:eastAsia="黑体"/>
          <w:b/>
          <w:sz w:val="32"/>
          <w:szCs w:val="32"/>
        </w:rPr>
      </w:pPr>
      <w:r>
        <w:rPr>
          <w:rFonts w:hint="eastAsia" w:ascii="黑体" w:hAnsi="黑体" w:eastAsia="黑体"/>
          <w:b/>
          <w:sz w:val="32"/>
          <w:szCs w:val="32"/>
        </w:rPr>
        <w:t>第三章</w:t>
      </w:r>
      <w:r>
        <w:rPr>
          <w:rFonts w:ascii="黑体" w:hAnsi="黑体" w:eastAsia="黑体"/>
          <w:b/>
          <w:sz w:val="32"/>
          <w:szCs w:val="32"/>
        </w:rPr>
        <w:t xml:space="preserve"> 资格审查及</w:t>
      </w:r>
      <w:r>
        <w:rPr>
          <w:rFonts w:hint="eastAsia" w:ascii="黑体" w:hAnsi="黑体" w:eastAsia="黑体"/>
          <w:b/>
          <w:sz w:val="32"/>
          <w:szCs w:val="32"/>
        </w:rPr>
        <w:t>评标办法</w:t>
      </w:r>
    </w:p>
    <w:p w14:paraId="0FEF05BC">
      <w:pPr>
        <w:rPr>
          <w:sz w:val="28"/>
          <w:szCs w:val="28"/>
        </w:rPr>
      </w:pPr>
      <w:bookmarkStart w:id="218" w:name="_Toc152042365"/>
      <w:bookmarkStart w:id="219" w:name="_Toc144974555"/>
      <w:bookmarkStart w:id="220" w:name="_Toc426469920"/>
      <w:bookmarkStart w:id="221" w:name="_Toc179632606"/>
      <w:bookmarkStart w:id="222" w:name="_Toc246996974"/>
      <w:bookmarkStart w:id="223" w:name="_Toc247085746"/>
      <w:bookmarkStart w:id="224" w:name="_Toc152045588"/>
      <w:bookmarkStart w:id="225" w:name="_Toc383438647"/>
      <w:bookmarkStart w:id="226" w:name="_Toc246996231"/>
      <w:bookmarkStart w:id="227" w:name="_Toc343525563"/>
      <w:r>
        <w:rPr>
          <w:rFonts w:hint="eastAsia"/>
          <w:sz w:val="28"/>
          <w:szCs w:val="28"/>
        </w:rPr>
        <w:t>资格审查和评标办法前附表</w:t>
      </w:r>
      <w:bookmarkEnd w:id="218"/>
      <w:bookmarkEnd w:id="219"/>
      <w:bookmarkEnd w:id="220"/>
      <w:bookmarkEnd w:id="221"/>
      <w:bookmarkEnd w:id="222"/>
      <w:bookmarkEnd w:id="223"/>
      <w:bookmarkEnd w:id="224"/>
      <w:bookmarkEnd w:id="225"/>
      <w:bookmarkEnd w:id="226"/>
      <w:bookmarkEnd w:id="227"/>
      <w:bookmarkStart w:id="228" w:name="_Toc144974556"/>
      <w:bookmarkStart w:id="229" w:name="_Toc246996232"/>
      <w:bookmarkStart w:id="230" w:name="_Toc179632607"/>
      <w:bookmarkStart w:id="231" w:name="_Toc152042366"/>
      <w:bookmarkStart w:id="232" w:name="_Toc246996975"/>
      <w:bookmarkStart w:id="233" w:name="_Toc152045589"/>
      <w:bookmarkStart w:id="234" w:name="_Toc343525564"/>
      <w:bookmarkStart w:id="235" w:name="_Toc247085747"/>
    </w:p>
    <w:tbl>
      <w:tblPr>
        <w:tblStyle w:val="26"/>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534"/>
        <w:gridCol w:w="2665"/>
        <w:gridCol w:w="4964"/>
      </w:tblGrid>
      <w:tr w14:paraId="2AD43D0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080" w:type="dxa"/>
            <w:gridSpan w:val="2"/>
            <w:tcBorders>
              <w:top w:val="outset" w:color="auto" w:sz="6" w:space="0"/>
              <w:left w:val="outset" w:color="auto" w:sz="6" w:space="0"/>
              <w:bottom w:val="outset" w:color="auto" w:sz="6" w:space="0"/>
              <w:right w:val="outset" w:color="auto" w:sz="6" w:space="0"/>
            </w:tcBorders>
            <w:vAlign w:val="center"/>
          </w:tcPr>
          <w:p w14:paraId="50DACA35">
            <w:pPr>
              <w:spacing w:line="400" w:lineRule="exact"/>
              <w:jc w:val="center"/>
              <w:rPr>
                <w:rFonts w:hint="eastAsia" w:asciiTheme="minorEastAsia" w:hAnsiTheme="minorEastAsia" w:eastAsiaTheme="minorEastAsia"/>
              </w:rPr>
            </w:pPr>
            <w:r>
              <w:rPr>
                <w:rFonts w:hint="eastAsia" w:asciiTheme="minorEastAsia" w:hAnsiTheme="minorEastAsia" w:eastAsiaTheme="minorEastAsia"/>
              </w:rPr>
              <w:t>条款号</w:t>
            </w:r>
          </w:p>
        </w:tc>
        <w:tc>
          <w:tcPr>
            <w:tcW w:w="2665" w:type="dxa"/>
            <w:tcBorders>
              <w:top w:val="outset" w:color="auto" w:sz="6" w:space="0"/>
              <w:left w:val="outset" w:color="auto" w:sz="6" w:space="0"/>
              <w:bottom w:val="outset" w:color="auto" w:sz="6" w:space="0"/>
              <w:right w:val="outset" w:color="auto" w:sz="6" w:space="0"/>
            </w:tcBorders>
            <w:vAlign w:val="center"/>
          </w:tcPr>
          <w:p w14:paraId="434A5EA8">
            <w:pPr>
              <w:spacing w:line="400" w:lineRule="exact"/>
              <w:jc w:val="center"/>
              <w:rPr>
                <w:rFonts w:hint="eastAsia" w:asciiTheme="minorEastAsia" w:hAnsiTheme="minorEastAsia" w:eastAsiaTheme="minorEastAsia"/>
              </w:rPr>
            </w:pPr>
            <w:r>
              <w:rPr>
                <w:rFonts w:hint="eastAsia" w:asciiTheme="minorEastAsia" w:hAnsiTheme="minorEastAsia" w:eastAsiaTheme="minorEastAsia"/>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181DBD3D">
            <w:pPr>
              <w:spacing w:line="400" w:lineRule="exact"/>
              <w:jc w:val="center"/>
              <w:rPr>
                <w:rFonts w:hint="eastAsia" w:asciiTheme="minorEastAsia" w:hAnsiTheme="minorEastAsia" w:eastAsiaTheme="minorEastAsia"/>
              </w:rPr>
            </w:pPr>
            <w:r>
              <w:rPr>
                <w:rFonts w:hint="eastAsia" w:asciiTheme="minorEastAsia" w:hAnsiTheme="minorEastAsia" w:eastAsiaTheme="minorEastAsia"/>
              </w:rPr>
              <w:t>评审标准</w:t>
            </w:r>
          </w:p>
        </w:tc>
      </w:tr>
      <w:tr w14:paraId="38A4B4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745DCEC6">
            <w:pPr>
              <w:spacing w:line="360" w:lineRule="exact"/>
              <w:jc w:val="center"/>
              <w:rPr>
                <w:rFonts w:eastAsiaTheme="minorEastAsia"/>
                <w:spacing w:val="-40"/>
              </w:rPr>
            </w:pPr>
            <w:r>
              <w:rPr>
                <w:rFonts w:asciiTheme="minorEastAsia" w:hAnsiTheme="minorEastAsia" w:eastAsiaTheme="minorEastAsia"/>
                <w:spacing w:val="-14"/>
              </w:rPr>
              <w:t>1.2</w:t>
            </w:r>
          </w:p>
        </w:tc>
        <w:tc>
          <w:tcPr>
            <w:tcW w:w="534" w:type="dxa"/>
            <w:vMerge w:val="restart"/>
            <w:tcBorders>
              <w:top w:val="outset" w:color="auto" w:sz="6" w:space="0"/>
              <w:left w:val="outset" w:color="auto" w:sz="6" w:space="0"/>
              <w:right w:val="outset" w:color="auto" w:sz="6" w:space="0"/>
            </w:tcBorders>
            <w:vAlign w:val="center"/>
          </w:tcPr>
          <w:p w14:paraId="4FB4228F">
            <w:pPr>
              <w:jc w:val="center"/>
              <w:rPr>
                <w:rFonts w:hint="eastAsia" w:asciiTheme="minorEastAsia" w:hAnsiTheme="minorEastAsia" w:eastAsiaTheme="minorEastAsia"/>
              </w:rPr>
            </w:pPr>
            <w:r>
              <w:rPr>
                <w:rFonts w:hint="eastAsia" w:asciiTheme="minorEastAsia" w:hAnsiTheme="minorEastAsia" w:eastAsiaTheme="minorEastAsia"/>
              </w:rPr>
              <w:t>资格审查</w:t>
            </w:r>
          </w:p>
        </w:tc>
        <w:tc>
          <w:tcPr>
            <w:tcW w:w="2665" w:type="dxa"/>
            <w:tcBorders>
              <w:top w:val="outset" w:color="auto" w:sz="6" w:space="0"/>
              <w:left w:val="outset" w:color="auto" w:sz="6" w:space="0"/>
              <w:bottom w:val="outset" w:color="auto" w:sz="6" w:space="0"/>
              <w:right w:val="outset" w:color="auto" w:sz="6" w:space="0"/>
            </w:tcBorders>
            <w:vAlign w:val="center"/>
          </w:tcPr>
          <w:p w14:paraId="77C484A3">
            <w:pPr>
              <w:spacing w:line="280" w:lineRule="exact"/>
              <w:rPr>
                <w:rFonts w:hint="eastAsia" w:asciiTheme="minorEastAsia" w:hAnsiTheme="minorEastAsia" w:eastAsiaTheme="minorEastAsia"/>
              </w:rPr>
            </w:pPr>
            <w:r>
              <w:rPr>
                <w:rFonts w:hint="eastAsia" w:ascii="宋体" w:hAnsi="宋体" w:cs="宋体"/>
              </w:rPr>
              <w:t>具有独立承担民事责任的能力</w:t>
            </w:r>
          </w:p>
        </w:tc>
        <w:tc>
          <w:tcPr>
            <w:tcW w:w="4964" w:type="dxa"/>
            <w:tcBorders>
              <w:top w:val="outset" w:color="auto" w:sz="6" w:space="0"/>
              <w:left w:val="outset" w:color="auto" w:sz="6" w:space="0"/>
              <w:bottom w:val="outset" w:color="auto" w:sz="6" w:space="0"/>
              <w:right w:val="outset" w:color="auto" w:sz="6" w:space="0"/>
            </w:tcBorders>
            <w:vAlign w:val="center"/>
          </w:tcPr>
          <w:p w14:paraId="1815A539">
            <w:pPr>
              <w:spacing w:line="280" w:lineRule="exact"/>
              <w:rPr>
                <w:rFonts w:hint="eastAsia" w:asciiTheme="minorEastAsia" w:hAnsiTheme="minorEastAsia" w:eastAsiaTheme="minorEastAsia"/>
              </w:rPr>
            </w:pPr>
            <w:r>
              <w:rPr>
                <w:rFonts w:hint="eastAsia" w:ascii="宋体" w:hAnsi="宋体" w:cs="宋体"/>
              </w:rPr>
              <w:t>具备有效的营业执照，且名称与投标人名称一致。</w:t>
            </w:r>
          </w:p>
        </w:tc>
      </w:tr>
      <w:tr w14:paraId="7C4B00C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765BF886">
            <w:pPr>
              <w:jc w:val="center"/>
              <w:rPr>
                <w:rFonts w:hint="eastAsia" w:asciiTheme="minorEastAsia" w:hAnsiTheme="minorEastAsia" w:eastAsiaTheme="minorEastAsia"/>
              </w:rPr>
            </w:pPr>
          </w:p>
        </w:tc>
        <w:tc>
          <w:tcPr>
            <w:tcW w:w="534" w:type="dxa"/>
            <w:vMerge w:val="continue"/>
            <w:tcBorders>
              <w:left w:val="outset" w:color="auto" w:sz="6" w:space="0"/>
              <w:right w:val="outset" w:color="auto" w:sz="6" w:space="0"/>
            </w:tcBorders>
            <w:vAlign w:val="center"/>
          </w:tcPr>
          <w:p w14:paraId="7C765644">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60536E38">
            <w:pPr>
              <w:spacing w:line="280" w:lineRule="exact"/>
              <w:jc w:val="left"/>
              <w:rPr>
                <w:rFonts w:hint="eastAsia" w:asciiTheme="minorEastAsia" w:hAnsiTheme="minorEastAsia" w:eastAsiaTheme="minorEastAsia"/>
              </w:rPr>
            </w:pPr>
            <w:r>
              <w:rPr>
                <w:rFonts w:hint="eastAsia" w:ascii="宋体" w:hAnsi="宋体" w:cs="宋体"/>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1E657AF2">
            <w:pPr>
              <w:spacing w:line="280" w:lineRule="exact"/>
              <w:jc w:val="left"/>
              <w:rPr>
                <w:rFonts w:hint="eastAsia" w:asciiTheme="minorEastAsia" w:hAnsiTheme="minorEastAsia" w:eastAsiaTheme="minorEastAsia"/>
              </w:rPr>
            </w:pPr>
            <w:r>
              <w:rPr>
                <w:rFonts w:hint="eastAsia" w:ascii="宋体" w:hAnsi="宋体" w:cs="宋体"/>
              </w:rPr>
              <w:t>根据供应商提供的承诺函，内容完整且加盖公章。（内容及格式参照第六章）</w:t>
            </w:r>
          </w:p>
        </w:tc>
      </w:tr>
      <w:tr w14:paraId="7BECB4B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6CE2A351">
            <w:pPr>
              <w:jc w:val="center"/>
              <w:rPr>
                <w:rFonts w:hint="eastAsia" w:asciiTheme="minorEastAsia" w:hAnsiTheme="minorEastAsia" w:eastAsiaTheme="minorEastAsia"/>
              </w:rPr>
            </w:pPr>
          </w:p>
        </w:tc>
        <w:tc>
          <w:tcPr>
            <w:tcW w:w="534" w:type="dxa"/>
            <w:vMerge w:val="continue"/>
            <w:tcBorders>
              <w:left w:val="outset" w:color="auto" w:sz="6" w:space="0"/>
              <w:right w:val="outset" w:color="auto" w:sz="6" w:space="0"/>
            </w:tcBorders>
            <w:vAlign w:val="center"/>
          </w:tcPr>
          <w:p w14:paraId="40E7C83E">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370515F5">
            <w:pPr>
              <w:spacing w:line="280" w:lineRule="exact"/>
              <w:jc w:val="left"/>
              <w:rPr>
                <w:rFonts w:hint="eastAsia" w:ascii="宋体" w:hAnsi="宋体" w:cs="宋体"/>
              </w:rPr>
            </w:pPr>
            <w:r>
              <w:rPr>
                <w:rFonts w:hint="eastAsia" w:ascii="宋体" w:hAnsi="宋体" w:cs="宋体"/>
              </w:rPr>
              <w:t>落实政府采购政策需满足的资格要求</w:t>
            </w:r>
          </w:p>
        </w:tc>
        <w:tc>
          <w:tcPr>
            <w:tcW w:w="4964" w:type="dxa"/>
            <w:tcBorders>
              <w:top w:val="outset" w:color="auto" w:sz="6" w:space="0"/>
              <w:left w:val="outset" w:color="auto" w:sz="6" w:space="0"/>
              <w:bottom w:val="outset" w:color="auto" w:sz="6" w:space="0"/>
              <w:right w:val="outset" w:color="auto" w:sz="6" w:space="0"/>
            </w:tcBorders>
            <w:vAlign w:val="center"/>
          </w:tcPr>
          <w:p w14:paraId="5476A718">
            <w:pPr>
              <w:spacing w:line="280" w:lineRule="exact"/>
              <w:jc w:val="left"/>
              <w:rPr>
                <w:rFonts w:hint="eastAsia" w:ascii="宋体" w:hAnsi="宋体" w:cs="宋体"/>
              </w:rPr>
            </w:pPr>
            <w:r>
              <w:rPr>
                <w:rFonts w:hint="eastAsia" w:ascii="宋体" w:hAnsi="宋体" w:cs="宋体"/>
              </w:rPr>
              <w:t>本项目为专门面向中小企业的项目，提供中小企业声明函。</w:t>
            </w:r>
          </w:p>
        </w:tc>
      </w:tr>
      <w:tr w14:paraId="14C728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287E4D49">
            <w:pPr>
              <w:spacing w:line="460" w:lineRule="exact"/>
              <w:jc w:val="center"/>
              <w:rPr>
                <w:rFonts w:hint="eastAsia" w:asciiTheme="minorEastAsia" w:hAnsiTheme="minorEastAsia" w:eastAsiaTheme="minorEastAsia"/>
                <w:b/>
                <w:spacing w:val="-14"/>
              </w:rPr>
            </w:pPr>
            <w:r>
              <w:rPr>
                <w:rFonts w:hint="eastAsia" w:asciiTheme="minorEastAsia" w:hAnsiTheme="minorEastAsia" w:eastAsiaTheme="minorEastAsia"/>
                <w:b/>
                <w:spacing w:val="-14"/>
              </w:rPr>
              <w:t>1.2项评审内容由采购人负责，投标文件不符合1.2项评审标准的，作无效标处理。</w:t>
            </w:r>
          </w:p>
        </w:tc>
      </w:tr>
      <w:tr w14:paraId="04686E3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19DE76CB">
            <w:pPr>
              <w:spacing w:line="360" w:lineRule="exact"/>
              <w:jc w:val="center"/>
              <w:rPr>
                <w:rFonts w:hint="eastAsia" w:asciiTheme="minorEastAsia" w:hAnsiTheme="minorEastAsia" w:eastAsiaTheme="minorEastAsia"/>
              </w:rPr>
            </w:pPr>
            <w:r>
              <w:rPr>
                <w:rFonts w:hint="eastAsia" w:asciiTheme="minorEastAsia" w:hAnsiTheme="minorEastAsia" w:eastAsiaTheme="minorEastAsia"/>
                <w:spacing w:val="-14"/>
              </w:rPr>
              <w:t>2.2.2</w:t>
            </w:r>
          </w:p>
        </w:tc>
        <w:tc>
          <w:tcPr>
            <w:tcW w:w="534" w:type="dxa"/>
            <w:vMerge w:val="restart"/>
            <w:tcBorders>
              <w:top w:val="outset" w:color="auto" w:sz="6" w:space="0"/>
              <w:left w:val="outset" w:color="auto" w:sz="6" w:space="0"/>
              <w:bottom w:val="outset" w:color="auto" w:sz="6" w:space="0"/>
              <w:right w:val="outset" w:color="auto" w:sz="6" w:space="0"/>
            </w:tcBorders>
            <w:vAlign w:val="center"/>
          </w:tcPr>
          <w:p w14:paraId="7DA8C295">
            <w:pPr>
              <w:jc w:val="center"/>
              <w:rPr>
                <w:rFonts w:hint="eastAsia" w:asciiTheme="minorEastAsia" w:hAnsiTheme="minorEastAsia" w:eastAsiaTheme="minorEastAsia"/>
              </w:rPr>
            </w:pPr>
            <w:r>
              <w:rPr>
                <w:rFonts w:hint="eastAsia" w:asciiTheme="minorEastAsia" w:hAnsiTheme="minorEastAsia" w:eastAsiaTheme="minorEastAsia"/>
              </w:rPr>
              <w:t>符</w:t>
            </w:r>
          </w:p>
          <w:p w14:paraId="60E8D4AD">
            <w:pPr>
              <w:jc w:val="center"/>
              <w:rPr>
                <w:rFonts w:hint="eastAsia" w:asciiTheme="minorEastAsia" w:hAnsiTheme="minorEastAsia" w:eastAsiaTheme="minorEastAsia"/>
              </w:rPr>
            </w:pPr>
            <w:r>
              <w:rPr>
                <w:rFonts w:hint="eastAsia" w:asciiTheme="minorEastAsia" w:hAnsiTheme="minorEastAsia" w:eastAsiaTheme="minorEastAsia"/>
              </w:rPr>
              <w:t>合</w:t>
            </w:r>
          </w:p>
          <w:p w14:paraId="4AEDB2D7">
            <w:pPr>
              <w:jc w:val="center"/>
              <w:rPr>
                <w:rFonts w:hint="eastAsia" w:asciiTheme="minorEastAsia" w:hAnsiTheme="minorEastAsia" w:eastAsiaTheme="minorEastAsia"/>
              </w:rPr>
            </w:pPr>
            <w:r>
              <w:rPr>
                <w:rFonts w:hint="eastAsia" w:asciiTheme="minorEastAsia" w:hAnsiTheme="minorEastAsia" w:eastAsiaTheme="minorEastAsia"/>
              </w:rPr>
              <w:t>性</w:t>
            </w:r>
          </w:p>
          <w:p w14:paraId="2E44CFA5">
            <w:pPr>
              <w:jc w:val="center"/>
              <w:rPr>
                <w:rFonts w:hint="eastAsia" w:asciiTheme="minorEastAsia" w:hAnsiTheme="minorEastAsia" w:eastAsiaTheme="minorEastAsia"/>
              </w:rPr>
            </w:pPr>
            <w:r>
              <w:rPr>
                <w:rFonts w:hint="eastAsia" w:asciiTheme="minorEastAsia" w:hAnsiTheme="minorEastAsia" w:eastAsiaTheme="minorEastAsia"/>
              </w:rPr>
              <w:t>评</w:t>
            </w:r>
          </w:p>
          <w:p w14:paraId="6A5EA57A">
            <w:pPr>
              <w:jc w:val="center"/>
              <w:rPr>
                <w:rFonts w:hint="eastAsia" w:asciiTheme="minorEastAsia" w:hAnsiTheme="minorEastAsia" w:eastAsiaTheme="minorEastAsia"/>
              </w:rPr>
            </w:pPr>
            <w:r>
              <w:rPr>
                <w:rFonts w:hint="eastAsia" w:asciiTheme="minorEastAsia" w:hAnsiTheme="minorEastAsia" w:eastAsiaTheme="minorEastAsia"/>
              </w:rPr>
              <w:t>审</w:t>
            </w:r>
          </w:p>
        </w:tc>
        <w:tc>
          <w:tcPr>
            <w:tcW w:w="2665" w:type="dxa"/>
            <w:tcBorders>
              <w:top w:val="outset" w:color="auto" w:sz="6" w:space="0"/>
              <w:left w:val="outset" w:color="auto" w:sz="6" w:space="0"/>
              <w:bottom w:val="outset" w:color="auto" w:sz="6" w:space="0"/>
              <w:right w:val="outset" w:color="auto" w:sz="6" w:space="0"/>
            </w:tcBorders>
            <w:vAlign w:val="center"/>
          </w:tcPr>
          <w:p w14:paraId="5E4E4263">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3749125D">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符合第二章第3.4.4项规定</w:t>
            </w:r>
          </w:p>
        </w:tc>
      </w:tr>
      <w:tr w14:paraId="6B74A5E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454DBFA">
            <w:pPr>
              <w:jc w:val="center"/>
              <w:rPr>
                <w:rFonts w:hint="eastAsia"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6639ADE7">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48076AB9">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234DF488">
            <w:pPr>
              <w:spacing w:line="320" w:lineRule="exact"/>
              <w:jc w:val="left"/>
              <w:rPr>
                <w:rFonts w:hint="eastAsia" w:asciiTheme="minorEastAsia" w:hAnsiTheme="minorEastAsia" w:eastAsiaTheme="minorEastAsia"/>
              </w:rPr>
            </w:pPr>
            <w:r>
              <w:rPr>
                <w:rFonts w:hint="eastAsia" w:asciiTheme="minorEastAsia" w:hAnsiTheme="minorEastAsia" w:eastAsiaTheme="minorEastAsia"/>
              </w:rPr>
              <w:t>有且只有一个有效报价；未超过采购预算或最高限价；</w:t>
            </w:r>
          </w:p>
        </w:tc>
      </w:tr>
      <w:tr w14:paraId="6284B7B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90C91DA">
            <w:pPr>
              <w:jc w:val="center"/>
              <w:rPr>
                <w:rFonts w:hint="eastAsia"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28BE64F1">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775B661D">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合同履行期限（合同工期）</w:t>
            </w:r>
          </w:p>
        </w:tc>
        <w:tc>
          <w:tcPr>
            <w:tcW w:w="4964" w:type="dxa"/>
            <w:tcBorders>
              <w:top w:val="outset" w:color="auto" w:sz="6" w:space="0"/>
              <w:left w:val="outset" w:color="auto" w:sz="6" w:space="0"/>
              <w:bottom w:val="outset" w:color="auto" w:sz="6" w:space="0"/>
              <w:right w:val="outset" w:color="auto" w:sz="6" w:space="0"/>
            </w:tcBorders>
            <w:vAlign w:val="center"/>
          </w:tcPr>
          <w:p w14:paraId="0E05FE57">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1.3.2</w:t>
            </w:r>
            <w:r>
              <w:rPr>
                <w:rFonts w:hint="eastAsia" w:asciiTheme="minorEastAsia" w:hAnsiTheme="minorEastAsia" w:eastAsiaTheme="minorEastAsia"/>
              </w:rPr>
              <w:t>项规定</w:t>
            </w:r>
          </w:p>
        </w:tc>
      </w:tr>
      <w:tr w14:paraId="55EB850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7371D98">
            <w:pPr>
              <w:jc w:val="center"/>
              <w:rPr>
                <w:rFonts w:hint="eastAsia"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4305BA70">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02DD2FEC">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16147A38">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3.3.1</w:t>
            </w:r>
            <w:r>
              <w:rPr>
                <w:rFonts w:hint="eastAsia" w:asciiTheme="minorEastAsia" w:hAnsiTheme="minorEastAsia" w:eastAsiaTheme="minorEastAsia"/>
              </w:rPr>
              <w:t>项规定</w:t>
            </w:r>
          </w:p>
        </w:tc>
      </w:tr>
      <w:tr w14:paraId="1313FB5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3E9C2831">
            <w:pPr>
              <w:jc w:val="left"/>
              <w:rPr>
                <w:rFonts w:hint="eastAsia" w:asciiTheme="minorEastAsia" w:hAnsiTheme="minorEastAsia" w:eastAsiaTheme="minorEastAsia"/>
              </w:rPr>
            </w:pPr>
          </w:p>
        </w:tc>
        <w:tc>
          <w:tcPr>
            <w:tcW w:w="534" w:type="dxa"/>
            <w:vMerge w:val="continue"/>
            <w:tcBorders>
              <w:top w:val="outset" w:color="auto" w:sz="6" w:space="0"/>
              <w:left w:val="outset" w:color="auto" w:sz="6" w:space="0"/>
              <w:bottom w:val="outset" w:color="auto" w:sz="6" w:space="0"/>
              <w:right w:val="outset" w:color="auto" w:sz="6" w:space="0"/>
            </w:tcBorders>
            <w:vAlign w:val="center"/>
          </w:tcPr>
          <w:p w14:paraId="18C9B222">
            <w:pPr>
              <w:jc w:val="left"/>
              <w:rPr>
                <w:rFonts w:hint="eastAsia" w:asciiTheme="minorEastAsia" w:hAnsiTheme="minorEastAsia" w:eastAsiaTheme="minorEastAsia"/>
              </w:rPr>
            </w:pPr>
          </w:p>
        </w:tc>
        <w:tc>
          <w:tcPr>
            <w:tcW w:w="2665" w:type="dxa"/>
            <w:tcBorders>
              <w:top w:val="outset" w:color="auto" w:sz="6" w:space="0"/>
              <w:left w:val="outset" w:color="auto" w:sz="6" w:space="0"/>
              <w:bottom w:val="outset" w:color="auto" w:sz="6" w:space="0"/>
              <w:right w:val="outset" w:color="auto" w:sz="6" w:space="0"/>
            </w:tcBorders>
            <w:vAlign w:val="center"/>
          </w:tcPr>
          <w:p w14:paraId="169585B2">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3AC7F96F">
            <w:pPr>
              <w:spacing w:line="380" w:lineRule="exact"/>
              <w:jc w:val="left"/>
              <w:rPr>
                <w:rFonts w:hint="eastAsia" w:asciiTheme="minorEastAsia" w:hAnsiTheme="minorEastAsia" w:eastAsiaTheme="minorEastAsia"/>
              </w:rPr>
            </w:pPr>
            <w:r>
              <w:rPr>
                <w:rFonts w:hint="eastAsia" w:asciiTheme="minorEastAsia" w:hAnsiTheme="minorEastAsia" w:eastAsiaTheme="minorEastAsia"/>
              </w:rPr>
              <w:t>符合第二章“投标人须知”第</w:t>
            </w:r>
            <w:r>
              <w:rPr>
                <w:rFonts w:asciiTheme="minorEastAsia" w:hAnsiTheme="minorEastAsia" w:eastAsiaTheme="minorEastAsia"/>
              </w:rPr>
              <w:t>1.</w:t>
            </w:r>
            <w:r>
              <w:rPr>
                <w:rFonts w:hint="eastAsia" w:asciiTheme="minorEastAsia" w:hAnsiTheme="minorEastAsia" w:eastAsiaTheme="minorEastAsia"/>
              </w:rPr>
              <w:t>8项规定</w:t>
            </w:r>
          </w:p>
        </w:tc>
      </w:tr>
      <w:tr w14:paraId="2DB9221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31BE70F8">
            <w:pPr>
              <w:spacing w:line="460" w:lineRule="exact"/>
              <w:jc w:val="center"/>
              <w:rPr>
                <w:rFonts w:hint="eastAsia" w:asciiTheme="minorEastAsia" w:hAnsiTheme="minorEastAsia" w:eastAsiaTheme="minorEastAsia"/>
                <w:spacing w:val="-18"/>
              </w:rPr>
            </w:pPr>
            <w:r>
              <w:rPr>
                <w:rFonts w:hint="eastAsia" w:asciiTheme="minorEastAsia" w:hAnsiTheme="minorEastAsia" w:eastAsiaTheme="minorEastAsia"/>
                <w:b/>
                <w:spacing w:val="-14"/>
              </w:rPr>
              <w:t>2.2.2项评审内容由评标委员会负责，投标文件不符合2.2.2项评审标准的，作无效标处理。</w:t>
            </w:r>
          </w:p>
        </w:tc>
      </w:tr>
      <w:tr w14:paraId="6508D0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0A3F7252">
            <w:pPr>
              <w:spacing w:line="320" w:lineRule="exact"/>
              <w:jc w:val="center"/>
              <w:rPr>
                <w:rFonts w:ascii="宋体"/>
                <w:b/>
              </w:rPr>
            </w:pPr>
            <w:r>
              <w:rPr>
                <w:rFonts w:hint="eastAsia" w:ascii="宋体"/>
                <w:b/>
              </w:rPr>
              <w:t>2.3详细评审</w:t>
            </w:r>
          </w:p>
        </w:tc>
      </w:tr>
    </w:tbl>
    <w:tbl>
      <w:tblPr>
        <w:tblStyle w:val="26"/>
        <w:tblpPr w:leftFromText="180" w:rightFromText="180" w:vertAnchor="text" w:horzAnchor="page" w:tblpX="1184" w:tblpY="571"/>
        <w:tblOverlap w:val="never"/>
        <w:tblW w:w="100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8"/>
        <w:gridCol w:w="1180"/>
        <w:gridCol w:w="7302"/>
        <w:gridCol w:w="779"/>
      </w:tblGrid>
      <w:tr w14:paraId="7D9EF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tcBorders>
              <w:right w:val="single" w:color="auto" w:sz="4" w:space="0"/>
            </w:tcBorders>
            <w:vAlign w:val="center"/>
          </w:tcPr>
          <w:p w14:paraId="355A29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bookmarkStart w:id="236" w:name="_Toc426469921"/>
            <w:r>
              <w:rPr>
                <w:rFonts w:hint="eastAsia" w:ascii="微软雅黑" w:hAnsi="微软雅黑" w:eastAsia="微软雅黑" w:cs="微软雅黑"/>
                <w:szCs w:val="21"/>
              </w:rPr>
              <w:t>序号</w:t>
            </w:r>
          </w:p>
        </w:tc>
        <w:tc>
          <w:tcPr>
            <w:tcW w:w="1180" w:type="dxa"/>
            <w:tcBorders>
              <w:left w:val="single" w:color="auto" w:sz="4" w:space="0"/>
            </w:tcBorders>
            <w:vAlign w:val="center"/>
          </w:tcPr>
          <w:p w14:paraId="3D0ED04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评审因素</w:t>
            </w:r>
          </w:p>
        </w:tc>
        <w:tc>
          <w:tcPr>
            <w:tcW w:w="7302" w:type="dxa"/>
            <w:tcBorders>
              <w:right w:val="single" w:color="auto" w:sz="4" w:space="0"/>
            </w:tcBorders>
            <w:vAlign w:val="center"/>
          </w:tcPr>
          <w:p w14:paraId="4FBE031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评审标准</w:t>
            </w:r>
          </w:p>
        </w:tc>
        <w:tc>
          <w:tcPr>
            <w:tcW w:w="779" w:type="dxa"/>
            <w:tcBorders>
              <w:left w:val="single" w:color="auto" w:sz="4" w:space="0"/>
            </w:tcBorders>
            <w:vAlign w:val="center"/>
          </w:tcPr>
          <w:p w14:paraId="7D1CB49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分值</w:t>
            </w:r>
          </w:p>
        </w:tc>
      </w:tr>
      <w:tr w14:paraId="4DD0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tcBorders>
              <w:right w:val="single" w:color="auto" w:sz="4" w:space="0"/>
            </w:tcBorders>
            <w:vAlign w:val="center"/>
          </w:tcPr>
          <w:p w14:paraId="676CA163">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1</w:t>
            </w:r>
          </w:p>
        </w:tc>
        <w:tc>
          <w:tcPr>
            <w:tcW w:w="1180" w:type="dxa"/>
            <w:tcBorders>
              <w:left w:val="single" w:color="auto" w:sz="4" w:space="0"/>
            </w:tcBorders>
            <w:vAlign w:val="center"/>
          </w:tcPr>
          <w:p w14:paraId="388E9D4E">
            <w:pPr>
              <w:pStyle w:val="62"/>
              <w:spacing w:line="360" w:lineRule="auto"/>
              <w:jc w:val="center"/>
              <w:rPr>
                <w:rFonts w:hint="eastAsia" w:ascii="宋体" w:hAnsi="宋体" w:cs="宋体"/>
              </w:rPr>
            </w:pPr>
            <w:r>
              <w:rPr>
                <w:rFonts w:hint="eastAsia" w:ascii="宋体" w:hAnsi="宋体" w:cs="宋体"/>
              </w:rPr>
              <w:t>报价</w:t>
            </w:r>
          </w:p>
          <w:p w14:paraId="64095D69">
            <w:pPr>
              <w:pStyle w:val="62"/>
              <w:spacing w:line="360" w:lineRule="auto"/>
              <w:rPr>
                <w:rFonts w:hint="eastAsia" w:ascii="微软雅黑" w:hAnsi="微软雅黑" w:eastAsia="微软雅黑" w:cs="微软雅黑"/>
                <w:sz w:val="21"/>
                <w:szCs w:val="21"/>
              </w:rPr>
            </w:pPr>
            <w:r>
              <w:rPr>
                <w:rFonts w:hint="eastAsia" w:ascii="宋体" w:hAnsi="宋体" w:cs="宋体"/>
              </w:rPr>
              <w:t>（20分）</w:t>
            </w:r>
          </w:p>
        </w:tc>
        <w:tc>
          <w:tcPr>
            <w:tcW w:w="7302" w:type="dxa"/>
            <w:tcBorders>
              <w:right w:val="single" w:color="auto" w:sz="4" w:space="0"/>
            </w:tcBorders>
            <w:vAlign w:val="center"/>
          </w:tcPr>
          <w:p w14:paraId="5E6245BF">
            <w:pPr>
              <w:pStyle w:val="62"/>
              <w:spacing w:line="360" w:lineRule="auto"/>
              <w:ind w:firstLine="480" w:firstLineChars="200"/>
              <w:jc w:val="left"/>
              <w:rPr>
                <w:rFonts w:hint="eastAsia" w:ascii="宋体" w:hAnsi="宋体" w:cs="宋体"/>
              </w:rPr>
            </w:pPr>
            <w:r>
              <w:rPr>
                <w:rFonts w:hint="eastAsia" w:ascii="宋体" w:hAnsi="宋体" w:cs="宋体"/>
              </w:rPr>
              <w:t>1.价格分采用低价优先法计算，即满足采购文件要求且报价最低的投标人的最终报价为评标基准价，其价格分为满分20分，其它投标人的价格分统一按照以下公式计算：</w:t>
            </w:r>
          </w:p>
          <w:p w14:paraId="747420BB">
            <w:pPr>
              <w:pStyle w:val="62"/>
              <w:spacing w:line="360" w:lineRule="auto"/>
              <w:jc w:val="left"/>
              <w:rPr>
                <w:rFonts w:hint="eastAsia" w:ascii="宋体" w:hAnsi="宋体" w:cs="宋体"/>
              </w:rPr>
            </w:pPr>
            <w:r>
              <w:rPr>
                <w:rFonts w:hint="eastAsia" w:ascii="宋体" w:hAnsi="宋体" w:cs="宋体"/>
              </w:rPr>
              <w:t>报价得分=（评标基准价/该供应商的投标报价）×20分。</w:t>
            </w:r>
          </w:p>
          <w:p w14:paraId="68FD3150">
            <w:pPr>
              <w:pStyle w:val="62"/>
              <w:spacing w:line="360" w:lineRule="auto"/>
              <w:ind w:firstLine="480" w:firstLineChars="200"/>
              <w:jc w:val="left"/>
              <w:rPr>
                <w:rFonts w:hint="eastAsia" w:ascii="宋体" w:hAnsi="宋体" w:cs="宋体"/>
              </w:rPr>
            </w:pPr>
            <w:r>
              <w:rPr>
                <w:rFonts w:hint="eastAsia" w:ascii="宋体" w:hAnsi="宋体" w:cs="宋体"/>
              </w:rPr>
              <w:t>2.评审过程中出现下列情形之一的，评审委员会应当启动异常低价投标（响应）审查程序：</w:t>
            </w:r>
          </w:p>
          <w:p w14:paraId="0EC73D60">
            <w:pPr>
              <w:pStyle w:val="62"/>
              <w:spacing w:line="360" w:lineRule="auto"/>
              <w:ind w:firstLine="480" w:firstLineChars="200"/>
              <w:jc w:val="left"/>
              <w:rPr>
                <w:rFonts w:hint="eastAsia" w:ascii="宋体" w:hAnsi="宋体" w:cs="宋体"/>
              </w:rPr>
            </w:pPr>
            <w:r>
              <w:rPr>
                <w:rFonts w:hint="eastAsia" w:ascii="宋体" w:hAnsi="宋体" w:cs="宋体"/>
              </w:rPr>
              <w:t>2.1投标（响应）报价低于全部通过符合性审查供应商投标（响应）报价平均值50%的，即投标（响应）报价&lt;全部通过符合性审查供应商投标（响应）报价平均值×50%；</w:t>
            </w:r>
          </w:p>
          <w:p w14:paraId="31C18179">
            <w:pPr>
              <w:pStyle w:val="62"/>
              <w:spacing w:line="360" w:lineRule="auto"/>
              <w:ind w:firstLine="480" w:firstLineChars="200"/>
              <w:jc w:val="left"/>
              <w:rPr>
                <w:rFonts w:hint="eastAsia" w:ascii="宋体" w:hAnsi="宋体" w:cs="宋体"/>
              </w:rPr>
            </w:pPr>
            <w:r>
              <w:rPr>
                <w:rFonts w:hint="eastAsia" w:ascii="宋体" w:hAnsi="宋体" w:cs="宋体"/>
              </w:rPr>
              <w:t>2.2投标（响应）报价低于通过符合性审查的次低报价供应商投标（响应）报价50%的，即投标（响应）报价&lt;通过符合性审查的次低报价供应商投标（响应）报价×50%；</w:t>
            </w:r>
          </w:p>
          <w:p w14:paraId="0233C98C">
            <w:pPr>
              <w:pStyle w:val="62"/>
              <w:spacing w:line="360" w:lineRule="auto"/>
              <w:ind w:firstLine="480" w:firstLineChars="200"/>
              <w:jc w:val="left"/>
              <w:rPr>
                <w:rFonts w:hint="eastAsia" w:ascii="宋体" w:hAnsi="宋体" w:cs="宋体"/>
              </w:rPr>
            </w:pPr>
            <w:r>
              <w:rPr>
                <w:rFonts w:hint="eastAsia" w:ascii="宋体" w:hAnsi="宋体" w:cs="宋体"/>
              </w:rPr>
              <w:t>2.3投标（响应）报价低于采购项目最高限价45%的，即投标（响应）报价&lt;采购项目最高限价×45%；</w:t>
            </w:r>
          </w:p>
          <w:p w14:paraId="59ECD386">
            <w:pPr>
              <w:pStyle w:val="62"/>
              <w:spacing w:line="360" w:lineRule="auto"/>
              <w:ind w:firstLine="480" w:firstLineChars="200"/>
              <w:jc w:val="left"/>
              <w:rPr>
                <w:rFonts w:hint="eastAsia" w:ascii="宋体" w:hAnsi="宋体" w:cs="宋体"/>
              </w:rPr>
            </w:pPr>
            <w:r>
              <w:rPr>
                <w:rFonts w:hint="eastAsia" w:ascii="宋体" w:hAnsi="宋体" w:cs="宋体"/>
              </w:rPr>
              <w:t>2.4评审委员会认定的供应商报价过低、有可能影响产品质量或者不能诚信履约的其他情形。</w:t>
            </w:r>
          </w:p>
          <w:p w14:paraId="06622F47">
            <w:pPr>
              <w:pStyle w:val="62"/>
              <w:spacing w:line="360" w:lineRule="auto"/>
              <w:ind w:firstLine="480" w:firstLineChars="200"/>
              <w:jc w:val="left"/>
              <w:rPr>
                <w:rFonts w:hint="eastAsia" w:ascii="微软雅黑" w:hAnsi="微软雅黑" w:eastAsia="微软雅黑" w:cs="微软雅黑"/>
                <w:sz w:val="21"/>
                <w:szCs w:val="21"/>
              </w:rPr>
            </w:pPr>
            <w:r>
              <w:rPr>
                <w:rFonts w:hint="eastAsia" w:ascii="宋体" w:hAnsi="宋体" w:cs="宋体"/>
              </w:rPr>
              <w:t>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tc>
        <w:tc>
          <w:tcPr>
            <w:tcW w:w="779" w:type="dxa"/>
            <w:tcBorders>
              <w:left w:val="single" w:color="auto" w:sz="4" w:space="0"/>
            </w:tcBorders>
            <w:vAlign w:val="center"/>
          </w:tcPr>
          <w:p w14:paraId="06B31574">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20分</w:t>
            </w:r>
          </w:p>
        </w:tc>
      </w:tr>
      <w:tr w14:paraId="02505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tcBorders>
              <w:right w:val="single" w:color="auto" w:sz="4" w:space="0"/>
            </w:tcBorders>
            <w:vAlign w:val="center"/>
          </w:tcPr>
          <w:p w14:paraId="4071666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2</w:t>
            </w:r>
          </w:p>
        </w:tc>
        <w:tc>
          <w:tcPr>
            <w:tcW w:w="1180" w:type="dxa"/>
            <w:tcBorders>
              <w:left w:val="single" w:color="auto" w:sz="4" w:space="0"/>
            </w:tcBorders>
            <w:vAlign w:val="center"/>
          </w:tcPr>
          <w:p w14:paraId="5713BAC6">
            <w:pPr>
              <w:ind w:left="-79" w:leftChars="-33" w:firstLine="9" w:firstLineChars="4"/>
              <w:jc w:val="center"/>
              <w:rPr>
                <w:rFonts w:hint="eastAsia" w:ascii="宋体" w:hAnsi="宋体" w:cs="宋体"/>
                <w:bCs/>
                <w:kern w:val="21"/>
              </w:rPr>
            </w:pPr>
            <w:r>
              <w:rPr>
                <w:rFonts w:hint="eastAsia" w:ascii="宋体" w:hAnsi="宋体" w:cs="宋体"/>
              </w:rPr>
              <w:t>投标产品</w:t>
            </w:r>
            <w:r>
              <w:rPr>
                <w:rFonts w:hint="eastAsia" w:ascii="宋体" w:hAnsi="宋体" w:cs="宋体"/>
                <w:bCs/>
                <w:kern w:val="21"/>
              </w:rPr>
              <w:t>技术参数</w:t>
            </w:r>
          </w:p>
          <w:p w14:paraId="61F7100E">
            <w:pPr>
              <w:ind w:left="-79" w:leftChars="-33" w:firstLine="9" w:firstLineChars="4"/>
              <w:jc w:val="center"/>
            </w:pPr>
            <w:r>
              <w:rPr>
                <w:rFonts w:hint="eastAsia" w:ascii="宋体" w:hAnsi="宋体" w:cs="宋体"/>
                <w:bCs/>
                <w:kern w:val="21"/>
              </w:rPr>
              <w:t>（30分）</w:t>
            </w:r>
          </w:p>
        </w:tc>
        <w:tc>
          <w:tcPr>
            <w:tcW w:w="7302" w:type="dxa"/>
            <w:tcBorders>
              <w:right w:val="single" w:color="auto" w:sz="4" w:space="0"/>
            </w:tcBorders>
            <w:vAlign w:val="center"/>
          </w:tcPr>
          <w:p w14:paraId="7D29D726">
            <w:pPr>
              <w:spacing w:line="360" w:lineRule="auto"/>
              <w:rPr>
                <w:rFonts w:hint="eastAsia" w:ascii="宋体" w:hAnsi="宋体" w:cs="宋体"/>
              </w:rPr>
            </w:pPr>
            <w:r>
              <w:rPr>
                <w:rFonts w:hint="eastAsia" w:ascii="宋体" w:hAnsi="宋体" w:cs="宋体"/>
              </w:rPr>
              <w:t>审查响应文件对采购需求中技术指标的响应程度，完全满足或优于招标文件各项参数及技术要求得满分。细则如下：</w:t>
            </w:r>
          </w:p>
          <w:p w14:paraId="1C42EC44">
            <w:pPr>
              <w:spacing w:line="360" w:lineRule="auto"/>
              <w:rPr>
                <w:rFonts w:hint="eastAsia" w:ascii="宋体" w:hAnsi="宋体" w:cs="宋体"/>
              </w:rPr>
            </w:pPr>
            <w:r>
              <w:rPr>
                <w:rFonts w:hint="eastAsia" w:ascii="宋体" w:hAnsi="宋体" w:cs="宋体"/>
              </w:rPr>
              <w:t>1.重要指标满足情况：“▲”号项技术指标，</w:t>
            </w:r>
            <w:bookmarkStart w:id="237" w:name="OLE_LINK13"/>
            <w:r>
              <w:rPr>
                <w:rFonts w:hint="eastAsia" w:ascii="宋体" w:hAnsi="宋体" w:cs="宋体"/>
              </w:rPr>
              <w:t>每有一项不满足招标文件要求的扣2分,此项最多得20分扣完为止。</w:t>
            </w:r>
            <w:bookmarkEnd w:id="237"/>
          </w:p>
          <w:p w14:paraId="031FED83">
            <w:pPr>
              <w:spacing w:line="360" w:lineRule="auto"/>
              <w:rPr>
                <w:rFonts w:hint="eastAsia" w:ascii="宋体" w:hAnsi="宋体" w:cs="宋体"/>
              </w:rPr>
            </w:pPr>
            <w:r>
              <w:rPr>
                <w:rFonts w:hint="eastAsia" w:ascii="宋体" w:hAnsi="宋体" w:cs="宋体"/>
              </w:rPr>
              <w:t>（</w:t>
            </w:r>
            <w:r>
              <w:rPr>
                <w:rFonts w:hint="eastAsia" w:ascii="宋体" w:hAnsi="宋体" w:cs="宋体"/>
                <w:b/>
                <w:bCs/>
              </w:rPr>
              <w:t>注：“▲”的重要指标需在采购需求偏离表中逐项应答且在偏离表最后一列中清晰标明证明文件所在页码，并提供以下任意一种证明材料并加盖投标单位公章：1.功能截图和链接 2 技术参数彩页或厂家技术白皮书，相关证明材料复印件并加盖投标单位公章，未按要求提供的视为负偏离。</w:t>
            </w:r>
            <w:r>
              <w:rPr>
                <w:rFonts w:hint="eastAsia" w:ascii="宋体" w:hAnsi="宋体" w:cs="宋体"/>
              </w:rPr>
              <w:t>）</w:t>
            </w:r>
          </w:p>
          <w:p w14:paraId="01E33E4F">
            <w:pPr>
              <w:spacing w:line="360" w:lineRule="auto"/>
              <w:rPr>
                <w:rFonts w:hint="eastAsia" w:ascii="宋体" w:hAnsi="宋体" w:cs="宋体"/>
              </w:rPr>
            </w:pPr>
            <w:r>
              <w:rPr>
                <w:rFonts w:hint="eastAsia" w:ascii="宋体" w:hAnsi="宋体" w:cs="宋体"/>
              </w:rPr>
              <w:t>2.一般指标满足情况：未标记“▲”号项为一般指标，每有一个功能子项不满足招标文件要求扣1分,此项最多得10分扣完为止。</w:t>
            </w:r>
          </w:p>
          <w:p w14:paraId="686C6B94">
            <w:pPr>
              <w:overflowPunct w:val="0"/>
              <w:topLinePunct/>
              <w:spacing w:line="440" w:lineRule="exact"/>
              <w:jc w:val="left"/>
              <w:textAlignment w:val="top"/>
            </w:pPr>
            <w:r>
              <w:rPr>
                <w:rFonts w:hint="eastAsia" w:ascii="宋体" w:hAnsi="宋体" w:cs="宋体"/>
              </w:rPr>
              <w:t>（</w:t>
            </w:r>
            <w:r>
              <w:rPr>
                <w:rFonts w:hint="eastAsia" w:ascii="宋体" w:hAnsi="宋体" w:cs="宋体"/>
                <w:b/>
                <w:bCs/>
              </w:rPr>
              <w:t>注：未标记“▲”的一般指标需在采购需求偏离表中逐项应答，未按要求提供的视为负偏离。</w:t>
            </w:r>
            <w:r>
              <w:rPr>
                <w:rFonts w:hint="eastAsia" w:ascii="宋体" w:hAnsi="宋体" w:cs="宋体"/>
              </w:rPr>
              <w:t>）</w:t>
            </w:r>
          </w:p>
        </w:tc>
        <w:tc>
          <w:tcPr>
            <w:tcW w:w="779" w:type="dxa"/>
            <w:tcBorders>
              <w:left w:val="single" w:color="auto" w:sz="4" w:space="0"/>
            </w:tcBorders>
            <w:vAlign w:val="center"/>
          </w:tcPr>
          <w:p w14:paraId="6FE5814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s="宋体"/>
                <w:bCs/>
                <w:kern w:val="21"/>
              </w:rPr>
            </w:pPr>
            <w:r>
              <w:rPr>
                <w:rFonts w:hint="eastAsia" w:ascii="宋体" w:hAnsi="宋体" w:cs="宋体"/>
                <w:bCs/>
                <w:kern w:val="21"/>
              </w:rPr>
              <w:t>30分</w:t>
            </w:r>
          </w:p>
        </w:tc>
      </w:tr>
      <w:tr w14:paraId="5199C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tcBorders>
              <w:right w:val="single" w:color="auto" w:sz="4" w:space="0"/>
            </w:tcBorders>
            <w:vAlign w:val="center"/>
          </w:tcPr>
          <w:p w14:paraId="3DC55E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3</w:t>
            </w:r>
          </w:p>
        </w:tc>
        <w:tc>
          <w:tcPr>
            <w:tcW w:w="1180" w:type="dxa"/>
            <w:tcBorders>
              <w:left w:val="single" w:color="auto" w:sz="4" w:space="0"/>
            </w:tcBorders>
            <w:vAlign w:val="center"/>
          </w:tcPr>
          <w:p w14:paraId="18E77D59">
            <w:pPr>
              <w:wordWrap w:val="0"/>
              <w:overflowPunct w:val="0"/>
              <w:topLinePunct/>
              <w:jc w:val="center"/>
              <w:textAlignment w:val="top"/>
              <w:rPr>
                <w:rFonts w:hint="eastAsia" w:ascii="宋体" w:hAnsi="宋体" w:cs="宋体"/>
                <w:bCs/>
                <w:kern w:val="21"/>
              </w:rPr>
            </w:pPr>
            <w:r>
              <w:rPr>
                <w:rFonts w:hint="eastAsia" w:ascii="宋体" w:hAnsi="宋体" w:cs="宋体"/>
                <w:bCs/>
                <w:kern w:val="21"/>
              </w:rPr>
              <w:t>类似</w:t>
            </w:r>
          </w:p>
          <w:p w14:paraId="6F1369D2">
            <w:pPr>
              <w:wordWrap w:val="0"/>
              <w:overflowPunct w:val="0"/>
              <w:topLinePunct/>
              <w:jc w:val="center"/>
              <w:textAlignment w:val="top"/>
              <w:rPr>
                <w:rFonts w:hint="eastAsia" w:ascii="宋体" w:hAnsi="宋体" w:cs="宋体"/>
                <w:bCs/>
                <w:kern w:val="21"/>
              </w:rPr>
            </w:pPr>
            <w:r>
              <w:rPr>
                <w:rFonts w:hint="eastAsia" w:ascii="宋体" w:hAnsi="宋体" w:cs="宋体"/>
                <w:bCs/>
                <w:kern w:val="21"/>
              </w:rPr>
              <w:t>业绩</w:t>
            </w:r>
          </w:p>
          <w:p w14:paraId="60536EC2">
            <w:pPr>
              <w:jc w:val="center"/>
            </w:pPr>
            <w:r>
              <w:rPr>
                <w:rFonts w:hint="eastAsia" w:ascii="宋体" w:hAnsi="宋体" w:cs="宋体"/>
              </w:rPr>
              <w:t>（6</w:t>
            </w:r>
            <w:r>
              <w:rPr>
                <w:rFonts w:hint="eastAsia" w:ascii="宋体" w:hAnsi="宋体" w:cs="宋体"/>
                <w:lang w:val="ru-RU"/>
              </w:rPr>
              <w:t>分</w:t>
            </w:r>
            <w:r>
              <w:rPr>
                <w:rFonts w:hint="eastAsia" w:ascii="宋体" w:hAnsi="宋体" w:cs="宋体"/>
              </w:rPr>
              <w:t>）</w:t>
            </w:r>
          </w:p>
        </w:tc>
        <w:tc>
          <w:tcPr>
            <w:tcW w:w="7302" w:type="dxa"/>
            <w:tcBorders>
              <w:right w:val="single" w:color="auto" w:sz="4" w:space="0"/>
            </w:tcBorders>
            <w:vAlign w:val="center"/>
          </w:tcPr>
          <w:p w14:paraId="7C93687E">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投标人自2022年1月1日（含）以来（以合同签订时间为准）承接过的学校数据类系统软件新建以及运维项目业绩，每一项得2分，本项最高得6分。</w:t>
            </w:r>
          </w:p>
          <w:p w14:paraId="0CF643DB">
            <w:pPr>
              <w:pStyle w:val="22"/>
              <w:spacing w:line="440" w:lineRule="exact"/>
              <w:ind w:firstLine="0" w:firstLineChars="0"/>
              <w:jc w:val="both"/>
              <w:rPr>
                <w:sz w:val="24"/>
              </w:rPr>
            </w:pPr>
            <w:r>
              <w:rPr>
                <w:rFonts w:hint="eastAsia" w:asciiTheme="minorEastAsia" w:hAnsiTheme="minorEastAsia" w:eastAsiaTheme="minorEastAsia" w:cstheme="minorEastAsia"/>
                <w:sz w:val="21"/>
                <w:szCs w:val="21"/>
              </w:rPr>
              <w:t>（注：响应文件中需提供合同复印件及对应合同发票复印件并加盖响应单位公章，不提供不得分。类似业绩日期认定：以签订合同日期为准。同一单位业绩不重复计算。）</w:t>
            </w:r>
          </w:p>
        </w:tc>
        <w:tc>
          <w:tcPr>
            <w:tcW w:w="779" w:type="dxa"/>
            <w:tcBorders>
              <w:left w:val="single" w:color="auto" w:sz="4" w:space="0"/>
            </w:tcBorders>
            <w:vAlign w:val="center"/>
          </w:tcPr>
          <w:p w14:paraId="189F7B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s="宋体"/>
                <w:bCs/>
                <w:kern w:val="21"/>
              </w:rPr>
            </w:pPr>
            <w:r>
              <w:rPr>
                <w:rFonts w:hint="eastAsia" w:ascii="宋体" w:hAnsi="宋体" w:cs="宋体"/>
                <w:bCs/>
                <w:kern w:val="21"/>
              </w:rPr>
              <w:t>6分</w:t>
            </w:r>
          </w:p>
        </w:tc>
      </w:tr>
      <w:tr w14:paraId="7B974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vMerge w:val="restart"/>
            <w:tcBorders>
              <w:right w:val="single" w:color="auto" w:sz="4" w:space="0"/>
            </w:tcBorders>
            <w:vAlign w:val="center"/>
          </w:tcPr>
          <w:p w14:paraId="493A41B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4</w:t>
            </w:r>
          </w:p>
        </w:tc>
        <w:tc>
          <w:tcPr>
            <w:tcW w:w="1180" w:type="dxa"/>
            <w:vMerge w:val="restart"/>
            <w:tcBorders>
              <w:left w:val="single" w:color="auto" w:sz="4" w:space="0"/>
            </w:tcBorders>
            <w:vAlign w:val="center"/>
          </w:tcPr>
          <w:p w14:paraId="2BF7D766">
            <w:pPr>
              <w:ind w:left="-79" w:leftChars="-33" w:firstLine="8" w:firstLineChars="4"/>
              <w:jc w:val="center"/>
              <w:rPr>
                <w:rFonts w:hint="eastAsia" w:ascii="宋体" w:hAnsi="宋体" w:cs="宋体"/>
                <w:bCs/>
                <w:kern w:val="21"/>
              </w:rPr>
            </w:pPr>
            <w:r>
              <w:rPr>
                <w:rFonts w:hint="eastAsia" w:asciiTheme="minorEastAsia" w:hAnsiTheme="minorEastAsia" w:eastAsiaTheme="minorEastAsia" w:cstheme="minorEastAsia"/>
                <w:kern w:val="2"/>
                <w:sz w:val="21"/>
                <w:szCs w:val="21"/>
              </w:rPr>
              <w:t>履约能力</w:t>
            </w:r>
            <w:r>
              <w:rPr>
                <w:rFonts w:hint="eastAsia" w:ascii="宋体" w:hAnsi="宋体" w:cs="宋体"/>
              </w:rPr>
              <w:t>（15分）</w:t>
            </w:r>
          </w:p>
        </w:tc>
        <w:tc>
          <w:tcPr>
            <w:tcW w:w="7302" w:type="dxa"/>
            <w:tcBorders>
              <w:right w:val="single" w:color="auto" w:sz="4" w:space="0"/>
            </w:tcBorders>
            <w:vAlign w:val="center"/>
          </w:tcPr>
          <w:p w14:paraId="18D3B586">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供应商具有以下企业规范类资质：</w:t>
            </w:r>
          </w:p>
          <w:p w14:paraId="4288430E">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1.有效期内的质量管理体系认证证书，认证范围为与计算机相关的，得1分；</w:t>
            </w:r>
          </w:p>
          <w:p w14:paraId="52A74983">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2.有效期内的环境管理体系认证证书，认证范围需要与计算机相关的，得1分；</w:t>
            </w:r>
          </w:p>
          <w:p w14:paraId="73531B36">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3.有效期内的信息安全管理体系认证证书，认证范围需要与计算机相关的，得1分；</w:t>
            </w:r>
          </w:p>
          <w:p w14:paraId="794F07E4">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4.有效期内的职业健康安全管理体系证书，认证范围需要与计算机相关的，得1分。</w:t>
            </w:r>
          </w:p>
          <w:p w14:paraId="43F11D1B">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5.有效期内的信息技术服务管理体系认证证书，得2分；</w:t>
            </w:r>
          </w:p>
          <w:p w14:paraId="3621E846">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6.有效期内的数据治理管理体系认证证书，得2分；</w:t>
            </w:r>
          </w:p>
          <w:p w14:paraId="5C160FAC">
            <w:pPr>
              <w:adjustRightInd w:val="0"/>
              <w:spacing w:line="360" w:lineRule="auto"/>
              <w:rPr>
                <w:rFonts w:hint="eastAsia" w:ascii="宋体" w:hAnsi="宋体" w:cs="宋体"/>
                <w:b/>
                <w:kern w:val="21"/>
              </w:rPr>
            </w:pPr>
            <w:r>
              <w:rPr>
                <w:rFonts w:hint="eastAsia" w:asciiTheme="minorEastAsia" w:hAnsiTheme="minorEastAsia" w:eastAsiaTheme="minorEastAsia" w:cstheme="minorEastAsia"/>
                <w:b/>
                <w:bCs/>
                <w:sz w:val="21"/>
                <w:szCs w:val="21"/>
              </w:rPr>
              <w:t>（注：响应文件中须提供以上证书有效期内的证书复印件或网络查询截图，并加盖响应单位公章。未按要求提供或未提供不得分。）</w:t>
            </w:r>
          </w:p>
        </w:tc>
        <w:tc>
          <w:tcPr>
            <w:tcW w:w="779" w:type="dxa"/>
            <w:tcBorders>
              <w:left w:val="single" w:color="auto" w:sz="4" w:space="0"/>
            </w:tcBorders>
            <w:vAlign w:val="center"/>
          </w:tcPr>
          <w:p w14:paraId="4377BBE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s="宋体"/>
                <w:bCs/>
                <w:kern w:val="21"/>
              </w:rPr>
            </w:pPr>
            <w:r>
              <w:rPr>
                <w:rFonts w:hint="eastAsia" w:ascii="宋体" w:hAnsi="宋体" w:cs="宋体"/>
                <w:bCs/>
                <w:kern w:val="21"/>
              </w:rPr>
              <w:t>8分</w:t>
            </w:r>
          </w:p>
        </w:tc>
      </w:tr>
      <w:tr w14:paraId="5662D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768" w:type="dxa"/>
            <w:vMerge w:val="continue"/>
            <w:tcBorders>
              <w:right w:val="single" w:color="auto" w:sz="4" w:space="0"/>
            </w:tcBorders>
            <w:vAlign w:val="center"/>
          </w:tcPr>
          <w:p w14:paraId="1AB0838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微软雅黑" w:hAnsi="微软雅黑" w:eastAsia="微软雅黑" w:cs="微软雅黑"/>
                <w:szCs w:val="21"/>
              </w:rPr>
            </w:pPr>
          </w:p>
        </w:tc>
        <w:tc>
          <w:tcPr>
            <w:tcW w:w="1180" w:type="dxa"/>
            <w:vMerge w:val="continue"/>
            <w:tcBorders>
              <w:left w:val="single" w:color="auto" w:sz="4" w:space="0"/>
            </w:tcBorders>
            <w:vAlign w:val="center"/>
          </w:tcPr>
          <w:p w14:paraId="649AD15B">
            <w:pPr>
              <w:ind w:left="-79" w:leftChars="-33" w:firstLine="8" w:firstLineChars="4"/>
              <w:jc w:val="center"/>
              <w:rPr>
                <w:rFonts w:hint="eastAsia" w:asciiTheme="minorEastAsia" w:hAnsiTheme="minorEastAsia" w:eastAsiaTheme="minorEastAsia" w:cstheme="minorEastAsia"/>
                <w:kern w:val="2"/>
                <w:sz w:val="21"/>
                <w:szCs w:val="21"/>
              </w:rPr>
            </w:pPr>
          </w:p>
        </w:tc>
        <w:tc>
          <w:tcPr>
            <w:tcW w:w="7302" w:type="dxa"/>
            <w:tcBorders>
              <w:right w:val="single" w:color="auto" w:sz="4" w:space="0"/>
            </w:tcBorders>
            <w:vAlign w:val="center"/>
          </w:tcPr>
          <w:p w14:paraId="0E106DFD">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cstheme="minorEastAsia"/>
                <w:kern w:val="2"/>
                <w:sz w:val="21"/>
                <w:szCs w:val="21"/>
              </w:rPr>
              <w:t>本项目需要信创适配及大数据整理工作，项目成员需要有先关能力。</w:t>
            </w:r>
          </w:p>
          <w:p w14:paraId="709CC16A">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1.供应商拟投入本项目的项目经理具有高级信息系统项目管理师证书，得3分。</w:t>
            </w:r>
          </w:p>
          <w:p w14:paraId="568C4889">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2.供应商拟投入本项目的项目组成员（除项目经理以外）具有以下相关证书：</w:t>
            </w:r>
          </w:p>
          <w:p w14:paraId="065AF9FD">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（1）高级大数据分析师，得1分。</w:t>
            </w:r>
          </w:p>
          <w:p w14:paraId="429371B6">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（2）高级大数据应用工程师，得1分。</w:t>
            </w:r>
          </w:p>
          <w:p w14:paraId="0647AECA">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（3）信创规划管理师，得1分。</w:t>
            </w:r>
          </w:p>
          <w:p w14:paraId="238CFCDC">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（4）信创集成项目管理师，得1分。</w:t>
            </w:r>
          </w:p>
          <w:p w14:paraId="5A8BA8DC">
            <w:pPr>
              <w:spacing w:line="360" w:lineRule="auto"/>
              <w:rPr>
                <w:rFonts w:hint="eastAsia" w:ascii="宋体" w:hAnsi="宋体" w:cs="宋体"/>
              </w:rPr>
            </w:pPr>
            <w:r>
              <w:rPr>
                <w:rFonts w:hint="eastAsia" w:asciiTheme="minorEastAsia" w:hAnsiTheme="minorEastAsia" w:eastAsiaTheme="minorEastAsia" w:cstheme="minorEastAsia"/>
                <w:b/>
                <w:bCs/>
                <w:sz w:val="21"/>
                <w:szCs w:val="21"/>
              </w:rPr>
              <w:t>（注：以上人员（项目经理、项目组成员），响应文件中须提供人员相关证书复印件、职称证书复印件、有效身份证明复印件以及响应单位为其缴纳的最近一期社保证明复印件，并加盖响应单位公章，未提供不得分。）</w:t>
            </w:r>
          </w:p>
        </w:tc>
        <w:tc>
          <w:tcPr>
            <w:tcW w:w="779" w:type="dxa"/>
            <w:tcBorders>
              <w:left w:val="single" w:color="auto" w:sz="4" w:space="0"/>
            </w:tcBorders>
            <w:vAlign w:val="center"/>
          </w:tcPr>
          <w:p w14:paraId="577ECF1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s="宋体"/>
                <w:bCs/>
                <w:kern w:val="21"/>
              </w:rPr>
            </w:pPr>
            <w:r>
              <w:rPr>
                <w:rFonts w:hint="eastAsia" w:ascii="宋体" w:hAnsi="宋体" w:cs="宋体"/>
                <w:bCs/>
                <w:kern w:val="21"/>
              </w:rPr>
              <w:t>7分</w:t>
            </w:r>
          </w:p>
        </w:tc>
      </w:tr>
      <w:tr w14:paraId="28AF5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768" w:type="dxa"/>
            <w:tcBorders>
              <w:right w:val="single" w:color="auto" w:sz="4" w:space="0"/>
            </w:tcBorders>
            <w:vAlign w:val="center"/>
          </w:tcPr>
          <w:p w14:paraId="50032769">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5</w:t>
            </w:r>
          </w:p>
        </w:tc>
        <w:tc>
          <w:tcPr>
            <w:tcW w:w="1180" w:type="dxa"/>
            <w:tcBorders>
              <w:left w:val="single" w:color="auto" w:sz="4" w:space="0"/>
            </w:tcBorders>
            <w:vAlign w:val="center"/>
          </w:tcPr>
          <w:p w14:paraId="7F4F97F4">
            <w:pPr>
              <w:wordWrap w:val="0"/>
              <w:overflowPunct w:val="0"/>
              <w:topLinePunct/>
              <w:jc w:val="center"/>
              <w:textAlignment w:val="top"/>
              <w:rPr>
                <w:rFonts w:hint="eastAsia" w:ascii="宋体" w:hAnsi="宋体" w:cs="宋体"/>
                <w:bCs/>
                <w:kern w:val="21"/>
              </w:rPr>
            </w:pPr>
            <w:r>
              <w:rPr>
                <w:rFonts w:hint="eastAsia" w:asciiTheme="minorEastAsia" w:hAnsiTheme="minorEastAsia" w:eastAsiaTheme="minorEastAsia" w:cstheme="minorEastAsia"/>
                <w:kern w:val="2"/>
                <w:sz w:val="21"/>
                <w:szCs w:val="21"/>
              </w:rPr>
              <w:t>服务承诺</w:t>
            </w:r>
            <w:r>
              <w:rPr>
                <w:rFonts w:hint="eastAsia" w:ascii="宋体" w:hAnsi="宋体" w:cs="宋体"/>
              </w:rPr>
              <w:t>（5分</w:t>
            </w:r>
            <w:r>
              <w:rPr>
                <w:rFonts w:hint="eastAsia"/>
              </w:rPr>
              <w:t>）</w:t>
            </w:r>
          </w:p>
        </w:tc>
        <w:tc>
          <w:tcPr>
            <w:tcW w:w="7302" w:type="dxa"/>
            <w:tcBorders>
              <w:right w:val="single" w:color="auto" w:sz="4" w:space="0"/>
            </w:tcBorders>
            <w:vAlign w:val="center"/>
          </w:tcPr>
          <w:p w14:paraId="3D05402D">
            <w:pPr>
              <w:adjustRightInd w:val="0"/>
              <w:spacing w:line="360" w:lineRule="auto"/>
              <w:textAlignment w:val="baseline"/>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1.供应商承诺本期项目建设在招标需求范文内对监控子模块呈现内容采用完全定制化改造与开发的方式进行交付，提供承诺函（格式自拟）并加盖供应商公章得3分。</w:t>
            </w:r>
          </w:p>
          <w:p w14:paraId="4BDEF9EB">
            <w:pPr>
              <w:adjustRightInd w:val="0"/>
              <w:spacing w:line="360" w:lineRule="auto"/>
              <w:textAlignment w:val="baseline"/>
              <w:rPr>
                <w:rFonts w:hint="eastAsia" w:asciiTheme="minorEastAsia" w:hAnsiTheme="minorEastAsia" w:eastAsiaTheme="minorEastAsia" w:cstheme="minorEastAsia"/>
                <w:kern w:val="2"/>
                <w:sz w:val="21"/>
                <w:szCs w:val="21"/>
              </w:rPr>
            </w:pPr>
            <w:bookmarkStart w:id="238" w:name="_Hlk152854893"/>
            <w:r>
              <w:rPr>
                <w:rFonts w:hint="eastAsia" w:asciiTheme="minorEastAsia" w:hAnsiTheme="minorEastAsia" w:eastAsiaTheme="minorEastAsia" w:cstheme="minorEastAsia"/>
                <w:b/>
                <w:bCs/>
                <w:kern w:val="2"/>
                <w:sz w:val="21"/>
                <w:szCs w:val="21"/>
              </w:rPr>
              <w:t>（注：</w:t>
            </w:r>
            <w:bookmarkEnd w:id="238"/>
            <w:r>
              <w:rPr>
                <w:rFonts w:hint="eastAsia" w:asciiTheme="minorEastAsia" w:hAnsiTheme="minorEastAsia" w:eastAsiaTheme="minorEastAsia" w:cstheme="minorEastAsia"/>
                <w:b/>
                <w:bCs/>
                <w:kern w:val="2"/>
                <w:sz w:val="21"/>
                <w:szCs w:val="21"/>
              </w:rPr>
              <w:t>响应文件中提供承诺函并加盖响应单位公章，未提供不得分。）</w:t>
            </w:r>
          </w:p>
          <w:p w14:paraId="77619698">
            <w:pPr>
              <w:spacing w:line="360" w:lineRule="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2.可免费开放平台中数据，提供标准化数据接口供学校其他平台调用，学校不另外支付任何对接费用。投标时提供对接承诺服务函并盖投标人公章得2分。</w:t>
            </w:r>
          </w:p>
          <w:p w14:paraId="1A546D77">
            <w:pPr>
              <w:pStyle w:val="9"/>
              <w:rPr>
                <w:rFonts w:hint="eastAsia" w:ascii="宋体" w:hAnsi="宋体" w:cs="宋体"/>
                <w:b/>
                <w:kern w:val="21"/>
              </w:rPr>
            </w:pPr>
            <w:r>
              <w:rPr>
                <w:rFonts w:hint="eastAsia" w:asciiTheme="minorEastAsia" w:hAnsiTheme="minorEastAsia" w:eastAsiaTheme="minorEastAsia" w:cstheme="minorEastAsia"/>
                <w:b/>
                <w:bCs/>
                <w:kern w:val="2"/>
                <w:sz w:val="21"/>
                <w:szCs w:val="21"/>
              </w:rPr>
              <w:t>（注：响应文件中提供承诺函并加盖响应单位公章，未提供不得分。）</w:t>
            </w:r>
          </w:p>
        </w:tc>
        <w:tc>
          <w:tcPr>
            <w:tcW w:w="779" w:type="dxa"/>
            <w:tcBorders>
              <w:left w:val="single" w:color="auto" w:sz="4" w:space="0"/>
            </w:tcBorders>
            <w:vAlign w:val="center"/>
          </w:tcPr>
          <w:p w14:paraId="16A06C49">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5分</w:t>
            </w:r>
          </w:p>
        </w:tc>
      </w:tr>
      <w:tr w14:paraId="3BB6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768" w:type="dxa"/>
            <w:tcBorders>
              <w:right w:val="single" w:color="auto" w:sz="4" w:space="0"/>
            </w:tcBorders>
            <w:vAlign w:val="center"/>
          </w:tcPr>
          <w:p w14:paraId="6052F79D">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6</w:t>
            </w:r>
          </w:p>
        </w:tc>
        <w:tc>
          <w:tcPr>
            <w:tcW w:w="1180" w:type="dxa"/>
            <w:tcBorders>
              <w:left w:val="single" w:color="auto" w:sz="4" w:space="0"/>
            </w:tcBorders>
            <w:vAlign w:val="center"/>
          </w:tcPr>
          <w:p w14:paraId="7B8180CF">
            <w:pPr>
              <w:wordWrap w:val="0"/>
              <w:overflowPunct w:val="0"/>
              <w:topLinePunct/>
              <w:jc w:val="center"/>
              <w:textAlignment w:val="top"/>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项目实施方案</w:t>
            </w:r>
          </w:p>
          <w:p w14:paraId="3F5CC348">
            <w:pPr>
              <w:wordWrap w:val="0"/>
              <w:overflowPunct w:val="0"/>
              <w:topLinePunct/>
              <w:jc w:val="center"/>
              <w:textAlignment w:val="top"/>
              <w:rPr>
                <w:rFonts w:hint="eastAsia" w:ascii="宋体" w:hAnsi="宋体" w:cs="宋体"/>
                <w:bCs/>
                <w:kern w:val="21"/>
              </w:rPr>
            </w:pPr>
            <w:r>
              <w:rPr>
                <w:rFonts w:hint="eastAsia" w:ascii="宋体" w:hAnsi="宋体" w:cs="宋体"/>
              </w:rPr>
              <w:t>（6分）</w:t>
            </w:r>
          </w:p>
        </w:tc>
        <w:tc>
          <w:tcPr>
            <w:tcW w:w="7302" w:type="dxa"/>
            <w:tcBorders>
              <w:right w:val="single" w:color="auto" w:sz="4" w:space="0"/>
            </w:tcBorders>
            <w:vAlign w:val="center"/>
          </w:tcPr>
          <w:p w14:paraId="6B33ED20">
            <w:pPr>
              <w:spacing w:line="360" w:lineRule="auto"/>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根据供应商提供的项目实施方案进行综合评分：</w:t>
            </w:r>
          </w:p>
          <w:p w14:paraId="770A6FA9">
            <w:pPr>
              <w:spacing w:line="360" w:lineRule="auto"/>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1.方案针对本次采购项目具备详细的实施计划（包含里程碑节点、计划管理、合理的项目组织架构与人员分工），内容需具备较强的针对性和可操作性；</w:t>
            </w:r>
          </w:p>
          <w:p w14:paraId="61F3454D">
            <w:pPr>
              <w:spacing w:line="360" w:lineRule="auto"/>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2.方案针对本次项目过程管理有明确的流程和规范，包括项目沟通、问题处理、文件管理、风险管控等过程管理。</w:t>
            </w:r>
          </w:p>
          <w:p w14:paraId="7EE49957">
            <w:pPr>
              <w:spacing w:line="360" w:lineRule="auto"/>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3.针对本次提供详细的技术方案，能够满足项目需求和预期目标，并且方案要符合先进性、可行性要求。</w:t>
            </w:r>
          </w:p>
          <w:p w14:paraId="13A2EB36">
            <w:pPr>
              <w:spacing w:line="360" w:lineRule="auto"/>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4.项目交付预验收管理，针对交付内容、交付标准具有规范的管控与执行。</w:t>
            </w:r>
          </w:p>
          <w:p w14:paraId="738B7AA0">
            <w:pPr>
              <w:spacing w:line="360" w:lineRule="auto"/>
              <w:jc w:val="left"/>
              <w:rPr>
                <w:rFonts w:hint="eastAsia" w:ascii="宋体" w:hAnsi="宋体" w:cs="宋体"/>
                <w:b/>
                <w:kern w:val="21"/>
              </w:rPr>
            </w:pPr>
            <w:r>
              <w:rPr>
                <w:rFonts w:hint="eastAsia" w:asciiTheme="minorEastAsia" w:hAnsiTheme="minorEastAsia" w:eastAsiaTheme="minorEastAsia" w:cstheme="minorEastAsia"/>
                <w:sz w:val="21"/>
                <w:szCs w:val="21"/>
              </w:rPr>
              <w:t>上述每项应逐条叙述，内容完整，条理清晰的得1.5分;内容基本完整，条理较为清晰的得1分;每项叙述内容完全脱离采购需求或未作完整叙述的不得分。</w:t>
            </w:r>
          </w:p>
        </w:tc>
        <w:tc>
          <w:tcPr>
            <w:tcW w:w="779" w:type="dxa"/>
            <w:tcBorders>
              <w:left w:val="single" w:color="auto" w:sz="4" w:space="0"/>
            </w:tcBorders>
            <w:vAlign w:val="center"/>
          </w:tcPr>
          <w:p w14:paraId="5A43EA5C">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6分</w:t>
            </w:r>
          </w:p>
        </w:tc>
      </w:tr>
      <w:tr w14:paraId="03A41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768" w:type="dxa"/>
            <w:tcBorders>
              <w:right w:val="single" w:color="auto" w:sz="4" w:space="0"/>
            </w:tcBorders>
            <w:vAlign w:val="center"/>
          </w:tcPr>
          <w:p w14:paraId="64C62B8D">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7</w:t>
            </w:r>
          </w:p>
        </w:tc>
        <w:tc>
          <w:tcPr>
            <w:tcW w:w="1180" w:type="dxa"/>
            <w:tcBorders>
              <w:left w:val="single" w:color="auto" w:sz="4" w:space="0"/>
            </w:tcBorders>
            <w:vAlign w:val="center"/>
          </w:tcPr>
          <w:p w14:paraId="12CB6F90">
            <w:pPr>
              <w:wordWrap w:val="0"/>
              <w:overflowPunct w:val="0"/>
              <w:topLinePunct/>
              <w:jc w:val="center"/>
              <w:textAlignment w:val="top"/>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售后服务方案</w:t>
            </w:r>
          </w:p>
          <w:p w14:paraId="52D4571A">
            <w:pPr>
              <w:wordWrap w:val="0"/>
              <w:overflowPunct w:val="0"/>
              <w:topLinePunct/>
              <w:jc w:val="center"/>
              <w:textAlignment w:val="top"/>
              <w:rPr>
                <w:rFonts w:hint="eastAsia" w:ascii="宋体" w:hAnsi="宋体" w:cs="宋体" w:eastAsiaTheme="minorEastAsia"/>
              </w:rPr>
            </w:pPr>
            <w:r>
              <w:rPr>
                <w:rFonts w:hint="eastAsia" w:asciiTheme="minorEastAsia" w:hAnsiTheme="minorEastAsia" w:eastAsiaTheme="minorEastAsia" w:cstheme="minorEastAsia"/>
                <w:kern w:val="2"/>
                <w:sz w:val="21"/>
                <w:szCs w:val="21"/>
              </w:rPr>
              <w:t>（6分）</w:t>
            </w:r>
          </w:p>
        </w:tc>
        <w:tc>
          <w:tcPr>
            <w:tcW w:w="7302" w:type="dxa"/>
            <w:tcBorders>
              <w:right w:val="single" w:color="auto" w:sz="4" w:space="0"/>
            </w:tcBorders>
            <w:vAlign w:val="center"/>
          </w:tcPr>
          <w:p w14:paraId="3A05AB59">
            <w:pPr>
              <w:spacing w:line="36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根据供应商提供的售后服务方案综合评分：</w:t>
            </w:r>
          </w:p>
          <w:p w14:paraId="118AF426">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1.具备完整的售后服务体系包含服务理念、服务规范、服务流程。</w:t>
            </w:r>
          </w:p>
          <w:p w14:paraId="055B1BFF">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2.售后服务内容具体全面，明确列出故障修复、补丁升级、定期巡检（≥1次/季度）、性能优化、备份恢复演练、重大节日保障等全部服务。</w:t>
            </w:r>
          </w:p>
          <w:p w14:paraId="2D87E45A">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3.具备完善的故障解决方案，给出清晰的故障分级定义及流程</w:t>
            </w:r>
          </w:p>
          <w:p w14:paraId="4DC8E876">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4.提供专业技术人员及合理的信息化平台对售后服务进行保障，需满足服务人员分工明确、系统设置合理、响应时间规范的要求。</w:t>
            </w:r>
          </w:p>
          <w:p w14:paraId="42738049">
            <w:pPr>
              <w:spacing w:line="360" w:lineRule="auto"/>
              <w:rPr>
                <w:b/>
                <w:bCs/>
              </w:rPr>
            </w:pPr>
            <w:r>
              <w:rPr>
                <w:rFonts w:hint="eastAsia" w:asciiTheme="minorEastAsia" w:hAnsiTheme="minorEastAsia" w:eastAsiaTheme="minorEastAsia" w:cstheme="minorEastAsia"/>
                <w:sz w:val="21"/>
                <w:szCs w:val="21"/>
              </w:rPr>
              <w:t>上述每项应逐条叙述，内容完整，条理清晰的得1.5分;内容基本完整，条理较为清晰的得1分;每项叙述内容完全脱离采购需求或未作完整叙述的不得分。</w:t>
            </w:r>
          </w:p>
        </w:tc>
        <w:tc>
          <w:tcPr>
            <w:tcW w:w="779" w:type="dxa"/>
            <w:tcBorders>
              <w:left w:val="single" w:color="auto" w:sz="4" w:space="0"/>
            </w:tcBorders>
            <w:vAlign w:val="center"/>
          </w:tcPr>
          <w:p w14:paraId="524B6BFE">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6分</w:t>
            </w:r>
          </w:p>
        </w:tc>
      </w:tr>
      <w:tr w14:paraId="6D1EC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768" w:type="dxa"/>
            <w:tcBorders>
              <w:right w:val="single" w:color="auto" w:sz="4" w:space="0"/>
            </w:tcBorders>
            <w:vAlign w:val="center"/>
          </w:tcPr>
          <w:p w14:paraId="1F27CC90">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8</w:t>
            </w:r>
          </w:p>
        </w:tc>
        <w:tc>
          <w:tcPr>
            <w:tcW w:w="1180" w:type="dxa"/>
            <w:tcBorders>
              <w:left w:val="single" w:color="auto" w:sz="4" w:space="0"/>
            </w:tcBorders>
            <w:vAlign w:val="center"/>
          </w:tcPr>
          <w:p w14:paraId="31B552FD">
            <w:pPr>
              <w:wordWrap w:val="0"/>
              <w:overflowPunct w:val="0"/>
              <w:topLinePunct/>
              <w:jc w:val="center"/>
              <w:textAlignment w:val="top"/>
              <w:rPr>
                <w:rFonts w:hint="eastAsia" w:ascii="宋体" w:hAnsi="宋体" w:cs="宋体"/>
              </w:rPr>
            </w:pPr>
            <w:r>
              <w:rPr>
                <w:rFonts w:hint="eastAsia" w:asciiTheme="minorEastAsia" w:hAnsiTheme="minorEastAsia" w:eastAsiaTheme="minorEastAsia" w:cstheme="minorEastAsia"/>
                <w:kern w:val="2"/>
                <w:sz w:val="21"/>
                <w:szCs w:val="21"/>
              </w:rPr>
              <w:t>治理方案（6分）</w:t>
            </w:r>
          </w:p>
        </w:tc>
        <w:tc>
          <w:tcPr>
            <w:tcW w:w="7302" w:type="dxa"/>
            <w:tcBorders>
              <w:right w:val="single" w:color="auto" w:sz="4" w:space="0"/>
            </w:tcBorders>
            <w:vAlign w:val="center"/>
          </w:tcPr>
          <w:p w14:paraId="4C81DC6A">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根据供应商提供的治理方案综合评分：</w:t>
            </w:r>
          </w:p>
          <w:p w14:paraId="3890A313">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1.具备科学完备的数据集成架构与治理方法，适配校园多源数据治理需求。</w:t>
            </w:r>
          </w:p>
          <w:p w14:paraId="7DA5B80A">
            <w:pPr>
              <w:spacing w:line="360" w:lineRule="auto"/>
              <w:ind w:firstLine="142" w:firstLineChars="68"/>
              <w:jc w:val="left"/>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2.业务治理思路清晰，业务改造及配套治理工具合理适配校园场景。</w:t>
            </w:r>
          </w:p>
          <w:p w14:paraId="5490EBD8">
            <w:pPr>
              <w:spacing w:line="360" w:lineRule="auto"/>
              <w:rPr>
                <w:b/>
                <w:bCs/>
              </w:rPr>
            </w:pPr>
            <w:r>
              <w:rPr>
                <w:rFonts w:hint="eastAsia" w:asciiTheme="minorEastAsia" w:hAnsiTheme="minorEastAsia" w:eastAsiaTheme="minorEastAsia" w:cstheme="minorEastAsia"/>
                <w:sz w:val="21"/>
                <w:szCs w:val="21"/>
              </w:rPr>
              <w:t xml:space="preserve"> 上述每项应逐条叙述，内容完整，条理清晰的得3分;内容基本完整，条理较为清晰的得1分;每项叙述内容完全脱离采购需求或未作完整叙述的不得分。</w:t>
            </w:r>
          </w:p>
        </w:tc>
        <w:tc>
          <w:tcPr>
            <w:tcW w:w="779" w:type="dxa"/>
            <w:tcBorders>
              <w:left w:val="single" w:color="auto" w:sz="4" w:space="0"/>
            </w:tcBorders>
            <w:vAlign w:val="center"/>
          </w:tcPr>
          <w:p w14:paraId="3E7E6504">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6分</w:t>
            </w:r>
          </w:p>
        </w:tc>
      </w:tr>
      <w:tr w14:paraId="2CCBC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768" w:type="dxa"/>
            <w:tcBorders>
              <w:bottom w:val="single" w:color="auto" w:sz="4" w:space="0"/>
              <w:right w:val="single" w:color="auto" w:sz="4" w:space="0"/>
            </w:tcBorders>
            <w:vAlign w:val="center"/>
          </w:tcPr>
          <w:p w14:paraId="4740C931">
            <w:pPr>
              <w:pStyle w:val="62"/>
              <w:spacing w:line="360" w:lineRule="auto"/>
              <w:jc w:val="center"/>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9</w:t>
            </w:r>
          </w:p>
        </w:tc>
        <w:tc>
          <w:tcPr>
            <w:tcW w:w="1180" w:type="dxa"/>
            <w:tcBorders>
              <w:left w:val="single" w:color="auto" w:sz="4" w:space="0"/>
              <w:bottom w:val="single" w:color="auto" w:sz="4" w:space="0"/>
            </w:tcBorders>
            <w:vAlign w:val="center"/>
          </w:tcPr>
          <w:p w14:paraId="21BF2879">
            <w:pPr>
              <w:wordWrap w:val="0"/>
              <w:overflowPunct w:val="0"/>
              <w:topLinePunct/>
              <w:jc w:val="center"/>
              <w:textAlignment w:val="top"/>
              <w:rPr>
                <w:rFonts w:hint="eastAsia" w:ascii="宋体" w:hAnsi="宋体" w:cs="宋体" w:eastAsiaTheme="minorEastAsia"/>
              </w:rPr>
            </w:pPr>
            <w:r>
              <w:rPr>
                <w:rFonts w:hint="eastAsia" w:asciiTheme="minorEastAsia" w:hAnsiTheme="minorEastAsia" w:eastAsiaTheme="minorEastAsia" w:cstheme="minorEastAsia"/>
                <w:kern w:val="2"/>
                <w:sz w:val="21"/>
                <w:szCs w:val="21"/>
              </w:rPr>
              <w:t>培训方案（6分）</w:t>
            </w:r>
          </w:p>
        </w:tc>
        <w:tc>
          <w:tcPr>
            <w:tcW w:w="7302" w:type="dxa"/>
            <w:tcBorders>
              <w:bottom w:val="single" w:color="auto" w:sz="4" w:space="0"/>
              <w:right w:val="single" w:color="auto" w:sz="4" w:space="0"/>
            </w:tcBorders>
            <w:vAlign w:val="center"/>
          </w:tcPr>
          <w:p w14:paraId="0A1EF8F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供应商根据本项目特点，制定培训方案，根据供应商提供的方案综合评分：</w:t>
            </w:r>
          </w:p>
          <w:p w14:paraId="5C5103D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1.培训内容及方法计划(</w:t>
            </w:r>
            <w:r>
              <w:rPr>
                <w:rFonts w:hint="eastAsia" w:asciiTheme="minorEastAsia" w:hAnsiTheme="minorEastAsia" w:eastAsiaTheme="minorEastAsia" w:cstheme="minorEastAsia"/>
                <w:kern w:val="2"/>
                <w:sz w:val="21"/>
                <w:szCs w:val="21"/>
              </w:rPr>
              <w:t>详细的培训计划时间表、课时、考核、里程碑全细化</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2"/>
                <w:sz w:val="21"/>
                <w:szCs w:val="21"/>
              </w:rPr>
              <w:t xml:space="preserve"> ，时间安排合理有效。</w:t>
            </w:r>
          </w:p>
          <w:p w14:paraId="42F608E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2.负责培训人员情况(包括不限于培训老师名单、师资介绍、培训老师管理等);</w:t>
            </w:r>
          </w:p>
          <w:p w14:paraId="03BD993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3.培训内容完整与本项目完全匹配，</w:t>
            </w:r>
            <w:r>
              <w:rPr>
                <w:rFonts w:hint="eastAsia" w:asciiTheme="minorEastAsia" w:hAnsiTheme="minorEastAsia" w:eastAsiaTheme="minorEastAsia" w:cstheme="minorEastAsia"/>
                <w:kern w:val="2"/>
                <w:sz w:val="21"/>
                <w:szCs w:val="21"/>
              </w:rPr>
              <w:t>培训内容课程大纲与系统功能一一对应，并区分被培训对象类型（管理员、业务人员、普通使用人员、校领导等）</w:t>
            </w:r>
            <w:r>
              <w:rPr>
                <w:rFonts w:hint="eastAsia" w:asciiTheme="minorEastAsia" w:hAnsiTheme="minorEastAsia" w:eastAsiaTheme="minorEastAsia" w:cstheme="minorEastAsia"/>
                <w:sz w:val="21"/>
                <w:szCs w:val="21"/>
              </w:rPr>
              <w:t>。</w:t>
            </w:r>
          </w:p>
          <w:p w14:paraId="325AF1B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4.具备完善的培训效果保障措施，能够设置量化验收标准（具有培训结果考核、培训效果不达标的后续改进与保障措施等）。</w:t>
            </w:r>
          </w:p>
          <w:p w14:paraId="68177C08">
            <w:pPr>
              <w:spacing w:line="360" w:lineRule="auto"/>
              <w:jc w:val="left"/>
              <w:rPr>
                <w:b/>
                <w:bCs/>
              </w:rPr>
            </w:pPr>
            <w:r>
              <w:rPr>
                <w:rFonts w:hint="eastAsia" w:asciiTheme="minorEastAsia" w:hAnsiTheme="minorEastAsia" w:eastAsiaTheme="minorEastAsia" w:cstheme="minorEastAsia"/>
                <w:sz w:val="21"/>
                <w:szCs w:val="21"/>
              </w:rPr>
              <w:t>上述每项应逐条叙述，内容完整，条理清晰的得1.5分;内容基本完整，条理较为清晰的得1分;每项叙述内容完全脱离采购需求或未作完整叙述的不得分。</w:t>
            </w:r>
          </w:p>
        </w:tc>
        <w:tc>
          <w:tcPr>
            <w:tcW w:w="779" w:type="dxa"/>
            <w:tcBorders>
              <w:left w:val="single" w:color="auto" w:sz="4" w:space="0"/>
              <w:bottom w:val="single" w:color="auto" w:sz="4" w:space="0"/>
            </w:tcBorders>
            <w:vAlign w:val="center"/>
          </w:tcPr>
          <w:p w14:paraId="168A7ED2">
            <w:pPr>
              <w:pStyle w:val="62"/>
              <w:spacing w:line="360" w:lineRule="auto"/>
              <w:jc w:val="center"/>
              <w:rPr>
                <w:rFonts w:hint="eastAsia" w:ascii="宋体" w:hAnsi="宋体" w:cs="宋体" w:eastAsiaTheme="minorEastAsia"/>
                <w:bCs/>
                <w:kern w:val="21"/>
              </w:rPr>
            </w:pPr>
            <w:r>
              <w:rPr>
                <w:rFonts w:hint="eastAsia" w:ascii="宋体" w:hAnsi="宋体" w:cs="宋体" w:eastAsiaTheme="minorEastAsia"/>
                <w:bCs/>
                <w:kern w:val="21"/>
              </w:rPr>
              <w:t>6分</w:t>
            </w:r>
          </w:p>
        </w:tc>
      </w:tr>
    </w:tbl>
    <w:p w14:paraId="08C16F1E">
      <w:pPr>
        <w:adjustRightInd w:val="0"/>
        <w:snapToGrid w:val="0"/>
        <w:spacing w:line="500" w:lineRule="exact"/>
        <w:jc w:val="left"/>
        <w:rPr>
          <w:rFonts w:hint="eastAsia" w:ascii="黑体" w:hAnsi="黑体" w:eastAsia="黑体"/>
          <w:sz w:val="32"/>
          <w:szCs w:val="32"/>
        </w:rPr>
      </w:pPr>
    </w:p>
    <w:p w14:paraId="51476BDC">
      <w:pPr>
        <w:adjustRightInd w:val="0"/>
        <w:snapToGrid w:val="0"/>
        <w:spacing w:line="500" w:lineRule="exact"/>
        <w:jc w:val="left"/>
        <w:rPr>
          <w:rFonts w:hint="eastAsia" w:ascii="黑体" w:hAnsi="黑体" w:eastAsia="黑体"/>
          <w:sz w:val="32"/>
          <w:szCs w:val="32"/>
        </w:rPr>
      </w:pPr>
      <w:r>
        <w:rPr>
          <w:rFonts w:hint="eastAsia" w:ascii="黑体" w:hAnsi="黑体" w:eastAsia="黑体"/>
          <w:sz w:val="32"/>
          <w:szCs w:val="32"/>
        </w:rPr>
        <w:t>1.资格审查</w:t>
      </w:r>
    </w:p>
    <w:p w14:paraId="2A17EDDA">
      <w:pPr>
        <w:pStyle w:val="9"/>
        <w:adjustRightInd w:val="0"/>
        <w:snapToGrid w:val="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1.1项目开标结束后，招标人对投标人的资格进行审查。</w:t>
      </w:r>
    </w:p>
    <w:p w14:paraId="7B08F431">
      <w:pPr>
        <w:pStyle w:val="9"/>
        <w:adjustRightInd w:val="0"/>
        <w:snapToGrid w:val="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1.2资格审查的内容和标准：见资格审查和评标办法前附表。</w:t>
      </w:r>
    </w:p>
    <w:p w14:paraId="56D45865">
      <w:pPr>
        <w:adjustRightInd w:val="0"/>
        <w:snapToGrid w:val="0"/>
        <w:spacing w:line="500" w:lineRule="exact"/>
        <w:jc w:val="left"/>
        <w:rPr>
          <w:rFonts w:hint="eastAsia" w:ascii="黑体" w:hAnsi="黑体" w:eastAsia="黑体"/>
          <w:sz w:val="32"/>
          <w:szCs w:val="32"/>
        </w:rPr>
      </w:pPr>
      <w:r>
        <w:rPr>
          <w:rFonts w:hint="eastAsia" w:ascii="黑体" w:hAnsi="黑体" w:eastAsia="黑体"/>
          <w:sz w:val="32"/>
          <w:szCs w:val="32"/>
        </w:rPr>
        <w:t>2</w:t>
      </w:r>
      <w:r>
        <w:rPr>
          <w:rFonts w:ascii="黑体" w:hAnsi="黑体" w:eastAsia="黑体"/>
          <w:sz w:val="32"/>
          <w:szCs w:val="32"/>
        </w:rPr>
        <w:t>.</w:t>
      </w:r>
      <w:r>
        <w:rPr>
          <w:rFonts w:hint="eastAsia" w:ascii="黑体" w:hAnsi="黑体" w:eastAsia="黑体"/>
          <w:sz w:val="32"/>
          <w:szCs w:val="32"/>
        </w:rPr>
        <w:t>评标</w:t>
      </w:r>
    </w:p>
    <w:bookmarkEnd w:id="236"/>
    <w:p w14:paraId="7C9251F3">
      <w:pPr>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2.1评标方法</w:t>
      </w:r>
    </w:p>
    <w:p w14:paraId="25ABCB26">
      <w:pPr>
        <w:adjustRightInd w:val="0"/>
        <w:snapToGrid w:val="0"/>
        <w:spacing w:line="500" w:lineRule="exact"/>
        <w:ind w:firstLine="560" w:firstLineChars="200"/>
        <w:rPr>
          <w:sz w:val="28"/>
          <w:szCs w:val="28"/>
        </w:rPr>
      </w:pPr>
      <w:r>
        <w:rPr>
          <w:rFonts w:hint="eastAsia"/>
          <w:sz w:val="28"/>
          <w:szCs w:val="28"/>
        </w:rPr>
        <w:t>评标采用综合评分法，评标委员会对满足招标文件实质要求的投标文件，按照本章规定的程序和方法进行评审，并按总得分由高到低顺序推荐中标候选人。</w:t>
      </w:r>
    </w:p>
    <w:p w14:paraId="6DFF9F69">
      <w:pPr>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2.2初步评审</w:t>
      </w:r>
    </w:p>
    <w:p w14:paraId="1686B717">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2.2.1评标委员会对通过资格审查的投标人进行初步评审。</w:t>
      </w:r>
    </w:p>
    <w:p w14:paraId="64AB9878">
      <w:pPr>
        <w:pStyle w:val="9"/>
        <w:adjustRightInd w:val="0"/>
        <w:snapToGrid w:val="0"/>
        <w:spacing w:line="500" w:lineRule="exact"/>
        <w:ind w:firstLine="560" w:firstLineChars="200"/>
        <w:rPr>
          <w:rFonts w:hint="eastAsia" w:ascii="宋体" w:hAnsi="宋体"/>
          <w:sz w:val="28"/>
          <w:szCs w:val="28"/>
        </w:rPr>
      </w:pPr>
      <w:r>
        <w:rPr>
          <w:rFonts w:hint="eastAsia" w:asciiTheme="minorEastAsia" w:hAnsiTheme="minorEastAsia" w:eastAsiaTheme="minorEastAsia"/>
          <w:sz w:val="28"/>
          <w:szCs w:val="28"/>
        </w:rPr>
        <w:t>2.2.2初步评审的内容为投标文件的符合性评审。</w:t>
      </w:r>
      <w:r>
        <w:rPr>
          <w:rFonts w:hint="eastAsia" w:ascii="宋体" w:hAnsi="宋体"/>
          <w:sz w:val="28"/>
          <w:szCs w:val="28"/>
        </w:rPr>
        <w:t>符合性评审的内容及标准：见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50A99744">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2.3详细评审</w:t>
      </w:r>
    </w:p>
    <w:p w14:paraId="4A40353F">
      <w:pPr>
        <w:pStyle w:val="9"/>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2.3.1评标委员会对通过初步评审的投标人进行详细评审。</w:t>
      </w:r>
    </w:p>
    <w:p w14:paraId="26EF375F">
      <w:pPr>
        <w:pStyle w:val="9"/>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2.3.2详细评审的内容及标准：见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633BB6AC">
      <w:pPr>
        <w:pStyle w:val="9"/>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2.3.3因落实政府采购政策进行价格调整的，以调整后的价格计算评标基准价和投标报价。</w:t>
      </w:r>
    </w:p>
    <w:p w14:paraId="322446D0">
      <w:pPr>
        <w:adjustRightInd w:val="0"/>
        <w:snapToGrid w:val="0"/>
        <w:spacing w:line="500" w:lineRule="exact"/>
        <w:rPr>
          <w:rFonts w:hint="eastAsia" w:ascii="楷体" w:hAnsi="楷体" w:eastAsia="楷体"/>
          <w:b/>
          <w:sz w:val="28"/>
          <w:szCs w:val="28"/>
        </w:rPr>
      </w:pPr>
      <w:bookmarkStart w:id="239" w:name="_Toc426469924"/>
      <w:r>
        <w:rPr>
          <w:rFonts w:hint="eastAsia" w:ascii="楷体" w:hAnsi="楷体" w:eastAsia="楷体"/>
          <w:b/>
          <w:sz w:val="28"/>
          <w:szCs w:val="28"/>
        </w:rPr>
        <w:t>2.4</w:t>
      </w:r>
      <w:r>
        <w:rPr>
          <w:rFonts w:hint="eastAsia" w:ascii="楷体" w:hAnsi="楷体" w:eastAsia="楷体" w:cs="宋体"/>
          <w:b/>
          <w:sz w:val="28"/>
          <w:szCs w:val="28"/>
        </w:rPr>
        <w:t>评标报告</w:t>
      </w:r>
    </w:p>
    <w:p w14:paraId="1F892FA7">
      <w:pPr>
        <w:adjustRightInd w:val="0"/>
        <w:snapToGrid w:val="0"/>
        <w:spacing w:line="50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4</w:t>
      </w:r>
      <w:r>
        <w:rPr>
          <w:rFonts w:ascii="宋体" w:hAnsi="宋体"/>
          <w:sz w:val="28"/>
          <w:szCs w:val="28"/>
        </w:rPr>
        <w:t>.1详细评审结束后，</w:t>
      </w:r>
      <w:r>
        <w:rPr>
          <w:rFonts w:hint="eastAsia" w:ascii="宋体" w:hAnsi="宋体"/>
          <w:sz w:val="28"/>
          <w:szCs w:val="28"/>
        </w:rPr>
        <w:t>评标委员会负责编写评标报告。</w:t>
      </w:r>
    </w:p>
    <w:p w14:paraId="2C9C38FE">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2.4.2采购代理机构自评审结束之日起2个工作日内将评标报告送交招标人。</w:t>
      </w:r>
    </w:p>
    <w:p w14:paraId="0AC60332">
      <w:pPr>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2.5</w:t>
      </w:r>
      <w:r>
        <w:rPr>
          <w:rFonts w:hint="eastAsia" w:ascii="楷体" w:hAnsi="楷体" w:eastAsia="楷体" w:cs="宋体"/>
          <w:b/>
          <w:sz w:val="28"/>
          <w:szCs w:val="28"/>
        </w:rPr>
        <w:t>澄清、说明或补正</w:t>
      </w:r>
    </w:p>
    <w:p w14:paraId="3E1C8B63">
      <w:pPr>
        <w:adjustRightInd w:val="0"/>
        <w:snapToGrid w:val="0"/>
        <w:spacing w:line="50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.1</w:t>
      </w:r>
      <w:r>
        <w:rPr>
          <w:rFonts w:hint="eastAsia" w:ascii="宋体" w:hAnsi="宋体"/>
          <w:sz w:val="28"/>
          <w:szCs w:val="28"/>
        </w:rPr>
        <w:t>评标委员会在评审过程中，可以要求投标人对投标文件中含义不明确、同类问题表述不一致或者有明显文字和计算错误的内容等作出必要的澄清、说明或者更正。</w:t>
      </w:r>
    </w:p>
    <w:p w14:paraId="1C952602">
      <w:pPr>
        <w:adjustRightInd w:val="0"/>
        <w:snapToGrid w:val="0"/>
        <w:spacing w:line="50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.2</w:t>
      </w:r>
      <w:r>
        <w:rPr>
          <w:rFonts w:hint="eastAsia" w:ascii="宋体" w:hAnsi="宋体"/>
          <w:sz w:val="28"/>
          <w:szCs w:val="28"/>
        </w:rPr>
        <w:t>评标委员会要求投标人澄清、说明或者更正投标文件应当以书面形式作出。</w:t>
      </w:r>
    </w:p>
    <w:p w14:paraId="775AA233">
      <w:pPr>
        <w:adjustRightInd w:val="0"/>
        <w:snapToGrid w:val="0"/>
        <w:spacing w:line="500" w:lineRule="exact"/>
        <w:ind w:firstLine="560" w:firstLineChars="200"/>
        <w:rPr>
          <w:rFonts w:ascii="宋体"/>
          <w:sz w:val="28"/>
          <w:szCs w:val="28"/>
        </w:rPr>
      </w:pPr>
      <w:r>
        <w:rPr>
          <w:rFonts w:hint="eastAsia" w:ascii="宋体" w:hAnsi="宋体"/>
          <w:sz w:val="28"/>
          <w:szCs w:val="28"/>
        </w:rPr>
        <w:t>2.5.3投标人的澄清、说明或者更正应当由法定代表人或其授权代表签字或者加盖公章。由授权代表签字的，应当附法定代表人授权书。投标人的书面澄清材料作为投标文件的补充。</w:t>
      </w:r>
    </w:p>
    <w:p w14:paraId="6FA5E8C4">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2.5.4投标人的澄清、说明或者更正不得超出投标文件的范围或者改变投标文件的实质性内容。</w:t>
      </w:r>
    </w:p>
    <w:p w14:paraId="3E4EAEE0">
      <w:pPr>
        <w:adjustRightInd w:val="0"/>
        <w:snapToGrid w:val="0"/>
        <w:spacing w:line="500" w:lineRule="exact"/>
        <w:ind w:firstLine="560" w:firstLineChars="200"/>
        <w:rPr>
          <w:rFonts w:asci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w:t>
      </w:r>
      <w:r>
        <w:rPr>
          <w:rFonts w:hint="eastAsia" w:ascii="宋体" w:hAnsi="宋体"/>
          <w:sz w:val="28"/>
          <w:szCs w:val="28"/>
        </w:rPr>
        <w:t>5评标委员会不得接受投标人主动提出的澄清、说明或补正。</w:t>
      </w:r>
    </w:p>
    <w:p w14:paraId="7ACA4C37">
      <w:pPr>
        <w:adjustRightInd w:val="0"/>
        <w:snapToGrid w:val="0"/>
        <w:spacing w:line="500" w:lineRule="exact"/>
        <w:rPr>
          <w:rFonts w:hint="eastAsia" w:ascii="黑体" w:hAnsi="黑体" w:eastAsia="黑体"/>
          <w:b/>
          <w:sz w:val="28"/>
          <w:szCs w:val="28"/>
        </w:rPr>
      </w:pPr>
      <w:r>
        <w:rPr>
          <w:rFonts w:hint="eastAsia" w:ascii="黑体" w:hAnsi="黑体" w:eastAsia="黑体"/>
          <w:b/>
          <w:sz w:val="28"/>
          <w:szCs w:val="28"/>
        </w:rPr>
        <w:t>3.评标过程中特殊情况的处理规定</w:t>
      </w:r>
    </w:p>
    <w:p w14:paraId="2CF5342D">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3.1投标报价的修正</w:t>
      </w:r>
    </w:p>
    <w:p w14:paraId="4E105655">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投标文件报价出现前后不一致的，按照下列规定修正： </w:t>
      </w:r>
    </w:p>
    <w:p w14:paraId="3E2D7870">
      <w:pPr>
        <w:pStyle w:val="9"/>
        <w:adjustRightInd w:val="0"/>
        <w:snapToGrid w:val="0"/>
        <w:spacing w:line="440" w:lineRule="exact"/>
        <w:ind w:firstLine="280" w:firstLineChars="1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（1）投标文件中开标一览表内容与投标文件中相应内容不一致的，以开标一览表为准； </w:t>
      </w:r>
    </w:p>
    <w:p w14:paraId="7ADF48F0">
      <w:pPr>
        <w:pStyle w:val="9"/>
        <w:adjustRightInd w:val="0"/>
        <w:snapToGrid w:val="0"/>
        <w:spacing w:line="440" w:lineRule="exact"/>
        <w:ind w:firstLine="280" w:firstLineChars="1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（2）大写金额和小写金额不一致的，以大写金额为准； </w:t>
      </w:r>
    </w:p>
    <w:p w14:paraId="06A2870D">
      <w:pPr>
        <w:pStyle w:val="9"/>
        <w:adjustRightInd w:val="0"/>
        <w:snapToGrid w:val="0"/>
        <w:spacing w:line="440" w:lineRule="exact"/>
        <w:ind w:firstLine="280" w:firstLineChars="1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（3）单价金额小数点或者百分比有明显错位的，以开标一览表的总价为准，并修改单价； </w:t>
      </w:r>
    </w:p>
    <w:p w14:paraId="195D3491">
      <w:pPr>
        <w:pStyle w:val="9"/>
        <w:adjustRightInd w:val="0"/>
        <w:snapToGrid w:val="0"/>
        <w:spacing w:line="440" w:lineRule="exact"/>
        <w:ind w:firstLine="280" w:firstLineChars="1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（4）总价金额与按单价汇总金额不一致的，以单价金额计算结果为准。 </w:t>
      </w:r>
    </w:p>
    <w:p w14:paraId="68C1A494">
      <w:pPr>
        <w:pStyle w:val="9"/>
        <w:adjustRightInd w:val="0"/>
        <w:snapToGrid w:val="0"/>
        <w:spacing w:line="44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同时出现两种以上不一致的，按照前款规定的顺序修正。修正后的报价按照本章第2.5条的规定经投标人确认后产生约束力，投标人不确认的，其投标无效。</w:t>
      </w:r>
    </w:p>
    <w:p w14:paraId="41620652">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3.2评标委员会成员的更换</w:t>
      </w:r>
    </w:p>
    <w:p w14:paraId="10C2EDD1">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3.2.1评标过程中，因评标委员会成员缺席、回避或者健康等特殊原因导致评标委员会组成不符合规定的，招标人将依法补足后继续评标。被更换的评标委员会成员所作出的评标意见无效。 </w:t>
      </w:r>
    </w:p>
    <w:p w14:paraId="377F1742">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3.2.2无法及时补足评标委员会成员的，招标人将停止评标活动，封存所有投标文件和开标、评标资料，依法重新组建评标委员会进行评标。原评标委员会所作出的评标意见无效。</w:t>
      </w:r>
    </w:p>
    <w:p w14:paraId="5845A903">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3.3异常低价的处理</w:t>
      </w:r>
    </w:p>
    <w:p w14:paraId="15EB9B07">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31E82EA7">
      <w:pPr>
        <w:pStyle w:val="9"/>
        <w:adjustRightInd w:val="0"/>
        <w:snapToGrid w:val="0"/>
        <w:spacing w:line="500" w:lineRule="exact"/>
        <w:rPr>
          <w:rFonts w:hint="eastAsia" w:ascii="楷体" w:hAnsi="楷体" w:eastAsia="楷体" w:cs="宋体"/>
          <w:b/>
          <w:sz w:val="28"/>
          <w:szCs w:val="28"/>
        </w:rPr>
      </w:pPr>
      <w:r>
        <w:rPr>
          <w:rFonts w:hint="eastAsia" w:ascii="楷体" w:hAnsi="楷体" w:eastAsia="楷体"/>
          <w:b/>
          <w:sz w:val="28"/>
          <w:szCs w:val="28"/>
        </w:rPr>
        <w:t>3.4</w:t>
      </w:r>
      <w:r>
        <w:rPr>
          <w:rFonts w:hint="eastAsia" w:ascii="楷体" w:hAnsi="楷体" w:eastAsia="楷体" w:cs="宋体"/>
          <w:b/>
          <w:sz w:val="28"/>
          <w:szCs w:val="28"/>
        </w:rPr>
        <w:t>争议解决</w:t>
      </w:r>
    </w:p>
    <w:p w14:paraId="20E4E856">
      <w:pPr>
        <w:pStyle w:val="9"/>
        <w:adjustRightInd w:val="0"/>
        <w:snapToGrid w:val="0"/>
        <w:spacing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评标委员会成员对需要共同认定的事项存在争议的，按照少数服从多数的原则作出结论。持不同意见的评标委员会成员须在评标报告上签署不同意见及理由。</w:t>
      </w:r>
    </w:p>
    <w:p w14:paraId="65C3B492">
      <w:pPr>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3.5评标终止</w:t>
      </w:r>
    </w:p>
    <w:p w14:paraId="2ACC7AAF">
      <w:pPr>
        <w:pStyle w:val="9"/>
        <w:adjustRightInd w:val="0"/>
        <w:snapToGrid w:val="0"/>
        <w:spacing w:line="500" w:lineRule="exact"/>
        <w:ind w:firstLine="560" w:firstLineChars="200"/>
        <w:rPr>
          <w:sz w:val="28"/>
          <w:szCs w:val="28"/>
        </w:rPr>
      </w:pPr>
      <w:r>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2EB8F78">
      <w:pPr>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3.6修改评标结果</w:t>
      </w:r>
    </w:p>
    <w:p w14:paraId="1260A96F">
      <w:pPr>
        <w:adjustRightInd w:val="0"/>
        <w:snapToGrid w:val="0"/>
        <w:spacing w:line="500" w:lineRule="exact"/>
        <w:ind w:firstLine="560" w:firstLineChars="200"/>
        <w:rPr>
          <w:rFonts w:ascii="宋体"/>
          <w:sz w:val="28"/>
          <w:szCs w:val="28"/>
        </w:rPr>
      </w:pPr>
      <w:r>
        <w:rPr>
          <w:rFonts w:hint="eastAsia" w:ascii="宋体" w:hAnsi="宋体"/>
          <w:sz w:val="28"/>
          <w:szCs w:val="28"/>
        </w:rPr>
        <w:t>评审组长负责汇总和核对各</w:t>
      </w:r>
      <w:r>
        <w:rPr>
          <w:rFonts w:hint="eastAsia" w:asciiTheme="minorEastAsia" w:hAnsiTheme="minorEastAsia" w:eastAsiaTheme="minorEastAsia"/>
          <w:sz w:val="28"/>
          <w:szCs w:val="28"/>
        </w:rPr>
        <w:t>评标委员会成员</w:t>
      </w:r>
      <w:r>
        <w:rPr>
          <w:rFonts w:hint="eastAsia" w:ascii="宋体" w:hAnsi="宋体"/>
          <w:sz w:val="28"/>
          <w:szCs w:val="28"/>
        </w:rPr>
        <w:t>的评审结果。在评标报告签署前，出现下列情形之一的，可以要求其当场修改评审结果：</w:t>
      </w:r>
    </w:p>
    <w:p w14:paraId="39427648">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）分值汇总计算错误；</w:t>
      </w:r>
    </w:p>
    <w:p w14:paraId="4B0918F1">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）分项评分超出评分标准范围；</w:t>
      </w:r>
    </w:p>
    <w:p w14:paraId="0D912378">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）评标委员会成员对客观评审因素评分不一致；</w:t>
      </w:r>
    </w:p>
    <w:p w14:paraId="0509F46E">
      <w:pPr>
        <w:pStyle w:val="9"/>
        <w:adjustRightInd w:val="0"/>
        <w:snapToGrid w:val="0"/>
        <w:spacing w:line="500" w:lineRule="exact"/>
        <w:ind w:firstLine="560" w:firstLineChars="200"/>
      </w:pPr>
      <w:r>
        <w:rPr>
          <w:rFonts w:hint="eastAsia" w:ascii="宋体" w:hAnsi="宋体"/>
          <w:sz w:val="28"/>
          <w:szCs w:val="28"/>
        </w:rPr>
        <w:t>（</w:t>
      </w:r>
      <w:r>
        <w:rPr>
          <w:rFonts w:ascii="宋体" w:hAnsi="宋体"/>
          <w:sz w:val="28"/>
          <w:szCs w:val="28"/>
        </w:rPr>
        <w:t>4</w:t>
      </w:r>
      <w:r>
        <w:rPr>
          <w:rFonts w:hint="eastAsia" w:ascii="宋体" w:hAnsi="宋体"/>
          <w:sz w:val="28"/>
          <w:szCs w:val="28"/>
        </w:rPr>
        <w:t>）经评标委员会认定评分畸高或畸低。</w:t>
      </w:r>
    </w:p>
    <w:p w14:paraId="6F2C83ED">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3.7 投标人总分相同</w:t>
      </w:r>
    </w:p>
    <w:p w14:paraId="58605246">
      <w:pPr>
        <w:adjustRightInd w:val="0"/>
        <w:snapToGrid w:val="0"/>
        <w:spacing w:line="500" w:lineRule="exact"/>
        <w:ind w:firstLine="560" w:firstLineChars="200"/>
        <w:rPr>
          <w:rFonts w:ascii="宋体"/>
          <w:sz w:val="28"/>
          <w:szCs w:val="28"/>
        </w:rPr>
      </w:pPr>
      <w:r>
        <w:rPr>
          <w:rFonts w:hint="eastAsia" w:ascii="宋体" w:hAnsi="宋体"/>
          <w:sz w:val="28"/>
          <w:szCs w:val="28"/>
        </w:rPr>
        <w:t>投标人总分相同时，投标报价低的排名优先；如投标报价也相同，由招标人抽签确定排序。</w:t>
      </w:r>
    </w:p>
    <w:p w14:paraId="38CA817F">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3.8评标报告签署</w:t>
      </w:r>
    </w:p>
    <w:p w14:paraId="11A36365">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775E4F9B">
      <w:pPr>
        <w:pStyle w:val="9"/>
        <w:adjustRightInd w:val="0"/>
        <w:snapToGrid w:val="0"/>
        <w:spacing w:line="500" w:lineRule="exact"/>
        <w:rPr>
          <w:rFonts w:hint="eastAsia" w:ascii="黑体" w:hAnsi="黑体" w:eastAsia="黑体"/>
          <w:b/>
          <w:sz w:val="28"/>
          <w:szCs w:val="28"/>
        </w:rPr>
      </w:pPr>
      <w:r>
        <w:rPr>
          <w:rFonts w:hint="eastAsia" w:ascii="黑体" w:hAnsi="黑体" w:eastAsia="黑体"/>
          <w:b/>
          <w:sz w:val="28"/>
          <w:szCs w:val="28"/>
        </w:rPr>
        <w:t>4.判定无效投标的规定</w:t>
      </w:r>
    </w:p>
    <w:p w14:paraId="3A1EB4D7">
      <w:pPr>
        <w:pStyle w:val="9"/>
        <w:adjustRightInd w:val="0"/>
        <w:snapToGrid w:val="0"/>
        <w:spacing w:line="500" w:lineRule="exact"/>
        <w:rPr>
          <w:rFonts w:hint="eastAsia" w:ascii="楷体" w:hAnsi="楷体" w:eastAsia="楷体"/>
          <w:b/>
          <w:sz w:val="28"/>
          <w:szCs w:val="28"/>
        </w:rPr>
      </w:pPr>
      <w:r>
        <w:rPr>
          <w:rFonts w:hint="eastAsia" w:ascii="楷体" w:hAnsi="楷体" w:eastAsia="楷体"/>
          <w:b/>
          <w:sz w:val="28"/>
          <w:szCs w:val="28"/>
        </w:rPr>
        <w:t>4.1开标过程中，有下列情形之一的，作无效投标处理。</w:t>
      </w:r>
    </w:p>
    <w:p w14:paraId="5ECD57FC">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（1）投标文件无法解密；</w:t>
      </w:r>
    </w:p>
    <w:p w14:paraId="5FA77FF5">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（2）投标文件未在规定的时间内解密成功。</w:t>
      </w:r>
    </w:p>
    <w:p w14:paraId="327D7E9F">
      <w:pPr>
        <w:pStyle w:val="9"/>
        <w:adjustRightInd w:val="0"/>
        <w:snapToGrid w:val="0"/>
        <w:spacing w:after="0" w:line="500" w:lineRule="exact"/>
        <w:rPr>
          <w:rFonts w:hint="eastAsia" w:ascii="楷体" w:hAnsi="楷体" w:eastAsia="楷体"/>
          <w:b/>
          <w:spacing w:val="-14"/>
          <w:sz w:val="28"/>
          <w:szCs w:val="28"/>
        </w:rPr>
      </w:pPr>
      <w:r>
        <w:rPr>
          <w:rFonts w:hint="eastAsia" w:ascii="楷体" w:hAnsi="楷体" w:eastAsia="楷体"/>
          <w:b/>
          <w:sz w:val="28"/>
          <w:szCs w:val="28"/>
        </w:rPr>
        <w:t>4.2资格审查过程中，</w:t>
      </w:r>
      <w:r>
        <w:rPr>
          <w:rFonts w:hint="eastAsia" w:ascii="楷体" w:hAnsi="楷体" w:eastAsia="楷体"/>
          <w:b/>
          <w:spacing w:val="-14"/>
          <w:sz w:val="28"/>
          <w:szCs w:val="28"/>
        </w:rPr>
        <w:t>投标文件出现不符合1.2项评审标准之一的，作无效标处理。</w:t>
      </w:r>
    </w:p>
    <w:p w14:paraId="1C202D35">
      <w:pPr>
        <w:pStyle w:val="9"/>
        <w:adjustRightInd w:val="0"/>
        <w:snapToGrid w:val="0"/>
        <w:spacing w:after="0" w:line="500" w:lineRule="exact"/>
        <w:rPr>
          <w:rFonts w:hint="eastAsia" w:ascii="楷体" w:hAnsi="楷体" w:eastAsia="楷体"/>
          <w:b/>
          <w:spacing w:val="-14"/>
          <w:sz w:val="28"/>
          <w:szCs w:val="28"/>
        </w:rPr>
      </w:pPr>
      <w:r>
        <w:rPr>
          <w:rFonts w:hint="eastAsia" w:ascii="楷体" w:hAnsi="楷体" w:eastAsia="楷体"/>
          <w:b/>
          <w:spacing w:val="-14"/>
          <w:sz w:val="28"/>
          <w:szCs w:val="28"/>
        </w:rPr>
        <w:t>4.3</w:t>
      </w:r>
      <w:r>
        <w:rPr>
          <w:rFonts w:hint="eastAsia" w:ascii="楷体" w:hAnsi="楷体" w:eastAsia="楷体"/>
          <w:b/>
          <w:sz w:val="28"/>
          <w:szCs w:val="28"/>
        </w:rPr>
        <w:t>评标过程中，有下列情形之一的，作无效投标处理。</w:t>
      </w:r>
    </w:p>
    <w:p w14:paraId="493C2EE0">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（1）符合性评审时，投标文件出现不符合</w:t>
      </w:r>
      <w:r>
        <w:rPr>
          <w:rFonts w:asciiTheme="minorEastAsia" w:hAnsiTheme="minorEastAsia" w:eastAsiaTheme="minorEastAsia"/>
          <w:sz w:val="28"/>
          <w:szCs w:val="28"/>
        </w:rPr>
        <w:t>2.</w:t>
      </w:r>
      <w:r>
        <w:rPr>
          <w:rFonts w:hint="eastAsia" w:asciiTheme="minorEastAsia" w:hAnsiTheme="minorEastAsia" w:eastAsiaTheme="minorEastAsia"/>
          <w:sz w:val="28"/>
          <w:szCs w:val="28"/>
        </w:rPr>
        <w:t>2.2项评审标准之一的；</w:t>
      </w:r>
    </w:p>
    <w:p w14:paraId="5A7B949B">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（2）投标人不确认评标委员会提出的投标报价修正意见的；</w:t>
      </w:r>
    </w:p>
    <w:p w14:paraId="67966351">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（3）未按照评标委员会要求提供书面说明及相关证明材料证明其报价合理性的；</w:t>
      </w:r>
    </w:p>
    <w:p w14:paraId="21670971">
      <w:pPr>
        <w:pStyle w:val="9"/>
        <w:adjustRightInd w:val="0"/>
        <w:snapToGrid w:val="0"/>
        <w:spacing w:after="0" w:line="50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（4）投标文件含有采购人不能接受的附加条件的。</w:t>
      </w:r>
    </w:p>
    <w:p w14:paraId="0B18B7E0">
      <w:pPr>
        <w:pStyle w:val="9"/>
        <w:adjustRightInd w:val="0"/>
        <w:snapToGrid w:val="0"/>
        <w:spacing w:after="0" w:line="500" w:lineRule="exact"/>
        <w:rPr>
          <w:rFonts w:hint="eastAsia" w:ascii="楷体" w:hAnsi="楷体" w:eastAsia="楷体"/>
          <w:b/>
          <w:sz w:val="28"/>
          <w:szCs w:val="28"/>
        </w:rPr>
      </w:pPr>
      <w:r>
        <w:rPr>
          <w:rFonts w:hint="eastAsia" w:ascii="楷体" w:hAnsi="楷体" w:eastAsia="楷体"/>
          <w:b/>
          <w:sz w:val="28"/>
          <w:szCs w:val="28"/>
        </w:rPr>
        <w:t>4.4法律、法规规定的其他投标无效情形。</w:t>
      </w:r>
      <w:bookmarkEnd w:id="228"/>
      <w:bookmarkEnd w:id="229"/>
      <w:bookmarkEnd w:id="230"/>
      <w:bookmarkEnd w:id="231"/>
      <w:bookmarkEnd w:id="232"/>
      <w:bookmarkEnd w:id="233"/>
      <w:bookmarkEnd w:id="234"/>
      <w:bookmarkEnd w:id="235"/>
      <w:bookmarkEnd w:id="239"/>
    </w:p>
    <w:p w14:paraId="73FC430F">
      <w:pPr>
        <w:pStyle w:val="9"/>
      </w:pPr>
    </w:p>
    <w:p w14:paraId="6E517F67">
      <w:pPr>
        <w:pStyle w:val="9"/>
      </w:pPr>
    </w:p>
    <w:p w14:paraId="34438FED">
      <w:pPr>
        <w:widowControl/>
        <w:jc w:val="left"/>
        <w:rPr>
          <w:rFonts w:hint="eastAsia" w:ascii="黑体" w:hAnsi="宋体" w:eastAsia="黑体"/>
          <w:b/>
          <w:sz w:val="32"/>
          <w:szCs w:val="20"/>
        </w:rPr>
      </w:pPr>
      <w:bookmarkStart w:id="240" w:name="_Toc390246973"/>
      <w:bookmarkStart w:id="241" w:name="_Toc390098908"/>
      <w:bookmarkStart w:id="242" w:name="_Toc383623741"/>
      <w:bookmarkStart w:id="243" w:name="_Toc390099086"/>
      <w:bookmarkStart w:id="244" w:name="_Toc383626062"/>
      <w:bookmarkStart w:id="245" w:name="_Toc383698715"/>
      <w:bookmarkStart w:id="246" w:name="_Toc425871381"/>
      <w:bookmarkStart w:id="247" w:name="_Toc383624013"/>
      <w:bookmarkStart w:id="248" w:name="_Toc383679815"/>
      <w:r>
        <w:rPr>
          <w:rFonts w:ascii="黑体" w:hAnsi="宋体" w:eastAsia="黑体"/>
          <w:b/>
        </w:rPr>
        <w:br w:type="page"/>
      </w:r>
    </w:p>
    <w:p w14:paraId="27939DC8">
      <w:pPr>
        <w:pStyle w:val="20"/>
        <w:adjustRightInd w:val="0"/>
        <w:snapToGrid w:val="0"/>
        <w:spacing w:line="500" w:lineRule="exact"/>
        <w:ind w:left="0" w:firstLine="0"/>
        <w:jc w:val="center"/>
        <w:outlineLvl w:val="0"/>
        <w:rPr>
          <w:rFonts w:hint="eastAsia" w:ascii="黑体" w:hAnsi="宋体" w:eastAsia="黑体"/>
          <w:b/>
          <w:color w:val="auto"/>
        </w:rPr>
      </w:pPr>
      <w:r>
        <w:rPr>
          <w:rFonts w:hint="eastAsia" w:ascii="黑体" w:hAnsi="宋体" w:eastAsia="黑体"/>
          <w:b/>
          <w:color w:val="auto"/>
        </w:rPr>
        <w:t>第四章</w:t>
      </w:r>
      <w:r>
        <w:rPr>
          <w:rFonts w:ascii="黑体" w:hAnsi="宋体" w:eastAsia="黑体"/>
          <w:b/>
          <w:color w:val="auto"/>
        </w:rPr>
        <w:t xml:space="preserve"> </w:t>
      </w:r>
      <w:r>
        <w:rPr>
          <w:rFonts w:hint="eastAsia" w:ascii="黑体" w:hAnsi="宋体" w:eastAsia="黑体"/>
          <w:b/>
          <w:color w:val="auto"/>
        </w:rPr>
        <w:t>合同条款</w:t>
      </w:r>
      <w:bookmarkStart w:id="249" w:name="_Toc382811181"/>
      <w:bookmarkStart w:id="250" w:name="_Toc382811586"/>
      <w:bookmarkStart w:id="251" w:name="_Toc390098887"/>
      <w:bookmarkStart w:id="252" w:name="_Toc383623992"/>
      <w:bookmarkStart w:id="253" w:name="_Toc382814014"/>
      <w:bookmarkStart w:id="254" w:name="_Toc383587505"/>
      <w:bookmarkStart w:id="255" w:name="_Toc513029243"/>
      <w:bookmarkStart w:id="256" w:name="_Toc20823315"/>
      <w:bookmarkStart w:id="257" w:name="_Toc390099065"/>
      <w:bookmarkStart w:id="258" w:name="_Toc383626041"/>
      <w:bookmarkStart w:id="259" w:name="_Toc120614222"/>
      <w:bookmarkStart w:id="260" w:name="_Toc382812484"/>
      <w:bookmarkStart w:id="261" w:name="_Toc383679794"/>
      <w:bookmarkStart w:id="262" w:name="_Toc382813933"/>
      <w:bookmarkStart w:id="263" w:name="_Toc382812295"/>
      <w:bookmarkStart w:id="264" w:name="_Toc16938559"/>
      <w:bookmarkStart w:id="265" w:name="_Toc425871366"/>
      <w:bookmarkStart w:id="266" w:name="_Toc383623720"/>
      <w:bookmarkStart w:id="267" w:name="_Toc282446296"/>
      <w:bookmarkStart w:id="268" w:name="_Toc390246952"/>
      <w:bookmarkStart w:id="269" w:name="_Toc383698694"/>
      <w:bookmarkStart w:id="270" w:name="_Toc288030332"/>
      <w:r>
        <w:rPr>
          <w:rFonts w:hint="eastAsia" w:ascii="黑体" w:hAnsi="宋体" w:eastAsia="黑体"/>
          <w:b/>
          <w:color w:val="auto"/>
        </w:rPr>
        <w:t>（仅供参考）</w:t>
      </w:r>
    </w:p>
    <w:p w14:paraId="25083DF8">
      <w:pPr>
        <w:pStyle w:val="20"/>
        <w:adjustRightInd w:val="0"/>
        <w:snapToGrid w:val="0"/>
        <w:spacing w:line="500" w:lineRule="exact"/>
        <w:ind w:left="0" w:firstLine="0"/>
        <w:outlineLvl w:val="0"/>
        <w:rPr>
          <w:rFonts w:hint="eastAsia" w:ascii="宋体" w:hAnsi="宋体" w:eastAsia="宋体"/>
          <w:b/>
          <w:bCs/>
          <w:color w:val="000000"/>
          <w:szCs w:val="28"/>
        </w:rPr>
      </w:pPr>
    </w:p>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14:paraId="255EFDD7">
      <w:pPr>
        <w:jc w:val="center"/>
        <w:rPr>
          <w:rFonts w:hint="eastAsia" w:ascii="宋体" w:hAnsi="宋体"/>
          <w:szCs w:val="21"/>
        </w:rPr>
      </w:pPr>
      <w:r>
        <w:rPr>
          <w:rFonts w:hint="eastAsia" w:ascii="宋体" w:hAnsi="宋体"/>
          <w:szCs w:val="21"/>
        </w:rPr>
        <w:t>泰兴市政府采购合同</w:t>
      </w:r>
    </w:p>
    <w:p w14:paraId="7AEEB302">
      <w:pPr>
        <w:ind w:firstLine="315"/>
        <w:jc w:val="center"/>
        <w:rPr>
          <w:rFonts w:hint="eastAsia" w:ascii="宋体" w:hAnsi="宋体"/>
          <w:b/>
          <w:szCs w:val="21"/>
        </w:rPr>
      </w:pPr>
    </w:p>
    <w:p w14:paraId="0DB0C813">
      <w:pPr>
        <w:spacing w:line="480" w:lineRule="auto"/>
        <w:ind w:firstLine="711" w:firstLineChars="295"/>
        <w:rPr>
          <w:rFonts w:hint="eastAsia" w:ascii="宋体" w:hAnsi="宋体"/>
          <w:b/>
          <w:szCs w:val="21"/>
        </w:rPr>
      </w:pPr>
    </w:p>
    <w:p w14:paraId="743E2373">
      <w:pPr>
        <w:spacing w:line="480" w:lineRule="auto"/>
        <w:ind w:firstLine="711" w:firstLineChars="295"/>
        <w:rPr>
          <w:rFonts w:hint="eastAsia" w:ascii="宋体" w:hAnsi="宋体"/>
          <w:b/>
          <w:szCs w:val="21"/>
        </w:rPr>
      </w:pPr>
    </w:p>
    <w:p w14:paraId="64067BAA">
      <w:pPr>
        <w:spacing w:line="480" w:lineRule="auto"/>
        <w:ind w:firstLine="1183" w:firstLineChars="491"/>
        <w:rPr>
          <w:rFonts w:hint="eastAsia" w:ascii="宋体" w:hAnsi="宋体"/>
          <w:b/>
          <w:szCs w:val="21"/>
          <w:u w:val="single"/>
        </w:rPr>
      </w:pPr>
      <w:r>
        <w:rPr>
          <w:rFonts w:hint="eastAsia" w:ascii="宋体" w:hAnsi="宋体"/>
          <w:b/>
          <w:szCs w:val="21"/>
        </w:rPr>
        <w:t>合同编号：</w:t>
      </w:r>
      <w:r>
        <w:rPr>
          <w:rFonts w:hint="eastAsia" w:ascii="宋体" w:hAnsi="宋体"/>
          <w:b/>
          <w:szCs w:val="21"/>
          <w:u w:val="single"/>
        </w:rPr>
        <w:t xml:space="preserve">                              </w:t>
      </w:r>
    </w:p>
    <w:p w14:paraId="31AAE48E">
      <w:pPr>
        <w:spacing w:line="480" w:lineRule="auto"/>
        <w:ind w:firstLine="1183" w:firstLineChars="491"/>
        <w:rPr>
          <w:rFonts w:hint="eastAsia" w:ascii="宋体" w:hAnsi="宋体"/>
          <w:b/>
          <w:szCs w:val="21"/>
          <w:u w:val="single"/>
        </w:rPr>
      </w:pPr>
      <w:r>
        <w:rPr>
          <w:rFonts w:hint="eastAsia" w:ascii="宋体" w:hAnsi="宋体"/>
          <w:b/>
          <w:szCs w:val="21"/>
        </w:rPr>
        <w:t>项目名称：</w:t>
      </w:r>
      <w:r>
        <w:rPr>
          <w:rFonts w:hint="eastAsia" w:ascii="宋体" w:hAnsi="宋体"/>
          <w:b/>
          <w:szCs w:val="21"/>
          <w:u w:val="single"/>
        </w:rPr>
        <w:t xml:space="preserve">                              </w:t>
      </w:r>
    </w:p>
    <w:p w14:paraId="29028C88">
      <w:pPr>
        <w:spacing w:line="480" w:lineRule="auto"/>
        <w:ind w:firstLine="1183" w:firstLineChars="491"/>
        <w:rPr>
          <w:rFonts w:hint="eastAsia" w:ascii="宋体" w:hAnsi="宋体"/>
          <w:b/>
          <w:szCs w:val="21"/>
          <w:u w:val="single"/>
        </w:rPr>
      </w:pPr>
      <w:r>
        <w:rPr>
          <w:rFonts w:hint="eastAsia" w:ascii="宋体" w:hAnsi="宋体"/>
          <w:b/>
          <w:szCs w:val="21"/>
        </w:rPr>
        <w:t>使用单位：</w:t>
      </w:r>
      <w:r>
        <w:rPr>
          <w:rFonts w:hint="eastAsia" w:ascii="宋体" w:hAnsi="宋体"/>
          <w:b/>
          <w:szCs w:val="21"/>
          <w:u w:val="single"/>
        </w:rPr>
        <w:t xml:space="preserve">                              </w:t>
      </w:r>
    </w:p>
    <w:p w14:paraId="5D9D84F1">
      <w:pPr>
        <w:spacing w:line="480" w:lineRule="auto"/>
        <w:ind w:firstLine="1183" w:firstLineChars="491"/>
        <w:rPr>
          <w:rFonts w:hint="eastAsia" w:ascii="宋体" w:hAnsi="宋体"/>
          <w:b/>
          <w:szCs w:val="21"/>
        </w:rPr>
      </w:pPr>
      <w:r>
        <w:rPr>
          <w:rFonts w:hint="eastAsia" w:ascii="宋体" w:hAnsi="宋体"/>
          <w:b/>
          <w:szCs w:val="21"/>
        </w:rPr>
        <w:t>供货单位：</w:t>
      </w:r>
      <w:r>
        <w:rPr>
          <w:rFonts w:hint="eastAsia" w:ascii="宋体" w:hAnsi="宋体"/>
          <w:b/>
          <w:szCs w:val="21"/>
          <w:u w:val="single"/>
        </w:rPr>
        <w:t xml:space="preserve">                              </w:t>
      </w:r>
    </w:p>
    <w:p w14:paraId="7D0FA9E7">
      <w:pPr>
        <w:spacing w:line="480" w:lineRule="auto"/>
        <w:ind w:firstLine="1183" w:firstLineChars="491"/>
        <w:rPr>
          <w:rFonts w:hint="eastAsia" w:ascii="宋体" w:hAnsi="宋体"/>
          <w:w w:val="105"/>
          <w:szCs w:val="21"/>
        </w:rPr>
      </w:pPr>
      <w:r>
        <w:rPr>
          <w:rFonts w:hint="eastAsia" w:ascii="宋体" w:hAnsi="宋体"/>
          <w:b/>
          <w:szCs w:val="21"/>
        </w:rPr>
        <w:t>签订日期：</w:t>
      </w:r>
      <w:r>
        <w:rPr>
          <w:rFonts w:hint="eastAsia" w:ascii="宋体" w:hAnsi="宋体"/>
          <w:b/>
          <w:szCs w:val="21"/>
          <w:u w:val="single"/>
        </w:rPr>
        <w:t xml:space="preserve">                              </w:t>
      </w:r>
    </w:p>
    <w:p w14:paraId="127F29D4">
      <w:pPr>
        <w:spacing w:line="420" w:lineRule="exact"/>
        <w:rPr>
          <w:rFonts w:hint="eastAsia" w:ascii="宋体" w:hAnsi="宋体"/>
        </w:rPr>
      </w:pPr>
      <w:r>
        <w:rPr>
          <w:rFonts w:ascii="宋体" w:hAnsi="宋体"/>
          <w:b/>
          <w:w w:val="105"/>
          <w:sz w:val="36"/>
        </w:rPr>
        <w:br w:type="page"/>
      </w:r>
      <w:r>
        <w:rPr>
          <w:rFonts w:hint="eastAsia" w:ascii="宋体" w:hAnsi="宋体"/>
          <w:lang w:val="zh-CN"/>
        </w:rPr>
        <w:t>合同编号：</w:t>
      </w:r>
    </w:p>
    <w:p w14:paraId="56040866">
      <w:pPr>
        <w:autoSpaceDE w:val="0"/>
        <w:autoSpaceDN w:val="0"/>
        <w:adjustRightInd w:val="0"/>
        <w:spacing w:line="420" w:lineRule="exact"/>
        <w:rPr>
          <w:rFonts w:hint="eastAsia" w:ascii="宋体" w:hAnsi="宋体"/>
        </w:rPr>
      </w:pPr>
    </w:p>
    <w:tbl>
      <w:tblPr>
        <w:tblStyle w:val="26"/>
        <w:tblW w:w="0" w:type="auto"/>
        <w:tblInd w:w="0" w:type="dxa"/>
        <w:tblLayout w:type="fixed"/>
        <w:tblCellMar>
          <w:top w:w="0" w:type="dxa"/>
          <w:left w:w="108" w:type="dxa"/>
          <w:bottom w:w="0" w:type="dxa"/>
          <w:right w:w="108" w:type="dxa"/>
        </w:tblCellMar>
      </w:tblPr>
      <w:tblGrid>
        <w:gridCol w:w="4643"/>
        <w:gridCol w:w="4643"/>
      </w:tblGrid>
      <w:tr w14:paraId="26A1EE6E">
        <w:tblPrEx>
          <w:tblCellMar>
            <w:top w:w="0" w:type="dxa"/>
            <w:left w:w="108" w:type="dxa"/>
            <w:bottom w:w="0" w:type="dxa"/>
            <w:right w:w="108" w:type="dxa"/>
          </w:tblCellMar>
        </w:tblPrEx>
        <w:tc>
          <w:tcPr>
            <w:tcW w:w="4643" w:type="dxa"/>
            <w:tcBorders>
              <w:top w:val="nil"/>
              <w:left w:val="nil"/>
              <w:bottom w:val="nil"/>
              <w:right w:val="nil"/>
            </w:tcBorders>
          </w:tcPr>
          <w:p w14:paraId="191DCB53">
            <w:pPr>
              <w:autoSpaceDE w:val="0"/>
              <w:autoSpaceDN w:val="0"/>
              <w:adjustRightInd w:val="0"/>
              <w:spacing w:line="420" w:lineRule="exact"/>
              <w:jc w:val="left"/>
              <w:rPr>
                <w:rFonts w:hint="eastAsia" w:ascii="宋体" w:hAnsi="宋体"/>
                <w:lang w:val="zh-CN"/>
              </w:rPr>
            </w:pPr>
            <w:r>
              <w:rPr>
                <w:rFonts w:hint="eastAsia" w:ascii="宋体" w:hAnsi="宋体"/>
                <w:lang w:val="zh-CN"/>
              </w:rPr>
              <w:t>采购人（以下称甲方）</w:t>
            </w:r>
          </w:p>
        </w:tc>
        <w:tc>
          <w:tcPr>
            <w:tcW w:w="4643" w:type="dxa"/>
            <w:tcBorders>
              <w:top w:val="nil"/>
              <w:left w:val="nil"/>
              <w:bottom w:val="nil"/>
              <w:right w:val="nil"/>
            </w:tcBorders>
          </w:tcPr>
          <w:p w14:paraId="11F4D38A">
            <w:pPr>
              <w:autoSpaceDE w:val="0"/>
              <w:autoSpaceDN w:val="0"/>
              <w:adjustRightInd w:val="0"/>
              <w:spacing w:line="420" w:lineRule="exact"/>
              <w:jc w:val="left"/>
              <w:rPr>
                <w:rFonts w:hint="eastAsia" w:ascii="宋体" w:hAnsi="宋体"/>
                <w:lang w:val="zh-CN"/>
              </w:rPr>
            </w:pPr>
            <w:r>
              <w:rPr>
                <w:rFonts w:hint="eastAsia" w:ascii="宋体" w:hAnsi="宋体"/>
                <w:lang w:val="zh-CN"/>
              </w:rPr>
              <w:t>供应商：（以下称乙方）</w:t>
            </w:r>
          </w:p>
        </w:tc>
      </w:tr>
      <w:tr w14:paraId="758B4B0B">
        <w:tblPrEx>
          <w:tblCellMar>
            <w:top w:w="0" w:type="dxa"/>
            <w:left w:w="108" w:type="dxa"/>
            <w:bottom w:w="0" w:type="dxa"/>
            <w:right w:w="108" w:type="dxa"/>
          </w:tblCellMar>
        </w:tblPrEx>
        <w:tc>
          <w:tcPr>
            <w:tcW w:w="4643" w:type="dxa"/>
            <w:tcBorders>
              <w:top w:val="nil"/>
              <w:left w:val="nil"/>
              <w:bottom w:val="nil"/>
              <w:right w:val="nil"/>
            </w:tcBorders>
          </w:tcPr>
          <w:p w14:paraId="3C72CAB8">
            <w:pPr>
              <w:autoSpaceDE w:val="0"/>
              <w:autoSpaceDN w:val="0"/>
              <w:adjustRightInd w:val="0"/>
              <w:spacing w:line="420" w:lineRule="exact"/>
              <w:jc w:val="left"/>
              <w:rPr>
                <w:rFonts w:hint="eastAsia" w:ascii="宋体" w:hAnsi="宋体"/>
              </w:rPr>
            </w:pPr>
            <w:r>
              <w:rPr>
                <w:rFonts w:hint="eastAsia" w:ascii="宋体" w:hAnsi="宋体"/>
                <w:lang w:val="zh-CN"/>
              </w:rPr>
              <w:t>住所地：</w:t>
            </w:r>
          </w:p>
        </w:tc>
        <w:tc>
          <w:tcPr>
            <w:tcW w:w="4643" w:type="dxa"/>
            <w:tcBorders>
              <w:top w:val="nil"/>
              <w:left w:val="nil"/>
              <w:bottom w:val="nil"/>
              <w:right w:val="nil"/>
            </w:tcBorders>
          </w:tcPr>
          <w:p w14:paraId="6AECF902">
            <w:pPr>
              <w:autoSpaceDE w:val="0"/>
              <w:autoSpaceDN w:val="0"/>
              <w:adjustRightInd w:val="0"/>
              <w:spacing w:line="420" w:lineRule="exact"/>
              <w:jc w:val="left"/>
              <w:rPr>
                <w:rFonts w:hint="eastAsia" w:ascii="宋体" w:hAnsi="宋体"/>
              </w:rPr>
            </w:pPr>
            <w:r>
              <w:rPr>
                <w:rFonts w:hint="eastAsia" w:ascii="宋体" w:hAnsi="宋体"/>
                <w:lang w:val="zh-CN"/>
              </w:rPr>
              <w:t>住所地</w:t>
            </w:r>
            <w:r>
              <w:rPr>
                <w:rFonts w:hint="eastAsia" w:ascii="宋体" w:hAnsi="宋体"/>
              </w:rPr>
              <w:t>：</w:t>
            </w:r>
          </w:p>
        </w:tc>
      </w:tr>
    </w:tbl>
    <w:p w14:paraId="5F8BEE7F">
      <w:pPr>
        <w:widowControl/>
        <w:snapToGrid w:val="0"/>
        <w:spacing w:before="19" w:line="420" w:lineRule="exact"/>
        <w:ind w:firstLine="480" w:firstLineChars="200"/>
        <w:rPr>
          <w:rFonts w:hint="eastAsia" w:ascii="宋体" w:hAnsi="宋体"/>
        </w:rPr>
      </w:pPr>
      <w:r>
        <w:rPr>
          <w:rFonts w:hint="eastAsia" w:ascii="宋体" w:hAnsi="宋体"/>
        </w:rPr>
        <w:t>甲乙双方根据</w:t>
      </w:r>
      <w:r>
        <w:rPr>
          <w:rFonts w:hint="eastAsia" w:ascii="宋体" w:hAnsi="宋体"/>
          <w:u w:val="single"/>
        </w:rPr>
        <w:t xml:space="preserve">    </w:t>
      </w:r>
      <w:r>
        <w:rPr>
          <w:rFonts w:ascii="宋体" w:hAnsi="宋体"/>
        </w:rPr>
        <w:t>年</w:t>
      </w:r>
      <w:r>
        <w:rPr>
          <w:rFonts w:hint="eastAsia" w:ascii="宋体" w:hAnsi="宋体"/>
          <w:u w:val="single"/>
        </w:rPr>
        <w:t xml:space="preserve">   </w:t>
      </w:r>
      <w:r>
        <w:rPr>
          <w:rFonts w:ascii="宋体" w:hAnsi="宋体"/>
        </w:rPr>
        <w:t>月</w:t>
      </w:r>
      <w:r>
        <w:rPr>
          <w:rFonts w:hint="eastAsia" w:ascii="宋体" w:hAnsi="宋体"/>
          <w:u w:val="single"/>
        </w:rPr>
        <w:t xml:space="preserve">    </w:t>
      </w:r>
      <w:r>
        <w:rPr>
          <w:rFonts w:ascii="宋体" w:hAnsi="宋体"/>
        </w:rPr>
        <w:t>日</w:t>
      </w:r>
      <w:r>
        <w:rPr>
          <w:rFonts w:hint="eastAsia" w:ascii="宋体" w:hAnsi="宋体"/>
        </w:rPr>
        <w:t>采购编号</w:t>
      </w:r>
      <w:r>
        <w:rPr>
          <w:rFonts w:hint="eastAsia" w:ascii="宋体" w:hAnsi="宋体"/>
          <w:u w:val="single"/>
        </w:rPr>
        <w:t xml:space="preserve">      </w:t>
      </w:r>
      <w:r>
        <w:rPr>
          <w:rFonts w:hint="eastAsia" w:ascii="宋体" w:hAnsi="宋体"/>
        </w:rPr>
        <w:t>的</w:t>
      </w:r>
      <w:r>
        <w:rPr>
          <w:rFonts w:hint="eastAsia" w:ascii="宋体" w:hAnsi="宋体" w:cs="仿宋"/>
          <w:u w:val="single"/>
        </w:rPr>
        <w:t xml:space="preserve">                         </w:t>
      </w:r>
      <w:r>
        <w:rPr>
          <w:rFonts w:hint="eastAsia" w:ascii="宋体" w:hAnsi="宋体"/>
        </w:rPr>
        <w:t>公开招标采购结果及采购文件的要求,经协商一致,达成如下采购服务合同:</w:t>
      </w:r>
    </w:p>
    <w:p w14:paraId="2DEBDE57">
      <w:pPr>
        <w:widowControl/>
        <w:snapToGrid w:val="0"/>
        <w:spacing w:before="19" w:line="420" w:lineRule="exact"/>
        <w:ind w:firstLine="480" w:firstLineChars="200"/>
        <w:rPr>
          <w:rFonts w:hint="eastAsia" w:ascii="宋体" w:hAnsi="宋体"/>
          <w:bCs/>
        </w:rPr>
      </w:pPr>
      <w:bookmarkStart w:id="271" w:name="hetongEnd"/>
      <w:bookmarkEnd w:id="271"/>
      <w:r>
        <w:rPr>
          <w:rFonts w:hint="eastAsia" w:ascii="宋体" w:hAnsi="宋体"/>
        </w:rPr>
        <w:t>一、</w:t>
      </w:r>
      <w:r>
        <w:rPr>
          <w:rFonts w:hint="eastAsia" w:ascii="宋体" w:hAnsi="宋体"/>
          <w:bCs/>
        </w:rPr>
        <w:t>采购标的</w:t>
      </w:r>
    </w:p>
    <w:p w14:paraId="35D4F59F">
      <w:pPr>
        <w:widowControl/>
        <w:snapToGrid w:val="0"/>
        <w:spacing w:before="19" w:line="420" w:lineRule="exact"/>
        <w:ind w:firstLine="600"/>
        <w:rPr>
          <w:rFonts w:hint="eastAsia" w:ascii="宋体" w:hAnsi="宋体" w:cs="Adobe 仿宋 Std R"/>
          <w:u w:val="single"/>
        </w:rPr>
      </w:pPr>
      <w:r>
        <w:rPr>
          <w:rFonts w:hint="eastAsia" w:ascii="宋体" w:hAnsi="宋体"/>
        </w:rPr>
        <w:t>1、项目名称：</w:t>
      </w:r>
      <w:r>
        <w:rPr>
          <w:rFonts w:hint="eastAsia" w:ascii="宋体" w:hAnsi="宋体"/>
          <w:u w:val="single"/>
        </w:rPr>
        <w:t xml:space="preserve">                                      </w:t>
      </w:r>
    </w:p>
    <w:p w14:paraId="16A14043">
      <w:pPr>
        <w:widowControl/>
        <w:snapToGrid w:val="0"/>
        <w:spacing w:before="19" w:line="420" w:lineRule="exact"/>
        <w:ind w:firstLine="600"/>
        <w:rPr>
          <w:rFonts w:hint="eastAsia" w:ascii="宋体" w:hAnsi="宋体"/>
        </w:rPr>
      </w:pPr>
      <w:r>
        <w:rPr>
          <w:rFonts w:hint="eastAsia" w:ascii="宋体" w:hAnsi="宋体"/>
        </w:rPr>
        <w:t>2、服务内容：参照招标文件的具体要求。</w:t>
      </w:r>
    </w:p>
    <w:p w14:paraId="449EE7AC">
      <w:pPr>
        <w:widowControl/>
        <w:snapToGrid w:val="0"/>
        <w:spacing w:before="19" w:line="420" w:lineRule="exact"/>
        <w:ind w:firstLine="600"/>
        <w:rPr>
          <w:rFonts w:hint="eastAsia" w:ascii="宋体" w:hAnsi="宋体"/>
        </w:rPr>
      </w:pPr>
      <w:r>
        <w:rPr>
          <w:rFonts w:hint="eastAsia" w:ascii="宋体" w:hAnsi="宋体"/>
        </w:rPr>
        <w:t>3、服务期限：参照招标文件的具体要求。</w:t>
      </w:r>
    </w:p>
    <w:p w14:paraId="77AEF9EF">
      <w:pPr>
        <w:widowControl/>
        <w:snapToGrid w:val="0"/>
        <w:spacing w:before="19" w:line="420" w:lineRule="exact"/>
        <w:ind w:firstLine="600"/>
        <w:rPr>
          <w:rFonts w:hint="eastAsia" w:ascii="宋体" w:hAnsi="宋体"/>
          <w:u w:val="single"/>
        </w:rPr>
      </w:pPr>
      <w:r>
        <w:rPr>
          <w:rFonts w:hint="eastAsia" w:ascii="宋体" w:hAnsi="宋体"/>
        </w:rPr>
        <w:t>4、补充条款：</w:t>
      </w:r>
      <w:r>
        <w:rPr>
          <w:rFonts w:hint="eastAsia" w:ascii="宋体" w:hAnsi="宋体"/>
          <w:u w:val="single"/>
        </w:rPr>
        <w:t xml:space="preserve">                                    </w:t>
      </w:r>
      <w:r>
        <w:rPr>
          <w:rFonts w:hint="eastAsia" w:ascii="宋体" w:hAnsi="宋体"/>
        </w:rPr>
        <w:t>。</w:t>
      </w:r>
    </w:p>
    <w:p w14:paraId="72EA9F7B">
      <w:pPr>
        <w:widowControl/>
        <w:snapToGrid w:val="0"/>
        <w:spacing w:before="19" w:line="420" w:lineRule="exact"/>
        <w:ind w:firstLine="480" w:firstLineChars="200"/>
        <w:rPr>
          <w:rFonts w:hint="eastAsia" w:ascii="宋体" w:hAnsi="宋体"/>
        </w:rPr>
      </w:pPr>
      <w:r>
        <w:rPr>
          <w:rFonts w:hint="eastAsia" w:ascii="宋体" w:hAnsi="宋体"/>
        </w:rPr>
        <w:t xml:space="preserve">二、合同价款 </w:t>
      </w:r>
    </w:p>
    <w:p w14:paraId="0CCD508D">
      <w:pPr>
        <w:widowControl/>
        <w:snapToGrid w:val="0"/>
        <w:spacing w:before="19" w:line="420" w:lineRule="exact"/>
        <w:ind w:firstLine="921" w:firstLineChars="384"/>
        <w:rPr>
          <w:rFonts w:hint="eastAsia" w:ascii="宋体" w:hAnsi="宋体"/>
        </w:rPr>
      </w:pPr>
      <w:r>
        <w:rPr>
          <w:rFonts w:hint="eastAsia" w:ascii="宋体" w:hAnsi="宋体"/>
        </w:rPr>
        <w:t>本合同总价款按照中标价约定。</w:t>
      </w:r>
    </w:p>
    <w:p w14:paraId="1B54FC95">
      <w:pPr>
        <w:widowControl/>
        <w:snapToGrid w:val="0"/>
        <w:spacing w:before="19" w:line="420" w:lineRule="exact"/>
        <w:ind w:firstLine="480" w:firstLineChars="200"/>
        <w:rPr>
          <w:rFonts w:hint="eastAsia" w:ascii="宋体" w:hAnsi="宋体"/>
        </w:rPr>
      </w:pPr>
      <w:r>
        <w:rPr>
          <w:rFonts w:hint="eastAsia" w:ascii="宋体" w:hAnsi="宋体"/>
        </w:rPr>
        <w:t>三、合同履行</w:t>
      </w:r>
    </w:p>
    <w:p w14:paraId="68AD7490">
      <w:pPr>
        <w:widowControl/>
        <w:snapToGrid w:val="0"/>
        <w:spacing w:before="19" w:line="420" w:lineRule="exact"/>
        <w:ind w:firstLine="921" w:firstLineChars="384"/>
        <w:rPr>
          <w:rFonts w:hint="eastAsia" w:ascii="宋体" w:hAnsi="宋体"/>
        </w:rPr>
      </w:pPr>
      <w:r>
        <w:rPr>
          <w:rFonts w:hint="eastAsia" w:ascii="宋体" w:hAnsi="宋体"/>
        </w:rPr>
        <w:t>本合同项下服务的提供参照招标文件的具体要求履行，甲乙双方通过补充条款进行特殊约定的从其约定。</w:t>
      </w:r>
    </w:p>
    <w:p w14:paraId="17F711FF">
      <w:pPr>
        <w:widowControl/>
        <w:snapToGrid w:val="0"/>
        <w:spacing w:before="19" w:line="420" w:lineRule="exact"/>
        <w:ind w:firstLine="921" w:firstLineChars="384"/>
        <w:rPr>
          <w:rFonts w:hint="eastAsia" w:ascii="宋体" w:hAnsi="宋体"/>
        </w:rPr>
      </w:pPr>
      <w:r>
        <w:rPr>
          <w:rFonts w:hint="eastAsia" w:ascii="宋体" w:hAnsi="宋体"/>
        </w:rPr>
        <w:t>补充条款：</w:t>
      </w:r>
      <w:r>
        <w:rPr>
          <w:rFonts w:hint="eastAsia" w:ascii="宋体" w:hAnsi="宋体"/>
          <w:u w:val="single"/>
        </w:rPr>
        <w:t xml:space="preserve">                                        </w:t>
      </w:r>
      <w:r>
        <w:rPr>
          <w:rFonts w:hint="eastAsia" w:ascii="宋体" w:hAnsi="宋体"/>
        </w:rPr>
        <w:t>。</w:t>
      </w:r>
    </w:p>
    <w:p w14:paraId="7A28BFE0">
      <w:pPr>
        <w:widowControl/>
        <w:snapToGrid w:val="0"/>
        <w:spacing w:before="19" w:line="420" w:lineRule="exact"/>
        <w:ind w:firstLine="480" w:firstLineChars="200"/>
        <w:rPr>
          <w:rFonts w:hint="eastAsia" w:ascii="宋体" w:hAnsi="宋体"/>
          <w:u w:val="single"/>
        </w:rPr>
      </w:pPr>
      <w:r>
        <w:rPr>
          <w:rFonts w:hint="eastAsia" w:ascii="宋体" w:hAnsi="宋体"/>
        </w:rPr>
        <w:t>四、</w:t>
      </w:r>
      <w:r>
        <w:rPr>
          <w:rFonts w:hint="eastAsia" w:ascii="宋体" w:hAnsi="宋体"/>
          <w:bCs/>
        </w:rPr>
        <w:t>验收</w:t>
      </w:r>
    </w:p>
    <w:p w14:paraId="15777FB3">
      <w:pPr>
        <w:widowControl/>
        <w:tabs>
          <w:tab w:val="left" w:pos="1980"/>
        </w:tabs>
        <w:snapToGrid w:val="0"/>
        <w:spacing w:line="420" w:lineRule="exact"/>
        <w:ind w:firstLine="480" w:firstLineChars="200"/>
        <w:rPr>
          <w:rFonts w:hint="eastAsia" w:ascii="宋体" w:hAnsi="宋体"/>
        </w:rPr>
      </w:pPr>
      <w:r>
        <w:rPr>
          <w:rFonts w:hint="eastAsia" w:ascii="宋体" w:hAnsi="宋体"/>
        </w:rPr>
        <w:t>实际委托协议中，甲方在合同履行期间，有权依照招标文件相关要求对乙方提供的相关服务或交付的工作成果进行阶段性验收及/或总体验收。如需委托第三方验收，验收费用由乙方承担。因乙方提供的服务不符合标准导致甲方重复支出的验收费用，由乙方承担。</w:t>
      </w:r>
    </w:p>
    <w:p w14:paraId="3D53D917">
      <w:pPr>
        <w:widowControl/>
        <w:tabs>
          <w:tab w:val="left" w:pos="1980"/>
        </w:tabs>
        <w:snapToGrid w:val="0"/>
        <w:spacing w:line="420" w:lineRule="exact"/>
        <w:ind w:firstLine="480" w:firstLineChars="200"/>
        <w:rPr>
          <w:rFonts w:hint="eastAsia" w:ascii="宋体" w:hAnsi="宋体"/>
        </w:rPr>
      </w:pPr>
      <w:r>
        <w:rPr>
          <w:rFonts w:hint="eastAsia" w:ascii="宋体" w:hAnsi="宋体"/>
        </w:rPr>
        <w:t>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p>
    <w:p w14:paraId="02241EE5">
      <w:pPr>
        <w:widowControl/>
        <w:tabs>
          <w:tab w:val="left" w:pos="1980"/>
        </w:tabs>
        <w:snapToGrid w:val="0"/>
        <w:spacing w:line="420" w:lineRule="exact"/>
        <w:ind w:firstLine="480" w:firstLineChars="200"/>
        <w:rPr>
          <w:rFonts w:hint="eastAsia" w:ascii="宋体" w:hAnsi="宋体"/>
        </w:rPr>
      </w:pPr>
      <w:r>
        <w:rPr>
          <w:rFonts w:hint="eastAsia" w:ascii="宋体" w:hAnsi="宋体"/>
        </w:rPr>
        <w:t>五、合同责任：</w:t>
      </w:r>
    </w:p>
    <w:p w14:paraId="71C4AE73">
      <w:pPr>
        <w:widowControl/>
        <w:tabs>
          <w:tab w:val="left" w:pos="1980"/>
        </w:tabs>
        <w:snapToGrid w:val="0"/>
        <w:spacing w:line="420" w:lineRule="exact"/>
        <w:ind w:firstLine="480" w:firstLineChars="200"/>
        <w:rPr>
          <w:rFonts w:hint="eastAsia" w:ascii="宋体" w:hAnsi="宋体"/>
        </w:rPr>
      </w:pPr>
      <w:r>
        <w:rPr>
          <w:rFonts w:hint="eastAsia" w:ascii="宋体" w:hAnsi="宋体"/>
        </w:rPr>
        <w:t>1、甲方应当为乙方履行合同提供必要的支持。</w:t>
      </w:r>
    </w:p>
    <w:p w14:paraId="15F5C4C0">
      <w:pPr>
        <w:widowControl/>
        <w:tabs>
          <w:tab w:val="left" w:pos="1980"/>
        </w:tabs>
        <w:snapToGrid w:val="0"/>
        <w:spacing w:line="420" w:lineRule="exact"/>
        <w:ind w:firstLine="480" w:firstLineChars="200"/>
        <w:rPr>
          <w:rFonts w:hint="eastAsia" w:ascii="宋体" w:hAnsi="宋体"/>
        </w:rPr>
      </w:pPr>
      <w:r>
        <w:rPr>
          <w:rFonts w:hint="eastAsia" w:ascii="宋体" w:hAnsi="宋体"/>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17F9D839">
      <w:pPr>
        <w:widowControl/>
        <w:tabs>
          <w:tab w:val="left" w:pos="1980"/>
        </w:tabs>
        <w:snapToGrid w:val="0"/>
        <w:spacing w:line="420" w:lineRule="exact"/>
        <w:ind w:firstLine="480" w:firstLineChars="200"/>
        <w:rPr>
          <w:rFonts w:hint="eastAsia" w:ascii="宋体" w:hAnsi="宋体"/>
        </w:rPr>
      </w:pPr>
      <w:r>
        <w:rPr>
          <w:rFonts w:hint="eastAsia" w:ascii="宋体" w:hAnsi="宋体"/>
        </w:rPr>
        <w:t>3、乙方在履行合同中产生的一切非因甲方过错导致的损失，均由乙方自行承担责任。</w:t>
      </w:r>
    </w:p>
    <w:p w14:paraId="56D3955C">
      <w:pPr>
        <w:widowControl/>
        <w:tabs>
          <w:tab w:val="left" w:pos="1980"/>
        </w:tabs>
        <w:snapToGrid w:val="0"/>
        <w:spacing w:line="420" w:lineRule="exact"/>
        <w:ind w:firstLine="480" w:firstLineChars="200"/>
        <w:rPr>
          <w:rFonts w:hint="eastAsia" w:ascii="宋体" w:hAnsi="宋体"/>
        </w:rPr>
      </w:pPr>
      <w:r>
        <w:rPr>
          <w:rFonts w:hint="eastAsia" w:ascii="宋体" w:hAnsi="宋体"/>
        </w:rPr>
        <w:t>4、甲乙双方均应指定专人作为本合同履行期间双方之间的联络人，任一方向相对方正式知会事项的通知到达相对方指定联络人即视为到达对方。</w:t>
      </w:r>
    </w:p>
    <w:p w14:paraId="33603F64">
      <w:pPr>
        <w:widowControl/>
        <w:tabs>
          <w:tab w:val="left" w:pos="1980"/>
        </w:tabs>
        <w:snapToGrid w:val="0"/>
        <w:spacing w:line="420" w:lineRule="exact"/>
        <w:ind w:firstLine="480" w:firstLineChars="200"/>
        <w:rPr>
          <w:rFonts w:hint="eastAsia" w:ascii="宋体" w:hAnsi="宋体"/>
        </w:rPr>
      </w:pPr>
      <w:r>
        <w:rPr>
          <w:rFonts w:hint="eastAsia" w:ascii="宋体" w:hAnsi="宋体"/>
        </w:rPr>
        <w:t>甲方指定联络人：</w:t>
      </w:r>
    </w:p>
    <w:p w14:paraId="3CAD9005">
      <w:pPr>
        <w:widowControl/>
        <w:tabs>
          <w:tab w:val="left" w:pos="1980"/>
        </w:tabs>
        <w:snapToGrid w:val="0"/>
        <w:spacing w:line="420" w:lineRule="exact"/>
        <w:ind w:firstLine="480" w:firstLineChars="200"/>
        <w:rPr>
          <w:rFonts w:hint="eastAsia" w:ascii="宋体" w:hAnsi="宋体"/>
        </w:rPr>
      </w:pPr>
      <w:r>
        <w:rPr>
          <w:rFonts w:hint="eastAsia" w:ascii="宋体" w:hAnsi="宋体"/>
        </w:rPr>
        <w:t>姓    名：</w:t>
      </w:r>
      <w:bookmarkStart w:id="272" w:name="purchase_relation_name"/>
      <w:bookmarkEnd w:id="272"/>
      <w:r>
        <w:rPr>
          <w:rFonts w:hint="eastAsia" w:ascii="宋体" w:hAnsi="宋体"/>
        </w:rPr>
        <w:t xml:space="preserve"> </w:t>
      </w:r>
    </w:p>
    <w:p w14:paraId="70B0EA29">
      <w:pPr>
        <w:widowControl/>
        <w:tabs>
          <w:tab w:val="left" w:pos="1980"/>
        </w:tabs>
        <w:snapToGrid w:val="0"/>
        <w:spacing w:line="420" w:lineRule="exact"/>
        <w:ind w:firstLine="480" w:firstLineChars="200"/>
        <w:rPr>
          <w:rFonts w:hint="eastAsia" w:ascii="宋体" w:hAnsi="宋体"/>
        </w:rPr>
      </w:pPr>
      <w:r>
        <w:rPr>
          <w:rFonts w:hint="eastAsia" w:ascii="宋体" w:hAnsi="宋体"/>
        </w:rPr>
        <w:t>联系方式：</w:t>
      </w:r>
      <w:bookmarkStart w:id="273" w:name="purchase_relation_tel"/>
      <w:bookmarkEnd w:id="273"/>
    </w:p>
    <w:p w14:paraId="58CFF614">
      <w:pPr>
        <w:widowControl/>
        <w:tabs>
          <w:tab w:val="left" w:pos="1980"/>
        </w:tabs>
        <w:snapToGrid w:val="0"/>
        <w:spacing w:line="420" w:lineRule="exact"/>
        <w:ind w:firstLine="480" w:firstLineChars="200"/>
        <w:rPr>
          <w:rFonts w:hint="eastAsia" w:ascii="宋体" w:hAnsi="宋体"/>
        </w:rPr>
      </w:pPr>
      <w:r>
        <w:rPr>
          <w:rFonts w:hint="eastAsia" w:ascii="宋体" w:hAnsi="宋体"/>
        </w:rPr>
        <w:t>乙方指定联络人：</w:t>
      </w:r>
    </w:p>
    <w:p w14:paraId="78E6A539">
      <w:pPr>
        <w:widowControl/>
        <w:tabs>
          <w:tab w:val="left" w:pos="1980"/>
        </w:tabs>
        <w:snapToGrid w:val="0"/>
        <w:spacing w:line="420" w:lineRule="exact"/>
        <w:ind w:firstLine="480" w:firstLineChars="200"/>
        <w:rPr>
          <w:rFonts w:hint="eastAsia" w:ascii="宋体" w:hAnsi="宋体"/>
        </w:rPr>
      </w:pPr>
      <w:r>
        <w:rPr>
          <w:rFonts w:hint="eastAsia" w:ascii="宋体" w:hAnsi="宋体"/>
        </w:rPr>
        <w:t>姓    名：</w:t>
      </w:r>
      <w:bookmarkStart w:id="274" w:name="supplier_relation_name"/>
      <w:bookmarkEnd w:id="274"/>
    </w:p>
    <w:p w14:paraId="716D296A">
      <w:pPr>
        <w:widowControl/>
        <w:tabs>
          <w:tab w:val="left" w:pos="1980"/>
        </w:tabs>
        <w:snapToGrid w:val="0"/>
        <w:spacing w:line="420" w:lineRule="exact"/>
        <w:ind w:firstLine="480" w:firstLineChars="200"/>
        <w:rPr>
          <w:rFonts w:hint="eastAsia" w:ascii="宋体" w:hAnsi="宋体"/>
        </w:rPr>
      </w:pPr>
      <w:r>
        <w:rPr>
          <w:rFonts w:hint="eastAsia" w:ascii="宋体" w:hAnsi="宋体"/>
        </w:rPr>
        <w:t>联系方式：</w:t>
      </w:r>
      <w:bookmarkStart w:id="275" w:name="supplier_relation_tel"/>
      <w:bookmarkEnd w:id="275"/>
    </w:p>
    <w:p w14:paraId="35344E56">
      <w:pPr>
        <w:widowControl/>
        <w:tabs>
          <w:tab w:val="left" w:pos="1980"/>
        </w:tabs>
        <w:snapToGrid w:val="0"/>
        <w:spacing w:line="420" w:lineRule="exact"/>
        <w:ind w:firstLine="480" w:firstLineChars="200"/>
        <w:rPr>
          <w:rFonts w:hint="eastAsia" w:ascii="宋体" w:hAnsi="宋体"/>
        </w:rPr>
      </w:pPr>
      <w:r>
        <w:rPr>
          <w:rFonts w:hint="eastAsia" w:ascii="宋体" w:hAnsi="宋体"/>
        </w:rPr>
        <w:t>六、</w:t>
      </w:r>
      <w:r>
        <w:rPr>
          <w:rFonts w:hint="eastAsia" w:ascii="宋体" w:hAnsi="宋体"/>
          <w:bCs/>
        </w:rPr>
        <w:t>履约担保</w:t>
      </w:r>
    </w:p>
    <w:p w14:paraId="3BEF8F86">
      <w:pPr>
        <w:widowControl/>
        <w:snapToGrid w:val="0"/>
        <w:spacing w:line="420" w:lineRule="exact"/>
        <w:ind w:firstLine="480" w:firstLineChars="200"/>
        <w:rPr>
          <w:rFonts w:hint="eastAsia" w:ascii="宋体" w:hAnsi="宋体"/>
        </w:rPr>
      </w:pPr>
      <w:r>
        <w:rPr>
          <w:rFonts w:hint="eastAsia" w:ascii="宋体" w:hAnsi="宋体"/>
        </w:rPr>
        <w:t>无</w:t>
      </w:r>
      <w:r>
        <w:rPr>
          <w:rFonts w:ascii="宋体" w:hAnsi="宋体"/>
        </w:rPr>
        <w:t>。</w:t>
      </w:r>
    </w:p>
    <w:p w14:paraId="733A51ED">
      <w:pPr>
        <w:widowControl/>
        <w:snapToGrid w:val="0"/>
        <w:spacing w:line="420" w:lineRule="exact"/>
        <w:ind w:firstLine="480" w:firstLineChars="200"/>
        <w:rPr>
          <w:rFonts w:hint="eastAsia" w:ascii="宋体" w:hAnsi="宋体"/>
        </w:rPr>
      </w:pPr>
      <w:r>
        <w:rPr>
          <w:rFonts w:hint="eastAsia" w:ascii="宋体" w:hAnsi="宋体"/>
          <w:bCs/>
        </w:rPr>
        <w:t>七、付款方式</w:t>
      </w:r>
    </w:p>
    <w:p w14:paraId="3EFDACC7">
      <w:pPr>
        <w:widowControl/>
        <w:snapToGrid w:val="0"/>
        <w:spacing w:line="420" w:lineRule="exact"/>
        <w:ind w:firstLine="480" w:firstLineChars="200"/>
        <w:rPr>
          <w:rFonts w:hint="eastAsia" w:ascii="宋体" w:hAnsi="宋体" w:cs="宋体"/>
        </w:rPr>
      </w:pPr>
      <w:r>
        <w:rPr>
          <w:rFonts w:hint="eastAsia" w:ascii="宋体" w:hAnsi="宋体" w:cs="宋体"/>
        </w:rPr>
        <w:t>详见招标文件。</w:t>
      </w:r>
    </w:p>
    <w:p w14:paraId="23A2D83B">
      <w:pPr>
        <w:widowControl/>
        <w:snapToGrid w:val="0"/>
        <w:spacing w:line="420" w:lineRule="exact"/>
        <w:ind w:firstLine="480" w:firstLineChars="200"/>
        <w:rPr>
          <w:rFonts w:hint="eastAsia" w:ascii="宋体" w:hAnsi="宋体" w:cs="宋体"/>
        </w:rPr>
      </w:pPr>
      <w:r>
        <w:rPr>
          <w:rFonts w:hint="eastAsia" w:ascii="宋体" w:hAnsi="宋体" w:cs="宋体"/>
        </w:rPr>
        <w:t>八、保密条款</w:t>
      </w:r>
    </w:p>
    <w:p w14:paraId="48FE99BA">
      <w:pPr>
        <w:widowControl/>
        <w:snapToGrid w:val="0"/>
        <w:spacing w:line="420" w:lineRule="exact"/>
        <w:ind w:firstLine="480" w:firstLineChars="200"/>
        <w:rPr>
          <w:rFonts w:hint="eastAsia" w:ascii="宋体" w:hAnsi="宋体" w:cs="宋体"/>
        </w:rPr>
      </w:pPr>
      <w:r>
        <w:rPr>
          <w:rFonts w:hint="eastAsia" w:ascii="宋体" w:hAnsi="宋体" w:cs="宋体"/>
        </w:rPr>
        <w:t>乙方不得将在履行本合同中知悉的甲方任何信息随意泄露、擅自使用。</w:t>
      </w:r>
    </w:p>
    <w:p w14:paraId="56E59074">
      <w:pPr>
        <w:widowControl/>
        <w:snapToGrid w:val="0"/>
        <w:spacing w:line="420" w:lineRule="exact"/>
        <w:ind w:firstLine="480" w:firstLineChars="200"/>
        <w:rPr>
          <w:rFonts w:hint="eastAsia" w:ascii="宋体" w:hAnsi="宋体" w:cs="宋体"/>
          <w:u w:val="single"/>
        </w:rPr>
      </w:pPr>
      <w:r>
        <w:rPr>
          <w:rFonts w:hint="eastAsia" w:ascii="宋体" w:hAnsi="宋体" w:cs="宋体"/>
        </w:rPr>
        <w:t>如违反本条款规定，乙方应当承担如下责任：</w:t>
      </w:r>
      <w:r>
        <w:rPr>
          <w:rFonts w:hint="eastAsia" w:ascii="宋体" w:hAnsi="宋体" w:cs="宋体"/>
          <w:u w:val="single"/>
        </w:rPr>
        <w:t xml:space="preserve">          </w:t>
      </w:r>
      <w:r>
        <w:rPr>
          <w:rFonts w:hint="eastAsia" w:ascii="宋体" w:hAnsi="宋体" w:cs="宋体"/>
        </w:rPr>
        <w:t>。</w:t>
      </w:r>
    </w:p>
    <w:p w14:paraId="289AFBA0">
      <w:pPr>
        <w:widowControl/>
        <w:snapToGrid w:val="0"/>
        <w:spacing w:line="420" w:lineRule="exact"/>
        <w:ind w:firstLine="480" w:firstLineChars="200"/>
        <w:rPr>
          <w:rFonts w:hint="eastAsia" w:ascii="宋体" w:hAnsi="宋体"/>
        </w:rPr>
      </w:pPr>
      <w:r>
        <w:rPr>
          <w:rFonts w:hint="eastAsia" w:ascii="宋体" w:hAnsi="宋体"/>
        </w:rPr>
        <w:t>九、合同纠纷处理</w:t>
      </w:r>
    </w:p>
    <w:p w14:paraId="690507D6">
      <w:pPr>
        <w:widowControl/>
        <w:tabs>
          <w:tab w:val="left" w:pos="1980"/>
        </w:tabs>
        <w:snapToGrid w:val="0"/>
        <w:spacing w:line="420" w:lineRule="exact"/>
        <w:ind w:firstLine="480" w:firstLineChars="200"/>
        <w:rPr>
          <w:rFonts w:hint="eastAsia" w:ascii="宋体" w:hAnsi="宋体"/>
        </w:rPr>
      </w:pPr>
      <w:r>
        <w:rPr>
          <w:rFonts w:hint="eastAsia" w:ascii="宋体" w:hAnsi="宋体"/>
        </w:rPr>
        <w:t>本合同执行过程中发生纠纷，由甲乙双方协商处理，若协商不成，作如下处理：</w:t>
      </w:r>
    </w:p>
    <w:p w14:paraId="4A425FD8">
      <w:pPr>
        <w:widowControl/>
        <w:tabs>
          <w:tab w:val="left" w:pos="1980"/>
        </w:tabs>
        <w:snapToGrid w:val="0"/>
        <w:spacing w:line="420" w:lineRule="exact"/>
        <w:ind w:firstLine="480" w:firstLineChars="200"/>
        <w:rPr>
          <w:rFonts w:hint="eastAsia" w:ascii="宋体" w:hAnsi="宋体"/>
        </w:rPr>
      </w:pPr>
      <w:r>
        <w:rPr>
          <w:rFonts w:hint="eastAsia" w:ascii="宋体" w:hAnsi="宋体"/>
        </w:rPr>
        <w:t>1、申请仲裁。</w:t>
      </w:r>
    </w:p>
    <w:p w14:paraId="437BB126">
      <w:pPr>
        <w:widowControl/>
        <w:tabs>
          <w:tab w:val="left" w:pos="1980"/>
        </w:tabs>
        <w:snapToGrid w:val="0"/>
        <w:spacing w:line="420" w:lineRule="exact"/>
        <w:ind w:firstLine="480" w:firstLineChars="200"/>
        <w:rPr>
          <w:rFonts w:hint="eastAsia" w:ascii="宋体" w:hAnsi="宋体"/>
        </w:rPr>
      </w:pPr>
      <w:r>
        <w:rPr>
          <w:rFonts w:hint="eastAsia" w:ascii="宋体" w:hAnsi="宋体"/>
        </w:rPr>
        <w:t>2、提起诉讼。约定由采购人所在地法院管辖。</w:t>
      </w:r>
    </w:p>
    <w:p w14:paraId="6EB2AF74">
      <w:pPr>
        <w:widowControl/>
        <w:snapToGrid w:val="0"/>
        <w:spacing w:line="420" w:lineRule="exact"/>
        <w:ind w:firstLine="480" w:firstLineChars="200"/>
        <w:rPr>
          <w:rFonts w:hint="eastAsia" w:ascii="宋体" w:hAnsi="宋体"/>
        </w:rPr>
      </w:pPr>
      <w:r>
        <w:rPr>
          <w:rFonts w:hint="eastAsia" w:ascii="宋体" w:hAnsi="宋体"/>
        </w:rPr>
        <w:t>十、合同生效</w:t>
      </w:r>
    </w:p>
    <w:p w14:paraId="06182B6F">
      <w:pPr>
        <w:widowControl/>
        <w:snapToGrid w:val="0"/>
        <w:spacing w:line="420" w:lineRule="exact"/>
        <w:ind w:firstLine="480" w:firstLineChars="200"/>
        <w:rPr>
          <w:rFonts w:hint="eastAsia" w:ascii="宋体" w:hAnsi="宋体"/>
        </w:rPr>
      </w:pPr>
      <w:r>
        <w:rPr>
          <w:rFonts w:hint="eastAsia" w:ascii="宋体" w:hAnsi="宋体"/>
        </w:rPr>
        <w:t>本合同由甲乙双方签字盖章后生效。</w:t>
      </w:r>
    </w:p>
    <w:p w14:paraId="4659DB2E">
      <w:pPr>
        <w:widowControl/>
        <w:snapToGrid w:val="0"/>
        <w:spacing w:line="420" w:lineRule="exact"/>
        <w:ind w:firstLine="480" w:firstLineChars="200"/>
        <w:rPr>
          <w:rFonts w:hint="eastAsia" w:ascii="宋体" w:hAnsi="宋体"/>
        </w:rPr>
      </w:pPr>
      <w:r>
        <w:rPr>
          <w:rFonts w:hint="eastAsia" w:ascii="宋体" w:hAnsi="宋体"/>
        </w:rPr>
        <w:t xml:space="preserve">十一、组成本合同的文件包括 </w:t>
      </w:r>
    </w:p>
    <w:p w14:paraId="5F354CAC">
      <w:pPr>
        <w:widowControl/>
        <w:snapToGrid w:val="0"/>
        <w:spacing w:line="420" w:lineRule="exact"/>
        <w:ind w:firstLine="480" w:firstLineChars="200"/>
        <w:rPr>
          <w:rFonts w:hint="eastAsia" w:ascii="宋体" w:hAnsi="宋体"/>
          <w:bCs/>
        </w:rPr>
      </w:pPr>
      <w:r>
        <w:rPr>
          <w:rFonts w:hint="eastAsia" w:ascii="宋体" w:hAnsi="宋体"/>
          <w:bCs/>
        </w:rPr>
        <w:t>（一）合同通用条款和专用条款；</w:t>
      </w:r>
    </w:p>
    <w:p w14:paraId="23C0B6B3">
      <w:pPr>
        <w:widowControl/>
        <w:snapToGrid w:val="0"/>
        <w:spacing w:line="420" w:lineRule="exact"/>
        <w:ind w:firstLine="480" w:firstLineChars="200"/>
        <w:rPr>
          <w:rFonts w:hint="eastAsia" w:ascii="宋体" w:hAnsi="宋体"/>
          <w:bCs/>
        </w:rPr>
      </w:pPr>
      <w:r>
        <w:rPr>
          <w:rFonts w:hint="eastAsia" w:ascii="宋体" w:hAnsi="宋体"/>
          <w:bCs/>
        </w:rPr>
        <w:t>（二）采购文件和乙方的</w:t>
      </w:r>
      <w:r>
        <w:rPr>
          <w:rFonts w:hint="eastAsia" w:ascii="宋体" w:hAnsi="宋体" w:cs="宋体"/>
          <w:bCs/>
        </w:rPr>
        <w:t>投标</w:t>
      </w:r>
      <w:r>
        <w:rPr>
          <w:rFonts w:hint="eastAsia" w:ascii="宋体" w:hAnsi="宋体"/>
          <w:bCs/>
        </w:rPr>
        <w:t>文件；</w:t>
      </w:r>
    </w:p>
    <w:p w14:paraId="5C052F93">
      <w:pPr>
        <w:widowControl/>
        <w:snapToGrid w:val="0"/>
        <w:spacing w:line="420" w:lineRule="exact"/>
        <w:ind w:firstLine="480" w:firstLineChars="200"/>
        <w:rPr>
          <w:rFonts w:hint="eastAsia" w:ascii="宋体" w:hAnsi="宋体"/>
          <w:bCs/>
        </w:rPr>
      </w:pPr>
      <w:r>
        <w:rPr>
          <w:rFonts w:hint="eastAsia" w:ascii="宋体" w:hAnsi="宋体"/>
          <w:bCs/>
        </w:rPr>
        <w:t>（三）中标通知书；</w:t>
      </w:r>
    </w:p>
    <w:p w14:paraId="4000DFF1">
      <w:pPr>
        <w:widowControl/>
        <w:snapToGrid w:val="0"/>
        <w:spacing w:line="420" w:lineRule="exact"/>
        <w:ind w:firstLine="480" w:firstLineChars="200"/>
        <w:rPr>
          <w:rFonts w:hint="eastAsia" w:ascii="宋体" w:hAnsi="宋体"/>
          <w:bCs/>
        </w:rPr>
      </w:pPr>
      <w:r>
        <w:rPr>
          <w:rFonts w:hint="eastAsia" w:ascii="宋体" w:hAnsi="宋体"/>
          <w:bCs/>
        </w:rPr>
        <w:t>（四）甲乙双方商定的其他必要文件。</w:t>
      </w:r>
    </w:p>
    <w:p w14:paraId="432F3391">
      <w:pPr>
        <w:widowControl/>
        <w:snapToGrid w:val="0"/>
        <w:spacing w:line="420" w:lineRule="exact"/>
        <w:ind w:firstLine="480" w:firstLineChars="200"/>
        <w:rPr>
          <w:rFonts w:hint="eastAsia" w:ascii="宋体" w:hAnsi="宋体"/>
          <w:bCs/>
        </w:rPr>
      </w:pPr>
      <w:r>
        <w:rPr>
          <w:rFonts w:hint="eastAsia" w:ascii="宋体" w:hAnsi="宋体"/>
          <w:bCs/>
        </w:rPr>
        <w:t>上述合同文件内容互为补充，如有不明确，由甲方负责解释。</w:t>
      </w:r>
    </w:p>
    <w:p w14:paraId="7A865267">
      <w:pPr>
        <w:widowControl/>
        <w:snapToGrid w:val="0"/>
        <w:spacing w:line="420" w:lineRule="exact"/>
        <w:ind w:firstLine="480" w:firstLineChars="200"/>
        <w:rPr>
          <w:rFonts w:hint="eastAsia" w:ascii="宋体" w:hAnsi="宋体"/>
          <w:bCs/>
        </w:rPr>
      </w:pPr>
      <w:r>
        <w:rPr>
          <w:rFonts w:hint="eastAsia" w:ascii="宋体" w:hAnsi="宋体"/>
          <w:bCs/>
        </w:rPr>
        <w:t>十二、合同备案</w:t>
      </w:r>
    </w:p>
    <w:p w14:paraId="73A8712F">
      <w:pPr>
        <w:widowControl/>
        <w:snapToGrid w:val="0"/>
        <w:spacing w:line="420" w:lineRule="exact"/>
        <w:ind w:firstLine="480" w:firstLineChars="200"/>
        <w:rPr>
          <w:rFonts w:hint="eastAsia" w:ascii="宋体" w:hAnsi="宋体"/>
          <w:bCs/>
        </w:rPr>
      </w:pPr>
      <w:r>
        <w:rPr>
          <w:rFonts w:hint="eastAsia" w:ascii="宋体" w:hAnsi="宋体"/>
          <w:bCs/>
        </w:rPr>
        <w:t>本合同一式四份，中文书写。甲乙双方、招标代理机构各执1份，另外1份由甲方报泰兴市财政局政府采购办备案。</w:t>
      </w:r>
    </w:p>
    <w:p w14:paraId="193A450E">
      <w:pPr>
        <w:widowControl/>
        <w:snapToGrid w:val="0"/>
        <w:spacing w:line="420" w:lineRule="exact"/>
        <w:ind w:firstLine="480" w:firstLineChars="200"/>
        <w:rPr>
          <w:rFonts w:hint="eastAsia" w:ascii="宋体" w:hAnsi="宋体"/>
          <w:bCs/>
        </w:rPr>
      </w:pPr>
    </w:p>
    <w:p w14:paraId="63707143">
      <w:pPr>
        <w:widowControl/>
        <w:snapToGrid w:val="0"/>
        <w:spacing w:line="420" w:lineRule="exact"/>
        <w:ind w:firstLine="480" w:firstLineChars="200"/>
        <w:rPr>
          <w:rFonts w:hint="eastAsia" w:ascii="宋体" w:hAnsi="宋体" w:cs="新宋体"/>
          <w:u w:val="single"/>
        </w:rPr>
      </w:pPr>
      <w:r>
        <w:rPr>
          <w:rFonts w:hint="eastAsia" w:ascii="宋体" w:hAnsi="宋体" w:cs="新宋体"/>
        </w:rPr>
        <w:t>甲方：</w:t>
      </w:r>
      <w:r>
        <w:rPr>
          <w:rFonts w:hint="eastAsia" w:ascii="宋体" w:hAnsi="宋体" w:cs="新宋体"/>
          <w:u w:val="single"/>
        </w:rPr>
        <w:t xml:space="preserve"> </w:t>
      </w:r>
      <w:bookmarkStart w:id="276" w:name="purchase_name_one"/>
      <w:bookmarkEnd w:id="276"/>
      <w:r>
        <w:rPr>
          <w:rFonts w:hint="eastAsia" w:ascii="宋体" w:hAnsi="宋体" w:cs="新宋体"/>
          <w:u w:val="single"/>
        </w:rPr>
        <w:t xml:space="preserve"> </w:t>
      </w:r>
      <w:bookmarkStart w:id="277" w:name="purchase_one_start"/>
      <w:bookmarkEnd w:id="277"/>
      <w:r>
        <w:rPr>
          <w:rFonts w:hint="eastAsia" w:ascii="宋体" w:hAnsi="宋体" w:cs="新宋体"/>
          <w:u w:val="single"/>
        </w:rPr>
        <w:t xml:space="preserve">                         </w:t>
      </w:r>
      <w:bookmarkStart w:id="278" w:name="purchase_one_end"/>
      <w:bookmarkEnd w:id="278"/>
      <w:r>
        <w:rPr>
          <w:rFonts w:hint="eastAsia" w:ascii="宋体" w:hAnsi="宋体" w:cs="新宋体"/>
          <w:u w:val="single"/>
        </w:rPr>
        <w:t xml:space="preserve"> （盖章）</w:t>
      </w:r>
    </w:p>
    <w:p w14:paraId="430E3181">
      <w:pPr>
        <w:widowControl/>
        <w:snapToGrid w:val="0"/>
        <w:spacing w:line="420" w:lineRule="exact"/>
        <w:ind w:firstLine="480" w:firstLineChars="200"/>
        <w:rPr>
          <w:rFonts w:hint="eastAsia" w:ascii="宋体" w:hAnsi="宋体" w:cs="新宋体"/>
          <w:u w:val="single"/>
        </w:rPr>
      </w:pPr>
      <w:r>
        <w:rPr>
          <w:rFonts w:hint="eastAsia" w:ascii="宋体" w:hAnsi="宋体" w:cs="新宋体"/>
        </w:rPr>
        <w:t>地址：</w:t>
      </w:r>
      <w:r>
        <w:rPr>
          <w:rFonts w:hint="eastAsia" w:ascii="宋体" w:hAnsi="宋体" w:cs="新宋体"/>
          <w:u w:val="single"/>
        </w:rPr>
        <w:t xml:space="preserve">              </w:t>
      </w:r>
    </w:p>
    <w:p w14:paraId="6C0077A5">
      <w:pPr>
        <w:widowControl/>
        <w:snapToGrid w:val="0"/>
        <w:spacing w:line="420" w:lineRule="exact"/>
        <w:ind w:firstLine="480" w:firstLineChars="200"/>
        <w:rPr>
          <w:rFonts w:hint="eastAsia" w:ascii="宋体" w:hAnsi="宋体" w:cs="新宋体"/>
          <w:u w:val="single"/>
        </w:rPr>
      </w:pPr>
      <w:r>
        <w:rPr>
          <w:rFonts w:hint="eastAsia" w:ascii="宋体" w:hAnsi="宋体" w:cs="新宋体"/>
        </w:rPr>
        <w:t>法定（授权）代表人：</w:t>
      </w:r>
      <w:r>
        <w:rPr>
          <w:rFonts w:hint="eastAsia" w:ascii="宋体" w:hAnsi="宋体" w:cs="新宋体"/>
          <w:u w:val="single"/>
        </w:rPr>
        <w:t xml:space="preserve">       </w:t>
      </w:r>
    </w:p>
    <w:p w14:paraId="0D5F81A5">
      <w:pPr>
        <w:widowControl/>
        <w:snapToGrid w:val="0"/>
        <w:spacing w:line="420" w:lineRule="exact"/>
        <w:ind w:firstLine="480" w:firstLineChars="200"/>
        <w:rPr>
          <w:rFonts w:hint="eastAsia" w:ascii="宋体" w:hAnsi="宋体" w:cs="新宋体"/>
        </w:rPr>
      </w:pPr>
      <w:r>
        <w:rPr>
          <w:rFonts w:hint="eastAsia" w:ascii="宋体" w:hAnsi="宋体" w:cs="新宋体"/>
        </w:rPr>
        <w:t>二〇二</w:t>
      </w:r>
      <w:r>
        <w:rPr>
          <w:rFonts w:hint="eastAsia" w:ascii="宋体" w:hAnsi="宋体" w:cs="新宋体"/>
          <w:u w:val="single"/>
        </w:rPr>
        <w:t xml:space="preserve"> </w:t>
      </w:r>
      <w:r>
        <w:rPr>
          <w:rFonts w:hint="eastAsia" w:ascii="宋体" w:hAnsi="宋体" w:cs="新宋体"/>
        </w:rPr>
        <w:t>年</w:t>
      </w:r>
      <w:r>
        <w:rPr>
          <w:rFonts w:hint="eastAsia" w:ascii="宋体" w:hAnsi="宋体" w:cs="新宋体"/>
          <w:u w:val="single"/>
        </w:rPr>
        <w:t xml:space="preserve">  </w:t>
      </w:r>
      <w:r>
        <w:rPr>
          <w:rFonts w:hint="eastAsia" w:ascii="宋体" w:hAnsi="宋体" w:cs="新宋体"/>
        </w:rPr>
        <w:t>月</w:t>
      </w:r>
      <w:r>
        <w:rPr>
          <w:rFonts w:hint="eastAsia" w:ascii="宋体" w:hAnsi="宋体" w:cs="新宋体"/>
          <w:u w:val="single"/>
        </w:rPr>
        <w:t xml:space="preserve">  </w:t>
      </w:r>
      <w:r>
        <w:rPr>
          <w:rFonts w:hint="eastAsia" w:ascii="宋体" w:hAnsi="宋体" w:cs="新宋体"/>
        </w:rPr>
        <w:t xml:space="preserve">日 </w:t>
      </w:r>
    </w:p>
    <w:p w14:paraId="16BF584A">
      <w:pPr>
        <w:widowControl/>
        <w:snapToGrid w:val="0"/>
        <w:spacing w:line="420" w:lineRule="exact"/>
        <w:ind w:firstLine="480" w:firstLineChars="200"/>
        <w:rPr>
          <w:rFonts w:hint="eastAsia" w:ascii="宋体" w:hAnsi="宋体" w:cs="新宋体"/>
        </w:rPr>
      </w:pPr>
      <w:r>
        <w:rPr>
          <w:rFonts w:hint="eastAsia" w:ascii="宋体" w:hAnsi="宋体" w:cs="新宋体"/>
        </w:rPr>
        <w:t>乙方：</w:t>
      </w:r>
      <w:bookmarkStart w:id="279" w:name="suppliers_name_one"/>
      <w:bookmarkEnd w:id="279"/>
      <w:r>
        <w:rPr>
          <w:rFonts w:hint="eastAsia" w:ascii="宋体" w:hAnsi="宋体" w:cs="新宋体"/>
          <w:u w:val="single"/>
        </w:rPr>
        <w:t xml:space="preserve">                            （盖章）</w:t>
      </w:r>
    </w:p>
    <w:p w14:paraId="7310DED9">
      <w:pPr>
        <w:widowControl/>
        <w:snapToGrid w:val="0"/>
        <w:spacing w:line="420" w:lineRule="exact"/>
        <w:ind w:firstLine="480" w:firstLineChars="200"/>
        <w:rPr>
          <w:rFonts w:hint="eastAsia" w:ascii="宋体" w:hAnsi="宋体" w:cs="新宋体"/>
          <w:u w:val="single"/>
        </w:rPr>
      </w:pPr>
      <w:r>
        <w:rPr>
          <w:rFonts w:hint="eastAsia" w:ascii="宋体" w:hAnsi="宋体" w:cs="新宋体"/>
        </w:rPr>
        <w:t>地址：</w:t>
      </w:r>
      <w:r>
        <w:rPr>
          <w:rFonts w:hint="eastAsia" w:ascii="宋体" w:hAnsi="宋体" w:cs="新宋体"/>
          <w:u w:val="single"/>
        </w:rPr>
        <w:t xml:space="preserve">                    </w:t>
      </w:r>
    </w:p>
    <w:p w14:paraId="5F7315CB">
      <w:pPr>
        <w:widowControl/>
        <w:snapToGrid w:val="0"/>
        <w:spacing w:line="420" w:lineRule="exact"/>
        <w:ind w:firstLine="480" w:firstLineChars="200"/>
        <w:rPr>
          <w:rFonts w:hint="eastAsia" w:ascii="宋体" w:hAnsi="宋体" w:cs="新宋体"/>
        </w:rPr>
      </w:pPr>
      <w:r>
        <w:rPr>
          <w:rFonts w:hint="eastAsia" w:ascii="宋体" w:hAnsi="宋体" w:cs="新宋体"/>
        </w:rPr>
        <w:t>法定（授权）代表人：</w:t>
      </w:r>
      <w:r>
        <w:rPr>
          <w:rFonts w:hint="eastAsia" w:ascii="宋体" w:hAnsi="宋体" w:cs="新宋体"/>
          <w:u w:val="single"/>
        </w:rPr>
        <w:t xml:space="preserve">        </w:t>
      </w:r>
    </w:p>
    <w:p w14:paraId="40814F53">
      <w:pPr>
        <w:widowControl/>
        <w:snapToGrid w:val="0"/>
        <w:spacing w:line="420" w:lineRule="exact"/>
        <w:ind w:firstLine="480" w:firstLineChars="200"/>
        <w:rPr>
          <w:rFonts w:hint="eastAsia" w:ascii="宋体" w:hAnsi="宋体" w:cs="新宋体"/>
        </w:rPr>
      </w:pPr>
      <w:r>
        <w:rPr>
          <w:rFonts w:hint="eastAsia" w:ascii="宋体" w:hAnsi="宋体" w:cs="新宋体"/>
        </w:rPr>
        <w:t>二〇二</w:t>
      </w:r>
      <w:r>
        <w:rPr>
          <w:rFonts w:hint="eastAsia" w:ascii="宋体" w:hAnsi="宋体" w:cs="新宋体"/>
          <w:u w:val="single"/>
        </w:rPr>
        <w:t xml:space="preserve">  </w:t>
      </w:r>
      <w:r>
        <w:rPr>
          <w:rFonts w:hint="eastAsia" w:ascii="宋体" w:hAnsi="宋体" w:cs="新宋体"/>
        </w:rPr>
        <w:t>年</w:t>
      </w:r>
      <w:r>
        <w:rPr>
          <w:rFonts w:hint="eastAsia" w:ascii="宋体" w:hAnsi="宋体" w:cs="新宋体"/>
          <w:u w:val="single"/>
        </w:rPr>
        <w:t xml:space="preserve">  </w:t>
      </w:r>
      <w:r>
        <w:rPr>
          <w:rFonts w:hint="eastAsia" w:ascii="宋体" w:hAnsi="宋体" w:cs="新宋体"/>
        </w:rPr>
        <w:t>月</w:t>
      </w:r>
      <w:r>
        <w:rPr>
          <w:rFonts w:hint="eastAsia" w:ascii="宋体" w:hAnsi="宋体" w:cs="新宋体"/>
          <w:u w:val="single"/>
        </w:rPr>
        <w:t xml:space="preserve">  </w:t>
      </w:r>
      <w:r>
        <w:rPr>
          <w:rFonts w:hint="eastAsia" w:ascii="宋体" w:hAnsi="宋体" w:cs="新宋体"/>
        </w:rPr>
        <w:t>日</w:t>
      </w:r>
    </w:p>
    <w:p w14:paraId="0A1049D4">
      <w:pPr>
        <w:widowControl/>
        <w:snapToGrid w:val="0"/>
        <w:spacing w:line="420" w:lineRule="exact"/>
        <w:ind w:firstLine="480" w:firstLineChars="200"/>
        <w:rPr>
          <w:rFonts w:hint="eastAsia" w:ascii="宋体" w:hAnsi="宋体" w:cs="新宋体"/>
        </w:rPr>
      </w:pPr>
      <w:r>
        <w:rPr>
          <w:rFonts w:hint="eastAsia" w:ascii="宋体" w:hAnsi="宋体" w:cs="新宋体"/>
        </w:rPr>
        <w:t>户名：</w:t>
      </w:r>
      <w:r>
        <w:rPr>
          <w:rFonts w:hint="eastAsia" w:ascii="宋体" w:hAnsi="宋体" w:cs="新宋体"/>
          <w:u w:val="single"/>
        </w:rPr>
        <w:t xml:space="preserve">                         </w:t>
      </w:r>
      <w:r>
        <w:rPr>
          <w:rFonts w:hint="eastAsia" w:ascii="宋体" w:hAnsi="宋体" w:cs="新宋体"/>
        </w:rPr>
        <w:t xml:space="preserve"> </w:t>
      </w:r>
    </w:p>
    <w:p w14:paraId="57D763AD">
      <w:pPr>
        <w:widowControl/>
        <w:snapToGrid w:val="0"/>
        <w:spacing w:line="420" w:lineRule="exact"/>
        <w:ind w:firstLine="480" w:firstLineChars="200"/>
        <w:rPr>
          <w:rFonts w:hint="eastAsia" w:ascii="宋体" w:hAnsi="宋体" w:cs="新宋体"/>
        </w:rPr>
      </w:pPr>
      <w:r>
        <w:rPr>
          <w:rFonts w:hint="eastAsia" w:ascii="宋体" w:hAnsi="宋体" w:cs="新宋体"/>
        </w:rPr>
        <w:t>开户银行：</w:t>
      </w:r>
      <w:r>
        <w:rPr>
          <w:rFonts w:hint="eastAsia" w:ascii="宋体" w:hAnsi="宋体" w:cs="新宋体"/>
          <w:u w:val="single"/>
        </w:rPr>
        <w:t xml:space="preserve">                     </w:t>
      </w:r>
    </w:p>
    <w:p w14:paraId="05E906FF">
      <w:pPr>
        <w:widowControl/>
        <w:snapToGrid w:val="0"/>
        <w:spacing w:line="420" w:lineRule="exact"/>
        <w:ind w:firstLine="480" w:firstLineChars="200"/>
        <w:rPr>
          <w:rFonts w:hint="eastAsia" w:ascii="宋体" w:hAnsi="宋体" w:cs="新宋体"/>
        </w:rPr>
      </w:pPr>
      <w:r>
        <w:rPr>
          <w:rFonts w:hint="eastAsia" w:ascii="宋体" w:hAnsi="宋体" w:cs="新宋体"/>
        </w:rPr>
        <w:t>账号：</w:t>
      </w:r>
      <w:r>
        <w:rPr>
          <w:rFonts w:hint="eastAsia" w:ascii="宋体" w:hAnsi="宋体" w:cs="新宋体"/>
          <w:u w:val="single"/>
        </w:rPr>
        <w:t xml:space="preserve">                         </w:t>
      </w:r>
      <w:r>
        <w:rPr>
          <w:rFonts w:hint="eastAsia" w:ascii="宋体" w:hAnsi="宋体" w:cs="新宋体"/>
        </w:rPr>
        <w:t xml:space="preserve"> </w:t>
      </w:r>
    </w:p>
    <w:p w14:paraId="18BF34FF">
      <w:pPr>
        <w:widowControl/>
        <w:snapToGrid w:val="0"/>
        <w:spacing w:line="420" w:lineRule="exact"/>
        <w:ind w:firstLine="480" w:firstLineChars="200"/>
        <w:rPr>
          <w:rFonts w:hint="eastAsia" w:ascii="宋体" w:hAnsi="宋体" w:cs="新宋体"/>
        </w:rPr>
      </w:pPr>
      <w:r>
        <w:rPr>
          <w:rFonts w:hint="eastAsia" w:ascii="宋体" w:hAnsi="宋体" w:cs="新宋体"/>
        </w:rPr>
        <w:t>招标人声明：本合同标的经采购机构依法定程序采购，合同主要条款内容与招投标文件的内容一致。</w:t>
      </w:r>
    </w:p>
    <w:p w14:paraId="4C671F32">
      <w:pPr>
        <w:widowControl/>
        <w:snapToGrid w:val="0"/>
        <w:spacing w:line="420" w:lineRule="exact"/>
        <w:ind w:firstLine="480" w:firstLineChars="200"/>
        <w:rPr>
          <w:rFonts w:hint="eastAsia" w:ascii="宋体" w:hAnsi="宋体" w:cs="新宋体"/>
          <w:u w:val="single"/>
        </w:rPr>
      </w:pPr>
      <w:r>
        <w:rPr>
          <w:rFonts w:hint="eastAsia" w:ascii="宋体" w:hAnsi="宋体" w:cs="新宋体"/>
        </w:rPr>
        <w:t>采购代理机构：</w:t>
      </w:r>
      <w:r>
        <w:rPr>
          <w:rFonts w:hint="eastAsia" w:ascii="宋体" w:hAnsi="宋体" w:cs="新宋体"/>
          <w:u w:val="single"/>
        </w:rPr>
        <w:t xml:space="preserve">                             （盖章）</w:t>
      </w:r>
    </w:p>
    <w:p w14:paraId="15624F3C">
      <w:pPr>
        <w:widowControl/>
        <w:snapToGrid w:val="0"/>
        <w:spacing w:line="420" w:lineRule="exact"/>
        <w:ind w:firstLine="480" w:firstLineChars="200"/>
        <w:rPr>
          <w:rFonts w:hint="eastAsia" w:ascii="宋体" w:hAnsi="宋体" w:cs="新宋体"/>
          <w:u w:val="single"/>
        </w:rPr>
      </w:pPr>
      <w:r>
        <w:rPr>
          <w:rFonts w:hint="eastAsia" w:ascii="宋体" w:hAnsi="宋体" w:cs="新宋体"/>
        </w:rPr>
        <w:t>地  址：</w:t>
      </w:r>
      <w:r>
        <w:rPr>
          <w:rFonts w:hint="eastAsia" w:ascii="宋体" w:hAnsi="宋体" w:cs="新宋体"/>
          <w:u w:val="single"/>
        </w:rPr>
        <w:t xml:space="preserve"> </w:t>
      </w:r>
    </w:p>
    <w:p w14:paraId="3EA3A10F">
      <w:pPr>
        <w:widowControl/>
        <w:snapToGrid w:val="0"/>
        <w:spacing w:line="420" w:lineRule="exact"/>
        <w:ind w:firstLine="480" w:firstLineChars="200"/>
        <w:rPr>
          <w:rFonts w:hint="eastAsia" w:ascii="宋体" w:hAnsi="宋体" w:cs="新宋体"/>
        </w:rPr>
      </w:pPr>
      <w:r>
        <w:rPr>
          <w:rFonts w:hint="eastAsia" w:ascii="宋体" w:hAnsi="宋体" w:cs="新宋体"/>
        </w:rPr>
        <w:t xml:space="preserve">经办人：  </w:t>
      </w:r>
      <w:r>
        <w:rPr>
          <w:rFonts w:hint="eastAsia" w:ascii="宋体" w:hAnsi="宋体" w:cs="新宋体"/>
          <w:u w:val="single"/>
        </w:rPr>
        <w:t xml:space="preserve">   </w:t>
      </w:r>
    </w:p>
    <w:p w14:paraId="19D81788">
      <w:pPr>
        <w:widowControl/>
        <w:snapToGrid w:val="0"/>
        <w:spacing w:line="420" w:lineRule="exact"/>
        <w:ind w:firstLine="480" w:firstLineChars="200"/>
        <w:rPr>
          <w:rFonts w:hint="eastAsia" w:ascii="宋体" w:hAnsi="宋体" w:cs="新宋体"/>
        </w:rPr>
      </w:pPr>
      <w:r>
        <w:rPr>
          <w:rFonts w:hint="eastAsia" w:ascii="宋体" w:hAnsi="宋体" w:cs="新宋体"/>
        </w:rPr>
        <w:t>二〇二</w:t>
      </w:r>
      <w:r>
        <w:rPr>
          <w:rFonts w:hint="eastAsia" w:ascii="宋体" w:hAnsi="宋体" w:cs="新宋体"/>
          <w:u w:val="single"/>
        </w:rPr>
        <w:t xml:space="preserve">   </w:t>
      </w:r>
      <w:r>
        <w:rPr>
          <w:rFonts w:hint="eastAsia" w:ascii="宋体" w:hAnsi="宋体" w:cs="新宋体"/>
        </w:rPr>
        <w:t>年</w:t>
      </w:r>
      <w:r>
        <w:rPr>
          <w:rFonts w:hint="eastAsia" w:ascii="宋体" w:hAnsi="宋体" w:cs="新宋体"/>
          <w:u w:val="single"/>
        </w:rPr>
        <w:t xml:space="preserve">   </w:t>
      </w:r>
      <w:r>
        <w:rPr>
          <w:rFonts w:hint="eastAsia" w:ascii="宋体" w:hAnsi="宋体" w:cs="新宋体"/>
        </w:rPr>
        <w:t>月</w:t>
      </w:r>
      <w:r>
        <w:rPr>
          <w:rFonts w:hint="eastAsia" w:ascii="宋体" w:hAnsi="宋体" w:cs="新宋体"/>
          <w:u w:val="single"/>
        </w:rPr>
        <w:t xml:space="preserve">   </w:t>
      </w:r>
      <w:r>
        <w:rPr>
          <w:rFonts w:hint="eastAsia" w:ascii="宋体" w:hAnsi="宋体" w:cs="新宋体"/>
        </w:rPr>
        <w:t>日</w:t>
      </w:r>
    </w:p>
    <w:p w14:paraId="659FFFBB">
      <w:pPr>
        <w:pStyle w:val="9"/>
      </w:pPr>
    </w:p>
    <w:p w14:paraId="2F294744">
      <w:pPr>
        <w:pStyle w:val="9"/>
      </w:pPr>
    </w:p>
    <w:p w14:paraId="407A6421">
      <w:pPr>
        <w:widowControl/>
        <w:jc w:val="left"/>
        <w:rPr>
          <w:rFonts w:hint="eastAsia" w:ascii="黑体" w:hAnsi="黑体" w:eastAsia="黑体"/>
          <w:sz w:val="44"/>
          <w:szCs w:val="44"/>
        </w:rPr>
      </w:pPr>
      <w:r>
        <w:rPr>
          <w:rFonts w:ascii="黑体" w:hAnsi="黑体" w:eastAsia="黑体"/>
          <w:sz w:val="44"/>
          <w:szCs w:val="44"/>
        </w:rPr>
        <w:br w:type="page"/>
      </w:r>
    </w:p>
    <w:p w14:paraId="1B2F07C3">
      <w:pPr>
        <w:jc w:val="center"/>
        <w:rPr>
          <w:rFonts w:hint="eastAsia" w:ascii="黑体" w:hAnsi="黑体" w:eastAsia="黑体"/>
          <w:sz w:val="44"/>
          <w:szCs w:val="44"/>
        </w:rPr>
      </w:pPr>
      <w:r>
        <w:rPr>
          <w:rFonts w:ascii="黑体" w:hAnsi="黑体" w:eastAsia="黑体"/>
          <w:sz w:val="44"/>
          <w:szCs w:val="44"/>
        </w:rPr>
        <w:t>第五章</w:t>
      </w:r>
      <w:r>
        <w:rPr>
          <w:rFonts w:hint="eastAsia" w:ascii="黑体" w:hAnsi="黑体" w:eastAsia="黑体"/>
          <w:sz w:val="44"/>
          <w:szCs w:val="44"/>
        </w:rPr>
        <w:t xml:space="preserve"> 采购需求</w:t>
      </w:r>
    </w:p>
    <w:p w14:paraId="7DA029AB">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一、项目背景</w:t>
      </w:r>
    </w:p>
    <w:p w14:paraId="682C459B">
      <w:pPr>
        <w:widowControl/>
        <w:spacing w:line="440" w:lineRule="exact"/>
        <w:ind w:firstLine="48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lang w:bidi="ar"/>
        </w:rPr>
        <w:t>自2018年起，</w:t>
      </w:r>
      <w:r>
        <w:rPr>
          <w:rFonts w:hint="eastAsia" w:asciiTheme="minorEastAsia" w:hAnsiTheme="minorEastAsia" w:cstheme="minorEastAsia"/>
          <w:lang w:bidi="ar"/>
        </w:rPr>
        <w:t>我</w:t>
      </w:r>
      <w:r>
        <w:rPr>
          <w:rFonts w:hint="eastAsia" w:asciiTheme="minorEastAsia" w:hAnsiTheme="minorEastAsia" w:eastAsiaTheme="minorEastAsia" w:cstheme="minorEastAsia"/>
          <w:lang w:bidi="ar"/>
        </w:rPr>
        <w:t>校持续推进信息化建设，现已迈入智慧校园阶段，各业务系统稳定运行，积累了海量存量数据，且每日新增数据体量巨大。学校信息化建设为动态迭代过程，受政策更新、制度调整、人员变动等因素影响，原有业务系统部分功能已无法适配当下校园精细化管理需求。同时，随着数据量激增，原有业务管理、数据管理的短板日益凸显。学校早年已规划数据治理工作，但受限于过往软硬件条件不足，始终未落地实施。当前，教育行业数字化转型持续向纵深推进，建设一体化数智治理平台、完善校园数据治理体系已成为学校信息化升级的迫切需求。</w:t>
      </w:r>
    </w:p>
    <w:p w14:paraId="61DD8EA5">
      <w:pPr>
        <w:widowControl/>
        <w:spacing w:line="440" w:lineRule="exact"/>
        <w:ind w:firstLine="48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lang w:bidi="ar"/>
        </w:rPr>
        <w:t>本项目聚焦学校数据中心搭建与业务、数据治理落地，打造体系完善、规范可信、维度齐全的智慧校园数智治理新平台，依托全线上化软件体系，实现校园数据资源、业务逻辑的规范化管理、动态维护、实时更新与高效服务，核心建设内容如下：</w:t>
      </w:r>
    </w:p>
    <w:p w14:paraId="556146A1">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1、搭建全域数据治理中心：</w:t>
      </w:r>
      <w:r>
        <w:rPr>
          <w:rFonts w:hint="eastAsia" w:asciiTheme="minorEastAsia" w:hAnsiTheme="minorEastAsia" w:eastAsiaTheme="minorEastAsia" w:cstheme="minorEastAsia"/>
          <w:lang w:bidi="ar"/>
        </w:rPr>
        <w:t>通过全维度业务梳理、全域数据采集汇聚与集中治理，统一数据标准、规范数据表达、补齐数据维度、校验数据质量，构建分类清晰、真实可信的智慧校园一体化治理服务平台。</w:t>
      </w:r>
    </w:p>
    <w:p w14:paraId="62C7FC08">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2、构建数据全生命周期管理体系：</w:t>
      </w:r>
      <w:r>
        <w:rPr>
          <w:rFonts w:hint="eastAsia" w:asciiTheme="minorEastAsia" w:hAnsiTheme="minorEastAsia" w:eastAsiaTheme="minorEastAsia" w:cstheme="minorEastAsia"/>
          <w:lang w:bidi="ar"/>
        </w:rPr>
        <w:t>覆盖数据采集、数仓管理、接口开放、资源发布、服务监控等全流程环节，实现校园数据资源从产生、存储到应用的全生命周期闭环管理。</w:t>
      </w:r>
    </w:p>
    <w:p w14:paraId="7E07CFC3">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3、配齐全品类数据技术接口：</w:t>
      </w:r>
      <w:r>
        <w:rPr>
          <w:rFonts w:hint="eastAsia" w:asciiTheme="minorEastAsia" w:hAnsiTheme="minorEastAsia" w:eastAsiaTheme="minorEastAsia" w:cstheme="minorEastAsia"/>
          <w:lang w:bidi="ar"/>
        </w:rPr>
        <w:t>采用安全、先进、便捷的技术架构，搭建编程、数据库、消息、文件等多类型线上、离线数据接口，全面适配各类校园数据应用场景，提供稳定技术支撑。</w:t>
      </w:r>
    </w:p>
    <w:p w14:paraId="03E9233B">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4、赋能全场景校园业务应用：</w:t>
      </w:r>
      <w:r>
        <w:rPr>
          <w:rFonts w:hint="eastAsia" w:asciiTheme="minorEastAsia" w:hAnsiTheme="minorEastAsia" w:eastAsiaTheme="minorEastAsia" w:cstheme="minorEastAsia"/>
          <w:lang w:bidi="ar"/>
        </w:rPr>
        <w:t>依托治理后的高质量数据，为师生服务大厅、国家高教质量数据上报、移动校园、门户服务、决策分析、数据共享、业务开发等各类校园运营、管理、决策场景提供精准数据服务，有效降低数据协调成本，提升校园运营效率，为校方科学决策提供数据支撑。</w:t>
      </w:r>
    </w:p>
    <w:p w14:paraId="18945780">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5、建立长效数据管理制度体系：</w:t>
      </w:r>
      <w:r>
        <w:rPr>
          <w:rFonts w:hint="eastAsia" w:asciiTheme="minorEastAsia" w:hAnsiTheme="minorEastAsia" w:eastAsiaTheme="minorEastAsia" w:cstheme="minorEastAsia"/>
          <w:lang w:bidi="ar"/>
        </w:rPr>
        <w:t>健全校园数据与业务管理规范及配套制度，从根源解决现有管理痛点，构建“一次治理、长期复用、持续迭代”的长效管理机制。</w:t>
      </w:r>
    </w:p>
    <w:p w14:paraId="03F9FB3E">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6、打造定制化智慧服务平台：</w:t>
      </w:r>
      <w:r>
        <w:rPr>
          <w:rFonts w:hint="eastAsia" w:asciiTheme="minorEastAsia" w:hAnsiTheme="minorEastAsia" w:eastAsiaTheme="minorEastAsia" w:cstheme="minorEastAsia"/>
          <w:lang w:bidi="ar"/>
        </w:rPr>
        <w:t>结合学校实际业务诉求，优化、适配平台业务功能，贴合校园个性化管理与服务需求，实现平台功能精准定制。</w:t>
      </w:r>
    </w:p>
    <w:p w14:paraId="4385C113">
      <w:pPr>
        <w:widowControl/>
        <w:spacing w:line="440" w:lineRule="exact"/>
        <w:ind w:firstLine="480" w:firstLineChars="200"/>
        <w:jc w:val="left"/>
        <w:rPr>
          <w:rFonts w:hint="eastAsia" w:asciiTheme="minorEastAsia" w:hAnsiTheme="minorEastAsia" w:eastAsiaTheme="minorEastAsia" w:cstheme="minorEastAsia"/>
        </w:rPr>
      </w:pPr>
      <w:r>
        <w:rPr>
          <w:rStyle w:val="29"/>
          <w:rFonts w:hint="eastAsia" w:asciiTheme="minorEastAsia" w:hAnsiTheme="minorEastAsia" w:eastAsiaTheme="minorEastAsia" w:cstheme="minorEastAsia"/>
          <w:b w:val="0"/>
          <w:lang w:bidi="ar"/>
        </w:rPr>
        <w:t>7、构建采存管用一体化信息管理模式：</w:t>
      </w:r>
      <w:r>
        <w:rPr>
          <w:rFonts w:hint="eastAsia" w:asciiTheme="minorEastAsia" w:hAnsiTheme="minorEastAsia" w:eastAsiaTheme="minorEastAsia" w:cstheme="minorEastAsia"/>
          <w:lang w:bidi="ar"/>
        </w:rPr>
        <w:t>支持数据库、文档、文件、接口、消息队列等多源异构数据采集，搭建校级专属数据仓库，统一管控PPT、PDF、图片等非结构化数据与业务系统、表格、JSON等结构化数据。同时配套标准化管理、数据质量管控、数据安全防护机制，依托智能分层存储、自动化流程引擎，实现数据全链路合规管控，达成降本增效、风险可控的目标，支撑校园数据查询、分析、应用一体化场景落地，最大化释放数据价值。</w:t>
      </w:r>
    </w:p>
    <w:p w14:paraId="525DA085">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二、项目需求</w:t>
      </w:r>
    </w:p>
    <w:p w14:paraId="637B54EC">
      <w:pPr>
        <w:pStyle w:val="2"/>
        <w:spacing w:before="0" w:after="0" w:line="440" w:lineRule="exact"/>
        <w:ind w:firstLine="482" w:firstLineChars="200"/>
        <w:rPr>
          <w:rFonts w:hint="eastAsia" w:asciiTheme="minorEastAsia" w:hAnsiTheme="minorEastAsia" w:eastAsiaTheme="minorEastAsia" w:cstheme="minorEastAsia"/>
          <w:sz w:val="24"/>
          <w:szCs w:val="24"/>
        </w:rPr>
      </w:pPr>
      <w:bookmarkStart w:id="280" w:name="_Toc206598896"/>
      <w:r>
        <w:rPr>
          <w:rFonts w:hint="eastAsia" w:asciiTheme="minorEastAsia" w:hAnsiTheme="minorEastAsia" w:eastAsiaTheme="minorEastAsia" w:cstheme="minorEastAsia"/>
          <w:sz w:val="24"/>
          <w:szCs w:val="24"/>
        </w:rPr>
        <w:t>（一）、技术需求</w:t>
      </w:r>
      <w:bookmarkEnd w:id="280"/>
    </w:p>
    <w:p w14:paraId="5B9829FD">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正确性：能够按照预定的流程和功能，正确完成相应的工作要求。</w:t>
      </w:r>
    </w:p>
    <w:p w14:paraId="5119F860">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健壮性：具有较高的容错能力和恢复能力。</w:t>
      </w:r>
    </w:p>
    <w:p w14:paraId="077812BC">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稳定性：系统要求7*24小时无间断稳定运行，系统可用性达到99.9%以上。</w:t>
      </w:r>
    </w:p>
    <w:p w14:paraId="5EE0C9A7">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可操作性：由于使用者并非都是计算机相关专业，个人的理解能力会存在差异，因袭要确保系统操作简单。</w:t>
      </w:r>
    </w:p>
    <w:p w14:paraId="3C5DDC0B">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安全性：系统要有较高的安全性，防止系统数据被非法篡改，杜绝非权限用户非法占用更高级别的权限。</w:t>
      </w:r>
    </w:p>
    <w:p w14:paraId="119B05D8">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60607"/>
          <w:spacing w:val="8"/>
        </w:rPr>
        <w:t>可扩展性：</w:t>
      </w:r>
      <w:r>
        <w:rPr>
          <w:rFonts w:hint="eastAsia" w:asciiTheme="minorEastAsia" w:hAnsiTheme="minorEastAsia" w:eastAsiaTheme="minorEastAsia" w:cstheme="minorEastAsia"/>
        </w:rPr>
        <w:t>支持在一台应用服务器内部的垂直扩展，可以根据应用服务器内存状况，同时创建多个服务实例，在一个服务实例故障时，其他服务实例能够自动接管相应的用户访问请求。支持单个应用的在线加载和更新，某个应用出现问题时，可以在服务不停的情况下，实现对该应用的更新。</w:t>
      </w:r>
    </w:p>
    <w:p w14:paraId="59F23899">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高并发处理能力：支持2万在线用户，平均页面响应速度&lt;=4秒，高并发情况下核心业务组件可做线性扩充。</w:t>
      </w:r>
    </w:p>
    <w:p w14:paraId="3A01C9B9">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数据一致性和准确性：平台需要确保数据的一致性，消除数据孤岛，实现数据的集中管理和共享，同时保证数据的准确性和可靠性。</w:t>
      </w:r>
    </w:p>
    <w:p w14:paraId="186418D9">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数据安全和隐私保护：平台必须具备强大的数据安全保障措施，包括数据访问控制、加密存储、数据脱敏等，以保护数据不被未授权访问和泄露。</w:t>
      </w:r>
    </w:p>
    <w:p w14:paraId="559849ED">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灵活的数据集成和交换能力：平台应支持与不同业务系统的数据集成，实现数据的同步、清洗和转换，以及数据的开放共享和全流程可信管控。</w:t>
      </w:r>
    </w:p>
    <w:p w14:paraId="0DC10EC9">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易用性和用户体验：平台的用户界面应设计直观、易用，提供良好的用户体验，使用户能够方便地访问、查询和分析数据。</w:t>
      </w:r>
    </w:p>
    <w:p w14:paraId="21CF066A">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可扩展性和可维护性：随着学校业务的发展和数据量的增长，治理平台需要具备良好的可扩展性，支持系统的平滑升级和扩展，同时保证系统的可维护性。</w:t>
      </w:r>
    </w:p>
    <w:p w14:paraId="6297E324">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规范的数据采集和质量控制：平台需要规范数据采集流程，确保数据的规范性，并通过质量控制机制来监控和提升数据质量。</w:t>
      </w:r>
    </w:p>
    <w:p w14:paraId="1077D821">
      <w:pPr>
        <w:widowControl/>
        <w:numPr>
          <w:ilvl w:val="0"/>
          <w:numId w:val="3"/>
        </w:numPr>
        <w:shd w:val="clear" w:color="auto" w:fill="FFFFFF"/>
        <w:spacing w:line="440" w:lineRule="exact"/>
        <w:ind w:left="0" w:firstLine="512" w:firstLineChars="200"/>
        <w:jc w:val="left"/>
        <w:rPr>
          <w:rFonts w:hint="eastAsia" w:asciiTheme="minorEastAsia" w:hAnsiTheme="minorEastAsia" w:eastAsiaTheme="minorEastAsia" w:cstheme="minorEastAsia"/>
          <w:color w:val="060607"/>
          <w:spacing w:val="8"/>
        </w:rPr>
      </w:pPr>
      <w:r>
        <w:rPr>
          <w:rFonts w:hint="eastAsia" w:asciiTheme="minorEastAsia" w:hAnsiTheme="minorEastAsia" w:eastAsiaTheme="minorEastAsia" w:cstheme="minorEastAsia"/>
          <w:color w:val="060607"/>
          <w:spacing w:val="8"/>
        </w:rPr>
        <w:t>健全的治理制度：平台的建设和运行需要遵循一套完善的数据治理制度，包括数据管理组织的角色权责、数据人员考核评估、数据信息标准规范等。</w:t>
      </w:r>
    </w:p>
    <w:p w14:paraId="63387CA3">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（二）、平台功能要求</w:t>
      </w:r>
    </w:p>
    <w:p w14:paraId="518F6F7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1.数据资产门户</w:t>
      </w:r>
    </w:p>
    <w:p w14:paraId="41DDB2E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数据资源查看入口，管理各角色对数据资源的浏览、检索权限；针对不同物理层级、不同部门下的资源目录提供页面进行查看检索。同时针对数据管理者提供全校及部门级的数据流向地图查看以及全校数据资产的统计分析报告帮助用户了解全校的数据资产。数据资产门户面向数据使用者，用于检索、申请、调用数据资源。</w:t>
      </w:r>
    </w:p>
    <w:p w14:paraId="5AC4ACC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1.1数据门户组件</w:t>
      </w:r>
    </w:p>
    <w:p w14:paraId="7A537AB3">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提供数据分析、数据查询、数据申请、治理办理组件，可供管理员自由定义数据门户显示内容</w:t>
      </w:r>
    </w:p>
    <w:p w14:paraId="6DDD4F72">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1.2数据门户布局设置</w:t>
      </w:r>
    </w:p>
    <w:p w14:paraId="19C752DC">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管理员可定义业务人员数据门户布局，使用用户也可自由设定门户布局实现个性化资产门户。</w:t>
      </w:r>
    </w:p>
    <w:p w14:paraId="5FE6C7F9">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1.3数据资产看板</w:t>
      </w:r>
    </w:p>
    <w:p w14:paraId="5524768C">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▲直观的从业务、指标进行数据统计，方便管理人员了解学校数据量及数据集成情况，包含接入系统、业务数据。</w:t>
      </w:r>
    </w:p>
    <w:p w14:paraId="218683E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2.数据源管理功能</w:t>
      </w:r>
    </w:p>
    <w:p w14:paraId="168C24F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管理用户可添加学校其他业务系统有关数据源，支持主流数据库，支持库表查询，支持测试验证。</w:t>
      </w:r>
    </w:p>
    <w:p w14:paraId="0610FDB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2.1▲数据源维护</w:t>
      </w:r>
    </w:p>
    <w:p w14:paraId="17C72B1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接入外部数据源的数据到平台，也可自定义接入目的端数据源，支持一次性全量同步和周期性增量同步；可自定义表名，字段名的映射规则，支持正则表达式匹配；支持查看执行记录及详细执行结果，可查看同步的数据量、数据大小、成功表数量、失败表数量、成功信息、失败信息，也可查看具体每张表同步的数据量，数据大小，错误信息等，帮助全面掌握数据接入的执行情况。</w:t>
      </w:r>
    </w:p>
    <w:p w14:paraId="14EA1EC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2.2数据源验证</w:t>
      </w:r>
    </w:p>
    <w:p w14:paraId="47EEFBA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验证数据源合法性及是否可用，配置数据源后自动校验数据源是否可用，并且可定期检查数据源状态，当异常时为业务人员发送有关预警信息。</w:t>
      </w:r>
    </w:p>
    <w:p w14:paraId="7C055E9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3.数据项目管理</w:t>
      </w:r>
    </w:p>
    <w:p w14:paraId="6110617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rPr>
        <w:t>▲</w:t>
      </w:r>
      <w:r>
        <w:rPr>
          <w:rFonts w:hint="eastAsia" w:asciiTheme="minorEastAsia" w:hAnsiTheme="minorEastAsia" w:eastAsiaTheme="minorEastAsia" w:cstheme="minorEastAsia"/>
        </w:rPr>
        <w:t>平台中支持多个项目的管理，每个项目下可以关联用户，用户只能查看自己关联的项目下的数据，所有的模块数据都会有所属项目</w:t>
      </w:r>
    </w:p>
    <w:p w14:paraId="2F33B9F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4.数据模型管理</w:t>
      </w:r>
    </w:p>
    <w:p w14:paraId="586AD69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现对底层数据模型的集中管理，范围包括：主数据、代码标准以及业务系统数据模型（表、视图、字段）。提供对数据分类的多层管理；实现智能化检测元数据和系统数据库之间表、字段以及字段属性的不一致情况，并自动捕获管理； </w:t>
      </w:r>
    </w:p>
    <w:p w14:paraId="20DB98B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提供从源系统、数据仓库、数据集成、数据目录、数据模型等环节的元数据采集。</w:t>
      </w:r>
    </w:p>
    <w:p w14:paraId="1E5FE31A">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可对数据信息进行维护，并支持版本管理自定记录每次变更过程。根据元数据相互之间的关系，形成有效的血缘关系分析和影响度分析，为数据管理人员和使用人员在定位及解决数据问题方面，提供有力的支撑。支撑整个数据资产管理的全过程，完整的呈现数据全生命周期的链路，让数据管理自动化、可视化，使数据管理更为简便快捷。</w:t>
      </w:r>
    </w:p>
    <w:p w14:paraId="0C0AF82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5.数据指标与标准管理</w:t>
      </w:r>
    </w:p>
    <w:p w14:paraId="1D8E60D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构建校级数据规范体系，确保数据完整性、有效性和一致性，为质量监控、安全策略及跨系统协同提供统一标尺，赋能数据资产高效复用与合规流通。针对具体标准提供制定、修订、上线、下线、删除等全生命周期的标准过程管理，指导学校数据模型建设、编码规则制定和参考数据（代码表）的建设。模块中预置的国家教育部参照标准，并辅助学校编制执行的信息标准体系：基于国家标准、教育部标准、行业标准，结合学校实际情况编制和完善各项信息标准，给出信息分类编码规格说明书，建设形成一套符合学校自身信息化建设需要的管理信息化标准体系，支持学校已有标准的一键导入。</w:t>
      </w:r>
    </w:p>
    <w:p w14:paraId="5C94743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5.1标准编制</w:t>
      </w:r>
    </w:p>
    <w:p w14:paraId="34E128A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rPr>
        <w:t>▲</w:t>
      </w:r>
      <w:r>
        <w:rPr>
          <w:rFonts w:hint="eastAsia" w:asciiTheme="minorEastAsia" w:hAnsiTheme="minorEastAsia" w:eastAsiaTheme="minorEastAsia" w:cstheme="minorEastAsia"/>
        </w:rPr>
        <w:t>提供标准词根、字典、数据元、标准模型的编制，可以根据要求定义标准属性值，标准编制完成后需要发起审核通过后才生效。</w:t>
      </w:r>
    </w:p>
    <w:p w14:paraId="3D1F7A0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5.2标准审核</w:t>
      </w:r>
    </w:p>
    <w:p w14:paraId="023C7E5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提供完善的标准修改流程，为标准管理者提供标准变动审核功能，可以在线审批，直观的查看标准变化并审核。</w:t>
      </w:r>
    </w:p>
    <w:p w14:paraId="58BC7A1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5.3标准发布</w:t>
      </w:r>
    </w:p>
    <w:p w14:paraId="74F1184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针对已定稿标准进行发布，发布后其他业务和平台其他模块可以引用，支持审核通过后自动发布也可手动发布。</w:t>
      </w:r>
    </w:p>
    <w:p w14:paraId="63F7F45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5.4预警指标维护</w:t>
      </w:r>
    </w:p>
    <w:p w14:paraId="06DA98CC">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围绕学业、安防、设备设施、水电、学校关键发展指标等特殊场景可以设置不同的指标体系及预警阈值。</w:t>
      </w:r>
    </w:p>
    <w:p w14:paraId="4AD19D6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6.核心数据管理（主数据管理）</w:t>
      </w:r>
    </w:p>
    <w:p w14:paraId="4404B70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以全域治理框架为核心，通过统一编码规则、版本控制与全生命周期追踪（如创建-变更-归档），构建跨系统的核心数据实体管理体系。 </w:t>
      </w:r>
    </w:p>
    <w:p w14:paraId="158E069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包括数据的定义、检索、管理、备份和异动监测功能，帮助用户定义、识别和保护数据。对数据进行监控，洞悉数据变化，通过可视化界面从整体把控系统内主数据情况，为后续数据分析、校情监控、指挥决策提供精准的数据，为用户提供来自权威数据源头的高质量的数据。</w:t>
      </w:r>
    </w:p>
    <w:p w14:paraId="555BDAD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6.1数据定义</w:t>
      </w:r>
    </w:p>
    <w:p w14:paraId="31412D7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规范基于教育部最新的教育信息化数据标准及学校个性化管理规范，并对其存储的数据对象按合理的数据模型进行划分；参考标准结合实施经验，初始化学校的数据目录结构与数据对象。数据库设计支持基于主题的数据分析建设，可通过可视化技术来实现对主题数据分析的前端展现，验证主数据及数据治理建设效果。定义数据属性包括主题、标签、指标等。</w:t>
      </w:r>
    </w:p>
    <w:p w14:paraId="78DAABB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6.2数据检索</w:t>
      </w:r>
    </w:p>
    <w:p w14:paraId="5ADA3C7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以数据搜索为基础，提供表使用说明、数据类目、数据血缘、字段血缘等内容的检索查询，帮助数据表的使用者和拥有者更好地管理数据、协作开发。</w:t>
      </w:r>
    </w:p>
    <w:p w14:paraId="2B0D0CE2">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6.3数据维护</w:t>
      </w:r>
    </w:p>
    <w:p w14:paraId="2813531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数据管理员可以对权限内的数据进行增删改操作，所有操作留痕保存以备问题排查与分析。</w:t>
      </w:r>
    </w:p>
    <w:p w14:paraId="4D154A7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6.4数据备份与恢复</w:t>
      </w:r>
    </w:p>
    <w:p w14:paraId="0981D30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提供数据自动备份功能，可以定期对数据进行归档备份，备份支持本地备份与异地备份。当遇到数据异常或数据损坏时支持选择某个备份记录进行恢复。</w:t>
      </w:r>
    </w:p>
    <w:p w14:paraId="5E90515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7.数据质量管理</w:t>
      </w:r>
    </w:p>
    <w:p w14:paraId="3E73B1F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质量管理平台提供对数据质量检测的整套管理功能。构建覆盖完整性、准确性、一致性、时效性的规则体系，依托自动化工具与标准规范实现问题预警、根因分析与闭环修复，确保数据可信可用，为业务决策、数据服务化输出提供高价值资产支撑。通过事先定义好的规则、调度时间，自动完成数据的质量检查，极大的减少人力的投入和过程干预，提升效率，减少误差。重大问题及时告警；对质量检查的结果提供多方式（界面、邮件、短信）进行提示和呈现，让用户及时了解到系统检查结果，避免重大问题的延误。数据质量检查后，将自动化输出数据质量检查报告。报告中通过丰富多样的图标展示形式，多维度的统计展示，使得枯燥的数据质量问题和指标能够更加形象生动，帮助各部门对数据质量有统一的认识视角，也帮助数据管理者对数据资产质量情况有更为全面的了解，为提升数据资产的质量情况，寻找优化空间，为制定质量提升方案提供依据和指导。</w:t>
      </w:r>
    </w:p>
    <w:p w14:paraId="77FAE75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7.1检测规则设置</w:t>
      </w:r>
    </w:p>
    <w:p w14:paraId="097EFC23">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可自定义质量规则，并与数据对象进行绑定。提供多种数据源类型，可对每种数据源配置质量监控规则；提供表级校验规则支持多表比对规则，系统预置常用校验规则满足数据及时性、完整性、一致性、有效性、准确性的多维度校验。针对配置的校验规则提供多种任务调度模式，支持规则的周期执行、手动执行。</w:t>
      </w:r>
    </w:p>
    <w:p w14:paraId="017F5CF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7.2检测结果分析</w:t>
      </w:r>
    </w:p>
    <w:p w14:paraId="72C3FCD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检测可定期执行，输出质量报告，报告中需要含有以下描述的三种情况。最明显、最简单的形式是数据从形态格式上就不正确，从而可以直接判断数据不可能正确。例如数据内容为空、本应唯一的数据出现重复、数据长度不对、数值范围超出合理边界、时间格式不对、包含非法字符、代码值与代码表不符等。比较难以发现的数据质量形式是，数据的形态格式都正确，但与实际情况不相符。例如用户更换手机号以后，数据记录的仍然是过去的手机号。最隐蔽的数据质量形式是每一个单条数据记录的形态、格式、内容都正确，但若将不同的表之间进行数据校验时发现信息不能相互印证或自洽。例如，将学生名单与学生成绩表比对后，发现部分学生缺少成绩记录。</w:t>
      </w:r>
    </w:p>
    <w:p w14:paraId="6936CEF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8.数据开放管理</w:t>
      </w:r>
    </w:p>
    <w:p w14:paraId="549DCAE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数据开放管理功能提供全场景、高安全的数据资源开放能力，使数据资源管理线上化、流程化，减少沟通环节，提高服务效率，降低使用难度和管理成本。</w:t>
      </w:r>
    </w:p>
    <w:p w14:paraId="29E9E453">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 API 全生命周期管理为核心，支持在线开发（通过SQL 查询或 JS 脚本快速定义接口逻辑）、存量 API 注册（统一纳管外部系统接口并配置路由策略）及在线测试（验证 API 可用性），结合动态文档生成（word 格式导出）与权限控制（访问频次、IP 白名单），实现数据服务资产的标准化发布与高效复用，赋能业务系统按需调用高价值数据（如实时库存状态、用户画像标签），同时通过流量监控与血缘分析保障服务稳定性与可追溯性，驱动数据服务化能力从“分散低效”向“平台化敏捷交付”升级。</w:t>
      </w:r>
    </w:p>
    <w:p w14:paraId="1A89EE8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8.1接口配置</w:t>
      </w:r>
    </w:p>
    <w:p w14:paraId="33152423">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通过API/ETL/DB/文本下载多种方式向应用程序和数据使用者提供数据资源服务，同时支持消息队列、文件数据、第三方API数据源进行发布。</w:t>
      </w:r>
    </w:p>
    <w:p w14:paraId="112FC71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8.2接口调用与鉴权</w:t>
      </w:r>
    </w:p>
    <w:p w14:paraId="4B3E466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针对开放接口提供安全的鉴权机制和使用申请服务。</w:t>
      </w:r>
    </w:p>
    <w:p w14:paraId="50FA4E49">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8.3接口日志</w:t>
      </w:r>
    </w:p>
    <w:p w14:paraId="623672C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针对接口开放、接口调用详细记录变动与使用日志。</w:t>
      </w:r>
    </w:p>
    <w:p w14:paraId="7403614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bookmarkStart w:id="281" w:name="_Toc206598912"/>
      <w:r>
        <w:rPr>
          <w:rFonts w:hint="eastAsia" w:asciiTheme="minorEastAsia" w:hAnsiTheme="minorEastAsia" w:eastAsiaTheme="minorEastAsia" w:cstheme="minorEastAsia"/>
        </w:rPr>
        <w:t>9.数据应用</w:t>
      </w:r>
      <w:bookmarkEnd w:id="281"/>
    </w:p>
    <w:p w14:paraId="48E865D2">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通过数据服务和数据资产门户以及数据可视化功能，让业务人员以及其他系统可以使用数据中台中的高质量数据。</w:t>
      </w:r>
    </w:p>
    <w:p w14:paraId="6F9D951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知识图谱</w:t>
      </w:r>
    </w:p>
    <w:p w14:paraId="7954BF13">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9.1通过自动化映射与可视化配置工具，从数据仓库中抽取实体、关系及属性数据，无需额外编写代码即可构建领域知识图谱，支持动态图谱探索与业务场景嵌入，将复杂关联数据转化为可交互的决策洞察，在学生管理、教学辅助等场景中实现关系网络的深度挖掘与价值释放。</w:t>
      </w:r>
    </w:p>
    <w:p w14:paraId="5A3FE57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9.2数据报表</w:t>
      </w:r>
    </w:p>
    <w:p w14:paraId="44FFAE2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基于数据仓库构建可复用的主题数据集，通过零代码拖拽式设计界面，支持业务人员快速创建交互式大屏报表，打通从数据准备到决策洞察的敏捷闭环，助力学校降低用数门槛、释放数据资产价值。 </w:t>
      </w:r>
    </w:p>
    <w:p w14:paraId="0C5E195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10.可视化看板自定义</w:t>
      </w:r>
    </w:p>
    <w:p w14:paraId="766C804E">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该功能提供数据分析看板构建能力，提供丰富的组件、灵活的布局设置，让用户自助式探索分析。全平台数据展,能够快速帮助用户挖掘海量数据中的蛛丝马迹，发挥数据支撑决策的应有价值。</w:t>
      </w:r>
    </w:p>
    <w:p w14:paraId="35FE25F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10.1▲个人工作区</w:t>
      </w:r>
    </w:p>
    <w:p w14:paraId="0C270B5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以工作区的方式进行可视化资产的管理。在工作区里面，看板、数据报告、分析图表都属于可视化的资产，这些资产可以被分享、转移、授权、复制、剪切、删除等。</w:t>
      </w:r>
    </w:p>
    <w:p w14:paraId="0ACA536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10.2▲数据集配置与管理</w:t>
      </w:r>
    </w:p>
    <w:p w14:paraId="249E1DE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在创建可视化看板时，可以根据需要在平台已接入的数据中创建个性化的数据集。数据集支持SQL、API等类型</w:t>
      </w:r>
    </w:p>
    <w:p w14:paraId="6430C244">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10.3▲画布编辑器</w:t>
      </w:r>
    </w:p>
    <w:p w14:paraId="702C6A26">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通过画布可以实现页面的布局与配色，各图表的大小位置排布，以及应用的可视化预览。</w:t>
      </w:r>
    </w:p>
    <w:p w14:paraId="437EBD49">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内置工具栏，主要实现返回控制台、控制图层栏显隐，控制组件栏显隐、控制右侧面板显隐、设置项目过滤器、查看组件更新、配置美化工具箱、切换画布迁移至移动端、配置蓝图编辑器、配置组件删除备份、发布、预览、帮助、报错等功能。</w:t>
      </w:r>
    </w:p>
    <w:p w14:paraId="1CF4FE6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内置各类常见图表（柱状图、饼状图、折线图、饼图、雷达图、矩阵图、仪表盘等）、地图、信息、表格、媒体等组件</w:t>
      </w:r>
    </w:p>
    <w:p w14:paraId="6C55922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10.4▲渲染器</w:t>
      </w:r>
    </w:p>
    <w:p w14:paraId="37E0ECC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包括画布背景，画布布局模式，组件宽高限定，组件位置限定，组件旋转，组件翻转，组件渲染，组件数据调度，组件数据互通，组件交互等。</w:t>
      </w:r>
    </w:p>
    <w:p w14:paraId="4483069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10.5内置模板</w:t>
      </w:r>
    </w:p>
    <w:p w14:paraId="4B5EEE8A">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系统提前预设不同布局效果的模版，内置可视化模板至少10套。</w:t>
      </w:r>
    </w:p>
    <w:p w14:paraId="3AEA7D5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10.6数据工程看板</w:t>
      </w:r>
    </w:p>
    <w:p w14:paraId="481BAE61">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对数据仓库建设过程中关键指标的动态趋势变化呈现，按项目、业务、数据仓库、数据应用展示数据资产及对应的建设情况，将数据治理成果进行白盒化展示，便于数据管理人员能直观的查看数据治理各个阶段的建设成果，及时把控当前的问题和需要提升的点，让数据治理的过程可量化和优化。</w:t>
      </w:r>
    </w:p>
    <w:p w14:paraId="3CC8AA0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11.平台资源监控和运维</w:t>
      </w:r>
    </w:p>
    <w:p w14:paraId="0A4F27A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对数据资源体系的全局监控和运维界面，可以帮助数据管理人员以全局视角了运行情况。</w:t>
      </w:r>
    </w:p>
    <w:p w14:paraId="6A7FC01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11.1资源状态</w:t>
      </w:r>
    </w:p>
    <w:p w14:paraId="52EC944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资源状态监控，展示数据资源、数据管理功能运行中的主要异常和异动情况，并支持逐级下钻定位到具体的故障点，展示故障详情，以便数据管理人员以最快速度定位问题、解决问题。</w:t>
      </w:r>
    </w:p>
    <w:p w14:paraId="767A840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11.2运维界面</w:t>
      </w:r>
    </w:p>
    <w:p w14:paraId="44B9E24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界面提供查看哪些数据库连接断开或被停用；查看哪些数据同步任务工作不正常；查看哪些数据模型和实体表发生了变化，存在哪些不一致；查看哪些主数据出现了变化，主数据备份是否正常运行；数据质量检测是否正常运行，哪些任务失败；出现过哪些数据安全异常事件。</w:t>
      </w:r>
    </w:p>
    <w:p w14:paraId="34FE3C76">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13.安全管控</w:t>
      </w:r>
    </w:p>
    <w:p w14:paraId="48248CFA">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构建覆盖数据全生命周期的防护体系，确保数据在采集、加工、共享与应用过程中的机密性、完整性与可用性，为跨域数据融合与业务协同提供安全基座。提供数据脱敏加密功能，包括数据加密脱敏规则自定义配置及绑定，支持常见的AES、MD5、SM2、SM3、SM4加密方式，也支持自定义遮盖脱敏、数据随机脱敏等多种脱敏共同保障数据安全。</w:t>
      </w:r>
    </w:p>
    <w:p w14:paraId="20DB23D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数据安全等级管理可针对不同字段具有不同的安全等级，可按照数据分级分类原则实现不同的字段具有不同的审核流程，实现数据精细化、差异化管理。</w:t>
      </w:r>
    </w:p>
    <w:p w14:paraId="6954ED1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13系统管理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对系统基础设置进行统一管理</w:t>
      </w:r>
    </w:p>
    <w:p w14:paraId="6283DB9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13.1用户管理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对系统用户进行管理，支持对接现有认证平台中的用户信息。</w:t>
      </w:r>
    </w:p>
    <w:p w14:paraId="632D1E6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13.2菜单管理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对系统菜单进行管理，用于实现动态菜单。</w:t>
      </w:r>
    </w:p>
    <w:p w14:paraId="489BBE06">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13.3数据字典</w:t>
      </w:r>
      <w:r>
        <w:rPr>
          <w:rFonts w:hint="eastAsia" w:asciiTheme="minorEastAsia" w:hAnsiTheme="minorEastAsia" w:cstheme="minorEastAsia"/>
        </w:rPr>
        <w:t xml:space="preserve"> </w:t>
      </w:r>
      <w:r>
        <w:rPr>
          <w:rFonts w:hint="eastAsia" w:asciiTheme="minorEastAsia" w:hAnsiTheme="minorEastAsia" w:eastAsiaTheme="minorEastAsia" w:cstheme="minorEastAsia"/>
        </w:rPr>
        <w:t>系统的字典数据。</w:t>
      </w:r>
    </w:p>
    <w:p w14:paraId="535DCBB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13.4机构管理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学校组织机构数据管理，支持对接现有认证平台中的用户信息。</w:t>
      </w:r>
    </w:p>
    <w:p w14:paraId="04A1B0D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13.5岗位管理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定义系统中数据管理人员、数据使用人员、数据监管人元及各业务监控人员的所属岗位。</w:t>
      </w:r>
    </w:p>
    <w:p w14:paraId="52F8E64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13.6角色管理</w:t>
      </w:r>
      <w:r>
        <w:rPr>
          <w:rFonts w:hint="eastAsia" w:asciiTheme="minorEastAsia" w:hAnsiTheme="minorEastAsia" w:cstheme="minorEastAsia"/>
        </w:rPr>
        <w:t xml:space="preserve"> </w:t>
      </w:r>
      <w:r>
        <w:rPr>
          <w:rFonts w:hint="eastAsia" w:asciiTheme="minorEastAsia" w:hAnsiTheme="minorEastAsia" w:eastAsiaTheme="minorEastAsia" w:cstheme="minorEastAsia"/>
        </w:rPr>
        <w:t>角色管理，可以为每个角色自定义菜单查看权限以及机构级的数据权限。</w:t>
      </w:r>
    </w:p>
    <w:p w14:paraId="5A6666BF">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14.数据治理功能（治理工具）</w:t>
      </w:r>
    </w:p>
    <w:p w14:paraId="10F0F374">
      <w:pPr>
        <w:widowControl/>
        <w:spacing w:line="440" w:lineRule="exact"/>
        <w:ind w:firstLine="480" w:firstLineChars="200"/>
        <w:jc w:val="lef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对接学校已建设的部分治理功能，对接内容包括治理工作台、治理项管理、治理任务安排、治理功能开发，并在此基础上通过数据标准制定、数据仓库设计、数据模型设计、数据质量问题处理、数据开发、数据标签等功能,将采集到的数据进行数据治理，形成学校统一的数据资产。 </w:t>
      </w:r>
    </w:p>
    <w:p w14:paraId="5EB40AB1">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14.1数据标准制定</w:t>
      </w:r>
    </w:p>
    <w:p w14:paraId="5D0888CC">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链接到标准模块可以根据治理要求随时维护完善相关数据标准。</w:t>
      </w:r>
    </w:p>
    <w:p w14:paraId="443264AC">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14.2数据仓库设计</w:t>
      </w:r>
    </w:p>
    <w:p w14:paraId="243D6986">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设计数据仓库目录结构，支持多层级管理</w:t>
      </w:r>
    </w:p>
    <w:p w14:paraId="74774092">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14.3数据模型设计</w:t>
      </w:r>
    </w:p>
    <w:p w14:paraId="6003A9EC">
      <w:pPr>
        <w:widowControl/>
        <w:spacing w:line="440" w:lineRule="exact"/>
        <w:ind w:firstLine="480" w:firstLineChars="200"/>
        <w:jc w:val="left"/>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rPr>
        <w:t>设计数据仓库中数据模型，可以根据业务主题、管理主题、服务主题等维度设计</w:t>
      </w:r>
      <w:r>
        <w:rPr>
          <w:rFonts w:hint="eastAsia" w:asciiTheme="minorEastAsia" w:hAnsiTheme="minorEastAsia" w:eastAsiaTheme="minorEastAsia" w:cstheme="minorEastAsia"/>
          <w:color w:val="000000"/>
        </w:rPr>
        <w:t>数据模型。</w:t>
      </w:r>
    </w:p>
    <w:p w14:paraId="4D3DEC8D">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14.4数据质量问题处理</w:t>
      </w:r>
    </w:p>
    <w:p w14:paraId="7AD4B2CF">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直观的呈现数据质量分析结果，在结果基础上对数据治理调整。</w:t>
      </w:r>
    </w:p>
    <w:p w14:paraId="6C2AB83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14.5数据指标设置</w:t>
      </w:r>
    </w:p>
    <w:p w14:paraId="00DADEDA">
      <w:pPr>
        <w:pStyle w:val="53"/>
        <w:spacing w:line="44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以原子指标（基础业务度量，如“课时数”“课程数”）为基石，通过逻辑运算与维度组合生成派生指标（如“日均课时=总课时数/课程数”），并依托可视化分析工具（柱状图对比差异、折线图追踪趋势）及指标地图（全局指标血缘拓扑与关联性热力展示）实现指标定义、计算、监控的全链路管理，支撑业务人员快速定位指标异常、追溯数据源头，同时通过标准化指标目录降低口径歧义，驱动决策精准化与资源高效配置。 </w:t>
      </w:r>
    </w:p>
    <w:p w14:paraId="07E62C1A">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14.6数据标签</w:t>
      </w:r>
    </w:p>
    <w:p w14:paraId="17860275">
      <w:pPr>
        <w:pStyle w:val="53"/>
        <w:spacing w:line="44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color w:val="000000"/>
          <w:szCs w:val="24"/>
        </w:rPr>
        <w:t>定义数据标签库，</w:t>
      </w:r>
      <w:r>
        <w:rPr>
          <w:rFonts w:hint="eastAsia" w:asciiTheme="minorEastAsia" w:hAnsiTheme="minorEastAsia" w:eastAsiaTheme="minorEastAsia" w:cstheme="minorEastAsia"/>
          <w:szCs w:val="24"/>
        </w:rPr>
        <w:t xml:space="preserve">以低代码化在线标签开发为核心，快速生成原子标签（如“低分学生”“潜在安全”）与复合标签（如“学习率=图书书馆+教室浸出率”），并基于动态更新机制（实时/离线数据回流）与多维度画像引擎（课程、班级、行为偏好等标签交叉分析），构建千人千面的实体画像库，进而通过标签功能实现精准管理、个性化推荐及风控策略定向推送。 </w:t>
      </w:r>
    </w:p>
    <w:p w14:paraId="69DAC5AB">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14.7 数据开发</w:t>
      </w:r>
    </w:p>
    <w:p w14:paraId="3027DAE6">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围绕元数据、主数据、标准数据进行数据转、清洗、标签等数据按照治理规范对数据进行处理。</w:t>
      </w:r>
    </w:p>
    <w:p w14:paraId="0DD3EFCA">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bookmarkStart w:id="282" w:name="_Toc206598915"/>
      <w:r>
        <w:rPr>
          <w:rFonts w:hint="eastAsia" w:asciiTheme="minorEastAsia" w:hAnsiTheme="minorEastAsia" w:eastAsiaTheme="minorEastAsia" w:cstheme="minorEastAsia"/>
        </w:rPr>
        <w:t>15.业务构建功能</w:t>
      </w:r>
      <w:bookmarkEnd w:id="282"/>
    </w:p>
    <w:p w14:paraId="7237FCF7">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为了更好的实现治理效果，提供一套低代码模式的业务构建功能进行业务治理。支持在线制作业务单据，并且可以与现有业务系统打通。</w:t>
      </w:r>
    </w:p>
    <w:p w14:paraId="79A613F8">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15.1业务办理单据设置</w:t>
      </w:r>
    </w:p>
    <w:p w14:paraId="74F5015F">
      <w:pPr>
        <w:pStyle w:val="11"/>
        <w:spacing w:after="0" w:line="440" w:lineRule="exact"/>
        <w:ind w:left="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rPr>
        <w:t>▲</w:t>
      </w:r>
      <w:r>
        <w:rPr>
          <w:rFonts w:hint="eastAsia" w:asciiTheme="minorEastAsia" w:hAnsiTheme="minorEastAsia" w:eastAsiaTheme="minorEastAsia" w:cstheme="minorEastAsia"/>
        </w:rPr>
        <w:t>各部门存在业务办理需求，可以通过直接在线制作业务办理单据样式和填写内容完成业务信息的填写。</w:t>
      </w:r>
      <w:bookmarkStart w:id="283" w:name="_Toc158752236"/>
      <w:bookmarkStart w:id="284" w:name="_Toc170479710"/>
      <w:r>
        <w:rPr>
          <w:rFonts w:hint="eastAsia" w:asciiTheme="minorEastAsia" w:hAnsiTheme="minorEastAsia" w:eastAsiaTheme="minorEastAsia" w:cstheme="minorEastAsia"/>
        </w:rPr>
        <w:t>单据支持常见的默认值、单选、多选、附件、信息项计算等功能。</w:t>
      </w:r>
    </w:p>
    <w:bookmarkEnd w:id="283"/>
    <w:bookmarkEnd w:id="284"/>
    <w:p w14:paraId="564D09E6">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15.2业务流程的设置</w:t>
      </w:r>
    </w:p>
    <w:p w14:paraId="65FC7B4F">
      <w:pPr>
        <w:pStyle w:val="11"/>
        <w:spacing w:after="0" w:line="440" w:lineRule="exact"/>
        <w:ind w:left="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学校的组织体系及岗位职责，可以灵活的管理每个流程办理环节的办理人信息，流程提供多样化的参与人选择模式，参与人可以是独立的组织节点、角色、用户组、系统用户，也可以是某组织节点下的角色。还支持动态用户组，如发起人部门的某角色等。</w:t>
      </w:r>
    </w:p>
    <w:p w14:paraId="7F1A4AE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15.3业务逻辑设置</w:t>
      </w:r>
    </w:p>
    <w:p w14:paraId="78D9C5B1">
      <w:pPr>
        <w:pStyle w:val="11"/>
        <w:spacing w:after="0" w:line="440" w:lineRule="exact"/>
        <w:ind w:left="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可以自动生成业务数据的增、删、改、查功能，针对业务办理的可快速发起流程并在线审批办理。并支持对办理业务的跟踪查询。</w:t>
      </w:r>
    </w:p>
    <w:p w14:paraId="25CE6A97">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16.与学校平台集成</w:t>
      </w:r>
    </w:p>
    <w:p w14:paraId="1FFB7316">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与学校办事大厅、统一身份认证平台对接，实现身份、消息的互通。</w:t>
      </w:r>
    </w:p>
    <w:p w14:paraId="5D59EE75">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16.1办事大厅集成</w:t>
      </w:r>
    </w:p>
    <w:p w14:paraId="19DA38EC">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服务挂到办事厅中，并且平台内待办事项与办事大厅待办融合。支持移动端办理业务和读取平台消息。</w:t>
      </w:r>
    </w:p>
    <w:p w14:paraId="25B65B90">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16.2统一身份认证平台集成</w:t>
      </w:r>
    </w:p>
    <w:p w14:paraId="0F0D69E9">
      <w:pPr>
        <w:tabs>
          <w:tab w:val="left" w:pos="420"/>
        </w:tabs>
        <w:adjustRightInd w:val="0"/>
        <w:snapToGrid w:val="0"/>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按照学校统一身份认证平台标准规范进行身份对接，实现与学校其他业务及平台单点登录效果。</w:t>
      </w:r>
    </w:p>
    <w:p w14:paraId="18582ED5">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（三）、平台服务要求</w:t>
      </w:r>
    </w:p>
    <w:p w14:paraId="7CC0DD0B">
      <w:pPr>
        <w:pStyle w:val="4"/>
        <w:spacing w:before="0" w:after="0" w:line="440" w:lineRule="exact"/>
        <w:ind w:firstLine="480" w:firstLineChars="200"/>
        <w:rPr>
          <w:rFonts w:hint="eastAsia" w:asciiTheme="minorEastAsia" w:hAnsiTheme="minorEastAsia" w:eastAsiaTheme="minorEastAsia" w:cstheme="minorEastAsia"/>
          <w:b w:val="0"/>
          <w:szCs w:val="24"/>
        </w:rPr>
      </w:pPr>
      <w:bookmarkStart w:id="285" w:name="_Toc206598919"/>
      <w:r>
        <w:rPr>
          <w:rFonts w:hint="eastAsia" w:asciiTheme="minorEastAsia" w:hAnsiTheme="minorEastAsia" w:eastAsiaTheme="minorEastAsia" w:cstheme="minorEastAsia"/>
          <w:b w:val="0"/>
          <w:szCs w:val="24"/>
        </w:rPr>
        <w:t>数据治理服务</w:t>
      </w:r>
      <w:bookmarkEnd w:id="285"/>
    </w:p>
    <w:p w14:paraId="0AE7511E">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本部分建设内容需要基于平台功能提供定制化的治理服务，服务包含以下内容：</w:t>
      </w:r>
    </w:p>
    <w:p w14:paraId="0311877F">
      <w:pPr>
        <w:pStyle w:val="5"/>
        <w:spacing w:before="0" w:after="0" w:line="440" w:lineRule="exact"/>
        <w:ind w:left="0" w:firstLine="480" w:firstLineChars="200"/>
        <w:jc w:val="left"/>
        <w:rPr>
          <w:rFonts w:hint="eastAsia" w:asciiTheme="minorEastAsia" w:hAnsiTheme="minorEastAsia" w:eastAsiaTheme="minorEastAsia" w:cstheme="minorEastAsia"/>
          <w:b w:val="0"/>
          <w:sz w:val="24"/>
          <w:szCs w:val="24"/>
        </w:rPr>
      </w:pPr>
      <w:bookmarkStart w:id="286" w:name="_Toc206598920"/>
      <w:r>
        <w:rPr>
          <w:rFonts w:hint="eastAsia" w:asciiTheme="minorEastAsia" w:hAnsiTheme="minorEastAsia" w:eastAsiaTheme="minorEastAsia" w:cstheme="minorEastAsia"/>
          <w:b w:val="0"/>
          <w:sz w:val="24"/>
          <w:szCs w:val="24"/>
        </w:rPr>
        <w:t>数据标准优化服务</w:t>
      </w:r>
      <w:bookmarkEnd w:id="286"/>
    </w:p>
    <w:p w14:paraId="52F53B3A">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提供前期梳理的学校标准导入系统。</w:t>
      </w:r>
    </w:p>
    <w:p w14:paraId="7CE0D92A">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遵循学校数据标准编制充分借鉴、引用国家标准、行业标准和地方标准，增强标准的有效性、可用性以及合规性，结合最新的《职业院校智慧校园规范》文档及智慧大脑对接标准优化调整已存在的标准。</w:t>
      </w:r>
    </w:p>
    <w:p w14:paraId="7E1D9417">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结合学校近期新建以及老系统陆续开放的数据进行现有标准的优化修订，参照原有系统数据情况及实际学校管理应用完善缺失标准。</w:t>
      </w:r>
    </w:p>
    <w:p w14:paraId="628A3536">
      <w:pPr>
        <w:pStyle w:val="5"/>
        <w:spacing w:before="0" w:after="0" w:line="440" w:lineRule="exact"/>
        <w:ind w:left="0" w:firstLine="480" w:firstLineChars="200"/>
        <w:rPr>
          <w:rFonts w:hint="eastAsia" w:asciiTheme="minorEastAsia" w:hAnsiTheme="minorEastAsia" w:eastAsiaTheme="minorEastAsia" w:cstheme="minorEastAsia"/>
          <w:b w:val="0"/>
          <w:sz w:val="24"/>
          <w:szCs w:val="24"/>
        </w:rPr>
      </w:pPr>
      <w:bookmarkStart w:id="287" w:name="_Toc206598921"/>
      <w:r>
        <w:rPr>
          <w:rFonts w:hint="eastAsia" w:asciiTheme="minorEastAsia" w:hAnsiTheme="minorEastAsia" w:eastAsiaTheme="minorEastAsia" w:cstheme="minorEastAsia"/>
          <w:b w:val="0"/>
          <w:sz w:val="24"/>
          <w:szCs w:val="24"/>
        </w:rPr>
        <w:t>数据采集服务</w:t>
      </w:r>
      <w:bookmarkEnd w:id="287"/>
    </w:p>
    <w:p w14:paraId="330CB21F">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数据采集集成是数据治理的基础过程。本次数据采集的范围涵盖学校所有业务系统，数据采集的对象包括信息系统（数据库）、线下表格等。</w:t>
      </w:r>
    </w:p>
    <w:p w14:paraId="75D08118">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从源头获取的数据副本采集后存储到平台。其中结构化数据（来自数据库、电子表格的数据）存储在平台数据库中。前期已采集数据重新按照安全管理规范及标准规范调整优化。</w:t>
      </w:r>
    </w:p>
    <w:p w14:paraId="31E6BEA0">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采用“全量采集、应采尽采”的采集方式，通过“一次性接入动作”实现了数据从源端复制到一体化数智治理平台，并对数据含义进行标注，能够最大限度的保障一体化数智治理平台的数据资源覆盖的完整性，实现了数据准备的“未雨绸缪”。将来出现了新的数据需求时，只需要在数据仓库中查找所需数据即可立刻投入使用，无需再到源系统中查找、连接，减少对源业务部门工作的影响，减少对源业务系统的运行干扰，提升了数据资源的管理能力和“价值变现”的能力。</w:t>
      </w:r>
    </w:p>
    <w:p w14:paraId="041AAC5B">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数据采集主要包数据集成（指从信息系统中批量获取）和数据填报（指没有信息系统而通过</w:t>
      </w:r>
      <w:bookmarkStart w:id="288" w:name="_Toc150430157"/>
      <w:bookmarkStart w:id="289" w:name="_Toc150430015"/>
      <w:bookmarkStart w:id="290" w:name="_Toc150432540"/>
      <w:bookmarkStart w:id="291" w:name="_Toc164618294"/>
      <w:bookmarkStart w:id="292" w:name="_Toc171532918"/>
      <w:r>
        <w:rPr>
          <w:rFonts w:hint="eastAsia" w:asciiTheme="minorEastAsia" w:hAnsiTheme="minorEastAsia" w:eastAsiaTheme="minorEastAsia" w:cstheme="minorEastAsia"/>
        </w:rPr>
        <w:t>人工填报维护）。</w:t>
      </w:r>
    </w:p>
    <w:p w14:paraId="02A5512F">
      <w:pPr>
        <w:pStyle w:val="34"/>
        <w:numPr>
          <w:ilvl w:val="0"/>
          <w:numId w:val="4"/>
        </w:numPr>
        <w:spacing w:line="440" w:lineRule="exact"/>
        <w:ind w:left="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信息系统数据采集服务</w:t>
      </w:r>
      <w:bookmarkEnd w:id="288"/>
      <w:bookmarkEnd w:id="289"/>
      <w:bookmarkEnd w:id="290"/>
      <w:bookmarkEnd w:id="291"/>
      <w:bookmarkEnd w:id="292"/>
    </w:p>
    <w:p w14:paraId="4006359E">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信息系统都有后台数据库，其数据采集采用治理平台开发工具实现，数据抽取、数据转换、数据加载。在建设过程中，数据抽取的来源数据库就是原始业务系统的数据库，对数据进行治理转换为标准数据。</w:t>
      </w:r>
    </w:p>
    <w:p w14:paraId="051592A8">
      <w:pPr>
        <w:pStyle w:val="34"/>
        <w:numPr>
          <w:ilvl w:val="0"/>
          <w:numId w:val="4"/>
        </w:numPr>
        <w:spacing w:line="440" w:lineRule="exact"/>
        <w:ind w:left="0" w:firstLine="480"/>
        <w:rPr>
          <w:rFonts w:hint="eastAsia" w:asciiTheme="minorEastAsia" w:hAnsiTheme="minorEastAsia" w:eastAsiaTheme="minorEastAsia" w:cstheme="minorEastAsia"/>
        </w:rPr>
      </w:pPr>
      <w:bookmarkStart w:id="293" w:name="_Toc150432541"/>
      <w:bookmarkStart w:id="294" w:name="_Toc150430016"/>
      <w:bookmarkStart w:id="295" w:name="_Toc150430158"/>
      <w:bookmarkStart w:id="296" w:name="_Toc171532919"/>
      <w:bookmarkStart w:id="297" w:name="_Toc164618295"/>
      <w:r>
        <w:rPr>
          <w:rFonts w:hint="eastAsia" w:asciiTheme="minorEastAsia" w:hAnsiTheme="minorEastAsia" w:eastAsiaTheme="minorEastAsia" w:cstheme="minorEastAsia"/>
        </w:rPr>
        <w:t xml:space="preserve"> “无源”数据采集服务</w:t>
      </w:r>
      <w:bookmarkEnd w:id="293"/>
      <w:bookmarkEnd w:id="294"/>
      <w:bookmarkEnd w:id="295"/>
      <w:bookmarkEnd w:id="296"/>
      <w:bookmarkEnd w:id="297"/>
    </w:p>
    <w:p w14:paraId="20767716">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学校还存在大量的数据属于“无源”数据，即这些数据并没有采用专用的业务系统进行管理。这些数据虽然不是由信息化系统上产生，但是常常也记载着重要的业务信息，存在跨部门共享、数据分析等需求，因而也需要采集到数据仓库。</w:t>
      </w:r>
    </w:p>
    <w:p w14:paraId="0F39491A">
      <w:pPr>
        <w:pStyle w:val="34"/>
        <w:numPr>
          <w:ilvl w:val="0"/>
          <w:numId w:val="4"/>
        </w:numPr>
        <w:spacing w:line="440" w:lineRule="exact"/>
        <w:ind w:left="0" w:firstLine="480"/>
        <w:rPr>
          <w:rFonts w:hint="eastAsia" w:asciiTheme="minorEastAsia" w:hAnsiTheme="minorEastAsia" w:eastAsiaTheme="minorEastAsia" w:cstheme="minorEastAsia"/>
        </w:rPr>
      </w:pPr>
      <w:bookmarkStart w:id="298" w:name="_Toc164618296"/>
      <w:bookmarkStart w:id="299" w:name="_Toc150430017"/>
      <w:bookmarkStart w:id="300" w:name="_Toc150432542"/>
      <w:bookmarkStart w:id="301" w:name="_Toc150430159"/>
      <w:bookmarkStart w:id="302" w:name="_Toc171532920"/>
      <w:r>
        <w:rPr>
          <w:rFonts w:hint="eastAsia" w:asciiTheme="minorEastAsia" w:hAnsiTheme="minorEastAsia" w:eastAsiaTheme="minorEastAsia" w:cstheme="minorEastAsia"/>
        </w:rPr>
        <w:t>实时数据开发服务</w:t>
      </w:r>
      <w:bookmarkEnd w:id="298"/>
      <w:bookmarkEnd w:id="299"/>
      <w:bookmarkEnd w:id="300"/>
      <w:bookmarkEnd w:id="301"/>
      <w:bookmarkEnd w:id="302"/>
    </w:p>
    <w:p w14:paraId="3E741F72">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大部分情况下，为获取最新的信息内容，数据采集需要周期性进行，即每个一段时间（典型间隔为1天）采集一次数据。这种情况下，同步延迟（同步延迟是指从“源数据库的数据发生变化的时刻”至“该数据被写入目标库的时刻”之间的时间差）通常为一天。如果希望减少延迟时间，可以修改调度配置，缩短执行周期，极限情况下最短可以缩短到约1分钟左右。</w:t>
      </w:r>
    </w:p>
    <w:p w14:paraId="2DEC6282">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学校还存在少量业务场景，无法接受这个级别的同步延迟，而是要求在最短时间内（秒级）完成跨系统的信息同步。如将人员基础信息的变化快速同步各个业务系统，实现人员入职流程快速办结，便于人员进行一卡通消费、图书借阅、门禁出入等活动；</w:t>
      </w:r>
    </w:p>
    <w:p w14:paraId="7A99CC4F">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将校园出入审批的数据快速同步到门禁管理系统，便于实现门禁全自动管控。</w:t>
      </w:r>
    </w:p>
    <w:p w14:paraId="1B3F4718">
      <w:pPr>
        <w:pStyle w:val="5"/>
        <w:spacing w:before="0" w:after="0" w:line="440" w:lineRule="exact"/>
        <w:ind w:left="0" w:firstLine="480" w:firstLineChars="200"/>
        <w:rPr>
          <w:rFonts w:hint="eastAsia" w:asciiTheme="minorEastAsia" w:hAnsiTheme="minorEastAsia" w:eastAsiaTheme="minorEastAsia" w:cstheme="minorEastAsia"/>
          <w:b w:val="0"/>
          <w:sz w:val="24"/>
          <w:szCs w:val="24"/>
        </w:rPr>
      </w:pPr>
      <w:bookmarkStart w:id="303" w:name="_Toc150430021"/>
      <w:bookmarkStart w:id="304" w:name="_Toc171532924"/>
      <w:bookmarkStart w:id="305" w:name="_Toc150430163"/>
      <w:bookmarkStart w:id="306" w:name="_Toc150432546"/>
      <w:bookmarkStart w:id="307" w:name="_Toc206598922"/>
      <w:bookmarkStart w:id="308" w:name="_Toc164618300"/>
      <w:r>
        <w:rPr>
          <w:rFonts w:hint="eastAsia" w:asciiTheme="minorEastAsia" w:hAnsiTheme="minorEastAsia" w:eastAsiaTheme="minorEastAsia" w:cstheme="minorEastAsia"/>
          <w:b w:val="0"/>
          <w:sz w:val="24"/>
          <w:szCs w:val="24"/>
        </w:rPr>
        <w:t>数据质量检查服务</w:t>
      </w:r>
      <w:bookmarkEnd w:id="303"/>
      <w:bookmarkEnd w:id="304"/>
      <w:bookmarkEnd w:id="305"/>
      <w:bookmarkEnd w:id="306"/>
      <w:bookmarkEnd w:id="307"/>
      <w:bookmarkEnd w:id="308"/>
    </w:p>
    <w:p w14:paraId="6FFEDEB3">
      <w:pPr>
        <w:pStyle w:val="34"/>
        <w:numPr>
          <w:ilvl w:val="0"/>
          <w:numId w:val="5"/>
        </w:numPr>
        <w:spacing w:line="440" w:lineRule="exact"/>
        <w:ind w:left="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数据成果质量评估</w:t>
      </w:r>
    </w:p>
    <w:p w14:paraId="403A35BB">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对数据治理后的成果数据进行质量评估。基于评估结果，一方面可以提示治理过程是否合规、治理动作是否充分，对进一步优化整改治理工作提供参考；另一方面可以让校方对治理后的数据可用性做到心里有数，对后续数据投入使用后可能产生哪些问题、需要做哪些预案提前进行准备。</w:t>
      </w:r>
    </w:p>
    <w:p w14:paraId="2D5AC343">
      <w:pPr>
        <w:pStyle w:val="34"/>
        <w:numPr>
          <w:ilvl w:val="0"/>
          <w:numId w:val="5"/>
        </w:numPr>
        <w:spacing w:line="440" w:lineRule="exact"/>
        <w:ind w:left="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应用效果预估</w:t>
      </w:r>
    </w:p>
    <w:p w14:paraId="12BC67E8">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对计划建设的应用系统的开发难度、上线效果进行预估。这里所指的应用系统包括信息化平台、数据可视化分析、各类统计报表等，评估的侧重点是从数据供应的角度，考察这些应用所需用到的数据内容是否充实、质量是否有保障，从而对应用是否能够按预期设计完成开发、是否能够达成上线运行目标进行预估，并根据数据质量的细节情况对应用的运行逻辑进行必要的适配优化，尽量避免原生数据的问题影响应用的运行成效。</w:t>
      </w:r>
    </w:p>
    <w:p w14:paraId="26307A2C">
      <w:pPr>
        <w:pStyle w:val="34"/>
        <w:numPr>
          <w:ilvl w:val="0"/>
          <w:numId w:val="5"/>
        </w:numPr>
        <w:spacing w:line="440" w:lineRule="exact"/>
        <w:ind w:left="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一数一源落地</w:t>
      </w:r>
    </w:p>
    <w:p w14:paraId="418D9035">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对各部门、各信息系统产生的原始数据是否符合“一数一源”进行评估。评估侧重点与部门的职能范围为参照（部门职能范围就是“一数一源”的依据），考察原始数据的生产是否充分（该生产的权威数据没有正确生产）、是否越界（不该产生的数据被二次产生）。基于该评估结果，了解各部门和系统的工作边界、数据采集和维护范围是否合理，为后续的职责分工明确、工作流程优化提供参考，为“一数一源”的落地提供第一手资料。</w:t>
      </w:r>
    </w:p>
    <w:p w14:paraId="069BF9FD">
      <w:pPr>
        <w:pStyle w:val="5"/>
        <w:spacing w:before="0" w:after="0" w:line="440" w:lineRule="exact"/>
        <w:ind w:left="0" w:firstLine="480" w:firstLineChars="200"/>
        <w:rPr>
          <w:rFonts w:hint="eastAsia" w:asciiTheme="minorEastAsia" w:hAnsiTheme="minorEastAsia" w:eastAsiaTheme="minorEastAsia" w:cstheme="minorEastAsia"/>
          <w:b w:val="0"/>
          <w:sz w:val="24"/>
          <w:szCs w:val="24"/>
        </w:rPr>
      </w:pPr>
      <w:bookmarkStart w:id="309" w:name="_Toc150430173"/>
      <w:bookmarkStart w:id="310" w:name="_Toc206598923"/>
      <w:bookmarkStart w:id="311" w:name="_Toc171532928"/>
      <w:bookmarkStart w:id="312" w:name="_Toc150432556"/>
      <w:bookmarkStart w:id="313" w:name="_Toc150430031"/>
      <w:bookmarkStart w:id="314" w:name="_Toc164618304"/>
      <w:r>
        <w:rPr>
          <w:rFonts w:hint="eastAsia" w:asciiTheme="minorEastAsia" w:hAnsiTheme="minorEastAsia" w:eastAsiaTheme="minorEastAsia" w:cstheme="minorEastAsia"/>
          <w:b w:val="0"/>
          <w:sz w:val="24"/>
          <w:szCs w:val="24"/>
        </w:rPr>
        <w:t>历史数据留存服务</w:t>
      </w:r>
      <w:bookmarkEnd w:id="309"/>
      <w:bookmarkEnd w:id="310"/>
      <w:bookmarkEnd w:id="311"/>
      <w:bookmarkEnd w:id="312"/>
      <w:bookmarkEnd w:id="313"/>
      <w:bookmarkEnd w:id="314"/>
    </w:p>
    <w:p w14:paraId="4881CA5B">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是随业务发展而不断变化积累的。很多时候，用户需要查询数据在过去某个时点的状态，而不是当前最新状态。例如大部分报表都要求对过往某个指定时段的数据进行统计。因此，数据仓库需要具备保留历史数据的能力。</w:t>
      </w:r>
    </w:p>
    <w:p w14:paraId="1F5CFA54">
      <w:pPr>
        <w:pStyle w:val="5"/>
        <w:spacing w:before="0" w:after="0" w:line="440" w:lineRule="exact"/>
        <w:ind w:left="0" w:firstLine="480" w:firstLineChars="200"/>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业务处理量要求</w:t>
      </w:r>
    </w:p>
    <w:p w14:paraId="6D004EB0">
      <w:pPr>
        <w:spacing w:line="44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本期建设数据与业务梳理项目包含学校现有智慧平台中的300张业务数据表，包括日常办公、教务教学、人员管理数据。</w:t>
      </w:r>
    </w:p>
    <w:p w14:paraId="37DCC2FE">
      <w:pPr>
        <w:pStyle w:val="4"/>
        <w:spacing w:before="0" w:after="0" w:line="440" w:lineRule="exact"/>
        <w:ind w:firstLine="480" w:firstLineChars="200"/>
        <w:rPr>
          <w:rFonts w:hint="eastAsia" w:asciiTheme="minorEastAsia" w:hAnsiTheme="minorEastAsia" w:eastAsiaTheme="minorEastAsia" w:cstheme="minorEastAsia"/>
          <w:b w:val="0"/>
          <w:szCs w:val="24"/>
        </w:rPr>
      </w:pPr>
      <w:r>
        <w:rPr>
          <w:rFonts w:hint="eastAsia" w:asciiTheme="minorEastAsia" w:hAnsiTheme="minorEastAsia" w:eastAsiaTheme="minorEastAsia" w:cstheme="minorEastAsia"/>
          <w:b w:val="0"/>
          <w:szCs w:val="24"/>
        </w:rPr>
        <w:t>业务治理与维护调整</w:t>
      </w:r>
    </w:p>
    <w:p w14:paraId="7D7955B2">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针对学校现有系统后勤管理、办公系统、教职工管理系统、学工管理系统、招生系统、科研系统、实验实训系统、校企合作、团委系统、资产系统、缺课监测系统、顶岗实习、实验实训、就业管理等业务系统及认证平台、办事大厅平台进行业务治理，按照数据治理要求、智慧大脑新标准及智慧校园标准进行业务功能改造优化，并对涉及系统进行维护保障。</w:t>
      </w:r>
    </w:p>
    <w:p w14:paraId="43B9233B">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业务治理主要包含2项内容，调整数据管理信息项及调整业务办理流程逻辑，总计治理改造工作量不能低于200人/日。根据治理进度及业务实际情况调整现有系统功能, 业务规则变化后先记录问题的内容、提出人及联系方式，形成变更文档，经校方相关业务处室负责人签字确认后，对相关程序进行调整。</w:t>
      </w:r>
    </w:p>
    <w:p w14:paraId="4080D89E">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服务保障主要包含5项内容：</w:t>
      </w:r>
    </w:p>
    <w:p w14:paraId="51D3AA57">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日常维护：应用系统的日常维护主要是保障数字化校园平台正常运行而必须要做的日常保障性工作，如针对校方用户问题的解答、数据的日常维护以及校方提出的需求变更等。定期提交《维护报告》，内容包括平台的问题汇总、数据修改、常见问题等内容。</w:t>
      </w:r>
      <w:bookmarkStart w:id="315" w:name="_Toc202221762"/>
      <w:bookmarkStart w:id="316" w:name="_Toc420652762"/>
      <w:bookmarkStart w:id="317" w:name="_Toc420251833"/>
      <w:bookmarkStart w:id="318" w:name="_Toc193462042"/>
      <w:bookmarkStart w:id="319" w:name="_Toc455730579"/>
      <w:bookmarkStart w:id="320" w:name="_Toc208652808"/>
    </w:p>
    <w:bookmarkEnd w:id="315"/>
    <w:bookmarkEnd w:id="316"/>
    <w:bookmarkEnd w:id="317"/>
    <w:bookmarkEnd w:id="318"/>
    <w:bookmarkEnd w:id="319"/>
    <w:bookmarkEnd w:id="320"/>
    <w:p w14:paraId="2581EC60">
      <w:pPr>
        <w:pStyle w:val="13"/>
        <w:spacing w:after="0" w:line="440" w:lineRule="exact"/>
        <w:ind w:left="0" w:leftChars="0" w:firstLine="480" w:firstLineChars="200"/>
        <w:rPr>
          <w:rFonts w:hint="eastAsia" w:asciiTheme="minorEastAsia" w:hAnsiTheme="minorEastAsia" w:eastAsiaTheme="minorEastAsia" w:cstheme="minorEastAsia"/>
        </w:rPr>
      </w:pPr>
      <w:bookmarkStart w:id="321" w:name="_Toc193644389"/>
      <w:bookmarkStart w:id="322" w:name="_Toc420652763"/>
      <w:bookmarkStart w:id="323" w:name="_Toc455730580"/>
      <w:bookmarkStart w:id="324" w:name="_Toc420251834"/>
      <w:r>
        <w:rPr>
          <w:rFonts w:hint="eastAsia" w:asciiTheme="minorEastAsia" w:hAnsiTheme="minorEastAsia" w:eastAsiaTheme="minorEastAsia" w:cstheme="minorEastAsia"/>
        </w:rPr>
        <w:t>平台问题解答和处理</w:t>
      </w:r>
      <w:bookmarkEnd w:id="321"/>
      <w:bookmarkEnd w:id="322"/>
      <w:bookmarkEnd w:id="323"/>
      <w:bookmarkEnd w:id="324"/>
      <w:r>
        <w:rPr>
          <w:rFonts w:hint="eastAsia" w:asciiTheme="minorEastAsia" w:hAnsiTheme="minorEastAsia" w:eastAsiaTheme="minorEastAsia" w:cstheme="minorEastAsia"/>
        </w:rPr>
        <w:t>：操作人员在使用数字化平台的过程中遇到影响使用的情况，可以提出咨询和数据修改要求。工作人员先记录问题的内容、提出人及联系方式，然后根据问题类型进行相应的处理；</w:t>
      </w:r>
    </w:p>
    <w:p w14:paraId="45905DBF">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操作类问题：操作人员对数字化平台的基本操作和业务流程操作不熟悉，造成业务处理无法正常进行时，针对这些问题，工作人员将通过电话指导操作人员完成操作。针对有共性的问题应该进行提炼和总结，并维护到知识库中或者作为下次培训时的讲解内容。</w:t>
      </w:r>
    </w:p>
    <w:p w14:paraId="4F0E35B4">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程序类问题：包括程序错误和程序优化，如软件处理方式与实际的业务处理方式不符或者软件性能已经不能满足正常的使用等等。工作人员接收到问题，并确认是程序错误后，应向校方给出临时解决办法，并对程序进行修改或者变更。</w:t>
      </w:r>
    </w:p>
    <w:p w14:paraId="0C7F08D8">
      <w:pPr>
        <w:pStyle w:val="13"/>
        <w:spacing w:after="0" w:line="440" w:lineRule="exact"/>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数据修改类问题：日常使用过程中，如出现需要对系统后台数据进行修改或调整的情况。应校方相应的流程进行审批，然后由工作人员执行修改操作。</w:t>
      </w:r>
    </w:p>
    <w:p w14:paraId="6BFC7E9A">
      <w:pPr>
        <w:widowControl/>
        <w:jc w:val="left"/>
        <w:textAlignment w:val="center"/>
        <w:rPr>
          <w:rFonts w:hint="eastAsia" w:ascii="黑体" w:hAnsi="黑体" w:eastAsia="黑体"/>
          <w:sz w:val="44"/>
          <w:szCs w:val="44"/>
        </w:rPr>
      </w:pPr>
    </w:p>
    <w:p w14:paraId="2E8B0311">
      <w:pPr>
        <w:rPr>
          <w:rFonts w:hint="eastAsia" w:ascii="黑体" w:hAnsi="黑体" w:eastAsia="黑体"/>
          <w:sz w:val="44"/>
          <w:szCs w:val="44"/>
        </w:rPr>
      </w:pPr>
    </w:p>
    <w:p w14:paraId="5F05686C">
      <w:pPr>
        <w:jc w:val="center"/>
        <w:rPr>
          <w:rFonts w:hint="eastAsia" w:ascii="黑体" w:hAnsi="黑体" w:eastAsia="黑体"/>
          <w:sz w:val="44"/>
          <w:szCs w:val="44"/>
        </w:rPr>
      </w:pPr>
    </w:p>
    <w:p w14:paraId="09DA185C">
      <w:pPr>
        <w:jc w:val="center"/>
        <w:rPr>
          <w:rFonts w:hint="eastAsia" w:ascii="黑体" w:hAnsi="黑体" w:eastAsia="黑体"/>
          <w:sz w:val="44"/>
          <w:szCs w:val="44"/>
        </w:rPr>
      </w:pPr>
    </w:p>
    <w:p w14:paraId="59D95C6C">
      <w:pPr>
        <w:jc w:val="center"/>
        <w:rPr>
          <w:rFonts w:hint="eastAsia" w:ascii="黑体" w:hAnsi="黑体" w:eastAsia="黑体"/>
          <w:sz w:val="44"/>
          <w:szCs w:val="44"/>
        </w:rPr>
      </w:pPr>
    </w:p>
    <w:p w14:paraId="1B3E9848">
      <w:pPr>
        <w:jc w:val="center"/>
        <w:rPr>
          <w:rFonts w:hint="eastAsia" w:ascii="黑体" w:hAnsi="黑体" w:eastAsia="黑体"/>
          <w:sz w:val="44"/>
          <w:szCs w:val="44"/>
        </w:rPr>
      </w:pPr>
    </w:p>
    <w:p w14:paraId="032DC29B">
      <w:pPr>
        <w:jc w:val="center"/>
        <w:rPr>
          <w:rFonts w:hint="eastAsia" w:ascii="黑体" w:hAnsi="黑体" w:eastAsia="黑体"/>
          <w:sz w:val="44"/>
          <w:szCs w:val="44"/>
        </w:rPr>
      </w:pPr>
    </w:p>
    <w:p w14:paraId="77C056BA">
      <w:pPr>
        <w:jc w:val="center"/>
        <w:rPr>
          <w:rFonts w:hint="eastAsia" w:ascii="黑体" w:hAnsi="黑体" w:eastAsia="黑体"/>
          <w:sz w:val="44"/>
          <w:szCs w:val="44"/>
        </w:rPr>
      </w:pPr>
    </w:p>
    <w:p w14:paraId="3DADC358">
      <w:pPr>
        <w:jc w:val="center"/>
        <w:rPr>
          <w:rFonts w:hint="eastAsia" w:ascii="黑体" w:hAnsi="黑体" w:eastAsia="黑体"/>
          <w:sz w:val="44"/>
          <w:szCs w:val="44"/>
        </w:rPr>
      </w:pPr>
    </w:p>
    <w:p w14:paraId="6DDA4925">
      <w:pPr>
        <w:jc w:val="center"/>
        <w:rPr>
          <w:rFonts w:hint="eastAsia" w:ascii="黑体" w:hAnsi="黑体" w:eastAsia="黑体"/>
          <w:sz w:val="44"/>
          <w:szCs w:val="44"/>
        </w:rPr>
      </w:pPr>
    </w:p>
    <w:p w14:paraId="4539C5DE">
      <w:pPr>
        <w:jc w:val="both"/>
        <w:rPr>
          <w:rFonts w:hint="eastAsia" w:ascii="黑体" w:hAnsi="黑体" w:eastAsia="黑体"/>
          <w:sz w:val="44"/>
          <w:szCs w:val="44"/>
        </w:rPr>
      </w:pPr>
    </w:p>
    <w:p w14:paraId="18ADA1BA">
      <w:pPr>
        <w:jc w:val="center"/>
        <w:rPr>
          <w:rFonts w:hint="eastAsia" w:ascii="黑体" w:hAnsi="黑体" w:eastAsia="黑体"/>
          <w:b/>
        </w:rPr>
      </w:pPr>
      <w:r>
        <w:rPr>
          <w:rFonts w:ascii="黑体" w:hAnsi="黑体" w:eastAsia="黑体"/>
          <w:sz w:val="44"/>
          <w:szCs w:val="44"/>
        </w:rPr>
        <w:t>第六章</w:t>
      </w:r>
      <w:r>
        <w:rPr>
          <w:rFonts w:hint="eastAsia" w:ascii="黑体" w:hAnsi="黑体" w:eastAsia="黑体"/>
          <w:sz w:val="44"/>
          <w:szCs w:val="44"/>
        </w:rPr>
        <w:t xml:space="preserve"> </w:t>
      </w:r>
      <w:r>
        <w:rPr>
          <w:rFonts w:hint="eastAsia" w:ascii="黑体" w:hAnsi="黑体" w:eastAsia="黑体"/>
          <w:b/>
          <w:sz w:val="44"/>
          <w:szCs w:val="44"/>
        </w:rPr>
        <w:t>投标文件的编制要求及参考格式</w:t>
      </w:r>
      <w:r>
        <w:rPr>
          <w:rFonts w:ascii="黑体" w:hAnsi="黑体" w:eastAsia="黑体"/>
          <w:b/>
        </w:rPr>
        <w:t xml:space="preserve"> </w:t>
      </w:r>
      <w:bookmarkStart w:id="325" w:name="_Hlt26955039"/>
      <w:bookmarkEnd w:id="325"/>
      <w:bookmarkStart w:id="326" w:name="_Hlt26671244"/>
      <w:bookmarkEnd w:id="326"/>
      <w:bookmarkStart w:id="327" w:name="_Toc49090576"/>
      <w:bookmarkStart w:id="328" w:name="_Toc120614282"/>
      <w:bookmarkStart w:id="329" w:name="_Toc26554094"/>
      <w:bookmarkStart w:id="330" w:name="_Toc288030359"/>
      <w:bookmarkStart w:id="331" w:name="_Toc282446331"/>
    </w:p>
    <w:p w14:paraId="068611AC">
      <w:pPr>
        <w:pStyle w:val="20"/>
        <w:spacing w:line="360" w:lineRule="exact"/>
        <w:ind w:left="646" w:firstLine="0"/>
        <w:jc w:val="center"/>
        <w:outlineLvl w:val="0"/>
        <w:rPr>
          <w:rFonts w:hint="eastAsia" w:ascii="黑体" w:hAnsi="黑体" w:eastAsia="黑体"/>
          <w:b/>
          <w:color w:val="auto"/>
          <w:sz w:val="44"/>
          <w:szCs w:val="44"/>
        </w:rPr>
      </w:pPr>
    </w:p>
    <w:p w14:paraId="0DEBE0AB">
      <w:pPr>
        <w:spacing w:line="500" w:lineRule="exact"/>
        <w:rPr>
          <w:rFonts w:hint="eastAsia" w:ascii="黑体" w:hAnsi="黑体" w:eastAsia="黑体"/>
          <w:sz w:val="32"/>
          <w:szCs w:val="32"/>
        </w:rPr>
      </w:pPr>
      <w:bookmarkStart w:id="332" w:name="_Toc426469932"/>
      <w:r>
        <w:rPr>
          <w:rFonts w:ascii="黑体" w:hAnsi="黑体" w:eastAsia="黑体"/>
          <w:sz w:val="32"/>
          <w:szCs w:val="32"/>
        </w:rPr>
        <w:t>1.</w:t>
      </w:r>
      <w:r>
        <w:rPr>
          <w:rFonts w:hint="eastAsia" w:ascii="黑体" w:hAnsi="黑体" w:eastAsia="黑体" w:cs="宋体"/>
          <w:sz w:val="32"/>
          <w:szCs w:val="32"/>
        </w:rPr>
        <w:t>投标文件的组成</w:t>
      </w:r>
      <w:bookmarkEnd w:id="332"/>
    </w:p>
    <w:p w14:paraId="1757A3AC">
      <w:pPr>
        <w:adjustRightInd w:val="0"/>
        <w:snapToGrid w:val="0"/>
        <w:spacing w:line="500" w:lineRule="exact"/>
        <w:ind w:firstLine="560" w:firstLineChars="200"/>
        <w:rPr>
          <w:rFonts w:ascii="宋体"/>
          <w:sz w:val="28"/>
          <w:szCs w:val="28"/>
        </w:rPr>
      </w:pPr>
      <w:bookmarkStart w:id="333" w:name="_Toc426469933"/>
      <w:r>
        <w:rPr>
          <w:rFonts w:ascii="宋体"/>
          <w:sz w:val="28"/>
          <w:szCs w:val="28"/>
        </w:rPr>
        <w:t>见本招标文件第二章</w:t>
      </w:r>
      <w:r>
        <w:rPr>
          <w:rFonts w:hint="eastAsia" w:ascii="宋体"/>
          <w:sz w:val="28"/>
          <w:szCs w:val="28"/>
        </w:rPr>
        <w:t>3.1条。</w:t>
      </w:r>
    </w:p>
    <w:p w14:paraId="06B9CA4A">
      <w:pPr>
        <w:spacing w:line="500" w:lineRule="exact"/>
        <w:rPr>
          <w:rFonts w:hint="eastAsia" w:ascii="黑体" w:hAnsi="黑体" w:eastAsia="黑体"/>
          <w:sz w:val="32"/>
          <w:szCs w:val="32"/>
        </w:rPr>
      </w:pPr>
      <w:r>
        <w:rPr>
          <w:rFonts w:ascii="黑体" w:hAnsi="黑体" w:eastAsia="黑体"/>
          <w:sz w:val="32"/>
          <w:szCs w:val="32"/>
        </w:rPr>
        <w:t>2.</w:t>
      </w:r>
      <w:r>
        <w:rPr>
          <w:rFonts w:hint="eastAsia" w:ascii="黑体" w:hAnsi="黑体" w:eastAsia="黑体" w:cs="宋体"/>
          <w:sz w:val="32"/>
          <w:szCs w:val="32"/>
        </w:rPr>
        <w:t>投标文件的编制内容及编制要求</w:t>
      </w:r>
      <w:bookmarkEnd w:id="333"/>
    </w:p>
    <w:p w14:paraId="48B50D41">
      <w:pPr>
        <w:spacing w:line="500" w:lineRule="exact"/>
        <w:rPr>
          <w:rFonts w:hint="eastAsia" w:ascii="楷体" w:hAnsi="楷体" w:eastAsia="楷体"/>
          <w:b/>
          <w:sz w:val="28"/>
          <w:szCs w:val="28"/>
        </w:rPr>
      </w:pPr>
      <w:r>
        <w:rPr>
          <w:rFonts w:ascii="楷体" w:hAnsi="楷体" w:eastAsia="楷体"/>
          <w:b/>
          <w:sz w:val="28"/>
          <w:szCs w:val="28"/>
        </w:rPr>
        <w:t>2.1</w:t>
      </w:r>
      <w:r>
        <w:rPr>
          <w:rFonts w:hint="eastAsia" w:ascii="楷体" w:hAnsi="楷体" w:eastAsia="楷体" w:cs="宋体"/>
          <w:b/>
          <w:sz w:val="28"/>
          <w:szCs w:val="28"/>
        </w:rPr>
        <w:t>开标一览表</w:t>
      </w:r>
    </w:p>
    <w:p w14:paraId="6DE599A4">
      <w:pPr>
        <w:spacing w:line="50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投标人应按表中格式完整、清晰、正确填写；</w:t>
      </w:r>
    </w:p>
    <w:p w14:paraId="7F92AA28">
      <w:pPr>
        <w:spacing w:line="50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开标一览表中的价格应与投标文件中</w:t>
      </w:r>
      <w:bookmarkStart w:id="334" w:name="OLE_LINK8"/>
      <w:r>
        <w:rPr>
          <w:rFonts w:hint="eastAsia" w:ascii="宋体" w:hAnsi="宋体" w:cs="宋体"/>
          <w:sz w:val="28"/>
          <w:szCs w:val="28"/>
        </w:rPr>
        <w:t>投标报价明细表</w:t>
      </w:r>
      <w:bookmarkEnd w:id="334"/>
      <w:r>
        <w:rPr>
          <w:rFonts w:hint="eastAsia" w:ascii="宋体" w:hAnsi="宋体" w:cs="宋体"/>
          <w:sz w:val="28"/>
          <w:szCs w:val="28"/>
        </w:rPr>
        <w:t>中的价格一致。</w:t>
      </w:r>
    </w:p>
    <w:p w14:paraId="32781BE4">
      <w:pPr>
        <w:spacing w:line="500" w:lineRule="exact"/>
        <w:ind w:firstLine="560" w:firstLineChars="200"/>
        <w:rPr>
          <w:rFonts w:ascii="宋体"/>
          <w:sz w:val="28"/>
          <w:szCs w:val="28"/>
        </w:rPr>
      </w:pPr>
      <w:r>
        <w:rPr>
          <w:rFonts w:ascii="宋体" w:hAnsi="宋体"/>
          <w:sz w:val="28"/>
          <w:szCs w:val="28"/>
        </w:rPr>
        <w:t>2.1.</w:t>
      </w:r>
      <w:r>
        <w:rPr>
          <w:rFonts w:hint="eastAsia" w:ascii="宋体" w:hAnsi="宋体"/>
          <w:sz w:val="28"/>
          <w:szCs w:val="28"/>
        </w:rPr>
        <w:t>3</w:t>
      </w:r>
      <w:r>
        <w:rPr>
          <w:rFonts w:hint="eastAsia" w:ascii="宋体" w:hAnsi="宋体" w:cs="宋体"/>
          <w:sz w:val="28"/>
          <w:szCs w:val="28"/>
        </w:rPr>
        <w:t>开标一览表格式见附件。</w:t>
      </w:r>
    </w:p>
    <w:p w14:paraId="66F60E93">
      <w:pPr>
        <w:spacing w:line="500" w:lineRule="exact"/>
        <w:rPr>
          <w:rFonts w:hint="eastAsia"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投标函</w:t>
      </w:r>
    </w:p>
    <w:p w14:paraId="11F51622">
      <w:pPr>
        <w:spacing w:line="500" w:lineRule="exact"/>
        <w:ind w:firstLine="560" w:firstLineChars="200"/>
        <w:rPr>
          <w:rFonts w:ascii="宋体"/>
          <w:sz w:val="28"/>
          <w:szCs w:val="28"/>
        </w:rPr>
      </w:pPr>
      <w:r>
        <w:rPr>
          <w:rFonts w:ascii="宋体" w:hAnsi="宋体"/>
          <w:sz w:val="28"/>
          <w:szCs w:val="28"/>
        </w:rPr>
        <w:t>2.2.1</w:t>
      </w:r>
      <w:r>
        <w:rPr>
          <w:rFonts w:hint="eastAsia" w:ascii="宋体" w:hAnsi="宋体" w:cs="宋体"/>
          <w:sz w:val="28"/>
          <w:szCs w:val="28"/>
        </w:rPr>
        <w:t>投标人应按表中规定格式完整、清晰、正确填写；</w:t>
      </w:r>
    </w:p>
    <w:p w14:paraId="7380D776">
      <w:pPr>
        <w:spacing w:line="500" w:lineRule="exact"/>
        <w:ind w:firstLine="560" w:firstLineChars="200"/>
        <w:rPr>
          <w:rFonts w:ascii="宋体"/>
          <w:sz w:val="28"/>
          <w:szCs w:val="28"/>
        </w:rPr>
      </w:pPr>
      <w:r>
        <w:rPr>
          <w:rFonts w:ascii="宋体" w:hAnsi="宋体"/>
          <w:sz w:val="28"/>
          <w:szCs w:val="28"/>
        </w:rPr>
        <w:t>2.2.2</w:t>
      </w:r>
      <w:r>
        <w:rPr>
          <w:rFonts w:hint="eastAsia" w:ascii="宋体" w:hAnsi="宋体" w:cs="宋体"/>
          <w:sz w:val="28"/>
          <w:szCs w:val="28"/>
        </w:rPr>
        <w:t>投标函必须加盖投标人法人公章并经法定代表人签字或签章。</w:t>
      </w:r>
    </w:p>
    <w:p w14:paraId="685F357B">
      <w:pPr>
        <w:spacing w:line="500" w:lineRule="exact"/>
        <w:rPr>
          <w:rFonts w:hint="eastAsia" w:ascii="楷体" w:hAnsi="楷体" w:eastAsia="楷体"/>
          <w:b/>
          <w:sz w:val="28"/>
          <w:szCs w:val="28"/>
        </w:rPr>
      </w:pPr>
      <w:r>
        <w:rPr>
          <w:rFonts w:hint="eastAsia" w:ascii="楷体" w:hAnsi="楷体" w:eastAsia="楷体"/>
          <w:b/>
          <w:sz w:val="28"/>
          <w:szCs w:val="28"/>
        </w:rPr>
        <w:t>2.3资格条件证明文件</w:t>
      </w:r>
    </w:p>
    <w:p w14:paraId="6533ABE5">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）供应商基本资格条件承诺函；</w:t>
      </w:r>
    </w:p>
    <w:p w14:paraId="1B69CD83">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）招标文件要求的其他资格条件证明材料。</w:t>
      </w:r>
    </w:p>
    <w:p w14:paraId="6F694C6A">
      <w:pPr>
        <w:spacing w:line="500" w:lineRule="exact"/>
        <w:rPr>
          <w:rFonts w:hint="eastAsia" w:ascii="楷体" w:hAnsi="楷体" w:eastAsia="楷体"/>
          <w:b/>
          <w:sz w:val="28"/>
          <w:szCs w:val="28"/>
        </w:rPr>
      </w:pPr>
      <w:r>
        <w:rPr>
          <w:rFonts w:ascii="楷体" w:hAnsi="楷体" w:eastAsia="楷体"/>
          <w:b/>
          <w:sz w:val="28"/>
          <w:szCs w:val="28"/>
        </w:rPr>
        <w:t>2.</w:t>
      </w:r>
      <w:r>
        <w:rPr>
          <w:rFonts w:hint="eastAsia" w:ascii="楷体" w:hAnsi="楷体" w:eastAsia="楷体"/>
          <w:b/>
          <w:sz w:val="28"/>
          <w:szCs w:val="28"/>
        </w:rPr>
        <w:t>4采购需求</w:t>
      </w:r>
      <w:r>
        <w:rPr>
          <w:rFonts w:hint="eastAsia" w:ascii="楷体" w:hAnsi="楷体" w:eastAsia="楷体" w:cs="宋体"/>
          <w:b/>
          <w:sz w:val="28"/>
          <w:szCs w:val="28"/>
        </w:rPr>
        <w:t>响应表</w:t>
      </w:r>
    </w:p>
    <w:p w14:paraId="36F5BFA2">
      <w:pPr>
        <w:spacing w:line="500" w:lineRule="exact"/>
        <w:ind w:firstLine="560" w:firstLineChars="200"/>
        <w:rPr>
          <w:rFonts w:hint="eastAsia" w:ascii="宋体" w:hAnsi="宋体"/>
          <w:b/>
          <w:sz w:val="28"/>
          <w:szCs w:val="28"/>
        </w:rPr>
      </w:pPr>
      <w:r>
        <w:rPr>
          <w:rFonts w:hint="eastAsia" w:ascii="宋体" w:hAnsi="宋体"/>
          <w:sz w:val="28"/>
          <w:szCs w:val="28"/>
        </w:rPr>
        <w:t>投标人应仔细阅读招标文件第五章采购需求，结合自身的实际情况，如实编制，格式自拟。</w:t>
      </w:r>
      <w:r>
        <w:rPr>
          <w:rFonts w:hint="eastAsia" w:ascii="宋体" w:hAnsi="宋体"/>
          <w:b/>
          <w:sz w:val="28"/>
          <w:szCs w:val="28"/>
        </w:rPr>
        <w:t>采购需求响应表须详细说明实际提供的服务及其他采购需求中相关要求的响应情况。</w:t>
      </w:r>
    </w:p>
    <w:p w14:paraId="60796013">
      <w:pPr>
        <w:spacing w:line="500" w:lineRule="exact"/>
        <w:rPr>
          <w:rFonts w:hint="eastAsia" w:ascii="楷体" w:hAnsi="楷体" w:eastAsia="楷体" w:cs="宋体"/>
          <w:b/>
          <w:sz w:val="28"/>
          <w:szCs w:val="28"/>
        </w:rPr>
      </w:pPr>
      <w:r>
        <w:rPr>
          <w:rFonts w:ascii="楷体" w:hAnsi="楷体" w:eastAsia="楷体"/>
          <w:b/>
          <w:sz w:val="28"/>
          <w:szCs w:val="28"/>
        </w:rPr>
        <w:t>2.</w:t>
      </w:r>
      <w:r>
        <w:rPr>
          <w:rFonts w:hint="eastAsia" w:ascii="楷体" w:hAnsi="楷体" w:eastAsia="楷体"/>
          <w:b/>
          <w:sz w:val="28"/>
          <w:szCs w:val="28"/>
        </w:rPr>
        <w:t>5</w:t>
      </w:r>
      <w:r>
        <w:rPr>
          <w:rFonts w:hint="eastAsia" w:ascii="楷体" w:hAnsi="楷体" w:eastAsia="楷体" w:cs="宋体"/>
          <w:b/>
          <w:sz w:val="28"/>
          <w:szCs w:val="28"/>
        </w:rPr>
        <w:t>投标人认为应列入投标文件的其他材料</w:t>
      </w:r>
    </w:p>
    <w:p w14:paraId="6654A087">
      <w:pPr>
        <w:spacing w:line="500" w:lineRule="exact"/>
        <w:ind w:firstLine="560" w:firstLineChars="200"/>
        <w:rPr>
          <w:rFonts w:ascii="宋体"/>
          <w:sz w:val="28"/>
          <w:szCs w:val="28"/>
        </w:rPr>
      </w:pPr>
      <w:r>
        <w:rPr>
          <w:rFonts w:hint="eastAsia" w:ascii="宋体" w:hAnsi="宋体"/>
          <w:sz w:val="28"/>
          <w:szCs w:val="28"/>
        </w:rPr>
        <w:t>投标人应对照第三章评标办法中的评审因素，结合自身的实际情况，如实编制，格式自拟。</w:t>
      </w:r>
    </w:p>
    <w:p w14:paraId="30251E5A">
      <w:pPr>
        <w:spacing w:line="500" w:lineRule="exact"/>
        <w:rPr>
          <w:rFonts w:hint="eastAsia" w:ascii="黑体" w:hAnsi="黑体" w:eastAsia="黑体"/>
          <w:sz w:val="32"/>
          <w:szCs w:val="32"/>
        </w:rPr>
      </w:pPr>
      <w:bookmarkStart w:id="335" w:name="_Toc426469934"/>
      <w:r>
        <w:rPr>
          <w:rFonts w:ascii="黑体" w:hAnsi="黑体" w:eastAsia="黑体"/>
          <w:sz w:val="32"/>
          <w:szCs w:val="32"/>
        </w:rPr>
        <w:br w:type="page"/>
      </w:r>
      <w:r>
        <w:rPr>
          <w:rFonts w:ascii="黑体" w:hAnsi="黑体" w:eastAsia="黑体"/>
          <w:sz w:val="32"/>
          <w:szCs w:val="32"/>
        </w:rPr>
        <w:t xml:space="preserve">3. </w:t>
      </w:r>
      <w:r>
        <w:rPr>
          <w:rFonts w:hint="eastAsia" w:ascii="黑体" w:hAnsi="黑体" w:eastAsia="黑体" w:cs="宋体"/>
          <w:sz w:val="32"/>
          <w:szCs w:val="32"/>
        </w:rPr>
        <w:t>投标文件参考格式</w:t>
      </w:r>
      <w:bookmarkEnd w:id="327"/>
      <w:bookmarkEnd w:id="328"/>
      <w:bookmarkEnd w:id="329"/>
      <w:bookmarkEnd w:id="330"/>
      <w:bookmarkEnd w:id="331"/>
      <w:bookmarkEnd w:id="335"/>
      <w:bookmarkStart w:id="336" w:name="_Toc426469936"/>
      <w:bookmarkStart w:id="337" w:name="_Toc426469937"/>
      <w:bookmarkStart w:id="338" w:name="_Toc382812316"/>
      <w:bookmarkStart w:id="339" w:name="_Toc383624021"/>
      <w:bookmarkStart w:id="340" w:name="_Toc382812507"/>
      <w:bookmarkStart w:id="341" w:name="_Toc383623749"/>
      <w:bookmarkStart w:id="342" w:name="_Toc390099111"/>
      <w:bookmarkStart w:id="343" w:name="_Toc383626069"/>
      <w:bookmarkStart w:id="344" w:name="_Toc382811202"/>
      <w:bookmarkStart w:id="345" w:name="_Toc390098915"/>
      <w:bookmarkStart w:id="346" w:name="_Toc390246998"/>
      <w:bookmarkStart w:id="347" w:name="_Toc382814038"/>
      <w:bookmarkStart w:id="348" w:name="_Toc382811607"/>
      <w:bookmarkStart w:id="349" w:name="_Toc382813957"/>
      <w:bookmarkStart w:id="350" w:name="_Toc383698722"/>
      <w:bookmarkStart w:id="351" w:name="_Toc383679822"/>
      <w:bookmarkStart w:id="352" w:name="_Toc383587529"/>
    </w:p>
    <w:p w14:paraId="1EFFE825">
      <w:pPr>
        <w:rPr>
          <w:rFonts w:hint="eastAsia"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1</w:t>
      </w:r>
      <w:r>
        <w:rPr>
          <w:rFonts w:hint="eastAsia" w:ascii="楷体" w:hAnsi="楷体" w:eastAsia="楷体" w:cs="宋体"/>
          <w:b/>
          <w:sz w:val="28"/>
          <w:szCs w:val="28"/>
        </w:rPr>
        <w:t>投标文件封面格式</w:t>
      </w:r>
      <w:bookmarkEnd w:id="336"/>
    </w:p>
    <w:p w14:paraId="65E7FE09">
      <w:pPr>
        <w:spacing w:line="360" w:lineRule="exact"/>
        <w:ind w:firstLine="480" w:firstLineChars="200"/>
        <w:jc w:val="center"/>
        <w:rPr>
          <w:rFonts w:ascii="宋体"/>
        </w:rPr>
      </w:pPr>
    </w:p>
    <w:p w14:paraId="1CCD5FFB">
      <w:pPr>
        <w:spacing w:line="360" w:lineRule="exact"/>
        <w:ind w:firstLine="480" w:firstLineChars="200"/>
        <w:jc w:val="center"/>
        <w:rPr>
          <w:rFonts w:ascii="宋体"/>
        </w:rPr>
      </w:pPr>
    </w:p>
    <w:p w14:paraId="6D33BDB7">
      <w:pPr>
        <w:jc w:val="center"/>
        <w:rPr>
          <w:rFonts w:ascii="宋体"/>
          <w:b/>
          <w:sz w:val="48"/>
          <w:szCs w:val="48"/>
        </w:rPr>
      </w:pPr>
      <w:r>
        <w:rPr>
          <w:rFonts w:hint="eastAsia" w:ascii="宋体"/>
          <w:b/>
          <w:sz w:val="48"/>
          <w:szCs w:val="48"/>
        </w:rPr>
        <w:t>投标文件</w:t>
      </w:r>
    </w:p>
    <w:p w14:paraId="0612E721">
      <w:pPr>
        <w:pStyle w:val="9"/>
      </w:pPr>
    </w:p>
    <w:p w14:paraId="6FDBAC5C">
      <w:pPr>
        <w:spacing w:line="440" w:lineRule="exact"/>
        <w:ind w:firstLine="2520" w:firstLineChars="900"/>
        <w:rPr>
          <w:rFonts w:ascii="宋体"/>
          <w:sz w:val="28"/>
          <w:szCs w:val="28"/>
        </w:rPr>
      </w:pPr>
      <w:r>
        <w:rPr>
          <w:rFonts w:hint="eastAsia" w:ascii="宋体"/>
          <w:sz w:val="28"/>
          <w:szCs w:val="28"/>
        </w:rPr>
        <w:t>采购项目名称：</w:t>
      </w:r>
    </w:p>
    <w:p w14:paraId="1E91F0F5">
      <w:pPr>
        <w:spacing w:line="440" w:lineRule="exact"/>
        <w:ind w:firstLine="2520" w:firstLineChars="900"/>
        <w:rPr>
          <w:rFonts w:ascii="宋体" w:cs="宋体"/>
          <w:sz w:val="28"/>
          <w:szCs w:val="28"/>
          <w:u w:val="single"/>
        </w:rPr>
      </w:pPr>
      <w:r>
        <w:rPr>
          <w:rFonts w:hint="eastAsia" w:ascii="宋体"/>
          <w:sz w:val="28"/>
          <w:szCs w:val="28"/>
        </w:rPr>
        <w:t>采购项目编号：</w:t>
      </w:r>
    </w:p>
    <w:p w14:paraId="39EF6B2D">
      <w:pPr>
        <w:spacing w:line="360" w:lineRule="exact"/>
        <w:ind w:firstLine="1260" w:firstLineChars="450"/>
        <w:rPr>
          <w:rFonts w:ascii="宋体"/>
          <w:sz w:val="28"/>
          <w:szCs w:val="28"/>
        </w:rPr>
      </w:pPr>
    </w:p>
    <w:p w14:paraId="708CA55D">
      <w:pPr>
        <w:spacing w:line="360" w:lineRule="exact"/>
        <w:ind w:firstLine="560" w:firstLineChars="200"/>
        <w:rPr>
          <w:rFonts w:ascii="宋体"/>
          <w:sz w:val="28"/>
          <w:szCs w:val="28"/>
        </w:rPr>
      </w:pPr>
    </w:p>
    <w:p w14:paraId="7FF66583">
      <w:pPr>
        <w:tabs>
          <w:tab w:val="left" w:pos="2700"/>
        </w:tabs>
        <w:spacing w:line="400" w:lineRule="exact"/>
        <w:ind w:firstLine="2520" w:firstLineChars="900"/>
        <w:rPr>
          <w:rFonts w:ascii="宋体"/>
          <w:sz w:val="28"/>
          <w:szCs w:val="28"/>
          <w:u w:val="single"/>
        </w:rPr>
      </w:pPr>
      <w:r>
        <w:rPr>
          <w:rFonts w:hint="eastAsia" w:ascii="宋体"/>
          <w:sz w:val="28"/>
          <w:szCs w:val="28"/>
        </w:rPr>
        <w:t>投标人名称：</w:t>
      </w:r>
      <w:r>
        <w:rPr>
          <w:rFonts w:ascii="宋体"/>
          <w:sz w:val="28"/>
          <w:szCs w:val="28"/>
          <w:u w:val="single"/>
        </w:rPr>
        <w:t xml:space="preserve">  </w:t>
      </w:r>
      <w:r>
        <w:rPr>
          <w:rFonts w:hint="eastAsia" w:ascii="宋体"/>
          <w:sz w:val="28"/>
          <w:szCs w:val="28"/>
          <w:u w:val="single"/>
        </w:rPr>
        <w:t>（盖法人章）</w:t>
      </w:r>
      <w:r>
        <w:rPr>
          <w:rFonts w:ascii="宋体"/>
          <w:sz w:val="28"/>
          <w:szCs w:val="28"/>
          <w:u w:val="single"/>
        </w:rPr>
        <w:t xml:space="preserve">     </w:t>
      </w:r>
    </w:p>
    <w:p w14:paraId="3BA8C0D2">
      <w:pPr>
        <w:tabs>
          <w:tab w:val="left" w:pos="2700"/>
        </w:tabs>
        <w:spacing w:line="400" w:lineRule="exact"/>
        <w:ind w:firstLine="2520" w:firstLineChars="900"/>
        <w:rPr>
          <w:rFonts w:ascii="宋体"/>
          <w:sz w:val="28"/>
          <w:szCs w:val="28"/>
          <w:u w:val="single"/>
        </w:rPr>
      </w:pPr>
      <w:r>
        <w:rPr>
          <w:rFonts w:hint="eastAsia" w:ascii="宋体"/>
          <w:sz w:val="28"/>
          <w:szCs w:val="28"/>
        </w:rPr>
        <w:t>联系人：</w:t>
      </w:r>
    </w:p>
    <w:p w14:paraId="0A247D03">
      <w:pPr>
        <w:tabs>
          <w:tab w:val="left" w:pos="2700"/>
        </w:tabs>
        <w:spacing w:line="400" w:lineRule="exact"/>
        <w:ind w:firstLine="2520" w:firstLineChars="900"/>
        <w:rPr>
          <w:rFonts w:ascii="宋体"/>
          <w:sz w:val="28"/>
          <w:szCs w:val="28"/>
          <w:u w:val="single"/>
        </w:rPr>
      </w:pPr>
      <w:r>
        <w:rPr>
          <w:rFonts w:hint="eastAsia" w:ascii="宋体"/>
          <w:sz w:val="28"/>
          <w:szCs w:val="28"/>
        </w:rPr>
        <w:t>联系电话：</w:t>
      </w:r>
    </w:p>
    <w:p w14:paraId="1DE180E8">
      <w:pPr>
        <w:spacing w:line="400" w:lineRule="exact"/>
        <w:ind w:firstLine="2520" w:firstLineChars="900"/>
        <w:rPr>
          <w:rFonts w:ascii="宋体"/>
          <w:sz w:val="28"/>
          <w:szCs w:val="28"/>
        </w:rPr>
      </w:pPr>
      <w:r>
        <w:rPr>
          <w:rFonts w:hint="eastAsia" w:ascii="宋体"/>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443BA1FB">
      <w:pPr>
        <w:spacing w:line="400" w:lineRule="exact"/>
        <w:ind w:firstLine="2520" w:firstLineChars="900"/>
        <w:rPr>
          <w:rFonts w:ascii="宋体"/>
          <w:sz w:val="28"/>
          <w:szCs w:val="28"/>
        </w:rPr>
      </w:pPr>
    </w:p>
    <w:p w14:paraId="353FEF89">
      <w:pPr>
        <w:spacing w:line="400" w:lineRule="exact"/>
        <w:rPr>
          <w:rFonts w:ascii="宋体"/>
          <w:sz w:val="28"/>
          <w:szCs w:val="28"/>
        </w:rPr>
      </w:pPr>
    </w:p>
    <w:p w14:paraId="18036637">
      <w:pPr>
        <w:spacing w:line="400" w:lineRule="exact"/>
        <w:rPr>
          <w:rFonts w:ascii="宋体"/>
          <w:sz w:val="28"/>
          <w:szCs w:val="28"/>
        </w:rPr>
      </w:pPr>
    </w:p>
    <w:p w14:paraId="4A57D08A">
      <w:pPr>
        <w:spacing w:line="400" w:lineRule="exact"/>
        <w:rPr>
          <w:rFonts w:hint="eastAsia"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2</w:t>
      </w:r>
      <w:r>
        <w:rPr>
          <w:rFonts w:ascii="楷体" w:hAnsi="楷体" w:eastAsia="楷体"/>
          <w:b/>
          <w:sz w:val="28"/>
          <w:szCs w:val="28"/>
        </w:rPr>
        <w:t xml:space="preserve"> </w:t>
      </w:r>
      <w:r>
        <w:rPr>
          <w:rFonts w:hint="eastAsia" w:ascii="楷体" w:hAnsi="楷体" w:eastAsia="楷体" w:cs="宋体"/>
          <w:b/>
          <w:sz w:val="28"/>
          <w:szCs w:val="28"/>
        </w:rPr>
        <w:t>开标一览表</w:t>
      </w:r>
      <w:bookmarkEnd w:id="337"/>
    </w:p>
    <w:p w14:paraId="141DF419">
      <w:bookmarkStart w:id="353" w:name="_Toc426469938"/>
      <w:r>
        <w:rPr>
          <w:rFonts w:hint="eastAsia"/>
        </w:rPr>
        <w:t xml:space="preserve">                  </w:t>
      </w:r>
    </w:p>
    <w:p w14:paraId="230A7FE9"/>
    <w:p w14:paraId="16901409"/>
    <w:p w14:paraId="074C6ED0">
      <w:pPr>
        <w:jc w:val="center"/>
        <w:rPr>
          <w:b/>
          <w:sz w:val="32"/>
          <w:szCs w:val="32"/>
        </w:rPr>
      </w:pPr>
      <w:r>
        <w:rPr>
          <w:rFonts w:hint="eastAsia"/>
          <w:b/>
          <w:sz w:val="32"/>
          <w:szCs w:val="32"/>
        </w:rPr>
        <w:t>开标一览表</w:t>
      </w:r>
    </w:p>
    <w:p w14:paraId="662D2D37">
      <w:pPr>
        <w:spacing w:line="500" w:lineRule="exact"/>
        <w:rPr>
          <w:rFonts w:eastAsia="仿宋_GB2312"/>
          <w:b/>
          <w:bCs/>
          <w:color w:val="FF0000"/>
          <w:sz w:val="28"/>
          <w:szCs w:val="28"/>
        </w:rPr>
      </w:pPr>
    </w:p>
    <w:p w14:paraId="7C95E05A">
      <w:pPr>
        <w:spacing w:line="500" w:lineRule="exact"/>
        <w:rPr>
          <w:rFonts w:eastAsia="楷体"/>
          <w:b/>
          <w:color w:val="0D0D0D"/>
          <w:sz w:val="28"/>
          <w:szCs w:val="28"/>
        </w:rPr>
      </w:pPr>
      <w:r>
        <w:rPr>
          <w:rFonts w:hint="eastAsia" w:eastAsia="仿宋_GB2312"/>
          <w:b/>
          <w:bCs/>
          <w:color w:val="FF0000"/>
          <w:sz w:val="28"/>
          <w:szCs w:val="28"/>
        </w:rPr>
        <w:t>按“江苏省政府采购管理交易系统（苏采云）”中格式填写。</w:t>
      </w:r>
    </w:p>
    <w:p w14:paraId="69E19E44"/>
    <w:p w14:paraId="46AFEE2E">
      <w:pPr>
        <w:rPr>
          <w:rFonts w:hint="eastAsia" w:ascii="楷体" w:hAnsi="楷体" w:eastAsia="楷体"/>
          <w:sz w:val="28"/>
          <w:szCs w:val="28"/>
        </w:rPr>
      </w:pPr>
      <w:r>
        <w:br w:type="page"/>
      </w:r>
      <w:r>
        <w:rPr>
          <w:rFonts w:ascii="楷体" w:hAnsi="楷体" w:eastAsia="楷体" w:cs="宋体"/>
          <w:b/>
          <w:sz w:val="28"/>
          <w:szCs w:val="28"/>
        </w:rPr>
        <w:t>3.</w:t>
      </w:r>
      <w:r>
        <w:rPr>
          <w:rFonts w:hint="eastAsia" w:ascii="楷体" w:hAnsi="楷体" w:eastAsia="楷体" w:cs="宋体"/>
          <w:b/>
          <w:sz w:val="28"/>
          <w:szCs w:val="28"/>
        </w:rPr>
        <w:t>3</w:t>
      </w:r>
      <w:r>
        <w:rPr>
          <w:rFonts w:ascii="楷体" w:hAnsi="楷体" w:eastAsia="楷体" w:cs="宋体"/>
          <w:b/>
          <w:sz w:val="28"/>
          <w:szCs w:val="28"/>
        </w:rPr>
        <w:t xml:space="preserve"> </w:t>
      </w:r>
      <w:r>
        <w:rPr>
          <w:rFonts w:hint="eastAsia" w:ascii="楷体" w:hAnsi="楷体" w:eastAsia="楷体" w:cs="宋体"/>
          <w:b/>
          <w:sz w:val="28"/>
          <w:szCs w:val="28"/>
        </w:rPr>
        <w:t>投标函</w:t>
      </w:r>
      <w:bookmarkEnd w:id="353"/>
    </w:p>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14:paraId="0D0865D7">
      <w:pPr>
        <w:jc w:val="center"/>
        <w:rPr>
          <w:sz w:val="44"/>
          <w:szCs w:val="44"/>
        </w:rPr>
      </w:pPr>
      <w:bookmarkStart w:id="354" w:name="_Toc367785041"/>
      <w:r>
        <w:rPr>
          <w:rFonts w:hint="eastAsia"/>
          <w:sz w:val="44"/>
          <w:szCs w:val="44"/>
        </w:rPr>
        <w:t>投</w:t>
      </w:r>
      <w:r>
        <w:rPr>
          <w:rFonts w:eastAsia="Times New Roman"/>
          <w:sz w:val="44"/>
          <w:szCs w:val="44"/>
        </w:rPr>
        <w:t xml:space="preserve"> </w:t>
      </w:r>
      <w:r>
        <w:rPr>
          <w:rFonts w:hint="eastAsia" w:ascii="宋体" w:hAnsi="宋体" w:cs="宋体"/>
          <w:sz w:val="44"/>
          <w:szCs w:val="44"/>
        </w:rPr>
        <w:t>标</w:t>
      </w:r>
      <w:r>
        <w:rPr>
          <w:rFonts w:eastAsia="Times New Roman"/>
          <w:sz w:val="44"/>
          <w:szCs w:val="44"/>
        </w:rPr>
        <w:t xml:space="preserve"> </w:t>
      </w:r>
      <w:r>
        <w:rPr>
          <w:rFonts w:hint="eastAsia" w:ascii="宋体" w:hAnsi="宋体" w:cs="宋体"/>
          <w:sz w:val="44"/>
          <w:szCs w:val="44"/>
        </w:rPr>
        <w:t>函</w:t>
      </w:r>
      <w:bookmarkEnd w:id="354"/>
    </w:p>
    <w:p w14:paraId="6BF7DEBF">
      <w:pPr>
        <w:rPr>
          <w:rFonts w:hint="eastAsia" w:asciiTheme="minorEastAsia" w:hAnsiTheme="minorEastAsia"/>
          <w:sz w:val="28"/>
          <w:szCs w:val="28"/>
        </w:rPr>
      </w:pPr>
      <w:r>
        <w:rPr>
          <w:rFonts w:hint="eastAsia" w:asciiTheme="minorEastAsia" w:hAnsiTheme="minorEastAsia"/>
          <w:sz w:val="28"/>
          <w:szCs w:val="28"/>
        </w:rPr>
        <w:t>致：</w:t>
      </w:r>
      <w:r>
        <w:rPr>
          <w:rFonts w:asciiTheme="minorEastAsia" w:hAnsiTheme="minorEastAsia"/>
          <w:sz w:val="28"/>
          <w:szCs w:val="28"/>
          <w:u w:val="single"/>
        </w:rPr>
        <w:t>(</w:t>
      </w:r>
      <w:r>
        <w:rPr>
          <w:rFonts w:hint="eastAsia" w:asciiTheme="minorEastAsia" w:hAnsiTheme="minorEastAsia"/>
          <w:sz w:val="28"/>
          <w:szCs w:val="28"/>
          <w:u w:val="single"/>
        </w:rPr>
        <w:t>采购人名称</w:t>
      </w:r>
      <w:r>
        <w:rPr>
          <w:rFonts w:asciiTheme="minorEastAsia" w:hAnsiTheme="minorEastAsia"/>
          <w:sz w:val="28"/>
          <w:szCs w:val="28"/>
          <w:u w:val="single"/>
        </w:rPr>
        <w:t>)</w:t>
      </w:r>
      <w:r>
        <w:rPr>
          <w:rFonts w:hint="eastAsia" w:asciiTheme="minorEastAsia" w:hAnsiTheme="minorEastAsia"/>
          <w:sz w:val="28"/>
          <w:szCs w:val="28"/>
        </w:rPr>
        <w:t>：</w:t>
      </w:r>
    </w:p>
    <w:p w14:paraId="592192B6">
      <w:pPr>
        <w:spacing w:line="520" w:lineRule="exact"/>
        <w:ind w:firstLine="560" w:firstLineChars="200"/>
        <w:rPr>
          <w:rFonts w:hint="eastAsia" w:asciiTheme="minorEastAsia" w:hAnsiTheme="minorEastAsia"/>
          <w:sz w:val="28"/>
          <w:szCs w:val="28"/>
        </w:rPr>
      </w:pPr>
      <w:r>
        <w:rPr>
          <w:rFonts w:hint="eastAsia" w:asciiTheme="minorEastAsia" w:hAnsiTheme="minorEastAsia"/>
          <w:sz w:val="28"/>
          <w:szCs w:val="28"/>
        </w:rPr>
        <w:t>根据</w:t>
      </w:r>
      <w:r>
        <w:rPr>
          <w:rFonts w:asciiTheme="minorEastAsia" w:hAnsiTheme="minorEastAsia"/>
          <w:sz w:val="28"/>
          <w:szCs w:val="28"/>
          <w:u w:val="single"/>
        </w:rPr>
        <w:t xml:space="preserve">   </w:t>
      </w:r>
      <w:r>
        <w:rPr>
          <w:rFonts w:hint="eastAsia" w:asciiTheme="minorEastAsia" w:hAnsiTheme="minorEastAsia"/>
          <w:sz w:val="28"/>
          <w:szCs w:val="28"/>
          <w:u w:val="single"/>
        </w:rPr>
        <w:t>（项目名称）</w:t>
      </w:r>
      <w:r>
        <w:rPr>
          <w:rFonts w:asciiTheme="minorEastAsia" w:hAnsiTheme="minorEastAsia"/>
          <w:sz w:val="28"/>
          <w:szCs w:val="28"/>
          <w:u w:val="single"/>
        </w:rPr>
        <w:t xml:space="preserve">    </w:t>
      </w:r>
      <w:r>
        <w:rPr>
          <w:rFonts w:hint="eastAsia" w:asciiTheme="minorEastAsia" w:hAnsiTheme="minorEastAsia"/>
          <w:sz w:val="28"/>
          <w:szCs w:val="28"/>
        </w:rPr>
        <w:t>招标文件的所有条款要求，遵照《中华人民共和国政府采购法》、《中华人民共和国政府采购法实施条例》等有关规定，我方承诺如下：</w:t>
      </w:r>
    </w:p>
    <w:p w14:paraId="0470A6F0">
      <w:pPr>
        <w:spacing w:line="520" w:lineRule="exact"/>
        <w:ind w:firstLine="560" w:firstLineChars="200"/>
        <w:rPr>
          <w:rFonts w:hint="eastAsia" w:asciiTheme="minorEastAsia" w:hAnsiTheme="minorEastAsia"/>
          <w:sz w:val="28"/>
          <w:szCs w:val="28"/>
        </w:rPr>
      </w:pPr>
      <w:r>
        <w:rPr>
          <w:rFonts w:asciiTheme="minorEastAsia" w:hAnsiTheme="minorEastAsia"/>
          <w:sz w:val="28"/>
          <w:szCs w:val="28"/>
        </w:rPr>
        <w:t>1</w:t>
      </w:r>
      <w:r>
        <w:rPr>
          <w:rFonts w:hint="eastAsia" w:asciiTheme="minorEastAsia" w:hAnsiTheme="minorEastAsia"/>
          <w:sz w:val="28"/>
          <w:szCs w:val="28"/>
        </w:rPr>
        <w:t>、投标价格为（大写）：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。如我方中标，投标总价即为合同价，在履行合同约定的责任和义务的过程中不再要求调增。</w:t>
      </w:r>
    </w:p>
    <w:p w14:paraId="3E619E29">
      <w:pPr>
        <w:spacing w:line="520" w:lineRule="exact"/>
        <w:ind w:firstLine="560" w:firstLineChars="200"/>
        <w:rPr>
          <w:rFonts w:hint="eastAsia" w:asciiTheme="minorEastAsia" w:hAnsiTheme="minorEastAsia"/>
          <w:sz w:val="28"/>
          <w:szCs w:val="28"/>
        </w:rPr>
      </w:pPr>
      <w:r>
        <w:rPr>
          <w:rFonts w:hint="eastAsia" w:asciiTheme="minorEastAsia" w:hAnsiTheme="minorEastAsia"/>
          <w:sz w:val="28"/>
          <w:szCs w:val="28"/>
        </w:rPr>
        <w:t>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w:t>
      </w:r>
      <w:r>
        <w:rPr>
          <w:rFonts w:asciiTheme="minorEastAsia" w:hAnsiTheme="minorEastAsia"/>
          <w:sz w:val="28"/>
          <w:szCs w:val="28"/>
        </w:rPr>
        <w:t xml:space="preserve"> </w:t>
      </w:r>
    </w:p>
    <w:p w14:paraId="752C7E8D">
      <w:pPr>
        <w:spacing w:line="520" w:lineRule="exact"/>
        <w:ind w:firstLine="560" w:firstLineChars="200"/>
        <w:rPr>
          <w:rFonts w:hint="eastAsia" w:asciiTheme="minorEastAsia" w:hAnsiTheme="minorEastAsia"/>
          <w:sz w:val="28"/>
          <w:szCs w:val="28"/>
        </w:rPr>
      </w:pPr>
      <w:r>
        <w:rPr>
          <w:rFonts w:hint="eastAsia" w:asciiTheme="minorEastAsia" w:hAnsiTheme="minorEastAsia"/>
          <w:sz w:val="28"/>
          <w:szCs w:val="28"/>
        </w:rPr>
        <w:t>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。在投标有效期内我方同意遵守本投标文件中的承诺且在此期限期满之前投标文件对我方具有法律约束力。</w:t>
      </w:r>
    </w:p>
    <w:p w14:paraId="44706115">
      <w:pPr>
        <w:spacing w:line="520" w:lineRule="exact"/>
        <w:ind w:firstLine="560" w:firstLineChars="200"/>
        <w:rPr>
          <w:rFonts w:hint="eastAsia" w:asciiTheme="minorEastAsia" w:hAnsiTheme="minorEastAsia"/>
          <w:sz w:val="28"/>
          <w:szCs w:val="28"/>
        </w:rPr>
      </w:pPr>
      <w:r>
        <w:rPr>
          <w:rFonts w:hint="eastAsia" w:asciiTheme="minorEastAsia" w:hAnsiTheme="minorEastAsia"/>
          <w:sz w:val="28"/>
          <w:szCs w:val="28"/>
        </w:rPr>
        <w:t>4、我方已详细审查全部招标文件。我们完全理解并同意放弃对这方面有不明及误解的权力。</w:t>
      </w:r>
    </w:p>
    <w:p w14:paraId="4306BACD">
      <w:pPr>
        <w:spacing w:line="520" w:lineRule="exact"/>
        <w:ind w:firstLine="560" w:firstLineChars="200"/>
        <w:rPr>
          <w:rFonts w:hint="eastAsia" w:asciiTheme="minorEastAsia" w:hAnsiTheme="minorEastAsia"/>
          <w:sz w:val="28"/>
          <w:szCs w:val="28"/>
        </w:rPr>
      </w:pPr>
      <w:r>
        <w:rPr>
          <w:rFonts w:hint="eastAsia" w:asciiTheme="minorEastAsia" w:hAnsiTheme="minorEastAsia"/>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66CB046E">
      <w:pPr>
        <w:pStyle w:val="9"/>
      </w:pPr>
    </w:p>
    <w:p w14:paraId="202EFCC4">
      <w:pPr>
        <w:spacing w:line="520" w:lineRule="exact"/>
        <w:ind w:right="560" w:firstLine="3080" w:firstLineChars="1100"/>
        <w:rPr>
          <w:rFonts w:hint="eastAsia" w:asciiTheme="minorEastAsia" w:hAnsiTheme="minorEastAsia"/>
          <w:sz w:val="28"/>
          <w:szCs w:val="28"/>
        </w:rPr>
      </w:pPr>
      <w:r>
        <w:rPr>
          <w:rFonts w:hint="eastAsia" w:asciiTheme="minorEastAsia" w:hAnsiTheme="minorEastAsia"/>
          <w:sz w:val="28"/>
          <w:szCs w:val="28"/>
        </w:rPr>
        <w:t>投标人名称(盖法人章)：</w:t>
      </w:r>
    </w:p>
    <w:p w14:paraId="7B2B6BAD">
      <w:pPr>
        <w:spacing w:line="520" w:lineRule="exact"/>
        <w:ind w:firstLine="3080" w:firstLineChars="1100"/>
        <w:rPr>
          <w:rFonts w:hint="eastAsia" w:asciiTheme="minorEastAsia" w:hAnsiTheme="minorEastAsia"/>
          <w:sz w:val="28"/>
          <w:szCs w:val="28"/>
        </w:rPr>
      </w:pPr>
      <w:r>
        <w:rPr>
          <w:rFonts w:hint="eastAsia" w:asciiTheme="minorEastAsia" w:hAnsiTheme="minorEastAsia"/>
          <w:sz w:val="28"/>
          <w:szCs w:val="28"/>
        </w:rPr>
        <w:t>法定代表人 (签字或签章)：</w:t>
      </w:r>
    </w:p>
    <w:p w14:paraId="5A642673">
      <w:pPr>
        <w:spacing w:line="520" w:lineRule="exact"/>
        <w:ind w:firstLine="3080" w:firstLineChars="1100"/>
        <w:rPr>
          <w:rFonts w:hint="eastAsia" w:asciiTheme="minorEastAsia" w:hAnsiTheme="minorEastAsia"/>
          <w:sz w:val="28"/>
          <w:szCs w:val="28"/>
        </w:rPr>
      </w:pPr>
      <w:r>
        <w:rPr>
          <w:rFonts w:hint="eastAsia" w:asciiTheme="minorEastAsia" w:hAnsiTheme="minorEastAsia"/>
          <w:sz w:val="28"/>
          <w:szCs w:val="28"/>
        </w:rPr>
        <w:t>日期：   年  月   日</w:t>
      </w:r>
    </w:p>
    <w:p w14:paraId="610C48C4">
      <w:pPr>
        <w:widowControl/>
        <w:spacing w:line="500" w:lineRule="exact"/>
        <w:jc w:val="left"/>
        <w:rPr>
          <w:rFonts w:hint="eastAsia" w:ascii="楷体" w:hAnsi="楷体" w:eastAsia="楷体" w:cs="宋体"/>
          <w:b/>
          <w:sz w:val="32"/>
          <w:szCs w:val="32"/>
        </w:rPr>
      </w:pPr>
      <w:r>
        <w:rPr>
          <w:rFonts w:asciiTheme="minorEastAsia" w:hAnsiTheme="minorEastAsia"/>
          <w:sz w:val="28"/>
          <w:szCs w:val="28"/>
        </w:rPr>
        <w:br w:type="page"/>
      </w:r>
      <w:r>
        <w:rPr>
          <w:rFonts w:hint="eastAsia" w:ascii="楷体" w:hAnsi="楷体" w:eastAsia="楷体" w:cs="宋体"/>
          <w:b/>
          <w:sz w:val="32"/>
          <w:szCs w:val="32"/>
        </w:rPr>
        <w:t>3.4供应商资格条件证明文件</w:t>
      </w:r>
    </w:p>
    <w:p w14:paraId="08B794DE">
      <w:pPr>
        <w:pStyle w:val="7"/>
        <w:spacing w:line="5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（1）供应商基本资格条件承诺函</w:t>
      </w:r>
    </w:p>
    <w:p w14:paraId="5B46461C">
      <w:pPr>
        <w:pStyle w:val="7"/>
        <w:spacing w:line="500" w:lineRule="exact"/>
        <w:jc w:val="center"/>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供应商基本资格条件承诺函</w:t>
      </w:r>
    </w:p>
    <w:p w14:paraId="351325E8">
      <w:pPr>
        <w:adjustRightInd w:val="0"/>
        <w:snapToGrid w:val="0"/>
        <w:spacing w:line="500" w:lineRule="exact"/>
        <w:ind w:firstLine="560" w:firstLineChars="200"/>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一、按照《政府采购法》第二十二条规定的供应商基本资格条件，我公司郑重承诺如下：</w:t>
      </w:r>
    </w:p>
    <w:p w14:paraId="30AD5C13">
      <w:pPr>
        <w:pStyle w:val="7"/>
        <w:adjustRightInd w:val="0"/>
        <w:snapToGrid w:val="0"/>
        <w:spacing w:line="500" w:lineRule="exact"/>
        <w:ind w:firstLine="560" w:firstLineChars="200"/>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1.我公司具有</w:t>
      </w:r>
      <w:r>
        <w:rPr>
          <w:rFonts w:hint="eastAsia" w:asciiTheme="minorEastAsia" w:hAnsiTheme="minorEastAsia" w:eastAsiaTheme="minorEastAsia"/>
          <w:sz w:val="28"/>
          <w:szCs w:val="28"/>
          <w:shd w:val="clear" w:color="auto" w:fill="FFFFFF"/>
        </w:rPr>
        <w:t>良好的商业信誉和健全的财务制度；</w:t>
      </w:r>
    </w:p>
    <w:p w14:paraId="5682B881">
      <w:pPr>
        <w:pStyle w:val="7"/>
        <w:adjustRightInd w:val="0"/>
        <w:snapToGrid w:val="0"/>
        <w:spacing w:line="500" w:lineRule="exact"/>
        <w:ind w:firstLine="560" w:firstLineChars="200"/>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2.我公司具有履行合同所必须的设备和专业技术能力；</w:t>
      </w:r>
    </w:p>
    <w:p w14:paraId="7020DE62">
      <w:pPr>
        <w:pStyle w:val="7"/>
        <w:adjustRightInd w:val="0"/>
        <w:snapToGrid w:val="0"/>
        <w:spacing w:line="500" w:lineRule="exact"/>
        <w:ind w:firstLine="560" w:firstLineChars="200"/>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3.我公司具有依法缴纳税收和社会保障资金的良好记录；</w:t>
      </w:r>
    </w:p>
    <w:p w14:paraId="1D52FF32">
      <w:pPr>
        <w:pStyle w:val="7"/>
        <w:adjustRightInd w:val="0"/>
        <w:snapToGrid w:val="0"/>
        <w:spacing w:line="500" w:lineRule="exact"/>
        <w:ind w:firstLine="560" w:firstLineChars="200"/>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4.我公司参加政府采购活动前三年内，在经营活动中没有重大违法记录；</w:t>
      </w:r>
    </w:p>
    <w:p w14:paraId="0ED77167">
      <w:pPr>
        <w:pStyle w:val="7"/>
        <w:adjustRightInd w:val="0"/>
        <w:snapToGrid w:val="0"/>
        <w:spacing w:line="500" w:lineRule="exact"/>
        <w:ind w:firstLine="560" w:firstLineChars="200"/>
        <w:rPr>
          <w:rFonts w:hint="eastAsia"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w:t>
      </w:r>
    </w:p>
    <w:p w14:paraId="7EEAB653">
      <w:pPr>
        <w:pStyle w:val="7"/>
        <w:adjustRightInd w:val="0"/>
        <w:snapToGrid w:val="0"/>
        <w:spacing w:line="500" w:lineRule="exact"/>
        <w:ind w:firstLine="560" w:firstLineChars="200"/>
        <w:rPr>
          <w:rFonts w:hint="eastAsia" w:asciiTheme="minorEastAsia" w:hAnsiTheme="minorEastAsia" w:eastAsiaTheme="minorEastAsia"/>
          <w:kern w:val="2"/>
          <w:sz w:val="28"/>
          <w:szCs w:val="28"/>
        </w:rPr>
      </w:pPr>
      <w:r>
        <w:rPr>
          <w:rFonts w:hint="eastAsia" w:asciiTheme="minorEastAsia" w:hAnsiTheme="minorEastAsia" w:eastAsiaTheme="minorEastAsia"/>
          <w:sz w:val="28"/>
          <w:szCs w:val="28"/>
          <w:shd w:val="clear" w:color="auto" w:fill="FFFFFF"/>
        </w:rPr>
        <w:t>二、</w:t>
      </w:r>
      <w:r>
        <w:rPr>
          <w:rFonts w:hint="eastAsia" w:asciiTheme="minorEastAsia" w:hAnsiTheme="minorEastAsia" w:eastAsiaTheme="minorEastAsia"/>
          <w:sz w:val="28"/>
          <w:szCs w:val="28"/>
        </w:rPr>
        <w:t>我公司承诺：在本次投标过程中，我公司不存在本项目招标文件第二章第1.4.3条所列情形之一。</w:t>
      </w:r>
    </w:p>
    <w:p w14:paraId="6AC2DDC9">
      <w:pPr>
        <w:adjustRightInd w:val="0"/>
        <w:snapToGrid w:val="0"/>
        <w:spacing w:before="156" w:beforeLines="50" w:line="500" w:lineRule="exact"/>
        <w:ind w:firstLine="3920" w:firstLineChars="1400"/>
        <w:rPr>
          <w:rFonts w:hint="eastAsia" w:asciiTheme="minorEastAsia" w:hAnsiTheme="minorEastAsia" w:eastAsiaTheme="minorEastAsia"/>
          <w:sz w:val="28"/>
          <w:szCs w:val="28"/>
        </w:rPr>
      </w:pPr>
    </w:p>
    <w:p w14:paraId="2AE97CB4">
      <w:pPr>
        <w:adjustRightInd w:val="0"/>
        <w:snapToGrid w:val="0"/>
        <w:spacing w:before="156" w:beforeLines="50" w:line="500" w:lineRule="exact"/>
        <w:ind w:firstLine="3920" w:firstLineChars="1400"/>
        <w:rPr>
          <w:rFonts w:hint="eastAsia" w:asciiTheme="minorEastAsia" w:hAnsiTheme="minorEastAsia" w:eastAsiaTheme="minorEastAsia"/>
          <w:sz w:val="28"/>
          <w:szCs w:val="28"/>
        </w:rPr>
      </w:pPr>
      <w:r>
        <w:rPr>
          <w:rFonts w:asciiTheme="minorEastAsia" w:hAnsiTheme="minorEastAsia" w:eastAsiaTheme="minorEastAsia"/>
          <w:sz w:val="28"/>
          <w:szCs w:val="28"/>
        </w:rPr>
        <w:t>投标人名称(盖法人章)：</w:t>
      </w:r>
    </w:p>
    <w:p w14:paraId="74553035">
      <w:pPr>
        <w:adjustRightInd w:val="0"/>
        <w:snapToGrid w:val="0"/>
        <w:spacing w:before="156" w:beforeLines="50" w:line="500" w:lineRule="exact"/>
        <w:ind w:firstLine="3920" w:firstLineChars="1400"/>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签字或签章</w:t>
      </w:r>
      <w:r>
        <w:rPr>
          <w:rFonts w:asciiTheme="minorEastAsia" w:hAnsiTheme="minorEastAsia" w:eastAsiaTheme="minorEastAsia"/>
          <w:sz w:val="28"/>
          <w:szCs w:val="28"/>
        </w:rPr>
        <w:t>)</w:t>
      </w:r>
      <w:r>
        <w:rPr>
          <w:rFonts w:hint="eastAsia" w:asciiTheme="minorEastAsia" w:hAnsiTheme="minorEastAsia" w:eastAsiaTheme="minorEastAsia"/>
          <w:sz w:val="28"/>
          <w:szCs w:val="28"/>
        </w:rPr>
        <w:t>：</w:t>
      </w:r>
    </w:p>
    <w:p w14:paraId="2708D63B">
      <w:pPr>
        <w:adjustRightInd w:val="0"/>
        <w:snapToGrid w:val="0"/>
        <w:spacing w:before="156" w:beforeLines="50" w:line="500" w:lineRule="exact"/>
        <w:ind w:firstLine="3920" w:firstLineChars="14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日期：   年  月   日</w:t>
      </w:r>
    </w:p>
    <w:p w14:paraId="5DFE0621">
      <w:pPr>
        <w:pStyle w:val="7"/>
        <w:adjustRightInd w:val="0"/>
        <w:snapToGrid w:val="0"/>
        <w:spacing w:line="500" w:lineRule="exact"/>
        <w:rPr>
          <w:rFonts w:hint="eastAsia" w:asciiTheme="minorEastAsia" w:hAnsiTheme="minorEastAsia" w:eastAsiaTheme="minorEastAsia"/>
          <w:b/>
          <w:sz w:val="28"/>
          <w:szCs w:val="28"/>
        </w:rPr>
      </w:pPr>
    </w:p>
    <w:p w14:paraId="3EAA8E09">
      <w:pPr>
        <w:pStyle w:val="7"/>
        <w:adjustRightInd w:val="0"/>
        <w:snapToGrid w:val="0"/>
        <w:spacing w:line="50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（2）</w:t>
      </w:r>
      <w:r>
        <w:rPr>
          <w:rFonts w:hint="eastAsia" w:cs="宋体" w:asciiTheme="minorEastAsia" w:hAnsiTheme="minorEastAsia" w:eastAsiaTheme="minorEastAsia"/>
          <w:b/>
          <w:sz w:val="28"/>
          <w:szCs w:val="28"/>
        </w:rPr>
        <w:t>招标文件要求的其他资格条件及证明材料</w:t>
      </w:r>
    </w:p>
    <w:p w14:paraId="1FF2089F">
      <w:pPr>
        <w:pStyle w:val="7"/>
        <w:adjustRightInd w:val="0"/>
        <w:snapToGrid w:val="0"/>
        <w:spacing w:line="500" w:lineRule="exact"/>
        <w:ind w:firstLine="560" w:firstLineChars="200"/>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1.具有有效的营业执照（附证书的复印件）；</w:t>
      </w:r>
    </w:p>
    <w:p w14:paraId="107795AD">
      <w:pPr>
        <w:pStyle w:val="7"/>
        <w:adjustRightInd w:val="0"/>
        <w:snapToGrid w:val="0"/>
        <w:spacing w:line="500" w:lineRule="exact"/>
        <w:ind w:firstLine="560" w:firstLineChars="200"/>
        <w:rPr>
          <w:rFonts w:hint="eastAsia" w:ascii="楷体" w:hAnsi="楷体" w:eastAsia="楷体" w:cs="宋体"/>
          <w:b/>
          <w:sz w:val="28"/>
          <w:szCs w:val="28"/>
        </w:rPr>
      </w:pPr>
      <w:r>
        <w:rPr>
          <w:rFonts w:hint="eastAsia" w:cs="宋体" w:asciiTheme="minorEastAsia" w:hAnsiTheme="minorEastAsia" w:eastAsiaTheme="minorEastAsia"/>
          <w:sz w:val="28"/>
          <w:szCs w:val="28"/>
        </w:rPr>
        <w:t>2.中小企业声明函（参考格式附后）。</w:t>
      </w:r>
    </w:p>
    <w:p w14:paraId="3CEE2AAA">
      <w:pPr>
        <w:widowControl/>
        <w:jc w:val="left"/>
        <w:rPr>
          <w:rFonts w:hint="eastAsia" w:cs="宋体" w:asciiTheme="majorEastAsia" w:hAnsiTheme="majorEastAsia" w:eastAsiaTheme="majorEastAsia"/>
          <w:sz w:val="30"/>
          <w:szCs w:val="30"/>
        </w:rPr>
      </w:pPr>
      <w:r>
        <w:rPr>
          <w:rFonts w:cs="宋体" w:asciiTheme="majorEastAsia" w:hAnsiTheme="majorEastAsia" w:eastAsiaTheme="majorEastAsia"/>
          <w:b/>
          <w:sz w:val="30"/>
          <w:szCs w:val="30"/>
        </w:rPr>
        <w:br w:type="page"/>
      </w:r>
      <w:r>
        <w:rPr>
          <w:rFonts w:hint="eastAsia" w:cs="宋体" w:asciiTheme="majorEastAsia" w:hAnsiTheme="majorEastAsia" w:eastAsiaTheme="majorEastAsia"/>
          <w:b/>
          <w:sz w:val="30"/>
          <w:szCs w:val="30"/>
        </w:rPr>
        <w:t>附件：中小企业声明函</w:t>
      </w:r>
    </w:p>
    <w:p w14:paraId="736ECF49">
      <w:pPr>
        <w:spacing w:line="440" w:lineRule="exact"/>
        <w:jc w:val="center"/>
        <w:rPr>
          <w:rFonts w:ascii="黑体" w:eastAsia="黑体"/>
          <w:bCs/>
          <w:sz w:val="32"/>
          <w:szCs w:val="32"/>
        </w:rPr>
      </w:pPr>
      <w:r>
        <w:rPr>
          <w:rFonts w:hint="eastAsia" w:ascii="黑体" w:eastAsia="黑体"/>
          <w:bCs/>
          <w:sz w:val="32"/>
          <w:szCs w:val="32"/>
        </w:rPr>
        <w:t>中小企业声明函</w:t>
      </w:r>
    </w:p>
    <w:p w14:paraId="0F3BDFD3">
      <w:pPr>
        <w:spacing w:line="440" w:lineRule="exact"/>
        <w:ind w:firstLine="570"/>
        <w:rPr>
          <w:rFonts w:hint="eastAsia" w:cs="宋体" w:asciiTheme="minorEastAsia" w:hAnsiTheme="minorEastAsia"/>
          <w:sz w:val="28"/>
          <w:szCs w:val="28"/>
        </w:rPr>
      </w:pPr>
      <w:r>
        <w:rPr>
          <w:rFonts w:hint="eastAsia" w:cs="宋体" w:asciiTheme="minorEastAsia" w:hAnsiTheme="minorEastAsia"/>
          <w:sz w:val="28"/>
          <w:szCs w:val="28"/>
        </w:rPr>
        <w:t>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采购活动，提供的货物或服务全部由符合政策要求的小微企业提供。相关企业（含联合体中的中小企业、签订分包意向协议的中小企业）的具体情况如下：</w:t>
      </w:r>
    </w:p>
    <w:p w14:paraId="774602C7">
      <w:pPr>
        <w:spacing w:line="440" w:lineRule="exact"/>
        <w:ind w:firstLine="560" w:firstLineChars="200"/>
        <w:rPr>
          <w:rFonts w:hint="eastAsia" w:cs="宋体" w:asciiTheme="minorEastAsia" w:hAnsiTheme="minorEastAsia"/>
          <w:sz w:val="28"/>
          <w:szCs w:val="28"/>
          <w:u w:val="single"/>
        </w:rPr>
      </w:pPr>
      <w:r>
        <w:rPr>
          <w:rFonts w:hint="eastAsia" w:cs="宋体" w:asciiTheme="minorEastAsia" w:hAnsiTheme="minorEastAsia"/>
          <w:sz w:val="28"/>
          <w:szCs w:val="28"/>
        </w:rPr>
        <w:t>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4F6A959B">
      <w:pPr>
        <w:spacing w:line="440" w:lineRule="exact"/>
        <w:ind w:firstLine="560" w:firstLineChars="200"/>
        <w:rPr>
          <w:rFonts w:hint="eastAsia" w:cs="宋体" w:asciiTheme="minorEastAsia" w:hAnsiTheme="minorEastAsia"/>
          <w:sz w:val="28"/>
          <w:szCs w:val="28"/>
          <w:u w:val="single"/>
        </w:rPr>
      </w:pPr>
      <w:r>
        <w:rPr>
          <w:rFonts w:hint="eastAsia" w:cs="宋体" w:asciiTheme="minorEastAsia" w:hAnsiTheme="minorEastAsia"/>
          <w:sz w:val="28"/>
          <w:szCs w:val="28"/>
        </w:rPr>
        <w:t>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15741780">
      <w:pPr>
        <w:pStyle w:val="34"/>
        <w:spacing w:line="440" w:lineRule="exact"/>
        <w:ind w:left="930" w:firstLine="0" w:firstLineChars="0"/>
        <w:rPr>
          <w:rFonts w:hint="eastAsia" w:ascii="ΟGB2312" w:hAnsi="宋体" w:eastAsia="ΟGB2312" w:cs="宋体"/>
          <w:sz w:val="28"/>
          <w:szCs w:val="28"/>
        </w:rPr>
      </w:pPr>
      <w:r>
        <w:rPr>
          <w:rFonts w:ascii="ΟGB2312" w:hAnsi="宋体" w:eastAsia="ΟGB2312" w:cs="宋体"/>
          <w:sz w:val="28"/>
          <w:szCs w:val="28"/>
        </w:rPr>
        <w:t>……</w:t>
      </w:r>
    </w:p>
    <w:p w14:paraId="68DABAE5">
      <w:pPr>
        <w:spacing w:line="440" w:lineRule="exact"/>
        <w:ind w:firstLine="560" w:firstLineChars="200"/>
        <w:rPr>
          <w:rFonts w:hint="eastAsia" w:ascii="ΟGB2312" w:hAnsi="宋体" w:eastAsia="ΟGB2312" w:cs="宋体"/>
          <w:sz w:val="28"/>
          <w:szCs w:val="28"/>
        </w:rPr>
      </w:pPr>
      <w:r>
        <w:rPr>
          <w:rFonts w:hint="eastAsia" w:ascii="ΟGB2312" w:hAnsi="宋体" w:eastAsia="ΟGB2312" w:cs="宋体"/>
          <w:sz w:val="28"/>
          <w:szCs w:val="28"/>
        </w:rPr>
        <w:t>以上企业，不属于大企业的分支机构，不存在控股股东为大企业的情形，也不存在与大企业的负责人为同一人的情形。</w:t>
      </w:r>
    </w:p>
    <w:p w14:paraId="79C95B2F">
      <w:pPr>
        <w:spacing w:line="440" w:lineRule="exact"/>
        <w:ind w:firstLine="570"/>
        <w:rPr>
          <w:rFonts w:hint="eastAsia" w:ascii="ΟGB2312" w:hAnsi="宋体" w:eastAsia="ΟGB2312" w:cs="宋体"/>
          <w:sz w:val="28"/>
          <w:szCs w:val="28"/>
        </w:rPr>
      </w:pPr>
      <w:r>
        <w:rPr>
          <w:rFonts w:hint="eastAsia" w:ascii="ΟGB2312" w:hAnsi="宋体" w:eastAsia="ΟGB2312" w:cs="宋体"/>
          <w:sz w:val="28"/>
          <w:szCs w:val="28"/>
        </w:rPr>
        <w:t>本企业对上述声明内容的真实性负责。如有虚假，将依法承担相应责任。</w:t>
      </w:r>
    </w:p>
    <w:p w14:paraId="78D7CA9E">
      <w:pPr>
        <w:spacing w:line="440" w:lineRule="exact"/>
        <w:ind w:firstLine="4760" w:firstLineChars="1700"/>
        <w:rPr>
          <w:rFonts w:hint="eastAsia" w:ascii="ΟGB2312" w:hAnsi="宋体" w:eastAsia="ΟGB2312" w:cs="宋体"/>
          <w:sz w:val="28"/>
          <w:szCs w:val="28"/>
        </w:rPr>
      </w:pPr>
      <w:r>
        <w:rPr>
          <w:rFonts w:hint="eastAsia" w:ascii="ΟGB2312" w:hAnsi="宋体" w:eastAsia="ΟGB2312" w:cs="宋体"/>
          <w:sz w:val="28"/>
          <w:szCs w:val="28"/>
        </w:rPr>
        <w:t>企业名称（盖章）：</w:t>
      </w:r>
    </w:p>
    <w:p w14:paraId="352FBA1F">
      <w:pPr>
        <w:spacing w:line="440" w:lineRule="exact"/>
        <w:ind w:firstLine="4760" w:firstLineChars="1700"/>
        <w:rPr>
          <w:rFonts w:hint="eastAsia" w:ascii="ΟGB2312" w:hAnsi="宋体" w:eastAsia="ΟGB2312" w:cs="宋体"/>
          <w:sz w:val="28"/>
          <w:szCs w:val="28"/>
        </w:rPr>
      </w:pPr>
      <w:r>
        <w:rPr>
          <w:rFonts w:hint="eastAsia" w:ascii="ΟGB2312" w:hAnsi="宋体" w:eastAsia="ΟGB2312" w:cs="宋体"/>
          <w:sz w:val="28"/>
          <w:szCs w:val="28"/>
        </w:rPr>
        <w:t>日  期：</w:t>
      </w:r>
    </w:p>
    <w:p w14:paraId="3918BA25">
      <w:pPr>
        <w:pStyle w:val="40"/>
        <w:spacing w:line="440" w:lineRule="exact"/>
        <w:textAlignment w:val="center"/>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t>注：1、从业人员、营业收入填报上一年度数据，无上一年度数据的新成立企业可不填报。</w:t>
      </w:r>
    </w:p>
    <w:p w14:paraId="75F86CFD">
      <w:pPr>
        <w:spacing w:line="440" w:lineRule="exact"/>
        <w:ind w:firstLine="560" w:firstLineChars="200"/>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t>2、供应商如不提供此声明函，价格将不做相应扣除。</w:t>
      </w:r>
    </w:p>
    <w:p w14:paraId="7A026253">
      <w:pPr>
        <w:spacing w:line="440" w:lineRule="exact"/>
        <w:ind w:firstLine="560" w:firstLineChars="200"/>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t>3、供应商提供的声明函内容不实的，属于提供虚假材料谋取中标，依照《中华人民共和国政府采购法》等国家有关规定追究相应责任。</w:t>
      </w:r>
    </w:p>
    <w:p w14:paraId="22DD8023">
      <w:pPr>
        <w:spacing w:line="440" w:lineRule="exact"/>
        <w:ind w:firstLine="560" w:firstLineChars="200"/>
        <w:rPr>
          <w:rFonts w:hint="eastAsia" w:cs="宋体" w:asciiTheme="majorEastAsia" w:hAnsiTheme="majorEastAsia" w:eastAsiaTheme="majorEastAsia"/>
          <w:sz w:val="28"/>
          <w:szCs w:val="28"/>
        </w:rPr>
      </w:pPr>
    </w:p>
    <w:p w14:paraId="6B426C3E">
      <w:pPr>
        <w:jc w:val="both"/>
        <w:outlineLvl w:val="0"/>
        <w:rPr>
          <w:rFonts w:hint="eastAsia" w:ascii="方正魏碑_GBK" w:hAnsi="方正魏碑_GBK" w:eastAsia="方正魏碑_GBK" w:cs="方正魏碑_GBK"/>
          <w:b/>
          <w:color w:val="FF0000"/>
          <w:sz w:val="24"/>
          <w:szCs w:val="24"/>
        </w:rPr>
      </w:pPr>
      <w:bookmarkStart w:id="355" w:name="_Toc17840"/>
    </w:p>
    <w:p w14:paraId="303587C7">
      <w:pPr>
        <w:jc w:val="both"/>
        <w:outlineLvl w:val="0"/>
        <w:rPr>
          <w:rFonts w:hint="eastAsia" w:ascii="方正魏碑_GBK" w:hAnsi="方正魏碑_GBK" w:eastAsia="方正魏碑_GBK" w:cs="方正魏碑_GBK"/>
          <w:b/>
          <w:color w:val="FF0000"/>
          <w:sz w:val="24"/>
          <w:szCs w:val="24"/>
        </w:rPr>
      </w:pPr>
    </w:p>
    <w:p w14:paraId="3BF51C2B">
      <w:pPr>
        <w:jc w:val="both"/>
        <w:outlineLvl w:val="0"/>
        <w:rPr>
          <w:rFonts w:hint="eastAsia" w:ascii="方正魏碑_GBK" w:hAnsi="方正魏碑_GBK" w:eastAsia="方正魏碑_GBK" w:cs="方正魏碑_GBK"/>
          <w:b/>
          <w:color w:val="FF0000"/>
          <w:sz w:val="24"/>
          <w:szCs w:val="24"/>
        </w:rPr>
      </w:pPr>
    </w:p>
    <w:p w14:paraId="64F72E09">
      <w:pPr>
        <w:jc w:val="both"/>
        <w:outlineLvl w:val="0"/>
        <w:rPr>
          <w:rFonts w:hint="eastAsia" w:ascii="方正魏碑_GBK" w:hAnsi="方正魏碑_GBK" w:eastAsia="方正魏碑_GBK" w:cs="方正魏碑_GBK"/>
          <w:b/>
          <w:color w:val="FF0000"/>
          <w:sz w:val="24"/>
          <w:szCs w:val="24"/>
        </w:rPr>
      </w:pPr>
    </w:p>
    <w:p w14:paraId="597DFBB5">
      <w:pPr>
        <w:widowControl/>
        <w:jc w:val="left"/>
        <w:rPr>
          <w:rFonts w:hint="eastAsia" w:cs="宋体" w:asciiTheme="majorEastAsia" w:hAnsiTheme="majorEastAsia" w:eastAsiaTheme="majorEastAsia"/>
          <w:b/>
          <w:sz w:val="30"/>
          <w:szCs w:val="30"/>
        </w:rPr>
      </w:pPr>
      <w:r>
        <w:rPr>
          <w:rFonts w:hint="eastAsia" w:cs="宋体" w:asciiTheme="majorEastAsia" w:hAnsiTheme="majorEastAsia" w:eastAsiaTheme="majorEastAsia"/>
          <w:b/>
          <w:sz w:val="30"/>
          <w:szCs w:val="30"/>
        </w:rPr>
        <w:t>附件</w:t>
      </w:r>
      <w:r>
        <w:rPr>
          <w:rFonts w:hint="eastAsia" w:cs="宋体" w:asciiTheme="majorEastAsia" w:hAnsiTheme="majorEastAsia" w:eastAsiaTheme="majorEastAsia"/>
          <w:b/>
          <w:sz w:val="30"/>
          <w:szCs w:val="30"/>
          <w:lang w:eastAsia="zh-CN"/>
        </w:rPr>
        <w:t>：</w:t>
      </w:r>
      <w:r>
        <w:rPr>
          <w:rFonts w:hint="eastAsia" w:cs="宋体" w:asciiTheme="majorEastAsia" w:hAnsiTheme="majorEastAsia" w:eastAsiaTheme="majorEastAsia"/>
          <w:b/>
          <w:sz w:val="30"/>
          <w:szCs w:val="30"/>
        </w:rPr>
        <w:t xml:space="preserve">  关于符合本国产品标准的声明函</w:t>
      </w:r>
      <w:bookmarkEnd w:id="355"/>
    </w:p>
    <w:p w14:paraId="6ABE0726">
      <w:pPr>
        <w:pStyle w:val="21"/>
        <w:spacing w:before="0" w:beforeAutospacing="0" w:after="0" w:afterAutospacing="0" w:line="0" w:lineRule="atLeast"/>
        <w:ind w:firstLine="420"/>
        <w:rPr>
          <w:rFonts w:ascii="方正魏碑_GBK" w:hAnsi="方正魏碑_GBK" w:eastAsia="方正魏碑_GBK" w:cs="方正魏碑_GBK"/>
          <w:color w:val="FF0000"/>
        </w:rPr>
      </w:pPr>
    </w:p>
    <w:p w14:paraId="38197E64">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pPr>
      <w:r>
        <w:rPr>
          <w:rFonts w:hint="eastAsia" w:ascii="宋体" w:hAnsi="宋体" w:eastAsia="宋体" w:cs="宋体"/>
          <w:color w:val="000000"/>
          <w:sz w:val="24"/>
          <w:szCs w:val="24"/>
        </w:rPr>
        <w:t>本公司（单位</w:t>
      </w:r>
      <w:bookmarkStart w:id="356" w:name="_GoBack"/>
      <w:r>
        <w:rPr>
          <w:rFonts w:hint="eastAsia" w:ascii="宋体" w:hAnsi="宋体" w:eastAsia="宋体" w:cs="宋体"/>
          <w:color w:val="000000"/>
          <w:sz w:val="24"/>
          <w:szCs w:val="24"/>
        </w:rPr>
        <w:t>）郑重声明，根据《国务院办公厅关于在政府采购中实施本国产品标准及相关政策的通知》（国办发〔2025〕34号）的规定，本公司（单位）提供的以下产品属于本国产品。具体情况如下：</w:t>
      </w:r>
    </w:p>
    <w:p w14:paraId="26A069CD">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4C46BDC5">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4451A428">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5EB49C48">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485C7B72">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7410636F">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5FCB8190">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33A21883">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379B8A5B">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3DC9CE18">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07A32006">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6FD68F0F">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7F4C557E">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6162428F">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4F8D5E6F">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64CACBB4">
      <w:pPr>
        <w:spacing w:line="440" w:lineRule="exact"/>
        <w:rPr>
          <w:rFonts w:hint="eastAsia" w:cs="宋体" w:asciiTheme="majorEastAsia" w:hAnsiTheme="majorEastAsia" w:eastAsiaTheme="majorEastAsia"/>
          <w:sz w:val="28"/>
          <w:szCs w:val="28"/>
        </w:rPr>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bookmarkEnd w:id="356"/>
    </w:p>
    <w:p w14:paraId="7A323A7F">
      <w:pPr>
        <w:widowControl/>
        <w:spacing w:line="440" w:lineRule="exact"/>
        <w:jc w:val="left"/>
        <w:rPr>
          <w:rFonts w:hint="eastAsia" w:ascii="楷体" w:hAnsi="楷体" w:eastAsia="楷体" w:cs="宋体"/>
          <w:b/>
          <w:sz w:val="28"/>
          <w:szCs w:val="28"/>
        </w:rPr>
      </w:pPr>
    </w:p>
    <w:p w14:paraId="3D73026C">
      <w:pPr>
        <w:widowControl/>
        <w:spacing w:line="440" w:lineRule="exact"/>
        <w:jc w:val="left"/>
        <w:rPr>
          <w:rFonts w:hint="eastAsia" w:ascii="楷体" w:hAnsi="楷体" w:eastAsia="楷体" w:cs="宋体"/>
          <w:b/>
          <w:sz w:val="28"/>
          <w:szCs w:val="28"/>
        </w:rPr>
      </w:pPr>
    </w:p>
    <w:p w14:paraId="27622A6B">
      <w:pPr>
        <w:widowControl/>
        <w:spacing w:line="440" w:lineRule="exact"/>
        <w:jc w:val="left"/>
        <w:rPr>
          <w:rFonts w:hint="eastAsia" w:ascii="楷体" w:hAnsi="楷体" w:eastAsia="楷体" w:cs="宋体"/>
          <w:b/>
          <w:sz w:val="32"/>
          <w:szCs w:val="32"/>
        </w:rPr>
      </w:pPr>
      <w:r>
        <w:rPr>
          <w:rFonts w:hint="eastAsia" w:ascii="楷体" w:hAnsi="楷体" w:eastAsia="楷体" w:cs="宋体"/>
          <w:b/>
          <w:sz w:val="32"/>
          <w:szCs w:val="32"/>
        </w:rPr>
        <w:t>3.5采购需求响应表（格式自拟）</w:t>
      </w:r>
    </w:p>
    <w:p w14:paraId="5CB7F85A">
      <w:pPr>
        <w:pStyle w:val="56"/>
        <w:spacing w:line="400" w:lineRule="exact"/>
        <w:ind w:firstLine="0"/>
        <w:jc w:val="both"/>
        <w:rPr>
          <w:rFonts w:hint="eastAsia" w:ascii="楷体" w:hAnsi="楷体" w:eastAsia="楷体" w:cs="宋体"/>
          <w:b/>
          <w:sz w:val="32"/>
          <w:szCs w:val="32"/>
        </w:rPr>
      </w:pPr>
      <w:bookmarkStart w:id="362" w:name="_GoBack"/>
      <w:bookmarkEnd w:id="362"/>
      <w:r>
        <w:rPr>
          <w:rFonts w:hint="eastAsia" w:ascii="楷体" w:hAnsi="楷体" w:eastAsia="楷体" w:cs="宋体"/>
          <w:b/>
          <w:sz w:val="32"/>
          <w:szCs w:val="32"/>
        </w:rPr>
        <w:t>3.6附件：</w:t>
      </w:r>
    </w:p>
    <w:p w14:paraId="1E91C0AC">
      <w:pPr>
        <w:pStyle w:val="24"/>
        <w:spacing w:line="400" w:lineRule="exact"/>
        <w:ind w:firstLine="0" w:firstLineChars="0"/>
      </w:pPr>
    </w:p>
    <w:p w14:paraId="4D67B97A">
      <w:pPr>
        <w:widowControl/>
        <w:spacing w:line="400" w:lineRule="exact"/>
        <w:jc w:val="center"/>
        <w:outlineLvl w:val="1"/>
        <w:rPr>
          <w:rFonts w:hint="eastAsia" w:ascii="宋体" w:hAnsi="宋体"/>
          <w:b/>
          <w:sz w:val="28"/>
          <w:szCs w:val="28"/>
        </w:rPr>
      </w:pPr>
      <w:r>
        <w:rPr>
          <w:rFonts w:hint="eastAsia" w:ascii="宋体" w:hAnsi="宋体"/>
          <w:b/>
          <w:sz w:val="28"/>
          <w:szCs w:val="28"/>
        </w:rPr>
        <w:t>法定代表人身份证明书</w:t>
      </w:r>
    </w:p>
    <w:p w14:paraId="24FF94EC">
      <w:pPr>
        <w:spacing w:line="400" w:lineRule="exact"/>
        <w:rPr>
          <w:rFonts w:hint="eastAsia" w:ascii="宋体" w:hAnsi="宋体"/>
          <w:b/>
          <w:szCs w:val="20"/>
        </w:rPr>
      </w:pPr>
    </w:p>
    <w:p w14:paraId="72AFF1C9">
      <w:pPr>
        <w:spacing w:line="400" w:lineRule="exact"/>
        <w:ind w:firstLine="612"/>
        <w:rPr>
          <w:rFonts w:hint="eastAsia" w:ascii="宋体" w:hAnsi="宋体"/>
        </w:rPr>
      </w:pPr>
      <w:r>
        <w:rPr>
          <w:rFonts w:hint="eastAsia" w:ascii="宋体" w:hAnsi="宋体"/>
        </w:rPr>
        <w:t>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3DD78466">
      <w:pPr>
        <w:spacing w:line="400" w:lineRule="exact"/>
        <w:ind w:firstLine="610"/>
        <w:rPr>
          <w:rFonts w:hint="eastAsia" w:ascii="宋体" w:hAnsi="宋体"/>
          <w:u w:val="single"/>
        </w:rPr>
      </w:pPr>
      <w:r>
        <w:rPr>
          <w:rFonts w:hint="eastAsia" w:ascii="宋体" w:hAnsi="宋体"/>
        </w:rPr>
        <w:t>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2B05527E">
      <w:pPr>
        <w:spacing w:line="400" w:lineRule="exact"/>
        <w:ind w:firstLine="610"/>
        <w:rPr>
          <w:rFonts w:hint="eastAsia" w:ascii="宋体" w:hAnsi="宋体"/>
          <w:u w:val="single"/>
        </w:rPr>
      </w:pPr>
      <w:r>
        <w:rPr>
          <w:rFonts w:hint="eastAsia" w:ascii="宋体" w:hAnsi="宋体"/>
        </w:rPr>
        <w:t>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p>
    <w:p w14:paraId="740783CB">
      <w:pPr>
        <w:spacing w:line="400" w:lineRule="exact"/>
        <w:ind w:firstLine="610"/>
        <w:rPr>
          <w:rFonts w:hint="eastAsia"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BE93ED6">
      <w:pPr>
        <w:spacing w:line="400" w:lineRule="exact"/>
        <w:ind w:firstLine="610"/>
        <w:rPr>
          <w:rFonts w:hint="eastAsia"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p>
    <w:p w14:paraId="73EC318D">
      <w:pPr>
        <w:spacing w:line="400" w:lineRule="exact"/>
        <w:ind w:firstLine="610"/>
        <w:rPr>
          <w:rFonts w:hint="eastAsia" w:ascii="宋体" w:hAnsi="宋体"/>
        </w:rPr>
      </w:pPr>
      <w:r>
        <w:rPr>
          <w:rFonts w:hint="eastAsia" w:ascii="宋体" w:hAnsi="宋体"/>
        </w:rPr>
        <w:t>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 xml:space="preserve"> </w:t>
      </w:r>
    </w:p>
    <w:p w14:paraId="03602B6F">
      <w:pPr>
        <w:spacing w:line="400" w:lineRule="exact"/>
        <w:ind w:firstLine="610"/>
        <w:rPr>
          <w:rFonts w:hint="eastAsia" w:ascii="宋体" w:hAnsi="宋体"/>
          <w:u w:val="single"/>
        </w:rPr>
      </w:pPr>
      <w:r>
        <w:rPr>
          <w:rFonts w:hint="eastAsia" w:ascii="宋体" w:hAnsi="宋体"/>
        </w:rPr>
        <w:t>身份证号码</w:t>
      </w:r>
      <w:r>
        <w:rPr>
          <w:rFonts w:hint="eastAsia" w:ascii="宋体" w:hAnsi="宋体"/>
          <w:u w:val="single"/>
        </w:rPr>
        <w:t xml:space="preserve">                                 </w:t>
      </w:r>
    </w:p>
    <w:p w14:paraId="5344B096">
      <w:pPr>
        <w:spacing w:line="400" w:lineRule="exact"/>
        <w:ind w:firstLine="610"/>
        <w:rPr>
          <w:rFonts w:hint="eastAsia" w:ascii="宋体" w:hAnsi="宋体"/>
        </w:rPr>
      </w:pPr>
      <w:r>
        <w:rPr>
          <w:rFonts w:hint="eastAsia" w:ascii="宋体" w:hAnsi="宋体"/>
        </w:rPr>
        <w:t>联系方式：</w:t>
      </w:r>
      <w:r>
        <w:rPr>
          <w:rFonts w:hint="eastAsia" w:ascii="宋体" w:hAnsi="宋体"/>
          <w:u w:val="single"/>
        </w:rPr>
        <w:t xml:space="preserve">                         </w:t>
      </w:r>
      <w:r>
        <w:rPr>
          <w:rFonts w:hint="eastAsia" w:ascii="宋体" w:hAnsi="宋体"/>
        </w:rPr>
        <w:t>邮箱：</w:t>
      </w:r>
      <w:r>
        <w:rPr>
          <w:rFonts w:hint="eastAsia" w:ascii="宋体" w:hAnsi="宋体"/>
          <w:u w:val="single"/>
        </w:rPr>
        <w:t xml:space="preserve">                    </w:t>
      </w:r>
    </w:p>
    <w:p w14:paraId="22376877">
      <w:pPr>
        <w:spacing w:line="400" w:lineRule="exact"/>
        <w:ind w:firstLine="610"/>
        <w:rPr>
          <w:rFonts w:hint="eastAsia"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137328D0">
      <w:pPr>
        <w:spacing w:line="400" w:lineRule="exact"/>
        <w:ind w:firstLine="610"/>
        <w:rPr>
          <w:rFonts w:hint="eastAsia" w:ascii="宋体" w:hAnsi="宋体"/>
        </w:rPr>
      </w:pPr>
      <w:r>
        <w:rPr>
          <w:rFonts w:hint="eastAsia" w:ascii="宋体" w:hAnsi="宋体"/>
        </w:rPr>
        <w:t>特此证明。</w:t>
      </w:r>
    </w:p>
    <w:p w14:paraId="4F4205DA">
      <w:pPr>
        <w:spacing w:line="400" w:lineRule="exact"/>
        <w:ind w:firstLine="610"/>
        <w:rPr>
          <w:rFonts w:hint="eastAsia" w:ascii="宋体" w:hAnsi="宋体"/>
        </w:rPr>
      </w:pPr>
      <w:r>
        <w:rPr>
          <w:rFonts w:hint="eastAsia" w:ascii="宋体" w:hAnsi="宋体"/>
          <w:u w:val="single"/>
        </w:rPr>
        <w:t xml:space="preserve">          附身份证复印件                                   </w:t>
      </w:r>
    </w:p>
    <w:p w14:paraId="3C50072C">
      <w:pPr>
        <w:tabs>
          <w:tab w:val="left" w:pos="720"/>
          <w:tab w:val="left" w:pos="900"/>
        </w:tabs>
        <w:spacing w:line="400" w:lineRule="exact"/>
        <w:ind w:firstLine="480" w:firstLineChars="200"/>
        <w:rPr>
          <w:rFonts w:hint="eastAsia" w:ascii="宋体" w:hAnsi="宋体"/>
        </w:rPr>
      </w:pPr>
    </w:p>
    <w:p w14:paraId="64B6369F">
      <w:pPr>
        <w:tabs>
          <w:tab w:val="left" w:pos="720"/>
          <w:tab w:val="left" w:pos="900"/>
        </w:tabs>
        <w:spacing w:line="400" w:lineRule="exact"/>
        <w:ind w:firstLine="4440" w:firstLineChars="1850"/>
        <w:rPr>
          <w:rFonts w:hint="eastAsia" w:ascii="宋体" w:hAnsi="宋体"/>
          <w:u w:val="single"/>
        </w:rPr>
      </w:pPr>
      <w:r>
        <w:rPr>
          <w:rFonts w:hint="eastAsia" w:ascii="宋体" w:hAnsi="宋体"/>
        </w:rPr>
        <w:t>供应商：</w:t>
      </w:r>
      <w:r>
        <w:rPr>
          <w:rFonts w:hint="eastAsia" w:ascii="宋体" w:hAnsi="宋体"/>
          <w:u w:val="single"/>
        </w:rPr>
        <w:t xml:space="preserve">             （盖公章）</w:t>
      </w:r>
    </w:p>
    <w:p w14:paraId="52D834AD">
      <w:pPr>
        <w:tabs>
          <w:tab w:val="left" w:pos="720"/>
          <w:tab w:val="left" w:pos="900"/>
        </w:tabs>
        <w:spacing w:line="400" w:lineRule="exact"/>
        <w:ind w:firstLine="4440" w:firstLineChars="1850"/>
        <w:rPr>
          <w:rFonts w:hint="eastAsia" w:ascii="宋体" w:hAnsi="宋体"/>
        </w:rPr>
      </w:pPr>
      <w:r>
        <w:rPr>
          <w:rFonts w:hint="eastAsia" w:ascii="宋体" w:hAnsi="宋体"/>
        </w:rPr>
        <w:t>法定代表人签名</w:t>
      </w:r>
      <w:r>
        <w:rPr>
          <w:rFonts w:hint="eastAsia" w:ascii="宋体" w:hAnsi="宋体"/>
          <w:u w:val="single"/>
        </w:rPr>
        <w:t xml:space="preserve">：            </w:t>
      </w:r>
    </w:p>
    <w:p w14:paraId="53086929">
      <w:pPr>
        <w:tabs>
          <w:tab w:val="left" w:pos="720"/>
          <w:tab w:val="left" w:pos="900"/>
        </w:tabs>
        <w:spacing w:line="400" w:lineRule="exact"/>
        <w:ind w:firstLine="4440" w:firstLineChars="1850"/>
        <w:rPr>
          <w:rFonts w:hint="eastAsia"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9AF41E9">
      <w:pPr>
        <w:widowControl/>
        <w:jc w:val="center"/>
        <w:outlineLvl w:val="1"/>
        <w:rPr>
          <w:rFonts w:hint="eastAsia" w:ascii="宋体" w:hAnsi="宋体" w:cs="宋体"/>
          <w:b/>
          <w:sz w:val="32"/>
          <w:szCs w:val="32"/>
        </w:rPr>
      </w:pPr>
      <w:bookmarkStart w:id="357" w:name="_Toc263"/>
      <w:bookmarkStart w:id="358" w:name="_Toc18831"/>
      <w:bookmarkStart w:id="359" w:name="_Toc27790"/>
      <w:bookmarkStart w:id="360" w:name="_Toc25165"/>
      <w:bookmarkStart w:id="361" w:name="_Toc7171"/>
    </w:p>
    <w:p w14:paraId="50671DF2">
      <w:pPr>
        <w:widowControl/>
        <w:jc w:val="center"/>
        <w:outlineLvl w:val="1"/>
        <w:rPr>
          <w:rFonts w:hint="eastAsia" w:ascii="宋体" w:hAnsi="宋体" w:cs="宋体"/>
          <w:sz w:val="32"/>
          <w:szCs w:val="32"/>
        </w:rPr>
      </w:pPr>
      <w:r>
        <w:rPr>
          <w:rFonts w:hint="eastAsia" w:ascii="宋体" w:hAnsi="宋体" w:cs="宋体"/>
          <w:b/>
          <w:sz w:val="32"/>
          <w:szCs w:val="32"/>
        </w:rPr>
        <w:br w:type="page"/>
      </w:r>
      <w:r>
        <w:rPr>
          <w:rFonts w:hint="eastAsia" w:ascii="宋体" w:hAnsi="宋体" w:cs="宋体"/>
          <w:b/>
          <w:sz w:val="32"/>
          <w:szCs w:val="32"/>
        </w:rPr>
        <w:t>授权委托书</w:t>
      </w:r>
      <w:bookmarkEnd w:id="357"/>
      <w:bookmarkEnd w:id="358"/>
      <w:bookmarkEnd w:id="359"/>
      <w:bookmarkEnd w:id="360"/>
      <w:bookmarkEnd w:id="361"/>
    </w:p>
    <w:p w14:paraId="6D4B498B">
      <w:pPr>
        <w:widowControl/>
        <w:spacing w:line="420" w:lineRule="exact"/>
        <w:jc w:val="left"/>
        <w:rPr>
          <w:rFonts w:hint="eastAsia" w:ascii="宋体" w:hAnsi="宋体" w:cs="宋体"/>
          <w:sz w:val="18"/>
          <w:szCs w:val="18"/>
        </w:rPr>
      </w:pPr>
      <w:r>
        <w:rPr>
          <w:rFonts w:hint="eastAsia" w:ascii="宋体" w:hAnsi="宋体" w:cs="宋体"/>
          <w:sz w:val="32"/>
          <w:szCs w:val="32"/>
        </w:rPr>
        <w:t> </w:t>
      </w:r>
    </w:p>
    <w:p w14:paraId="75D34785">
      <w:pPr>
        <w:widowControl/>
        <w:spacing w:line="420" w:lineRule="exact"/>
        <w:jc w:val="left"/>
        <w:rPr>
          <w:rFonts w:hint="eastAsia" w:ascii="宋体" w:hAnsi="宋体" w:cs="宋体"/>
          <w:sz w:val="18"/>
          <w:szCs w:val="18"/>
        </w:rPr>
      </w:pPr>
      <w:r>
        <w:rPr>
          <w:rFonts w:hint="eastAsia" w:ascii="宋体" w:hAnsi="宋体" w:cs="宋体"/>
        </w:rPr>
        <w:t>委托人（供应商）：</w:t>
      </w:r>
      <w:r>
        <w:rPr>
          <w:rFonts w:hint="eastAsia" w:ascii="宋体" w:hAnsi="宋体" w:cs="宋体"/>
          <w:u w:val="single"/>
        </w:rPr>
        <w:t xml:space="preserve">                              </w:t>
      </w:r>
    </w:p>
    <w:p w14:paraId="4A48723C">
      <w:pPr>
        <w:widowControl/>
        <w:spacing w:line="420" w:lineRule="exact"/>
        <w:jc w:val="left"/>
        <w:rPr>
          <w:rFonts w:hint="eastAsia" w:ascii="宋体" w:hAnsi="宋体" w:cs="宋体"/>
          <w:sz w:val="18"/>
          <w:szCs w:val="18"/>
        </w:rPr>
      </w:pPr>
      <w:r>
        <w:rPr>
          <w:rFonts w:hint="eastAsia" w:ascii="宋体" w:hAnsi="宋体" w:cs="宋体"/>
        </w:rPr>
        <w:t>地    址：</w:t>
      </w:r>
      <w:r>
        <w:rPr>
          <w:rFonts w:hint="eastAsia" w:ascii="宋体" w:hAnsi="宋体" w:cs="宋体"/>
          <w:u w:val="single"/>
        </w:rPr>
        <w:t xml:space="preserve">                                   </w:t>
      </w:r>
    </w:p>
    <w:p w14:paraId="187E0E48">
      <w:pPr>
        <w:widowControl/>
        <w:spacing w:line="420" w:lineRule="exact"/>
        <w:jc w:val="left"/>
        <w:rPr>
          <w:rFonts w:hint="eastAsia" w:ascii="宋体" w:hAnsi="宋体" w:cs="宋体"/>
          <w:sz w:val="18"/>
          <w:szCs w:val="18"/>
        </w:rPr>
      </w:pPr>
      <w:r>
        <w:rPr>
          <w:rFonts w:hint="eastAsia" w:ascii="宋体" w:hAnsi="宋体" w:cs="宋体"/>
        </w:rPr>
        <w:t>法定代表人：</w:t>
      </w:r>
      <w:r>
        <w:rPr>
          <w:rFonts w:hint="eastAsia" w:ascii="宋体" w:hAnsi="宋体" w:cs="宋体"/>
          <w:u w:val="single"/>
        </w:rPr>
        <w:t xml:space="preserve">                                 </w:t>
      </w:r>
    </w:p>
    <w:p w14:paraId="3CBDFFF0">
      <w:pPr>
        <w:widowControl/>
        <w:spacing w:line="420" w:lineRule="exact"/>
        <w:jc w:val="left"/>
        <w:rPr>
          <w:rFonts w:hint="eastAsia" w:ascii="宋体" w:hAnsi="宋体" w:cs="宋体"/>
          <w:sz w:val="18"/>
          <w:szCs w:val="18"/>
        </w:rPr>
      </w:pPr>
      <w:r>
        <w:rPr>
          <w:rFonts w:hint="eastAsia" w:ascii="宋体" w:hAnsi="宋体" w:cs="宋体"/>
        </w:rPr>
        <w:t>受委托人（一）：</w:t>
      </w:r>
      <w:r>
        <w:rPr>
          <w:rFonts w:hint="eastAsia" w:ascii="宋体" w:hAnsi="宋体" w:cs="宋体"/>
          <w:u w:val="single"/>
        </w:rPr>
        <w:t xml:space="preserve">                 </w:t>
      </w:r>
      <w:r>
        <w:rPr>
          <w:rFonts w:hint="eastAsia" w:ascii="宋体" w:hAnsi="宋体" w:cs="宋体"/>
        </w:rPr>
        <w:t>职务：</w:t>
      </w:r>
      <w:r>
        <w:rPr>
          <w:rFonts w:hint="eastAsia" w:ascii="宋体" w:hAnsi="宋体" w:cs="宋体"/>
          <w:u w:val="single"/>
        </w:rPr>
        <w:t xml:space="preserve">          </w:t>
      </w:r>
    </w:p>
    <w:p w14:paraId="671C0235">
      <w:pPr>
        <w:widowControl/>
        <w:spacing w:line="420" w:lineRule="exact"/>
        <w:jc w:val="left"/>
        <w:rPr>
          <w:rFonts w:hint="eastAsia" w:ascii="宋体" w:hAnsi="宋体" w:cs="宋体"/>
          <w:sz w:val="18"/>
          <w:szCs w:val="18"/>
        </w:rPr>
      </w:pPr>
      <w:r>
        <w:rPr>
          <w:rFonts w:hint="eastAsia" w:ascii="宋体" w:hAnsi="宋体" w:cs="宋体"/>
        </w:rPr>
        <w:t>受委托人（一）身份证号码：</w:t>
      </w:r>
      <w:r>
        <w:rPr>
          <w:rFonts w:hint="eastAsia" w:ascii="宋体" w:hAnsi="宋体" w:cs="宋体"/>
          <w:u w:val="single"/>
        </w:rPr>
        <w:t>                       </w:t>
      </w:r>
    </w:p>
    <w:p w14:paraId="45226BB4">
      <w:pPr>
        <w:spacing w:line="400" w:lineRule="exact"/>
        <w:rPr>
          <w:rFonts w:hint="eastAsia" w:ascii="宋体" w:hAnsi="宋体"/>
        </w:rPr>
      </w:pPr>
      <w:r>
        <w:rPr>
          <w:rFonts w:hint="eastAsia" w:ascii="宋体" w:hAnsi="宋体"/>
        </w:rPr>
        <w:t>联系方式：</w:t>
      </w:r>
      <w:r>
        <w:rPr>
          <w:rFonts w:hint="eastAsia" w:ascii="宋体" w:hAnsi="宋体"/>
          <w:u w:val="single"/>
        </w:rPr>
        <w:t xml:space="preserve">                         </w:t>
      </w:r>
      <w:r>
        <w:rPr>
          <w:rFonts w:hint="eastAsia" w:ascii="宋体" w:hAnsi="宋体"/>
        </w:rPr>
        <w:t>邮箱：</w:t>
      </w:r>
      <w:r>
        <w:rPr>
          <w:rFonts w:hint="eastAsia" w:ascii="宋体" w:hAnsi="宋体"/>
          <w:u w:val="single"/>
        </w:rPr>
        <w:t xml:space="preserve">                            </w:t>
      </w:r>
    </w:p>
    <w:p w14:paraId="5C6F581A">
      <w:pPr>
        <w:widowControl/>
        <w:spacing w:line="420" w:lineRule="exact"/>
        <w:jc w:val="left"/>
        <w:rPr>
          <w:rFonts w:hint="eastAsia" w:ascii="宋体" w:hAnsi="宋体" w:cs="宋体"/>
          <w:sz w:val="18"/>
          <w:szCs w:val="18"/>
        </w:rPr>
      </w:pPr>
      <w:r>
        <w:rPr>
          <w:rFonts w:hint="eastAsia" w:ascii="宋体" w:hAnsi="宋体" w:cs="宋体"/>
        </w:rPr>
        <w:t> </w:t>
      </w:r>
    </w:p>
    <w:p w14:paraId="60F7B59A">
      <w:pPr>
        <w:widowControl/>
        <w:spacing w:line="420" w:lineRule="exact"/>
        <w:ind w:firstLine="480" w:firstLineChars="200"/>
        <w:jc w:val="left"/>
        <w:rPr>
          <w:rFonts w:hint="eastAsia" w:ascii="宋体" w:hAnsi="宋体" w:cs="宋体"/>
          <w:sz w:val="18"/>
          <w:szCs w:val="18"/>
        </w:rPr>
      </w:pPr>
      <w:r>
        <w:rPr>
          <w:rFonts w:hint="eastAsia" w:ascii="宋体" w:hAnsi="宋体" w:cs="宋体"/>
        </w:rPr>
        <w:t>现委托上述受委托人在</w:t>
      </w:r>
      <w:r>
        <w:rPr>
          <w:rFonts w:hint="eastAsia" w:ascii="宋体" w:hAnsi="宋体" w:cs="宋体"/>
          <w:u w:val="single"/>
        </w:rPr>
        <w:t>   （招标项目名称）        </w:t>
      </w:r>
      <w:r>
        <w:rPr>
          <w:rFonts w:hint="eastAsia" w:ascii="宋体" w:hAnsi="宋体" w:cs="宋体"/>
        </w:rPr>
        <w:t>招标投标活动中，作为委托人的授权委托人。</w:t>
      </w:r>
    </w:p>
    <w:p w14:paraId="521098C8">
      <w:pPr>
        <w:widowControl/>
        <w:spacing w:line="420" w:lineRule="exact"/>
        <w:ind w:firstLine="480" w:firstLineChars="200"/>
        <w:jc w:val="left"/>
        <w:rPr>
          <w:rFonts w:hint="eastAsia" w:ascii="宋体" w:hAnsi="宋体" w:cs="宋体"/>
          <w:sz w:val="18"/>
          <w:szCs w:val="18"/>
        </w:rPr>
      </w:pPr>
      <w:r>
        <w:rPr>
          <w:rFonts w:hint="eastAsia" w:ascii="宋体" w:hAnsi="宋体" w:cs="宋体"/>
        </w:rPr>
        <w:t>委托事项：领取采购文件、编制、签署、递交、说明补正响应文件、签订合同和处理有关事宜等特别授权。受委托人联合行使或独立行使的委托权限，其法律后果由委托人承担。</w:t>
      </w:r>
    </w:p>
    <w:p w14:paraId="0F874E08">
      <w:pPr>
        <w:widowControl/>
        <w:spacing w:line="420" w:lineRule="exact"/>
        <w:ind w:firstLine="480" w:firstLineChars="200"/>
        <w:jc w:val="left"/>
        <w:rPr>
          <w:rFonts w:hint="eastAsia" w:ascii="宋体" w:hAnsi="宋体" w:cs="宋体"/>
          <w:sz w:val="18"/>
          <w:szCs w:val="18"/>
        </w:rPr>
      </w:pPr>
      <w:r>
        <w:rPr>
          <w:rFonts w:hint="eastAsia" w:ascii="宋体" w:hAnsi="宋体" w:cs="宋体"/>
        </w:rPr>
        <w:t>投标事务负责人无转委托权。采购人（采购代理机构）有权拒绝其他任何代表委托人行使的投标事宜，以及超出本授权范围的其他事宜。</w:t>
      </w:r>
    </w:p>
    <w:p w14:paraId="180CD1EC">
      <w:pPr>
        <w:widowControl/>
        <w:spacing w:line="420" w:lineRule="exact"/>
        <w:ind w:firstLine="480" w:firstLineChars="200"/>
        <w:jc w:val="left"/>
        <w:rPr>
          <w:rFonts w:hint="eastAsia" w:ascii="宋体" w:hAnsi="宋体" w:cs="宋体"/>
          <w:sz w:val="18"/>
          <w:szCs w:val="18"/>
        </w:rPr>
      </w:pPr>
      <w:r>
        <w:rPr>
          <w:rFonts w:hint="eastAsia" w:ascii="宋体" w:hAnsi="宋体" w:cs="宋体"/>
        </w:rPr>
        <w:t>委托期限：</w:t>
      </w:r>
      <w:r>
        <w:rPr>
          <w:rFonts w:hint="eastAsia" w:ascii="宋体" w:hAnsi="宋体" w:cs="宋体"/>
          <w:u w:val="single"/>
        </w:rPr>
        <w:t xml:space="preserve">   </w:t>
      </w:r>
      <w:r>
        <w:rPr>
          <w:rFonts w:hint="eastAsia" w:ascii="宋体" w:hAnsi="宋体" w:cs="宋体"/>
        </w:rPr>
        <w:t>日，自</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日至</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415C7140">
      <w:pPr>
        <w:widowControl/>
        <w:spacing w:line="420" w:lineRule="exact"/>
        <w:ind w:firstLine="480" w:firstLineChars="200"/>
        <w:jc w:val="left"/>
        <w:rPr>
          <w:rFonts w:hint="eastAsia" w:ascii="宋体" w:hAnsi="宋体" w:cs="宋体"/>
        </w:rPr>
      </w:pPr>
    </w:p>
    <w:p w14:paraId="31BF132D">
      <w:pPr>
        <w:spacing w:line="420" w:lineRule="exact"/>
        <w:ind w:firstLine="610"/>
        <w:rPr>
          <w:rFonts w:hint="eastAsia" w:ascii="宋体" w:hAnsi="宋体"/>
          <w:szCs w:val="20"/>
        </w:rPr>
      </w:pPr>
      <w:r>
        <w:rPr>
          <w:rFonts w:hint="eastAsia" w:ascii="宋体" w:hAnsi="宋体"/>
          <w:u w:val="single"/>
        </w:rPr>
        <w:t xml:space="preserve">          附身份证复印件                                  </w:t>
      </w:r>
    </w:p>
    <w:p w14:paraId="50168DED">
      <w:pPr>
        <w:widowControl/>
        <w:spacing w:line="420" w:lineRule="exact"/>
        <w:ind w:firstLine="480" w:firstLineChars="200"/>
        <w:jc w:val="left"/>
        <w:rPr>
          <w:rFonts w:hint="eastAsia" w:ascii="宋体" w:hAnsi="宋体" w:cs="宋体"/>
        </w:rPr>
      </w:pPr>
    </w:p>
    <w:p w14:paraId="67B9BCDF">
      <w:pPr>
        <w:widowControl/>
        <w:spacing w:line="420" w:lineRule="exact"/>
        <w:ind w:firstLine="480" w:firstLineChars="200"/>
        <w:jc w:val="left"/>
        <w:rPr>
          <w:rFonts w:hint="eastAsia" w:ascii="宋体" w:hAnsi="宋体" w:cs="宋体"/>
        </w:rPr>
      </w:pPr>
    </w:p>
    <w:p w14:paraId="13C1B0FD">
      <w:pPr>
        <w:widowControl/>
        <w:spacing w:line="420" w:lineRule="exact"/>
        <w:ind w:firstLine="480" w:firstLineChars="200"/>
        <w:jc w:val="left"/>
        <w:rPr>
          <w:rFonts w:hint="eastAsia" w:ascii="宋体" w:hAnsi="宋体" w:cs="宋体"/>
        </w:rPr>
      </w:pPr>
    </w:p>
    <w:p w14:paraId="08EAEEC0">
      <w:pPr>
        <w:widowControl/>
        <w:spacing w:line="420" w:lineRule="exact"/>
        <w:ind w:firstLine="480" w:firstLineChars="200"/>
        <w:jc w:val="left"/>
        <w:rPr>
          <w:rFonts w:hint="eastAsia" w:ascii="宋体" w:hAnsi="宋体" w:cs="宋体"/>
        </w:rPr>
      </w:pPr>
    </w:p>
    <w:p w14:paraId="351DEA4B">
      <w:pPr>
        <w:widowControl/>
        <w:spacing w:line="420" w:lineRule="exact"/>
        <w:ind w:firstLine="480" w:firstLineChars="200"/>
        <w:jc w:val="left"/>
        <w:rPr>
          <w:rFonts w:hint="eastAsia" w:ascii="宋体" w:hAnsi="宋体" w:cs="宋体"/>
        </w:rPr>
      </w:pPr>
    </w:p>
    <w:p w14:paraId="1BD9E94F">
      <w:pPr>
        <w:widowControl/>
        <w:spacing w:line="420" w:lineRule="exact"/>
        <w:ind w:firstLine="480" w:firstLineChars="200"/>
        <w:jc w:val="left"/>
        <w:rPr>
          <w:rFonts w:hint="eastAsia" w:ascii="宋体" w:hAnsi="宋体" w:cs="宋体"/>
          <w:sz w:val="18"/>
          <w:szCs w:val="18"/>
        </w:rPr>
      </w:pPr>
      <w:r>
        <w:rPr>
          <w:rFonts w:hint="eastAsia" w:ascii="宋体" w:hAnsi="宋体" w:cs="宋体"/>
        </w:rPr>
        <w:t> </w:t>
      </w:r>
    </w:p>
    <w:p w14:paraId="39E0ED72">
      <w:pPr>
        <w:widowControl/>
        <w:spacing w:line="420" w:lineRule="exact"/>
        <w:ind w:firstLine="480" w:firstLineChars="200"/>
        <w:jc w:val="left"/>
        <w:rPr>
          <w:rFonts w:hint="eastAsia" w:ascii="宋体" w:hAnsi="宋体" w:cs="宋体"/>
          <w:sz w:val="18"/>
          <w:szCs w:val="18"/>
        </w:rPr>
      </w:pPr>
      <w:r>
        <w:rPr>
          <w:rFonts w:hint="eastAsia" w:ascii="宋体" w:hAnsi="宋体" w:cs="宋体"/>
        </w:rPr>
        <w:t>委托人：</w:t>
      </w:r>
      <w:r>
        <w:rPr>
          <w:rFonts w:hint="eastAsia" w:ascii="宋体" w:hAnsi="宋体" w:cs="宋体"/>
          <w:u w:val="single"/>
        </w:rPr>
        <w:t xml:space="preserve">                            </w:t>
      </w:r>
      <w:r>
        <w:rPr>
          <w:rFonts w:hint="eastAsia" w:ascii="宋体" w:hAnsi="宋体" w:cs="宋体"/>
        </w:rPr>
        <w:t>（盖单位章）</w:t>
      </w:r>
    </w:p>
    <w:p w14:paraId="21AFA1BB">
      <w:pPr>
        <w:widowControl/>
        <w:spacing w:line="420" w:lineRule="exact"/>
        <w:ind w:firstLine="480" w:firstLineChars="200"/>
        <w:jc w:val="left"/>
        <w:rPr>
          <w:rFonts w:hint="eastAsia" w:ascii="宋体" w:hAnsi="宋体" w:cs="宋体"/>
          <w:sz w:val="18"/>
          <w:szCs w:val="18"/>
        </w:rPr>
      </w:pPr>
      <w:r>
        <w:rPr>
          <w:rFonts w:hint="eastAsia" w:ascii="宋体" w:hAnsi="宋体" w:cs="宋体"/>
        </w:rPr>
        <w:t> </w:t>
      </w:r>
    </w:p>
    <w:p w14:paraId="74CFF567">
      <w:pPr>
        <w:widowControl/>
        <w:spacing w:line="420" w:lineRule="exact"/>
        <w:ind w:firstLine="480" w:firstLineChars="200"/>
        <w:jc w:val="left"/>
        <w:rPr>
          <w:rFonts w:hint="eastAsia" w:ascii="宋体" w:hAnsi="宋体" w:cs="宋体"/>
          <w:sz w:val="18"/>
          <w:szCs w:val="18"/>
        </w:rPr>
      </w:pPr>
      <w:r>
        <w:rPr>
          <w:rFonts w:hint="eastAsia" w:ascii="宋体" w:hAnsi="宋体" w:cs="宋体"/>
        </w:rPr>
        <w:t>法定代表人：</w:t>
      </w:r>
      <w:r>
        <w:rPr>
          <w:rFonts w:hint="eastAsia" w:ascii="宋体" w:hAnsi="宋体" w:cs="宋体"/>
          <w:u w:val="single"/>
        </w:rPr>
        <w:t>                      </w:t>
      </w:r>
      <w:r>
        <w:rPr>
          <w:rFonts w:hint="eastAsia" w:ascii="宋体" w:hAnsi="宋体" w:cs="宋体"/>
        </w:rPr>
        <w:t>（签字或签章）</w:t>
      </w:r>
    </w:p>
    <w:p w14:paraId="6679C075">
      <w:pPr>
        <w:widowControl/>
        <w:spacing w:line="420" w:lineRule="exact"/>
        <w:ind w:firstLine="480" w:firstLineChars="200"/>
        <w:jc w:val="left"/>
        <w:rPr>
          <w:rFonts w:hint="eastAsia" w:ascii="宋体" w:hAnsi="宋体" w:cs="宋体"/>
          <w:sz w:val="18"/>
          <w:szCs w:val="18"/>
        </w:rPr>
      </w:pPr>
      <w:r>
        <w:rPr>
          <w:rFonts w:hint="eastAsia" w:ascii="宋体" w:hAnsi="宋体" w:cs="宋体"/>
        </w:rPr>
        <w:t> </w:t>
      </w:r>
    </w:p>
    <w:p w14:paraId="5023309A">
      <w:pPr>
        <w:pStyle w:val="56"/>
        <w:spacing w:line="360" w:lineRule="exact"/>
        <w:ind w:left="-2" w:leftChars="-1" w:firstLineChars="200"/>
        <w:jc w:val="center"/>
        <w:rPr>
          <w:rFonts w:hint="eastAsia" w:ascii="宋体" w:hAnsi="宋体" w:cs="宋体"/>
        </w:rPr>
      </w:pPr>
      <w:r>
        <w:rPr>
          <w:rFonts w:hint="eastAsia" w:ascii="宋体" w:hAnsi="宋体" w:cs="宋体"/>
        </w:rPr>
        <w:t>受委托人：</w:t>
      </w:r>
      <w:r>
        <w:rPr>
          <w:rFonts w:hint="eastAsia" w:ascii="宋体" w:hAnsi="宋体" w:cs="宋体"/>
          <w:u w:val="single"/>
        </w:rPr>
        <w:t>                       </w:t>
      </w:r>
      <w:r>
        <w:rPr>
          <w:rFonts w:hint="eastAsia" w:ascii="宋体" w:hAnsi="宋体" w:cs="宋体"/>
        </w:rPr>
        <w:t>（签字）</w:t>
      </w:r>
    </w:p>
    <w:p w14:paraId="3CCD244D">
      <w:pPr>
        <w:pStyle w:val="56"/>
        <w:spacing w:line="360" w:lineRule="exact"/>
        <w:ind w:left="-2" w:leftChars="-1" w:firstLineChars="200"/>
        <w:jc w:val="center"/>
        <w:rPr>
          <w:rFonts w:hint="eastAsia" w:ascii="宋体" w:hAnsi="宋体" w:cs="宋体"/>
        </w:rPr>
      </w:pPr>
    </w:p>
    <w:p w14:paraId="2A396409">
      <w:pPr>
        <w:pStyle w:val="56"/>
        <w:spacing w:line="360" w:lineRule="exact"/>
        <w:ind w:left="-2" w:leftChars="-1" w:firstLineChars="200"/>
        <w:jc w:val="center"/>
        <w:rPr>
          <w:rFonts w:hint="eastAsia" w:ascii="宋体" w:hAnsi="宋体" w:cs="宋体"/>
        </w:rPr>
      </w:pPr>
    </w:p>
    <w:sectPr>
      <w:footerReference r:id="rId3" w:type="default"/>
      <w:pgSz w:w="11906" w:h="16838"/>
      <w:pgMar w:top="1440" w:right="1558"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dobe 仿宋 Std R">
    <w:altName w:val="仿宋"/>
    <w:panose1 w:val="00000000000000000000"/>
    <w:charset w:val="86"/>
    <w:family w:val="roman"/>
    <w:pitch w:val="default"/>
    <w:sig w:usb0="00000000" w:usb1="00000000" w:usb2="00000016" w:usb3="00000000" w:csb0="00060007" w:csb1="00000000"/>
  </w:font>
  <w:font w:name="新宋体">
    <w:panose1 w:val="02010609030101010101"/>
    <w:charset w:val="86"/>
    <w:family w:val="modern"/>
    <w:pitch w:val="default"/>
    <w:sig w:usb0="00000203" w:usb1="288F0000" w:usb2="0000000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7E4F35DC">
        <w:pPr>
          <w:pStyle w:val="15"/>
          <w:jc w:val="center"/>
        </w:pPr>
        <w:r>
          <w:fldChar w:fldCharType="begin"/>
        </w:r>
        <w:r>
          <w:instrText xml:space="preserve">PAGE   \* MERGEFORMAT</w:instrText>
        </w:r>
        <w:r>
          <w:fldChar w:fldCharType="separate"/>
        </w:r>
        <w:r>
          <w:rPr>
            <w:lang w:val="zh-CN"/>
          </w:rPr>
          <w:t>31</w:t>
        </w:r>
        <w:r>
          <w:fldChar w:fldCharType="end"/>
        </w:r>
      </w:p>
    </w:sdtContent>
  </w:sdt>
  <w:p w14:paraId="3FFD3FFE">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7FF94C"/>
    <w:multiLevelType w:val="singleLevel"/>
    <w:tmpl w:val="FF7FF94C"/>
    <w:lvl w:ilvl="0" w:tentative="0">
      <w:start w:val="1"/>
      <w:numFmt w:val="bullet"/>
      <w:lvlText w:val=""/>
      <w:lvlJc w:val="left"/>
      <w:pPr>
        <w:ind w:left="420" w:hanging="420"/>
      </w:pPr>
      <w:rPr>
        <w:rFonts w:hint="default" w:ascii="Wingdings" w:hAnsi="Wingdings"/>
      </w:rPr>
    </w:lvl>
  </w:abstractNum>
  <w:abstractNum w:abstractNumId="1">
    <w:nsid w:val="00000017"/>
    <w:multiLevelType w:val="multilevel"/>
    <w:tmpl w:val="00000017"/>
    <w:lvl w:ilvl="0" w:tentative="0">
      <w:start w:val="1"/>
      <w:numFmt w:val="bullet"/>
      <w:pStyle w:val="19"/>
      <w:lvlText w:val=""/>
      <w:lvlJc w:val="left"/>
      <w:pPr>
        <w:tabs>
          <w:tab w:val="left" w:pos="703"/>
        </w:tabs>
        <w:ind w:left="703" w:hanging="420"/>
      </w:pPr>
      <w:rPr>
        <w:rFonts w:hint="default" w:ascii="Wingdings" w:hAnsi="Wingdings"/>
      </w:rPr>
    </w:lvl>
    <w:lvl w:ilvl="1" w:tentative="0">
      <w:start w:val="1"/>
      <w:numFmt w:val="bullet"/>
      <w:lvlText w:val=""/>
      <w:lvlJc w:val="left"/>
      <w:pPr>
        <w:tabs>
          <w:tab w:val="left" w:pos="3448"/>
        </w:tabs>
        <w:ind w:left="3448" w:hanging="420"/>
      </w:pPr>
      <w:rPr>
        <w:rFonts w:hint="default" w:ascii="Wingdings" w:hAnsi="Wingdings"/>
      </w:rPr>
    </w:lvl>
    <w:lvl w:ilvl="2" w:tentative="0">
      <w:start w:val="1"/>
      <w:numFmt w:val="bullet"/>
      <w:lvlText w:val=""/>
      <w:lvlJc w:val="left"/>
      <w:pPr>
        <w:tabs>
          <w:tab w:val="left" w:pos="3868"/>
        </w:tabs>
        <w:ind w:left="3868" w:hanging="420"/>
      </w:pPr>
      <w:rPr>
        <w:rFonts w:hint="default" w:ascii="Wingdings" w:hAnsi="Wingdings"/>
      </w:rPr>
    </w:lvl>
    <w:lvl w:ilvl="3" w:tentative="0">
      <w:start w:val="1"/>
      <w:numFmt w:val="bullet"/>
      <w:lvlText w:val=""/>
      <w:lvlJc w:val="left"/>
      <w:pPr>
        <w:tabs>
          <w:tab w:val="left" w:pos="4288"/>
        </w:tabs>
        <w:ind w:left="4288" w:hanging="420"/>
      </w:pPr>
      <w:rPr>
        <w:rFonts w:hint="default" w:ascii="Wingdings" w:hAnsi="Wingdings"/>
      </w:rPr>
    </w:lvl>
    <w:lvl w:ilvl="4" w:tentative="0">
      <w:start w:val="1"/>
      <w:numFmt w:val="bullet"/>
      <w:lvlText w:val=""/>
      <w:lvlJc w:val="left"/>
      <w:pPr>
        <w:tabs>
          <w:tab w:val="left" w:pos="4708"/>
        </w:tabs>
        <w:ind w:left="4708" w:hanging="420"/>
      </w:pPr>
      <w:rPr>
        <w:rFonts w:hint="default" w:ascii="Wingdings" w:hAnsi="Wingdings"/>
      </w:rPr>
    </w:lvl>
    <w:lvl w:ilvl="5" w:tentative="0">
      <w:start w:val="1"/>
      <w:numFmt w:val="bullet"/>
      <w:lvlText w:val=""/>
      <w:lvlJc w:val="left"/>
      <w:pPr>
        <w:tabs>
          <w:tab w:val="left" w:pos="5128"/>
        </w:tabs>
        <w:ind w:left="5128" w:hanging="420"/>
      </w:pPr>
      <w:rPr>
        <w:rFonts w:hint="default" w:ascii="Wingdings" w:hAnsi="Wingdings"/>
      </w:rPr>
    </w:lvl>
    <w:lvl w:ilvl="6" w:tentative="0">
      <w:start w:val="1"/>
      <w:numFmt w:val="bullet"/>
      <w:lvlText w:val=""/>
      <w:lvlJc w:val="left"/>
      <w:pPr>
        <w:tabs>
          <w:tab w:val="left" w:pos="5548"/>
        </w:tabs>
        <w:ind w:left="5548" w:hanging="420"/>
      </w:pPr>
      <w:rPr>
        <w:rFonts w:hint="default" w:ascii="Wingdings" w:hAnsi="Wingdings"/>
      </w:rPr>
    </w:lvl>
    <w:lvl w:ilvl="7" w:tentative="0">
      <w:start w:val="1"/>
      <w:numFmt w:val="bullet"/>
      <w:lvlText w:val=""/>
      <w:lvlJc w:val="left"/>
      <w:pPr>
        <w:tabs>
          <w:tab w:val="left" w:pos="5968"/>
        </w:tabs>
        <w:ind w:left="5968" w:hanging="420"/>
      </w:pPr>
      <w:rPr>
        <w:rFonts w:hint="default" w:ascii="Wingdings" w:hAnsi="Wingdings"/>
      </w:rPr>
    </w:lvl>
    <w:lvl w:ilvl="8" w:tentative="0">
      <w:start w:val="1"/>
      <w:numFmt w:val="bullet"/>
      <w:lvlText w:val=""/>
      <w:lvlJc w:val="left"/>
      <w:pPr>
        <w:tabs>
          <w:tab w:val="left" w:pos="6388"/>
        </w:tabs>
        <w:ind w:left="6388" w:hanging="420"/>
      </w:pPr>
      <w:rPr>
        <w:rFonts w:hint="default" w:ascii="Wingdings" w:hAnsi="Wingdings"/>
      </w:rPr>
    </w:lvl>
  </w:abstractNum>
  <w:abstractNum w:abstractNumId="2">
    <w:nsid w:val="1BD97DF5"/>
    <w:multiLevelType w:val="multilevel"/>
    <w:tmpl w:val="1BD97DF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315CD6DE"/>
    <w:multiLevelType w:val="multilevel"/>
    <w:tmpl w:val="315CD6DE"/>
    <w:lvl w:ilvl="0" w:tentative="0">
      <w:start w:val="1"/>
      <w:numFmt w:val="chineseCounting"/>
      <w:suff w:val="nothing"/>
      <w:lvlText w:val="%1、"/>
      <w:lvlJc w:val="left"/>
      <w:pPr>
        <w:ind w:left="-220" w:firstLine="0"/>
      </w:pPr>
      <w:rPr>
        <w:rFonts w:hint="eastAsia"/>
      </w:rPr>
    </w:lvl>
    <w:lvl w:ilvl="1" w:tentative="0">
      <w:start w:val="1"/>
      <w:numFmt w:val="chineseCounting"/>
      <w:suff w:val="nothing"/>
      <w:lvlText w:val="（%2）"/>
      <w:lvlJc w:val="left"/>
      <w:pPr>
        <w:ind w:left="150" w:firstLine="0"/>
      </w:pPr>
      <w:rPr>
        <w:rFonts w:hint="eastAsia"/>
      </w:rPr>
    </w:lvl>
    <w:lvl w:ilvl="2" w:tentative="0">
      <w:start w:val="1"/>
      <w:numFmt w:val="decimal"/>
      <w:suff w:val="nothing"/>
      <w:lvlText w:val="%3．"/>
      <w:lvlJc w:val="left"/>
      <w:pPr>
        <w:ind w:left="150" w:firstLine="400"/>
      </w:pPr>
      <w:rPr>
        <w:rFonts w:hint="default"/>
        <w:b/>
        <w:bCs/>
      </w:rPr>
    </w:lvl>
    <w:lvl w:ilvl="3" w:tentative="0">
      <w:start w:val="1"/>
      <w:numFmt w:val="decimal"/>
      <w:pStyle w:val="5"/>
      <w:suff w:val="nothing"/>
      <w:lvlText w:val="（%4）"/>
      <w:lvlJc w:val="left"/>
      <w:pPr>
        <w:ind w:left="150" w:firstLine="402"/>
      </w:pPr>
      <w:rPr>
        <w:rFonts w:hint="eastAsia"/>
      </w:rPr>
    </w:lvl>
    <w:lvl w:ilvl="4" w:tentative="0">
      <w:start w:val="1"/>
      <w:numFmt w:val="decimalEnclosedCircleChinese"/>
      <w:suff w:val="nothing"/>
      <w:lvlText w:val="%5"/>
      <w:lvlJc w:val="left"/>
      <w:pPr>
        <w:ind w:left="150" w:firstLine="402"/>
      </w:pPr>
      <w:rPr>
        <w:rFonts w:hint="eastAsia"/>
      </w:rPr>
    </w:lvl>
    <w:lvl w:ilvl="5" w:tentative="0">
      <w:start w:val="1"/>
      <w:numFmt w:val="decimal"/>
      <w:suff w:val="nothing"/>
      <w:lvlText w:val="%6）"/>
      <w:lvlJc w:val="left"/>
      <w:pPr>
        <w:ind w:left="150" w:firstLine="402"/>
      </w:pPr>
      <w:rPr>
        <w:rFonts w:hint="eastAsia"/>
      </w:rPr>
    </w:lvl>
    <w:lvl w:ilvl="6" w:tentative="0">
      <w:start w:val="1"/>
      <w:numFmt w:val="lowerLetter"/>
      <w:suff w:val="nothing"/>
      <w:lvlText w:val="%7．"/>
      <w:lvlJc w:val="left"/>
      <w:pPr>
        <w:ind w:left="150" w:firstLine="402"/>
      </w:pPr>
      <w:rPr>
        <w:rFonts w:hint="eastAsia"/>
      </w:rPr>
    </w:lvl>
    <w:lvl w:ilvl="7" w:tentative="0">
      <w:start w:val="1"/>
      <w:numFmt w:val="lowerLetter"/>
      <w:suff w:val="nothing"/>
      <w:lvlText w:val="%8）"/>
      <w:lvlJc w:val="left"/>
      <w:pPr>
        <w:ind w:left="150" w:firstLine="402"/>
      </w:pPr>
      <w:rPr>
        <w:rFonts w:hint="eastAsia"/>
      </w:rPr>
    </w:lvl>
    <w:lvl w:ilvl="8" w:tentative="0">
      <w:start w:val="1"/>
      <w:numFmt w:val="lowerRoman"/>
      <w:suff w:val="nothing"/>
      <w:lvlText w:val="%9 "/>
      <w:lvlJc w:val="left"/>
      <w:pPr>
        <w:ind w:left="150" w:firstLine="402"/>
      </w:pPr>
      <w:rPr>
        <w:rFonts w:hint="eastAsia"/>
      </w:rPr>
    </w:lvl>
  </w:abstractNum>
  <w:abstractNum w:abstractNumId="4">
    <w:nsid w:val="39720985"/>
    <w:multiLevelType w:val="multilevel"/>
    <w:tmpl w:val="3972098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4YTNkOGE3MzEzYWE1ODdjMDZiNDkyOWUzMmYyNjg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01544"/>
    <w:rsid w:val="0011400B"/>
    <w:rsid w:val="00114A5C"/>
    <w:rsid w:val="00121DDC"/>
    <w:rsid w:val="00130DF9"/>
    <w:rsid w:val="00135135"/>
    <w:rsid w:val="00150763"/>
    <w:rsid w:val="00150FED"/>
    <w:rsid w:val="0016448A"/>
    <w:rsid w:val="0017591F"/>
    <w:rsid w:val="00177EE0"/>
    <w:rsid w:val="0019223D"/>
    <w:rsid w:val="001A071D"/>
    <w:rsid w:val="001A4B04"/>
    <w:rsid w:val="001A65D1"/>
    <w:rsid w:val="001A6760"/>
    <w:rsid w:val="001C3EE0"/>
    <w:rsid w:val="001C48F9"/>
    <w:rsid w:val="001D076C"/>
    <w:rsid w:val="001E276B"/>
    <w:rsid w:val="001F3FFA"/>
    <w:rsid w:val="001F6455"/>
    <w:rsid w:val="00220DE6"/>
    <w:rsid w:val="0022576E"/>
    <w:rsid w:val="00242E7C"/>
    <w:rsid w:val="00250E66"/>
    <w:rsid w:val="002562A9"/>
    <w:rsid w:val="00260CE9"/>
    <w:rsid w:val="00270BE5"/>
    <w:rsid w:val="00274C87"/>
    <w:rsid w:val="00281479"/>
    <w:rsid w:val="002C1E07"/>
    <w:rsid w:val="002C5D00"/>
    <w:rsid w:val="0031340D"/>
    <w:rsid w:val="003159E4"/>
    <w:rsid w:val="00321BEE"/>
    <w:rsid w:val="003225BB"/>
    <w:rsid w:val="003340F4"/>
    <w:rsid w:val="0033630F"/>
    <w:rsid w:val="003637D2"/>
    <w:rsid w:val="003704E0"/>
    <w:rsid w:val="0037724D"/>
    <w:rsid w:val="003805D0"/>
    <w:rsid w:val="003A2CB1"/>
    <w:rsid w:val="003A6119"/>
    <w:rsid w:val="003A798E"/>
    <w:rsid w:val="003B6A16"/>
    <w:rsid w:val="003D00F1"/>
    <w:rsid w:val="003D3AEE"/>
    <w:rsid w:val="003E5A3E"/>
    <w:rsid w:val="003F4A6D"/>
    <w:rsid w:val="004227B7"/>
    <w:rsid w:val="00422F99"/>
    <w:rsid w:val="00425A1B"/>
    <w:rsid w:val="0043186A"/>
    <w:rsid w:val="004825D9"/>
    <w:rsid w:val="00487A3C"/>
    <w:rsid w:val="00495D48"/>
    <w:rsid w:val="00496D1D"/>
    <w:rsid w:val="004A133D"/>
    <w:rsid w:val="004A1E85"/>
    <w:rsid w:val="004C0959"/>
    <w:rsid w:val="004C1448"/>
    <w:rsid w:val="004C266E"/>
    <w:rsid w:val="004D1A7D"/>
    <w:rsid w:val="004D50D4"/>
    <w:rsid w:val="004E6288"/>
    <w:rsid w:val="004E637D"/>
    <w:rsid w:val="004F674A"/>
    <w:rsid w:val="00511A86"/>
    <w:rsid w:val="00532CCE"/>
    <w:rsid w:val="0053315C"/>
    <w:rsid w:val="0053456B"/>
    <w:rsid w:val="00545818"/>
    <w:rsid w:val="00562B2E"/>
    <w:rsid w:val="00563375"/>
    <w:rsid w:val="0056756E"/>
    <w:rsid w:val="00571146"/>
    <w:rsid w:val="00573FC2"/>
    <w:rsid w:val="005845F5"/>
    <w:rsid w:val="00593827"/>
    <w:rsid w:val="0059592D"/>
    <w:rsid w:val="005B5D6B"/>
    <w:rsid w:val="005C3349"/>
    <w:rsid w:val="005C3762"/>
    <w:rsid w:val="005D62FA"/>
    <w:rsid w:val="005F3A4A"/>
    <w:rsid w:val="00602CB8"/>
    <w:rsid w:val="006375D2"/>
    <w:rsid w:val="00644F30"/>
    <w:rsid w:val="00647AF0"/>
    <w:rsid w:val="00650B20"/>
    <w:rsid w:val="0065251A"/>
    <w:rsid w:val="00682B15"/>
    <w:rsid w:val="00696C1C"/>
    <w:rsid w:val="006A35DB"/>
    <w:rsid w:val="006C140E"/>
    <w:rsid w:val="006E23DF"/>
    <w:rsid w:val="006F6E5D"/>
    <w:rsid w:val="007078FC"/>
    <w:rsid w:val="0071261D"/>
    <w:rsid w:val="0074119A"/>
    <w:rsid w:val="00741B2E"/>
    <w:rsid w:val="00744074"/>
    <w:rsid w:val="007471EF"/>
    <w:rsid w:val="00796394"/>
    <w:rsid w:val="007F2883"/>
    <w:rsid w:val="00822E12"/>
    <w:rsid w:val="00832566"/>
    <w:rsid w:val="0085221E"/>
    <w:rsid w:val="00873257"/>
    <w:rsid w:val="00874B4B"/>
    <w:rsid w:val="00884752"/>
    <w:rsid w:val="008923D8"/>
    <w:rsid w:val="008B7CF4"/>
    <w:rsid w:val="008C257A"/>
    <w:rsid w:val="008C2736"/>
    <w:rsid w:val="008C44E2"/>
    <w:rsid w:val="008D5504"/>
    <w:rsid w:val="008E024C"/>
    <w:rsid w:val="008E250D"/>
    <w:rsid w:val="00904B62"/>
    <w:rsid w:val="009122D4"/>
    <w:rsid w:val="009378D4"/>
    <w:rsid w:val="00950D05"/>
    <w:rsid w:val="00952547"/>
    <w:rsid w:val="009749EB"/>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0DA2"/>
    <w:rsid w:val="00A33089"/>
    <w:rsid w:val="00A36F47"/>
    <w:rsid w:val="00A46E79"/>
    <w:rsid w:val="00A56B1E"/>
    <w:rsid w:val="00A668E1"/>
    <w:rsid w:val="00A8781E"/>
    <w:rsid w:val="00A92B5D"/>
    <w:rsid w:val="00A92B82"/>
    <w:rsid w:val="00A94FFD"/>
    <w:rsid w:val="00AA07F0"/>
    <w:rsid w:val="00AA5695"/>
    <w:rsid w:val="00AB7349"/>
    <w:rsid w:val="00AF16F4"/>
    <w:rsid w:val="00B179F1"/>
    <w:rsid w:val="00B22B7F"/>
    <w:rsid w:val="00B25EE8"/>
    <w:rsid w:val="00B2654F"/>
    <w:rsid w:val="00B72F9A"/>
    <w:rsid w:val="00B74686"/>
    <w:rsid w:val="00B80030"/>
    <w:rsid w:val="00B83EBC"/>
    <w:rsid w:val="00B93086"/>
    <w:rsid w:val="00BB46CC"/>
    <w:rsid w:val="00BB6EFF"/>
    <w:rsid w:val="00BC758A"/>
    <w:rsid w:val="00BD6078"/>
    <w:rsid w:val="00BE4092"/>
    <w:rsid w:val="00BF207B"/>
    <w:rsid w:val="00C01975"/>
    <w:rsid w:val="00C0745E"/>
    <w:rsid w:val="00C14F47"/>
    <w:rsid w:val="00C16494"/>
    <w:rsid w:val="00C21E0B"/>
    <w:rsid w:val="00C27B7E"/>
    <w:rsid w:val="00C345A1"/>
    <w:rsid w:val="00C35D1F"/>
    <w:rsid w:val="00C43EE5"/>
    <w:rsid w:val="00C57323"/>
    <w:rsid w:val="00C61A2C"/>
    <w:rsid w:val="00C70C0F"/>
    <w:rsid w:val="00C72133"/>
    <w:rsid w:val="00C73680"/>
    <w:rsid w:val="00C97304"/>
    <w:rsid w:val="00CA70E0"/>
    <w:rsid w:val="00CB0DB1"/>
    <w:rsid w:val="00CB5140"/>
    <w:rsid w:val="00CB70B6"/>
    <w:rsid w:val="00CB77BE"/>
    <w:rsid w:val="00CC04F8"/>
    <w:rsid w:val="00CC4EA0"/>
    <w:rsid w:val="00CD3536"/>
    <w:rsid w:val="00CE25FF"/>
    <w:rsid w:val="00CE2AE3"/>
    <w:rsid w:val="00CE2ED5"/>
    <w:rsid w:val="00CE5DC4"/>
    <w:rsid w:val="00CF19E6"/>
    <w:rsid w:val="00D04BBA"/>
    <w:rsid w:val="00D164D4"/>
    <w:rsid w:val="00D23952"/>
    <w:rsid w:val="00D44AD1"/>
    <w:rsid w:val="00D80F96"/>
    <w:rsid w:val="00D85650"/>
    <w:rsid w:val="00D87EEB"/>
    <w:rsid w:val="00D93B90"/>
    <w:rsid w:val="00D93FCB"/>
    <w:rsid w:val="00DA553D"/>
    <w:rsid w:val="00DA7A8D"/>
    <w:rsid w:val="00DB20F7"/>
    <w:rsid w:val="00DB4BA2"/>
    <w:rsid w:val="00DC5E6F"/>
    <w:rsid w:val="00DD1784"/>
    <w:rsid w:val="00DD528F"/>
    <w:rsid w:val="00DE1084"/>
    <w:rsid w:val="00DE4E9D"/>
    <w:rsid w:val="00DF034E"/>
    <w:rsid w:val="00DF0EFB"/>
    <w:rsid w:val="00E036A7"/>
    <w:rsid w:val="00E123D2"/>
    <w:rsid w:val="00E16FE2"/>
    <w:rsid w:val="00E271C9"/>
    <w:rsid w:val="00E27970"/>
    <w:rsid w:val="00E41917"/>
    <w:rsid w:val="00E60A9C"/>
    <w:rsid w:val="00E70C4D"/>
    <w:rsid w:val="00E7679E"/>
    <w:rsid w:val="00E80FDE"/>
    <w:rsid w:val="00E846D9"/>
    <w:rsid w:val="00EB0902"/>
    <w:rsid w:val="00EC162C"/>
    <w:rsid w:val="00ED19B1"/>
    <w:rsid w:val="00ED296B"/>
    <w:rsid w:val="00EE1722"/>
    <w:rsid w:val="00EE1C40"/>
    <w:rsid w:val="00EF369D"/>
    <w:rsid w:val="00F038B5"/>
    <w:rsid w:val="00F06C37"/>
    <w:rsid w:val="00F13A48"/>
    <w:rsid w:val="00F13BC3"/>
    <w:rsid w:val="00F153D1"/>
    <w:rsid w:val="00F24CD4"/>
    <w:rsid w:val="00F27316"/>
    <w:rsid w:val="00F3547E"/>
    <w:rsid w:val="00F410C7"/>
    <w:rsid w:val="00F57104"/>
    <w:rsid w:val="00F73ACC"/>
    <w:rsid w:val="00F75D40"/>
    <w:rsid w:val="00F80386"/>
    <w:rsid w:val="00F82EA7"/>
    <w:rsid w:val="00F96656"/>
    <w:rsid w:val="00F96F60"/>
    <w:rsid w:val="00F978C6"/>
    <w:rsid w:val="00FA081C"/>
    <w:rsid w:val="00FA4AE3"/>
    <w:rsid w:val="00FC29BF"/>
    <w:rsid w:val="00FC60C2"/>
    <w:rsid w:val="00FD4C97"/>
    <w:rsid w:val="00FF304F"/>
    <w:rsid w:val="011E0236"/>
    <w:rsid w:val="012375FA"/>
    <w:rsid w:val="01431A4A"/>
    <w:rsid w:val="014A2DD9"/>
    <w:rsid w:val="01505F15"/>
    <w:rsid w:val="015C2B0C"/>
    <w:rsid w:val="01B841E6"/>
    <w:rsid w:val="01BA68B2"/>
    <w:rsid w:val="01BB5A85"/>
    <w:rsid w:val="01BD17FD"/>
    <w:rsid w:val="01C35DFF"/>
    <w:rsid w:val="01D34AC7"/>
    <w:rsid w:val="01E054EB"/>
    <w:rsid w:val="01F40F97"/>
    <w:rsid w:val="01FB1790"/>
    <w:rsid w:val="0209677F"/>
    <w:rsid w:val="022278B2"/>
    <w:rsid w:val="0227311A"/>
    <w:rsid w:val="023C1C1D"/>
    <w:rsid w:val="02511F45"/>
    <w:rsid w:val="025832D3"/>
    <w:rsid w:val="026E6F9B"/>
    <w:rsid w:val="028B18FB"/>
    <w:rsid w:val="028D7421"/>
    <w:rsid w:val="0295277A"/>
    <w:rsid w:val="02994018"/>
    <w:rsid w:val="029C1412"/>
    <w:rsid w:val="02B349AE"/>
    <w:rsid w:val="02C92423"/>
    <w:rsid w:val="02CB7F49"/>
    <w:rsid w:val="02E1151B"/>
    <w:rsid w:val="03103BAE"/>
    <w:rsid w:val="0317318F"/>
    <w:rsid w:val="032714E6"/>
    <w:rsid w:val="03327FC8"/>
    <w:rsid w:val="03B24C65"/>
    <w:rsid w:val="03BD5AE4"/>
    <w:rsid w:val="03E272F9"/>
    <w:rsid w:val="03E77005"/>
    <w:rsid w:val="04096F7B"/>
    <w:rsid w:val="040E6340"/>
    <w:rsid w:val="041A2F36"/>
    <w:rsid w:val="0429076D"/>
    <w:rsid w:val="042948F2"/>
    <w:rsid w:val="0431202E"/>
    <w:rsid w:val="043B10FF"/>
    <w:rsid w:val="045521C0"/>
    <w:rsid w:val="04763EE5"/>
    <w:rsid w:val="04784101"/>
    <w:rsid w:val="047D1717"/>
    <w:rsid w:val="0482288A"/>
    <w:rsid w:val="04CB5FDF"/>
    <w:rsid w:val="04F574FF"/>
    <w:rsid w:val="05057500"/>
    <w:rsid w:val="050E236F"/>
    <w:rsid w:val="05184F9C"/>
    <w:rsid w:val="051C683A"/>
    <w:rsid w:val="052838D4"/>
    <w:rsid w:val="052A284F"/>
    <w:rsid w:val="053A45A8"/>
    <w:rsid w:val="05960A24"/>
    <w:rsid w:val="05976809"/>
    <w:rsid w:val="059E1945"/>
    <w:rsid w:val="05A54A82"/>
    <w:rsid w:val="05C869C2"/>
    <w:rsid w:val="05F8235F"/>
    <w:rsid w:val="062260D2"/>
    <w:rsid w:val="06253E14"/>
    <w:rsid w:val="062A4633"/>
    <w:rsid w:val="063D4CBA"/>
    <w:rsid w:val="063F41D5"/>
    <w:rsid w:val="066B5CCB"/>
    <w:rsid w:val="06976AC0"/>
    <w:rsid w:val="06A0349B"/>
    <w:rsid w:val="06A27213"/>
    <w:rsid w:val="06A765D7"/>
    <w:rsid w:val="06C62F02"/>
    <w:rsid w:val="06C947A0"/>
    <w:rsid w:val="06D66EBD"/>
    <w:rsid w:val="06E15AD9"/>
    <w:rsid w:val="06EB6E0C"/>
    <w:rsid w:val="06F061D0"/>
    <w:rsid w:val="06FF6413"/>
    <w:rsid w:val="074134A7"/>
    <w:rsid w:val="07697D31"/>
    <w:rsid w:val="07746E01"/>
    <w:rsid w:val="077E37DC"/>
    <w:rsid w:val="07946EBC"/>
    <w:rsid w:val="07B54D24"/>
    <w:rsid w:val="07D4392E"/>
    <w:rsid w:val="07E31891"/>
    <w:rsid w:val="080D17FF"/>
    <w:rsid w:val="081B727D"/>
    <w:rsid w:val="082C3238"/>
    <w:rsid w:val="083E4D1A"/>
    <w:rsid w:val="084F6F27"/>
    <w:rsid w:val="085E716A"/>
    <w:rsid w:val="086504F8"/>
    <w:rsid w:val="089112ED"/>
    <w:rsid w:val="08931509"/>
    <w:rsid w:val="08947A11"/>
    <w:rsid w:val="08A55394"/>
    <w:rsid w:val="08A76D63"/>
    <w:rsid w:val="08C47FF1"/>
    <w:rsid w:val="08C90A87"/>
    <w:rsid w:val="08EB4EA1"/>
    <w:rsid w:val="08EB6C4F"/>
    <w:rsid w:val="08FC0E5C"/>
    <w:rsid w:val="092B7994"/>
    <w:rsid w:val="093A7BD7"/>
    <w:rsid w:val="093E7659"/>
    <w:rsid w:val="09414AC1"/>
    <w:rsid w:val="094B3B92"/>
    <w:rsid w:val="09815806"/>
    <w:rsid w:val="09CD27F9"/>
    <w:rsid w:val="09E57B43"/>
    <w:rsid w:val="09FE29B2"/>
    <w:rsid w:val="0A083831"/>
    <w:rsid w:val="0A36214C"/>
    <w:rsid w:val="0A4C5E14"/>
    <w:rsid w:val="0A4F1460"/>
    <w:rsid w:val="0A543B62"/>
    <w:rsid w:val="0A886720"/>
    <w:rsid w:val="0ADD4CBE"/>
    <w:rsid w:val="0AF3003D"/>
    <w:rsid w:val="0AF9757B"/>
    <w:rsid w:val="0B0264D2"/>
    <w:rsid w:val="0B2C17A1"/>
    <w:rsid w:val="0B664235"/>
    <w:rsid w:val="0B751115"/>
    <w:rsid w:val="0B772A1C"/>
    <w:rsid w:val="0B7E1CB6"/>
    <w:rsid w:val="0B8D0492"/>
    <w:rsid w:val="0B8E5FB8"/>
    <w:rsid w:val="0B9A2BAF"/>
    <w:rsid w:val="0BA23811"/>
    <w:rsid w:val="0BCA2A97"/>
    <w:rsid w:val="0BEB340A"/>
    <w:rsid w:val="0C1110C3"/>
    <w:rsid w:val="0C2D57D1"/>
    <w:rsid w:val="0C3703FE"/>
    <w:rsid w:val="0C37664F"/>
    <w:rsid w:val="0C5965C6"/>
    <w:rsid w:val="0C662A91"/>
    <w:rsid w:val="0C7B02EA"/>
    <w:rsid w:val="0C9615C8"/>
    <w:rsid w:val="0CA4630A"/>
    <w:rsid w:val="0CA57A5D"/>
    <w:rsid w:val="0CFC2B46"/>
    <w:rsid w:val="0D0504FC"/>
    <w:rsid w:val="0D1150F2"/>
    <w:rsid w:val="0D166265"/>
    <w:rsid w:val="0D3D5EE8"/>
    <w:rsid w:val="0D6C2329"/>
    <w:rsid w:val="0D9F26FE"/>
    <w:rsid w:val="0DAE2B79"/>
    <w:rsid w:val="0DC7755F"/>
    <w:rsid w:val="0DDF6F9F"/>
    <w:rsid w:val="0E016F15"/>
    <w:rsid w:val="0E056A05"/>
    <w:rsid w:val="0E0D58BA"/>
    <w:rsid w:val="0E150EAB"/>
    <w:rsid w:val="0E172295"/>
    <w:rsid w:val="0E2B5D40"/>
    <w:rsid w:val="0E3E5A73"/>
    <w:rsid w:val="0E415563"/>
    <w:rsid w:val="0E43752E"/>
    <w:rsid w:val="0E6D45AA"/>
    <w:rsid w:val="0E8D1EBF"/>
    <w:rsid w:val="0E965864"/>
    <w:rsid w:val="0E96765D"/>
    <w:rsid w:val="0EA63619"/>
    <w:rsid w:val="0EB21FBD"/>
    <w:rsid w:val="0EBB3568"/>
    <w:rsid w:val="0ED32660"/>
    <w:rsid w:val="0EE77EB9"/>
    <w:rsid w:val="0F032819"/>
    <w:rsid w:val="0F093F3B"/>
    <w:rsid w:val="0F113188"/>
    <w:rsid w:val="0F4A0448"/>
    <w:rsid w:val="0F5512C6"/>
    <w:rsid w:val="0F566DED"/>
    <w:rsid w:val="0F735BF1"/>
    <w:rsid w:val="0F7756E1"/>
    <w:rsid w:val="0FA20284"/>
    <w:rsid w:val="0FB0474F"/>
    <w:rsid w:val="0FB415D5"/>
    <w:rsid w:val="0FCD5301"/>
    <w:rsid w:val="0FDD12BC"/>
    <w:rsid w:val="10204215"/>
    <w:rsid w:val="10260EB5"/>
    <w:rsid w:val="104B3917"/>
    <w:rsid w:val="107514F4"/>
    <w:rsid w:val="108D4A90"/>
    <w:rsid w:val="109127D2"/>
    <w:rsid w:val="10C761F4"/>
    <w:rsid w:val="10CA1F81"/>
    <w:rsid w:val="10DE52EC"/>
    <w:rsid w:val="11032084"/>
    <w:rsid w:val="111E1B8C"/>
    <w:rsid w:val="112371A2"/>
    <w:rsid w:val="113D0264"/>
    <w:rsid w:val="11716160"/>
    <w:rsid w:val="117B581C"/>
    <w:rsid w:val="118539B9"/>
    <w:rsid w:val="118F65E6"/>
    <w:rsid w:val="11951E4E"/>
    <w:rsid w:val="11AC0F46"/>
    <w:rsid w:val="11D87F8D"/>
    <w:rsid w:val="11DA1F57"/>
    <w:rsid w:val="11F052D6"/>
    <w:rsid w:val="121C60CC"/>
    <w:rsid w:val="12541D09"/>
    <w:rsid w:val="125E66E4"/>
    <w:rsid w:val="12A8305E"/>
    <w:rsid w:val="12A8611D"/>
    <w:rsid w:val="12B04A66"/>
    <w:rsid w:val="12B10F0A"/>
    <w:rsid w:val="12CA1FCB"/>
    <w:rsid w:val="12E0359D"/>
    <w:rsid w:val="12E219E8"/>
    <w:rsid w:val="12E7492B"/>
    <w:rsid w:val="13082AF4"/>
    <w:rsid w:val="13525B1D"/>
    <w:rsid w:val="1362032F"/>
    <w:rsid w:val="138E4DA7"/>
    <w:rsid w:val="139D148E"/>
    <w:rsid w:val="13AC16D1"/>
    <w:rsid w:val="13C06F2A"/>
    <w:rsid w:val="13C44583"/>
    <w:rsid w:val="13C54541"/>
    <w:rsid w:val="13CF0812"/>
    <w:rsid w:val="13DE56F5"/>
    <w:rsid w:val="13E250F3"/>
    <w:rsid w:val="13EE6AF0"/>
    <w:rsid w:val="13FD017F"/>
    <w:rsid w:val="14096BA4"/>
    <w:rsid w:val="141F00F5"/>
    <w:rsid w:val="142D2812"/>
    <w:rsid w:val="14382F65"/>
    <w:rsid w:val="14537D9F"/>
    <w:rsid w:val="146401FE"/>
    <w:rsid w:val="14991C55"/>
    <w:rsid w:val="14B24AC5"/>
    <w:rsid w:val="14D94748"/>
    <w:rsid w:val="14D964F6"/>
    <w:rsid w:val="14E1184E"/>
    <w:rsid w:val="14E7475B"/>
    <w:rsid w:val="151A266A"/>
    <w:rsid w:val="153876C0"/>
    <w:rsid w:val="154C316C"/>
    <w:rsid w:val="15897F1C"/>
    <w:rsid w:val="158A77F0"/>
    <w:rsid w:val="158E72E0"/>
    <w:rsid w:val="15B900D5"/>
    <w:rsid w:val="15C745A0"/>
    <w:rsid w:val="161D68B6"/>
    <w:rsid w:val="163C6D3C"/>
    <w:rsid w:val="165E3157"/>
    <w:rsid w:val="169326D4"/>
    <w:rsid w:val="16A668AC"/>
    <w:rsid w:val="16A86180"/>
    <w:rsid w:val="16AA5140"/>
    <w:rsid w:val="16B5089D"/>
    <w:rsid w:val="16DF3B6C"/>
    <w:rsid w:val="16E42F30"/>
    <w:rsid w:val="170F4451"/>
    <w:rsid w:val="172C5003"/>
    <w:rsid w:val="17441DA1"/>
    <w:rsid w:val="174560C4"/>
    <w:rsid w:val="17542220"/>
    <w:rsid w:val="179130B8"/>
    <w:rsid w:val="179E7583"/>
    <w:rsid w:val="17A81C09"/>
    <w:rsid w:val="17AE342C"/>
    <w:rsid w:val="17C90AA4"/>
    <w:rsid w:val="17F13B56"/>
    <w:rsid w:val="18090EA0"/>
    <w:rsid w:val="1817209B"/>
    <w:rsid w:val="181D2B9D"/>
    <w:rsid w:val="1833416F"/>
    <w:rsid w:val="187B4002"/>
    <w:rsid w:val="188E75F7"/>
    <w:rsid w:val="18AB63FB"/>
    <w:rsid w:val="18AC4015"/>
    <w:rsid w:val="18C15C1F"/>
    <w:rsid w:val="18C43019"/>
    <w:rsid w:val="18CB43A7"/>
    <w:rsid w:val="18D07C10"/>
    <w:rsid w:val="18F338FE"/>
    <w:rsid w:val="1901601B"/>
    <w:rsid w:val="1910625E"/>
    <w:rsid w:val="19377E5F"/>
    <w:rsid w:val="1943335F"/>
    <w:rsid w:val="194B54E8"/>
    <w:rsid w:val="196A3BC0"/>
    <w:rsid w:val="19A075E2"/>
    <w:rsid w:val="19B80DD0"/>
    <w:rsid w:val="1A116732"/>
    <w:rsid w:val="1A466BC3"/>
    <w:rsid w:val="1A4C59BC"/>
    <w:rsid w:val="1A530AF8"/>
    <w:rsid w:val="1A5F124B"/>
    <w:rsid w:val="1A9B5FFB"/>
    <w:rsid w:val="1AA807B0"/>
    <w:rsid w:val="1ABA0419"/>
    <w:rsid w:val="1ABC3B86"/>
    <w:rsid w:val="1AC15A62"/>
    <w:rsid w:val="1AD87250"/>
    <w:rsid w:val="1ADD6614"/>
    <w:rsid w:val="1ADF413A"/>
    <w:rsid w:val="1AEF6A73"/>
    <w:rsid w:val="1B0E2C71"/>
    <w:rsid w:val="1B301A83"/>
    <w:rsid w:val="1B3E3557"/>
    <w:rsid w:val="1B617245"/>
    <w:rsid w:val="1B636B19"/>
    <w:rsid w:val="1B6D5BEA"/>
    <w:rsid w:val="1B762CF0"/>
    <w:rsid w:val="1B860A5A"/>
    <w:rsid w:val="1BA333BA"/>
    <w:rsid w:val="1BB6133F"/>
    <w:rsid w:val="1BD87507"/>
    <w:rsid w:val="1C2269D4"/>
    <w:rsid w:val="1C4F3541"/>
    <w:rsid w:val="1C8E406A"/>
    <w:rsid w:val="1C99656B"/>
    <w:rsid w:val="1CA53161"/>
    <w:rsid w:val="1CB735C0"/>
    <w:rsid w:val="1D104A7F"/>
    <w:rsid w:val="1D5A219E"/>
    <w:rsid w:val="1D862F93"/>
    <w:rsid w:val="1E0839A8"/>
    <w:rsid w:val="1E636E30"/>
    <w:rsid w:val="1E641526"/>
    <w:rsid w:val="1E707ECB"/>
    <w:rsid w:val="1E9D67E6"/>
    <w:rsid w:val="1EA638ED"/>
    <w:rsid w:val="1EB63404"/>
    <w:rsid w:val="1EBB4EBE"/>
    <w:rsid w:val="1EBF689B"/>
    <w:rsid w:val="1EC51899"/>
    <w:rsid w:val="1EC57AEB"/>
    <w:rsid w:val="1EDA5344"/>
    <w:rsid w:val="1EE60968"/>
    <w:rsid w:val="1F0028D1"/>
    <w:rsid w:val="1F06438B"/>
    <w:rsid w:val="1F0D396C"/>
    <w:rsid w:val="1F100D66"/>
    <w:rsid w:val="1F2667DB"/>
    <w:rsid w:val="1F52137F"/>
    <w:rsid w:val="1F5C3FAB"/>
    <w:rsid w:val="1F5F584A"/>
    <w:rsid w:val="1F6E1F30"/>
    <w:rsid w:val="1F7C464D"/>
    <w:rsid w:val="1FB42039"/>
    <w:rsid w:val="1FBC4A4A"/>
    <w:rsid w:val="1FC658C9"/>
    <w:rsid w:val="1FCB7383"/>
    <w:rsid w:val="1FD91AA0"/>
    <w:rsid w:val="1FF16DE9"/>
    <w:rsid w:val="20000DDB"/>
    <w:rsid w:val="20140D2A"/>
    <w:rsid w:val="20176124"/>
    <w:rsid w:val="20196410"/>
    <w:rsid w:val="202C6073"/>
    <w:rsid w:val="204D5FEA"/>
    <w:rsid w:val="20711CD8"/>
    <w:rsid w:val="207401DD"/>
    <w:rsid w:val="208732AA"/>
    <w:rsid w:val="208C6B12"/>
    <w:rsid w:val="20A976C4"/>
    <w:rsid w:val="20B816B5"/>
    <w:rsid w:val="20DA53AA"/>
    <w:rsid w:val="20DB1848"/>
    <w:rsid w:val="20ED1916"/>
    <w:rsid w:val="215018EE"/>
    <w:rsid w:val="215313DE"/>
    <w:rsid w:val="21821CC3"/>
    <w:rsid w:val="219263AA"/>
    <w:rsid w:val="21CA5B44"/>
    <w:rsid w:val="21EB1616"/>
    <w:rsid w:val="21FB192E"/>
    <w:rsid w:val="22066450"/>
    <w:rsid w:val="220F79FB"/>
    <w:rsid w:val="221072CF"/>
    <w:rsid w:val="2229482B"/>
    <w:rsid w:val="222A213F"/>
    <w:rsid w:val="22401962"/>
    <w:rsid w:val="2245341D"/>
    <w:rsid w:val="225E628C"/>
    <w:rsid w:val="22625D7D"/>
    <w:rsid w:val="2268710B"/>
    <w:rsid w:val="22AA14D2"/>
    <w:rsid w:val="22D30A28"/>
    <w:rsid w:val="22D60519"/>
    <w:rsid w:val="22E5250A"/>
    <w:rsid w:val="23052BAC"/>
    <w:rsid w:val="230E1A60"/>
    <w:rsid w:val="23124131"/>
    <w:rsid w:val="232623FE"/>
    <w:rsid w:val="232E2103"/>
    <w:rsid w:val="238E3BA3"/>
    <w:rsid w:val="23A2644A"/>
    <w:rsid w:val="23A3664D"/>
    <w:rsid w:val="23D902C0"/>
    <w:rsid w:val="23EB7FF4"/>
    <w:rsid w:val="242B6642"/>
    <w:rsid w:val="24442C50"/>
    <w:rsid w:val="245272C7"/>
    <w:rsid w:val="245636BF"/>
    <w:rsid w:val="24A106B2"/>
    <w:rsid w:val="24A863B5"/>
    <w:rsid w:val="25317C88"/>
    <w:rsid w:val="254038D8"/>
    <w:rsid w:val="255E10AA"/>
    <w:rsid w:val="2572277A"/>
    <w:rsid w:val="259A6743"/>
    <w:rsid w:val="259B3353"/>
    <w:rsid w:val="25A16BBC"/>
    <w:rsid w:val="25AE7C80"/>
    <w:rsid w:val="25CE197B"/>
    <w:rsid w:val="25E42F4C"/>
    <w:rsid w:val="25ED0053"/>
    <w:rsid w:val="260333D3"/>
    <w:rsid w:val="26121868"/>
    <w:rsid w:val="26190E48"/>
    <w:rsid w:val="2650413E"/>
    <w:rsid w:val="2652799F"/>
    <w:rsid w:val="267C4F33"/>
    <w:rsid w:val="269229A8"/>
    <w:rsid w:val="26946721"/>
    <w:rsid w:val="26D27249"/>
    <w:rsid w:val="271D6716"/>
    <w:rsid w:val="27271343"/>
    <w:rsid w:val="276A7481"/>
    <w:rsid w:val="27750300"/>
    <w:rsid w:val="27822A1D"/>
    <w:rsid w:val="27B23302"/>
    <w:rsid w:val="27BD1CA7"/>
    <w:rsid w:val="27BE796C"/>
    <w:rsid w:val="27C76682"/>
    <w:rsid w:val="27DA086F"/>
    <w:rsid w:val="27E56B08"/>
    <w:rsid w:val="28292E99"/>
    <w:rsid w:val="28357A8F"/>
    <w:rsid w:val="284D6B87"/>
    <w:rsid w:val="286D0FD7"/>
    <w:rsid w:val="28946B3B"/>
    <w:rsid w:val="289478CD"/>
    <w:rsid w:val="289724F8"/>
    <w:rsid w:val="28BE0379"/>
    <w:rsid w:val="28C8445F"/>
    <w:rsid w:val="28ED036A"/>
    <w:rsid w:val="28F416F8"/>
    <w:rsid w:val="28FD67FF"/>
    <w:rsid w:val="290D36E2"/>
    <w:rsid w:val="290F02E0"/>
    <w:rsid w:val="290F208E"/>
    <w:rsid w:val="29235B3A"/>
    <w:rsid w:val="292518B2"/>
    <w:rsid w:val="292C49EE"/>
    <w:rsid w:val="294A2B7B"/>
    <w:rsid w:val="295403E9"/>
    <w:rsid w:val="295B52D4"/>
    <w:rsid w:val="29916F47"/>
    <w:rsid w:val="29E259F5"/>
    <w:rsid w:val="2A0C65CE"/>
    <w:rsid w:val="2A0D6521"/>
    <w:rsid w:val="2A0E0598"/>
    <w:rsid w:val="2A1F09F7"/>
    <w:rsid w:val="2A522B7B"/>
    <w:rsid w:val="2A570191"/>
    <w:rsid w:val="2A585CB7"/>
    <w:rsid w:val="2A6603D4"/>
    <w:rsid w:val="2A7E571E"/>
    <w:rsid w:val="2A88034A"/>
    <w:rsid w:val="2A8B7E3A"/>
    <w:rsid w:val="2A9E191C"/>
    <w:rsid w:val="2AC84BEB"/>
    <w:rsid w:val="2ACB0237"/>
    <w:rsid w:val="2AEC1E8B"/>
    <w:rsid w:val="2AF27EBA"/>
    <w:rsid w:val="2B0457EB"/>
    <w:rsid w:val="2B163BA8"/>
    <w:rsid w:val="2B7E52A9"/>
    <w:rsid w:val="2B8C2DFF"/>
    <w:rsid w:val="2B920D55"/>
    <w:rsid w:val="2BBD04C8"/>
    <w:rsid w:val="2BD55811"/>
    <w:rsid w:val="2BE710A1"/>
    <w:rsid w:val="2BFD08C4"/>
    <w:rsid w:val="2C4604BD"/>
    <w:rsid w:val="2C610E53"/>
    <w:rsid w:val="2C6C77F8"/>
    <w:rsid w:val="2C701096"/>
    <w:rsid w:val="2C7212B2"/>
    <w:rsid w:val="2C772424"/>
    <w:rsid w:val="2C9805ED"/>
    <w:rsid w:val="2CC969F8"/>
    <w:rsid w:val="2CCE2260"/>
    <w:rsid w:val="2CF10822"/>
    <w:rsid w:val="2D0637A8"/>
    <w:rsid w:val="2D200D0E"/>
    <w:rsid w:val="2D26209C"/>
    <w:rsid w:val="2D3E1194"/>
    <w:rsid w:val="2D4349FC"/>
    <w:rsid w:val="2D4A7B39"/>
    <w:rsid w:val="2D74105A"/>
    <w:rsid w:val="2D8A6187"/>
    <w:rsid w:val="2D9E60D7"/>
    <w:rsid w:val="2DA07759"/>
    <w:rsid w:val="2DD12008"/>
    <w:rsid w:val="2DE0049D"/>
    <w:rsid w:val="2DE97352"/>
    <w:rsid w:val="2E0E0B66"/>
    <w:rsid w:val="2E100D83"/>
    <w:rsid w:val="2E114AFB"/>
    <w:rsid w:val="2E2760CC"/>
    <w:rsid w:val="2E4E5407"/>
    <w:rsid w:val="2E6E69EE"/>
    <w:rsid w:val="2E755089"/>
    <w:rsid w:val="2E864BA1"/>
    <w:rsid w:val="2E8C76CD"/>
    <w:rsid w:val="2EA4771D"/>
    <w:rsid w:val="2EB45BB2"/>
    <w:rsid w:val="2EC61441"/>
    <w:rsid w:val="2ED00512"/>
    <w:rsid w:val="2EFE6E2D"/>
    <w:rsid w:val="2F236894"/>
    <w:rsid w:val="2F320885"/>
    <w:rsid w:val="2F452CAE"/>
    <w:rsid w:val="2F520F27"/>
    <w:rsid w:val="2F642A08"/>
    <w:rsid w:val="2F650C5A"/>
    <w:rsid w:val="2F6F7653"/>
    <w:rsid w:val="2FA31782"/>
    <w:rsid w:val="2FAD43AF"/>
    <w:rsid w:val="2FBB6ACC"/>
    <w:rsid w:val="301461DC"/>
    <w:rsid w:val="302D729E"/>
    <w:rsid w:val="3032417B"/>
    <w:rsid w:val="303348B4"/>
    <w:rsid w:val="30470360"/>
    <w:rsid w:val="304E7940"/>
    <w:rsid w:val="3054598C"/>
    <w:rsid w:val="30744ECD"/>
    <w:rsid w:val="308928A7"/>
    <w:rsid w:val="308E41E1"/>
    <w:rsid w:val="30EB33E1"/>
    <w:rsid w:val="30F32296"/>
    <w:rsid w:val="30FA690C"/>
    <w:rsid w:val="310F3573"/>
    <w:rsid w:val="312F0409"/>
    <w:rsid w:val="31305298"/>
    <w:rsid w:val="3149291E"/>
    <w:rsid w:val="318C6F4C"/>
    <w:rsid w:val="319121DA"/>
    <w:rsid w:val="31996BAE"/>
    <w:rsid w:val="31B163D9"/>
    <w:rsid w:val="31F938DC"/>
    <w:rsid w:val="32270449"/>
    <w:rsid w:val="322B4EB9"/>
    <w:rsid w:val="3234700A"/>
    <w:rsid w:val="323668DE"/>
    <w:rsid w:val="324059AE"/>
    <w:rsid w:val="3244724D"/>
    <w:rsid w:val="32672F3B"/>
    <w:rsid w:val="327318E0"/>
    <w:rsid w:val="32753CB8"/>
    <w:rsid w:val="32BB6DE3"/>
    <w:rsid w:val="32C4038E"/>
    <w:rsid w:val="32C71C2C"/>
    <w:rsid w:val="32D700C1"/>
    <w:rsid w:val="32D83E39"/>
    <w:rsid w:val="32D85BE7"/>
    <w:rsid w:val="32E60ABA"/>
    <w:rsid w:val="32F01183"/>
    <w:rsid w:val="33272C01"/>
    <w:rsid w:val="33661445"/>
    <w:rsid w:val="336F1A9F"/>
    <w:rsid w:val="336F654B"/>
    <w:rsid w:val="3381002D"/>
    <w:rsid w:val="3397308D"/>
    <w:rsid w:val="33B87818"/>
    <w:rsid w:val="33C323F3"/>
    <w:rsid w:val="33CC574C"/>
    <w:rsid w:val="33CD3272"/>
    <w:rsid w:val="341727DA"/>
    <w:rsid w:val="341B5449"/>
    <w:rsid w:val="3422536C"/>
    <w:rsid w:val="342F5CDB"/>
    <w:rsid w:val="34337579"/>
    <w:rsid w:val="343D3142"/>
    <w:rsid w:val="3454129D"/>
    <w:rsid w:val="34727975"/>
    <w:rsid w:val="34790D04"/>
    <w:rsid w:val="348558FB"/>
    <w:rsid w:val="34873421"/>
    <w:rsid w:val="348F6779"/>
    <w:rsid w:val="34A17A33"/>
    <w:rsid w:val="34C401D1"/>
    <w:rsid w:val="34CB5A03"/>
    <w:rsid w:val="34D16D92"/>
    <w:rsid w:val="350B22A4"/>
    <w:rsid w:val="35335914"/>
    <w:rsid w:val="35470E02"/>
    <w:rsid w:val="354B6B44"/>
    <w:rsid w:val="35586B6B"/>
    <w:rsid w:val="355A0B35"/>
    <w:rsid w:val="35611EC4"/>
    <w:rsid w:val="356B4AF0"/>
    <w:rsid w:val="357C0AAC"/>
    <w:rsid w:val="357C6CFE"/>
    <w:rsid w:val="35B00755"/>
    <w:rsid w:val="35D22DC1"/>
    <w:rsid w:val="35F42D38"/>
    <w:rsid w:val="360A60B7"/>
    <w:rsid w:val="361A2073"/>
    <w:rsid w:val="362F5B1E"/>
    <w:rsid w:val="36315D3A"/>
    <w:rsid w:val="364C66D0"/>
    <w:rsid w:val="3660217B"/>
    <w:rsid w:val="366F6862"/>
    <w:rsid w:val="36AA2B75"/>
    <w:rsid w:val="36C721FA"/>
    <w:rsid w:val="36DB3EF8"/>
    <w:rsid w:val="37192788"/>
    <w:rsid w:val="3736112E"/>
    <w:rsid w:val="37773C20"/>
    <w:rsid w:val="3784633D"/>
    <w:rsid w:val="378D6FA0"/>
    <w:rsid w:val="379C3687"/>
    <w:rsid w:val="37A34A15"/>
    <w:rsid w:val="37A367C3"/>
    <w:rsid w:val="37A442EA"/>
    <w:rsid w:val="37AE6F16"/>
    <w:rsid w:val="37BC1633"/>
    <w:rsid w:val="37CB536B"/>
    <w:rsid w:val="38207E14"/>
    <w:rsid w:val="3829789E"/>
    <w:rsid w:val="382C76D4"/>
    <w:rsid w:val="38564B50"/>
    <w:rsid w:val="385C6972"/>
    <w:rsid w:val="387B329C"/>
    <w:rsid w:val="389E51DD"/>
    <w:rsid w:val="38CA1FBC"/>
    <w:rsid w:val="38CF5396"/>
    <w:rsid w:val="38EC7CF6"/>
    <w:rsid w:val="38F60B75"/>
    <w:rsid w:val="390913A8"/>
    <w:rsid w:val="391159AF"/>
    <w:rsid w:val="39180AEB"/>
    <w:rsid w:val="391F631E"/>
    <w:rsid w:val="39227BBC"/>
    <w:rsid w:val="392A6A70"/>
    <w:rsid w:val="3936665A"/>
    <w:rsid w:val="3942200C"/>
    <w:rsid w:val="395F671A"/>
    <w:rsid w:val="39644A2A"/>
    <w:rsid w:val="396C0E37"/>
    <w:rsid w:val="399379B2"/>
    <w:rsid w:val="39A607ED"/>
    <w:rsid w:val="39AE31FE"/>
    <w:rsid w:val="39BD78E5"/>
    <w:rsid w:val="39F07CBA"/>
    <w:rsid w:val="39FF1CAB"/>
    <w:rsid w:val="3A26548A"/>
    <w:rsid w:val="3A541FF7"/>
    <w:rsid w:val="3A59760D"/>
    <w:rsid w:val="3A976388"/>
    <w:rsid w:val="3AB40CE8"/>
    <w:rsid w:val="3AC95E1B"/>
    <w:rsid w:val="3ADD023E"/>
    <w:rsid w:val="3AE01ADD"/>
    <w:rsid w:val="3B084B8F"/>
    <w:rsid w:val="3B2E3530"/>
    <w:rsid w:val="3B693880"/>
    <w:rsid w:val="3BBD1E1E"/>
    <w:rsid w:val="3BCE402B"/>
    <w:rsid w:val="3BE15B0C"/>
    <w:rsid w:val="3C047A4D"/>
    <w:rsid w:val="3C2459F9"/>
    <w:rsid w:val="3C4542ED"/>
    <w:rsid w:val="3C485B8B"/>
    <w:rsid w:val="3C6106F2"/>
    <w:rsid w:val="3C7474B8"/>
    <w:rsid w:val="3C8B3CCA"/>
    <w:rsid w:val="3C931926"/>
    <w:rsid w:val="3C97441D"/>
    <w:rsid w:val="3CA8487C"/>
    <w:rsid w:val="3CC571DC"/>
    <w:rsid w:val="3CE753A4"/>
    <w:rsid w:val="3D18555E"/>
    <w:rsid w:val="3D401E19"/>
    <w:rsid w:val="3D597924"/>
    <w:rsid w:val="3D624A2B"/>
    <w:rsid w:val="3D683537"/>
    <w:rsid w:val="3D801355"/>
    <w:rsid w:val="3DB50FFF"/>
    <w:rsid w:val="3DD05E38"/>
    <w:rsid w:val="3DE2791A"/>
    <w:rsid w:val="3DE33F6B"/>
    <w:rsid w:val="3E0B50C2"/>
    <w:rsid w:val="3E171CB9"/>
    <w:rsid w:val="3E3F4D6C"/>
    <w:rsid w:val="3E6B3DB3"/>
    <w:rsid w:val="3E6B790F"/>
    <w:rsid w:val="3E6D3687"/>
    <w:rsid w:val="3E8B7FB1"/>
    <w:rsid w:val="3EAD617A"/>
    <w:rsid w:val="3ED92ACB"/>
    <w:rsid w:val="3F0D4E6A"/>
    <w:rsid w:val="3F1461F9"/>
    <w:rsid w:val="3F255D10"/>
    <w:rsid w:val="3F341641"/>
    <w:rsid w:val="3F60143E"/>
    <w:rsid w:val="3F6A406B"/>
    <w:rsid w:val="3F7171A7"/>
    <w:rsid w:val="3F7647BE"/>
    <w:rsid w:val="3F7D3D9E"/>
    <w:rsid w:val="3F824E8C"/>
    <w:rsid w:val="3FAA090B"/>
    <w:rsid w:val="3FB331E1"/>
    <w:rsid w:val="3FDD65EB"/>
    <w:rsid w:val="40171C89"/>
    <w:rsid w:val="406C133E"/>
    <w:rsid w:val="40743C2F"/>
    <w:rsid w:val="40784565"/>
    <w:rsid w:val="40844CB8"/>
    <w:rsid w:val="409969B6"/>
    <w:rsid w:val="40A435AC"/>
    <w:rsid w:val="40AF1110"/>
    <w:rsid w:val="40BE01CA"/>
    <w:rsid w:val="40DC68A2"/>
    <w:rsid w:val="40E85247"/>
    <w:rsid w:val="40F260C6"/>
    <w:rsid w:val="40F75247"/>
    <w:rsid w:val="40F77B80"/>
    <w:rsid w:val="411E12C9"/>
    <w:rsid w:val="41210759"/>
    <w:rsid w:val="41265D6F"/>
    <w:rsid w:val="412F731A"/>
    <w:rsid w:val="41361918"/>
    <w:rsid w:val="41720FB5"/>
    <w:rsid w:val="41857863"/>
    <w:rsid w:val="418A6353"/>
    <w:rsid w:val="41A05B22"/>
    <w:rsid w:val="41C17B42"/>
    <w:rsid w:val="41F93484"/>
    <w:rsid w:val="41FA7928"/>
    <w:rsid w:val="424D3EFC"/>
    <w:rsid w:val="427174BE"/>
    <w:rsid w:val="428D254A"/>
    <w:rsid w:val="42AB6E74"/>
    <w:rsid w:val="42D068DB"/>
    <w:rsid w:val="42EB7271"/>
    <w:rsid w:val="42F92F33"/>
    <w:rsid w:val="43763B0B"/>
    <w:rsid w:val="438751EB"/>
    <w:rsid w:val="438F40A0"/>
    <w:rsid w:val="4391606A"/>
    <w:rsid w:val="439E0787"/>
    <w:rsid w:val="43A23DD3"/>
    <w:rsid w:val="43B117D6"/>
    <w:rsid w:val="43BE0FD2"/>
    <w:rsid w:val="43C20EE5"/>
    <w:rsid w:val="43F565F9"/>
    <w:rsid w:val="440426ED"/>
    <w:rsid w:val="440C3942"/>
    <w:rsid w:val="441A7E0D"/>
    <w:rsid w:val="443469F5"/>
    <w:rsid w:val="444634F5"/>
    <w:rsid w:val="44496945"/>
    <w:rsid w:val="444E5D09"/>
    <w:rsid w:val="44550E45"/>
    <w:rsid w:val="445B21D4"/>
    <w:rsid w:val="446C2633"/>
    <w:rsid w:val="44703ED1"/>
    <w:rsid w:val="4475773A"/>
    <w:rsid w:val="4492209A"/>
    <w:rsid w:val="44B02520"/>
    <w:rsid w:val="44D22496"/>
    <w:rsid w:val="44D426B2"/>
    <w:rsid w:val="44DA57EF"/>
    <w:rsid w:val="44E623E5"/>
    <w:rsid w:val="45232CF2"/>
    <w:rsid w:val="45254284"/>
    <w:rsid w:val="45563B4C"/>
    <w:rsid w:val="45A51959"/>
    <w:rsid w:val="45B778DE"/>
    <w:rsid w:val="45C1250B"/>
    <w:rsid w:val="45C75D73"/>
    <w:rsid w:val="45CB4971"/>
    <w:rsid w:val="45DE30BD"/>
    <w:rsid w:val="45E306D3"/>
    <w:rsid w:val="45F11042"/>
    <w:rsid w:val="45FE72BB"/>
    <w:rsid w:val="4654512D"/>
    <w:rsid w:val="46603AD2"/>
    <w:rsid w:val="4667038F"/>
    <w:rsid w:val="467852BF"/>
    <w:rsid w:val="469A3487"/>
    <w:rsid w:val="46F96400"/>
    <w:rsid w:val="470F5538"/>
    <w:rsid w:val="47134FE8"/>
    <w:rsid w:val="4723522B"/>
    <w:rsid w:val="473236C0"/>
    <w:rsid w:val="477535AD"/>
    <w:rsid w:val="47767A51"/>
    <w:rsid w:val="47B406DC"/>
    <w:rsid w:val="47C63E08"/>
    <w:rsid w:val="47E86474"/>
    <w:rsid w:val="480F3A01"/>
    <w:rsid w:val="485D29BF"/>
    <w:rsid w:val="485E2293"/>
    <w:rsid w:val="48686BDB"/>
    <w:rsid w:val="48B87BF5"/>
    <w:rsid w:val="49105C83"/>
    <w:rsid w:val="49211C3E"/>
    <w:rsid w:val="492360EA"/>
    <w:rsid w:val="495C67D2"/>
    <w:rsid w:val="496C18D9"/>
    <w:rsid w:val="4989360C"/>
    <w:rsid w:val="49940662"/>
    <w:rsid w:val="49A14B2D"/>
    <w:rsid w:val="49A85EBB"/>
    <w:rsid w:val="49A95790"/>
    <w:rsid w:val="49BB5BEF"/>
    <w:rsid w:val="49C32CF5"/>
    <w:rsid w:val="49D00F6E"/>
    <w:rsid w:val="49E1317B"/>
    <w:rsid w:val="49E14F29"/>
    <w:rsid w:val="49EC3FFA"/>
    <w:rsid w:val="4A45370A"/>
    <w:rsid w:val="4A660114"/>
    <w:rsid w:val="4A7A7858"/>
    <w:rsid w:val="4A895CED"/>
    <w:rsid w:val="4AB56AE2"/>
    <w:rsid w:val="4AF173EE"/>
    <w:rsid w:val="4B1F03FF"/>
    <w:rsid w:val="4B245A16"/>
    <w:rsid w:val="4B35377F"/>
    <w:rsid w:val="4B3A6FE7"/>
    <w:rsid w:val="4B4614E8"/>
    <w:rsid w:val="4B910C94"/>
    <w:rsid w:val="4BA206E8"/>
    <w:rsid w:val="4BC845F3"/>
    <w:rsid w:val="4BE331DB"/>
    <w:rsid w:val="4BE61627"/>
    <w:rsid w:val="4BE64A79"/>
    <w:rsid w:val="4C107D48"/>
    <w:rsid w:val="4C147838"/>
    <w:rsid w:val="4C1A4723"/>
    <w:rsid w:val="4C23336B"/>
    <w:rsid w:val="4C39729F"/>
    <w:rsid w:val="4C63256E"/>
    <w:rsid w:val="4C72455F"/>
    <w:rsid w:val="4C8F3CB7"/>
    <w:rsid w:val="4CA0731E"/>
    <w:rsid w:val="4CAA5AA7"/>
    <w:rsid w:val="4CAE37E9"/>
    <w:rsid w:val="4CC6615D"/>
    <w:rsid w:val="4CCE2CFE"/>
    <w:rsid w:val="4CD3324F"/>
    <w:rsid w:val="4CD34FFD"/>
    <w:rsid w:val="4CD86AB8"/>
    <w:rsid w:val="4CDA769D"/>
    <w:rsid w:val="4CDB2104"/>
    <w:rsid w:val="4CE87A1F"/>
    <w:rsid w:val="4CEC2563"/>
    <w:rsid w:val="4D0B3391"/>
    <w:rsid w:val="4D2E492A"/>
    <w:rsid w:val="4D3D691B"/>
    <w:rsid w:val="4D551EB6"/>
    <w:rsid w:val="4D6420F9"/>
    <w:rsid w:val="4D902EEE"/>
    <w:rsid w:val="4D950505"/>
    <w:rsid w:val="4D984FB4"/>
    <w:rsid w:val="4DC1754C"/>
    <w:rsid w:val="4DD454D1"/>
    <w:rsid w:val="4DE167DD"/>
    <w:rsid w:val="4DE44FE8"/>
    <w:rsid w:val="4E2468B8"/>
    <w:rsid w:val="4E315298"/>
    <w:rsid w:val="4E3E6DEE"/>
    <w:rsid w:val="4E4571AB"/>
    <w:rsid w:val="4E4B32B9"/>
    <w:rsid w:val="4E4F6905"/>
    <w:rsid w:val="4E612ADD"/>
    <w:rsid w:val="4E683E6B"/>
    <w:rsid w:val="4E6A7BE3"/>
    <w:rsid w:val="4E751761"/>
    <w:rsid w:val="4E824F2D"/>
    <w:rsid w:val="4E992277"/>
    <w:rsid w:val="4EA74993"/>
    <w:rsid w:val="4EE334F2"/>
    <w:rsid w:val="4EE74D90"/>
    <w:rsid w:val="4EF2258E"/>
    <w:rsid w:val="4EFC0A88"/>
    <w:rsid w:val="4F0A4F22"/>
    <w:rsid w:val="4F0E67C1"/>
    <w:rsid w:val="4F1A33B7"/>
    <w:rsid w:val="4F1B52F5"/>
    <w:rsid w:val="4F367AC5"/>
    <w:rsid w:val="4F3B50DC"/>
    <w:rsid w:val="4F412C02"/>
    <w:rsid w:val="4F4977F9"/>
    <w:rsid w:val="4F5368C9"/>
    <w:rsid w:val="4F7306F5"/>
    <w:rsid w:val="4F7A20A8"/>
    <w:rsid w:val="4F7F146C"/>
    <w:rsid w:val="4F934F18"/>
    <w:rsid w:val="4F980780"/>
    <w:rsid w:val="4FA64C4B"/>
    <w:rsid w:val="4FB05ACA"/>
    <w:rsid w:val="4FB07878"/>
    <w:rsid w:val="4FDC68BF"/>
    <w:rsid w:val="4FF04118"/>
    <w:rsid w:val="4FF05EC6"/>
    <w:rsid w:val="4FFF435B"/>
    <w:rsid w:val="4FFF6109"/>
    <w:rsid w:val="50120532"/>
    <w:rsid w:val="50131BB5"/>
    <w:rsid w:val="503C55AF"/>
    <w:rsid w:val="50642410"/>
    <w:rsid w:val="506A3ECB"/>
    <w:rsid w:val="506A5C79"/>
    <w:rsid w:val="50970A38"/>
    <w:rsid w:val="50A0169A"/>
    <w:rsid w:val="50B05655"/>
    <w:rsid w:val="50C730CB"/>
    <w:rsid w:val="50CC0757"/>
    <w:rsid w:val="51024103"/>
    <w:rsid w:val="510D2AA8"/>
    <w:rsid w:val="51173B8B"/>
    <w:rsid w:val="51215BBC"/>
    <w:rsid w:val="51340035"/>
    <w:rsid w:val="513D513B"/>
    <w:rsid w:val="51A647D1"/>
    <w:rsid w:val="51A96C75"/>
    <w:rsid w:val="521C2FA3"/>
    <w:rsid w:val="523D453F"/>
    <w:rsid w:val="524A3FB4"/>
    <w:rsid w:val="5251113A"/>
    <w:rsid w:val="5253273C"/>
    <w:rsid w:val="526037D7"/>
    <w:rsid w:val="52816C33"/>
    <w:rsid w:val="528B637A"/>
    <w:rsid w:val="529A65BD"/>
    <w:rsid w:val="52CF270B"/>
    <w:rsid w:val="52D7336D"/>
    <w:rsid w:val="53360094"/>
    <w:rsid w:val="53370074"/>
    <w:rsid w:val="535350EA"/>
    <w:rsid w:val="538E7ED0"/>
    <w:rsid w:val="53A771E4"/>
    <w:rsid w:val="53AE2320"/>
    <w:rsid w:val="53B92A73"/>
    <w:rsid w:val="53D855EF"/>
    <w:rsid w:val="53D8739D"/>
    <w:rsid w:val="53EB5322"/>
    <w:rsid w:val="540463E4"/>
    <w:rsid w:val="542919A7"/>
    <w:rsid w:val="54300F87"/>
    <w:rsid w:val="543C5B7E"/>
    <w:rsid w:val="54556C40"/>
    <w:rsid w:val="54801BFC"/>
    <w:rsid w:val="54931516"/>
    <w:rsid w:val="549F610D"/>
    <w:rsid w:val="54A31759"/>
    <w:rsid w:val="54B95421"/>
    <w:rsid w:val="54FD0A7F"/>
    <w:rsid w:val="54FE4BE1"/>
    <w:rsid w:val="5512068D"/>
    <w:rsid w:val="5527238A"/>
    <w:rsid w:val="55313209"/>
    <w:rsid w:val="554A42CB"/>
    <w:rsid w:val="555E38D2"/>
    <w:rsid w:val="555E7D76"/>
    <w:rsid w:val="5587107B"/>
    <w:rsid w:val="55967510"/>
    <w:rsid w:val="55E91F5E"/>
    <w:rsid w:val="55EA33B8"/>
    <w:rsid w:val="55F873F7"/>
    <w:rsid w:val="55F935FB"/>
    <w:rsid w:val="560B3A5A"/>
    <w:rsid w:val="56150435"/>
    <w:rsid w:val="563034C0"/>
    <w:rsid w:val="56356D29"/>
    <w:rsid w:val="5640122A"/>
    <w:rsid w:val="564B02FA"/>
    <w:rsid w:val="56580D9A"/>
    <w:rsid w:val="56772E9D"/>
    <w:rsid w:val="5684380C"/>
    <w:rsid w:val="56927CD7"/>
    <w:rsid w:val="569E48CE"/>
    <w:rsid w:val="56A17F1A"/>
    <w:rsid w:val="56E878F7"/>
    <w:rsid w:val="56FB6E67"/>
    <w:rsid w:val="570566FB"/>
    <w:rsid w:val="5718669A"/>
    <w:rsid w:val="571B5F1F"/>
    <w:rsid w:val="572B3928"/>
    <w:rsid w:val="573174F0"/>
    <w:rsid w:val="573214BA"/>
    <w:rsid w:val="57325016"/>
    <w:rsid w:val="573D15CA"/>
    <w:rsid w:val="57476D14"/>
    <w:rsid w:val="577E200A"/>
    <w:rsid w:val="577E46FF"/>
    <w:rsid w:val="57947A7F"/>
    <w:rsid w:val="57A31A70"/>
    <w:rsid w:val="57A852D8"/>
    <w:rsid w:val="57B819BF"/>
    <w:rsid w:val="58020E8D"/>
    <w:rsid w:val="580469B3"/>
    <w:rsid w:val="5805272B"/>
    <w:rsid w:val="58094E46"/>
    <w:rsid w:val="580E770A"/>
    <w:rsid w:val="58353010"/>
    <w:rsid w:val="58373F05"/>
    <w:rsid w:val="585316E8"/>
    <w:rsid w:val="586438F5"/>
    <w:rsid w:val="58647451"/>
    <w:rsid w:val="5875340D"/>
    <w:rsid w:val="587673A6"/>
    <w:rsid w:val="587B479B"/>
    <w:rsid w:val="5894033E"/>
    <w:rsid w:val="589F492D"/>
    <w:rsid w:val="58A9755A"/>
    <w:rsid w:val="58B008E9"/>
    <w:rsid w:val="58B26EC7"/>
    <w:rsid w:val="58DF19DA"/>
    <w:rsid w:val="58E3481A"/>
    <w:rsid w:val="59305585"/>
    <w:rsid w:val="5939706E"/>
    <w:rsid w:val="59407EBE"/>
    <w:rsid w:val="59480B21"/>
    <w:rsid w:val="59513E7A"/>
    <w:rsid w:val="5963158C"/>
    <w:rsid w:val="59633BAD"/>
    <w:rsid w:val="596D67DA"/>
    <w:rsid w:val="598B6C60"/>
    <w:rsid w:val="59B63CDD"/>
    <w:rsid w:val="59C06909"/>
    <w:rsid w:val="59E009DF"/>
    <w:rsid w:val="5A0148B9"/>
    <w:rsid w:val="5A1629CD"/>
    <w:rsid w:val="5A1B4488"/>
    <w:rsid w:val="5A1E1882"/>
    <w:rsid w:val="5A4A5AF5"/>
    <w:rsid w:val="5A53777D"/>
    <w:rsid w:val="5AA4447D"/>
    <w:rsid w:val="5ABF613D"/>
    <w:rsid w:val="5ACD5782"/>
    <w:rsid w:val="5AE12FDB"/>
    <w:rsid w:val="5AFF7905"/>
    <w:rsid w:val="5B0E7B48"/>
    <w:rsid w:val="5B1A64ED"/>
    <w:rsid w:val="5B6854AA"/>
    <w:rsid w:val="5B7B3430"/>
    <w:rsid w:val="5B855579"/>
    <w:rsid w:val="5B8C73EB"/>
    <w:rsid w:val="5B90055D"/>
    <w:rsid w:val="5B9462A0"/>
    <w:rsid w:val="5C0276AD"/>
    <w:rsid w:val="5C074CC3"/>
    <w:rsid w:val="5C163158"/>
    <w:rsid w:val="5C2C472A"/>
    <w:rsid w:val="5C621EFA"/>
    <w:rsid w:val="5C9347A9"/>
    <w:rsid w:val="5C9B540C"/>
    <w:rsid w:val="5CB36BF9"/>
    <w:rsid w:val="5CB70498"/>
    <w:rsid w:val="5CC130C4"/>
    <w:rsid w:val="5CCB5CF1"/>
    <w:rsid w:val="5CCE08FE"/>
    <w:rsid w:val="5CDF354A"/>
    <w:rsid w:val="5CF8285E"/>
    <w:rsid w:val="5D080CF3"/>
    <w:rsid w:val="5D172CE4"/>
    <w:rsid w:val="5D323FC2"/>
    <w:rsid w:val="5D4C4CF3"/>
    <w:rsid w:val="5D956FF3"/>
    <w:rsid w:val="5DA14CA4"/>
    <w:rsid w:val="5DAD3649"/>
    <w:rsid w:val="5DBF5C0A"/>
    <w:rsid w:val="5DC56BE4"/>
    <w:rsid w:val="5DE60909"/>
    <w:rsid w:val="5DF03535"/>
    <w:rsid w:val="5DF41277"/>
    <w:rsid w:val="5E1E00A2"/>
    <w:rsid w:val="5E2558D5"/>
    <w:rsid w:val="5E323B4E"/>
    <w:rsid w:val="5E394EDC"/>
    <w:rsid w:val="5E5E4943"/>
    <w:rsid w:val="5E604B5F"/>
    <w:rsid w:val="5E7303EE"/>
    <w:rsid w:val="5E7E6D93"/>
    <w:rsid w:val="5E84188B"/>
    <w:rsid w:val="5E9D546B"/>
    <w:rsid w:val="5EA902B4"/>
    <w:rsid w:val="5EC073AC"/>
    <w:rsid w:val="5EC818D1"/>
    <w:rsid w:val="5EC944B2"/>
    <w:rsid w:val="5EE017FC"/>
    <w:rsid w:val="5F0059FA"/>
    <w:rsid w:val="5F1C2834"/>
    <w:rsid w:val="5F28567D"/>
    <w:rsid w:val="5F3A53B0"/>
    <w:rsid w:val="5F4C0C3F"/>
    <w:rsid w:val="5F645F89"/>
    <w:rsid w:val="5F944AC0"/>
    <w:rsid w:val="5FD44EBD"/>
    <w:rsid w:val="5FE570CA"/>
    <w:rsid w:val="6014175D"/>
    <w:rsid w:val="602C4CF9"/>
    <w:rsid w:val="60367925"/>
    <w:rsid w:val="60692C88"/>
    <w:rsid w:val="60AA20C1"/>
    <w:rsid w:val="60AD6EA0"/>
    <w:rsid w:val="60B30F76"/>
    <w:rsid w:val="60BD1DF5"/>
    <w:rsid w:val="60C211B9"/>
    <w:rsid w:val="60DF1D6B"/>
    <w:rsid w:val="60E03D35"/>
    <w:rsid w:val="60F17CF0"/>
    <w:rsid w:val="61023CAB"/>
    <w:rsid w:val="6109328C"/>
    <w:rsid w:val="610A4208"/>
    <w:rsid w:val="612C6F7A"/>
    <w:rsid w:val="612D18A0"/>
    <w:rsid w:val="61357BDD"/>
    <w:rsid w:val="614B4ACA"/>
    <w:rsid w:val="61677FB2"/>
    <w:rsid w:val="61761FA3"/>
    <w:rsid w:val="617F52FC"/>
    <w:rsid w:val="61A30FEA"/>
    <w:rsid w:val="61AB4343"/>
    <w:rsid w:val="61C420EE"/>
    <w:rsid w:val="61EA6C19"/>
    <w:rsid w:val="62061579"/>
    <w:rsid w:val="621B3277"/>
    <w:rsid w:val="622540F5"/>
    <w:rsid w:val="624665A5"/>
    <w:rsid w:val="624F1172"/>
    <w:rsid w:val="625422E5"/>
    <w:rsid w:val="627D5CDF"/>
    <w:rsid w:val="62894684"/>
    <w:rsid w:val="628C7CD0"/>
    <w:rsid w:val="628F5A13"/>
    <w:rsid w:val="62BB05B6"/>
    <w:rsid w:val="62BE2E26"/>
    <w:rsid w:val="62C51434"/>
    <w:rsid w:val="62C6396E"/>
    <w:rsid w:val="62CA25A7"/>
    <w:rsid w:val="62CE02E9"/>
    <w:rsid w:val="63416D0D"/>
    <w:rsid w:val="6367429A"/>
    <w:rsid w:val="637F5A87"/>
    <w:rsid w:val="638135AD"/>
    <w:rsid w:val="63911317"/>
    <w:rsid w:val="63C57BFC"/>
    <w:rsid w:val="63DF02D4"/>
    <w:rsid w:val="63FD075A"/>
    <w:rsid w:val="640E2967"/>
    <w:rsid w:val="6417181C"/>
    <w:rsid w:val="64526CF8"/>
    <w:rsid w:val="645446EA"/>
    <w:rsid w:val="645B0956"/>
    <w:rsid w:val="646870C7"/>
    <w:rsid w:val="64836EB1"/>
    <w:rsid w:val="64A37553"/>
    <w:rsid w:val="64AD3F2E"/>
    <w:rsid w:val="64AE06C7"/>
    <w:rsid w:val="64AF5EF8"/>
    <w:rsid w:val="64C03C61"/>
    <w:rsid w:val="64E738E4"/>
    <w:rsid w:val="64F83738"/>
    <w:rsid w:val="654523B9"/>
    <w:rsid w:val="654900FB"/>
    <w:rsid w:val="654E3963"/>
    <w:rsid w:val="654F4FE5"/>
    <w:rsid w:val="6554084E"/>
    <w:rsid w:val="656071F2"/>
    <w:rsid w:val="65B03CD6"/>
    <w:rsid w:val="65D44D04"/>
    <w:rsid w:val="65F938CF"/>
    <w:rsid w:val="66033642"/>
    <w:rsid w:val="660B3602"/>
    <w:rsid w:val="663743F7"/>
    <w:rsid w:val="663C7C5F"/>
    <w:rsid w:val="6646463A"/>
    <w:rsid w:val="6650370B"/>
    <w:rsid w:val="665C2657"/>
    <w:rsid w:val="665C66CA"/>
    <w:rsid w:val="66817D8A"/>
    <w:rsid w:val="66884C53"/>
    <w:rsid w:val="66A51361"/>
    <w:rsid w:val="66E71979"/>
    <w:rsid w:val="67024A05"/>
    <w:rsid w:val="6712451C"/>
    <w:rsid w:val="672D1356"/>
    <w:rsid w:val="672F3320"/>
    <w:rsid w:val="67544B35"/>
    <w:rsid w:val="67550FD9"/>
    <w:rsid w:val="675F3C06"/>
    <w:rsid w:val="676463C0"/>
    <w:rsid w:val="67682EE9"/>
    <w:rsid w:val="676A6106"/>
    <w:rsid w:val="676C00D0"/>
    <w:rsid w:val="67801DCE"/>
    <w:rsid w:val="67892A30"/>
    <w:rsid w:val="678E44EB"/>
    <w:rsid w:val="67B35CFF"/>
    <w:rsid w:val="67BF28F6"/>
    <w:rsid w:val="67C82386"/>
    <w:rsid w:val="67DB0DB2"/>
    <w:rsid w:val="67FF7197"/>
    <w:rsid w:val="68232E85"/>
    <w:rsid w:val="68437083"/>
    <w:rsid w:val="687011B3"/>
    <w:rsid w:val="68755967"/>
    <w:rsid w:val="68790CF7"/>
    <w:rsid w:val="687922FA"/>
    <w:rsid w:val="68863282"/>
    <w:rsid w:val="689E250C"/>
    <w:rsid w:val="68A51AEC"/>
    <w:rsid w:val="68B327D3"/>
    <w:rsid w:val="68DD7E80"/>
    <w:rsid w:val="68E343C2"/>
    <w:rsid w:val="68F71C1C"/>
    <w:rsid w:val="693D1D24"/>
    <w:rsid w:val="69450BD9"/>
    <w:rsid w:val="694D7B54"/>
    <w:rsid w:val="695D5F23"/>
    <w:rsid w:val="697257F6"/>
    <w:rsid w:val="698931BC"/>
    <w:rsid w:val="69D106BF"/>
    <w:rsid w:val="69D56401"/>
    <w:rsid w:val="69D87C9F"/>
    <w:rsid w:val="6A0171F6"/>
    <w:rsid w:val="6A222CC8"/>
    <w:rsid w:val="6A3A2708"/>
    <w:rsid w:val="6A4470E3"/>
    <w:rsid w:val="6A7774B8"/>
    <w:rsid w:val="6A90057A"/>
    <w:rsid w:val="6AC02C0D"/>
    <w:rsid w:val="6AE0505D"/>
    <w:rsid w:val="6AEB57B0"/>
    <w:rsid w:val="6AF6662F"/>
    <w:rsid w:val="6AF74155"/>
    <w:rsid w:val="6B1C3BBC"/>
    <w:rsid w:val="6B234F4A"/>
    <w:rsid w:val="6B4E646B"/>
    <w:rsid w:val="6B6537B4"/>
    <w:rsid w:val="6B791801"/>
    <w:rsid w:val="6B7E03D2"/>
    <w:rsid w:val="6B7E4876"/>
    <w:rsid w:val="6B99750F"/>
    <w:rsid w:val="6BAE0CB8"/>
    <w:rsid w:val="6C382C77"/>
    <w:rsid w:val="6C43012C"/>
    <w:rsid w:val="6C4909E0"/>
    <w:rsid w:val="6C7353BC"/>
    <w:rsid w:val="6C7F2654"/>
    <w:rsid w:val="6CBE5332"/>
    <w:rsid w:val="6CCD47CB"/>
    <w:rsid w:val="6CCF5389"/>
    <w:rsid w:val="6CD81D64"/>
    <w:rsid w:val="6CE34991"/>
    <w:rsid w:val="6CF22E26"/>
    <w:rsid w:val="6D0F39D8"/>
    <w:rsid w:val="6D203E37"/>
    <w:rsid w:val="6D2F5E28"/>
    <w:rsid w:val="6D350F65"/>
    <w:rsid w:val="6D633D24"/>
    <w:rsid w:val="6D7442E5"/>
    <w:rsid w:val="6DA73C10"/>
    <w:rsid w:val="6DDE15FC"/>
    <w:rsid w:val="6DF1132F"/>
    <w:rsid w:val="6DFA4688"/>
    <w:rsid w:val="6E082BB4"/>
    <w:rsid w:val="6E22598D"/>
    <w:rsid w:val="6E315BD0"/>
    <w:rsid w:val="6E34236A"/>
    <w:rsid w:val="6E364F94"/>
    <w:rsid w:val="6E494CC8"/>
    <w:rsid w:val="6E7B6E4B"/>
    <w:rsid w:val="6E963C85"/>
    <w:rsid w:val="6E9D582D"/>
    <w:rsid w:val="6EB34837"/>
    <w:rsid w:val="6ED07197"/>
    <w:rsid w:val="6EDF5173"/>
    <w:rsid w:val="6EF015E7"/>
    <w:rsid w:val="6F0230C8"/>
    <w:rsid w:val="6F060E0B"/>
    <w:rsid w:val="6F503DBF"/>
    <w:rsid w:val="6F5E0C47"/>
    <w:rsid w:val="6F685621"/>
    <w:rsid w:val="6F6A1399"/>
    <w:rsid w:val="6F71619F"/>
    <w:rsid w:val="6F72024E"/>
    <w:rsid w:val="6F7264A0"/>
    <w:rsid w:val="6F927E36"/>
    <w:rsid w:val="6F99623C"/>
    <w:rsid w:val="6FB940CF"/>
    <w:rsid w:val="6FCC3E02"/>
    <w:rsid w:val="6FE173AF"/>
    <w:rsid w:val="6FEF07E0"/>
    <w:rsid w:val="6FEF7AF1"/>
    <w:rsid w:val="6FF70753"/>
    <w:rsid w:val="6FFE5F86"/>
    <w:rsid w:val="700D7F77"/>
    <w:rsid w:val="701D28B0"/>
    <w:rsid w:val="70390D6C"/>
    <w:rsid w:val="70422316"/>
    <w:rsid w:val="70480FAF"/>
    <w:rsid w:val="707B3132"/>
    <w:rsid w:val="70BC0AB7"/>
    <w:rsid w:val="71031AA6"/>
    <w:rsid w:val="711F7F62"/>
    <w:rsid w:val="7121017E"/>
    <w:rsid w:val="71237A52"/>
    <w:rsid w:val="71892709"/>
    <w:rsid w:val="718F50E7"/>
    <w:rsid w:val="71DD22F7"/>
    <w:rsid w:val="71F66B0D"/>
    <w:rsid w:val="72077373"/>
    <w:rsid w:val="721750DD"/>
    <w:rsid w:val="722D66AE"/>
    <w:rsid w:val="724C4D86"/>
    <w:rsid w:val="728409C4"/>
    <w:rsid w:val="72A414C0"/>
    <w:rsid w:val="72AB41A3"/>
    <w:rsid w:val="72AF5EFB"/>
    <w:rsid w:val="72B0293D"/>
    <w:rsid w:val="72C25048"/>
    <w:rsid w:val="72C963D7"/>
    <w:rsid w:val="72D51220"/>
    <w:rsid w:val="72D8486C"/>
    <w:rsid w:val="7315161C"/>
    <w:rsid w:val="7346211D"/>
    <w:rsid w:val="737547B1"/>
    <w:rsid w:val="739E5AB6"/>
    <w:rsid w:val="73CA0659"/>
    <w:rsid w:val="73D019E7"/>
    <w:rsid w:val="73E060CE"/>
    <w:rsid w:val="73F43B4B"/>
    <w:rsid w:val="73F676A0"/>
    <w:rsid w:val="74081181"/>
    <w:rsid w:val="740A314B"/>
    <w:rsid w:val="74177616"/>
    <w:rsid w:val="741B7106"/>
    <w:rsid w:val="74253AE1"/>
    <w:rsid w:val="7429582C"/>
    <w:rsid w:val="744F5002"/>
    <w:rsid w:val="7452064E"/>
    <w:rsid w:val="74A013B9"/>
    <w:rsid w:val="74A964C0"/>
    <w:rsid w:val="74D55507"/>
    <w:rsid w:val="74E120FE"/>
    <w:rsid w:val="750202C6"/>
    <w:rsid w:val="75090B5A"/>
    <w:rsid w:val="752972CF"/>
    <w:rsid w:val="75644ADD"/>
    <w:rsid w:val="758331B5"/>
    <w:rsid w:val="75874327"/>
    <w:rsid w:val="758962F1"/>
    <w:rsid w:val="75B50E95"/>
    <w:rsid w:val="75D4756D"/>
    <w:rsid w:val="75E1612D"/>
    <w:rsid w:val="75EE5BAD"/>
    <w:rsid w:val="762027B2"/>
    <w:rsid w:val="763C5112"/>
    <w:rsid w:val="765E777E"/>
    <w:rsid w:val="767E572A"/>
    <w:rsid w:val="76857CCE"/>
    <w:rsid w:val="768F3DF2"/>
    <w:rsid w:val="76961786"/>
    <w:rsid w:val="76AF247D"/>
    <w:rsid w:val="76CF13AD"/>
    <w:rsid w:val="772E0143"/>
    <w:rsid w:val="772F0D4F"/>
    <w:rsid w:val="77476464"/>
    <w:rsid w:val="77530965"/>
    <w:rsid w:val="77560455"/>
    <w:rsid w:val="77585F7B"/>
    <w:rsid w:val="776D5ECB"/>
    <w:rsid w:val="778A233C"/>
    <w:rsid w:val="77BE2D69"/>
    <w:rsid w:val="77C35AEB"/>
    <w:rsid w:val="77D25D2E"/>
    <w:rsid w:val="77DC4DFE"/>
    <w:rsid w:val="77E617D9"/>
    <w:rsid w:val="77F35CA4"/>
    <w:rsid w:val="7808174F"/>
    <w:rsid w:val="78085BF3"/>
    <w:rsid w:val="78144598"/>
    <w:rsid w:val="78174088"/>
    <w:rsid w:val="783C3AEF"/>
    <w:rsid w:val="784B5D0A"/>
    <w:rsid w:val="784D1858"/>
    <w:rsid w:val="78564BB1"/>
    <w:rsid w:val="785D5F3F"/>
    <w:rsid w:val="7860333A"/>
    <w:rsid w:val="78852686"/>
    <w:rsid w:val="78882890"/>
    <w:rsid w:val="788C2381"/>
    <w:rsid w:val="78B2790D"/>
    <w:rsid w:val="78D43D28"/>
    <w:rsid w:val="78F10436"/>
    <w:rsid w:val="791D122B"/>
    <w:rsid w:val="79202AC9"/>
    <w:rsid w:val="792425B9"/>
    <w:rsid w:val="7931117A"/>
    <w:rsid w:val="794B6EF7"/>
    <w:rsid w:val="795135CA"/>
    <w:rsid w:val="79621333"/>
    <w:rsid w:val="79732350"/>
    <w:rsid w:val="797D616D"/>
    <w:rsid w:val="798474FC"/>
    <w:rsid w:val="79B53B59"/>
    <w:rsid w:val="79D51B05"/>
    <w:rsid w:val="79D7762B"/>
    <w:rsid w:val="79EE4DDF"/>
    <w:rsid w:val="7A356A48"/>
    <w:rsid w:val="7A456C8B"/>
    <w:rsid w:val="7A6A04A0"/>
    <w:rsid w:val="7A8377B3"/>
    <w:rsid w:val="7A85352B"/>
    <w:rsid w:val="7AA17C39"/>
    <w:rsid w:val="7AA339B1"/>
    <w:rsid w:val="7AB91427"/>
    <w:rsid w:val="7AC2652D"/>
    <w:rsid w:val="7ACF310D"/>
    <w:rsid w:val="7ADC6EC3"/>
    <w:rsid w:val="7AED2E7F"/>
    <w:rsid w:val="7AEF309B"/>
    <w:rsid w:val="7AFB559C"/>
    <w:rsid w:val="7AFC566D"/>
    <w:rsid w:val="7B0E3521"/>
    <w:rsid w:val="7B193C74"/>
    <w:rsid w:val="7B4E0771"/>
    <w:rsid w:val="7B746E0D"/>
    <w:rsid w:val="7B871525"/>
    <w:rsid w:val="7B963516"/>
    <w:rsid w:val="7B9D48A5"/>
    <w:rsid w:val="7BB142C7"/>
    <w:rsid w:val="7C0B5CB2"/>
    <w:rsid w:val="7C0E12FE"/>
    <w:rsid w:val="7C1F175E"/>
    <w:rsid w:val="7C3F595C"/>
    <w:rsid w:val="7C532A30"/>
    <w:rsid w:val="7CB023B6"/>
    <w:rsid w:val="7CB73744"/>
    <w:rsid w:val="7CB93960"/>
    <w:rsid w:val="7CBB3234"/>
    <w:rsid w:val="7CE309DD"/>
    <w:rsid w:val="7D060228"/>
    <w:rsid w:val="7D2012E9"/>
    <w:rsid w:val="7D3B6123"/>
    <w:rsid w:val="7D4C6582"/>
    <w:rsid w:val="7D4D69D5"/>
    <w:rsid w:val="7D584F27"/>
    <w:rsid w:val="7D5F62B6"/>
    <w:rsid w:val="7D913F95"/>
    <w:rsid w:val="7DBF4FA6"/>
    <w:rsid w:val="7DE844FD"/>
    <w:rsid w:val="7DEB5D9B"/>
    <w:rsid w:val="7E322E7A"/>
    <w:rsid w:val="7E353C4D"/>
    <w:rsid w:val="7E3C03A5"/>
    <w:rsid w:val="7E3E411D"/>
    <w:rsid w:val="7E6671D0"/>
    <w:rsid w:val="7E723DC7"/>
    <w:rsid w:val="7E8D0C00"/>
    <w:rsid w:val="7EBE525E"/>
    <w:rsid w:val="7EC5039A"/>
    <w:rsid w:val="7F0569E9"/>
    <w:rsid w:val="7F3217A8"/>
    <w:rsid w:val="7F392B36"/>
    <w:rsid w:val="7F3D2627"/>
    <w:rsid w:val="7F3F22C8"/>
    <w:rsid w:val="7F583CA8"/>
    <w:rsid w:val="7F604567"/>
    <w:rsid w:val="7F62208D"/>
    <w:rsid w:val="7F71407E"/>
    <w:rsid w:val="7F89761A"/>
    <w:rsid w:val="7FAE7080"/>
    <w:rsid w:val="7FB83A5B"/>
    <w:rsid w:val="7FBF303C"/>
    <w:rsid w:val="7FCF6FF7"/>
    <w:rsid w:val="7FD8234F"/>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qFormat/>
    <w:uiPriority w:val="9"/>
    <w:pPr>
      <w:keepNext/>
      <w:keepLines/>
      <w:autoSpaceDE w:val="0"/>
      <w:autoSpaceDN w:val="0"/>
      <w:adjustRightInd w:val="0"/>
      <w:spacing w:before="360" w:after="120"/>
      <w:jc w:val="left"/>
      <w:outlineLvl w:val="2"/>
    </w:pPr>
    <w:rPr>
      <w:rFonts w:ascii="宋体"/>
      <w:b/>
      <w:szCs w:val="20"/>
      <w:u w:val="single"/>
    </w:rPr>
  </w:style>
  <w:style w:type="paragraph" w:styleId="5">
    <w:name w:val="heading 4"/>
    <w:basedOn w:val="1"/>
    <w:next w:val="1"/>
    <w:unhideWhenUsed/>
    <w:qFormat/>
    <w:uiPriority w:val="9"/>
    <w:pPr>
      <w:keepNext/>
      <w:keepLines/>
      <w:numPr>
        <w:ilvl w:val="3"/>
        <w:numId w:val="1"/>
      </w:numPr>
      <w:spacing w:before="280" w:after="290" w:line="376" w:lineRule="auto"/>
      <w:outlineLvl w:val="3"/>
    </w:pPr>
    <w:rPr>
      <w:rFonts w:ascii="等线 Light" w:hAnsi="等线 Light" w:eastAsia="等线 Light"/>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cs="宋体"/>
    </w:rPr>
  </w:style>
  <w:style w:type="paragraph" w:styleId="7">
    <w:name w:val="Document Map"/>
    <w:basedOn w:val="1"/>
    <w:link w:val="44"/>
    <w:autoRedefine/>
    <w:unhideWhenUsed/>
    <w:qFormat/>
    <w:uiPriority w:val="99"/>
    <w:rPr>
      <w:rFonts w:ascii="宋体"/>
      <w:sz w:val="18"/>
      <w:szCs w:val="18"/>
    </w:rPr>
  </w:style>
  <w:style w:type="paragraph" w:styleId="8">
    <w:name w:val="annotation text"/>
    <w:basedOn w:val="1"/>
    <w:link w:val="45"/>
    <w:autoRedefine/>
    <w:unhideWhenUsed/>
    <w:qFormat/>
    <w:uiPriority w:val="99"/>
    <w:pPr>
      <w:jc w:val="left"/>
    </w:pPr>
  </w:style>
  <w:style w:type="paragraph" w:styleId="9">
    <w:name w:val="Body Text"/>
    <w:basedOn w:val="1"/>
    <w:next w:val="10"/>
    <w:link w:val="38"/>
    <w:autoRedefine/>
    <w:qFormat/>
    <w:uiPriority w:val="99"/>
    <w:pPr>
      <w:spacing w:after="120"/>
    </w:pPr>
  </w:style>
  <w:style w:type="paragraph" w:styleId="10">
    <w:name w:val="toc 2"/>
    <w:basedOn w:val="1"/>
    <w:next w:val="1"/>
    <w:autoRedefine/>
    <w:qFormat/>
    <w:uiPriority w:val="39"/>
    <w:pPr>
      <w:ind w:left="210"/>
      <w:jc w:val="left"/>
    </w:pPr>
    <w:rPr>
      <w:smallCaps/>
      <w:sz w:val="20"/>
      <w:szCs w:val="20"/>
    </w:rPr>
  </w:style>
  <w:style w:type="paragraph" w:styleId="11">
    <w:name w:val="Body Text Indent"/>
    <w:basedOn w:val="1"/>
    <w:next w:val="6"/>
    <w:autoRedefine/>
    <w:qFormat/>
    <w:uiPriority w:val="0"/>
    <w:pPr>
      <w:spacing w:after="120"/>
      <w:ind w:left="420"/>
    </w:pPr>
    <w:rPr>
      <w:rFonts w:ascii="Calibri" w:hAnsi="Calibri"/>
    </w:rPr>
  </w:style>
  <w:style w:type="paragraph" w:styleId="12">
    <w:name w:val="Plain Text"/>
    <w:basedOn w:val="1"/>
    <w:next w:val="6"/>
    <w:autoRedefine/>
    <w:qFormat/>
    <w:uiPriority w:val="99"/>
    <w:rPr>
      <w:rFonts w:ascii="宋体" w:hAnsi="Courier New"/>
      <w:szCs w:val="20"/>
    </w:rPr>
  </w:style>
  <w:style w:type="paragraph" w:styleId="13">
    <w:name w:val="Body Text Indent 2"/>
    <w:basedOn w:val="1"/>
    <w:autoRedefine/>
    <w:qFormat/>
    <w:uiPriority w:val="0"/>
    <w:pPr>
      <w:spacing w:after="120" w:line="480" w:lineRule="auto"/>
      <w:ind w:left="420" w:leftChars="200"/>
    </w:pPr>
  </w:style>
  <w:style w:type="paragraph" w:styleId="14">
    <w:name w:val="Balloon Text"/>
    <w:basedOn w:val="1"/>
    <w:link w:val="43"/>
    <w:autoRedefine/>
    <w:semiHidden/>
    <w:unhideWhenUsed/>
    <w:qFormat/>
    <w:uiPriority w:val="99"/>
    <w:rPr>
      <w:sz w:val="18"/>
      <w:szCs w:val="18"/>
    </w:rPr>
  </w:style>
  <w:style w:type="paragraph" w:styleId="15">
    <w:name w:val="footer"/>
    <w:basedOn w:val="1"/>
    <w:link w:val="42"/>
    <w:autoRedefine/>
    <w:unhideWhenUsed/>
    <w:qFormat/>
    <w:uiPriority w:val="99"/>
    <w:pPr>
      <w:tabs>
        <w:tab w:val="center" w:pos="4153"/>
        <w:tab w:val="right" w:pos="8306"/>
      </w:tabs>
      <w:snapToGrid w:val="0"/>
      <w:jc w:val="left"/>
    </w:pPr>
    <w:rPr>
      <w:sz w:val="18"/>
      <w:szCs w:val="18"/>
    </w:rPr>
  </w:style>
  <w:style w:type="paragraph" w:styleId="16">
    <w:name w:val="envelope return"/>
    <w:basedOn w:val="1"/>
    <w:autoRedefine/>
    <w:qFormat/>
    <w:uiPriority w:val="0"/>
  </w:style>
  <w:style w:type="paragraph" w:styleId="17">
    <w:name w:val="header"/>
    <w:basedOn w:val="1"/>
    <w:link w:val="4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0"/>
    <w:pPr>
      <w:tabs>
        <w:tab w:val="right" w:leader="dot" w:pos="8720"/>
      </w:tabs>
      <w:spacing w:before="120" w:after="120" w:line="400" w:lineRule="exact"/>
      <w:jc w:val="left"/>
    </w:pPr>
    <w:rPr>
      <w:rFonts w:ascii="宋体" w:hAnsi="宋体"/>
      <w:caps/>
    </w:rPr>
  </w:style>
  <w:style w:type="paragraph" w:styleId="19">
    <w:name w:val="List"/>
    <w:basedOn w:val="1"/>
    <w:qFormat/>
    <w:uiPriority w:val="0"/>
    <w:pPr>
      <w:numPr>
        <w:ilvl w:val="0"/>
        <w:numId w:val="2"/>
      </w:numPr>
      <w:autoSpaceDE w:val="0"/>
      <w:autoSpaceDN w:val="0"/>
      <w:adjustRightInd w:val="0"/>
      <w:spacing w:after="20" w:line="288" w:lineRule="auto"/>
      <w:textAlignment w:val="baseline"/>
    </w:pPr>
    <w:rPr>
      <w:szCs w:val="20"/>
      <w:lang w:val="en-GB"/>
    </w:rPr>
  </w:style>
  <w:style w:type="paragraph" w:styleId="20">
    <w:name w:val="Body Text Indent 3"/>
    <w:basedOn w:val="1"/>
    <w:link w:val="39"/>
    <w:autoRedefine/>
    <w:qFormat/>
    <w:uiPriority w:val="99"/>
    <w:pPr>
      <w:ind w:left="645" w:firstLine="645"/>
    </w:pPr>
    <w:rPr>
      <w:rFonts w:ascii="Arial" w:hAnsi="Arial" w:eastAsia="仿宋_GB2312"/>
      <w:color w:val="FFFF00"/>
      <w:sz w:val="32"/>
      <w:szCs w:val="20"/>
    </w:rPr>
  </w:style>
  <w:style w:type="paragraph" w:styleId="21">
    <w:name w:val="Normal (Web)"/>
    <w:basedOn w:val="1"/>
    <w:autoRedefine/>
    <w:qFormat/>
    <w:uiPriority w:val="99"/>
    <w:pPr>
      <w:spacing w:before="150" w:after="150" w:line="480" w:lineRule="auto"/>
      <w:jc w:val="left"/>
    </w:pPr>
    <w:rPr>
      <w:rFonts w:hint="eastAsia" w:ascii="宋体" w:hAnsi="宋体"/>
      <w:color w:val="000000"/>
    </w:rPr>
  </w:style>
  <w:style w:type="paragraph" w:styleId="22">
    <w:name w:val="Title"/>
    <w:basedOn w:val="1"/>
    <w:qFormat/>
    <w:uiPriority w:val="10"/>
    <w:pPr>
      <w:spacing w:line="360" w:lineRule="auto"/>
      <w:ind w:firstLine="922" w:firstLineChars="200"/>
      <w:jc w:val="center"/>
      <w:outlineLvl w:val="0"/>
    </w:pPr>
    <w:rPr>
      <w:rFonts w:ascii="Calibri" w:hAnsi="Calibri"/>
      <w:b/>
      <w:sz w:val="32"/>
    </w:rPr>
  </w:style>
  <w:style w:type="paragraph" w:styleId="23">
    <w:name w:val="annotation subject"/>
    <w:basedOn w:val="8"/>
    <w:next w:val="8"/>
    <w:link w:val="46"/>
    <w:autoRedefine/>
    <w:semiHidden/>
    <w:unhideWhenUsed/>
    <w:qFormat/>
    <w:uiPriority w:val="99"/>
    <w:rPr>
      <w:b/>
      <w:bCs/>
    </w:rPr>
  </w:style>
  <w:style w:type="paragraph" w:styleId="24">
    <w:name w:val="Body Text First Indent"/>
    <w:basedOn w:val="9"/>
    <w:autoRedefine/>
    <w:qFormat/>
    <w:uiPriority w:val="0"/>
    <w:pPr>
      <w:spacing w:line="360" w:lineRule="auto"/>
      <w:ind w:firstLine="200" w:firstLineChars="200"/>
    </w:pPr>
    <w:rPr>
      <w:rFonts w:ascii="仿宋_GB2312" w:hAnsi="Arial" w:eastAsia="仿宋_GB2312"/>
      <w:sz w:val="30"/>
      <w:szCs w:val="30"/>
    </w:rPr>
  </w:style>
  <w:style w:type="paragraph" w:styleId="25">
    <w:name w:val="Body Text First Indent 2"/>
    <w:basedOn w:val="11"/>
    <w:autoRedefine/>
    <w:qFormat/>
    <w:uiPriority w:val="0"/>
    <w:pPr>
      <w:spacing w:after="0" w:line="360" w:lineRule="auto"/>
      <w:ind w:left="0" w:firstLine="420"/>
    </w:pPr>
    <w:rPr>
      <w:rFonts w:ascii="宋体" w:hAnsi="宋体"/>
      <w:sz w:val="20"/>
      <w:szCs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Emphasis"/>
    <w:qFormat/>
    <w:uiPriority w:val="0"/>
    <w:rPr>
      <w:i/>
    </w:rPr>
  </w:style>
  <w:style w:type="character" w:styleId="31">
    <w:name w:val="Hyperlink"/>
    <w:autoRedefine/>
    <w:qFormat/>
    <w:uiPriority w:val="99"/>
    <w:rPr>
      <w:rFonts w:cs="Times New Roman"/>
      <w:color w:val="336699"/>
      <w:sz w:val="18"/>
      <w:u w:val="none"/>
    </w:rPr>
  </w:style>
  <w:style w:type="character" w:styleId="32">
    <w:name w:val="annotation reference"/>
    <w:basedOn w:val="28"/>
    <w:autoRedefine/>
    <w:semiHidden/>
    <w:unhideWhenUsed/>
    <w:qFormat/>
    <w:uiPriority w:val="99"/>
    <w:rPr>
      <w:sz w:val="21"/>
      <w:szCs w:val="21"/>
    </w:rPr>
  </w:style>
  <w:style w:type="paragraph" w:customStyle="1" w:styleId="33">
    <w:name w:val="Default"/>
    <w:autoRedefine/>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34">
    <w:name w:val="List Paragraph"/>
    <w:basedOn w:val="1"/>
    <w:autoRedefine/>
    <w:qFormat/>
    <w:uiPriority w:val="34"/>
    <w:pPr>
      <w:ind w:firstLine="420" w:firstLineChars="200"/>
    </w:pPr>
    <w:rPr>
      <w:rFonts w:eastAsia="Times New Roman"/>
    </w:rPr>
  </w:style>
  <w:style w:type="paragraph" w:customStyle="1" w:styleId="35">
    <w:name w:val="正文1"/>
    <w:basedOn w:val="1"/>
    <w:next w:val="1"/>
    <w:autoRedefine/>
    <w:qFormat/>
    <w:uiPriority w:val="0"/>
    <w:pPr>
      <w:widowControl/>
      <w:spacing w:line="360" w:lineRule="auto"/>
      <w:ind w:left="360" w:firstLine="420"/>
      <w:jc w:val="left"/>
    </w:pPr>
    <w:rPr>
      <w:rFonts w:ascii="宋体" w:hAnsi="宋体"/>
      <w:szCs w:val="20"/>
    </w:rPr>
  </w:style>
  <w:style w:type="character" w:customStyle="1" w:styleId="36">
    <w:name w:val="正文文本 Char"/>
    <w:basedOn w:val="28"/>
    <w:autoRedefine/>
    <w:semiHidden/>
    <w:qFormat/>
    <w:uiPriority w:val="99"/>
    <w:rPr>
      <w:rFonts w:ascii="Times New Roman" w:hAnsi="Times New Roman" w:eastAsia="宋体" w:cs="Times New Roman"/>
      <w:kern w:val="0"/>
      <w:sz w:val="24"/>
      <w:szCs w:val="24"/>
    </w:rPr>
  </w:style>
  <w:style w:type="character" w:customStyle="1" w:styleId="37">
    <w:name w:val="正文文本缩进 3 Char"/>
    <w:basedOn w:val="28"/>
    <w:autoRedefine/>
    <w:semiHidden/>
    <w:qFormat/>
    <w:uiPriority w:val="99"/>
    <w:rPr>
      <w:rFonts w:ascii="Times New Roman" w:hAnsi="Times New Roman" w:eastAsia="宋体" w:cs="Times New Roman"/>
      <w:kern w:val="0"/>
      <w:sz w:val="16"/>
      <w:szCs w:val="16"/>
    </w:rPr>
  </w:style>
  <w:style w:type="character" w:customStyle="1" w:styleId="38">
    <w:name w:val="正文文本 字符"/>
    <w:link w:val="9"/>
    <w:autoRedefine/>
    <w:qFormat/>
    <w:locked/>
    <w:uiPriority w:val="99"/>
    <w:rPr>
      <w:rFonts w:ascii="Times New Roman" w:hAnsi="Times New Roman" w:eastAsia="宋体" w:cs="Times New Roman"/>
      <w:kern w:val="0"/>
      <w:sz w:val="24"/>
      <w:szCs w:val="24"/>
    </w:rPr>
  </w:style>
  <w:style w:type="character" w:customStyle="1" w:styleId="39">
    <w:name w:val="正文文本缩进 3 字符"/>
    <w:link w:val="20"/>
    <w:autoRedefine/>
    <w:qFormat/>
    <w:locked/>
    <w:uiPriority w:val="99"/>
    <w:rPr>
      <w:rFonts w:ascii="Arial" w:hAnsi="Arial" w:eastAsia="仿宋_GB2312" w:cs="Times New Roman"/>
      <w:color w:val="FFFF00"/>
      <w:kern w:val="0"/>
      <w:sz w:val="32"/>
      <w:szCs w:val="20"/>
    </w:rPr>
  </w:style>
  <w:style w:type="paragraph" w:customStyle="1" w:styleId="40">
    <w:name w:val="WPS Plain"/>
    <w:autoRedefine/>
    <w:qFormat/>
    <w:uiPriority w:val="0"/>
    <w:rPr>
      <w:rFonts w:ascii="Times New Roman" w:hAnsi="Times New Roman" w:eastAsia="宋体" w:cs="Times New Roman"/>
      <w:lang w:val="en-US" w:eastAsia="zh-CN" w:bidi="ar-SA"/>
    </w:rPr>
  </w:style>
  <w:style w:type="character" w:customStyle="1" w:styleId="41">
    <w:name w:val="页眉 字符"/>
    <w:basedOn w:val="28"/>
    <w:link w:val="17"/>
    <w:autoRedefine/>
    <w:qFormat/>
    <w:uiPriority w:val="99"/>
    <w:rPr>
      <w:rFonts w:ascii="Times New Roman" w:hAnsi="Times New Roman" w:eastAsia="宋体" w:cs="Times New Roman"/>
      <w:sz w:val="18"/>
      <w:szCs w:val="18"/>
    </w:rPr>
  </w:style>
  <w:style w:type="character" w:customStyle="1" w:styleId="42">
    <w:name w:val="页脚 字符"/>
    <w:basedOn w:val="28"/>
    <w:link w:val="15"/>
    <w:autoRedefine/>
    <w:qFormat/>
    <w:uiPriority w:val="99"/>
    <w:rPr>
      <w:rFonts w:ascii="Times New Roman" w:hAnsi="Times New Roman" w:eastAsia="宋体" w:cs="Times New Roman"/>
      <w:sz w:val="18"/>
      <w:szCs w:val="18"/>
    </w:rPr>
  </w:style>
  <w:style w:type="character" w:customStyle="1" w:styleId="43">
    <w:name w:val="批注框文本 字符"/>
    <w:basedOn w:val="28"/>
    <w:link w:val="14"/>
    <w:autoRedefine/>
    <w:semiHidden/>
    <w:qFormat/>
    <w:uiPriority w:val="99"/>
    <w:rPr>
      <w:rFonts w:ascii="Times New Roman" w:hAnsi="Times New Roman" w:eastAsia="宋体" w:cs="Times New Roman"/>
      <w:sz w:val="18"/>
      <w:szCs w:val="18"/>
    </w:rPr>
  </w:style>
  <w:style w:type="character" w:customStyle="1" w:styleId="44">
    <w:name w:val="文档结构图 字符"/>
    <w:basedOn w:val="28"/>
    <w:link w:val="7"/>
    <w:autoRedefine/>
    <w:qFormat/>
    <w:uiPriority w:val="99"/>
    <w:rPr>
      <w:rFonts w:ascii="宋体" w:hAnsi="Times New Roman" w:eastAsia="宋体" w:cs="Times New Roman"/>
      <w:sz w:val="18"/>
      <w:szCs w:val="18"/>
    </w:rPr>
  </w:style>
  <w:style w:type="character" w:customStyle="1" w:styleId="45">
    <w:name w:val="批注文字 字符"/>
    <w:basedOn w:val="28"/>
    <w:link w:val="8"/>
    <w:autoRedefine/>
    <w:qFormat/>
    <w:uiPriority w:val="99"/>
    <w:rPr>
      <w:rFonts w:ascii="Times New Roman" w:hAnsi="Times New Roman" w:eastAsia="宋体" w:cs="Times New Roman"/>
      <w:sz w:val="24"/>
      <w:szCs w:val="24"/>
    </w:rPr>
  </w:style>
  <w:style w:type="character" w:customStyle="1" w:styleId="46">
    <w:name w:val="批注主题 字符"/>
    <w:basedOn w:val="45"/>
    <w:link w:val="23"/>
    <w:autoRedefine/>
    <w:semiHidden/>
    <w:qFormat/>
    <w:uiPriority w:val="99"/>
    <w:rPr>
      <w:rFonts w:ascii="Times New Roman" w:hAnsi="Times New Roman" w:eastAsia="宋体" w:cs="Times New Roman"/>
      <w:b/>
      <w:bCs/>
      <w:sz w:val="24"/>
      <w:szCs w:val="24"/>
    </w:rPr>
  </w:style>
  <w:style w:type="paragraph" w:customStyle="1" w:styleId="47">
    <w:name w:val="正文首行缩进2字符"/>
    <w:basedOn w:val="1"/>
    <w:autoRedefine/>
    <w:qFormat/>
    <w:uiPriority w:val="0"/>
    <w:pPr>
      <w:ind w:firstLine="482"/>
    </w:pPr>
  </w:style>
  <w:style w:type="character" w:customStyle="1" w:styleId="48">
    <w:name w:val="current"/>
    <w:basedOn w:val="28"/>
    <w:autoRedefine/>
    <w:qFormat/>
    <w:uiPriority w:val="0"/>
    <w:rPr>
      <w:b/>
      <w:bCs/>
      <w:color w:val="05A7D8"/>
      <w:sz w:val="18"/>
      <w:szCs w:val="18"/>
    </w:rPr>
  </w:style>
  <w:style w:type="character" w:customStyle="1" w:styleId="49">
    <w:name w:val="l-btn-left"/>
    <w:basedOn w:val="28"/>
    <w:autoRedefine/>
    <w:qFormat/>
    <w:uiPriority w:val="0"/>
  </w:style>
  <w:style w:type="character" w:customStyle="1" w:styleId="50">
    <w:name w:val="l-btn-text36"/>
    <w:basedOn w:val="28"/>
    <w:autoRedefine/>
    <w:qFormat/>
    <w:uiPriority w:val="0"/>
  </w:style>
  <w:style w:type="character" w:customStyle="1" w:styleId="51">
    <w:name w:val="l-btn-text"/>
    <w:basedOn w:val="28"/>
    <w:autoRedefine/>
    <w:qFormat/>
    <w:uiPriority w:val="0"/>
  </w:style>
  <w:style w:type="character" w:customStyle="1" w:styleId="52">
    <w:name w:val="grame"/>
    <w:basedOn w:val="28"/>
    <w:autoRedefine/>
    <w:qFormat/>
    <w:uiPriority w:val="0"/>
  </w:style>
  <w:style w:type="paragraph" w:customStyle="1" w:styleId="53">
    <w:name w:val="标准文本"/>
    <w:basedOn w:val="1"/>
    <w:autoRedefine/>
    <w:qFormat/>
    <w:uiPriority w:val="0"/>
    <w:pPr>
      <w:spacing w:line="360" w:lineRule="auto"/>
      <w:ind w:firstLine="480" w:firstLineChars="200"/>
    </w:pPr>
    <w:rPr>
      <w:rFonts w:cs="宋体"/>
      <w:szCs w:val="20"/>
    </w:rPr>
  </w:style>
  <w:style w:type="paragraph" w:customStyle="1" w:styleId="54">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55">
    <w:name w:val="Table Paragraph"/>
    <w:basedOn w:val="1"/>
    <w:autoRedefine/>
    <w:qFormat/>
    <w:uiPriority w:val="99"/>
    <w:pPr>
      <w:tabs>
        <w:tab w:val="left" w:pos="709"/>
      </w:tabs>
      <w:autoSpaceDE w:val="0"/>
      <w:autoSpaceDN w:val="0"/>
      <w:spacing w:line="400" w:lineRule="exact"/>
      <w:jc w:val="left"/>
    </w:pPr>
    <w:rPr>
      <w:rFonts w:asciiTheme="minorEastAsia" w:hAnsiTheme="minorEastAsia" w:eastAsiaTheme="minorEastAsia" w:cstheme="minorEastAsia"/>
      <w:color w:val="FF0000"/>
      <w:szCs w:val="21"/>
    </w:rPr>
  </w:style>
  <w:style w:type="paragraph" w:customStyle="1" w:styleId="56">
    <w:name w:val="普通正文"/>
    <w:basedOn w:val="1"/>
    <w:autoRedefine/>
    <w:qFormat/>
    <w:uiPriority w:val="0"/>
    <w:pPr>
      <w:adjustRightInd w:val="0"/>
      <w:spacing w:line="360" w:lineRule="auto"/>
      <w:ind w:firstLine="480"/>
      <w:jc w:val="left"/>
    </w:pPr>
    <w:rPr>
      <w:rFonts w:ascii="Arial" w:hAnsi="Arial"/>
    </w:rPr>
  </w:style>
  <w:style w:type="paragraph" w:customStyle="1" w:styleId="57">
    <w:name w:val="正文2"/>
    <w:basedOn w:val="1"/>
    <w:autoRedefine/>
    <w:qFormat/>
    <w:uiPriority w:val="0"/>
    <w:pPr>
      <w:spacing w:before="156" w:line="360" w:lineRule="auto"/>
      <w:ind w:firstLine="200" w:firstLineChars="200"/>
    </w:pPr>
    <w:rPr>
      <w:szCs w:val="20"/>
    </w:rPr>
  </w:style>
  <w:style w:type="table" w:customStyle="1" w:styleId="58">
    <w:name w:val="Table Normal"/>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59">
    <w:name w:val="表 靠左"/>
    <w:basedOn w:val="1"/>
    <w:qFormat/>
    <w:uiPriority w:val="0"/>
    <w:pPr>
      <w:jc w:val="left"/>
    </w:pPr>
    <w:rPr>
      <w:rFonts w:asciiTheme="minorEastAsia" w:hAnsiTheme="minorEastAsia" w:eastAsiaTheme="minorEastAsia" w:cstheme="minorBidi"/>
    </w:rPr>
  </w:style>
  <w:style w:type="paragraph" w:customStyle="1" w:styleId="60">
    <w:name w:val="正文首行缩进 21"/>
    <w:basedOn w:val="61"/>
    <w:unhideWhenUsed/>
    <w:qFormat/>
    <w:uiPriority w:val="0"/>
    <w:pPr>
      <w:spacing w:after="0" w:line="360" w:lineRule="auto"/>
      <w:ind w:left="0" w:firstLine="420"/>
    </w:pPr>
    <w:rPr>
      <w:rFonts w:ascii="宋体" w:hAnsi="宋体"/>
      <w:szCs w:val="20"/>
    </w:rPr>
  </w:style>
  <w:style w:type="paragraph" w:customStyle="1" w:styleId="61">
    <w:name w:val="正文文本缩进11"/>
    <w:basedOn w:val="1"/>
    <w:unhideWhenUsed/>
    <w:qFormat/>
    <w:uiPriority w:val="99"/>
    <w:pPr>
      <w:spacing w:after="120"/>
      <w:ind w:left="420"/>
    </w:pPr>
  </w:style>
  <w:style w:type="paragraph" w:customStyle="1" w:styleId="62">
    <w:name w:val="RZM投标图片和表格"/>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49</Pages>
  <Words>5771</Words>
  <Characters>6433</Characters>
  <Lines>214</Lines>
  <Paragraphs>60</Paragraphs>
  <TotalTime>20</TotalTime>
  <ScaleCrop>false</ScaleCrop>
  <LinksUpToDate>false</LinksUpToDate>
  <CharactersWithSpaces>8104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2024-05-06T02:50:00Z</dcterms:created>
  <dc:creator>阙美霞</dc:creator>
  <cp:lastModifiedBy>ALICE</cp:lastModifiedBy>
  <cp:lastPrinted>2022-09-07T02:21:00Z</cp:lastPrinted>
  <dcterms:modified xsi:type="dcterms:W3CDTF">2026-08-20T03:06:21Z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8690499E87784F6D8D1A51019C287221_13</vt:lpwstr>
  </property>
  <property fmtid="{D5CDD505-2E9C-101B-9397-08002B2CF9AE}" pid="4" name="KSOTemplateDocerSaveRecord">
    <vt:lpwstr>eyJoZGlkIjoiM2YxOTg4NTc1Nzc2Y2I1YzNiNTIyNGE5N2NkMWNhNmYiLCJ1c2VySWQiOiIyNTI1ODcxNzMifQ==</vt:lpwstr>
  </property>
</Properties>
</file>