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heme="minorEastAsia" w:hAnsiTheme="minorEastAsia" w:eastAsiaTheme="minorEastAsia" w:cstheme="minorEastAsia"/>
          <w:b/>
          <w:bCs/>
          <w:color w:val="000000"/>
          <w:sz w:val="84"/>
          <w:szCs w:val="24"/>
          <w:highlight w:val="none"/>
        </w:rPr>
      </w:pPr>
      <w:r>
        <w:rPr>
          <w:rFonts w:asciiTheme="minorEastAsia" w:hAnsiTheme="minorEastAsia" w:eastAsiaTheme="minorEastAsia" w:cstheme="minorEastAsia"/>
          <w:b/>
          <w:bCs/>
          <w:color w:val="000000"/>
          <w:sz w:val="84"/>
          <w:szCs w:val="24"/>
          <w:highlight w:val="none"/>
        </w:rPr>
      </w:r>
      <w:r/>
    </w:p>
    <w:p>
      <w:pPr>
        <w:jc w:val="center"/>
        <w:spacing w:before="120" w:after="120" w:line="360" w:lineRule="auto"/>
        <w:rPr>
          <w:rFonts w:asciiTheme="minorEastAsia" w:hAnsiTheme="minorEastAsia" w:eastAsiaTheme="minorEastAsia" w:cstheme="minorEastAsia"/>
          <w:b/>
          <w:bCs/>
          <w:color w:val="000000"/>
          <w:sz w:val="84"/>
          <w:szCs w:val="24"/>
          <w:highlight w:val="none"/>
        </w:rPr>
      </w:pPr>
      <w:r>
        <w:rPr>
          <w:rFonts w:hint="eastAsia" w:asciiTheme="minorEastAsia" w:hAnsiTheme="minorEastAsia" w:eastAsiaTheme="minorEastAsia" w:cstheme="minorEastAsia"/>
          <w:b/>
          <w:bCs/>
          <w:color w:val="000000"/>
          <w:sz w:val="84"/>
          <w:szCs w:val="24"/>
          <w:highlight w:val="none"/>
        </w:rPr>
        <w:t xml:space="preserve">招　标　文　件</w:t>
      </w:r>
      <w:r/>
    </w:p>
    <w:p>
      <w:pPr>
        <w:ind w:firstLine="2249"/>
        <w:jc w:val="left"/>
        <w:spacing w:before="120" w:after="120" w:line="360" w:lineRule="auto"/>
        <w:rPr>
          <w:rFonts w:asciiTheme="minorEastAsia" w:hAnsiTheme="minorEastAsia" w:eastAsiaTheme="minorEastAsia" w:cstheme="minorEastAsia"/>
          <w:b/>
          <w:bCs/>
          <w:color w:val="000000"/>
          <w:sz w:val="32"/>
          <w:szCs w:val="24"/>
          <w:highlight w:val="none"/>
        </w:rPr>
      </w:pPr>
      <w:r>
        <w:rPr>
          <w:rFonts w:asciiTheme="minorEastAsia" w:hAnsiTheme="minorEastAsia" w:eastAsiaTheme="minorEastAsia" w:cstheme="minorEastAsia"/>
          <w:b/>
          <w:bCs/>
          <w:color w:val="000000"/>
          <w:sz w:val="32"/>
          <w:szCs w:val="24"/>
          <w:highlight w:val="none"/>
        </w:rPr>
      </w:r>
      <w:r/>
    </w:p>
    <w:p>
      <w:pPr>
        <w:ind w:firstLine="2249"/>
        <w:jc w:val="left"/>
        <w:spacing w:before="120" w:after="120" w:line="360" w:lineRule="auto"/>
        <w:rPr>
          <w:rFonts w:asciiTheme="minorEastAsia" w:hAnsiTheme="minorEastAsia" w:eastAsiaTheme="minorEastAsia" w:cstheme="minorEastAsia"/>
          <w:b/>
          <w:bCs/>
          <w:color w:val="000000"/>
          <w:sz w:val="32"/>
          <w:szCs w:val="24"/>
          <w:highlight w:val="none"/>
        </w:rPr>
      </w:pPr>
      <w:r>
        <w:rPr>
          <w:rFonts w:asciiTheme="minorEastAsia" w:hAnsiTheme="minorEastAsia" w:eastAsiaTheme="minorEastAsia" w:cstheme="minorEastAsia"/>
          <w:b/>
          <w:bCs/>
          <w:color w:val="000000"/>
          <w:sz w:val="32"/>
          <w:szCs w:val="24"/>
          <w:highlight w:val="none"/>
        </w:rPr>
      </w:r>
      <w:r/>
    </w:p>
    <w:p>
      <w:pPr>
        <w:ind w:firstLine="1606"/>
        <w:spacing w:before="120" w:after="120" w:line="360" w:lineRule="auto"/>
        <w:rPr>
          <w:rFonts w:asciiTheme="minorEastAsia" w:hAnsiTheme="minorEastAsia" w:eastAsiaTheme="minorEastAsia" w:cstheme="minorEastAsia"/>
          <w:b/>
          <w:bCs/>
          <w:color w:val="000000"/>
          <w:sz w:val="32"/>
          <w:szCs w:val="24"/>
          <w:highlight w:val="none"/>
        </w:rPr>
      </w:pPr>
      <w:r>
        <w:rPr>
          <w:rFonts w:hint="eastAsia" w:asciiTheme="minorEastAsia" w:hAnsiTheme="minorEastAsia" w:eastAsiaTheme="minorEastAsia" w:cstheme="minorEastAsia"/>
          <w:b/>
          <w:bCs/>
          <w:color w:val="000000"/>
          <w:sz w:val="32"/>
          <w:szCs w:val="24"/>
          <w:highlight w:val="none"/>
        </w:rPr>
        <w:t xml:space="preserve">项目名称：</w:t>
      </w:r>
      <w:r>
        <w:rPr>
          <w:rFonts w:hint="eastAsia" w:asciiTheme="minorEastAsia" w:hAnsiTheme="minorEastAsia" w:eastAsiaTheme="minorEastAsia" w:cstheme="minorEastAsia"/>
          <w:b/>
          <w:bCs/>
          <w:sz w:val="28"/>
          <w:szCs w:val="28"/>
          <w:highlight w:val="none"/>
        </w:rPr>
        <w:t xml:space="preserve">云台山景区森林防火智能监测项目 </w:t>
      </w:r>
      <w:r/>
    </w:p>
    <w:p>
      <w:pPr>
        <w:ind w:firstLine="1606"/>
        <w:spacing w:before="120" w:after="120" w:line="360" w:lineRule="auto"/>
        <w:rPr>
          <w:rFonts w:hint="eastAsia" w:asciiTheme="minorEastAsia" w:hAnsiTheme="minorEastAsia" w:eastAsiaTheme="minorEastAsia" w:cstheme="minorEastAsia"/>
          <w:b/>
          <w:bCs/>
          <w:color w:val="000000"/>
          <w:sz w:val="32"/>
          <w:szCs w:val="24"/>
          <w:highlight w:val="none"/>
          <w:lang w:eastAsia="zh-CN"/>
        </w:rPr>
      </w:pPr>
      <w:r>
        <w:rPr>
          <w:rFonts w:hint="eastAsia" w:asciiTheme="minorEastAsia" w:hAnsiTheme="minorEastAsia" w:eastAsiaTheme="minorEastAsia" w:cstheme="minorEastAsia"/>
          <w:b/>
          <w:bCs/>
          <w:color w:val="000000"/>
          <w:sz w:val="32"/>
          <w:szCs w:val="24"/>
          <w:highlight w:val="none"/>
        </w:rPr>
        <w:t xml:space="preserve">项目编号：</w:t>
      </w:r>
      <w:r>
        <w:rPr>
          <w:rFonts w:hint="eastAsia" w:asciiTheme="minorEastAsia" w:hAnsiTheme="minorEastAsia" w:eastAsiaTheme="minorEastAsia" w:cstheme="minorEastAsia"/>
          <w:b/>
          <w:bCs/>
          <w:color w:val="000000"/>
          <w:sz w:val="32"/>
          <w:szCs w:val="24"/>
          <w:highlight w:val="none"/>
          <w:lang w:eastAsia="zh-CN"/>
        </w:rPr>
        <w:t xml:space="preserve">JSZC-320793-JSDZ-G2026-0077</w:t>
      </w:r>
      <w:r/>
    </w:p>
    <w:p>
      <w:pPr>
        <w:ind w:left="2100" w:hanging="2100"/>
        <w:rPr>
          <w:rFonts w:asciiTheme="minorEastAsia" w:hAnsiTheme="minorEastAsia" w:eastAsiaTheme="minorEastAsia" w:cstheme="minorEastAsia"/>
          <w:b/>
          <w:color w:val="ff0000"/>
          <w:sz w:val="30"/>
          <w:szCs w:val="30"/>
          <w:highlight w:val="none"/>
        </w:rPr>
      </w:pPr>
      <w:r>
        <w:rPr>
          <w:rFonts w:hint="eastAsia" w:asciiTheme="minorEastAsia" w:hAnsiTheme="minorEastAsia" w:eastAsiaTheme="minorEastAsia" w:cstheme="minorEastAsia"/>
          <w:color w:val="000000"/>
          <w:szCs w:val="21"/>
          <w:highlight w:val="none"/>
        </w:rPr>
        <w:t xml:space="preserve">           </w:t>
      </w:r>
      <w:r>
        <w:rPr>
          <w:rFonts w:hint="eastAsia" w:asciiTheme="minorEastAsia" w:hAnsiTheme="minorEastAsia" w:eastAsiaTheme="minorEastAsia" w:cstheme="minorEastAsia"/>
          <w:b/>
          <w:color w:val="000000"/>
          <w:sz w:val="30"/>
          <w:szCs w:val="30"/>
          <w:highlight w:val="none"/>
        </w:rPr>
        <w:t xml:space="preserve"> </w:t>
      </w:r>
      <w:r/>
    </w:p>
    <w:p>
      <w:pPr>
        <w:jc w:val="left"/>
        <w:spacing w:line="360" w:lineRule="auto"/>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jc w:val="left"/>
        <w:spacing w:line="360" w:lineRule="auto"/>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jc w:val="left"/>
        <w:spacing w:line="360" w:lineRule="auto"/>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jc w:val="left"/>
        <w:spacing w:line="360" w:lineRule="auto"/>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jc w:val="left"/>
        <w:spacing w:line="360" w:lineRule="auto"/>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jc w:val="center"/>
        <w:spacing w:before="120" w:after="120" w:line="360" w:lineRule="auto"/>
        <w:rPr>
          <w:rFonts w:asciiTheme="minorEastAsia" w:hAnsiTheme="minorEastAsia" w:eastAsiaTheme="minorEastAsia" w:cstheme="minorEastAsia"/>
          <w:b/>
          <w:bCs/>
          <w:color w:val="000000"/>
          <w:sz w:val="32"/>
          <w:szCs w:val="24"/>
          <w:highlight w:val="none"/>
        </w:rPr>
      </w:pPr>
      <w:r>
        <w:rPr>
          <w:rFonts w:hint="eastAsia" w:asciiTheme="minorEastAsia" w:hAnsiTheme="minorEastAsia" w:eastAsiaTheme="minorEastAsia" w:cstheme="minorEastAsia"/>
          <w:b/>
          <w:bCs/>
          <w:color w:val="000000"/>
          <w:sz w:val="32"/>
          <w:szCs w:val="24"/>
          <w:highlight w:val="none"/>
        </w:rPr>
        <w:t xml:space="preserve">采   购   人：连云港市云台山风景名胜区管理委员会</w:t>
      </w:r>
      <w:r/>
    </w:p>
    <w:p>
      <w:pPr>
        <w:ind w:firstLine="1285"/>
        <w:spacing w:before="120" w:after="120" w:line="360" w:lineRule="auto"/>
        <w:rPr>
          <w:rFonts w:asciiTheme="minorEastAsia" w:hAnsiTheme="minorEastAsia" w:eastAsiaTheme="minorEastAsia" w:cstheme="minorEastAsia"/>
          <w:b/>
          <w:bCs/>
          <w:color w:val="000000"/>
          <w:sz w:val="32"/>
          <w:szCs w:val="24"/>
          <w:highlight w:val="none"/>
        </w:rPr>
      </w:pPr>
      <w:r>
        <w:rPr>
          <w:rFonts w:hint="eastAsia" w:asciiTheme="minorEastAsia" w:hAnsiTheme="minorEastAsia" w:eastAsiaTheme="minorEastAsia" w:cstheme="minorEastAsia"/>
          <w:b/>
          <w:bCs/>
          <w:color w:val="000000"/>
          <w:sz w:val="32"/>
          <w:szCs w:val="24"/>
          <w:highlight w:val="none"/>
        </w:rPr>
        <w:t xml:space="preserve">采购代理机构：大洲设计咨询集团有限公司</w:t>
      </w:r>
      <w:r/>
    </w:p>
    <w:p>
      <w:pPr>
        <w:jc w:val="center"/>
        <w:spacing w:before="120" w:after="120" w:line="360" w:lineRule="auto"/>
        <w:rPr>
          <w:rFonts w:asciiTheme="minorEastAsia" w:hAnsiTheme="minorEastAsia" w:eastAsiaTheme="minorEastAsia" w:cstheme="minorEastAsia"/>
          <w:b/>
          <w:bCs/>
          <w:color w:val="000000"/>
          <w:sz w:val="32"/>
          <w:szCs w:val="24"/>
          <w:highlight w:val="none"/>
        </w:rPr>
      </w:pPr>
      <w:r>
        <w:rPr>
          <w:rFonts w:hint="eastAsia" w:asciiTheme="minorEastAsia" w:hAnsiTheme="minorEastAsia" w:eastAsiaTheme="minorEastAsia" w:cstheme="minorEastAsia"/>
          <w:b/>
          <w:bCs/>
          <w:color w:val="000000"/>
          <w:sz w:val="32"/>
          <w:szCs w:val="24"/>
          <w:highlight w:val="none"/>
        </w:rPr>
        <w:t xml:space="preserve"> 2026 年9月 </w:t>
      </w:r>
      <w:r/>
    </w:p>
    <w:p>
      <w:pPr>
        <w:jc w:val="left"/>
        <w:spacing w:before="120" w:after="120" w:line="360" w:lineRule="auto"/>
        <w:rPr>
          <w:rFonts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                        </w:t>
      </w:r>
      <w:r/>
    </w:p>
    <w:p>
      <w:pPr>
        <w:jc w:val="center"/>
        <w:spacing w:before="120" w:after="120" w:line="360" w:lineRule="auto"/>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jc w:val="center"/>
        <w:spacing w:line="480" w:lineRule="auto"/>
        <w:rPr>
          <w:rFonts w:asciiTheme="minorEastAsia" w:hAnsiTheme="minorEastAsia" w:eastAsiaTheme="minorEastAsia" w:cstheme="minorEastAsia"/>
          <w:b/>
          <w:color w:val="000000"/>
          <w:sz w:val="44"/>
          <w:szCs w:val="21"/>
          <w:highlight w:val="none"/>
        </w:rPr>
      </w:pPr>
      <w:r>
        <w:rPr>
          <w:rFonts w:hint="eastAsia" w:asciiTheme="minorEastAsia" w:hAnsiTheme="minorEastAsia" w:eastAsiaTheme="minorEastAsia" w:cstheme="minorEastAsia"/>
          <w:color w:val="000000"/>
          <w:szCs w:val="21"/>
          <w:highlight w:val="none"/>
        </w:rPr>
        <w:br w:type="page" w:clear="all"/>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asciiTheme="minorEastAsia" w:hAnsiTheme="minorEastAsia" w:eastAsiaTheme="minorEastAsia" w:cstheme="minorEastAsia"/>
          <w:b/>
          <w:color w:val="000000"/>
          <w:sz w:val="44"/>
          <w:szCs w:val="21"/>
          <w:highlight w:val="none"/>
        </w:rPr>
        <w:t xml:space="preserve">  </w:t>
      </w:r>
      <w:bookmarkStart w:id="6" w:name="_Toc9583"/>
      <w:r>
        <w:rPr>
          <w:rFonts w:hint="eastAsia" w:asciiTheme="minorEastAsia" w:hAnsiTheme="minorEastAsia" w:eastAsiaTheme="minorEastAsia" w:cstheme="minorEastAsia"/>
          <w:b/>
          <w:color w:val="000000"/>
          <w:sz w:val="44"/>
          <w:szCs w:val="21"/>
          <w:highlight w:val="none"/>
        </w:rPr>
        <w:t xml:space="preserve">目  录</w:t>
      </w:r>
      <w:bookmarkEnd w:id="6"/>
      <w:r/>
      <w:r/>
    </w:p>
    <w:p>
      <w:pPr>
        <w:pStyle w:val="835"/>
        <w:spacing w:line="360" w:lineRule="auto"/>
        <w:tabs>
          <w:tab w:val="right" w:pos="9638" w:leader="dot"/>
        </w:tabs>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TOC \o "1-9" \h \u </w:instrText>
      </w:r>
      <w:r>
        <w:rPr>
          <w:rFonts w:hint="eastAsia" w:asciiTheme="minorEastAsia" w:hAnsiTheme="minorEastAsia" w:eastAsiaTheme="minorEastAsia" w:cstheme="minorEastAsia"/>
          <w:highlight w:val="none"/>
        </w:rPr>
        <w:fldChar w:fldCharType="separate"/>
      </w:r>
      <w:r>
        <w:rPr>
          <w:highlight w:val="none"/>
        </w:rPr>
        <w:fldChar w:fldCharType="begin"/>
      </w:r>
      <w:r>
        <w:rPr>
          <w:highlight w:val="none"/>
        </w:rPr>
        <w:instrText xml:space="preserve"> HYPERLINK \l "_Toc24027" </w:instrText>
      </w:r>
      <w:r>
        <w:rPr>
          <w:highlight w:val="none"/>
        </w:rPr>
        <w:fldChar w:fldCharType="separate"/>
      </w:r>
      <w:r>
        <w:rPr>
          <w:rFonts w:hint="eastAsia" w:asciiTheme="minorEastAsia" w:hAnsiTheme="minorEastAsia" w:eastAsiaTheme="minorEastAsia" w:cstheme="minorEastAsia"/>
          <w:b/>
          <w:bCs/>
          <w:sz w:val="32"/>
          <w:szCs w:val="32"/>
          <w:highlight w:val="none"/>
        </w:rPr>
        <w:t xml:space="preserve">第一章  投标邀请</w:t>
      </w:r>
      <w:r>
        <w:rPr>
          <w:rFonts w:hint="eastAsia" w:asciiTheme="minorEastAsia" w:hAnsiTheme="minorEastAsia" w:eastAsiaTheme="minorEastAsia" w:cstheme="minorEastAsia"/>
          <w:b/>
          <w:bCs/>
          <w:sz w:val="32"/>
          <w:szCs w:val="32"/>
          <w:highlight w:val="none"/>
        </w:rPr>
        <w:tab/>
      </w: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PAGEREF _Toc24027 \h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 xml:space="preserve">1</w:t>
      </w:r>
      <w:r>
        <w:rPr>
          <w:rFonts w:hint="eastAsia" w:asciiTheme="minorEastAsia" w:hAnsiTheme="minorEastAsia" w:eastAsiaTheme="minorEastAsia" w:cstheme="minorEastAsia"/>
          <w:b/>
          <w:bCs/>
          <w:sz w:val="32"/>
          <w:szCs w:val="32"/>
          <w:highlight w:val="none"/>
        </w:rPr>
        <w:fldChar w:fldCharType="end"/>
      </w:r>
      <w:r>
        <w:rPr>
          <w:rFonts w:hint="eastAsia" w:asciiTheme="minorEastAsia" w:hAnsiTheme="minorEastAsia" w:eastAsiaTheme="minorEastAsia" w:cstheme="minorEastAsia"/>
          <w:b/>
          <w:bCs/>
          <w:sz w:val="32"/>
          <w:szCs w:val="32"/>
          <w:highlight w:val="none"/>
        </w:rPr>
        <w:fldChar w:fldCharType="end"/>
      </w:r>
      <w:r/>
    </w:p>
    <w:p>
      <w:pPr>
        <w:pStyle w:val="835"/>
        <w:spacing w:line="360" w:lineRule="auto"/>
        <w:tabs>
          <w:tab w:val="right" w:pos="9638" w:leader="dot"/>
        </w:tabs>
        <w:rPr>
          <w:rFonts w:asciiTheme="minorEastAsia" w:hAnsiTheme="minorEastAsia" w:eastAsiaTheme="minorEastAsia" w:cstheme="minorEastAsia"/>
          <w:b/>
          <w:bCs/>
          <w:sz w:val="32"/>
          <w:szCs w:val="32"/>
          <w:highlight w:val="none"/>
        </w:rPr>
      </w:pPr>
      <w:r>
        <w:rPr>
          <w:highlight w:val="none"/>
        </w:rPr>
        <w:fldChar w:fldCharType="begin"/>
      </w:r>
      <w:r>
        <w:rPr>
          <w:highlight w:val="none"/>
        </w:rPr>
        <w:instrText xml:space="preserve"> HYPERLINK \l "_Toc22929" </w:instrText>
      </w:r>
      <w:r>
        <w:rPr>
          <w:highlight w:val="none"/>
        </w:rPr>
        <w:fldChar w:fldCharType="separate"/>
      </w:r>
      <w:r>
        <w:rPr>
          <w:rFonts w:hint="eastAsia" w:asciiTheme="minorEastAsia" w:hAnsiTheme="minorEastAsia" w:eastAsiaTheme="minorEastAsia" w:cstheme="minorEastAsia"/>
          <w:b/>
          <w:bCs/>
          <w:sz w:val="32"/>
          <w:szCs w:val="32"/>
          <w:highlight w:val="none"/>
        </w:rPr>
        <w:t xml:space="preserve">第二章  投标人须知</w:t>
      </w:r>
      <w:r>
        <w:rPr>
          <w:rFonts w:hint="eastAsia" w:asciiTheme="minorEastAsia" w:hAnsiTheme="minorEastAsia" w:eastAsiaTheme="minorEastAsia" w:cstheme="minorEastAsia"/>
          <w:b/>
          <w:bCs/>
          <w:sz w:val="32"/>
          <w:szCs w:val="32"/>
          <w:highlight w:val="none"/>
        </w:rPr>
        <w:tab/>
      </w: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PAGEREF _Toc22929 \h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 xml:space="preserve">4</w:t>
      </w:r>
      <w:r>
        <w:rPr>
          <w:rFonts w:hint="eastAsia" w:asciiTheme="minorEastAsia" w:hAnsiTheme="minorEastAsia" w:eastAsiaTheme="minorEastAsia" w:cstheme="minorEastAsia"/>
          <w:b/>
          <w:bCs/>
          <w:sz w:val="32"/>
          <w:szCs w:val="32"/>
          <w:highlight w:val="none"/>
        </w:rPr>
        <w:fldChar w:fldCharType="end"/>
      </w:r>
      <w:r>
        <w:rPr>
          <w:rFonts w:hint="eastAsia" w:asciiTheme="minorEastAsia" w:hAnsiTheme="minorEastAsia" w:eastAsiaTheme="minorEastAsia" w:cstheme="minorEastAsia"/>
          <w:b/>
          <w:bCs/>
          <w:sz w:val="32"/>
          <w:szCs w:val="32"/>
          <w:highlight w:val="none"/>
        </w:rPr>
        <w:fldChar w:fldCharType="end"/>
      </w:r>
      <w:r/>
    </w:p>
    <w:p>
      <w:pPr>
        <w:pStyle w:val="835"/>
        <w:spacing w:line="360" w:lineRule="auto"/>
        <w:tabs>
          <w:tab w:val="right" w:pos="9638" w:leader="dot"/>
        </w:tabs>
        <w:rPr>
          <w:rFonts w:asciiTheme="minorEastAsia" w:hAnsiTheme="minorEastAsia" w:eastAsiaTheme="minorEastAsia" w:cstheme="minorEastAsia"/>
          <w:b/>
          <w:bCs/>
          <w:sz w:val="32"/>
          <w:szCs w:val="32"/>
          <w:highlight w:val="none"/>
        </w:rPr>
      </w:pPr>
      <w:r>
        <w:rPr>
          <w:highlight w:val="none"/>
        </w:rPr>
        <w:fldChar w:fldCharType="begin"/>
      </w:r>
      <w:r>
        <w:rPr>
          <w:highlight w:val="none"/>
        </w:rPr>
        <w:instrText xml:space="preserve"> HYPERLINK \l "_Toc24560" </w:instrText>
      </w:r>
      <w:r>
        <w:rPr>
          <w:highlight w:val="none"/>
        </w:rPr>
        <w:fldChar w:fldCharType="separate"/>
      </w:r>
      <w:r>
        <w:rPr>
          <w:rFonts w:hint="eastAsia" w:asciiTheme="minorEastAsia" w:hAnsiTheme="minorEastAsia" w:eastAsiaTheme="minorEastAsia" w:cstheme="minorEastAsia"/>
          <w:b/>
          <w:bCs/>
          <w:sz w:val="32"/>
          <w:szCs w:val="32"/>
          <w:highlight w:val="none"/>
        </w:rPr>
        <w:t xml:space="preserve">第三章  合同文本</w:t>
      </w:r>
      <w:r>
        <w:rPr>
          <w:rFonts w:hint="eastAsia" w:asciiTheme="minorEastAsia" w:hAnsiTheme="minorEastAsia" w:eastAsiaTheme="minorEastAsia" w:cstheme="minorEastAsia"/>
          <w:b/>
          <w:bCs/>
          <w:sz w:val="32"/>
          <w:szCs w:val="32"/>
          <w:highlight w:val="none"/>
        </w:rPr>
        <w:tab/>
      </w: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PAGEREF _Toc24560 \h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 xml:space="preserve">20</w:t>
      </w:r>
      <w:r>
        <w:rPr>
          <w:rFonts w:hint="eastAsia" w:asciiTheme="minorEastAsia" w:hAnsiTheme="minorEastAsia" w:eastAsiaTheme="minorEastAsia" w:cstheme="minorEastAsia"/>
          <w:b/>
          <w:bCs/>
          <w:sz w:val="32"/>
          <w:szCs w:val="32"/>
          <w:highlight w:val="none"/>
        </w:rPr>
        <w:fldChar w:fldCharType="end"/>
      </w:r>
      <w:r>
        <w:rPr>
          <w:rFonts w:hint="eastAsia" w:asciiTheme="minorEastAsia" w:hAnsiTheme="minorEastAsia" w:eastAsiaTheme="minorEastAsia" w:cstheme="minorEastAsia"/>
          <w:b/>
          <w:bCs/>
          <w:sz w:val="32"/>
          <w:szCs w:val="32"/>
          <w:highlight w:val="none"/>
        </w:rPr>
        <w:fldChar w:fldCharType="end"/>
      </w:r>
      <w:r/>
    </w:p>
    <w:p>
      <w:pPr>
        <w:pStyle w:val="835"/>
        <w:spacing w:line="360" w:lineRule="auto"/>
        <w:tabs>
          <w:tab w:val="right" w:pos="9638" w:leader="dot"/>
        </w:tabs>
        <w:rPr>
          <w:rFonts w:asciiTheme="minorEastAsia" w:hAnsiTheme="minorEastAsia" w:eastAsiaTheme="minorEastAsia" w:cstheme="minorEastAsia"/>
          <w:b/>
          <w:bCs/>
          <w:sz w:val="32"/>
          <w:szCs w:val="32"/>
          <w:highlight w:val="none"/>
        </w:rPr>
      </w:pPr>
      <w:r>
        <w:rPr>
          <w:highlight w:val="none"/>
        </w:rPr>
        <w:fldChar w:fldCharType="begin"/>
      </w:r>
      <w:r>
        <w:rPr>
          <w:highlight w:val="none"/>
        </w:rPr>
        <w:instrText xml:space="preserve"> HYPERLINK \l "_Toc32330" </w:instrText>
      </w:r>
      <w:r>
        <w:rPr>
          <w:highlight w:val="none"/>
        </w:rPr>
        <w:fldChar w:fldCharType="separate"/>
      </w:r>
      <w:r>
        <w:rPr>
          <w:rFonts w:hint="eastAsia" w:asciiTheme="minorEastAsia" w:hAnsiTheme="minorEastAsia" w:eastAsiaTheme="minorEastAsia" w:cstheme="minorEastAsia"/>
          <w:b/>
          <w:bCs/>
          <w:sz w:val="32"/>
          <w:szCs w:val="32"/>
          <w:highlight w:val="none"/>
        </w:rPr>
        <w:t xml:space="preserve">第四章  采购需求</w:t>
      </w:r>
      <w:r>
        <w:rPr>
          <w:rFonts w:hint="eastAsia" w:asciiTheme="minorEastAsia" w:hAnsiTheme="minorEastAsia" w:eastAsiaTheme="minorEastAsia" w:cstheme="minorEastAsia"/>
          <w:b/>
          <w:bCs/>
          <w:sz w:val="32"/>
          <w:szCs w:val="32"/>
          <w:highlight w:val="none"/>
        </w:rPr>
        <w:tab/>
      </w: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PAGEREF _Toc32330 \h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 xml:space="preserve">25</w:t>
      </w:r>
      <w:r>
        <w:rPr>
          <w:rFonts w:hint="eastAsia" w:asciiTheme="minorEastAsia" w:hAnsiTheme="minorEastAsia" w:eastAsiaTheme="minorEastAsia" w:cstheme="minorEastAsia"/>
          <w:b/>
          <w:bCs/>
          <w:sz w:val="32"/>
          <w:szCs w:val="32"/>
          <w:highlight w:val="none"/>
        </w:rPr>
        <w:fldChar w:fldCharType="end"/>
      </w:r>
      <w:r>
        <w:rPr>
          <w:rFonts w:hint="eastAsia" w:asciiTheme="minorEastAsia" w:hAnsiTheme="minorEastAsia" w:eastAsiaTheme="minorEastAsia" w:cstheme="minorEastAsia"/>
          <w:b/>
          <w:bCs/>
          <w:sz w:val="32"/>
          <w:szCs w:val="32"/>
          <w:highlight w:val="none"/>
        </w:rPr>
        <w:fldChar w:fldCharType="end"/>
      </w:r>
      <w:r/>
    </w:p>
    <w:p>
      <w:pPr>
        <w:pStyle w:val="835"/>
        <w:spacing w:line="360" w:lineRule="auto"/>
        <w:tabs>
          <w:tab w:val="right" w:pos="9638" w:leader="dot"/>
        </w:tabs>
        <w:rPr>
          <w:rFonts w:asciiTheme="minorEastAsia" w:hAnsiTheme="minorEastAsia" w:eastAsiaTheme="minorEastAsia" w:cstheme="minorEastAsia"/>
          <w:b/>
          <w:bCs/>
          <w:sz w:val="32"/>
          <w:szCs w:val="32"/>
          <w:highlight w:val="none"/>
        </w:rPr>
      </w:pPr>
      <w:r>
        <w:rPr>
          <w:highlight w:val="none"/>
        </w:rPr>
        <w:fldChar w:fldCharType="begin"/>
      </w:r>
      <w:r>
        <w:rPr>
          <w:highlight w:val="none"/>
        </w:rPr>
        <w:instrText xml:space="preserve"> HYPERLINK \l "_Toc3179" </w:instrText>
      </w:r>
      <w:r>
        <w:rPr>
          <w:highlight w:val="none"/>
        </w:rPr>
        <w:fldChar w:fldCharType="separate"/>
      </w:r>
      <w:r>
        <w:rPr>
          <w:rFonts w:hint="eastAsia" w:asciiTheme="minorEastAsia" w:hAnsiTheme="minorEastAsia" w:eastAsiaTheme="minorEastAsia" w:cstheme="minorEastAsia"/>
          <w:b/>
          <w:bCs/>
          <w:sz w:val="32"/>
          <w:szCs w:val="32"/>
          <w:highlight w:val="none"/>
        </w:rPr>
        <w:t xml:space="preserve">第五章  评标方法与评标标准</w:t>
      </w:r>
      <w:r>
        <w:rPr>
          <w:rFonts w:hint="eastAsia" w:asciiTheme="minorEastAsia" w:hAnsiTheme="minorEastAsia" w:eastAsiaTheme="minorEastAsia" w:cstheme="minorEastAsia"/>
          <w:b/>
          <w:bCs/>
          <w:sz w:val="32"/>
          <w:szCs w:val="32"/>
          <w:highlight w:val="none"/>
        </w:rPr>
        <w:tab/>
      </w: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PAGEREF _Toc3179 \h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 xml:space="preserve">69</w:t>
      </w:r>
      <w:r>
        <w:rPr>
          <w:rFonts w:hint="eastAsia" w:asciiTheme="minorEastAsia" w:hAnsiTheme="minorEastAsia" w:eastAsiaTheme="minorEastAsia" w:cstheme="minorEastAsia"/>
          <w:b/>
          <w:bCs/>
          <w:sz w:val="32"/>
          <w:szCs w:val="32"/>
          <w:highlight w:val="none"/>
        </w:rPr>
        <w:fldChar w:fldCharType="end"/>
      </w:r>
      <w:r>
        <w:rPr>
          <w:rFonts w:hint="eastAsia" w:asciiTheme="minorEastAsia" w:hAnsiTheme="minorEastAsia" w:eastAsiaTheme="minorEastAsia" w:cstheme="minorEastAsia"/>
          <w:b/>
          <w:bCs/>
          <w:sz w:val="32"/>
          <w:szCs w:val="32"/>
          <w:highlight w:val="none"/>
        </w:rPr>
        <w:fldChar w:fldCharType="end"/>
      </w:r>
      <w:r/>
    </w:p>
    <w:p>
      <w:pPr>
        <w:pStyle w:val="835"/>
        <w:spacing w:line="360" w:lineRule="auto"/>
        <w:tabs>
          <w:tab w:val="right" w:pos="9638" w:leader="dot"/>
        </w:tabs>
        <w:rPr>
          <w:rFonts w:asciiTheme="minorEastAsia" w:hAnsiTheme="minorEastAsia" w:eastAsiaTheme="minorEastAsia" w:cstheme="minorEastAsia"/>
          <w:b/>
          <w:bCs/>
          <w:sz w:val="32"/>
          <w:szCs w:val="32"/>
          <w:highlight w:val="none"/>
        </w:rPr>
      </w:pPr>
      <w:r>
        <w:rPr>
          <w:highlight w:val="none"/>
        </w:rPr>
        <w:fldChar w:fldCharType="begin"/>
      </w:r>
      <w:r>
        <w:rPr>
          <w:highlight w:val="none"/>
        </w:rPr>
        <w:instrText xml:space="preserve"> HYPERLINK \l "_Toc28528" </w:instrText>
      </w:r>
      <w:r>
        <w:rPr>
          <w:highlight w:val="none"/>
        </w:rPr>
        <w:fldChar w:fldCharType="separate"/>
      </w:r>
      <w:r>
        <w:rPr>
          <w:rFonts w:hint="eastAsia" w:asciiTheme="minorEastAsia" w:hAnsiTheme="minorEastAsia" w:eastAsiaTheme="minorEastAsia" w:cstheme="minorEastAsia"/>
          <w:b/>
          <w:bCs/>
          <w:sz w:val="32"/>
          <w:szCs w:val="32"/>
          <w:highlight w:val="none"/>
        </w:rPr>
        <w:t xml:space="preserve">第六章  投标文件格式</w:t>
      </w:r>
      <w:r>
        <w:rPr>
          <w:rFonts w:hint="eastAsia" w:asciiTheme="minorEastAsia" w:hAnsiTheme="minorEastAsia" w:eastAsiaTheme="minorEastAsia" w:cstheme="minorEastAsia"/>
          <w:b/>
          <w:bCs/>
          <w:sz w:val="32"/>
          <w:szCs w:val="32"/>
          <w:highlight w:val="none"/>
        </w:rPr>
        <w:tab/>
      </w:r>
      <w:r>
        <w:rPr>
          <w:rFonts w:hint="eastAsia" w:asciiTheme="minorEastAsia" w:hAnsiTheme="minorEastAsia" w:eastAsiaTheme="minorEastAsia" w:cstheme="minorEastAsia"/>
          <w:b/>
          <w:bCs/>
          <w:sz w:val="32"/>
          <w:szCs w:val="32"/>
          <w:highlight w:val="none"/>
        </w:rPr>
        <w:fldChar w:fldCharType="begin"/>
      </w:r>
      <w:r>
        <w:rPr>
          <w:rFonts w:hint="eastAsia" w:asciiTheme="minorEastAsia" w:hAnsiTheme="minorEastAsia" w:eastAsiaTheme="minorEastAsia" w:cstheme="minorEastAsia"/>
          <w:b/>
          <w:bCs/>
          <w:sz w:val="32"/>
          <w:szCs w:val="32"/>
          <w:highlight w:val="none"/>
        </w:rPr>
        <w:instrText xml:space="preserve"> PAGEREF _Toc28528 \h </w:instrText>
      </w:r>
      <w:r>
        <w:rPr>
          <w:rFonts w:hint="eastAsia" w:asciiTheme="minorEastAsia" w:hAnsiTheme="minorEastAsia" w:eastAsiaTheme="minorEastAsia" w:cstheme="minorEastAsia"/>
          <w:b/>
          <w:bCs/>
          <w:sz w:val="32"/>
          <w:szCs w:val="32"/>
          <w:highlight w:val="none"/>
        </w:rPr>
        <w:fldChar w:fldCharType="separate"/>
      </w:r>
      <w:r>
        <w:rPr>
          <w:rFonts w:hint="eastAsia" w:asciiTheme="minorEastAsia" w:hAnsiTheme="minorEastAsia" w:eastAsiaTheme="minorEastAsia" w:cstheme="minorEastAsia"/>
          <w:b/>
          <w:bCs/>
          <w:sz w:val="32"/>
          <w:szCs w:val="32"/>
          <w:highlight w:val="none"/>
        </w:rPr>
        <w:t xml:space="preserve">72</w:t>
      </w:r>
      <w:r>
        <w:rPr>
          <w:rFonts w:hint="eastAsia" w:asciiTheme="minorEastAsia" w:hAnsiTheme="minorEastAsia" w:eastAsiaTheme="minorEastAsia" w:cstheme="minorEastAsia"/>
          <w:b/>
          <w:bCs/>
          <w:sz w:val="32"/>
          <w:szCs w:val="32"/>
          <w:highlight w:val="none"/>
        </w:rPr>
        <w:fldChar w:fldCharType="end"/>
      </w:r>
      <w:r>
        <w:rPr>
          <w:rFonts w:hint="eastAsia" w:asciiTheme="minorEastAsia" w:hAnsiTheme="minorEastAsia" w:eastAsiaTheme="minorEastAsia" w:cstheme="minorEastAsia"/>
          <w:b/>
          <w:bCs/>
          <w:sz w:val="32"/>
          <w:szCs w:val="32"/>
          <w:highlight w:val="none"/>
        </w:rPr>
        <w:fldChar w:fldCharType="end"/>
      </w:r>
      <w:r/>
    </w:p>
    <w:p>
      <w:pPr>
        <w:pStyle w:val="841"/>
        <w:tabs>
          <w:tab w:val="right" w:pos="9638" w:leader="dot"/>
        </w:tabs>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46"/>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fldChar w:fldCharType="end"/>
      </w:r>
      <w:r/>
    </w:p>
    <w:p>
      <w:pPr>
        <w:pStyle w:val="846"/>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sectPr>
          <w:headerReference w:type="default" r:id="rId9"/>
          <w:footerReference w:type="default" r:id="rId10"/>
          <w:footnotePr/>
          <w:endnotePr/>
          <w:type w:val="nextPage"/>
          <w:pgSz w:w="11906" w:h="16838" w:orient="portrait"/>
          <w:pgMar w:top="1134" w:right="1134" w:bottom="1134" w:left="1134" w:header="851" w:footer="907" w:gutter="0"/>
          <w:pgNumType w:start="1"/>
          <w:cols w:num="1" w:sep="0" w:space="0" w:equalWidth="1"/>
          <w:docGrid w:linePitch="360"/>
          <w:titlePg/>
        </w:sect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jc w:val="center"/>
        <w:keepNext/>
        <w:rPr>
          <w:rFonts w:asciiTheme="minorEastAsia" w:hAnsiTheme="minorEastAsia" w:eastAsiaTheme="minorEastAsia" w:cstheme="minorEastAsia"/>
          <w:b/>
          <w:bCs/>
          <w:color w:val="000000"/>
          <w:sz w:val="32"/>
          <w:szCs w:val="32"/>
          <w:highlight w:val="none"/>
        </w:rPr>
        <w:outlineLvl w:val="0"/>
      </w:pPr>
      <w:r/>
      <w:bookmarkStart w:id="7" w:name="_Toc7574"/>
      <w:r/>
      <w:bookmarkStart w:id="8" w:name="_Toc24027"/>
      <w:r>
        <w:rPr>
          <w:rFonts w:hint="eastAsia" w:asciiTheme="minorEastAsia" w:hAnsiTheme="minorEastAsia" w:eastAsiaTheme="minorEastAsia" w:cstheme="minorEastAsia"/>
          <w:b/>
          <w:bCs/>
          <w:color w:val="000000"/>
          <w:sz w:val="32"/>
          <w:szCs w:val="32"/>
          <w:highlight w:val="none"/>
        </w:rPr>
        <w:t xml:space="preserve">第一章  </w:t>
      </w:r>
      <w:bookmarkEnd w:id="0"/>
      <w:r>
        <w:rPr>
          <w:rFonts w:hint="eastAsia" w:asciiTheme="minorEastAsia" w:hAnsiTheme="minorEastAsia" w:eastAsiaTheme="minorEastAsia" w:cstheme="minorEastAsia"/>
          <w:b/>
          <w:bCs/>
          <w:color w:val="000000"/>
          <w:sz w:val="32"/>
          <w:szCs w:val="32"/>
          <w:highlight w:val="none"/>
        </w:rPr>
        <w:t xml:space="preserve">投标邀请</w:t>
      </w:r>
      <w:bookmarkEnd w:id="7"/>
      <w:r/>
      <w:bookmarkEnd w:id="8"/>
      <w:r/>
      <w:r/>
    </w:p>
    <w:p>
      <w:pPr>
        <w:ind w:firstLine="480"/>
        <w:spacing w:line="360" w:lineRule="auto"/>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受连云港市云台山风景名胜区管理委员会的委托，大洲设计咨询集团有限公司就云台山景区森林防火智能监测项目</w:t>
      </w:r>
      <w:r>
        <w:rPr>
          <w:rFonts w:hint="eastAsia" w:asciiTheme="minorEastAsia" w:hAnsiTheme="minorEastAsia" w:eastAsiaTheme="minorEastAsia" w:cstheme="minorEastAsia"/>
          <w:color w:val="000000"/>
          <w:sz w:val="24"/>
          <w:szCs w:val="24"/>
          <w:highlight w:val="none"/>
          <w:lang w:eastAsia="zh-CN"/>
        </w:rPr>
        <w:t xml:space="preserve">（JSZC-320793-JSDZ-G2026-0077）</w:t>
      </w:r>
      <w:r>
        <w:rPr>
          <w:rFonts w:hint="eastAsia" w:asciiTheme="minorEastAsia" w:hAnsiTheme="minorEastAsia" w:eastAsiaTheme="minorEastAsia" w:cstheme="minorEastAsia"/>
          <w:color w:val="000000"/>
          <w:sz w:val="24"/>
          <w:szCs w:val="24"/>
          <w:highlight w:val="none"/>
        </w:rPr>
        <w:t xml:space="preserve">项目进行公开招标采购，欢迎符合条件的供应商投标。</w:t>
      </w:r>
      <w:r/>
    </w:p>
    <w:p>
      <w:pPr>
        <w:ind w:firstLine="480"/>
        <w:spacing w:line="360" w:lineRule="auto"/>
        <w:rPr>
          <w:rFonts w:asciiTheme="minorEastAsia" w:hAnsiTheme="minorEastAsia" w:eastAsiaTheme="minorEastAsia" w:cstheme="minorEastAsia"/>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000000"/>
          <w:sz w:val="24"/>
          <w:szCs w:val="24"/>
          <w:highlight w:val="none"/>
        </w:rPr>
        <w:t xml:space="preserve">项目概况</w:t>
      </w:r>
      <w:r/>
    </w:p>
    <w:p>
      <w:pPr>
        <w:ind w:firstLine="480"/>
        <w:spacing w:line="360" w:lineRule="auto"/>
        <w:rPr>
          <w:rFonts w:asciiTheme="minorEastAsia" w:hAnsiTheme="minorEastAsia" w:eastAsiaTheme="minorEastAsia" w:cstheme="minorEastAsia"/>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000000"/>
          <w:sz w:val="24"/>
          <w:szCs w:val="24"/>
          <w:highlight w:val="none"/>
          <w:u w:val="single"/>
        </w:rPr>
        <w:t xml:space="preserve"> 云台山景区森林防火智能监测项目 </w:t>
      </w:r>
      <w:r>
        <w:rPr>
          <w:rFonts w:hint="eastAsia" w:asciiTheme="minorEastAsia" w:hAnsiTheme="minorEastAsia" w:eastAsiaTheme="minorEastAsia" w:cstheme="minorEastAsia"/>
          <w:color w:val="000000"/>
          <w:sz w:val="24"/>
          <w:szCs w:val="24"/>
          <w:highlight w:val="none"/>
        </w:rPr>
        <w:t xml:space="preserve">招标项目的潜在投标人可在</w:t>
      </w:r>
      <w:r>
        <w:rPr>
          <w:rFonts w:hint="eastAsia" w:asciiTheme="minorEastAsia" w:hAnsiTheme="minorEastAsia" w:eastAsiaTheme="minorEastAsia" w:cstheme="minorEastAsia"/>
          <w:color w:val="000000"/>
          <w:sz w:val="24"/>
          <w:szCs w:val="24"/>
          <w:highlight w:val="none"/>
          <w:u w:val="single"/>
        </w:rPr>
        <w:t xml:space="preserve">“江苏政府采购网”自行免费下载</w:t>
      </w:r>
      <w:r>
        <w:rPr>
          <w:rFonts w:hint="eastAsia" w:asciiTheme="minorEastAsia" w:hAnsiTheme="minorEastAsia" w:eastAsiaTheme="minorEastAsia" w:cstheme="minorEastAsia"/>
          <w:color w:val="000000"/>
          <w:sz w:val="24"/>
          <w:szCs w:val="24"/>
          <w:highlight w:val="none"/>
        </w:rPr>
        <w:t xml:space="preserve">招标文件，并于</w:t>
      </w:r>
      <w:r>
        <w:rPr>
          <w:rFonts w:hint="eastAsia" w:asciiTheme="minorEastAsia" w:hAnsiTheme="minorEastAsia" w:eastAsiaTheme="minorEastAsia" w:cstheme="minorEastAsia"/>
          <w:color w:val="000000"/>
          <w:sz w:val="24"/>
          <w:szCs w:val="24"/>
          <w:highlight w:val="none"/>
          <w:u w:val="single"/>
        </w:rPr>
        <w:t xml:space="preserve">2026</w:t>
      </w:r>
      <w:r>
        <w:rPr>
          <w:rFonts w:hint="eastAsia" w:asciiTheme="minorEastAsia" w:hAnsiTheme="minorEastAsia" w:eastAsiaTheme="minorEastAsia" w:cstheme="minorEastAsia"/>
          <w:bCs/>
          <w:color w:val="000000"/>
          <w:sz w:val="24"/>
          <w:szCs w:val="24"/>
          <w:highlight w:val="none"/>
          <w:u w:val="single"/>
        </w:rPr>
        <w:t xml:space="preserve">年</w:t>
      </w:r>
      <w:r>
        <w:rPr>
          <w:rFonts w:hint="eastAsia" w:asciiTheme="minorEastAsia" w:hAnsiTheme="minorEastAsia" w:eastAsiaTheme="minorEastAsia" w:cstheme="minorEastAsia"/>
          <w:bCs/>
          <w:color w:val="000000"/>
          <w:sz w:val="24"/>
          <w:szCs w:val="24"/>
          <w:highlight w:val="none"/>
          <w:u w:val="single"/>
          <w:lang w:val="en-US" w:eastAsia="zh-CN"/>
        </w:rPr>
        <w:t xml:space="preserve">10</w:t>
      </w:r>
      <w:r>
        <w:rPr>
          <w:rFonts w:hint="eastAsia" w:asciiTheme="minorEastAsia" w:hAnsiTheme="minorEastAsia" w:eastAsiaTheme="minorEastAsia" w:cstheme="minorEastAsia"/>
          <w:bCs/>
          <w:color w:val="000000"/>
          <w:sz w:val="24"/>
          <w:szCs w:val="24"/>
          <w:highlight w:val="none"/>
          <w:u w:val="single"/>
        </w:rPr>
        <w:t xml:space="preserve">月</w:t>
      </w:r>
      <w:r>
        <w:rPr>
          <w:rFonts w:hint="eastAsia" w:asciiTheme="minorEastAsia" w:hAnsiTheme="minorEastAsia" w:eastAsiaTheme="minorEastAsia" w:cstheme="minorEastAsia"/>
          <w:bCs/>
          <w:color w:val="000000"/>
          <w:sz w:val="24"/>
          <w:szCs w:val="24"/>
          <w:highlight w:val="none"/>
          <w:u w:val="single"/>
          <w:lang w:val="en-US" w:eastAsia="zh-CN"/>
        </w:rPr>
        <w:t xml:space="preserve">16</w:t>
      </w:r>
      <w:r>
        <w:rPr>
          <w:rFonts w:hint="eastAsia" w:asciiTheme="minorEastAsia" w:hAnsiTheme="minorEastAsia" w:eastAsiaTheme="minorEastAsia" w:cstheme="minorEastAsia"/>
          <w:bCs/>
          <w:color w:val="000000"/>
          <w:sz w:val="24"/>
          <w:szCs w:val="24"/>
          <w:highlight w:val="none"/>
          <w:u w:val="single"/>
        </w:rPr>
        <w:t xml:space="preserve">日 9 点 00分（</w:t>
      </w:r>
      <w:r>
        <w:rPr>
          <w:rFonts w:hint="eastAsia" w:asciiTheme="minorEastAsia" w:hAnsiTheme="minorEastAsia" w:eastAsiaTheme="minorEastAsia" w:cstheme="minorEastAsia"/>
          <w:bCs/>
          <w:color w:val="000000"/>
          <w:sz w:val="24"/>
          <w:szCs w:val="24"/>
          <w:highlight w:val="none"/>
        </w:rPr>
        <w:t xml:space="preserve">北京时间）前递交投标文件</w:t>
      </w:r>
      <w:r>
        <w:rPr>
          <w:rFonts w:hint="eastAsia" w:asciiTheme="minorEastAsia" w:hAnsiTheme="minorEastAsia" w:eastAsiaTheme="minorEastAsia" w:cstheme="minorEastAsia"/>
          <w:color w:val="000000"/>
          <w:sz w:val="24"/>
          <w:szCs w:val="24"/>
          <w:highlight w:val="none"/>
        </w:rPr>
        <w:t xml:space="preserve">。</w:t>
      </w:r>
      <w:r/>
    </w:p>
    <w:p>
      <w:pPr>
        <w:ind w:firstLine="482"/>
        <w:spacing w:line="360" w:lineRule="auto"/>
        <w:rPr>
          <w:rFonts w:asciiTheme="minorEastAsia" w:hAnsiTheme="minorEastAsia" w:eastAsiaTheme="minorEastAsia" w:cstheme="minorEastAsia"/>
          <w:b/>
          <w:bCs/>
          <w:color w:val="000000"/>
          <w:sz w:val="24"/>
          <w:szCs w:val="24"/>
          <w:highlight w:val="none"/>
        </w:rPr>
        <w:outlineLvl w:val="0"/>
      </w:pPr>
      <w:r/>
      <w:bookmarkStart w:id="9" w:name="_Toc28359079"/>
      <w:r/>
      <w:bookmarkStart w:id="10" w:name="_Toc38985263"/>
      <w:r/>
      <w:bookmarkStart w:id="11" w:name="_Toc18943"/>
      <w:r/>
      <w:bookmarkStart w:id="12" w:name="_Toc35393621"/>
      <w:r/>
      <w:bookmarkStart w:id="13" w:name="_Toc28359002"/>
      <w:r/>
      <w:bookmarkStart w:id="14" w:name="_Toc35393790"/>
      <w:r/>
      <w:bookmarkStart w:id="15" w:name="_Hlk24379207"/>
      <w:r>
        <w:rPr>
          <w:rFonts w:hint="eastAsia" w:asciiTheme="minorEastAsia" w:hAnsiTheme="minorEastAsia" w:eastAsiaTheme="minorEastAsia" w:cstheme="minorEastAsia"/>
          <w:b/>
          <w:bCs/>
          <w:color w:val="000000"/>
          <w:sz w:val="24"/>
          <w:szCs w:val="24"/>
          <w:highlight w:val="none"/>
        </w:rPr>
        <w:t xml:space="preserve">一、项目基本情况</w:t>
      </w:r>
      <w:bookmarkEnd w:id="9"/>
      <w:r/>
      <w:bookmarkEnd w:id="10"/>
      <w:r/>
      <w:bookmarkEnd w:id="11"/>
      <w:r/>
      <w:bookmarkEnd w:id="12"/>
      <w:r/>
      <w:bookmarkEnd w:id="13"/>
      <w:r/>
      <w:bookmarkEnd w:id="14"/>
      <w:r/>
      <w:r/>
    </w:p>
    <w:p>
      <w:pPr>
        <w:ind w:firstLine="480"/>
        <w:spacing w:line="360" w:lineRule="auto"/>
        <w:rPr>
          <w:rFonts w:hint="eastAsia" w:asciiTheme="minorEastAsia" w:hAnsiTheme="minorEastAsia" w:eastAsiaTheme="minorEastAsia" w:cstheme="minorEastAsia"/>
          <w:color w:val="0000ff"/>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1.项目编号：</w:t>
      </w:r>
      <w:r>
        <w:rPr>
          <w:rFonts w:hint="eastAsia" w:asciiTheme="minorEastAsia" w:hAnsiTheme="minorEastAsia" w:eastAsiaTheme="minorEastAsia" w:cstheme="minorEastAsia"/>
          <w:color w:val="000000"/>
          <w:sz w:val="24"/>
          <w:szCs w:val="24"/>
          <w:highlight w:val="none"/>
          <w:lang w:eastAsia="zh-CN"/>
        </w:rPr>
        <w:t xml:space="preserve">JSZC-320793-JSDZ-G2026-0077</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2.项目名称：</w:t>
      </w:r>
      <w:bookmarkEnd w:id="15"/>
      <w:r>
        <w:rPr>
          <w:rFonts w:hint="eastAsia" w:asciiTheme="minorEastAsia" w:hAnsiTheme="minorEastAsia" w:eastAsiaTheme="minorEastAsia" w:cstheme="minorEastAsia"/>
          <w:color w:val="000000"/>
          <w:sz w:val="24"/>
          <w:szCs w:val="24"/>
          <w:highlight w:val="none"/>
        </w:rPr>
        <w:t xml:space="preserve">云台山景区森林防火智能监测项目 </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3.预算金额：500万元。</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4.最高限价：499.23万元，投标报价超过最高限价的投标无效。</w:t>
      </w:r>
      <w:r/>
    </w:p>
    <w:p>
      <w:pPr>
        <w:ind w:firstLine="480"/>
        <w:spacing w:line="360" w:lineRule="auto"/>
        <w:rPr>
          <w:rFonts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5.采购需求：本项目新建274套前端视频监控及配套设备，采用有线VPN 专线及4G/5G无线混合组网传输，升级现有森林防火预警监测平台等，森林防火预警监测平台须与连云港市、江苏省森林防火监测预警平台无缝级联，实现视频、告警数据互联互通。（详细内容见本招标文件第四章）</w:t>
      </w:r>
      <w:r/>
    </w:p>
    <w:p>
      <w:pPr>
        <w:ind w:firstLine="480"/>
        <w:spacing w:line="360" w:lineRule="auto"/>
        <w:rPr>
          <w:rFonts w:hint="eastAsia" w:asciiTheme="minorEastAsia" w:hAnsiTheme="minorEastAsia" w:eastAsiaTheme="minorEastAsia" w:cstheme="minorEastAsia"/>
          <w:color w:val="000000"/>
          <w:sz w:val="24"/>
          <w:szCs w:val="24"/>
          <w:highlight w:val="none"/>
        </w:rPr>
        <w:outlineLvl w:val="0"/>
      </w:pPr>
      <w:r/>
      <w:bookmarkStart w:id="16" w:name="_Toc30029"/>
      <w:r>
        <w:rPr>
          <w:rFonts w:hint="eastAsia" w:asciiTheme="minorEastAsia" w:hAnsiTheme="minorEastAsia" w:eastAsiaTheme="minorEastAsia" w:cstheme="minorEastAsia"/>
          <w:color w:val="000000"/>
          <w:sz w:val="24"/>
          <w:szCs w:val="24"/>
          <w:highlight w:val="none"/>
        </w:rPr>
        <w:t xml:space="preserve">6.交货期：</w:t>
      </w:r>
      <w:bookmarkStart w:id="17" w:name="_Toc35393791"/>
      <w:r/>
      <w:bookmarkStart w:id="18" w:name="_Toc28359003"/>
      <w:r/>
      <w:bookmarkStart w:id="19" w:name="_Toc38985264"/>
      <w:r/>
      <w:bookmarkStart w:id="20" w:name="_Toc35393622"/>
      <w:r/>
      <w:bookmarkStart w:id="21" w:name="_Toc28359080"/>
      <w:r>
        <w:rPr>
          <w:rFonts w:hint="eastAsia" w:asciiTheme="minorEastAsia" w:hAnsiTheme="minorEastAsia" w:eastAsiaTheme="minorEastAsia" w:cstheme="minorEastAsia"/>
          <w:color w:val="000000"/>
          <w:sz w:val="24"/>
          <w:szCs w:val="24"/>
          <w:highlight w:val="none"/>
        </w:rPr>
        <w:t xml:space="preserve">合同签订后，60日历天内完成安装调试并验收合格。</w:t>
      </w:r>
      <w:r/>
    </w:p>
    <w:p>
      <w:pPr>
        <w:ind w:firstLine="482"/>
        <w:spacing w:line="360" w:lineRule="auto"/>
        <w:rPr>
          <w:rFonts w:hint="eastAsia" w:asciiTheme="minorEastAsia" w:hAnsiTheme="minorEastAsia" w:eastAsiaTheme="minorEastAsia" w:cstheme="minorEastAsia"/>
          <w:b/>
          <w:bCs/>
          <w:color w:val="000000"/>
          <w:sz w:val="24"/>
          <w:szCs w:val="24"/>
          <w:highlight w:val="none"/>
        </w:rPr>
        <w:outlineLvl w:val="0"/>
      </w:pPr>
      <w:r>
        <w:rPr>
          <w:rFonts w:hint="eastAsia" w:asciiTheme="minorEastAsia" w:hAnsiTheme="minorEastAsia" w:eastAsiaTheme="minorEastAsia" w:cstheme="minorEastAsia"/>
          <w:b/>
          <w:bCs/>
          <w:color w:val="000000"/>
          <w:sz w:val="24"/>
          <w:szCs w:val="24"/>
          <w:highlight w:val="none"/>
        </w:rPr>
        <w:t xml:space="preserve">本项目(是/否)接受联合体:否</w:t>
      </w:r>
      <w:r/>
    </w:p>
    <w:p>
      <w:pPr>
        <w:ind w:firstLine="482"/>
        <w:spacing w:line="360" w:lineRule="auto"/>
        <w:rPr>
          <w:rFonts w:asciiTheme="minorEastAsia" w:hAnsiTheme="minorEastAsia" w:eastAsiaTheme="minorEastAsia" w:cstheme="minorEastAsia"/>
          <w:b/>
          <w:bCs/>
          <w:color w:val="000000"/>
          <w:sz w:val="24"/>
          <w:szCs w:val="24"/>
          <w:highlight w:val="none"/>
        </w:rPr>
        <w:outlineLvl w:val="0"/>
      </w:pPr>
      <w:r>
        <w:rPr>
          <w:rFonts w:hint="eastAsia" w:asciiTheme="minorEastAsia" w:hAnsiTheme="minorEastAsia" w:eastAsiaTheme="minorEastAsia" w:cstheme="minorEastAsia"/>
          <w:b/>
          <w:bCs/>
          <w:color w:val="000000"/>
          <w:sz w:val="24"/>
          <w:szCs w:val="24"/>
          <w:highlight w:val="none"/>
        </w:rPr>
        <w:t xml:space="preserve">二、申请人的资格要求：</w:t>
      </w:r>
      <w:bookmarkEnd w:id="16"/>
      <w:r/>
      <w:bookmarkEnd w:id="17"/>
      <w:r/>
      <w:bookmarkEnd w:id="18"/>
      <w:r/>
      <w:bookmarkEnd w:id="19"/>
      <w:r/>
      <w:bookmarkEnd w:id="20"/>
      <w:r/>
      <w:bookmarkEnd w:id="21"/>
      <w:r/>
      <w:r/>
    </w:p>
    <w:p>
      <w:pPr>
        <w:ind w:firstLine="480"/>
        <w:spacing w:line="360" w:lineRule="auto"/>
        <w:rPr>
          <w:rFonts w:asciiTheme="minorEastAsia" w:hAnsiTheme="minorEastAsia" w:eastAsiaTheme="minorEastAsia" w:cstheme="minorEastAsia"/>
          <w:sz w:val="24"/>
          <w:szCs w:val="24"/>
          <w:highlight w:val="none"/>
        </w:rPr>
        <w:outlineLvl w:val="1"/>
      </w:pPr>
      <w:r/>
      <w:bookmarkStart w:id="22" w:name="_Toc21159"/>
      <w:r/>
      <w:bookmarkStart w:id="23" w:name="_Toc38985265"/>
      <w:r/>
      <w:bookmarkStart w:id="24" w:name="_Toc35393623"/>
      <w:r/>
      <w:bookmarkStart w:id="25" w:name="_Toc28359081"/>
      <w:r/>
      <w:bookmarkStart w:id="26" w:name="_Toc28359004"/>
      <w:r/>
      <w:bookmarkStart w:id="27" w:name="_Toc35393792"/>
      <w:r>
        <w:rPr>
          <w:rFonts w:hint="eastAsia" w:asciiTheme="minorEastAsia" w:hAnsiTheme="minorEastAsia" w:eastAsiaTheme="minorEastAsia" w:cstheme="minorEastAsia"/>
          <w:sz w:val="24"/>
          <w:szCs w:val="24"/>
          <w:highlight w:val="none"/>
        </w:rPr>
        <w:t xml:space="preserve">1.满足《中华人民共和国政府采购法》第二十二条规定，提供下列材料：</w:t>
      </w:r>
      <w:bookmarkEnd w:id="22"/>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（1）法人或者其他组织的营业执照等证明文件，自然人的身份证明；</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（3）依法缴纳税收和社会保障资金的相关材料；</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（4）具备履行合同所必需的设备和专业技术能力</w:t>
      </w:r>
      <w:bookmarkStart w:id="241" w:name="_GoBack"/>
      <w:r/>
      <w:bookmarkEnd w:id="241"/>
      <w:r>
        <w:rPr>
          <w:rFonts w:hint="eastAsia" w:asciiTheme="minorEastAsia" w:hAnsiTheme="minorEastAsia" w:eastAsiaTheme="minorEastAsia" w:cstheme="minorEastAsia"/>
          <w:sz w:val="24"/>
          <w:szCs w:val="24"/>
          <w:highlight w:val="none"/>
        </w:rPr>
        <w:t xml:space="preserve">的声明及证明材料；</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（5）参加政府采购活动前三年内在经营活动中没有重大违法记录的书面声明。</w:t>
      </w:r>
      <w:r/>
    </w:p>
    <w:p>
      <w:pPr>
        <w:ind w:firstLine="482"/>
        <w:spacing w:line="360" w:lineRule="auto"/>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根据连财购〔2023〕4号文件精神，第（2）、（3）项可以提供《财务状况报告及税收、社会保障资金缴纳情况承诺函》，并上传至电子投标文件中，详见招标文件第六部分格式。</w:t>
      </w:r>
      <w:r/>
    </w:p>
    <w:p>
      <w:pPr>
        <w:ind w:firstLine="480"/>
        <w:spacing w:line="360" w:lineRule="auto"/>
        <w:rPr>
          <w:rFonts w:asciiTheme="minorEastAsia" w:hAnsiTheme="minorEastAsia" w:eastAsiaTheme="minorEastAsia" w:cstheme="minorEastAsia"/>
          <w:b/>
          <w:bCs/>
          <w:sz w:val="24"/>
          <w:szCs w:val="24"/>
          <w:highlight w:val="none"/>
        </w:rPr>
        <w:outlineLvl w:val="1"/>
      </w:pPr>
      <w:r/>
      <w:bookmarkStart w:id="28" w:name="_Toc20856"/>
      <w:r>
        <w:rPr>
          <w:rFonts w:hint="eastAsia" w:asciiTheme="minorEastAsia" w:hAnsiTheme="minorEastAsia" w:eastAsiaTheme="minorEastAsia" w:cstheme="minorEastAsia"/>
          <w:sz w:val="24"/>
          <w:szCs w:val="24"/>
          <w:highlight w:val="none"/>
        </w:rPr>
        <w:t xml:space="preserve">2.落实政府采购需满足的资格要求：无。</w:t>
      </w:r>
      <w:bookmarkEnd w:id="28"/>
      <w:r>
        <w:rPr>
          <w:rFonts w:hint="eastAsia" w:asciiTheme="minorEastAsia" w:hAnsiTheme="minorEastAsia" w:eastAsiaTheme="minorEastAsia" w:cstheme="minorEastAsia"/>
          <w:sz w:val="24"/>
          <w:szCs w:val="24"/>
          <w:highlight w:val="none"/>
        </w:rPr>
        <w:t xml:space="preserve"> </w:t>
      </w:r>
      <w:r/>
    </w:p>
    <w:p>
      <w:pPr>
        <w:ind w:firstLine="480"/>
        <w:spacing w:line="360" w:lineRule="auto"/>
        <w:rPr>
          <w:rFonts w:asciiTheme="minorEastAsia" w:hAnsiTheme="minorEastAsia" w:eastAsiaTheme="minorEastAsia" w:cstheme="minorEastAsia"/>
          <w:sz w:val="24"/>
          <w:szCs w:val="24"/>
          <w:highlight w:val="none"/>
        </w:rPr>
        <w:outlineLvl w:val="1"/>
      </w:pPr>
      <w:r/>
      <w:bookmarkStart w:id="29" w:name="_Toc12887"/>
      <w:r>
        <w:rPr>
          <w:rFonts w:hint="eastAsia" w:asciiTheme="minorEastAsia" w:hAnsiTheme="minorEastAsia" w:eastAsiaTheme="minorEastAsia" w:cstheme="minorEastAsia"/>
          <w:sz w:val="24"/>
          <w:szCs w:val="24"/>
          <w:highlight w:val="none"/>
        </w:rPr>
        <w:t xml:space="preserve">3.本项目的特定资格要求：无。</w:t>
      </w:r>
      <w:bookmarkEnd w:id="29"/>
      <w:r/>
      <w:r/>
    </w:p>
    <w:p>
      <w:pPr>
        <w:ind w:firstLine="480"/>
        <w:spacing w:line="360" w:lineRule="auto"/>
        <w:rPr>
          <w:rFonts w:asciiTheme="minorEastAsia" w:hAnsiTheme="minorEastAsia" w:eastAsiaTheme="minorEastAsia" w:cstheme="minorEastAsia"/>
          <w:sz w:val="24"/>
          <w:szCs w:val="24"/>
          <w:highlight w:val="none"/>
        </w:rPr>
        <w:outlineLvl w:val="1"/>
      </w:pPr>
      <w:r/>
      <w:bookmarkStart w:id="30" w:name="_Toc20984"/>
      <w:r>
        <w:rPr>
          <w:rFonts w:hint="eastAsia" w:asciiTheme="minorEastAsia" w:hAnsiTheme="minorEastAsia" w:eastAsiaTheme="minorEastAsia" w:cstheme="minorEastAsia"/>
          <w:sz w:val="24"/>
          <w:szCs w:val="24"/>
          <w:highlight w:val="none"/>
        </w:rPr>
        <w:t xml:space="preserve">4.本项目的其他资格要求：</w:t>
      </w:r>
      <w:bookmarkEnd w:id="30"/>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（1）投标文件递交截止前，被信用中国、中国政府采购网列入失信被执行人、重大税收违法案件当事人名单、政府采购严重违法失信行为记录名单的投标人，拒绝其参与政府采购活动。</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备注：采购人或采购代理机构通过信用中国网站（www.creditchina.gov.cn）、中国政府采购网（www.ccgp.gov.cn），对投标人信用记录情况进行查询，查询结果页面打印留存。</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（2）中标后不允许转包。</w:t>
      </w:r>
      <w:r/>
    </w:p>
    <w:p>
      <w:pPr>
        <w:ind w:firstLine="48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（3）本项目不接受进口产品</w:t>
      </w:r>
      <w:r>
        <w:rPr>
          <w:rFonts w:hint="eastAsia" w:asciiTheme="minorEastAsia" w:hAnsiTheme="minorEastAsia" w:eastAsiaTheme="minorEastAsia" w:cstheme="minorEastAsia"/>
          <w:sz w:val="24"/>
          <w:szCs w:val="24"/>
          <w:highlight w:val="none"/>
          <w:lang w:eastAsia="zh-CN"/>
        </w:rPr>
        <w:t xml:space="preserve">。</w:t>
      </w:r>
      <w:r/>
    </w:p>
    <w:p>
      <w:pPr>
        <w:ind w:firstLine="480"/>
        <w:spacing w:line="360" w:lineRule="auto"/>
        <w:rPr>
          <w:rFonts w:asciiTheme="minorEastAsia" w:hAnsiTheme="minorEastAsia" w:eastAsiaTheme="minorEastAsia" w:cstheme="minorEastAsia"/>
          <w:sz w:val="24"/>
          <w:szCs w:val="24"/>
          <w:highlight w:val="none"/>
        </w:rPr>
      </w:pPr>
      <w:r/>
      <w:bookmarkStart w:id="31" w:name="_Toc24012"/>
      <w:r>
        <w:rPr>
          <w:rFonts w:hint="eastAsia" w:asciiTheme="minorEastAsia" w:hAnsiTheme="minorEastAsia" w:eastAsiaTheme="minorEastAsia" w:cstheme="minorEastAsia"/>
          <w:sz w:val="24"/>
          <w:szCs w:val="24"/>
          <w:highlight w:val="none"/>
        </w:rPr>
        <w:t xml:space="preserve">5.法律法规规定的其他条件。</w:t>
      </w:r>
      <w:bookmarkEnd w:id="31"/>
      <w:r/>
      <w:r/>
    </w:p>
    <w:p>
      <w:pPr>
        <w:ind w:firstLine="482"/>
        <w:spacing w:line="360" w:lineRule="auto"/>
        <w:rPr>
          <w:rFonts w:asciiTheme="minorEastAsia" w:hAnsiTheme="minorEastAsia" w:eastAsiaTheme="minorEastAsia" w:cstheme="minorEastAsia"/>
          <w:sz w:val="24"/>
          <w:szCs w:val="24"/>
          <w:highlight w:val="none"/>
        </w:rPr>
        <w:outlineLvl w:val="0"/>
      </w:pPr>
      <w:r/>
      <w:bookmarkStart w:id="32" w:name="_Toc9690"/>
      <w:r>
        <w:rPr>
          <w:rFonts w:hint="eastAsia" w:asciiTheme="minorEastAsia" w:hAnsiTheme="minorEastAsia" w:eastAsiaTheme="minorEastAsia" w:cstheme="minorEastAsia"/>
          <w:b/>
          <w:bCs/>
          <w:color w:val="000000"/>
          <w:sz w:val="24"/>
          <w:szCs w:val="24"/>
          <w:highlight w:val="none"/>
        </w:rPr>
        <w:t xml:space="preserve">三、获取招标文件</w:t>
      </w:r>
      <w:bookmarkEnd w:id="23"/>
      <w:r/>
      <w:bookmarkEnd w:id="24"/>
      <w:r/>
      <w:bookmarkEnd w:id="25"/>
      <w:r/>
      <w:bookmarkEnd w:id="26"/>
      <w:r/>
      <w:bookmarkEnd w:id="27"/>
      <w:r/>
      <w:bookmarkEnd w:id="32"/>
      <w:r/>
      <w:r/>
    </w:p>
    <w:p>
      <w:pPr>
        <w:ind w:firstLine="480"/>
        <w:spacing w:line="360" w:lineRule="auto"/>
        <w:rPr>
          <w:rFonts w:asciiTheme="minorEastAsia" w:hAnsiTheme="minorEastAsia" w:eastAsiaTheme="minorEastAsia" w:cstheme="minorEastAsia"/>
          <w:sz w:val="24"/>
          <w:szCs w:val="24"/>
          <w:highlight w:val="none"/>
        </w:rPr>
      </w:pPr>
      <w:r/>
      <w:bookmarkStart w:id="33" w:name="_Toc28359082"/>
      <w:r/>
      <w:bookmarkStart w:id="34" w:name="_Toc28359005"/>
      <w:r/>
      <w:bookmarkStart w:id="35" w:name="_Toc38985266"/>
      <w:r/>
      <w:bookmarkStart w:id="36" w:name="_Toc35393624"/>
      <w:r/>
      <w:bookmarkStart w:id="37" w:name="_Toc35393793"/>
      <w:r>
        <w:rPr>
          <w:rFonts w:hint="eastAsia" w:asciiTheme="minorEastAsia" w:hAnsiTheme="minorEastAsia" w:eastAsiaTheme="minorEastAsia" w:cstheme="minorEastAsia"/>
          <w:sz w:val="24"/>
          <w:szCs w:val="24"/>
          <w:highlight w:val="none"/>
        </w:rPr>
        <w:t xml:space="preserve">1.时间：自招标文件公告发布之日起5个工作日。</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2.方式：在“江苏政府采购网”自行免费下载招标文件。</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3.售价：0.00元</w:t>
      </w:r>
      <w:r/>
    </w:p>
    <w:p>
      <w:pPr>
        <w:ind w:firstLine="482"/>
        <w:spacing w:line="360" w:lineRule="auto"/>
        <w:rPr>
          <w:rFonts w:asciiTheme="minorEastAsia" w:hAnsiTheme="minorEastAsia" w:eastAsiaTheme="minorEastAsia" w:cstheme="minorEastAsia"/>
          <w:b/>
          <w:bCs/>
          <w:color w:val="000000"/>
          <w:sz w:val="24"/>
          <w:szCs w:val="24"/>
          <w:highlight w:val="none"/>
        </w:rPr>
        <w:outlineLvl w:val="0"/>
      </w:pPr>
      <w:r/>
      <w:bookmarkStart w:id="38" w:name="_Toc18432"/>
      <w:r>
        <w:rPr>
          <w:rFonts w:hint="eastAsia" w:asciiTheme="minorEastAsia" w:hAnsiTheme="minorEastAsia" w:eastAsiaTheme="minorEastAsia" w:cstheme="minorEastAsia"/>
          <w:b/>
          <w:bCs/>
          <w:color w:val="000000"/>
          <w:sz w:val="24"/>
          <w:szCs w:val="24"/>
          <w:highlight w:val="none"/>
        </w:rPr>
        <w:t xml:space="preserve">四、提交投标文件</w:t>
      </w:r>
      <w:bookmarkEnd w:id="33"/>
      <w:r/>
      <w:bookmarkEnd w:id="34"/>
      <w:r>
        <w:rPr>
          <w:rFonts w:hint="eastAsia" w:asciiTheme="minorEastAsia" w:hAnsiTheme="minorEastAsia" w:eastAsiaTheme="minorEastAsia" w:cstheme="minorEastAsia"/>
          <w:b/>
          <w:bCs/>
          <w:color w:val="000000"/>
          <w:sz w:val="24"/>
          <w:szCs w:val="24"/>
          <w:highlight w:val="none"/>
        </w:rPr>
        <w:t xml:space="preserve">截止时间、开标时间和地点</w:t>
      </w:r>
      <w:bookmarkEnd w:id="35"/>
      <w:r/>
      <w:bookmarkEnd w:id="36"/>
      <w:r/>
      <w:bookmarkEnd w:id="37"/>
      <w:r/>
      <w:bookmarkEnd w:id="38"/>
      <w:r/>
      <w:r/>
    </w:p>
    <w:p>
      <w:pPr>
        <w:ind w:firstLine="480"/>
        <w:spacing w:line="360" w:lineRule="auto"/>
        <w:rPr>
          <w:rFonts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1.提交</w:t>
      </w:r>
      <w:r>
        <w:rPr>
          <w:rFonts w:hint="eastAsia" w:asciiTheme="minorEastAsia" w:hAnsiTheme="minorEastAsia" w:eastAsiaTheme="minorEastAsia" w:cstheme="minorEastAsia"/>
          <w:color w:val="000000"/>
          <w:sz w:val="24"/>
          <w:szCs w:val="24"/>
          <w:highlight w:val="none"/>
        </w:rPr>
        <w:t xml:space="preserve">投标文件截止时间 </w:t>
      </w:r>
      <w:r>
        <w:rPr>
          <w:rFonts w:hint="eastAsia" w:asciiTheme="minorEastAsia" w:hAnsiTheme="minorEastAsia" w:eastAsiaTheme="minorEastAsia" w:cstheme="minorEastAsia"/>
          <w:bCs/>
          <w:color w:val="000000"/>
          <w:sz w:val="24"/>
          <w:szCs w:val="24"/>
          <w:highlight w:val="none"/>
        </w:rPr>
        <w:t xml:space="preserve"> 2026 年</w:t>
      </w:r>
      <w:r>
        <w:rPr>
          <w:rFonts w:hint="eastAsia" w:asciiTheme="minorEastAsia" w:hAnsiTheme="minorEastAsia" w:eastAsiaTheme="minorEastAsia" w:cstheme="minorEastAsia"/>
          <w:bCs/>
          <w:color w:val="000000"/>
          <w:sz w:val="24"/>
          <w:szCs w:val="24"/>
          <w:highlight w:val="none"/>
          <w:lang w:val="en-US" w:eastAsia="zh-CN"/>
        </w:rPr>
        <w:t xml:space="preserve">10</w:t>
      </w:r>
      <w:r>
        <w:rPr>
          <w:rFonts w:hint="eastAsia" w:asciiTheme="minorEastAsia" w:hAnsiTheme="minorEastAsia" w:eastAsiaTheme="minorEastAsia" w:cstheme="minorEastAsia"/>
          <w:bCs/>
          <w:color w:val="000000"/>
          <w:sz w:val="24"/>
          <w:szCs w:val="24"/>
          <w:highlight w:val="none"/>
        </w:rPr>
        <w:t xml:space="preserve">月</w:t>
      </w:r>
      <w:r>
        <w:rPr>
          <w:rFonts w:hint="eastAsia" w:asciiTheme="minorEastAsia" w:hAnsiTheme="minorEastAsia" w:eastAsiaTheme="minorEastAsia" w:cstheme="minorEastAsia"/>
          <w:bCs/>
          <w:color w:val="000000"/>
          <w:sz w:val="24"/>
          <w:szCs w:val="24"/>
          <w:highlight w:val="none"/>
          <w:lang w:val="en-US" w:eastAsia="zh-CN"/>
        </w:rPr>
        <w:t xml:space="preserve">16</w:t>
      </w:r>
      <w:r>
        <w:rPr>
          <w:rFonts w:hint="eastAsia" w:asciiTheme="minorEastAsia" w:hAnsiTheme="minorEastAsia" w:eastAsiaTheme="minorEastAsia" w:cstheme="minorEastAsia"/>
          <w:bCs/>
          <w:color w:val="000000"/>
          <w:sz w:val="24"/>
          <w:szCs w:val="24"/>
          <w:highlight w:val="none"/>
        </w:rPr>
        <w:t xml:space="preserve">日 9 点00 分（北京时间）。</w:t>
      </w:r>
      <w:r/>
    </w:p>
    <w:p>
      <w:pPr>
        <w:ind w:firstLine="480"/>
        <w:spacing w:line="360" w:lineRule="auto"/>
        <w:rPr>
          <w:rFonts w:asciiTheme="minorEastAsia" w:hAnsiTheme="minorEastAsia" w:eastAsiaTheme="minorEastAsia" w:cstheme="minorEastAsia"/>
          <w:bCs/>
          <w:color w:val="000000"/>
          <w:sz w:val="24"/>
          <w:szCs w:val="24"/>
          <w:highlight w:val="none"/>
        </w:rPr>
      </w:pPr>
      <w:r/>
      <w:bookmarkStart w:id="39" w:name="_Toc35393625"/>
      <w:r/>
      <w:bookmarkStart w:id="40" w:name="_Toc38985267"/>
      <w:r/>
      <w:bookmarkStart w:id="41" w:name="_Toc28359084"/>
      <w:r/>
      <w:bookmarkStart w:id="42" w:name="_Toc28359007"/>
      <w:r/>
      <w:bookmarkStart w:id="43" w:name="_Toc35393794"/>
      <w:r>
        <w:rPr>
          <w:rFonts w:hint="eastAsia" w:asciiTheme="minorEastAsia" w:hAnsiTheme="minorEastAsia" w:eastAsiaTheme="minorEastAsia" w:cstheme="minorEastAsia"/>
          <w:bCs/>
          <w:color w:val="000000"/>
          <w:sz w:val="24"/>
          <w:szCs w:val="24"/>
          <w:highlight w:val="none"/>
        </w:rPr>
        <w:t xml:space="preserve">2.开标时间：提交投标文件截止时间</w:t>
      </w:r>
      <w:r/>
    </w:p>
    <w:p>
      <w:pPr>
        <w:ind w:firstLine="480"/>
        <w:spacing w:line="360" w:lineRule="auto"/>
        <w:rPr>
          <w:rFonts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3.开标地点：“苏采云”政府采购交易系统网上开标大厅</w:t>
      </w:r>
      <w:r/>
    </w:p>
    <w:p>
      <w:pPr>
        <w:ind w:firstLine="482"/>
        <w:spacing w:line="360" w:lineRule="auto"/>
        <w:rPr>
          <w:rFonts w:asciiTheme="minorEastAsia" w:hAnsiTheme="minorEastAsia" w:eastAsiaTheme="minorEastAsia" w:cstheme="minorEastAsia"/>
          <w:b/>
          <w:bCs/>
          <w:color w:val="000000"/>
          <w:sz w:val="24"/>
          <w:szCs w:val="24"/>
          <w:highlight w:val="none"/>
        </w:rPr>
        <w:outlineLvl w:val="0"/>
      </w:pPr>
      <w:r/>
      <w:bookmarkStart w:id="44" w:name="_Toc31694"/>
      <w:r>
        <w:rPr>
          <w:rFonts w:hint="eastAsia" w:asciiTheme="minorEastAsia" w:hAnsiTheme="minorEastAsia" w:eastAsiaTheme="minorEastAsia" w:cstheme="minorEastAsia"/>
          <w:b/>
          <w:bCs/>
          <w:color w:val="000000"/>
          <w:sz w:val="24"/>
          <w:szCs w:val="24"/>
          <w:highlight w:val="none"/>
        </w:rPr>
        <w:t xml:space="preserve">五、公告期限</w:t>
      </w:r>
      <w:bookmarkEnd w:id="39"/>
      <w:r/>
      <w:bookmarkEnd w:id="40"/>
      <w:r/>
      <w:bookmarkEnd w:id="41"/>
      <w:r/>
      <w:bookmarkEnd w:id="42"/>
      <w:r/>
      <w:bookmarkEnd w:id="43"/>
      <w:r/>
      <w:bookmarkEnd w:id="44"/>
      <w:r/>
      <w:r/>
    </w:p>
    <w:p>
      <w:pPr>
        <w:ind w:firstLine="440"/>
        <w:spacing w:line="360" w:lineRule="auto"/>
        <w:rPr>
          <w:rFonts w:asciiTheme="minorEastAsia" w:hAnsiTheme="minorEastAsia" w:eastAsiaTheme="minorEastAsia" w:cstheme="minorEastAsia"/>
          <w:color w:val="000000"/>
          <w:sz w:val="24"/>
          <w:szCs w:val="24"/>
          <w:highlight w:val="none"/>
        </w:rPr>
      </w:pPr>
      <w:r/>
      <w:bookmarkStart w:id="45" w:name="_Toc35393626"/>
      <w:r/>
      <w:bookmarkStart w:id="46" w:name="_Toc35393795"/>
      <w:r/>
      <w:bookmarkStart w:id="47" w:name="_Toc38985268"/>
      <w:r>
        <w:rPr>
          <w:rFonts w:hint="eastAsia" w:asciiTheme="minorEastAsia" w:hAnsiTheme="minorEastAsia" w:eastAsiaTheme="minorEastAsia" w:cstheme="minorEastAsia"/>
          <w:sz w:val="22"/>
          <w:highlight w:val="none"/>
        </w:rPr>
        <w:t xml:space="preserve">自本公告发布之日起5个工作日。</w:t>
      </w:r>
      <w:r/>
    </w:p>
    <w:p>
      <w:pPr>
        <w:ind w:firstLine="482"/>
        <w:spacing w:line="360" w:lineRule="auto"/>
        <w:rPr>
          <w:rFonts w:asciiTheme="minorEastAsia" w:hAnsiTheme="minorEastAsia" w:eastAsiaTheme="minorEastAsia" w:cstheme="minorEastAsia"/>
          <w:b/>
          <w:bCs/>
          <w:color w:val="000000"/>
          <w:sz w:val="24"/>
          <w:szCs w:val="24"/>
          <w:highlight w:val="none"/>
        </w:rPr>
        <w:outlineLvl w:val="0"/>
      </w:pPr>
      <w:r/>
      <w:bookmarkStart w:id="48" w:name="_Toc13848"/>
      <w:r>
        <w:rPr>
          <w:rFonts w:hint="eastAsia" w:asciiTheme="minorEastAsia" w:hAnsiTheme="minorEastAsia" w:eastAsiaTheme="minorEastAsia" w:cstheme="minorEastAsia"/>
          <w:b/>
          <w:bCs/>
          <w:color w:val="000000"/>
          <w:sz w:val="24"/>
          <w:szCs w:val="24"/>
          <w:highlight w:val="none"/>
        </w:rPr>
        <w:t xml:space="preserve">六、其他补充事宜</w:t>
      </w:r>
      <w:bookmarkEnd w:id="45"/>
      <w:r/>
      <w:bookmarkEnd w:id="46"/>
      <w:r/>
      <w:bookmarkEnd w:id="47"/>
      <w:r/>
      <w:bookmarkEnd w:id="48"/>
      <w:r/>
      <w:r/>
    </w:p>
    <w:p>
      <w:pPr>
        <w:ind w:firstLine="480"/>
        <w:spacing w:line="360" w:lineRule="auto"/>
        <w:rPr>
          <w:rFonts w:asciiTheme="minorEastAsia" w:hAnsiTheme="minorEastAsia" w:eastAsiaTheme="minorEastAsia" w:cstheme="minorEastAsia"/>
          <w:color w:val="000000"/>
          <w:sz w:val="24"/>
          <w:szCs w:val="24"/>
          <w:highlight w:val="none"/>
        </w:rPr>
      </w:pPr>
      <w:r/>
      <w:bookmarkStart w:id="49" w:name="_Toc28359085"/>
      <w:r/>
      <w:bookmarkStart w:id="50" w:name="_Toc35393627"/>
      <w:r/>
      <w:bookmarkStart w:id="51" w:name="_Toc35393796"/>
      <w:r/>
      <w:bookmarkStart w:id="52" w:name="_Toc38985269"/>
      <w:r/>
      <w:bookmarkStart w:id="53" w:name="_Toc28359008"/>
      <w:r>
        <w:rPr>
          <w:rFonts w:hint="eastAsia" w:asciiTheme="minorEastAsia" w:hAnsiTheme="minorEastAsia" w:eastAsiaTheme="minorEastAsia" w:cstheme="minorEastAsia"/>
          <w:color w:val="000000"/>
          <w:sz w:val="24"/>
          <w:szCs w:val="24"/>
          <w:highlight w:val="none"/>
        </w:rPr>
        <w:t xml:space="preserve">1.本次招标不收取投标保证金。</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2.本招标文件中</w:t>
      </w:r>
      <w:r>
        <w:rPr>
          <w:rFonts w:hint="eastAsia" w:asciiTheme="minorEastAsia" w:hAnsiTheme="minorEastAsia" w:eastAsiaTheme="minorEastAsia" w:cstheme="minorEastAsia"/>
          <w:i/>
          <w:iCs/>
          <w:color w:val="000000"/>
          <w:sz w:val="24"/>
          <w:szCs w:val="24"/>
          <w:highlight w:val="none"/>
          <w:u w:val="single"/>
        </w:rPr>
        <w:t xml:space="preserve">斜体且有下划线部分</w:t>
      </w:r>
      <w:r>
        <w:rPr>
          <w:rFonts w:hint="eastAsia" w:asciiTheme="minorEastAsia" w:hAnsiTheme="minorEastAsia" w:eastAsiaTheme="minorEastAsia" w:cstheme="minorEastAsia"/>
          <w:color w:val="000000"/>
          <w:sz w:val="24"/>
          <w:szCs w:val="24"/>
          <w:highlight w:val="none"/>
        </w:rPr>
        <w:t xml:space="preserve">为实质性要求和条件，投标人必须逐条做出满足或优于实质性要求和条件的响应，否则将按无效响应处理。</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2"/>
        <w:spacing w:line="360" w:lineRule="auto"/>
        <w:rPr>
          <w:rFonts w:asciiTheme="minorEastAsia" w:hAnsiTheme="minorEastAsia" w:eastAsiaTheme="minorEastAsia" w:cstheme="minorEastAsia"/>
          <w:b/>
          <w:bCs/>
          <w:color w:val="000000"/>
          <w:sz w:val="24"/>
          <w:szCs w:val="24"/>
          <w:highlight w:val="none"/>
        </w:rPr>
        <w:outlineLvl w:val="0"/>
      </w:pPr>
      <w:r/>
      <w:bookmarkStart w:id="54" w:name="_Toc22730"/>
      <w:r>
        <w:rPr>
          <w:rFonts w:hint="eastAsia" w:asciiTheme="minorEastAsia" w:hAnsiTheme="minorEastAsia" w:eastAsiaTheme="minorEastAsia" w:cstheme="minorEastAsia"/>
          <w:b/>
          <w:bCs/>
          <w:color w:val="000000"/>
          <w:sz w:val="24"/>
          <w:szCs w:val="24"/>
          <w:highlight w:val="none"/>
        </w:rPr>
        <w:t xml:space="preserve">七、本次招标联系方式</w:t>
      </w:r>
      <w:bookmarkEnd w:id="49"/>
      <w:r/>
      <w:bookmarkEnd w:id="50"/>
      <w:r/>
      <w:bookmarkEnd w:id="51"/>
      <w:r/>
      <w:bookmarkEnd w:id="52"/>
      <w:r/>
      <w:bookmarkEnd w:id="53"/>
      <w:r/>
      <w:bookmarkEnd w:id="54"/>
      <w:r>
        <w:rPr>
          <w:rFonts w:hint="eastAsia" w:asciiTheme="minorEastAsia" w:hAnsiTheme="minorEastAsia" w:eastAsiaTheme="minorEastAsia" w:cstheme="minorEastAsia"/>
          <w:b/>
          <w:bCs/>
          <w:color w:val="000000"/>
          <w:sz w:val="24"/>
          <w:szCs w:val="24"/>
          <w:highlight w:val="none"/>
        </w:rPr>
        <w:t xml:space="preserve">  </w:t>
      </w:r>
      <w:r/>
    </w:p>
    <w:p>
      <w:pPr>
        <w:ind w:firstLine="480"/>
        <w:spacing w:line="360" w:lineRule="auto"/>
        <w:rPr>
          <w:rFonts w:asciiTheme="minorEastAsia" w:hAnsiTheme="minorEastAsia" w:eastAsiaTheme="minorEastAsia" w:cstheme="minorEastAsia"/>
          <w:color w:val="000000"/>
          <w:sz w:val="24"/>
          <w:szCs w:val="24"/>
          <w:highlight w:val="none"/>
        </w:rPr>
        <w:outlineLvl w:val="1"/>
      </w:pPr>
      <w:r/>
      <w:bookmarkStart w:id="55" w:name="_Toc17392"/>
      <w:r>
        <w:rPr>
          <w:rFonts w:hint="eastAsia" w:asciiTheme="minorEastAsia" w:hAnsiTheme="minorEastAsia" w:eastAsiaTheme="minorEastAsia" w:cstheme="minorEastAsia"/>
          <w:color w:val="000000"/>
          <w:sz w:val="24"/>
          <w:szCs w:val="24"/>
          <w:highlight w:val="none"/>
        </w:rPr>
        <w:t xml:space="preserve">1.采购人信息</w:t>
      </w:r>
      <w:bookmarkEnd w:id="55"/>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名 称：连云港市云台山风景名胜区管理委员会 </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地 址：连云港市海州区学院路8号山海国际酒店</w:t>
      </w:r>
      <w:r/>
    </w:p>
    <w:p>
      <w:pPr>
        <w:ind w:firstLine="480"/>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联系人： </w:t>
      </w:r>
      <w:r>
        <w:rPr>
          <w:rFonts w:hint="eastAsia" w:asciiTheme="minorEastAsia" w:hAnsiTheme="minorEastAsia" w:eastAsiaTheme="minorEastAsia" w:cstheme="minorEastAsia"/>
          <w:color w:val="000000"/>
          <w:sz w:val="24"/>
          <w:szCs w:val="24"/>
          <w:highlight w:val="none"/>
          <w:lang w:val="en-US" w:eastAsia="zh-CN"/>
        </w:rPr>
        <w:t xml:space="preserve">庞工</w:t>
      </w:r>
      <w:r/>
    </w:p>
    <w:p>
      <w:pPr>
        <w:ind w:firstLine="480"/>
        <w:spacing w:line="360" w:lineRule="auto"/>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联系方式：</w:t>
      </w:r>
      <w:bookmarkStart w:id="56" w:name="_Toc28359086"/>
      <w:r/>
      <w:bookmarkStart w:id="57" w:name="_Toc28359009"/>
      <w:r>
        <w:rPr>
          <w:rFonts w:hint="eastAsia" w:asciiTheme="minorEastAsia" w:hAnsiTheme="minorEastAsia" w:eastAsiaTheme="minorEastAsia" w:cstheme="minorEastAsia"/>
          <w:color w:val="000000"/>
          <w:sz w:val="24"/>
          <w:szCs w:val="24"/>
          <w:highlight w:val="none"/>
          <w:lang w:val="en-US" w:eastAsia="zh-CN"/>
        </w:rPr>
        <w:t xml:space="preserve">0518-80325301</w:t>
      </w:r>
      <w:r/>
    </w:p>
    <w:p>
      <w:pPr>
        <w:ind w:firstLine="480"/>
        <w:spacing w:line="360" w:lineRule="auto"/>
        <w:rPr>
          <w:rFonts w:asciiTheme="minorEastAsia" w:hAnsiTheme="minorEastAsia" w:eastAsiaTheme="minorEastAsia" w:cstheme="minorEastAsia"/>
          <w:color w:val="000000"/>
          <w:sz w:val="24"/>
          <w:szCs w:val="24"/>
          <w:highlight w:val="none"/>
        </w:rPr>
        <w:outlineLvl w:val="1"/>
      </w:pPr>
      <w:r/>
      <w:bookmarkStart w:id="58" w:name="_Toc28922"/>
      <w:r>
        <w:rPr>
          <w:rFonts w:hint="eastAsia" w:asciiTheme="minorEastAsia" w:hAnsiTheme="minorEastAsia" w:eastAsiaTheme="minorEastAsia" w:cstheme="minorEastAsia"/>
          <w:color w:val="000000"/>
          <w:sz w:val="24"/>
          <w:szCs w:val="24"/>
          <w:highlight w:val="none"/>
        </w:rPr>
        <w:t xml:space="preserve">2.</w:t>
      </w:r>
      <w:bookmarkEnd w:id="56"/>
      <w:r/>
      <w:bookmarkEnd w:id="57"/>
      <w:r>
        <w:rPr>
          <w:rFonts w:hint="eastAsia" w:asciiTheme="minorEastAsia" w:hAnsiTheme="minorEastAsia" w:eastAsiaTheme="minorEastAsia" w:cstheme="minorEastAsia"/>
          <w:color w:val="000000"/>
          <w:sz w:val="24"/>
          <w:szCs w:val="24"/>
          <w:highlight w:val="none"/>
        </w:rPr>
        <w:t xml:space="preserve">采购代理机构信息</w:t>
      </w:r>
      <w:bookmarkEnd w:id="58"/>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名 称：大洲设计咨询集团有限公司</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地　址：海州区朝阳东路金海财富中心A座506室</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联系人：潘工</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联系方式：</w:t>
      </w:r>
      <w:bookmarkStart w:id="59" w:name="_Toc28359010"/>
      <w:r/>
      <w:bookmarkStart w:id="60" w:name="_Toc28359087"/>
      <w:r>
        <w:rPr>
          <w:rFonts w:hint="eastAsia" w:asciiTheme="minorEastAsia" w:hAnsiTheme="minorEastAsia" w:eastAsiaTheme="minorEastAsia" w:cstheme="minorEastAsia"/>
          <w:color w:val="000000"/>
          <w:sz w:val="24"/>
          <w:szCs w:val="24"/>
          <w:highlight w:val="none"/>
        </w:rPr>
        <w:t xml:space="preserve"> 18961395820</w:t>
      </w:r>
      <w:r/>
    </w:p>
    <w:p>
      <w:pPr>
        <w:ind w:firstLine="480"/>
        <w:spacing w:line="360" w:lineRule="auto"/>
        <w:rPr>
          <w:rFonts w:asciiTheme="minorEastAsia" w:hAnsiTheme="minorEastAsia" w:eastAsiaTheme="minorEastAsia" w:cstheme="minorEastAsia"/>
          <w:color w:val="000000"/>
          <w:sz w:val="24"/>
          <w:szCs w:val="24"/>
          <w:highlight w:val="none"/>
        </w:rPr>
        <w:outlineLvl w:val="1"/>
      </w:pPr>
      <w:r/>
      <w:bookmarkStart w:id="61" w:name="_Toc9691"/>
      <w:r>
        <w:rPr>
          <w:rFonts w:hint="eastAsia" w:asciiTheme="minorEastAsia" w:hAnsiTheme="minorEastAsia" w:eastAsiaTheme="minorEastAsia" w:cstheme="minorEastAsia"/>
          <w:color w:val="000000"/>
          <w:sz w:val="24"/>
          <w:szCs w:val="24"/>
          <w:highlight w:val="none"/>
        </w:rPr>
        <w:t xml:space="preserve">3.项目联系方式</w:t>
      </w:r>
      <w:bookmarkEnd w:id="61"/>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项目联系人：潘工</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电      话：18961395820</w:t>
      </w:r>
      <w:bookmarkEnd w:id="59"/>
      <w:r/>
      <w:bookmarkEnd w:id="60"/>
      <w:r/>
      <w:r/>
    </w:p>
    <w:p>
      <w:pPr>
        <w:ind w:firstLine="482"/>
        <w:spacing w:line="360" w:lineRule="auto"/>
        <w:rPr>
          <w:rFonts w:asciiTheme="minorEastAsia" w:hAnsiTheme="minorEastAsia" w:eastAsiaTheme="minorEastAsia" w:cstheme="minorEastAsia"/>
          <w:b/>
          <w:bCs/>
          <w:color w:val="000000"/>
          <w:sz w:val="24"/>
          <w:szCs w:val="24"/>
          <w:highlight w:val="none"/>
        </w:rPr>
        <w:outlineLvl w:val="0"/>
      </w:pPr>
      <w:r/>
      <w:bookmarkStart w:id="62" w:name="_Toc31979"/>
      <w:r>
        <w:rPr>
          <w:rFonts w:hint="eastAsia" w:asciiTheme="minorEastAsia" w:hAnsiTheme="minorEastAsia" w:eastAsiaTheme="minorEastAsia" w:cstheme="minorEastAsia"/>
          <w:b/>
          <w:bCs/>
          <w:color w:val="000000"/>
          <w:sz w:val="24"/>
          <w:szCs w:val="24"/>
          <w:highlight w:val="none"/>
        </w:rPr>
        <w:t xml:space="preserve">八、其他</w:t>
      </w:r>
      <w:bookmarkEnd w:id="62"/>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850"/>
          <w:rFonts w:hint="eastAsia" w:asciiTheme="minorEastAsia" w:hAnsiTheme="minorEastAsia" w:eastAsiaTheme="minorEastAsia" w:cstheme="minorEastAsia"/>
          <w:color w:val="auto"/>
          <w:sz w:val="24"/>
          <w:szCs w:val="24"/>
          <w:highlight w:val="none"/>
        </w:rPr>
        <w:t xml:space="preserve">http://www.ccgp-jiangsu.gov.cn/jiangsu/zlxz/ee/ee3a4bc5a3454aa2b0d9312230633ce9.html。</w:t>
      </w:r>
      <w:r>
        <w:rPr>
          <w:rStyle w:val="850"/>
          <w:rFonts w:hint="eastAsia" w:asciiTheme="minorEastAsia" w:hAnsiTheme="minorEastAsia" w:eastAsiaTheme="minorEastAsia" w:cstheme="minorEastAsia"/>
          <w:color w:val="auto"/>
          <w:sz w:val="24"/>
          <w:szCs w:val="24"/>
          <w:highlight w:val="none"/>
        </w:rPr>
        <w:fldChar w:fldCharType="end"/>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领取CA和办理电子签章，具体联系方式见《苏采云系统供应商操作手册》（以下简称《操作手册》））、进行注册并按《操作手册》要求制作、上传电子投标文件。</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2.有关本次招标的事项若存在变动或修改，敬请及时关注在“江苏政府采购网”发布的更正公告。</w:t>
      </w:r>
      <w:r/>
    </w:p>
    <w:p>
      <w:pPr>
        <w:ind w:firstLine="480"/>
        <w:spacing w:line="360" w:lineRule="auto"/>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ind w:right="840"/>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ind w:right="840"/>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ind w:right="840"/>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ind w:right="840"/>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ind w:right="840"/>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jc w:val="center"/>
        <w:keepLines/>
        <w:keepNext/>
        <w:spacing w:before="260" w:after="260" w:line="416" w:lineRule="auto"/>
        <w:rPr>
          <w:rFonts w:asciiTheme="minorEastAsia" w:hAnsiTheme="minorEastAsia" w:eastAsiaTheme="minorEastAsia" w:cstheme="minorEastAsia"/>
          <w:color w:val="000000"/>
          <w:sz w:val="44"/>
          <w:szCs w:val="44"/>
          <w:highlight w:val="none"/>
        </w:rPr>
        <w:outlineLvl w:val="0"/>
      </w:pPr>
      <w:r/>
      <w:bookmarkStart w:id="63" w:name="_Toc120614211"/>
      <w:r>
        <w:rPr>
          <w:rFonts w:hint="eastAsia" w:asciiTheme="minorEastAsia" w:hAnsiTheme="minorEastAsia" w:eastAsiaTheme="minorEastAsia" w:cstheme="minorEastAsia"/>
          <w:b/>
          <w:bCs/>
          <w:color w:val="000000"/>
          <w:sz w:val="44"/>
          <w:szCs w:val="44"/>
          <w:highlight w:val="none"/>
        </w:rPr>
        <w:br w:type="page" w:clear="all"/>
      </w:r>
      <w:bookmarkStart w:id="64" w:name="_Toc22929"/>
      <w:r>
        <w:rPr>
          <w:rFonts w:hint="eastAsia" w:asciiTheme="minorEastAsia" w:hAnsiTheme="minorEastAsia" w:eastAsiaTheme="minorEastAsia" w:cstheme="minorEastAsia"/>
          <w:b/>
          <w:bCs/>
          <w:color w:val="000000"/>
          <w:sz w:val="32"/>
          <w:szCs w:val="32"/>
          <w:highlight w:val="none"/>
        </w:rPr>
        <w:t xml:space="preserve">第二章  </w:t>
      </w:r>
      <w:bookmarkEnd w:id="1"/>
      <w:r/>
      <w:bookmarkEnd w:id="2"/>
      <w:r/>
      <w:bookmarkEnd w:id="3"/>
      <w:r/>
      <w:bookmarkEnd w:id="4"/>
      <w:r/>
      <w:bookmarkEnd w:id="5"/>
      <w:r/>
      <w:bookmarkEnd w:id="63"/>
      <w:r/>
      <w:bookmarkStart w:id="65" w:name="_Toc513029202"/>
      <w:r/>
      <w:bookmarkStart w:id="66" w:name="_Toc16938518"/>
      <w:r/>
      <w:bookmarkStart w:id="67" w:name="_Toc20823274"/>
      <w:r/>
      <w:bookmarkStart w:id="68" w:name="_Toc120614213"/>
      <w:r>
        <w:rPr>
          <w:rFonts w:hint="eastAsia" w:asciiTheme="minorEastAsia" w:hAnsiTheme="minorEastAsia" w:eastAsiaTheme="minorEastAsia" w:cstheme="minorEastAsia"/>
          <w:b/>
          <w:bCs/>
          <w:color w:val="000000"/>
          <w:sz w:val="32"/>
          <w:szCs w:val="32"/>
          <w:highlight w:val="none"/>
        </w:rPr>
        <w:t xml:space="preserve">投标人须知</w:t>
      </w:r>
      <w:bookmarkEnd w:id="64"/>
      <w:r/>
      <w:bookmarkEnd w:id="65"/>
      <w:r/>
      <w:bookmarkEnd w:id="66"/>
      <w:r/>
      <w:bookmarkEnd w:id="67"/>
      <w:r/>
      <w:bookmarkEnd w:id="68"/>
      <w:r/>
      <w:r/>
    </w:p>
    <w:p>
      <w:pPr>
        <w:pStyle w:val="814"/>
        <w:ind w:firstLine="482"/>
        <w:keepLines w:val="0"/>
        <w:keepNext w:val="0"/>
        <w:spacing w:before="0" w:after="0" w:line="360" w:lineRule="auto"/>
        <w:rPr>
          <w:rFonts w:asciiTheme="minorEastAsia" w:hAnsiTheme="minorEastAsia" w:eastAsiaTheme="minorEastAsia" w:cstheme="minorEastAsia"/>
          <w:sz w:val="24"/>
          <w:szCs w:val="24"/>
          <w:highlight w:val="none"/>
        </w:rPr>
      </w:pPr>
      <w:r/>
      <w:bookmarkStart w:id="69" w:name="_Toc5459"/>
      <w:r/>
      <w:bookmarkStart w:id="70" w:name="_Toc513029242"/>
      <w:r/>
      <w:bookmarkStart w:id="71" w:name="_Toc120614221"/>
      <w:r/>
      <w:bookmarkStart w:id="72" w:name="_Toc16938558"/>
      <w:r/>
      <w:bookmarkStart w:id="73" w:name="_Toc479757207"/>
      <w:r/>
      <w:bookmarkStart w:id="74" w:name="_Toc20823314"/>
      <w:r>
        <w:rPr>
          <w:rFonts w:hint="eastAsia" w:asciiTheme="minorEastAsia" w:hAnsiTheme="minorEastAsia" w:eastAsiaTheme="minorEastAsia" w:cstheme="minorEastAsia"/>
          <w:b/>
          <w:bCs/>
          <w:color w:val="000000"/>
          <w:sz w:val="24"/>
          <w:szCs w:val="24"/>
          <w:highlight w:val="none"/>
        </w:rPr>
        <w:t xml:space="preserve">一、总则</w:t>
      </w:r>
      <w:bookmarkEnd w:id="69"/>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75" w:name="_Toc18272"/>
      <w:r>
        <w:rPr>
          <w:rFonts w:hint="eastAsia" w:asciiTheme="minorEastAsia" w:hAnsiTheme="minorEastAsia" w:eastAsiaTheme="minorEastAsia" w:cstheme="minorEastAsia"/>
          <w:b/>
          <w:bCs/>
          <w:color w:val="000000"/>
          <w:szCs w:val="24"/>
          <w:highlight w:val="none"/>
        </w:rPr>
        <w:t xml:space="preserve">1.招标方式</w:t>
      </w:r>
      <w:bookmarkEnd w:id="75"/>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1.1 本次招标采取公开招标方式，本招标文件仅适用于招标公告中所述项目。</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76" w:name="_Toc12780"/>
      <w:r>
        <w:rPr>
          <w:rFonts w:hint="eastAsia" w:asciiTheme="minorEastAsia" w:hAnsiTheme="minorEastAsia" w:eastAsiaTheme="minorEastAsia" w:cstheme="minorEastAsia"/>
          <w:b/>
          <w:bCs/>
          <w:color w:val="000000"/>
          <w:szCs w:val="24"/>
          <w:highlight w:val="none"/>
        </w:rPr>
        <w:t xml:space="preserve">2.合格的投标人</w:t>
      </w:r>
      <w:bookmarkEnd w:id="76"/>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2.1 满足招标公告中供应商的资格要求的规定。</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2.3 满足本招标文件全部实质性要求和条件的规定。</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2.4 符合上述条件的投标人应承担投标及履约过程应承担的全部责任与义务。</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2.5单位负责人为同一人或者存在直接控股、管理关系的不同供应商，不得参加同一合同项下的政府采购活动。</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2.6除单一来源采购项目外，为采购项目提供整体设计、规范编制或者项目管理、监理、检测等服务的供应商，不得再参加该采购项目的其他采购活动。</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77" w:name="_Toc7710"/>
      <w:r>
        <w:rPr>
          <w:rFonts w:hint="eastAsia" w:asciiTheme="minorEastAsia" w:hAnsiTheme="minorEastAsia" w:eastAsiaTheme="minorEastAsia" w:cstheme="minorEastAsia"/>
          <w:b/>
          <w:bCs/>
          <w:color w:val="000000"/>
          <w:szCs w:val="24"/>
          <w:highlight w:val="none"/>
        </w:rPr>
        <w:t xml:space="preserve">3.适用法律</w:t>
      </w:r>
      <w:bookmarkEnd w:id="77"/>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3.1 本次招标及由此产生的合同受中华人民共和国有关的法律法规制约和保护。</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3.2 在本项目政府采购活动过程中，如果所执行的标准有更新的，按照最新标准执行。</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78" w:name="_Toc3121"/>
      <w:r>
        <w:rPr>
          <w:rFonts w:hint="eastAsia" w:asciiTheme="minorEastAsia" w:hAnsiTheme="minorEastAsia" w:eastAsiaTheme="minorEastAsia" w:cstheme="minorEastAsia"/>
          <w:b/>
          <w:bCs/>
          <w:color w:val="000000"/>
          <w:szCs w:val="24"/>
          <w:highlight w:val="none"/>
        </w:rPr>
        <w:t xml:space="preserve">4.投标费用</w:t>
      </w:r>
      <w:bookmarkEnd w:id="78"/>
      <w:r/>
      <w:r/>
    </w:p>
    <w:p>
      <w:pPr>
        <w:pStyle w:val="843"/>
        <w:ind w:firstLine="480"/>
        <w:jc w:val="both"/>
        <w:spacing w:beforeAutospacing="0" w:afterAutospacing="0" w:line="360" w:lineRule="auto"/>
        <w:rPr>
          <w:rFonts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4.1 投标人应自行承担所有与参加投标有关的费用，无论投标过程中的做法和结果如何，采购人及采购代理机构在任何情况下均无义务和责任承担这些费用。</w:t>
      </w:r>
      <w:r/>
    </w:p>
    <w:p>
      <w:pPr>
        <w:pStyle w:val="843"/>
        <w:ind w:firstLine="480"/>
        <w:jc w:val="both"/>
        <w:spacing w:beforeAutospacing="0" w:afterAutospacing="0" w:line="360" w:lineRule="auto"/>
        <w:rPr>
          <w:rFonts w:asciiTheme="minorEastAsia" w:hAnsiTheme="minorEastAsia" w:eastAsiaTheme="minorEastAsia" w:cstheme="minorEastAsia"/>
          <w:color w:val="000000"/>
          <w:szCs w:val="24"/>
          <w:highlight w:val="none"/>
        </w:rPr>
      </w:pPr>
      <w:r>
        <w:rPr>
          <w:rFonts w:hint="eastAsia" w:asciiTheme="minorEastAsia" w:hAnsiTheme="minorEastAsia" w:eastAsiaTheme="minorEastAsia" w:cstheme="minorEastAsia"/>
          <w:color w:val="000000"/>
          <w:szCs w:val="24"/>
          <w:highlight w:val="none"/>
        </w:rPr>
        <w:t xml:space="preserve">4.2 项目招标代理服务费：采购代理费按《江苏省政府采购代理服务收费指导意见》（苏政采协〔2024〕20号）标准的90%计取。由成交人领取通知书时一次性支付给代理公司。</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79" w:name="_Toc27906"/>
      <w:r>
        <w:rPr>
          <w:rFonts w:hint="eastAsia" w:asciiTheme="minorEastAsia" w:hAnsiTheme="minorEastAsia" w:eastAsiaTheme="minorEastAsia" w:cstheme="minorEastAsia"/>
          <w:b/>
          <w:bCs/>
          <w:color w:val="000000"/>
          <w:szCs w:val="24"/>
          <w:highlight w:val="none"/>
        </w:rPr>
        <w:t xml:space="preserve">5.招标文件的约束力</w:t>
      </w:r>
      <w:bookmarkEnd w:id="79"/>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5.1 投标人一旦参加本项目采购活动，即被认为接受了本招标文件的规定和约束。</w:t>
      </w:r>
      <w:r/>
    </w:p>
    <w:p>
      <w:pPr>
        <w:pStyle w:val="814"/>
        <w:ind w:firstLine="482"/>
        <w:keepLines w:val="0"/>
        <w:keepNext w:val="0"/>
        <w:spacing w:before="0" w:after="0" w:line="360" w:lineRule="auto"/>
        <w:rPr>
          <w:rFonts w:asciiTheme="minorEastAsia" w:hAnsiTheme="minorEastAsia" w:eastAsiaTheme="minorEastAsia" w:cstheme="minorEastAsia"/>
          <w:sz w:val="24"/>
          <w:szCs w:val="24"/>
          <w:highlight w:val="none"/>
        </w:rPr>
      </w:pPr>
      <w:r/>
      <w:bookmarkStart w:id="80" w:name="_Toc32592"/>
      <w:r>
        <w:rPr>
          <w:rFonts w:hint="eastAsia" w:asciiTheme="minorEastAsia" w:hAnsiTheme="minorEastAsia" w:eastAsiaTheme="minorEastAsia" w:cstheme="minorEastAsia"/>
          <w:b/>
          <w:bCs/>
          <w:color w:val="000000"/>
          <w:sz w:val="24"/>
          <w:szCs w:val="24"/>
          <w:highlight w:val="none"/>
        </w:rPr>
        <w:t xml:space="preserve">二、招标文件</w:t>
      </w:r>
      <w:bookmarkEnd w:id="80"/>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81" w:name="_Toc25727"/>
      <w:r>
        <w:rPr>
          <w:rFonts w:hint="eastAsia" w:asciiTheme="minorEastAsia" w:hAnsiTheme="minorEastAsia" w:eastAsiaTheme="minorEastAsia" w:cstheme="minorEastAsia"/>
          <w:b/>
          <w:bCs/>
          <w:color w:val="000000"/>
          <w:szCs w:val="24"/>
          <w:highlight w:val="none"/>
        </w:rPr>
        <w:t xml:space="preserve">6.招标文件构成</w:t>
      </w:r>
      <w:bookmarkEnd w:id="81"/>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outlineLvl w:val="2"/>
      </w:pPr>
      <w:r/>
      <w:bookmarkStart w:id="82" w:name="_Toc12566"/>
      <w:r>
        <w:rPr>
          <w:rFonts w:hint="eastAsia" w:asciiTheme="minorEastAsia" w:hAnsiTheme="minorEastAsia" w:eastAsiaTheme="minorEastAsia" w:cstheme="minorEastAsia"/>
          <w:color w:val="000000"/>
          <w:szCs w:val="24"/>
          <w:highlight w:val="none"/>
        </w:rPr>
        <w:t xml:space="preserve">6.1 招标文件由以下部分组成：</w:t>
      </w:r>
      <w:bookmarkEnd w:id="82"/>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（1）投标邀请</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（2）投标人须知</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（3）合同文本</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（4）采购需求</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（5）评标方法与评标标准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（6）投标文件格式</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请仔细检查招标文件是否齐全，如有缺漏请立即与代理机构联系解决。</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83" w:name="_Toc9622"/>
      <w:r>
        <w:rPr>
          <w:rFonts w:hint="eastAsia" w:asciiTheme="minorEastAsia" w:hAnsiTheme="minorEastAsia" w:eastAsiaTheme="minorEastAsia" w:cstheme="minorEastAsia"/>
          <w:b/>
          <w:bCs/>
          <w:color w:val="000000"/>
          <w:szCs w:val="24"/>
          <w:highlight w:val="none"/>
        </w:rPr>
        <w:t xml:space="preserve">7.招标文件的澄清</w:t>
      </w:r>
      <w:bookmarkEnd w:id="83"/>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7.1 任何要求对招标文件进行澄清的投标人，应在投标截止期十日前按招标公告中的通讯地址，以书面形式通知采购人或者代理机构。</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84" w:name="_Toc3387"/>
      <w:r>
        <w:rPr>
          <w:rFonts w:hint="eastAsia" w:asciiTheme="minorEastAsia" w:hAnsiTheme="minorEastAsia" w:eastAsiaTheme="minorEastAsia" w:cstheme="minorEastAsia"/>
          <w:b/>
          <w:bCs/>
          <w:color w:val="000000"/>
          <w:szCs w:val="24"/>
          <w:highlight w:val="none"/>
        </w:rPr>
        <w:t xml:space="preserve">8.招标文件的修改</w:t>
      </w:r>
      <w:bookmarkEnd w:id="84"/>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8.1 在投标截止时间前，代理机构可以对招标文件进行修改。</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8.2 代理机构有权按照法定的要求推迟投标截止日期和开标日期。</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8.3 招标文件的修改将在江苏政府采购网公布，补充文件将作为招标文件的组成部分，并对投标人具有约束力。</w:t>
      </w:r>
      <w:r/>
    </w:p>
    <w:p>
      <w:pPr>
        <w:pStyle w:val="814"/>
        <w:ind w:firstLine="482"/>
        <w:keepLines w:val="0"/>
        <w:keepNext w:val="0"/>
        <w:spacing w:before="0" w:after="0" w:line="360" w:lineRule="auto"/>
        <w:rPr>
          <w:rFonts w:asciiTheme="minorEastAsia" w:hAnsiTheme="minorEastAsia" w:eastAsiaTheme="minorEastAsia" w:cstheme="minorEastAsia"/>
          <w:sz w:val="24"/>
          <w:szCs w:val="24"/>
          <w:highlight w:val="none"/>
        </w:rPr>
      </w:pPr>
      <w:r/>
      <w:bookmarkStart w:id="85" w:name="_Toc19218"/>
      <w:r>
        <w:rPr>
          <w:rFonts w:hint="eastAsia" w:asciiTheme="minorEastAsia" w:hAnsiTheme="minorEastAsia" w:eastAsiaTheme="minorEastAsia" w:cstheme="minorEastAsia"/>
          <w:b/>
          <w:bCs/>
          <w:color w:val="000000"/>
          <w:sz w:val="24"/>
          <w:szCs w:val="24"/>
          <w:highlight w:val="none"/>
        </w:rPr>
        <w:t xml:space="preserve">三、投标文件的编制</w:t>
      </w:r>
      <w:bookmarkEnd w:id="85"/>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86" w:name="_Toc9898"/>
      <w:r>
        <w:rPr>
          <w:rFonts w:hint="eastAsia" w:asciiTheme="minorEastAsia" w:hAnsiTheme="minorEastAsia" w:eastAsiaTheme="minorEastAsia" w:cstheme="minorEastAsia"/>
          <w:b/>
          <w:bCs/>
          <w:color w:val="000000"/>
          <w:szCs w:val="24"/>
          <w:highlight w:val="none"/>
        </w:rPr>
        <w:t xml:space="preserve">9.投标文件编写注意事项</w:t>
      </w:r>
      <w:bookmarkEnd w:id="86"/>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87" w:name="_Toc14907"/>
      <w:r>
        <w:rPr>
          <w:rFonts w:hint="eastAsia" w:asciiTheme="minorEastAsia" w:hAnsiTheme="minorEastAsia" w:eastAsiaTheme="minorEastAsia" w:cstheme="minorEastAsia"/>
          <w:b/>
          <w:bCs/>
          <w:color w:val="000000"/>
          <w:szCs w:val="24"/>
          <w:highlight w:val="none"/>
        </w:rPr>
        <w:t xml:space="preserve">10.投标文件的语言及度量衡单位</w:t>
      </w:r>
      <w:bookmarkEnd w:id="87"/>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10.2 除技术性能另有规定外，投标文件所使用的度量衡单位，均须采用国家法定计量单位。</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88" w:name="_Toc7026"/>
      <w:r>
        <w:rPr>
          <w:rFonts w:hint="eastAsia" w:asciiTheme="minorEastAsia" w:hAnsiTheme="minorEastAsia" w:eastAsiaTheme="minorEastAsia" w:cstheme="minorEastAsia"/>
          <w:b/>
          <w:bCs/>
          <w:color w:val="000000"/>
          <w:szCs w:val="24"/>
          <w:highlight w:val="none"/>
        </w:rPr>
        <w:t xml:space="preserve">11.投标文件构成</w:t>
      </w:r>
      <w:bookmarkEnd w:id="88"/>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11.2 如投标文件制作工具中格式和内容与江苏政府采购网发布的招标文件不一致，请以江苏政府采购网发布的招标文件为准。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11.3 特别提醒投标人，混乱的编排导致投标文件被误读或评标委员会（以下简称评委会）查找不到有效文件是投标人的风险。</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89" w:name="_Toc14137"/>
      <w:r>
        <w:rPr>
          <w:rFonts w:hint="eastAsia" w:asciiTheme="minorEastAsia" w:hAnsiTheme="minorEastAsia" w:eastAsiaTheme="minorEastAsia" w:cstheme="minorEastAsia"/>
          <w:b/>
          <w:bCs/>
          <w:color w:val="000000"/>
          <w:szCs w:val="24"/>
          <w:highlight w:val="none"/>
        </w:rPr>
        <w:t xml:space="preserve">12.证明投标人及投标标的符合招标文件规定的文件</w:t>
      </w:r>
      <w:bookmarkEnd w:id="89"/>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12.1 投标人应按照招标文件要求提交证明文件，证明其及投标标的符合招标文件规定。</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12.2 招标文件对证明文件无明确形式要求的，证明文件可以以文字资料、图纸和数据等形式提交。</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12.3 投标人委托代理时应当提交授权委托书，请按招标文件第六章给定格式及要求填写并附法定代表人（单位负责人）与委托代理人身份证明。</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90" w:name="_Toc11272"/>
      <w:r>
        <w:rPr>
          <w:rFonts w:hint="eastAsia" w:asciiTheme="minorEastAsia" w:hAnsiTheme="minorEastAsia" w:eastAsiaTheme="minorEastAsia" w:cstheme="minorEastAsia"/>
          <w:b/>
          <w:bCs/>
          <w:color w:val="000000"/>
          <w:szCs w:val="24"/>
          <w:highlight w:val="none"/>
        </w:rPr>
        <w:t xml:space="preserve">13.投标分项报价表</w:t>
      </w:r>
      <w:bookmarkEnd w:id="90"/>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（1）投标的货物总价；</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（2）货物的标准附件、备品备件、专用工具、运输、装卸等各种费用；</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（3）必要的保险费用和各项税金；</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（4）投标总价要求包含安装维保费用。</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13.2 投标人应按照招标文件规定格式填报投标分项报价表。</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13.3 投标货币。投标文件中的单价和总价无特殊规定的采用人民币报价，以元为单位标注。招标文件中另有规定的按规定执行。</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91" w:name="_Toc8674"/>
      <w:r>
        <w:rPr>
          <w:rFonts w:hint="eastAsia" w:asciiTheme="minorEastAsia" w:hAnsiTheme="minorEastAsia" w:eastAsiaTheme="minorEastAsia" w:cstheme="minorEastAsia"/>
          <w:b/>
          <w:bCs/>
          <w:color w:val="000000"/>
          <w:szCs w:val="24"/>
          <w:highlight w:val="none"/>
        </w:rPr>
        <w:t xml:space="preserve">14.技术要求响应及偏离表、商务要求响应及偏离表</w:t>
      </w:r>
      <w:bookmarkEnd w:id="91"/>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14.2 投标人可在投标文件中提供认为需要的其他技术文件或说明。</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92" w:name="_Toc32114"/>
      <w:r>
        <w:rPr>
          <w:rFonts w:hint="eastAsia" w:asciiTheme="minorEastAsia" w:hAnsiTheme="minorEastAsia" w:eastAsiaTheme="minorEastAsia" w:cstheme="minorEastAsia"/>
          <w:b/>
          <w:bCs/>
          <w:color w:val="000000"/>
          <w:szCs w:val="24"/>
          <w:highlight w:val="none"/>
        </w:rPr>
        <w:t xml:space="preserve">15.服务承诺、培训计划、人员安排及其他</w:t>
      </w:r>
      <w:bookmarkEnd w:id="92"/>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15.1 投标人需根据招标文件要求提供有关售后服务的管理制度，售后服务机构的分布情况，售后服务人员的数量、素质、技术水平及售后服务的反应能力等。</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15.2 投标人需根据招标文件要求提供培训计划、人员安排等。</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15.3 投标人需根据招标文件要求提供所投标的的主要组成部分、功能设计、实现思路及关键技术等。</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93" w:name="_Toc17814"/>
      <w:r>
        <w:rPr>
          <w:rFonts w:hint="eastAsia" w:asciiTheme="minorEastAsia" w:hAnsiTheme="minorEastAsia" w:eastAsiaTheme="minorEastAsia" w:cstheme="minorEastAsia"/>
          <w:b/>
          <w:bCs/>
          <w:color w:val="000000"/>
          <w:szCs w:val="24"/>
          <w:highlight w:val="none"/>
        </w:rPr>
        <w:t xml:space="preserve">16.投标函和开标一览表</w:t>
      </w:r>
      <w:bookmarkEnd w:id="93"/>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16.1 投标人应按照招标文件中提供的格式完整、正确填写投标函、开标一览表。</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94" w:name="_Toc26144"/>
      <w:r>
        <w:rPr>
          <w:rFonts w:hint="eastAsia" w:asciiTheme="minorEastAsia" w:hAnsiTheme="minorEastAsia" w:eastAsiaTheme="minorEastAsia" w:cstheme="minorEastAsia"/>
          <w:b/>
          <w:bCs/>
          <w:color w:val="000000"/>
          <w:szCs w:val="24"/>
          <w:highlight w:val="none"/>
        </w:rPr>
        <w:t xml:space="preserve">17.投标有效期</w:t>
      </w:r>
      <w:bookmarkEnd w:id="94"/>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17.1 投标有效期为代理机构规定的开标之日后六十（60）天。投标有效期比规定短的将被视为未实质性响应招标文件而予以拒绝。</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14"/>
        <w:ind w:firstLine="482"/>
        <w:keepLines w:val="0"/>
        <w:keepNext w:val="0"/>
        <w:spacing w:before="0" w:after="0" w:line="360" w:lineRule="auto"/>
        <w:rPr>
          <w:rFonts w:asciiTheme="minorEastAsia" w:hAnsiTheme="minorEastAsia" w:eastAsiaTheme="minorEastAsia" w:cstheme="minorEastAsia"/>
          <w:sz w:val="24"/>
          <w:szCs w:val="24"/>
          <w:highlight w:val="none"/>
        </w:rPr>
      </w:pPr>
      <w:r/>
      <w:bookmarkStart w:id="95" w:name="_Toc15697"/>
      <w:r>
        <w:rPr>
          <w:rFonts w:hint="eastAsia" w:asciiTheme="minorEastAsia" w:hAnsiTheme="minorEastAsia" w:eastAsiaTheme="minorEastAsia" w:cstheme="minorEastAsia"/>
          <w:b/>
          <w:bCs/>
          <w:color w:val="000000"/>
          <w:sz w:val="24"/>
          <w:szCs w:val="24"/>
          <w:highlight w:val="none"/>
        </w:rPr>
        <w:t xml:space="preserve">四、投标文件的递交</w:t>
      </w:r>
      <w:bookmarkEnd w:id="95"/>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96" w:name="_Toc25150"/>
      <w:r>
        <w:rPr>
          <w:rFonts w:hint="eastAsia" w:asciiTheme="minorEastAsia" w:hAnsiTheme="minorEastAsia" w:eastAsiaTheme="minorEastAsia" w:cstheme="minorEastAsia"/>
          <w:b/>
          <w:bCs/>
          <w:color w:val="000000"/>
          <w:szCs w:val="24"/>
          <w:highlight w:val="none"/>
        </w:rPr>
        <w:t xml:space="preserve">18.电子投标文件的递交</w:t>
      </w:r>
      <w:bookmarkEnd w:id="96"/>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18.1 投标人应当按照《操作手册》规定，在投标截止时间前制作并递交（上传）电子投标文件。</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97" w:name="_Toc13612"/>
      <w:r>
        <w:rPr>
          <w:rFonts w:hint="eastAsia" w:asciiTheme="minorEastAsia" w:hAnsiTheme="minorEastAsia" w:eastAsiaTheme="minorEastAsia" w:cstheme="minorEastAsia"/>
          <w:b/>
          <w:bCs/>
          <w:color w:val="000000"/>
          <w:szCs w:val="24"/>
          <w:highlight w:val="none"/>
        </w:rPr>
        <w:t xml:space="preserve">19.投标截止时间</w:t>
      </w:r>
      <w:bookmarkEnd w:id="97"/>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19.1 投标人递交（上传）电子投标文件的时间不得迟于招标公告中规定的投标截止时间。</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19.2 代理机构可以按照规定，通过修改招标文件酌情延长投标截止日期，在此情况下，投标人的所有权利和义务以及投标人受制的截止日期均应以延长后新的截止日期为准。</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98" w:name="_Toc29621"/>
      <w:r>
        <w:rPr>
          <w:rFonts w:hint="eastAsia" w:asciiTheme="minorEastAsia" w:hAnsiTheme="minorEastAsia" w:eastAsiaTheme="minorEastAsia" w:cstheme="minorEastAsia"/>
          <w:b/>
          <w:bCs/>
          <w:color w:val="000000"/>
          <w:szCs w:val="24"/>
          <w:highlight w:val="none"/>
        </w:rPr>
        <w:t xml:space="preserve">20.投标文件的拒收</w:t>
      </w:r>
      <w:bookmarkEnd w:id="98"/>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20.1 代理机构拒绝接收在其规定的投标截止时间后递交（上传）的任何投标文件。</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99" w:name="_Toc23761"/>
      <w:r>
        <w:rPr>
          <w:rFonts w:hint="eastAsia" w:asciiTheme="minorEastAsia" w:hAnsiTheme="minorEastAsia" w:eastAsiaTheme="minorEastAsia" w:cstheme="minorEastAsia"/>
          <w:b/>
          <w:bCs/>
          <w:color w:val="000000"/>
          <w:szCs w:val="24"/>
          <w:highlight w:val="none"/>
        </w:rPr>
        <w:t xml:space="preserve">21.投标文件的撤回和修改</w:t>
      </w:r>
      <w:bookmarkEnd w:id="99"/>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outlineLvl w:val="2"/>
      </w:pPr>
      <w:r/>
      <w:bookmarkStart w:id="100" w:name="_Toc4934"/>
      <w:r>
        <w:rPr>
          <w:rFonts w:hint="eastAsia" w:asciiTheme="minorEastAsia" w:hAnsiTheme="minorEastAsia" w:eastAsiaTheme="minorEastAsia" w:cstheme="minorEastAsia"/>
          <w:color w:val="000000"/>
          <w:szCs w:val="24"/>
          <w:highlight w:val="none"/>
        </w:rPr>
        <w:t xml:space="preserve">21.1 投标文件的撤回</w:t>
      </w:r>
      <w:bookmarkEnd w:id="100"/>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21.1.1 投标人可在投标截止时间前，撤回其电子投标文件，具体操作方法见《操作手册》。</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21.1.2 投标人撤回电子投标文件的，则认为其不再参与本项目投标活动。</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outlineLvl w:val="2"/>
      </w:pPr>
      <w:r/>
      <w:bookmarkStart w:id="101" w:name="_Toc15032"/>
      <w:r>
        <w:rPr>
          <w:rFonts w:hint="eastAsia" w:asciiTheme="minorEastAsia" w:hAnsiTheme="minorEastAsia" w:eastAsiaTheme="minorEastAsia" w:cstheme="minorEastAsia"/>
          <w:color w:val="000000"/>
          <w:szCs w:val="24"/>
          <w:highlight w:val="none"/>
        </w:rPr>
        <w:t xml:space="preserve">21.2 投标文件的修改</w:t>
      </w:r>
      <w:bookmarkEnd w:id="101"/>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21.2.1 投标人可在投标截止时间前，对其电子投标文件进行修改，具体操作方法见《操作手册》。</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21.2.2 在投标截止时间之后，投标人不得对其电子投标文件做任何修改。</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outlineLvl w:val="2"/>
      </w:pPr>
      <w:r/>
      <w:bookmarkStart w:id="102" w:name="_Toc17246"/>
      <w:r>
        <w:rPr>
          <w:rFonts w:hint="eastAsia" w:asciiTheme="minorEastAsia" w:hAnsiTheme="minorEastAsia" w:eastAsiaTheme="minorEastAsia" w:cstheme="minorEastAsia"/>
          <w:color w:val="000000"/>
          <w:szCs w:val="24"/>
          <w:highlight w:val="none"/>
        </w:rPr>
        <w:t xml:space="preserve">21.3 在投标截止时间至招标文件中规定的投标有效期满之间的这段时间内，投标人不得撤回其投标。</w:t>
      </w:r>
      <w:bookmarkEnd w:id="102"/>
      <w:r/>
      <w:r/>
    </w:p>
    <w:p>
      <w:pPr>
        <w:pStyle w:val="814"/>
        <w:ind w:firstLine="482"/>
        <w:keepLines w:val="0"/>
        <w:keepNext w:val="0"/>
        <w:spacing w:before="0" w:after="0" w:line="360" w:lineRule="auto"/>
        <w:rPr>
          <w:rFonts w:asciiTheme="minorEastAsia" w:hAnsiTheme="minorEastAsia" w:eastAsiaTheme="minorEastAsia" w:cstheme="minorEastAsia"/>
          <w:sz w:val="24"/>
          <w:szCs w:val="24"/>
          <w:highlight w:val="none"/>
        </w:rPr>
      </w:pPr>
      <w:r/>
      <w:bookmarkStart w:id="103" w:name="_Toc20007"/>
      <w:r>
        <w:rPr>
          <w:rFonts w:hint="eastAsia" w:asciiTheme="minorEastAsia" w:hAnsiTheme="minorEastAsia" w:eastAsiaTheme="minorEastAsia" w:cstheme="minorEastAsia"/>
          <w:b/>
          <w:bCs/>
          <w:color w:val="000000"/>
          <w:sz w:val="24"/>
          <w:szCs w:val="24"/>
          <w:highlight w:val="none"/>
        </w:rPr>
        <w:t xml:space="preserve">五、开标与评标</w:t>
      </w:r>
      <w:bookmarkEnd w:id="103"/>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04" w:name="_Toc6797"/>
      <w:r>
        <w:rPr>
          <w:rFonts w:hint="eastAsia" w:asciiTheme="minorEastAsia" w:hAnsiTheme="minorEastAsia" w:eastAsiaTheme="minorEastAsia" w:cstheme="minorEastAsia"/>
          <w:b/>
          <w:bCs/>
          <w:color w:val="000000"/>
          <w:szCs w:val="24"/>
          <w:highlight w:val="none"/>
        </w:rPr>
        <w:t xml:space="preserve">22.开标</w:t>
      </w:r>
      <w:bookmarkEnd w:id="104"/>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22.1 代理机构将在招标公告中规定的时间和地点组织公开开标。投标人应当按时参加开标活动，并在“苏采云”系统规定的时间内对投标文件进行解密。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22.2 开标仪式由代理机构组织。“苏采云”系统将自动对项目进行开标，并宣布各投标人名称和投标价格。</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22.3 投标人在开标过程中涉及到的投标文件解密、开标结果确认等工作，应当按照《操作手册》规定执行。</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22.4 投标人如果对开标过程和开标记录有疑义，应当按照《操作手册》规定提出，未在“苏采云”系统《开标记录表》宣布后5分钟内提出的，视同认可开标结果。</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22.5 投标人未参加开标的，视同认可开标结果。</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05" w:name="_Toc7749"/>
      <w:r>
        <w:rPr>
          <w:rFonts w:hint="eastAsia" w:asciiTheme="minorEastAsia" w:hAnsiTheme="minorEastAsia" w:eastAsiaTheme="minorEastAsia" w:cstheme="minorEastAsia"/>
          <w:b/>
          <w:bCs/>
          <w:color w:val="000000"/>
          <w:szCs w:val="24"/>
          <w:highlight w:val="none"/>
          <w:lang w:eastAsia="zh-CN"/>
        </w:rPr>
        <w:t xml:space="preserve">23.</w:t>
      </w:r>
      <w:r>
        <w:rPr>
          <w:rFonts w:hint="eastAsia" w:asciiTheme="minorEastAsia" w:hAnsiTheme="minorEastAsia" w:eastAsiaTheme="minorEastAsia" w:cstheme="minorEastAsia"/>
          <w:b/>
          <w:bCs/>
          <w:color w:val="000000"/>
          <w:szCs w:val="24"/>
          <w:highlight w:val="none"/>
        </w:rPr>
        <w:t xml:space="preserve">评标委员会</w:t>
      </w:r>
      <w:bookmarkEnd w:id="105"/>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23.1 开标后，代理机构将组织评委会进行评标。</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23.2 评委会由采购人代表和有关技术、经济等方面的评审专家组成，且人员构成符合政府采购有关规定。</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23.3 评委会按照采购文件规定的评审程序、评审方法和评审标准进行独立评审并确定中标候选人。</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06" w:name="_Toc2769"/>
      <w:r>
        <w:rPr>
          <w:rFonts w:hint="eastAsia" w:asciiTheme="minorEastAsia" w:hAnsiTheme="minorEastAsia" w:eastAsiaTheme="minorEastAsia" w:cstheme="minorEastAsia"/>
          <w:b/>
          <w:bCs/>
          <w:color w:val="000000"/>
          <w:szCs w:val="24"/>
          <w:highlight w:val="none"/>
          <w:lang w:eastAsia="zh-CN"/>
        </w:rPr>
        <w:t xml:space="preserve">24.</w:t>
      </w:r>
      <w:r>
        <w:rPr>
          <w:rFonts w:hint="eastAsia" w:asciiTheme="minorEastAsia" w:hAnsiTheme="minorEastAsia" w:eastAsiaTheme="minorEastAsia" w:cstheme="minorEastAsia"/>
          <w:b/>
          <w:bCs/>
          <w:color w:val="000000"/>
          <w:szCs w:val="24"/>
          <w:highlight w:val="none"/>
        </w:rPr>
        <w:t xml:space="preserve">评标过程的保密与公正</w:t>
      </w:r>
      <w:bookmarkEnd w:id="106"/>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24.1 凡是与审查、澄清、评价和比较投标的有关资料以及授标建议等，采购人、评审专家、代理机构均不得向投标人或与评标无关的其他人员透露。</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24.2 在评标过程中，投标人不得以任何行为影响评标过程，否则其投标文件将被作为无效投标文件。</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24.3 代理机构和评委会不向未中标的投标人解释未中标原因，也不公布评标过程中的相关细节。</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24.4 采用综合评分法的项目，未中标的投标人可于中标结果公告期限届满之日起通过“苏采云”系统查看自己的评审得分及排序情况。</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07" w:name="_Toc1734"/>
      <w:r>
        <w:rPr>
          <w:rFonts w:hint="eastAsia" w:asciiTheme="minorEastAsia" w:hAnsiTheme="minorEastAsia" w:eastAsiaTheme="minorEastAsia" w:cstheme="minorEastAsia"/>
          <w:b/>
          <w:bCs/>
          <w:color w:val="000000"/>
          <w:szCs w:val="24"/>
          <w:highlight w:val="none"/>
          <w:lang w:eastAsia="zh-CN"/>
        </w:rPr>
        <w:t xml:space="preserve">25.</w:t>
      </w:r>
      <w:r>
        <w:rPr>
          <w:rFonts w:hint="eastAsia" w:asciiTheme="minorEastAsia" w:hAnsiTheme="minorEastAsia" w:eastAsiaTheme="minorEastAsia" w:cstheme="minorEastAsia"/>
          <w:b/>
          <w:bCs/>
          <w:color w:val="000000"/>
          <w:szCs w:val="24"/>
          <w:highlight w:val="none"/>
        </w:rPr>
        <w:t xml:space="preserve">投标文件的澄清</w:t>
      </w:r>
      <w:bookmarkEnd w:id="107"/>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25.1 评标期间，评委会对投标文件中含义不明确、同类问题表述不一致或者有明显文字和计算错误的内容 ，有权要求投标人作出必要的澄清、说明或者补正。</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评委会并非对每个投标人都做澄清、说明或者补正要求。</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25.3 接到评委会澄清、说明或者补正要求的投标人如未按规定响应，其风险由投标人自行承担。</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08" w:name="_Toc5131"/>
      <w:r>
        <w:rPr>
          <w:rFonts w:hint="eastAsia" w:asciiTheme="minorEastAsia" w:hAnsiTheme="minorEastAsia" w:eastAsiaTheme="minorEastAsia" w:cstheme="minorEastAsia"/>
          <w:b/>
          <w:bCs/>
          <w:color w:val="000000"/>
          <w:szCs w:val="24"/>
          <w:highlight w:val="none"/>
          <w:lang w:eastAsia="zh-CN"/>
        </w:rPr>
        <w:t xml:space="preserve">26.</w:t>
      </w:r>
      <w:r>
        <w:rPr>
          <w:rFonts w:hint="eastAsia" w:asciiTheme="minorEastAsia" w:hAnsiTheme="minorEastAsia" w:eastAsiaTheme="minorEastAsia" w:cstheme="minorEastAsia"/>
          <w:b/>
          <w:bCs/>
          <w:color w:val="000000"/>
          <w:szCs w:val="24"/>
          <w:highlight w:val="none"/>
        </w:rPr>
        <w:t xml:space="preserve">对投标文件的初审</w:t>
      </w:r>
      <w:bookmarkEnd w:id="108"/>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26.1 投标文件初审分为资格审查和符合性审查。</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采购人进行资格性审查的同时，在信用中国网站（www.creditchina.gov.cn）查询投标人的信用记录，以确定投标人是否具备投标资格，查询结果留存并归档。</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26.1.2 符合性审查：依据招标文件的规定，由评委会从投标文件的有效性、完整性和对招标文件的响应程度进行审查，以确定其是否对招标文件的实质性要求作出响应。</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本招标文件中斜体且有下划线部分为实质性要求和条件，投标人必须逐条做出满足实质性要求和条件的响应，否则将按无效响应处理。</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color w:val="000000"/>
          <w:szCs w:val="24"/>
          <w:highlight w:val="none"/>
        </w:rPr>
        <w:t xml:space="preserve">26.1.3政府采购异常低价审查：</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（一）政府采购评审中出现下列情形之一的，评审委员会应当启动异常低价投标审查程序：</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1.投标报价低于全部通过符合性审查供应商投标报价平均值65%的，即投标报价</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全部通过符合性审查供应商投标报价平均值×65%；</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2.投标报价低于通过符合性审查的次低报价供应商投标报价65%的，即投标报价</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通过符合性审查的次低报价供应商投标报价×65%；</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3.投标报价低于采购项目最高限价65%的，即投标报价</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采购项目最高限价×65%；</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4.评审委员会基于专业判断，认为供应商报价过低，有可能影响产品质量或者不能诚信履约的其他情形。</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26.1.4未通过资格审查或符合性审查的投标人，将通过“苏采云”系统中告知其未通过的原因，评审结束后，将不再告知。</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代理机构的权利或投标人的义务，纠正这些偏离或保留将会对其他实质性响应要求的投标人的竞争地位产生不公正的影响。</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重大偏离的认定需经过评委会以少数服从多数的原则作出结论。评委决定投标文件的响应性只根据投标文件本身的内容，而不寻求外部的证据。</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26.3 如果投标文件实质上没有响应招标文件的要求，评委会将予以拒绝，投标人不得通过修改或撤销不合要求的偏离或保留而使其投标成为实质性响应的投标。</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26.4 评委会将对确定为实质性响应的投标进行进一步审核，看其是否有计算上或累加上的算术错误，修正错误的原则如下：</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（1）投标文件中开标一览表内容与投标文件中相应内容不一致的，以开标一览表为准。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（2）大写金额和小写金额不一致的，以大写金额为准。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（3）单价金额小数点或者百分比有明显错位的，以开标一览表的总价为准，并修改单价。</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（4）总价金额与按单价汇总金额不一致的，以单价金额计算结果为准。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同时出现两种以上错误的，按照前款规定的顺序修正。</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非单一产品采购项目，招标文件中将载明核心产品。多家投标人提供的核心产品品牌相同的，按前两款规定处理。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26.7 投标人在开、评标全过程中应保持通讯畅通，及时登录“苏采云”系统查阅、答复相关信息，并安排专人与代理机构及评委会联系。</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09" w:name="_Toc22267"/>
      <w:r>
        <w:rPr>
          <w:rFonts w:hint="eastAsia" w:asciiTheme="minorEastAsia" w:hAnsiTheme="minorEastAsia" w:eastAsiaTheme="minorEastAsia" w:cstheme="minorEastAsia"/>
          <w:b/>
          <w:bCs/>
          <w:color w:val="000000"/>
          <w:szCs w:val="24"/>
          <w:highlight w:val="none"/>
          <w:lang w:eastAsia="zh-CN"/>
        </w:rPr>
        <w:t xml:space="preserve">27.</w:t>
      </w:r>
      <w:r>
        <w:rPr>
          <w:rFonts w:hint="eastAsia" w:asciiTheme="minorEastAsia" w:hAnsiTheme="minorEastAsia" w:eastAsiaTheme="minorEastAsia" w:cstheme="minorEastAsia"/>
          <w:b/>
          <w:bCs/>
          <w:color w:val="000000"/>
          <w:szCs w:val="24"/>
          <w:highlight w:val="none"/>
        </w:rPr>
        <w:t xml:space="preserve">无效投标条款和废标条款</w:t>
      </w:r>
      <w:bookmarkEnd w:id="109"/>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27.1 无效投标条款</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（1）投标人未按照招标文件要求递交（上传）电子投标文件的。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（2）投标人在“苏采云”系统规定的时间内未成功解密电子投标文件的。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（3）投标人不具备招标文件中规定的资格要求的。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（5）投标人提交两个（含两个）以上不同的投标报价的。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（6）投标人的报价超过了采购预算或者最高限价的。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（8）不符合招标文件中规定的实质性要求和条件的（本招标文件中斜体且有下划线部分为实质性要求和条件）。</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（10）投标人未通过符合性审查的。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（11）投标文件含有采购人不能接受的附加条件的。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（12）投标文件未按照招标文件要求加盖公章（CA电子公章）的。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（13）其他法律、法规及本招标文件规定的属于无效投标的情形。</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27.2 有下列情形之一的，视为投标人串通投标，投标无效：</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（1）不同投标人的投标文件由同一单位或者个人编制。</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（2）不同投标人委托同一单位或者个人办理投标事宜。</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（3）不同投标人的投标文件载明的项目管理成员或者联系人员为同一人。</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（4）不同投标人的投标文件异常一致或者投标报价呈规律性差异。</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27.3 废标条款</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（1）因“苏采云”</w:t>
      </w:r>
      <w:r>
        <w:rPr>
          <w:rFonts w:hint="eastAsia" w:asciiTheme="minorEastAsia" w:hAnsiTheme="minorEastAsia" w:eastAsiaTheme="minorEastAsia" w:cstheme="minorEastAsia"/>
          <w:color w:val="000000"/>
          <w:szCs w:val="24"/>
          <w:highlight w:val="none"/>
          <w:lang w:eastAsia="zh-CN"/>
        </w:rPr>
        <w:t xml:space="preserve">系统故障</w:t>
      </w:r>
      <w:r>
        <w:rPr>
          <w:rFonts w:hint="eastAsia" w:asciiTheme="minorEastAsia" w:hAnsiTheme="minorEastAsia" w:eastAsiaTheme="minorEastAsia" w:cstheme="minorEastAsia"/>
          <w:color w:val="000000"/>
          <w:szCs w:val="24"/>
          <w:highlight w:val="none"/>
        </w:rPr>
        <w:t xml:space="preserve">原因造成开标不成功的。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（2）评委会认定招标文件存在歧义、重大缺陷导致评审工作无法进行的。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（3）符合专业条件的供应商或者对招标文件作实质响应的供应商不足三家的。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（4）出现影响采购公正的违法、违规行为的。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（5）因重大变故，采购任务取消的。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27.4 出现投标截止时间结束后参加投标的供应商或者在评标期间对招标文件做出实质响应的供应商不足三家情况的，按照政府采购相关规定执行。</w:t>
      </w:r>
      <w:r/>
    </w:p>
    <w:p>
      <w:pPr>
        <w:pStyle w:val="814"/>
        <w:ind w:firstLine="482"/>
        <w:keepLines w:val="0"/>
        <w:keepNext w:val="0"/>
        <w:spacing w:before="0" w:after="0" w:line="360" w:lineRule="auto"/>
        <w:rPr>
          <w:rFonts w:asciiTheme="minorEastAsia" w:hAnsiTheme="minorEastAsia" w:eastAsiaTheme="minorEastAsia" w:cstheme="minorEastAsia"/>
          <w:sz w:val="24"/>
          <w:szCs w:val="24"/>
          <w:highlight w:val="none"/>
        </w:rPr>
      </w:pPr>
      <w:r/>
      <w:bookmarkStart w:id="110" w:name="_Toc17248"/>
      <w:r>
        <w:rPr>
          <w:rFonts w:hint="eastAsia" w:asciiTheme="minorEastAsia" w:hAnsiTheme="minorEastAsia" w:eastAsiaTheme="minorEastAsia" w:cstheme="minorEastAsia"/>
          <w:b/>
          <w:bCs/>
          <w:color w:val="000000"/>
          <w:sz w:val="24"/>
          <w:szCs w:val="24"/>
          <w:highlight w:val="none"/>
        </w:rPr>
        <w:t xml:space="preserve">六、定标</w:t>
      </w:r>
      <w:bookmarkEnd w:id="110"/>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11" w:name="_Toc15939"/>
      <w:r>
        <w:rPr>
          <w:rFonts w:hint="eastAsia" w:asciiTheme="minorEastAsia" w:hAnsiTheme="minorEastAsia" w:eastAsiaTheme="minorEastAsia" w:cstheme="minorEastAsia"/>
          <w:b/>
          <w:bCs/>
          <w:color w:val="000000"/>
          <w:szCs w:val="24"/>
          <w:highlight w:val="none"/>
          <w:lang w:eastAsia="zh-CN"/>
        </w:rPr>
        <w:t xml:space="preserve">28.</w:t>
      </w:r>
      <w:r>
        <w:rPr>
          <w:rFonts w:hint="eastAsia" w:asciiTheme="minorEastAsia" w:hAnsiTheme="minorEastAsia" w:eastAsiaTheme="minorEastAsia" w:cstheme="minorEastAsia"/>
          <w:b/>
          <w:bCs/>
          <w:color w:val="000000"/>
          <w:szCs w:val="24"/>
          <w:highlight w:val="none"/>
        </w:rPr>
        <w:t xml:space="preserve">确定中标单位</w:t>
      </w:r>
      <w:bookmarkEnd w:id="111"/>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28.1 中标候选人的选取原则和数量详见招标文件第五章规定。 </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28.2 采购人应根据评委会推荐的中标候选人确定中标人。</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28.3 代理机构将在江苏政府采购网发布中标公告，公告期限为1个工作日。</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28.4 若有充分证据证明，中标人存在下列情况之一的，一经查实，将被取消中标资格：</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（1）提供虚假材料谋取中标、成交的。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（2）采取不正当手段诋毁、排挤其他供应商的。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（3）与采购人、其他供应商或者采购代理机构恶意串通的。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（4）向采购人、代理机构行贿或者提供其他不正当利益的。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（5）在招标采购过程中与采购人进行协商谈判的。</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（6）属于本文件规定的无效条件，但在评标过程中又未被评委会发现的。</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12" w:name="_Toc11857"/>
      <w:r>
        <w:rPr>
          <w:rFonts w:hint="eastAsia" w:asciiTheme="minorEastAsia" w:hAnsiTheme="minorEastAsia" w:eastAsiaTheme="minorEastAsia" w:cstheme="minorEastAsia"/>
          <w:b/>
          <w:bCs/>
          <w:color w:val="000000"/>
          <w:szCs w:val="24"/>
          <w:highlight w:val="none"/>
          <w:lang w:eastAsia="zh-CN"/>
        </w:rPr>
        <w:t xml:space="preserve">29.</w:t>
      </w:r>
      <w:r>
        <w:rPr>
          <w:rFonts w:hint="eastAsia" w:asciiTheme="minorEastAsia" w:hAnsiTheme="minorEastAsia" w:eastAsiaTheme="minorEastAsia" w:cstheme="minorEastAsia"/>
          <w:b/>
          <w:bCs/>
          <w:color w:val="000000"/>
          <w:szCs w:val="24"/>
          <w:highlight w:val="none"/>
        </w:rPr>
        <w:t xml:space="preserve">中标通知书</w:t>
      </w:r>
      <w:bookmarkEnd w:id="112"/>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29.1 中标结果确定后，代理机构将向中标人发出中标通知书。</w:t>
      </w:r>
      <w:r>
        <w:rPr>
          <w:rFonts w:hint="eastAsia" w:ascii="宋体" w:hAnsi="宋体" w:eastAsia="宋体" w:cs="宋体"/>
          <w:b/>
          <w:bCs/>
          <w:sz w:val="24"/>
          <w:highlight w:val="none"/>
          <w:lang w:eastAsia="zh-CN"/>
        </w:rPr>
        <w:t xml:space="preserve">中标人</w:t>
      </w:r>
      <w:r>
        <w:rPr>
          <w:rFonts w:hint="eastAsia" w:ascii="宋体" w:hAnsi="宋体" w:eastAsia="宋体" w:cs="宋体"/>
          <w:b/>
          <w:bCs/>
          <w:sz w:val="24"/>
          <w:highlight w:val="none"/>
        </w:rPr>
        <w:t xml:space="preserve">在领取成交通知书时，必须提供</w:t>
      </w:r>
      <w:r>
        <w:rPr>
          <w:rFonts w:hint="eastAsia" w:ascii="宋体" w:hAnsi="宋体" w:eastAsia="宋体" w:cs="宋体"/>
          <w:b/>
          <w:bCs/>
          <w:sz w:val="24"/>
          <w:highlight w:val="none"/>
          <w:lang w:eastAsia="zh-CN"/>
        </w:rPr>
        <w:t xml:space="preserve">三</w:t>
      </w:r>
      <w:r>
        <w:rPr>
          <w:rFonts w:hint="eastAsia" w:ascii="宋体" w:hAnsi="宋体" w:eastAsia="宋体" w:cs="宋体"/>
          <w:b/>
          <w:bCs/>
          <w:sz w:val="24"/>
          <w:highlight w:val="none"/>
        </w:rPr>
        <w:t xml:space="preserve">份与电子响应文件一致的纸质打印</w:t>
      </w:r>
      <w:r>
        <w:rPr>
          <w:rFonts w:hint="eastAsia" w:ascii="宋体" w:hAnsi="宋体" w:eastAsia="宋体" w:cs="宋体"/>
          <w:b/>
          <w:bCs/>
          <w:sz w:val="24"/>
          <w:highlight w:val="none"/>
          <w:lang w:eastAsia="zh-CN"/>
        </w:rPr>
        <w:t xml:space="preserve">投标</w:t>
      </w:r>
      <w:r>
        <w:rPr>
          <w:rFonts w:hint="eastAsia" w:ascii="宋体" w:hAnsi="宋体" w:eastAsia="宋体" w:cs="宋体"/>
          <w:b/>
          <w:bCs/>
          <w:sz w:val="24"/>
          <w:highlight w:val="none"/>
        </w:rPr>
        <w:t xml:space="preserve">文件</w:t>
      </w:r>
      <w:r>
        <w:rPr>
          <w:rFonts w:hint="eastAsia" w:asciiTheme="minorEastAsia" w:hAnsiTheme="minorEastAsia" w:eastAsiaTheme="minorEastAsia" w:cstheme="minorEastAsia"/>
          <w:color w:val="000000"/>
          <w:szCs w:val="24"/>
          <w:highlight w:val="none"/>
        </w:rPr>
        <w:t xml:space="preserve">。</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pStyle w:val="814"/>
        <w:ind w:firstLine="482"/>
        <w:keepLines w:val="0"/>
        <w:keepNext w:val="0"/>
        <w:spacing w:before="0" w:after="0" w:line="360" w:lineRule="auto"/>
        <w:rPr>
          <w:rFonts w:asciiTheme="minorEastAsia" w:hAnsiTheme="minorEastAsia" w:eastAsiaTheme="minorEastAsia" w:cstheme="minorEastAsia"/>
          <w:sz w:val="24"/>
          <w:szCs w:val="24"/>
          <w:highlight w:val="none"/>
        </w:rPr>
      </w:pPr>
      <w:r/>
      <w:bookmarkStart w:id="113" w:name="_Toc6456"/>
      <w:r>
        <w:rPr>
          <w:rFonts w:hint="eastAsia" w:asciiTheme="minorEastAsia" w:hAnsiTheme="minorEastAsia" w:eastAsiaTheme="minorEastAsia" w:cstheme="minorEastAsia"/>
          <w:b/>
          <w:bCs/>
          <w:color w:val="000000"/>
          <w:sz w:val="24"/>
          <w:szCs w:val="24"/>
          <w:highlight w:val="none"/>
        </w:rPr>
        <w:t xml:space="preserve">七、授予合同</w:t>
      </w:r>
      <w:bookmarkEnd w:id="113"/>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14" w:name="_Toc20420"/>
      <w:r>
        <w:rPr>
          <w:rFonts w:hint="eastAsia" w:asciiTheme="minorEastAsia" w:hAnsiTheme="minorEastAsia" w:eastAsiaTheme="minorEastAsia" w:cstheme="minorEastAsia"/>
          <w:b/>
          <w:bCs/>
          <w:color w:val="000000"/>
          <w:szCs w:val="24"/>
          <w:highlight w:val="none"/>
          <w:lang w:eastAsia="zh-CN"/>
        </w:rPr>
        <w:t xml:space="preserve">30.</w:t>
      </w:r>
      <w:r>
        <w:rPr>
          <w:rFonts w:hint="eastAsia" w:asciiTheme="minorEastAsia" w:hAnsiTheme="minorEastAsia" w:eastAsiaTheme="minorEastAsia" w:cstheme="minorEastAsia"/>
          <w:b/>
          <w:bCs/>
          <w:color w:val="000000"/>
          <w:szCs w:val="24"/>
          <w:highlight w:val="none"/>
        </w:rPr>
        <w:t xml:space="preserve">履约保证金</w:t>
      </w:r>
      <w:bookmarkEnd w:id="114"/>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30.2 中标人违约的，采购人将按照合同约定扣除其全部或部分履约保证金。如中标人违约给采购人造成的损失超过履约保证金的，应当依法赔偿超过部分的损失。</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30.3 履约保证金自合同生效之日起至合同约定的中标人主要义务履行完毕止，采购人应当按合同约定及时退还履约保证金。</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30.4 逾期退还履约保证金的采购人承担违约责任，按照全国银行间同业拆借中心公布的贷款市场报价利率（LPR）向中标人支付超期资金占用费。</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30.5 本项目履约保证金要求详见招标文件第四章 采购需求。</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15" w:name="_Toc3337"/>
      <w:r>
        <w:rPr>
          <w:rFonts w:hint="eastAsia" w:asciiTheme="minorEastAsia" w:hAnsiTheme="minorEastAsia" w:eastAsiaTheme="minorEastAsia" w:cstheme="minorEastAsia"/>
          <w:b/>
          <w:bCs/>
          <w:color w:val="000000"/>
          <w:szCs w:val="24"/>
          <w:highlight w:val="none"/>
          <w:lang w:eastAsia="zh-CN"/>
        </w:rPr>
        <w:t xml:space="preserve">31.</w:t>
      </w:r>
      <w:r>
        <w:rPr>
          <w:rFonts w:hint="eastAsia" w:asciiTheme="minorEastAsia" w:hAnsiTheme="minorEastAsia" w:eastAsiaTheme="minorEastAsia" w:cstheme="minorEastAsia"/>
          <w:b/>
          <w:bCs/>
          <w:color w:val="000000"/>
          <w:szCs w:val="24"/>
          <w:highlight w:val="none"/>
        </w:rPr>
        <w:t xml:space="preserve">合同签订及货物（包含与货物相关的服务）的追加</w:t>
      </w:r>
      <w:bookmarkEnd w:id="115"/>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31.1 中标人应当在中标通知书发出之日起三十日内，按照招标文件和中标人投标文件的规定，与采购人签订政府采购合同。</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31.2 招标文件、中标人的投标文件及招标过程中有关澄清、承诺等文件均应作为合同附件。</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16" w:name="_Toc7787"/>
      <w:r>
        <w:rPr>
          <w:rFonts w:hint="eastAsia" w:asciiTheme="minorEastAsia" w:hAnsiTheme="minorEastAsia" w:eastAsiaTheme="minorEastAsia" w:cstheme="minorEastAsia"/>
          <w:b/>
          <w:bCs/>
          <w:color w:val="000000"/>
          <w:szCs w:val="24"/>
          <w:highlight w:val="none"/>
          <w:lang w:eastAsia="zh-CN"/>
        </w:rPr>
        <w:t xml:space="preserve">32.</w:t>
      </w:r>
      <w:r>
        <w:rPr>
          <w:rFonts w:hint="eastAsia" w:asciiTheme="minorEastAsia" w:hAnsiTheme="minorEastAsia" w:eastAsiaTheme="minorEastAsia" w:cstheme="minorEastAsia"/>
          <w:b/>
          <w:bCs/>
          <w:color w:val="000000"/>
          <w:szCs w:val="24"/>
          <w:highlight w:val="none"/>
        </w:rPr>
        <w:t xml:space="preserve">政府采购履约资金扶持政策</w:t>
      </w:r>
      <w:bookmarkEnd w:id="116"/>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32.1 中标人可凭政府采购合同办理融资贷款，详情请见江苏政府采购网“政采贷”专栏。</w:t>
      </w:r>
      <w:r/>
    </w:p>
    <w:p>
      <w:pPr>
        <w:pStyle w:val="814"/>
        <w:ind w:firstLine="482"/>
        <w:keepLines w:val="0"/>
        <w:keepNext w:val="0"/>
        <w:spacing w:before="0" w:after="0" w:line="360" w:lineRule="auto"/>
        <w:rPr>
          <w:rFonts w:asciiTheme="minorEastAsia" w:hAnsiTheme="minorEastAsia" w:eastAsiaTheme="minorEastAsia" w:cstheme="minorEastAsia"/>
          <w:sz w:val="24"/>
          <w:szCs w:val="24"/>
          <w:highlight w:val="none"/>
        </w:rPr>
      </w:pPr>
      <w:r/>
      <w:bookmarkStart w:id="117" w:name="_Toc2786"/>
      <w:r>
        <w:rPr>
          <w:rFonts w:hint="eastAsia" w:asciiTheme="minorEastAsia" w:hAnsiTheme="minorEastAsia" w:eastAsiaTheme="minorEastAsia" w:cstheme="minorEastAsia"/>
          <w:b/>
          <w:bCs/>
          <w:color w:val="000000"/>
          <w:sz w:val="24"/>
          <w:szCs w:val="24"/>
          <w:highlight w:val="none"/>
        </w:rPr>
        <w:t xml:space="preserve">八、询问与质疑</w:t>
      </w:r>
      <w:bookmarkEnd w:id="117"/>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18" w:name="_Toc12058"/>
      <w:r>
        <w:rPr>
          <w:rFonts w:hint="eastAsia" w:asciiTheme="minorEastAsia" w:hAnsiTheme="minorEastAsia" w:eastAsiaTheme="minorEastAsia" w:cstheme="minorEastAsia"/>
          <w:b/>
          <w:bCs/>
          <w:color w:val="000000"/>
          <w:szCs w:val="24"/>
          <w:highlight w:val="none"/>
          <w:lang w:eastAsia="zh-CN"/>
        </w:rPr>
        <w:t xml:space="preserve">33.</w:t>
      </w:r>
      <w:r>
        <w:rPr>
          <w:rFonts w:hint="eastAsia" w:asciiTheme="minorEastAsia" w:hAnsiTheme="minorEastAsia" w:eastAsiaTheme="minorEastAsia" w:cstheme="minorEastAsia"/>
          <w:b/>
          <w:bCs/>
          <w:color w:val="000000"/>
          <w:szCs w:val="24"/>
          <w:highlight w:val="none"/>
        </w:rPr>
        <w:t xml:space="preserve">询问</w:t>
      </w:r>
      <w:bookmarkEnd w:id="118"/>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33.1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供应商向采购人提出。</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19" w:name="_Toc25422"/>
      <w:r>
        <w:rPr>
          <w:rFonts w:hint="eastAsia" w:asciiTheme="minorEastAsia" w:hAnsiTheme="minorEastAsia" w:eastAsiaTheme="minorEastAsia" w:cstheme="minorEastAsia"/>
          <w:b/>
          <w:bCs/>
          <w:color w:val="000000"/>
          <w:szCs w:val="24"/>
          <w:highlight w:val="none"/>
          <w:lang w:eastAsia="zh-CN"/>
        </w:rPr>
        <w:t xml:space="preserve">34.</w:t>
      </w:r>
      <w:r>
        <w:rPr>
          <w:rFonts w:hint="eastAsia" w:asciiTheme="minorEastAsia" w:hAnsiTheme="minorEastAsia" w:eastAsiaTheme="minorEastAsia" w:cstheme="minorEastAsia"/>
          <w:b/>
          <w:bCs/>
          <w:color w:val="000000"/>
          <w:szCs w:val="24"/>
          <w:highlight w:val="none"/>
        </w:rPr>
        <w:t xml:space="preserve">质疑提出</w:t>
      </w:r>
      <w:bookmarkEnd w:id="119"/>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34.1 提出质疑的供应商应当是参与所质疑项目采购活动的供应商。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34.2 供应商认为采购文件、采购过程、采购结果使自己的权益受到损害的，可以在知道或者应知其权益受到损害之日（获取采购文件之日、采购公告发布之日）起七个工作日内以书面形式向采购人、代理机构提出质疑。</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未依照采购公告要求获取采购文件的供应商，视为未参与该项目的采购活动，不具备对该采购文件提出质疑的法定权利。</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34.4 质疑函的接收方式为供应商书面原件提交。联系部门、联系电话和通讯地址详见招标文件第一章。质疑实行实名制，不得进行虚假、恶意质疑。</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34.5 质疑函应当使用范本，详见招标文件第六章。供应商提出质疑应当提交质疑函和必要的证明材料，应当包括下列内容：</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（1）供应商的姓名或者名称、地址、邮编、联系人及联系电话；</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（2）质疑项目的名称、编号；</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（3）具体、明确的质疑事项和与质疑事项相关的请求；</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（4）事实依据；</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（5）必要的法律依据；</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（6）提出质疑的日期；</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（7）必要的证明材料；</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（8）营业执照复印件及授权委托书原件、法定代表人（单位负责人）身份证复印件、委托代理人身份证复印件。</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供应商为自然人的，应当由本人签字；供应商为法人或者其他组织的，应当由法定代表人、主要负责人，或者其委托代理人签字或者盖章，并加盖单位公章。</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20" w:name="_Toc2826"/>
      <w:r>
        <w:rPr>
          <w:rFonts w:hint="eastAsia" w:asciiTheme="minorEastAsia" w:hAnsiTheme="minorEastAsia" w:eastAsiaTheme="minorEastAsia" w:cstheme="minorEastAsia"/>
          <w:b/>
          <w:bCs/>
          <w:color w:val="000000"/>
          <w:szCs w:val="24"/>
          <w:highlight w:val="none"/>
          <w:lang w:eastAsia="zh-CN"/>
        </w:rPr>
        <w:t xml:space="preserve">35.</w:t>
      </w:r>
      <w:r>
        <w:rPr>
          <w:rFonts w:hint="eastAsia" w:asciiTheme="minorEastAsia" w:hAnsiTheme="minorEastAsia" w:eastAsiaTheme="minorEastAsia" w:cstheme="minorEastAsia"/>
          <w:b/>
          <w:bCs/>
          <w:color w:val="000000"/>
          <w:szCs w:val="24"/>
          <w:highlight w:val="none"/>
        </w:rPr>
        <w:t xml:space="preserve">质疑函的受理和答复</w:t>
      </w:r>
      <w:bookmarkEnd w:id="120"/>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35.2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35.3 对不符合质疑要求的，采购人、代理机构有权要求其补充必要的证明材料，质疑供应商未在法定的时间内提供补充必要的证明材料的，视同放弃质疑。</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35.4 以下情形的质疑不予受理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（1）内容不符合《政府采购质疑和投诉办法》第十二条规定的质疑。</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（2）超出政府采购法定期限的质疑。</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（3）以传真、电子邮件等方式递交的非原件形式的质疑。</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（4）未参加采购活动的供应商或在采购活动中自身权益未受到损害的供应商所提出的质疑。</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（5）供应商组成联合体，联合体中任何一方或多方未按要求签字（盖章）、加盖公章的质疑。</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35.5 采购人、代理机构依法受理的质疑，将按照政府采购有关规定，在法定期限内答复。</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35.6 未尽事宜，依照有关法律、法规执行。</w:t>
      </w:r>
      <w:r/>
    </w:p>
    <w:p>
      <w:pPr>
        <w:pStyle w:val="814"/>
        <w:ind w:firstLine="482"/>
        <w:keepLines w:val="0"/>
        <w:keepNext w:val="0"/>
        <w:spacing w:before="0" w:after="0" w:line="360" w:lineRule="auto"/>
        <w:rPr>
          <w:rFonts w:asciiTheme="minorEastAsia" w:hAnsiTheme="minorEastAsia" w:eastAsiaTheme="minorEastAsia" w:cstheme="minorEastAsia"/>
          <w:sz w:val="24"/>
          <w:szCs w:val="24"/>
          <w:highlight w:val="none"/>
        </w:rPr>
      </w:pPr>
      <w:r/>
      <w:bookmarkStart w:id="121" w:name="_Toc4603"/>
      <w:r>
        <w:rPr>
          <w:rFonts w:hint="eastAsia" w:asciiTheme="minorEastAsia" w:hAnsiTheme="minorEastAsia" w:eastAsiaTheme="minorEastAsia" w:cstheme="minorEastAsia"/>
          <w:b/>
          <w:bCs/>
          <w:color w:val="000000"/>
          <w:sz w:val="24"/>
          <w:szCs w:val="24"/>
          <w:highlight w:val="none"/>
        </w:rPr>
        <w:t xml:space="preserve">九、政府采购政策功能</w:t>
      </w:r>
      <w:bookmarkEnd w:id="121"/>
      <w:r/>
      <w:r/>
    </w:p>
    <w:p>
      <w:pPr>
        <w:ind w:firstLine="480"/>
        <w:spacing w:line="360" w:lineRule="auto"/>
        <w:rPr>
          <w:rFonts w:asciiTheme="minorEastAsia" w:hAnsiTheme="minorEastAsia" w:eastAsiaTheme="minorEastAsia" w:cstheme="minorEastAsia"/>
          <w:sz w:val="24"/>
          <w:szCs w:val="24"/>
          <w:highlight w:val="none"/>
        </w:rPr>
        <w:outlineLvl w:val="1"/>
      </w:pPr>
      <w:r/>
      <w:bookmarkStart w:id="122" w:name="_Toc24875"/>
      <w:r>
        <w:rPr>
          <w:rFonts w:hint="eastAsia" w:asciiTheme="minorEastAsia" w:hAnsiTheme="minorEastAsia" w:eastAsiaTheme="minorEastAsia" w:cstheme="minorEastAsia"/>
          <w:sz w:val="24"/>
          <w:szCs w:val="24"/>
          <w:highlight w:val="none"/>
          <w:lang w:eastAsia="zh-CN"/>
        </w:rPr>
        <w:t xml:space="preserve">37.</w:t>
      </w:r>
      <w:r>
        <w:rPr>
          <w:rFonts w:hint="eastAsia" w:asciiTheme="minorEastAsia" w:hAnsiTheme="minorEastAsia" w:eastAsiaTheme="minorEastAsia" w:cstheme="minorEastAsia"/>
          <w:sz w:val="24"/>
          <w:szCs w:val="24"/>
          <w:highlight w:val="none"/>
        </w:rPr>
        <w:t xml:space="preserve">支持中小企业发展</w:t>
      </w:r>
      <w:bookmarkEnd w:id="122"/>
      <w:r/>
      <w:r/>
    </w:p>
    <w:p>
      <w:pPr>
        <w:pStyle w:val="843"/>
        <w:ind w:firstLine="480"/>
        <w:spacing w:beforeAutospacing="0" w:afterAutospacing="0"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Cs w:val="24"/>
          <w:highlight w:val="none"/>
        </w:rPr>
        <w:t xml:space="preserve">37.1 本项目执行《关于印发</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政府采购促进中小企业发展管理办法</w:t>
      </w:r>
      <w:r>
        <w:rPr>
          <w:rFonts w:hint="eastAsia" w:asciiTheme="minorEastAsia" w:hAnsiTheme="minorEastAsia" w:eastAsiaTheme="minorEastAsia" w:cstheme="minorEastAsia"/>
          <w:color w:val="000000"/>
          <w:szCs w:val="24"/>
          <w:highlight w:val="none"/>
          <w:lang w:eastAsia="zh-CN"/>
        </w:rPr>
        <w:t xml:space="preserve">〉的通知》</w:t>
      </w:r>
      <w:r>
        <w:rPr>
          <w:rFonts w:hint="eastAsia" w:asciiTheme="minorEastAsia" w:hAnsiTheme="minorEastAsia" w:eastAsiaTheme="minorEastAsia" w:cstheme="minorEastAsia"/>
          <w:color w:val="000000"/>
          <w:szCs w:val="24"/>
          <w:highlight w:val="none"/>
        </w:rPr>
        <w:t xml:space="preserve">（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pStyle w:val="843"/>
        <w:ind w:firstLine="480"/>
        <w:spacing w:beforeAutospacing="0" w:afterAutospacing="0"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Cs w:val="24"/>
          <w:highlight w:val="none"/>
        </w:rPr>
        <w:t xml:space="preserve">37.2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pStyle w:val="843"/>
        <w:ind w:firstLine="480"/>
        <w:spacing w:beforeAutospacing="0" w:afterAutospacing="0" w:line="360" w:lineRule="auto"/>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color w:val="000000"/>
          <w:szCs w:val="24"/>
          <w:highlight w:val="none"/>
        </w:rPr>
        <w:t xml:space="preserve">本项目价格扣除计算方法如下：参与报价得分计算的价格＝供应商的最后报价</w:t>
      </w:r>
      <w:r>
        <w:rPr>
          <w:rFonts w:hint="eastAsia" w:asciiTheme="minorEastAsia" w:hAnsiTheme="minorEastAsia" w:eastAsiaTheme="minorEastAsia" w:cstheme="minorEastAsia"/>
          <w:b/>
          <w:bCs/>
          <w:color w:val="000000"/>
          <w:szCs w:val="24"/>
          <w:highlight w:val="none"/>
          <w:lang w:eastAsia="zh-CN"/>
        </w:rPr>
        <w:t xml:space="preserve">－</w:t>
      </w:r>
      <w:r>
        <w:rPr>
          <w:rFonts w:hint="eastAsia" w:asciiTheme="minorEastAsia" w:hAnsiTheme="minorEastAsia" w:eastAsiaTheme="minorEastAsia" w:cstheme="minorEastAsia"/>
          <w:b/>
          <w:bCs/>
          <w:color w:val="000000"/>
          <w:szCs w:val="24"/>
          <w:highlight w:val="none"/>
        </w:rPr>
        <w:t xml:space="preserve">小型企业、微型企业、监狱企业、残疾人福利性单位的最后报价×10%。</w:t>
      </w:r>
      <w:r/>
    </w:p>
    <w:p>
      <w:pPr>
        <w:pStyle w:val="843"/>
        <w:ind w:firstLine="480"/>
        <w:spacing w:beforeAutospacing="0" w:afterAutospacing="0"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Cs w:val="24"/>
          <w:highlight w:val="none"/>
        </w:rPr>
        <w:t xml:space="preserve">37.3 参加本项目政府采购活动的供应商享受价格评审优惠的应当提供的材料： </w:t>
      </w:r>
      <w:r/>
    </w:p>
    <w:p>
      <w:pPr>
        <w:pStyle w:val="843"/>
        <w:ind w:firstLine="480"/>
        <w:spacing w:beforeAutospacing="0" w:afterAutospacing="0"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Cs w:val="24"/>
          <w:highlight w:val="none"/>
        </w:rPr>
        <w:t xml:space="preserve">（1）供应商提供的货物全部由中型企业、小型企业、微型企业制造的，提供《中小企业声明函》（第六章 投标文件格式）。</w:t>
      </w:r>
      <w:r/>
    </w:p>
    <w:p>
      <w:pPr>
        <w:pStyle w:val="843"/>
        <w:ind w:firstLine="480"/>
        <w:spacing w:beforeAutospacing="0" w:afterAutospacing="0"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pStyle w:val="843"/>
        <w:ind w:firstLine="480"/>
        <w:spacing w:beforeAutospacing="0" w:afterAutospacing="0"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pStyle w:val="843"/>
        <w:ind w:firstLine="480"/>
        <w:spacing w:beforeAutospacing="0" w:afterAutospacing="0"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Cs w:val="24"/>
          <w:highlight w:val="none"/>
        </w:rPr>
        <w:t xml:space="preserve">37.4 享受扶持政策获得政府采购合同的，小微型企业不得将合同分包给大中型企业，中型企业不得将合同分包给大型企业。</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23" w:name="_Toc27718"/>
      <w:r>
        <w:rPr>
          <w:rFonts w:hint="eastAsia" w:asciiTheme="minorEastAsia" w:hAnsiTheme="minorEastAsia" w:eastAsiaTheme="minorEastAsia" w:cstheme="minorEastAsia"/>
          <w:b/>
          <w:bCs/>
          <w:color w:val="000000"/>
          <w:szCs w:val="24"/>
          <w:highlight w:val="none"/>
        </w:rPr>
        <w:t xml:space="preserve">38.采购本国产品的支持政策</w:t>
      </w:r>
      <w:bookmarkEnd w:id="123"/>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38.3 供应商需按照招标文件的要求提供《关于符合本国产品标准的声明函》（以下简称《声明函》），如不提供将不享受本国产品价格评审优惠。</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38.6政府采购中的本国产品标准及其他未尽事宜详见《国务院办公厅关于在政府采购中实施本国产品标准及相关政策的通知》（国办发〔2025〕34号）。</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24" w:name="_Toc13027"/>
      <w:r>
        <w:rPr>
          <w:rFonts w:hint="eastAsia" w:asciiTheme="minorEastAsia" w:hAnsiTheme="minorEastAsia" w:eastAsiaTheme="minorEastAsia" w:cstheme="minorEastAsia"/>
          <w:b/>
          <w:bCs/>
          <w:color w:val="000000"/>
          <w:szCs w:val="24"/>
          <w:highlight w:val="none"/>
          <w:lang w:eastAsia="zh-CN"/>
        </w:rPr>
        <w:t xml:space="preserve">39.</w:t>
      </w:r>
      <w:r>
        <w:rPr>
          <w:rFonts w:hint="eastAsia" w:asciiTheme="minorEastAsia" w:hAnsiTheme="minorEastAsia" w:eastAsiaTheme="minorEastAsia" w:cstheme="minorEastAsia"/>
          <w:b/>
          <w:bCs/>
          <w:color w:val="000000"/>
          <w:szCs w:val="24"/>
          <w:highlight w:val="none"/>
        </w:rPr>
        <w:t xml:space="preserve">支持绿色发展</w:t>
      </w:r>
      <w:bookmarkEnd w:id="124"/>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快递包装政府采购需求标准（试行）》。</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39.3本项目执行《财政部 生态环境部 工业和信息化部关于印发</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绿色数据中心政府采购需求标准（试行）</w:t>
      </w:r>
      <w:r>
        <w:rPr>
          <w:rFonts w:hint="eastAsia" w:asciiTheme="minorEastAsia" w:hAnsiTheme="minorEastAsia" w:eastAsiaTheme="minorEastAsia" w:cstheme="minorEastAsia"/>
          <w:color w:val="000000"/>
          <w:szCs w:val="24"/>
          <w:highlight w:val="none"/>
          <w:lang w:eastAsia="zh-CN"/>
        </w:rPr>
        <w:t xml:space="preserve">〉的通知》</w:t>
      </w:r>
      <w:r>
        <w:rPr>
          <w:rFonts w:hint="eastAsia" w:asciiTheme="minorEastAsia" w:hAnsiTheme="minorEastAsia" w:eastAsiaTheme="minorEastAsia" w:cstheme="minorEastAsia"/>
          <w:color w:val="000000"/>
          <w:szCs w:val="24"/>
          <w:highlight w:val="none"/>
        </w:rPr>
        <w:t xml:space="preserve">（财库〔2023〕7号）的相关要求。涉及本次采购标的的设备在履约验收中将对中标人提供的产品或服务进行抽查检测，必要时可委托取得相关资质的第三方机构对其进行检测、认证。</w:t>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39.4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43"/>
        <w:ind w:firstLine="482"/>
        <w:jc w:val="both"/>
        <w:spacing w:beforeAutospacing="0" w:afterAutospacing="0" w:line="360" w:lineRule="auto"/>
        <w:rPr>
          <w:rFonts w:asciiTheme="minorEastAsia" w:hAnsiTheme="minorEastAsia" w:eastAsiaTheme="minorEastAsia" w:cstheme="minorEastAsia"/>
          <w:szCs w:val="24"/>
          <w:highlight w:val="none"/>
        </w:rPr>
        <w:outlineLvl w:val="1"/>
      </w:pPr>
      <w:r/>
      <w:bookmarkStart w:id="125" w:name="_Toc29045"/>
      <w:r>
        <w:rPr>
          <w:rFonts w:hint="eastAsia" w:asciiTheme="minorEastAsia" w:hAnsiTheme="minorEastAsia" w:eastAsiaTheme="minorEastAsia" w:cstheme="minorEastAsia"/>
          <w:b/>
          <w:bCs/>
          <w:color w:val="000000"/>
          <w:szCs w:val="24"/>
          <w:highlight w:val="none"/>
          <w:lang w:eastAsia="zh-CN"/>
        </w:rPr>
        <w:t xml:space="preserve">40.</w:t>
      </w:r>
      <w:r>
        <w:rPr>
          <w:rFonts w:hint="eastAsia" w:asciiTheme="minorEastAsia" w:hAnsiTheme="minorEastAsia" w:eastAsiaTheme="minorEastAsia" w:cstheme="minorEastAsia"/>
          <w:b/>
          <w:bCs/>
          <w:color w:val="000000"/>
          <w:szCs w:val="24"/>
          <w:highlight w:val="none"/>
        </w:rPr>
        <w:t xml:space="preserve">政府采购需求标准</w:t>
      </w:r>
      <w:bookmarkEnd w:id="125"/>
      <w:r/>
      <w:r/>
    </w:p>
    <w:p>
      <w:pPr>
        <w:pStyle w:val="843"/>
        <w:ind w:firstLine="480"/>
        <w:jc w:val="both"/>
        <w:spacing w:beforeAutospacing="0" w:afterAutospacing="0"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color w:val="000000"/>
          <w:szCs w:val="24"/>
          <w:highlight w:val="none"/>
        </w:rPr>
        <w:t xml:space="preserve">40.1 本项目执行《绿色数据中心政府采购需求标准（试行）</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台式计算机政府采购需求标准（2023年版）</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便携式计算机政府采购需求标准（2023年版）</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一体式计算机政府采购需求标准（2023年版）</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工作站政府采购需求标准（2023年版）</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通用服务器政府采购需求标准（2023年版）</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操作系统政府采购需求标准（2023年版）</w:t>
      </w:r>
      <w:r>
        <w:rPr>
          <w:rFonts w:hint="eastAsia" w:asciiTheme="minorEastAsia" w:hAnsiTheme="minorEastAsia" w:eastAsiaTheme="minorEastAsia" w:cstheme="minorEastAsia"/>
          <w:color w:val="000000"/>
          <w:szCs w:val="24"/>
          <w:highlight w:val="none"/>
          <w:lang w:eastAsia="zh-CN"/>
        </w:rPr>
        <w:t xml:space="preserve">》《</w:t>
      </w:r>
      <w:r>
        <w:rPr>
          <w:rFonts w:hint="eastAsia" w:asciiTheme="minorEastAsia" w:hAnsiTheme="minorEastAsia" w:eastAsiaTheme="minorEastAsia" w:cstheme="minorEastAsia"/>
          <w:color w:val="000000"/>
          <w:szCs w:val="24"/>
          <w:highlight w:val="none"/>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600"/>
        <w:keepLines/>
        <w:keepNext/>
        <w:rPr>
          <w:rFonts w:asciiTheme="minorEastAsia" w:hAnsiTheme="minorEastAsia" w:eastAsiaTheme="minorEastAsia" w:cstheme="minorEastAsia"/>
          <w:bCs/>
          <w:color w:val="000000"/>
          <w:sz w:val="30"/>
          <w:szCs w:val="30"/>
          <w:highlight w:val="none"/>
        </w:rPr>
      </w:pPr>
      <w:r>
        <w:rPr>
          <w:rFonts w:asciiTheme="minorEastAsia" w:hAnsiTheme="minorEastAsia" w:eastAsiaTheme="minorEastAsia" w:cstheme="minorEastAsia"/>
          <w:bCs/>
          <w:color w:val="000000"/>
          <w:sz w:val="30"/>
          <w:szCs w:val="30"/>
          <w:highlight w:val="none"/>
        </w:rPr>
      </w:r>
      <w:r/>
    </w:p>
    <w:p>
      <w:pPr>
        <w:jc w:val="left"/>
        <w:widowControl/>
        <w:rPr>
          <w:rFonts w:asciiTheme="minorEastAsia" w:hAnsiTheme="minorEastAsia" w:eastAsiaTheme="minorEastAsia" w:cstheme="minorEastAsia"/>
          <w:color w:val="000000"/>
          <w:sz w:val="24"/>
          <w:highlight w:val="none"/>
        </w:rPr>
      </w:pPr>
      <w:r>
        <w:rPr>
          <w:rFonts w:asciiTheme="minorEastAsia" w:hAnsiTheme="minorEastAsia" w:eastAsiaTheme="minorEastAsia" w:cstheme="minorEastAsia"/>
          <w:color w:val="000000"/>
          <w:sz w:val="24"/>
          <w:highlight w:val="none"/>
        </w:rPr>
      </w:r>
      <w:r/>
    </w:p>
    <w:p>
      <w:pPr>
        <w:jc w:val="left"/>
        <w:widowControl/>
        <w:rPr>
          <w:rFonts w:asciiTheme="minorEastAsia" w:hAnsiTheme="minorEastAsia" w:eastAsiaTheme="minorEastAsia" w:cstheme="minorEastAsia"/>
          <w:color w:val="000000"/>
          <w:sz w:val="24"/>
          <w:highlight w:val="none"/>
        </w:rPr>
      </w:pPr>
      <w:r>
        <w:rPr>
          <w:rFonts w:asciiTheme="minorEastAsia" w:hAnsiTheme="minorEastAsia" w:eastAsiaTheme="minorEastAsia" w:cstheme="minorEastAsia"/>
          <w:color w:val="000000"/>
          <w:sz w:val="24"/>
          <w:highlight w:val="none"/>
        </w:rPr>
      </w:r>
      <w:r/>
    </w:p>
    <w:p>
      <w:pPr>
        <w:spacing w:line="500" w:lineRule="exact"/>
        <w:rPr>
          <w:rFonts w:asciiTheme="minorEastAsia" w:hAnsiTheme="minorEastAsia" w:eastAsiaTheme="minorEastAsia" w:cstheme="minorEastAsia"/>
          <w:bCs/>
          <w:color w:val="000000"/>
          <w:sz w:val="24"/>
          <w:szCs w:val="24"/>
          <w:highlight w:val="none"/>
        </w:rPr>
      </w:pPr>
      <w:r>
        <w:rPr>
          <w:rFonts w:asciiTheme="minorEastAsia" w:hAnsiTheme="minorEastAsia" w:eastAsiaTheme="minorEastAsia" w:cstheme="minorEastAsia"/>
          <w:bCs/>
          <w:color w:val="000000"/>
          <w:sz w:val="24"/>
          <w:szCs w:val="24"/>
          <w:highlight w:val="none"/>
        </w:rPr>
      </w:r>
      <w:r/>
    </w:p>
    <w:p>
      <w:pPr>
        <w:spacing w:line="500" w:lineRule="exact"/>
        <w:rPr>
          <w:rFonts w:asciiTheme="minorEastAsia" w:hAnsiTheme="minorEastAsia" w:eastAsiaTheme="minorEastAsia" w:cstheme="minorEastAsia"/>
          <w:bCs/>
          <w:color w:val="000000"/>
          <w:sz w:val="24"/>
          <w:szCs w:val="24"/>
          <w:highlight w:val="none"/>
        </w:rPr>
      </w:pPr>
      <w:r>
        <w:rPr>
          <w:rFonts w:asciiTheme="minorEastAsia" w:hAnsiTheme="minorEastAsia" w:eastAsiaTheme="minorEastAsia" w:cstheme="minorEastAsia"/>
          <w:bCs/>
          <w:color w:val="000000"/>
          <w:sz w:val="24"/>
          <w:szCs w:val="24"/>
          <w:highlight w:val="none"/>
        </w:rPr>
      </w:r>
      <w:r/>
    </w:p>
    <w:p>
      <w:pPr>
        <w:pStyle w:val="853"/>
        <w:rPr>
          <w:rFonts w:asciiTheme="minorEastAsia" w:hAnsiTheme="minorEastAsia" w:eastAsiaTheme="minorEastAsia" w:cstheme="minorEastAsia"/>
          <w:bCs/>
          <w:sz w:val="24"/>
          <w:highlight w:val="none"/>
        </w:rPr>
      </w:pPr>
      <w:r>
        <w:rPr>
          <w:rFonts w:asciiTheme="minorEastAsia" w:hAnsiTheme="minorEastAsia" w:eastAsiaTheme="minorEastAsia" w:cstheme="minorEastAsia"/>
          <w:bCs/>
          <w:sz w:val="24"/>
          <w:highlight w:val="none"/>
        </w:rPr>
      </w:r>
      <w:r/>
    </w:p>
    <w:p>
      <w:pPr>
        <w:pStyle w:val="853"/>
        <w:rPr>
          <w:rFonts w:asciiTheme="minorEastAsia" w:hAnsiTheme="minorEastAsia" w:eastAsiaTheme="minorEastAsia" w:cstheme="minorEastAsia"/>
          <w:bCs/>
          <w:sz w:val="24"/>
          <w:highlight w:val="none"/>
        </w:rPr>
      </w:pPr>
      <w:r>
        <w:rPr>
          <w:rFonts w:asciiTheme="minorEastAsia" w:hAnsiTheme="minorEastAsia" w:eastAsiaTheme="minorEastAsia" w:cstheme="minorEastAsia"/>
          <w:bCs/>
          <w:sz w:val="24"/>
          <w:highlight w:val="none"/>
        </w:rPr>
      </w:r>
      <w:r/>
    </w:p>
    <w:p>
      <w:pPr>
        <w:pStyle w:val="853"/>
        <w:rPr>
          <w:rFonts w:asciiTheme="minorEastAsia" w:hAnsiTheme="minorEastAsia" w:eastAsiaTheme="minorEastAsia" w:cstheme="minorEastAsia"/>
          <w:bCs/>
          <w:sz w:val="24"/>
          <w:highlight w:val="none"/>
        </w:rPr>
      </w:pPr>
      <w:r>
        <w:rPr>
          <w:rFonts w:asciiTheme="minorEastAsia" w:hAnsiTheme="minorEastAsia" w:eastAsiaTheme="minorEastAsia" w:cstheme="minorEastAsia"/>
          <w:bCs/>
          <w:sz w:val="24"/>
          <w:highlight w:val="none"/>
        </w:rPr>
      </w:r>
      <w:r/>
    </w:p>
    <w:p>
      <w:pPr>
        <w:pStyle w:val="853"/>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pStyle w:val="853"/>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pStyle w:val="853"/>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pStyle w:val="853"/>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pStyle w:val="853"/>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pStyle w:val="853"/>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pStyle w:val="853"/>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bookmarkEnd w:id="70"/>
      <w:r/>
      <w:bookmarkEnd w:id="71"/>
      <w:r/>
      <w:bookmarkEnd w:id="72"/>
      <w:r/>
      <w:bookmarkEnd w:id="73"/>
      <w:r/>
      <w:bookmarkEnd w:id="74"/>
      <w:r/>
      <w:r/>
    </w:p>
    <w:p>
      <w:pPr>
        <w:spacing w:line="500" w:lineRule="exact"/>
        <w:rPr>
          <w:rFonts w:asciiTheme="minorEastAsia" w:hAnsiTheme="minorEastAsia" w:eastAsiaTheme="minorEastAsia" w:cstheme="minorEastAsia"/>
          <w:bCs/>
          <w:color w:val="000000"/>
          <w:sz w:val="24"/>
          <w:szCs w:val="21"/>
          <w:highlight w:val="none"/>
        </w:rPr>
      </w:pPr>
      <w:r/>
      <w:bookmarkStart w:id="126" w:name="_Toc16938559"/>
      <w:r/>
      <w:bookmarkStart w:id="127" w:name="_Toc513029243"/>
      <w:r/>
      <w:bookmarkStart w:id="128" w:name="_Toc20823315"/>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pStyle w:val="853"/>
        <w:rPr>
          <w:rFonts w:asciiTheme="minorEastAsia" w:hAnsiTheme="minorEastAsia" w:eastAsiaTheme="minorEastAsia" w:cstheme="minorEastAsia"/>
          <w:bCs/>
          <w:sz w:val="24"/>
          <w:szCs w:val="21"/>
          <w:highlight w:val="none"/>
        </w:rPr>
      </w:pPr>
      <w:r>
        <w:rPr>
          <w:rFonts w:asciiTheme="minorEastAsia" w:hAnsiTheme="minorEastAsia" w:eastAsiaTheme="minorEastAsia" w:cstheme="minorEastAsia"/>
          <w:bCs/>
          <w:sz w:val="24"/>
          <w:szCs w:val="21"/>
          <w:highlight w:val="none"/>
        </w:rPr>
      </w:r>
      <w:r/>
    </w:p>
    <w:p>
      <w:pPr>
        <w:jc w:val="center"/>
        <w:keepNext/>
        <w:rPr>
          <w:rFonts w:asciiTheme="minorEastAsia" w:hAnsiTheme="minorEastAsia" w:eastAsiaTheme="minorEastAsia" w:cstheme="minorEastAsia"/>
          <w:bCs/>
          <w:color w:val="000000"/>
          <w:sz w:val="24"/>
          <w:szCs w:val="21"/>
          <w:highlight w:val="none"/>
        </w:rPr>
        <w:outlineLvl w:val="0"/>
      </w:pPr>
      <w:r/>
      <w:bookmarkStart w:id="129" w:name="_Toc28699"/>
      <w:r/>
      <w:bookmarkStart w:id="130" w:name="_Toc24560"/>
      <w:r>
        <w:rPr>
          <w:rFonts w:hint="eastAsia" w:asciiTheme="minorEastAsia" w:hAnsiTheme="minorEastAsia" w:eastAsiaTheme="minorEastAsia" w:cstheme="minorEastAsia"/>
          <w:bCs/>
          <w:color w:val="000000"/>
          <w:sz w:val="44"/>
          <w:szCs w:val="28"/>
          <w:highlight w:val="none"/>
        </w:rPr>
        <w:t xml:space="preserve">第三章  合同文本</w:t>
      </w:r>
      <w:bookmarkEnd w:id="129"/>
      <w:r/>
      <w:bookmarkEnd w:id="130"/>
      <w:r/>
      <w:r/>
    </w:p>
    <w:p>
      <w:pPr>
        <w:ind w:firstLine="480"/>
        <w:spacing w:line="500" w:lineRule="exact"/>
        <w:rPr>
          <w:rFonts w:asciiTheme="minorEastAsia" w:hAnsiTheme="minorEastAsia" w:eastAsiaTheme="minorEastAsia" w:cstheme="minorEastAsia"/>
          <w:bCs/>
          <w:color w:val="000000"/>
          <w:sz w:val="24"/>
          <w:szCs w:val="21"/>
          <w:highlight w:val="none"/>
        </w:rPr>
      </w:pPr>
      <w:r>
        <w:rPr>
          <w:rFonts w:hint="eastAsia" w:asciiTheme="minorEastAsia" w:hAnsiTheme="minorEastAsia" w:eastAsiaTheme="minorEastAsia" w:cstheme="minorEastAsia"/>
          <w:bCs/>
          <w:color w:val="000000"/>
          <w:sz w:val="24"/>
          <w:szCs w:val="21"/>
          <w:highlight w:val="none"/>
        </w:rPr>
        <w:t xml:space="preserve">以下为中标后签订本项目合同的通用条款，中标人不得提出实质性的修改。</w:t>
      </w:r>
      <w:r/>
    </w:p>
    <w:p>
      <w:pPr>
        <w:jc w:val="center"/>
        <w:spacing w:line="360" w:lineRule="auto"/>
        <w:rPr>
          <w:rFonts w:asciiTheme="minorEastAsia" w:hAnsiTheme="minorEastAsia" w:eastAsiaTheme="minorEastAsia" w:cstheme="minorEastAsia"/>
          <w:b/>
          <w:color w:val="000000"/>
          <w:sz w:val="30"/>
          <w:szCs w:val="21"/>
          <w:highlight w:val="none"/>
        </w:rPr>
      </w:pPr>
      <w:r>
        <w:rPr>
          <w:rFonts w:asciiTheme="minorEastAsia" w:hAnsiTheme="minorEastAsia" w:eastAsiaTheme="minorEastAsia" w:cstheme="minorEastAsia"/>
          <w:b/>
          <w:color w:val="000000"/>
          <w:sz w:val="30"/>
          <w:szCs w:val="21"/>
          <w:highlight w:val="none"/>
        </w:rPr>
      </w:r>
      <w:r/>
    </w:p>
    <w:p>
      <w:pPr>
        <w:jc w:val="center"/>
        <w:spacing w:line="360" w:lineRule="auto"/>
        <w:rPr>
          <w:rFonts w:asciiTheme="minorEastAsia" w:hAnsiTheme="minorEastAsia" w:eastAsiaTheme="minorEastAsia" w:cstheme="minorEastAsia"/>
          <w:b/>
          <w:bCs/>
          <w:color w:val="000000"/>
          <w:sz w:val="30"/>
          <w:szCs w:val="20"/>
          <w:highlight w:val="none"/>
        </w:rPr>
        <w:outlineLvl w:val="0"/>
      </w:pPr>
      <w:r/>
      <w:bookmarkStart w:id="131" w:name="_Toc12694"/>
      <w:r>
        <w:rPr>
          <w:rFonts w:hint="eastAsia" w:asciiTheme="minorEastAsia" w:hAnsiTheme="minorEastAsia" w:eastAsiaTheme="minorEastAsia" w:cstheme="minorEastAsia"/>
          <w:b/>
          <w:color w:val="000000"/>
          <w:sz w:val="30"/>
          <w:szCs w:val="21"/>
          <w:highlight w:val="none"/>
        </w:rPr>
        <w:t xml:space="preserve">江苏省政府采购合同（货物）（合同编号）</w:t>
      </w:r>
      <w:bookmarkEnd w:id="131"/>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项目名称：                                       项目编号：</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甲方：（买方）_________</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乙方：（卖方）_________</w:t>
      </w:r>
      <w:r/>
    </w:p>
    <w:p>
      <w:pPr>
        <w:spacing w:line="360" w:lineRule="auto"/>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rPr>
        <w:t xml:space="preserve">甲、乙双方根据大洲设计咨询集团有限公司</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项目公开招标的结果，签署本合同。</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32" w:name="_Toc21074"/>
      <w:r>
        <w:rPr>
          <w:rFonts w:hint="eastAsia" w:asciiTheme="minorEastAsia" w:hAnsiTheme="minorEastAsia" w:eastAsiaTheme="minorEastAsia" w:cstheme="minorEastAsia"/>
          <w:b/>
          <w:color w:val="000000"/>
          <w:sz w:val="24"/>
          <w:szCs w:val="24"/>
          <w:highlight w:val="none"/>
        </w:rPr>
        <w:t xml:space="preserve">一、合同内容</w:t>
      </w:r>
      <w:bookmarkEnd w:id="132"/>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 标的名称：</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 标的质量：</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 标的数量（规模）：</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 履行时间（期限）：</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 履行地点：</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 履行方式：</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 包装方式：</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33" w:name="_Toc10312"/>
      <w:r>
        <w:rPr>
          <w:rFonts w:hint="eastAsia" w:asciiTheme="minorEastAsia" w:hAnsiTheme="minorEastAsia" w:eastAsiaTheme="minorEastAsia" w:cstheme="minorEastAsia"/>
          <w:b/>
          <w:color w:val="000000"/>
          <w:sz w:val="24"/>
          <w:szCs w:val="24"/>
          <w:highlight w:val="none"/>
        </w:rPr>
        <w:t xml:space="preserve">二、合同金额</w:t>
      </w:r>
      <w:bookmarkEnd w:id="133"/>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2.1 本合同金额为（大写）：_______圆（___元）人民币或其他币种。包含但不限于全部设备、材料备品备件、包装费、运杂费（运抵现场）、卸货费、现场保管费、运输保险费、成品保护费、安装费、调试费、售后服务、培训费、运行维护费用、税金、国际国内运输保险、报关清关、开证、办理全套免税手续费用及其他有关的为完成本项目发生的所有费用。</w:t>
      </w:r>
      <w:r/>
    </w:p>
    <w:p>
      <w:pPr>
        <w:pStyle w:val="846"/>
        <w:ind w:firstLine="480"/>
        <w:spacing w:line="360" w:lineRule="auto"/>
        <w:rPr>
          <w:rFonts w:eastAsiaTheme="minorEastAsia"/>
          <w:highlight w:val="none"/>
        </w:rPr>
      </w:pPr>
      <w:r>
        <w:rPr>
          <w:rFonts w:hint="eastAsia" w:asciiTheme="minorEastAsia" w:hAnsiTheme="minorEastAsia" w:eastAsiaTheme="minorEastAsia" w:cstheme="minorEastAsia"/>
          <w:color w:val="000000"/>
          <w:sz w:val="24"/>
          <w:szCs w:val="24"/>
          <w:highlight w:val="none"/>
        </w:rPr>
        <w:t xml:space="preserve">2.2乙方须接入整合现有76路监控点位，对接涉及的设备升级改造、服务期内流量卡费用已包含在投标报价中，甲方不再另行支付。</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34" w:name="_Toc21078"/>
      <w:r>
        <w:rPr>
          <w:rFonts w:hint="eastAsia" w:asciiTheme="minorEastAsia" w:hAnsiTheme="minorEastAsia" w:eastAsiaTheme="minorEastAsia" w:cstheme="minorEastAsia"/>
          <w:b/>
          <w:color w:val="000000"/>
          <w:sz w:val="24"/>
          <w:szCs w:val="24"/>
          <w:highlight w:val="none"/>
        </w:rPr>
        <w:t xml:space="preserve">三、技术资料</w:t>
      </w:r>
      <w:bookmarkEnd w:id="134"/>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3.1乙方应按招标文件规定的时间向甲方提供使用货物</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包含与货物相关的服务</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的有关技术资料。</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35" w:name="_Toc4875"/>
      <w:r>
        <w:rPr>
          <w:rFonts w:hint="eastAsia" w:asciiTheme="minorEastAsia" w:hAnsiTheme="minorEastAsia" w:eastAsiaTheme="minorEastAsia" w:cstheme="minorEastAsia"/>
          <w:b/>
          <w:color w:val="000000"/>
          <w:sz w:val="24"/>
          <w:szCs w:val="24"/>
          <w:highlight w:val="none"/>
        </w:rPr>
        <w:t xml:space="preserve">四、知识产权</w:t>
      </w:r>
      <w:bookmarkEnd w:id="135"/>
      <w:r/>
      <w:r/>
    </w:p>
    <w:p>
      <w:pPr>
        <w:ind w:firstLine="480"/>
        <w:spacing w:line="360" w:lineRule="auto"/>
        <w:rPr>
          <w:rFonts w:asciiTheme="minorEastAsia" w:hAnsiTheme="minorEastAsia" w:eastAsiaTheme="minorEastAsia" w:cstheme="minorEastAsia"/>
          <w:color w:val="000000"/>
          <w:sz w:val="24"/>
          <w:szCs w:val="21"/>
          <w:highlight w:val="none"/>
        </w:rPr>
      </w:pPr>
      <w:r>
        <w:rPr>
          <w:rFonts w:hint="eastAsia" w:asciiTheme="minorEastAsia" w:hAnsiTheme="minorEastAsia" w:eastAsiaTheme="minorEastAsia" w:cstheme="minorEastAsia"/>
          <w:color w:val="000000"/>
          <w:sz w:val="24"/>
          <w:szCs w:val="24"/>
          <w:highlight w:val="none"/>
        </w:rPr>
        <w:t xml:space="preserve">4.1乙</w:t>
      </w:r>
      <w:r>
        <w:rPr>
          <w:rFonts w:hint="eastAsia" w:asciiTheme="minorEastAsia" w:hAnsiTheme="minorEastAsia" w:eastAsiaTheme="minorEastAsia" w:cstheme="minorEastAsia"/>
          <w:color w:val="000000"/>
          <w:sz w:val="24"/>
          <w:szCs w:val="21"/>
          <w:highlight w:val="none"/>
        </w:rPr>
        <w:t xml:space="preserve">方应保证甲方在使用、接受本合同货物</w:t>
      </w:r>
      <w:r>
        <w:rPr>
          <w:rFonts w:hint="eastAsia" w:asciiTheme="minorEastAsia" w:hAnsiTheme="minorEastAsia" w:eastAsiaTheme="minorEastAsia" w:cstheme="minorEastAsia"/>
          <w:color w:val="000000"/>
          <w:sz w:val="24"/>
          <w:szCs w:val="24"/>
          <w:highlight w:val="none"/>
        </w:rPr>
        <w:t xml:space="preserve">（包含与货物相关的服务）</w:t>
      </w:r>
      <w:r>
        <w:rPr>
          <w:rFonts w:hint="eastAsia" w:asciiTheme="minorEastAsia" w:hAnsiTheme="minorEastAsia" w:eastAsiaTheme="minorEastAsia" w:cstheme="minorEastAsia"/>
          <w:color w:val="000000"/>
          <w:sz w:val="24"/>
          <w:szCs w:val="21"/>
          <w:highlight w:val="none"/>
        </w:rPr>
        <w:t xml:space="preserve">或其任何一部分时不受第三方提出侵犯其专利权、版权、商标权和工业设计权等知识产权的起诉。一旦出现侵权，由乙方负全部责任。</w:t>
      </w:r>
      <w:r/>
    </w:p>
    <w:p>
      <w:pPr>
        <w:ind w:firstLine="482"/>
        <w:spacing w:line="360" w:lineRule="auto"/>
        <w:rPr>
          <w:rFonts w:asciiTheme="minorEastAsia" w:hAnsiTheme="minorEastAsia" w:eastAsiaTheme="minorEastAsia" w:cstheme="minorEastAsia"/>
          <w:color w:val="000000"/>
          <w:sz w:val="24"/>
          <w:szCs w:val="24"/>
          <w:highlight w:val="none"/>
          <w:u w:val="single"/>
        </w:rPr>
        <w:outlineLvl w:val="0"/>
      </w:pPr>
      <w:r/>
      <w:bookmarkStart w:id="136" w:name="_Toc3139"/>
      <w:r>
        <w:rPr>
          <w:rFonts w:hint="eastAsia" w:asciiTheme="minorEastAsia" w:hAnsiTheme="minorEastAsia" w:eastAsiaTheme="minorEastAsia" w:cstheme="minorEastAsia"/>
          <w:b/>
          <w:color w:val="000000"/>
          <w:sz w:val="24"/>
          <w:szCs w:val="24"/>
          <w:highlight w:val="none"/>
        </w:rPr>
        <w:t xml:space="preserve">五、产权担保</w:t>
      </w:r>
      <w:bookmarkEnd w:id="136"/>
      <w:r/>
      <w:r/>
    </w:p>
    <w:p>
      <w:pPr>
        <w:ind w:firstLine="480"/>
        <w:spacing w:line="360" w:lineRule="auto"/>
        <w:rPr>
          <w:rFonts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5.1 乙方保证所交付的货物（包含与货物相关的服务）的所有权完全属于乙方且无任何抵押、查封等产权瑕疵。</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37" w:name="_Toc18115"/>
      <w:r>
        <w:rPr>
          <w:rFonts w:hint="eastAsia" w:asciiTheme="minorEastAsia" w:hAnsiTheme="minorEastAsia" w:eastAsiaTheme="minorEastAsia" w:cstheme="minorEastAsia"/>
          <w:b/>
          <w:color w:val="000000"/>
          <w:sz w:val="24"/>
          <w:szCs w:val="24"/>
          <w:highlight w:val="none"/>
        </w:rPr>
        <w:t xml:space="preserve">六、履约保证金</w:t>
      </w:r>
      <w:bookmarkEnd w:id="137"/>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6.1 乙方交纳合同金额的</w:t>
      </w:r>
      <w:r>
        <w:rPr>
          <w:rFonts w:hint="eastAsia" w:asciiTheme="minorEastAsia" w:hAnsiTheme="minorEastAsia" w:eastAsiaTheme="minorEastAsia" w:cstheme="minorEastAsia"/>
          <w:sz w:val="24"/>
          <w:szCs w:val="24"/>
          <w:highlight w:val="none"/>
          <w:u w:val="single"/>
        </w:rPr>
        <w:t xml:space="preserve">10%</w:t>
      </w:r>
      <w:r>
        <w:rPr>
          <w:rFonts w:hint="eastAsia" w:asciiTheme="minorEastAsia" w:hAnsiTheme="minorEastAsia" w:eastAsiaTheme="minorEastAsia" w:cstheme="minorEastAsia"/>
          <w:sz w:val="24"/>
          <w:szCs w:val="24"/>
          <w:highlight w:val="none"/>
        </w:rPr>
        <w:t xml:space="preserve">作为本合同的履约保证金。</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6.2合同履行结束后，甲方应及时退还交纳的履约保证金。</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6.2.1履约保证金缴纳的方式：以支票、汇票、本票或者金融机构、担保机构出具的保函等非现金形式提交。</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6.2.2履约保证金退还时间：履约完成后10个工作日内。</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6.2.3履约保证金退还条件：中标人义务履行完毕止。</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6.2.4履约保证金不予退还的情形：</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不能按期到货、技术参数不能满足要求无法验收的等违约事项，采购人将按照合同约定扣除其全部或部分履约保证金。如供应商违约给采购人造成的损失超过履约保证金的，应当依法赔偿超过部分的损失。</w:t>
      </w:r>
      <w:r/>
    </w:p>
    <w:p>
      <w:pPr>
        <w:ind w:firstLine="480"/>
        <w:spacing w:line="360" w:lineRule="auto"/>
        <w:rPr>
          <w:rFonts w:asciiTheme="minorEastAsia" w:hAnsiTheme="minorEastAsia" w:eastAsiaTheme="minorEastAsia" w:cstheme="minorEastAsia"/>
          <w:color w:val="0000ff"/>
          <w:sz w:val="24"/>
          <w:szCs w:val="24"/>
          <w:highlight w:val="none"/>
        </w:rPr>
      </w:pPr>
      <w:r>
        <w:rPr>
          <w:rFonts w:hint="eastAsia" w:asciiTheme="minorEastAsia" w:hAnsiTheme="minorEastAsia" w:eastAsiaTheme="minorEastAsia" w:cstheme="minorEastAsia"/>
          <w:sz w:val="24"/>
          <w:szCs w:val="24"/>
          <w:highlight w:val="none"/>
        </w:rPr>
        <w:t xml:space="preserve">（2）未经采购人同意，供应商不得采用分包的形式履行合同，否则采购人有权终止合同，供应商的履约保证金将不予退还。转包或分包造成采购人损失的，供应商应承担相应赔偿责任。</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38" w:name="_Toc23614"/>
      <w:r>
        <w:rPr>
          <w:rFonts w:hint="eastAsia" w:asciiTheme="minorEastAsia" w:hAnsiTheme="minorEastAsia" w:eastAsiaTheme="minorEastAsia" w:cstheme="minorEastAsia"/>
          <w:b/>
          <w:color w:val="000000"/>
          <w:sz w:val="24"/>
          <w:szCs w:val="24"/>
          <w:highlight w:val="none"/>
        </w:rPr>
        <w:t xml:space="preserve">七、合同转包或分包</w:t>
      </w:r>
      <w:bookmarkEnd w:id="138"/>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7.1乙方不得将合同标的转包给他人履行。</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7.2未经采购人同意，乙方不得将合同标的分包给他人履行。</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7.3乙方如有转包或未经甲方同意的分包行为，甲方有权给予终止合同。</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39" w:name="_Toc26252"/>
      <w:r>
        <w:rPr>
          <w:rFonts w:hint="eastAsia" w:asciiTheme="minorEastAsia" w:hAnsiTheme="minorEastAsia" w:eastAsiaTheme="minorEastAsia" w:cstheme="minorEastAsia"/>
          <w:b/>
          <w:color w:val="000000"/>
          <w:sz w:val="24"/>
          <w:szCs w:val="24"/>
          <w:highlight w:val="none"/>
        </w:rPr>
        <w:t xml:space="preserve">八、合同款项支付</w:t>
      </w:r>
      <w:bookmarkEnd w:id="139"/>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8.1合同款项的支付方式及进度安排</w:t>
      </w:r>
      <w:r/>
    </w:p>
    <w:p>
      <w:pPr>
        <w:ind w:firstLine="480"/>
        <w:spacing w:line="360" w:lineRule="auto"/>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8.1.1 付款方式：</w:t>
      </w:r>
      <w:r>
        <w:rPr>
          <w:rFonts w:ascii="宋体" w:hAnsi="宋体" w:eastAsia="宋体" w:cs="宋体"/>
          <w:b/>
          <w:bCs/>
          <w:sz w:val="24"/>
          <w:szCs w:val="24"/>
          <w:highlight w:val="none"/>
        </w:rPr>
        <w:t xml:space="preserve">合同签订后，供应商提交银行或专业担保机构出具的等额预付款保函（保函有效期覆盖至设备到货阶段），并提供对应金额合法有效发票。采购人收到全部资料并审核无误后 10 个工作日内，支付合同总价 30% 作为预付款。项目所需全部硬件设备到货进场，经采购人清点核验、确认无误后，支付至合同价款总额 50%（含前期已付预付款）；所有设备安装调试完成并通过验收后，一次性付清剩余合同款项。</w:t>
      </w:r>
      <w:r>
        <w:rPr>
          <w:rStyle w:val="848"/>
          <w:rFonts w:ascii="宋体" w:hAnsi="宋体" w:eastAsia="宋体" w:cs="宋体"/>
          <w:b/>
          <w:bCs/>
          <w:sz w:val="24"/>
          <w:szCs w:val="24"/>
          <w:highlight w:val="none"/>
        </w:rPr>
        <w:t xml:space="preserve">各阶段付款前，供应商均应按规定开具合法有效发票，发票资料不齐或不符合要求的，付款时间顺延，采购人不承担逾期付款责任。</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40" w:name="_Toc23122"/>
      <w:r>
        <w:rPr>
          <w:rFonts w:hint="eastAsia" w:asciiTheme="minorEastAsia" w:hAnsiTheme="minorEastAsia" w:eastAsiaTheme="minorEastAsia" w:cstheme="minorEastAsia"/>
          <w:b/>
          <w:color w:val="000000"/>
          <w:sz w:val="24"/>
          <w:szCs w:val="24"/>
          <w:highlight w:val="none"/>
        </w:rPr>
        <w:t xml:space="preserve">九、税费</w:t>
      </w:r>
      <w:bookmarkEnd w:id="140"/>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9.1本合同执行中相关的一切税费均由乙方负担。</w:t>
      </w:r>
      <w:r/>
    </w:p>
    <w:p>
      <w:pPr>
        <w:ind w:firstLine="482"/>
        <w:spacing w:line="360" w:lineRule="auto"/>
        <w:rPr>
          <w:rFonts w:asciiTheme="minorEastAsia" w:hAnsiTheme="minorEastAsia" w:eastAsiaTheme="minorEastAsia" w:cstheme="minorEastAsia"/>
          <w:color w:val="000000"/>
          <w:sz w:val="24"/>
          <w:szCs w:val="24"/>
          <w:highlight w:val="none"/>
        </w:rPr>
        <w:outlineLvl w:val="0"/>
      </w:pPr>
      <w:r/>
      <w:bookmarkStart w:id="141" w:name="_Toc11807"/>
      <w:r>
        <w:rPr>
          <w:rFonts w:hint="eastAsia" w:asciiTheme="minorEastAsia" w:hAnsiTheme="minorEastAsia" w:eastAsiaTheme="minorEastAsia" w:cstheme="minorEastAsia"/>
          <w:b/>
          <w:color w:val="000000"/>
          <w:sz w:val="24"/>
          <w:szCs w:val="24"/>
          <w:highlight w:val="none"/>
        </w:rPr>
        <w:t xml:space="preserve">十、质量保修范围和保修期及售后服务</w:t>
      </w:r>
      <w:bookmarkEnd w:id="141"/>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10.1 乙方应按招标文件规定的货物性能、技术要求、质量标准向甲方提供未经使用的全新产品。</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⑴更换：由乙方承担所发生的全部费用。</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⑵贬值处理：由甲乙双方合议定价。</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⑶退货处理：乙方应退还甲方支付的合同款，同时应承担该货物的直接费用（运输、保险、检验、货款利息及银行手续费等）。</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10.3该项目要求提供运维期内的设备维保和系统7*24小时的服务，保证系统安全可靠运行。在运维期内，一旦发生质量问题，中标人应在接到通知后的4小时内进行响应组织人员到现场进行检修，确因产品本身质量问题的，中标人组织人员进行维修、更换，费用由中标人负责。出现故障 12小时不能修复的，免费提供同等功能的产品供采购人使用，直至故障修复。运维期期内，能根据采购人要求提供足量维修工具及相应配件。</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10.4要求设备运行期间，用户做好运行记录，一旦出现问题，有专门技术工程师及时进行解决；同时指导用户对设备的熟悉、操作使用及故障排除；做好设备运行记录，完成技术转移和平滑过渡。</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42" w:name="_Toc12232"/>
      <w:r>
        <w:rPr>
          <w:rFonts w:hint="eastAsia" w:asciiTheme="minorEastAsia" w:hAnsiTheme="minorEastAsia" w:eastAsiaTheme="minorEastAsia" w:cstheme="minorEastAsia"/>
          <w:b/>
          <w:color w:val="000000"/>
          <w:sz w:val="24"/>
          <w:szCs w:val="24"/>
          <w:highlight w:val="none"/>
        </w:rPr>
        <w:t xml:space="preserve">十一、项目验收</w:t>
      </w:r>
      <w:bookmarkEnd w:id="142"/>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11.1 甲方对乙方提交的货物依据招标文件上的技术规格要求和国家有关质量标准进行现场初步验收。</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11.2乙方交货前应对产品作出全面检查和对验收文件进行整理，并列出清单，作为甲方收货验收和使用的技术条件依据，检验的结果应随货物交甲方。</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11.3甲方对乙方提供的货物在交付验收前，乙方需负责安装并培训甲方的使用操作人员，完成不少于 30 天试运行，提交试运行报告，上述工作完成后甲方应予最终验收。</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11.4对技术复杂的货物，甲方可请国家认可的专业 CMA/CNAS 检测机构参与初步验收及最终验收，并由其出具质量检测报告，费用由乙方承担。同时完成网络安全等级保护 2 级测评。</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11.5验收时乙方必须在现场，验收完毕后签署验收报告。</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11.6硬件设备验收要求：相关硬件设备安装完成后，提交设备清单及说明书等资料，供应商可申请进行硬件设备验收。采购人收到完整的材料后一个月内完成验收，形成验收意见，验收书双方共同签署。对于不满足要求的，提出整改，于整改完成后再重新进行验收，直至符合招标文件要求。</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11.7软件系统平台验收要求：相关软件系统平台部署完成后，提供软件使用说明书并组织相关培训，完成功能性、兼容性、稳定性验收，形成验收意见，验收书双方共同签署。对于不满足要求的，提出整改，于整改完成后再重新进行验收，直至符合招标文件要求。</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43" w:name="_Toc21581"/>
      <w:r>
        <w:rPr>
          <w:rFonts w:hint="eastAsia" w:asciiTheme="minorEastAsia" w:hAnsiTheme="minorEastAsia" w:eastAsiaTheme="minorEastAsia" w:cstheme="minorEastAsia"/>
          <w:b/>
          <w:color w:val="000000"/>
          <w:sz w:val="24"/>
          <w:szCs w:val="24"/>
          <w:highlight w:val="none"/>
        </w:rPr>
        <w:t xml:space="preserve">十二、货物的包装、发运及运输</w:t>
      </w:r>
      <w:bookmarkEnd w:id="143"/>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12.1 乙方应在货物发运前对其进行满足运输距离、防潮、防震、防锈和防破损装卸等要求包装，以保证货物安全运达甲方指定地点</w:t>
      </w:r>
      <w:r>
        <w:rPr>
          <w:rFonts w:hint="eastAsia" w:asciiTheme="minorEastAsia" w:hAnsiTheme="minorEastAsia" w:eastAsiaTheme="minorEastAsia" w:cstheme="minorEastAsia"/>
          <w:sz w:val="24"/>
          <w:szCs w:val="24"/>
          <w:highlight w:val="none"/>
        </w:rPr>
        <w:t xml:space="preserve">。乙方对货物的包装应符合《商品包装政府采购需求标准（试行）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快递包装政府采购需求标准（试行）》的规定。</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12.2 使用说明书、质量检验证明书、随配附件和工具以及清单一并附于货物内。</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 乙方在货物发运手续办理完毕后24小时内或货到甲方48小时前通知甲方，以准备接货。</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12.4 货物在交付甲方前发生的风险均由乙方负责。</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12.5 货物在规定的交付期限内由乙方送达甲方指定的地点视为交付，乙方同时需通知甲方货物已送达。</w:t>
      </w:r>
      <w:r/>
    </w:p>
    <w:p>
      <w:pPr>
        <w:ind w:firstLine="480"/>
        <w:spacing w:line="360" w:lineRule="auto"/>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十三、 保密与涉密信息管理</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13.1 乙方对项目实施过程中接触、获取的甲方业务数据、监控视频、火情信息、地理信息、林区敏感点位、内部业务资料等全部涉密及内部敏感信息负有保密义务，未经甲方书面许可，不得向任何第三方泄露、复制、传播、转借，不得用于本合同以外的任何用途。</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13.2 乙方应建立保密管理制度，对参与本项目的全部工作人员开展保密教育，签订保密协议；项目相关数据、资料不得私自拷贝、带出工作环境，项目结束后应按甲方要求销毁或交还全部涉密、敏感资料及副本，不得私自留存。</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13.3 如乙方及乙方人员发生泄密行为，乙方应当承担由此给甲方造成的全部经济损失及相应法律责任；甲方有权视情节采取扣除合同款项、终止合同、追究违约责任等处置措施。</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13.4 本保密义务不因本合同终止、解除而失效，长期持续有效。</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44" w:name="_Toc18481"/>
      <w:r>
        <w:rPr>
          <w:rFonts w:hint="eastAsia" w:asciiTheme="minorEastAsia" w:hAnsiTheme="minorEastAsia" w:eastAsiaTheme="minorEastAsia" w:cstheme="minorEastAsia"/>
          <w:b/>
          <w:color w:val="000000"/>
          <w:sz w:val="24"/>
          <w:szCs w:val="24"/>
          <w:highlight w:val="none"/>
        </w:rPr>
        <w:t xml:space="preserve">十四、违约责任</w:t>
      </w:r>
      <w:bookmarkEnd w:id="144"/>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14.1 甲方无正当理由拒收货物的，甲方向乙方偿付拒收货款总值</w:t>
      </w:r>
      <w:r>
        <w:rPr>
          <w:rFonts w:hint="eastAsia" w:asciiTheme="minorEastAsia" w:hAnsiTheme="minorEastAsia" w:eastAsiaTheme="minorEastAsia" w:cstheme="minorEastAsia"/>
          <w:sz w:val="24"/>
          <w:szCs w:val="24"/>
          <w:highlight w:val="none"/>
          <w:u w:val="single"/>
        </w:rPr>
        <w:t xml:space="preserve">百分之五</w:t>
      </w:r>
      <w:r>
        <w:rPr>
          <w:rFonts w:hint="eastAsia" w:asciiTheme="minorEastAsia" w:hAnsiTheme="minorEastAsia" w:eastAsiaTheme="minorEastAsia" w:cstheme="minorEastAsia"/>
          <w:color w:val="000000"/>
          <w:sz w:val="24"/>
          <w:szCs w:val="24"/>
          <w:highlight w:val="none"/>
        </w:rPr>
        <w:t xml:space="preserve">的违约金。</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14.2 甲方无故逾期验收和办理货款支付手续的，甲方应按逾期付款总额每日</w:t>
      </w:r>
      <w:r>
        <w:rPr>
          <w:rFonts w:hint="eastAsia" w:asciiTheme="minorEastAsia" w:hAnsiTheme="minorEastAsia" w:eastAsiaTheme="minorEastAsia" w:cstheme="minorEastAsia"/>
          <w:sz w:val="24"/>
          <w:szCs w:val="24"/>
          <w:highlight w:val="none"/>
          <w:u w:val="single"/>
        </w:rPr>
        <w:t xml:space="preserve">千分之五</w:t>
      </w:r>
      <w:r>
        <w:rPr>
          <w:rFonts w:hint="eastAsia" w:asciiTheme="minorEastAsia" w:hAnsiTheme="minorEastAsia" w:eastAsiaTheme="minorEastAsia" w:cstheme="minorEastAsia"/>
          <w:color w:val="000000"/>
          <w:sz w:val="24"/>
          <w:szCs w:val="24"/>
          <w:highlight w:val="none"/>
        </w:rPr>
        <w:t xml:space="preserve"> 向乙方支付违约金。</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14.3 乙方逾期交付货物的，乙方应按逾期交货总额每日</w:t>
      </w:r>
      <w:r>
        <w:rPr>
          <w:rFonts w:hint="eastAsia" w:asciiTheme="minorEastAsia" w:hAnsiTheme="minorEastAsia" w:eastAsiaTheme="minorEastAsia" w:cstheme="minorEastAsia"/>
          <w:color w:val="000000"/>
          <w:sz w:val="24"/>
          <w:szCs w:val="24"/>
          <w:highlight w:val="none"/>
          <w:u w:val="single"/>
        </w:rPr>
        <w:t xml:space="preserve">千分之五</w:t>
      </w:r>
      <w:r>
        <w:rPr>
          <w:rFonts w:hint="eastAsia" w:asciiTheme="minorEastAsia" w:hAnsiTheme="minorEastAsia" w:eastAsiaTheme="minorEastAsia" w:cstheme="minorEastAsia"/>
          <w:color w:val="000000"/>
          <w:sz w:val="24"/>
          <w:szCs w:val="24"/>
          <w:highlight w:val="none"/>
        </w:rPr>
        <w:t xml:space="preserve">向甲方支付违约金，由甲方从待付货款中扣除。逾期超过约定日期10个日历日不能交货并通过验收的，甲方可解除本合同。乙方因逾期交货或因其他违约行为导致甲方解除合同的，乙方应向甲方支付合同总值</w:t>
      </w:r>
      <w:r>
        <w:rPr>
          <w:rFonts w:hint="eastAsia" w:asciiTheme="minorEastAsia" w:hAnsiTheme="minorEastAsia" w:eastAsiaTheme="minorEastAsia" w:cstheme="minorEastAsia"/>
          <w:sz w:val="24"/>
          <w:szCs w:val="24"/>
          <w:highlight w:val="none"/>
          <w:u w:val="single"/>
        </w:rPr>
        <w:t xml:space="preserve">百分之五</w:t>
      </w:r>
      <w:r>
        <w:rPr>
          <w:rFonts w:hint="eastAsia" w:asciiTheme="minorEastAsia" w:hAnsiTheme="minorEastAsia" w:eastAsiaTheme="minorEastAsia" w:cstheme="minorEastAsia"/>
          <w:color w:val="000000"/>
          <w:sz w:val="24"/>
          <w:szCs w:val="24"/>
          <w:highlight w:val="none"/>
        </w:rPr>
        <w:t xml:space="preserve">的违约金，如造成甲方损失超过违约金的，超出部分由乙方继续承担赔偿责任。 </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45" w:name="_Toc28250"/>
      <w:r>
        <w:rPr>
          <w:rFonts w:hint="eastAsia" w:asciiTheme="minorEastAsia" w:hAnsiTheme="minorEastAsia" w:eastAsiaTheme="minorEastAsia" w:cstheme="minorEastAsia"/>
          <w:b/>
          <w:color w:val="000000"/>
          <w:sz w:val="24"/>
          <w:szCs w:val="24"/>
          <w:highlight w:val="none"/>
        </w:rPr>
        <w:t xml:space="preserve">十五、不可抗力事件处理</w:t>
      </w:r>
      <w:bookmarkEnd w:id="145"/>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15.1 在合同有效期内，任何一方因不可抗力事件导致不能履行合同，则合同履行期可延长，其延长期与不可抗力影响期相同。</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15.2 不可抗力事件发生后，应立即通知对方，并寄送有关权威机构出具的证明。</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15.3 不可抗力事件延续120天以上，双方应通过友好协商，确定是否继续履行合同。</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46" w:name="_Toc17361"/>
      <w:r>
        <w:rPr>
          <w:rFonts w:hint="eastAsia" w:asciiTheme="minorEastAsia" w:hAnsiTheme="minorEastAsia" w:eastAsiaTheme="minorEastAsia" w:cstheme="minorEastAsia"/>
          <w:b/>
          <w:color w:val="000000"/>
          <w:sz w:val="24"/>
          <w:szCs w:val="24"/>
          <w:highlight w:val="none"/>
        </w:rPr>
        <w:t xml:space="preserve">十六、解决争议的方法</w:t>
      </w:r>
      <w:bookmarkEnd w:id="146"/>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16.1甲乙双方因合同签订、履行而发生的一切争议，应通过友好协商解决。如协商不成由甲方住所地人民法院管辖。</w:t>
      </w:r>
      <w:r/>
    </w:p>
    <w:p>
      <w:pPr>
        <w:ind w:firstLine="482"/>
        <w:spacing w:line="360" w:lineRule="auto"/>
        <w:rPr>
          <w:rFonts w:asciiTheme="minorEastAsia" w:hAnsiTheme="minorEastAsia" w:eastAsiaTheme="minorEastAsia" w:cstheme="minorEastAsia"/>
          <w:b/>
          <w:color w:val="000000"/>
          <w:sz w:val="24"/>
          <w:szCs w:val="24"/>
          <w:highlight w:val="none"/>
        </w:rPr>
        <w:outlineLvl w:val="0"/>
      </w:pPr>
      <w:r/>
      <w:bookmarkStart w:id="147" w:name="_Toc17222"/>
      <w:r>
        <w:rPr>
          <w:rFonts w:hint="eastAsia" w:asciiTheme="minorEastAsia" w:hAnsiTheme="minorEastAsia" w:eastAsiaTheme="minorEastAsia" w:cstheme="minorEastAsia"/>
          <w:b/>
          <w:color w:val="000000"/>
          <w:sz w:val="24"/>
          <w:szCs w:val="24"/>
          <w:highlight w:val="none"/>
        </w:rPr>
        <w:t xml:space="preserve">十七、合同生效及其他</w:t>
      </w:r>
      <w:bookmarkEnd w:id="147"/>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17.1 合同经双方法定代表人或授权委托代表人签字并加盖单位公章后生效。</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17.2 本合同未尽事宜，遵照《民法典》《政府采购法</w:t>
      </w:r>
      <w:r>
        <w:rPr>
          <w:rFonts w:hint="eastAsia" w:asciiTheme="minorEastAsia" w:hAnsiTheme="minorEastAsia" w:eastAsiaTheme="minorEastAsia" w:cstheme="minorEastAsia"/>
          <w:color w:val="000000"/>
          <w:sz w:val="24"/>
          <w:szCs w:val="24"/>
          <w:highlight w:val="none"/>
          <w:lang w:eastAsia="zh-CN"/>
        </w:rPr>
        <w:t xml:space="preserve">》等</w:t>
      </w:r>
      <w:r>
        <w:rPr>
          <w:rFonts w:hint="eastAsia" w:asciiTheme="minorEastAsia" w:hAnsiTheme="minorEastAsia" w:eastAsiaTheme="minorEastAsia" w:cstheme="minorEastAsia"/>
          <w:color w:val="000000"/>
          <w:sz w:val="24"/>
          <w:szCs w:val="24"/>
          <w:highlight w:val="none"/>
        </w:rPr>
        <w:t xml:space="preserve">有关条文执行。</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17.3 本合同正本一式六份，具有同等法律效力，甲方、乙方各执二份，</w:t>
      </w:r>
      <w:r>
        <w:rPr>
          <w:rFonts w:hint="eastAsia" w:asciiTheme="minorEastAsia" w:hAnsiTheme="minorEastAsia" w:eastAsiaTheme="minorEastAsia" w:cstheme="minorEastAsia"/>
          <w:sz w:val="24"/>
          <w:szCs w:val="24"/>
          <w:highlight w:val="none"/>
        </w:rPr>
        <w:t xml:space="preserve">财政监督管理部门及见证方各执</w:t>
      </w:r>
      <w:r>
        <w:rPr>
          <w:rFonts w:hint="eastAsia" w:asciiTheme="minorEastAsia" w:hAnsiTheme="minorEastAsia" w:eastAsiaTheme="minorEastAsia" w:cstheme="minorEastAsia"/>
          <w:color w:val="000000"/>
          <w:sz w:val="24"/>
          <w:szCs w:val="24"/>
          <w:highlight w:val="none"/>
        </w:rPr>
        <w:t xml:space="preserve">一份。</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甲方：                        乙方： </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地址：                        地址： </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法定代表人或授权代表：        法定代表人或授权代表：</w:t>
      </w:r>
      <w:r/>
    </w:p>
    <w:p>
      <w:pPr>
        <w:ind w:firstLine="72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 w:val="24"/>
          <w:szCs w:val="24"/>
          <w:highlight w:val="none"/>
        </w:rPr>
        <w:t xml:space="preserve">联系电话：                    联系电话：          </w:t>
      </w:r>
      <w:r>
        <w:rPr>
          <w:rFonts w:hint="eastAsia" w:asciiTheme="minorEastAsia" w:hAnsiTheme="minorEastAsia" w:eastAsiaTheme="minorEastAsia" w:cstheme="minorEastAsia"/>
          <w:color w:val="000000"/>
          <w:szCs w:val="21"/>
          <w:highlight w:val="none"/>
        </w:rPr>
        <w:t xml:space="preserve"> </w:t>
      </w:r>
      <w:r/>
    </w:p>
    <w:p>
      <w:pPr>
        <w:ind w:firstLine="72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签订日期：      年    月   日</w:t>
      </w:r>
      <w:bookmarkStart w:id="148" w:name="_Hlt16619369"/>
      <w:r/>
      <w:bookmarkEnd w:id="148"/>
      <w:r/>
      <w:r/>
    </w:p>
    <w:p>
      <w:pPr>
        <w:ind w:firstLine="720"/>
        <w:spacing w:line="360" w:lineRule="auto"/>
        <w:rPr>
          <w:rFonts w:asciiTheme="minorEastAsia" w:hAnsiTheme="minorEastAsia" w:eastAsiaTheme="minorEastAsia" w:cstheme="minorEastAsia"/>
          <w:bCs/>
          <w:color w:val="000000"/>
          <w:sz w:val="44"/>
          <w:szCs w:val="21"/>
          <w:highlight w:val="none"/>
        </w:rPr>
      </w:pPr>
      <w:r>
        <w:rPr>
          <w:rFonts w:hint="eastAsia" w:asciiTheme="minorEastAsia" w:hAnsiTheme="minorEastAsia" w:eastAsiaTheme="minorEastAsia" w:cstheme="minorEastAsia"/>
          <w:color w:val="000000"/>
          <w:sz w:val="24"/>
          <w:szCs w:val="24"/>
          <w:highlight w:val="none"/>
        </w:rPr>
        <w:t xml:space="preserve">见 证 方：大洲设计咨询集团有限公司 </w:t>
      </w:r>
      <w:bookmarkEnd w:id="126"/>
      <w:r/>
      <w:bookmarkEnd w:id="127"/>
      <w:r/>
      <w:bookmarkEnd w:id="128"/>
      <w:r/>
      <w:bookmarkStart w:id="149" w:name="_Hlt16619350"/>
      <w:r/>
      <w:bookmarkStart w:id="150" w:name="_Toc20823346"/>
      <w:r/>
      <w:bookmarkStart w:id="151" w:name="_Toc120614244"/>
      <w:r/>
      <w:bookmarkStart w:id="152" w:name="_Toc16938590"/>
      <w:r/>
      <w:bookmarkStart w:id="153" w:name="_Toc26554093"/>
      <w:r/>
      <w:bookmarkStart w:id="154" w:name="_Toc49090575"/>
      <w:r/>
      <w:r/>
    </w:p>
    <w:p>
      <w:pPr>
        <w:jc w:val="center"/>
        <w:spacing w:line="360" w:lineRule="auto"/>
        <w:rPr>
          <w:rFonts w:asciiTheme="minorEastAsia" w:hAnsiTheme="minorEastAsia" w:eastAsiaTheme="minorEastAsia" w:cstheme="minorEastAsia"/>
          <w:b/>
          <w:color w:val="000000"/>
          <w:sz w:val="32"/>
          <w:szCs w:val="32"/>
          <w:highlight w:val="none"/>
        </w:rPr>
        <w:outlineLvl w:val="0"/>
      </w:pPr>
      <w:r/>
      <w:bookmarkStart w:id="155" w:name="_Toc32330"/>
      <w:r>
        <w:rPr>
          <w:rFonts w:hint="eastAsia" w:asciiTheme="minorEastAsia" w:hAnsiTheme="minorEastAsia" w:eastAsiaTheme="minorEastAsia" w:cstheme="minorEastAsia"/>
          <w:b/>
          <w:color w:val="000000"/>
          <w:sz w:val="32"/>
          <w:szCs w:val="32"/>
          <w:highlight w:val="none"/>
        </w:rPr>
        <w:t xml:space="preserve">第</w:t>
      </w:r>
      <w:bookmarkEnd w:id="149"/>
      <w:r>
        <w:rPr>
          <w:rFonts w:hint="eastAsia" w:asciiTheme="minorEastAsia" w:hAnsiTheme="minorEastAsia" w:eastAsiaTheme="minorEastAsia" w:cstheme="minorEastAsia"/>
          <w:b/>
          <w:color w:val="000000"/>
          <w:sz w:val="32"/>
          <w:szCs w:val="32"/>
          <w:highlight w:val="none"/>
        </w:rPr>
        <w:t xml:space="preserve">四章 采购需求</w:t>
      </w:r>
      <w:bookmarkEnd w:id="150"/>
      <w:r/>
      <w:bookmarkEnd w:id="151"/>
      <w:r/>
      <w:bookmarkEnd w:id="152"/>
      <w:r/>
      <w:bookmarkEnd w:id="155"/>
      <w:r/>
      <w:r/>
    </w:p>
    <w:p>
      <w:pPr>
        <w:ind w:firstLine="482"/>
        <w:spacing w:line="360" w:lineRule="auto"/>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说明：本项目采购方式为公开招标，项目属性为货物，采购标的对应的中小企业划分标准所属行业具体详见货物（标的）采购清单。</w:t>
      </w:r>
      <w:r/>
    </w:p>
    <w:p>
      <w:pPr>
        <w:ind w:firstLine="482"/>
        <w:jc w:val="left"/>
        <w:spacing w:line="360" w:lineRule="auto"/>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szCs w:val="24"/>
          <w:highlight w:val="none"/>
          <w:lang w:eastAsia="zh-CN"/>
        </w:rPr>
        <w:t xml:space="preserve">1.</w:t>
      </w:r>
      <w:r>
        <w:rPr>
          <w:rFonts w:hint="eastAsia" w:asciiTheme="minorEastAsia" w:hAnsiTheme="minorEastAsia" w:eastAsiaTheme="minorEastAsia" w:cstheme="minorEastAsia"/>
          <w:b/>
          <w:bCs/>
          <w:sz w:val="24"/>
          <w:szCs w:val="24"/>
          <w:highlight w:val="none"/>
        </w:rPr>
        <w:t xml:space="preserve">本项目需求中标注</w:t>
      </w:r>
      <w:r>
        <w:rPr>
          <w:rFonts w:hint="eastAsia" w:asciiTheme="minorEastAsia" w:hAnsiTheme="minorEastAsia" w:eastAsiaTheme="minorEastAsia" w:cstheme="minorEastAsia"/>
          <w:b/>
          <w:bCs/>
          <w:i/>
          <w:iCs/>
          <w:color w:val="000000"/>
          <w:sz w:val="24"/>
          <w:szCs w:val="24"/>
          <w:highlight w:val="none"/>
          <w:u w:val="single"/>
        </w:rPr>
        <w:t xml:space="preserve">斜体且有下划线部分</w:t>
      </w:r>
      <w:r>
        <w:rPr>
          <w:rFonts w:hint="eastAsia" w:asciiTheme="minorEastAsia" w:hAnsiTheme="minorEastAsia" w:eastAsiaTheme="minorEastAsia" w:cstheme="minorEastAsia"/>
          <w:b/>
          <w:bCs/>
          <w:sz w:val="24"/>
          <w:szCs w:val="24"/>
          <w:highlight w:val="none"/>
        </w:rPr>
        <w:t xml:space="preserve">为实质性要求和条件，由采购人根据实际情况设置，投标人必须逐条明确作出满足或优于实质性要求和条件的响应，否则投标无效。</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eastAsia="zh-CN"/>
        </w:rPr>
        <w:t xml:space="preserve">2.</w:t>
      </w:r>
      <w:r>
        <w:rPr>
          <w:rFonts w:hint="eastAsia" w:asciiTheme="minorEastAsia" w:hAnsiTheme="minorEastAsia" w:eastAsiaTheme="minorEastAsia" w:cstheme="minorEastAsia"/>
          <w:color w:val="000000"/>
          <w:sz w:val="24"/>
          <w:szCs w:val="24"/>
          <w:highlight w:val="none"/>
        </w:rPr>
        <w:t xml:space="preserve">根</w:t>
      </w:r>
      <w:r>
        <w:rPr>
          <w:rFonts w:hint="eastAsia" w:asciiTheme="minorEastAsia" w:hAnsiTheme="minorEastAsia" w:eastAsiaTheme="minorEastAsia" w:cstheme="minorEastAsia"/>
          <w:color w:val="000000"/>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jc w:val="left"/>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color w:val="000000"/>
          <w:sz w:val="24"/>
          <w:szCs w:val="24"/>
          <w:highlight w:val="none"/>
        </w:rPr>
        <w:t xml:space="preserve">3.本项目核心产品为：5G智能球机</w:t>
      </w:r>
      <w:r>
        <w:rPr>
          <w:rFonts w:hint="eastAsia" w:asciiTheme="minorEastAsia" w:hAnsiTheme="minorEastAsia" w:eastAsiaTheme="minorEastAsia" w:cstheme="minorEastAsia"/>
          <w:sz w:val="24"/>
          <w:szCs w:val="24"/>
          <w:highlight w:val="none"/>
        </w:rPr>
        <w:t xml:space="preserve">。</w:t>
      </w:r>
      <w:r/>
    </w:p>
    <w:p>
      <w:pPr>
        <w:pStyle w:val="1135"/>
        <w:ind w:firstLine="482"/>
        <w:jc w:val="left"/>
        <w:spacing w:line="360" w:lineRule="auto"/>
        <w:rPr>
          <w:rFonts w:asciiTheme="minorEastAsia" w:hAnsiTheme="minorEastAsia" w:eastAsiaTheme="minorEastAsia" w:cstheme="minorEastAsia"/>
          <w:b/>
          <w:sz w:val="24"/>
          <w:highlight w:val="none"/>
        </w:rPr>
        <w:outlineLvl w:val="1"/>
      </w:pPr>
      <w:r>
        <w:rPr>
          <w:rFonts w:hint="eastAsia" w:asciiTheme="minorEastAsia" w:hAnsiTheme="minorEastAsia" w:eastAsiaTheme="minorEastAsia" w:cstheme="minorEastAsia"/>
          <w:b/>
          <w:sz w:val="24"/>
          <w:highlight w:val="none"/>
        </w:rPr>
        <w:t xml:space="preserve">一、项目概况</w:t>
      </w:r>
      <w:r/>
    </w:p>
    <w:p>
      <w:pPr>
        <w:ind w:firstLine="480"/>
        <w:spacing w:line="360" w:lineRule="auto"/>
        <w:rPr>
          <w:rFonts w:asciiTheme="minorEastAsia" w:hAnsiTheme="minorEastAsia" w:eastAsiaTheme="minorEastAsia" w:cstheme="minorEastAsia"/>
          <w:sz w:val="24"/>
          <w:szCs w:val="24"/>
          <w:highlight w:val="none"/>
        </w:rPr>
      </w:pPr>
      <w:r/>
      <w:bookmarkStart w:id="156" w:name="_Toc30318"/>
      <w:r>
        <w:rPr>
          <w:rFonts w:hint="eastAsia" w:asciiTheme="minorEastAsia" w:hAnsiTheme="minorEastAsia" w:eastAsiaTheme="minorEastAsia" w:cstheme="minorEastAsia"/>
          <w:sz w:val="24"/>
          <w:szCs w:val="24"/>
          <w:highlight w:val="none"/>
        </w:rPr>
        <w:t xml:space="preserve">云台山景区森林资源丰富，进山各类活动多、火险等级高，传统人工巡护存在监测盲区、处置滞后等问题，眼下受气候异常多变、森林植被增加、祭祀风俗盛行等多种因素的叠加影响，云台山景区森林火险等级居高不下，全面加强森林防火工作刻不容缓</w:t>
      </w:r>
      <w:r>
        <w:rPr>
          <w:rFonts w:hint="eastAsia" w:asciiTheme="minorEastAsia" w:hAnsiTheme="minorEastAsia" w:eastAsiaTheme="minorEastAsia" w:cstheme="minorEastAsia"/>
          <w:sz w:val="24"/>
          <w:szCs w:val="24"/>
          <w:highlight w:val="none"/>
        </w:rPr>
        <w:t xml:space="preserve">。为有效补齐森林防火监管短板，构建全天候、全覆盖、智能化的森林防火监测预警体系，本次项目拟建设覆盖云台街道九个行政村、南云台林场九岭片区进山通道等重点防火区域的智能监测点位，通过布设人车抓拍语音提醒立柱、监控摄像机及配套设施，彻底补齐山林偏远区域、视觉盲区的监测短板。同步接入云台街道现有存量监控资源，依托AI视频分析设备，高效实现火焰精准识别、烟雾智能研判、火情方位定位等核心智能研判功能，为景区森林防火日常巡查、隐患排查、火情早发现、早报告、早处置及常态化防火管控、应急调度、精准防控提供数据支撑和决策依据。</w:t>
      </w:r>
      <w:r/>
    </w:p>
    <w:p>
      <w:pPr>
        <w:ind w:firstLine="482"/>
        <w:jc w:val="left"/>
        <w:spacing w:line="360" w:lineRule="auto"/>
        <w:rPr>
          <w:rFonts w:asciiTheme="minorEastAsia" w:hAnsiTheme="minorEastAsia" w:eastAsiaTheme="minorEastAsia" w:cstheme="minorEastAsia"/>
          <w:b/>
          <w:bCs/>
          <w:sz w:val="24"/>
          <w:szCs w:val="24"/>
          <w:highlight w:val="none"/>
        </w:rPr>
      </w:pPr>
      <w:r/>
      <w:bookmarkStart w:id="157" w:name="_Toc5378"/>
      <w:r/>
      <w:bookmarkStart w:id="158" w:name="_Hlk170290317"/>
      <w:r/>
      <w:bookmarkStart w:id="159" w:name="_Toc182938123"/>
      <w:r/>
      <w:bookmarkStart w:id="160" w:name="_Toc163814342"/>
      <w:r/>
      <w:bookmarkStart w:id="161" w:name="_Toc163814804"/>
      <w:r/>
      <w:bookmarkStart w:id="162" w:name="_Hlk173314305"/>
      <w:r/>
      <w:bookmarkStart w:id="163" w:name="_Toc163814576"/>
      <w:r/>
      <w:bookmarkStart w:id="164" w:name="_Hlk173314388"/>
      <w:r/>
      <w:bookmarkStart w:id="165" w:name="_Toc163815502"/>
      <w:r/>
      <w:bookmarkStart w:id="166" w:name="_Toc170388728"/>
      <w:r/>
      <w:bookmarkStart w:id="167" w:name="_Toc184104842"/>
      <w:r>
        <w:rPr>
          <w:rFonts w:hint="eastAsia" w:asciiTheme="minorEastAsia" w:hAnsiTheme="minorEastAsia" w:eastAsiaTheme="minorEastAsia" w:cstheme="minorEastAsia"/>
          <w:b/>
          <w:bCs/>
          <w:sz w:val="24"/>
          <w:szCs w:val="24"/>
          <w:highlight w:val="none"/>
        </w:rPr>
        <w:t xml:space="preserve">二、项目现状</w:t>
      </w:r>
      <w:r/>
    </w:p>
    <w:p>
      <w:pPr>
        <w:ind w:firstLine="480"/>
        <w:jc w:val="left"/>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2.1现有点位梳理</w:t>
      </w:r>
      <w:bookmarkEnd w:id="157"/>
      <w:r/>
      <w:r/>
    </w:p>
    <w:tbl>
      <w:tblPr>
        <w:tblStyle w:val="823"/>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205"/>
        <w:gridCol w:w="2044"/>
        <w:gridCol w:w="4137"/>
        <w:gridCol w:w="2464"/>
      </w:tblGrid>
      <w:tr>
        <w:trPr>
          <w:jc w:val="center"/>
          <w:tblHead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b/>
                <w:color w:val="000000"/>
                <w:sz w:val="24"/>
                <w:szCs w:val="24"/>
                <w:highlight w:val="none"/>
              </w:rPr>
            </w:pPr>
            <w:r/>
            <w:bookmarkStart w:id="168" w:name="_Toc23907"/>
            <w:r>
              <w:rPr>
                <w:rFonts w:hint="eastAsia" w:asciiTheme="minorEastAsia" w:hAnsiTheme="minorEastAsia" w:eastAsiaTheme="minorEastAsia" w:cstheme="minorEastAsia"/>
                <w:b/>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37" w:type="pct"/>
            <w:vAlign w:val="center"/>
            <w:textDirection w:val="lrTb"/>
            <w:noWrap/>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bidi="ar"/>
              </w:rPr>
              <w:t xml:space="preserve">村居</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widowControl/>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bidi="ar"/>
              </w:rPr>
              <w:t xml:space="preserve">坐标</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西山村二道涧</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34.586455.</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119.242350</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二道涧卡口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34.585461.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119.244966</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西山与潭沟交界</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119.242701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34.594785</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西山村大洼</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119.245215</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34.590944</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西山村猫山</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34.565297</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119.253472</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西山村龙山头</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119.244320</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34.579138</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西山村杨沟</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119.246346</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34.592028</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丹霞村铁山头</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119.261151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34.595761</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丹霞潭沟</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34.594675.</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119.245844</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丹霞狮眼沟</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34.603292.</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119.243673</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丹霞大庙</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119.246057</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34.603669</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丹霞防火道</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119.245383</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34.608359</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丹霞村部后</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119.253485</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34.599679</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丹霞村部后2</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119.254683</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34.600439</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丹霞转盘西</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119.254481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34.599135</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丹霞转盘西2</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119.254595</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34.599529</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丹霞后山</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34.598236.</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119.255922</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丹霞后山2</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119.255211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34.598877</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丹霞铁山头2</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119.260655</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34.595721</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丹霞铁山头卡口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34.595080</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119.261706</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丹霞葫芦山</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34.586320.</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119.256334</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丹霞东窑山</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34.589648.</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119.269755</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前关村花果行山上</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119.262886</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34.606489</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前关村四十一组山上</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119.274432</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34.602327</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前关村五组</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119.261819</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34.600381</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前关四十一组卡口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34.595433,</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119.262735</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前关村五组卡口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34.600522.</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119.261348</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前关村西隅</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119.253465</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34.617972</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前关村西隅卡口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34.611921.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119.255162</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后关周公顶</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119.27657</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34.61791</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6号线路边</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119.259293</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34.614087</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后关虎窝</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34.613792.</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119.261705</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后关水库口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119.269094</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34.612993</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7A道闸口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34.613040.</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119.269110</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西山湾</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34.613870.</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119.267702</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小牛栏</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34.610661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119.270805</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樱桃酒厂后</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119.275317</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34.605914</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后涧</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119.276676</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34.605812</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后涧卡口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34.605978.</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119.276549</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鲤鱼山</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119.275631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34.599595</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凌州北山</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119.308532</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34.613246</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南山卡口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119.295578</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34.602904</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南山</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119.296481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34.602986</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五组片区1个</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119.290679</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34.601386</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刘荣军屋后1个</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119.294271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34.604468</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汪家坟墓祭拜台1个</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119.297083</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34.609551</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东山卡口1个</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119.302801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34.609301</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五组卡口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34.601327</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119.289637</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村部西山</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119.293319</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34.606226</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山东孔雀沟方向</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119.306897</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34.63098</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山东过江桥涧沟</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119.299606</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34.616534</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南山湾</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119.304611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34.608647</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山东东山</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34.621493.</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119.311711</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小山头</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119.301426</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34.623224</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老鼠窝</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119.305745</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34.625913</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东磊村沙僧路边</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119.335078</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34.630887</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小学西</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119.327106</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34.632253</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水库卡口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34.632471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119.323802</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小芹地</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34.633434</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119.325437</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大庙后</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119.320162</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34.638985</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大塘湾</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119.321691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34.622397</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渔湾果园</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119.345147</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34.640455</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防火道入口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119.332009</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34.636478</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果园卡口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34.636390.</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119.342611</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团山</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119.332679</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34.637651</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铁塔</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119.340119</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34.637121</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朱麻村</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朱麻后山</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119.371737</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34.653447</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南湾</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119.351489</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34.639061</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龙潭涧</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119.353148</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34.641504</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水库进山口</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34.642149</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119.354434</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小学西</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34.644222.</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119.355757</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黄泥塘</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119.358992</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34.649073</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凤凰村</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凤凰前山</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119.377621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34.644739</w:t>
            </w:r>
            <w:r/>
          </w:p>
        </w:tc>
      </w:tr>
      <w:tr>
        <w:trPr>
          <w:jc w:val="center"/>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74</w:t>
            </w:r>
            <w:r/>
          </w:p>
        </w:tc>
        <w:tc>
          <w:tcPr>
            <w:tcBorders>
              <w:top w:val="single" w:color="000000" w:sz="4" w:space="0"/>
              <w:left w:val="single" w:color="000000" w:sz="4" w:space="0"/>
              <w:bottom w:val="single" w:color="auto"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凤凰后山</w:t>
            </w:r>
            <w:r/>
          </w:p>
        </w:tc>
        <w:tc>
          <w:tcPr>
            <w:shd w:val="clear" w:color="auto" w:fill="ffffff"/>
            <w:tcBorders>
              <w:top w:val="single" w:color="000000" w:sz="4" w:space="0"/>
              <w:left w:val="single" w:color="000000" w:sz="4" w:space="0"/>
              <w:bottom w:val="single" w:color="auto" w:sz="4" w:space="0"/>
              <w:right w:val="single" w:color="000000"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119.377621</w:t>
            </w:r>
            <w:r>
              <w:rPr>
                <w:rFonts w:hint="eastAsia" w:asciiTheme="minorEastAsia" w:hAnsiTheme="minorEastAsia" w:eastAsiaTheme="minorEastAsia" w:cstheme="minorEastAsia"/>
                <w:color w:val="000000"/>
                <w:sz w:val="24"/>
                <w:szCs w:val="24"/>
                <w:highlight w:val="none"/>
                <w:lang w:bidi="ar"/>
              </w:rPr>
              <w:br/>
            </w:r>
            <w:r>
              <w:rPr>
                <w:rFonts w:hint="eastAsia" w:asciiTheme="minorEastAsia" w:hAnsiTheme="minorEastAsia" w:eastAsiaTheme="minorEastAsia" w:cstheme="minorEastAsia"/>
                <w:color w:val="000000"/>
                <w:sz w:val="24"/>
                <w:szCs w:val="24"/>
                <w:highlight w:val="none"/>
                <w:lang w:bidi="ar"/>
              </w:rPr>
              <w:t xml:space="preserve">34.644739</w:t>
            </w:r>
            <w:r/>
          </w:p>
        </w:tc>
      </w:tr>
      <w:tr>
        <w:trPr>
          <w:jc w:val="center"/>
        </w:trPr>
        <w:tc>
          <w:tcPr>
            <w:tcBorders>
              <w:top w:val="single" w:color="000000" w:sz="4" w:space="0"/>
              <w:left w:val="single" w:color="000000" w:sz="4" w:space="0"/>
              <w:bottom w:val="single" w:color="000000" w:sz="4" w:space="0"/>
              <w:right w:val="single" w:color="auto"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75</w:t>
            </w:r>
            <w:r/>
          </w:p>
        </w:tc>
        <w:tc>
          <w:tcPr>
            <w:tcBorders>
              <w:top w:val="single" w:color="auto" w:sz="4" w:space="0"/>
              <w:left w:val="single" w:color="auto" w:sz="4" w:space="0"/>
              <w:right w:val="single" w:color="000000" w:sz="4" w:space="0"/>
            </w:tcBorders>
            <w:tcW w:w="1037" w:type="pct"/>
            <w:vAlign w:val="center"/>
            <w:vMerge w:val="restart"/>
            <w:textDirection w:val="lrTb"/>
            <w:noWrap/>
          </w:tcPr>
          <w:p>
            <w:pPr>
              <w:jc w:val="center"/>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南云台林场九岭</w:t>
            </w:r>
            <w:r/>
          </w:p>
        </w:tc>
        <w:tc>
          <w:tcPr>
            <w:tcBorders>
              <w:top w:val="single" w:color="auto" w:sz="4" w:space="0"/>
              <w:left w:val="single" w:color="000000" w:sz="4" w:space="0"/>
              <w:bottom w:val="single" w:color="000000"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2"/>
                <w:highlight w:val="none"/>
                <w:lang w:bidi="ar"/>
              </w:rPr>
              <w:t xml:space="preserve">林场</w:t>
            </w:r>
            <w:r>
              <w:rPr>
                <w:rFonts w:hint="eastAsia" w:asciiTheme="minorEastAsia" w:hAnsiTheme="minorEastAsia" w:eastAsiaTheme="minorEastAsia" w:cstheme="minorEastAsia"/>
                <w:color w:val="000000"/>
                <w:sz w:val="22"/>
                <w:highlight w:val="none"/>
                <w:lang w:eastAsia="zh-CN" w:bidi="ar"/>
              </w:rPr>
              <w:t xml:space="preserve">－</w:t>
            </w:r>
            <w:r>
              <w:rPr>
                <w:rFonts w:hint="eastAsia" w:asciiTheme="minorEastAsia" w:hAnsiTheme="minorEastAsia" w:eastAsiaTheme="minorEastAsia" w:cstheme="minorEastAsia"/>
                <w:color w:val="000000"/>
                <w:sz w:val="22"/>
                <w:highlight w:val="none"/>
                <w:lang w:bidi="ar"/>
              </w:rPr>
              <w:t xml:space="preserve">仙姑顶</w:t>
            </w:r>
            <w:r/>
          </w:p>
        </w:tc>
        <w:tc>
          <w:tcPr>
            <w:tcBorders>
              <w:top w:val="single" w:color="auto" w:sz="4" w:space="0"/>
              <w:left w:val="single" w:color="000000" w:sz="4" w:space="0"/>
              <w:bottom w:val="single" w:color="000000" w:sz="4" w:space="0"/>
              <w:right w:val="single" w:color="auto"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w:t>
            </w:r>
            <w:r/>
          </w:p>
        </w:tc>
      </w:tr>
      <w:tr>
        <w:trPr>
          <w:jc w:val="center"/>
        </w:trPr>
        <w:tc>
          <w:tcPr>
            <w:tcBorders>
              <w:top w:val="single" w:color="000000" w:sz="4" w:space="0"/>
              <w:left w:val="single" w:color="000000" w:sz="4" w:space="0"/>
              <w:bottom w:val="single" w:color="000000" w:sz="4" w:space="0"/>
              <w:right w:val="single" w:color="auto" w:sz="4" w:space="0"/>
            </w:tcBorders>
            <w:tcW w:w="612" w:type="pct"/>
            <w:vAlign w:val="center"/>
            <w:textDirection w:val="lrTb"/>
            <w:noWrap/>
          </w:tcPr>
          <w:p>
            <w:pPr>
              <w:jc w:val="center"/>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76</w:t>
            </w:r>
            <w:r/>
          </w:p>
        </w:tc>
        <w:tc>
          <w:tcPr>
            <w:tcBorders>
              <w:left w:val="single" w:color="auto" w:sz="4" w:space="0"/>
              <w:bottom w:val="single" w:color="auto" w:sz="4" w:space="0"/>
              <w:right w:val="single" w:color="000000" w:sz="4" w:space="0"/>
            </w:tcBorders>
            <w:tcW w:w="1037" w:type="pct"/>
            <w:vAlign w:val="center"/>
            <w:vMerge w:val="continue"/>
            <w:textDirection w:val="lrTb"/>
            <w:noWrap/>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2099"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2"/>
                <w:highlight w:val="none"/>
                <w:lang w:bidi="ar"/>
              </w:rPr>
              <w:t xml:space="preserve">林场</w:t>
            </w:r>
            <w:r>
              <w:rPr>
                <w:rFonts w:hint="eastAsia" w:asciiTheme="minorEastAsia" w:hAnsiTheme="minorEastAsia" w:eastAsiaTheme="minorEastAsia" w:cstheme="minorEastAsia"/>
                <w:color w:val="000000"/>
                <w:sz w:val="22"/>
                <w:highlight w:val="none"/>
                <w:lang w:eastAsia="zh-CN" w:bidi="ar"/>
              </w:rPr>
              <w:t xml:space="preserve">－</w:t>
            </w:r>
            <w:r>
              <w:rPr>
                <w:rFonts w:hint="eastAsia" w:asciiTheme="minorEastAsia" w:hAnsiTheme="minorEastAsia" w:eastAsiaTheme="minorEastAsia" w:cstheme="minorEastAsia"/>
                <w:color w:val="000000"/>
                <w:sz w:val="22"/>
                <w:highlight w:val="none"/>
                <w:lang w:bidi="ar"/>
              </w:rPr>
              <w:t xml:space="preserve">大庙后</w:t>
            </w:r>
            <w:r/>
          </w:p>
        </w:tc>
        <w:tc>
          <w:tcPr>
            <w:tcBorders>
              <w:top w:val="single" w:color="000000" w:sz="4" w:space="0"/>
              <w:left w:val="single" w:color="000000" w:sz="4" w:space="0"/>
              <w:bottom w:val="single" w:color="auto" w:sz="4" w:space="0"/>
              <w:right w:val="single" w:color="auto" w:sz="4" w:space="0"/>
            </w:tcBorders>
            <w:tcW w:w="125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w:t>
            </w:r>
            <w:r/>
          </w:p>
        </w:tc>
      </w:tr>
    </w:tbl>
    <w:p>
      <w:pPr>
        <w:pStyle w:val="815"/>
        <w:ind w:firstLine="482"/>
        <w:spacing w:before="0" w:after="0" w:line="360" w:lineRule="auto"/>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2.2现有网络现状</w:t>
      </w:r>
      <w:bookmarkEnd w:id="168"/>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现有系统采用混合组网模式，街道74路监控依托公有云快速实现远程视频查看，林场森林防火11台防火云台一体机采用 VPN 专线专网回传，自建本地化防火预警业务体系，配套完整的存储、解码显示、安全边界及云值守能力；两套业务物理逻辑相互独立，分别满足社会面监控浏览与林场森林防火智能预警的业务需求，但两套系统分属不同平台，暂未实现统一管控。林场防火预警系统组网如下：</w:t>
      </w:r>
      <w:r/>
    </w:p>
    <w:p>
      <w:pP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5267325" cy="3048000"/>
                <wp:effectExtent l="0" t="0" r="952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5267325" cy="3048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240.0pt;mso-wrap-distance-left:0.0pt;mso-wrap-distance-top:0.0pt;mso-wrap-distance-right:0.0pt;mso-wrap-distance-bottom:0.0pt;" stroked="f">
                <v:path textboxrect="0,0,0,0"/>
                <v:imagedata r:id="rId15" o:title=""/>
              </v:shape>
            </w:pict>
          </mc:Fallback>
        </mc:AlternateContent>
      </w:r>
      <w:r/>
    </w:p>
    <w:p>
      <w:pPr>
        <w:numPr>
          <w:ilvl w:val="2"/>
          <w:numId w:val="0"/>
        </w:numPr>
        <w:ind w:firstLine="482"/>
        <w:keepLines/>
        <w:keepNext/>
        <w:spacing w:line="360" w:lineRule="auto"/>
        <w:rPr>
          <w:rFonts w:asciiTheme="minorEastAsia" w:hAnsiTheme="minorEastAsia" w:eastAsiaTheme="minorEastAsia" w:cstheme="minorEastAsia"/>
          <w:b/>
          <w:bCs/>
          <w:sz w:val="24"/>
          <w:szCs w:val="24"/>
          <w:highlight w:val="none"/>
        </w:rPr>
        <w:outlineLvl w:val="2"/>
      </w:pPr>
      <w:r/>
      <w:bookmarkStart w:id="169" w:name="_Toc13476"/>
      <w:r>
        <w:rPr>
          <w:rFonts w:hint="eastAsia" w:asciiTheme="minorEastAsia" w:hAnsiTheme="minorEastAsia" w:eastAsiaTheme="minorEastAsia" w:cstheme="minorEastAsia"/>
          <w:b/>
          <w:bCs/>
          <w:sz w:val="24"/>
          <w:szCs w:val="24"/>
          <w:highlight w:val="none"/>
        </w:rPr>
        <w:t xml:space="preserve">2.3组网现状描述</w:t>
      </w:r>
      <w:bookmarkEnd w:id="169"/>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前端点位部署 系统包含两类视频采集前端：一是云台街道共 74 路监控点位，采用 4G 卡无线传输方式，视频访问依托海康萤石云平台实现远程查看；二是林场区域共计 11 台云台一体机，作为森林防火感知前端，通过 VPN 专线完成数据回传，接入本地核心网络交换机。</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林场本地中心机房组网：林场本地机房部署核心交换设备，接收 11 台云台一体机经 VPN 专线汇聚回来的视频数据流。机房内部配置多套业务硬件：</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防火预警平台服务器：承载森林防火 AI 识别、预警分析业务，对回传视频做烟火识别、预警研判；</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存储节点：负责林场前端视频录像数据集中存储；</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解码拼控一体机：完成视频流解码、画面拼接输出，信号上送大屏显示，实现视频上墙；</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监控管理终端：作为本地操作工作站，供管理人员调阅实况、回放录像、处置预警告警。</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对外安全与云服务对接，机房出口部署防火墙做边界安全防护，一方面隔离内网业务区域，另一方面对接外部云值守服务，实现告警信息上云、远程运维值守能力。</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两套体系相互独立，云台街道 74 路 4G 监控走海康萤石云公有云体系，和林场 VPN 专线</w:t>
      </w:r>
      <w:r>
        <w:rPr>
          <w:rFonts w:hint="eastAsia" w:asciiTheme="minorEastAsia" w:hAnsiTheme="minorEastAsia" w:eastAsiaTheme="minorEastAsia" w:cstheme="minorEastAsia"/>
          <w:sz w:val="24"/>
          <w:szCs w:val="24"/>
          <w:highlight w:val="none"/>
        </w:rPr>
        <w:noBreakHyphen/>
      </w:r>
      <w:r>
        <w:rPr>
          <w:rFonts w:hint="eastAsia" w:asciiTheme="minorEastAsia" w:hAnsiTheme="minorEastAsia" w:eastAsiaTheme="minorEastAsia" w:cstheme="minorEastAsia"/>
          <w:sz w:val="24"/>
          <w:szCs w:val="24"/>
          <w:highlight w:val="none"/>
        </w:rPr>
        <w:t xml:space="preserve">本地防火预警平台为两套独立业务链路；林场 11 路云台一体机不经过萤石云，全部数据走 VPN 专线回传林场本地机房，由林场防火预警平台完成视频接收、智能分析、存储、上墙、告警处置。</w:t>
      </w:r>
      <w:bookmarkEnd w:id="158"/>
      <w:r/>
      <w:bookmarkEnd w:id="159"/>
      <w:r/>
      <w:bookmarkEnd w:id="160"/>
      <w:r/>
      <w:bookmarkEnd w:id="161"/>
      <w:r/>
      <w:bookmarkEnd w:id="162"/>
      <w:r/>
      <w:bookmarkEnd w:id="163"/>
      <w:r/>
      <w:bookmarkEnd w:id="164"/>
      <w:r/>
      <w:bookmarkEnd w:id="165"/>
      <w:r/>
      <w:bookmarkEnd w:id="166"/>
      <w:r/>
      <w:bookmarkEnd w:id="167"/>
      <w:r/>
      <w:r/>
    </w:p>
    <w:p>
      <w:pPr>
        <w:pStyle w:val="813"/>
        <w:ind w:firstLine="482"/>
        <w:spacing w:before="0" w:after="0" w:line="360" w:lineRule="auto"/>
        <w:rPr>
          <w:rFonts w:asciiTheme="minorEastAsia" w:hAnsiTheme="minorEastAsia" w:eastAsiaTheme="minorEastAsia" w:cstheme="minorEastAsia"/>
          <w:b/>
          <w:bCs/>
          <w:sz w:val="24"/>
          <w:szCs w:val="24"/>
          <w:highlight w:val="none"/>
        </w:rPr>
      </w:pPr>
      <w:r/>
      <w:bookmarkStart w:id="170" w:name="_Toc182938144"/>
      <w:r/>
      <w:bookmarkStart w:id="171" w:name="_Toc163815522"/>
      <w:r/>
      <w:bookmarkStart w:id="172" w:name="_Toc163814362"/>
      <w:r/>
      <w:bookmarkStart w:id="173" w:name="_Toc8638"/>
      <w:r/>
      <w:bookmarkStart w:id="174" w:name="_Toc163814596"/>
      <w:r/>
      <w:bookmarkStart w:id="175" w:name="_Toc184104863"/>
      <w:r/>
      <w:bookmarkStart w:id="176" w:name="_Toc170388784"/>
      <w:r/>
      <w:bookmarkStart w:id="177" w:name="_Toc163814824"/>
      <w:r>
        <w:rPr>
          <w:rFonts w:hint="eastAsia" w:asciiTheme="minorEastAsia" w:hAnsiTheme="minorEastAsia" w:eastAsiaTheme="minorEastAsia" w:cstheme="minorEastAsia"/>
          <w:b/>
          <w:bCs/>
          <w:sz w:val="24"/>
          <w:szCs w:val="24"/>
          <w:highlight w:val="none"/>
        </w:rPr>
        <w:t xml:space="preserve">2.5</w:t>
      </w:r>
      <w:bookmarkEnd w:id="170"/>
      <w:r/>
      <w:bookmarkEnd w:id="171"/>
      <w:r/>
      <w:bookmarkEnd w:id="172"/>
      <w:r/>
      <w:bookmarkEnd w:id="173"/>
      <w:r/>
      <w:bookmarkEnd w:id="174"/>
      <w:r/>
      <w:bookmarkEnd w:id="175"/>
      <w:r/>
      <w:bookmarkEnd w:id="176"/>
      <w:r/>
      <w:bookmarkEnd w:id="177"/>
      <w:r/>
      <w:bookmarkStart w:id="178" w:name="_Toc163814363"/>
      <w:r/>
      <w:bookmarkStart w:id="179" w:name="_Toc170388785"/>
      <w:r/>
      <w:bookmarkStart w:id="180" w:name="_Toc163814597"/>
      <w:r/>
      <w:bookmarkStart w:id="181" w:name="_Toc163815523"/>
      <w:r/>
      <w:bookmarkStart w:id="182" w:name="_Toc184104864"/>
      <w:r/>
      <w:bookmarkStart w:id="183" w:name="_Toc18776"/>
      <w:r/>
      <w:bookmarkStart w:id="184" w:name="_Toc163814825"/>
      <w:r/>
      <w:bookmarkStart w:id="185" w:name="_Toc182938145"/>
      <w:r>
        <w:rPr>
          <w:rFonts w:hint="eastAsia" w:asciiTheme="minorEastAsia" w:hAnsiTheme="minorEastAsia" w:eastAsiaTheme="minorEastAsia" w:cstheme="minorEastAsia"/>
          <w:b/>
          <w:bCs/>
          <w:sz w:val="24"/>
          <w:szCs w:val="24"/>
          <w:highlight w:val="none"/>
        </w:rPr>
        <w:t xml:space="preserve">项目选址</w:t>
      </w:r>
      <w:bookmarkEnd w:id="178"/>
      <w:r/>
      <w:bookmarkEnd w:id="179"/>
      <w:r/>
      <w:bookmarkEnd w:id="180"/>
      <w:r/>
      <w:bookmarkEnd w:id="181"/>
      <w:r/>
      <w:bookmarkEnd w:id="182"/>
      <w:r/>
      <w:bookmarkEnd w:id="183"/>
      <w:r/>
      <w:bookmarkEnd w:id="184"/>
      <w:r/>
      <w:bookmarkEnd w:id="185"/>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云台山风景名胜区位于江苏省连云港市，总面积 167.38平方公里，其中陆域面积 144.73 平方公里，海域面积 22.65平方公里，地理坐标东经 119°06′－119°48′，北纬 34°31′－34°12′。</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本次建设覆盖云台街道、南云台林场九岭范围所有的进山道路，同时包括丹霞、西山及九岭部分地区的坟区覆盖，具体点位如下：</w:t>
      </w:r>
      <w:r/>
    </w:p>
    <w:p>
      <w:pPr>
        <w:pStyle w:val="815"/>
        <w:ind w:firstLine="482"/>
        <w:spacing w:before="0" w:after="0" w:line="360" w:lineRule="auto"/>
        <w:rPr>
          <w:rFonts w:asciiTheme="minorEastAsia" w:hAnsiTheme="minorEastAsia" w:eastAsiaTheme="minorEastAsia" w:cstheme="minorEastAsia"/>
          <w:b/>
          <w:bCs/>
          <w:sz w:val="24"/>
          <w:szCs w:val="24"/>
          <w:highlight w:val="none"/>
        </w:rPr>
      </w:pPr>
      <w:r/>
      <w:bookmarkStart w:id="186" w:name="_Toc7738"/>
      <w:r>
        <w:rPr>
          <w:rFonts w:hint="eastAsia" w:asciiTheme="minorEastAsia" w:hAnsiTheme="minorEastAsia" w:eastAsiaTheme="minorEastAsia" w:cstheme="minorEastAsia"/>
          <w:b/>
          <w:bCs/>
          <w:sz w:val="24"/>
          <w:szCs w:val="24"/>
          <w:highlight w:val="none"/>
        </w:rPr>
        <w:t xml:space="preserve">进出山道路点位明细</w:t>
      </w:r>
      <w:bookmarkEnd w:id="186"/>
      <w:r/>
      <w:r/>
    </w:p>
    <w:tbl>
      <w:tblPr>
        <w:tblStyle w:val="82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576"/>
        <w:gridCol w:w="2609"/>
        <w:gridCol w:w="1656"/>
        <w:gridCol w:w="1536"/>
        <w:gridCol w:w="2180"/>
        <w:gridCol w:w="609"/>
        <w:gridCol w:w="684"/>
      </w:tblGrid>
      <w:tr>
        <w:trPr>
          <w:trHeight w:val="540"/>
        </w:trPr>
        <w:tc>
          <w:tcPr>
            <w:tcBorders>
              <w:top w:val="single" w:color="000000" w:sz="4" w:space="0"/>
              <w:left w:val="single" w:color="000000" w:sz="4" w:space="0"/>
              <w:bottom w:val="single" w:color="000000" w:sz="4" w:space="0"/>
              <w:right w:val="single" w:color="000000" w:sz="4" w:space="0"/>
            </w:tcBorders>
            <w:tcW w:w="292" w:type="pct"/>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点位名称</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经度</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维度</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设备选型</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新增数量</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备注</w:t>
            </w:r>
            <w:r/>
          </w:p>
        </w:tc>
      </w:tr>
      <w:tr>
        <w:trPr>
          <w:trHeight w:val="2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仙姑岭</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道路卡口-1-1-B-1</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119.239697</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34.592832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仙姑岭</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道路卡口-1-1-B-2</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119.239256</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34.592351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仙姑岭</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道路卡口-1-1-B-3</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119.239131</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34.591645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西山村-牛栏坡-头道涧卡口-1-2-A-21</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119.241793</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34.584351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杨沟</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进山道路1-3-B</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119.244259</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34.593598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杨沟</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祭拜台位置1-3-G-1</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119.245999</w:t>
            </w:r>
            <w:r/>
          </w:p>
        </w:tc>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34.592159</w:t>
            </w:r>
            <w:r/>
          </w:p>
        </w:tc>
        <w:tc>
          <w:tcPr>
            <w:tcBorders>
              <w:top w:val="single" w:color="000000" w:sz="4" w:space="0"/>
              <w:left w:val="single" w:color="000000" w:sz="4" w:space="0"/>
              <w:bottom w:val="single" w:color="000000" w:sz="4" w:space="0"/>
              <w:right w:val="single" w:color="000000" w:sz="4" w:space="0"/>
            </w:tcBorders>
            <w:tcW w:w="1106"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共杆</w:t>
            </w:r>
            <w:r/>
          </w:p>
        </w:tc>
      </w:tr>
      <w:tr>
        <w:trPr>
          <w:trHeight w:val="4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西山村-杨沟-卡口-C</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西山村-杨沟-护林房-D</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护林房1-4-D-1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119.239561</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34.592767</w:t>
            </w:r>
            <w:r/>
          </w:p>
        </w:tc>
        <w:tc>
          <w:tcPr>
            <w:tcBorders>
              <w:top w:val="single" w:color="000000" w:sz="4" w:space="0"/>
              <w:left w:val="single" w:color="000000" w:sz="4" w:space="0"/>
              <w:bottom w:val="single" w:color="000000" w:sz="4" w:space="0"/>
              <w:right w:val="single" w:color="000000" w:sz="4" w:space="0"/>
            </w:tcBorders>
            <w:tcW w:w="1106"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共杆</w:t>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蓄水箱1-4-F-1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119.239561</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34.592767</w:t>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道路出入口1-4-B-2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119.239561</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34.592767</w:t>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散坟1-4-A-12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119.239561</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34.592767</w:t>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道路出入口1-5-B-4</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119.244329</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34.580056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道路出入口1-5-B-3</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119.244408</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34.578687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道路出入口1-5-B-2</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119.244093</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34.579047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道路出入口-01</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119.2496771</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34.57972092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仙姑岭-道路卡口-02</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119.2504334</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34.58818515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道路出入口2-3-B-9</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119.258664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34.594859</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道路出入口2-3-B-8</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119.257483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34.595948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道路出入口2-3-B-7</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119.257061</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34.596548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道路出入口2-3-B-6</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119.256453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34.597043</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道路出入口2-3-B-4</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119.255359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34.598404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道路出入口2-3-B-3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119.255515</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34.599295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后山片区-后山2-3-C</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119.255841</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34.598207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道路出入口04</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119.2572677</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34.60151461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道路卡口07</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119.2571926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34.60370028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道路卡口08</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119.2571376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34.60241648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道路卡口12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119.2584452</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34.59996914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大庙</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道路出入口2-4-A-1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119.246113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34.603787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大庙</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道路出入口2-4-B-2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119.246058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34.603155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大庙</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道路出入口2-4-B-1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119.247194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34.593367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大庙</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道路出入口05</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119.2498058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34.60263174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大庙</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道路出入口06</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119.2540598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34.60242421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丹霞村-彭三家边</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道路出入口2-7-A-1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119.246209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34.597926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道路出入口2-5-AB-1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119.247098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34.594072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道路出入口2-5-B-2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119.246683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34.594573</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道路出入口2-5-B-1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119.247232</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34.593448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前关村-前关四十一队-道路出入口3-1-B2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119.263009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34.598552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前关村-前关四十一队-道路出入口3-1-B1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119.262966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34.597121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前关五组</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道路出入口3-2-B4</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119.260368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34.604886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前关五组</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道路出入口3-2-B3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119.261091</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34.603206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前关五组</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道路出入口3-2-B2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119.261693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34.602107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前关五组</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道路出入口3-2-B1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119.261646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34.601248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前关五组-道路卡口-03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119.2647994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34.59881444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花果行</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祭拜台位置-3-3-G</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119.263010</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34.607102</w:t>
            </w:r>
            <w:r/>
          </w:p>
        </w:tc>
        <w:tc>
          <w:tcPr>
            <w:tcBorders>
              <w:top w:val="single" w:color="000000" w:sz="4" w:space="0"/>
              <w:left w:val="single" w:color="000000" w:sz="4" w:space="0"/>
              <w:bottom w:val="single" w:color="000000" w:sz="4" w:space="0"/>
              <w:right w:val="single" w:color="000000" w:sz="4" w:space="0"/>
            </w:tcBorders>
            <w:tcW w:w="1106"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共杆</w:t>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前关村-花果行-护林房位置-3-3-D</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119.263010</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34.607102</w:t>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前关村-花果行-卡口名称-3-3-C</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119.263010</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34.607102</w:t>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前关村-花果行-道路出入口3-3-B3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119.258348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34.610986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前关村-花果行-道路出入口3-3-B2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119.260669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34.608723</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前关村-花果行-道路出入口3-3-B1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119.261708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34.607601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前关村-西隅-道路出入口3-4-B5</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119.254199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34.616508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前关村-西隅-道路出入口3-4-B4</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119.255145</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34.615458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西隅</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道路出入口3-4-B3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119.256688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34.614984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前关村-西隅-道路出入口3-4-B2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119.257152</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34.614272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前关村-西隅-道路出入口3-4-B1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119.256894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34.613028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西关村-西偶-道路卡口09</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119.2582534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34.61358699</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虎窝水库西山片区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卡口名称-4-1-C-01</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119.264599</w:t>
            </w:r>
            <w:r/>
          </w:p>
        </w:tc>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34.617631</w:t>
            </w:r>
            <w:r/>
          </w:p>
        </w:tc>
        <w:tc>
          <w:tcPr>
            <w:tcBorders>
              <w:top w:val="single" w:color="000000" w:sz="4" w:space="0"/>
              <w:left w:val="single" w:color="000000" w:sz="4" w:space="0"/>
              <w:bottom w:val="single" w:color="000000" w:sz="4" w:space="0"/>
              <w:right w:val="single" w:color="000000" w:sz="4" w:space="0"/>
            </w:tcBorders>
            <w:tcW w:w="1106"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共杆</w:t>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虎窝水库西山片区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护林房位置-D</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虎窝水库西山片区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祭拜台位置</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虎窝水库西山片区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道路出入口4-1-B1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119.260324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34.623787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虎窝水库西山片区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道路出入口4-1-B2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119.259321</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34.624114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虎窝水库西山片区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道路出入口4-1-B3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119.258734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34.624138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虎窝水库西山片区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道路出入口4-1-B4</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119.262833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34.624936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西山湾片区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卡口名称-4-2-C-02</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119.269989</w:t>
            </w:r>
            <w:r/>
          </w:p>
        </w:tc>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34.613688</w:t>
            </w:r>
            <w:r/>
          </w:p>
        </w:tc>
        <w:tc>
          <w:tcPr>
            <w:tcBorders>
              <w:top w:val="single" w:color="000000" w:sz="4" w:space="0"/>
              <w:left w:val="single" w:color="000000" w:sz="4" w:space="0"/>
              <w:bottom w:val="single" w:color="000000" w:sz="4" w:space="0"/>
              <w:right w:val="single" w:color="000000" w:sz="4" w:space="0"/>
            </w:tcBorders>
            <w:tcW w:w="1106"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共监控</w:t>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西山湾片区-G</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西山湾片区-D</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西山湾片区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道路出入口4-2-B2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119.270281</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34.615466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西山湾片区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道路出入口4-2-B3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119.271052</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34.615775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口门片区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道路出入口4-3-B1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119.262924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34.613856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口门片区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道路卡口10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119.26870733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34.61354395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腊梅沟片区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道路出入口4-4-B-1</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119.270764</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34.610372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腊梅沟片区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道路出入口4-4-B-2</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119.272178</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34.608399</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腊梅沟片区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道路出入口4-4-B-3</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119.271983</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34.608872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腊梅沟片区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道路出入口4-4-B1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119.271609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34.607467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腊梅沟片区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道路出入口4-4-B2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119.27236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34.607227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腊梅沟片区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道路出入口4-4-B3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119.273218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34.606457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腊梅沟片区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道路出入口4-4-B4</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119.274206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34.606168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后涧片区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后涧卡口4-5-C-1</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119.27744</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34.605627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后涧片区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后涧卡口4-5-C-2</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119.277127</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34.606472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后涧片区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后涧卡口4-5-C-3</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119.273792</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34.611059</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后涧片区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后涧卡口4-5-C-4</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119.275025</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34.609382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道路出入口4-6-B</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119.264623</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34.619845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道路出入口4-6-B-1</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119.257457</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34.623391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道路出入口4-6-B1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119.263784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34.625704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道路出入口4-6-B2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119.264613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34.62382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道路出入口4-6-B3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119.266118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34.624134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道路出入口4-6-B4</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119.263739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34.622264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道路出入口4-6-B5</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119.264405</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34.620796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道路出入口4-6-B6</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119.262054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34.618435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虎窝片区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道路出入口4-6-B7</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119.259888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34.619253</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小龙涧片区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道路出入口4-8-B1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119.279777</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34.603082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小龙涧片区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道路出入口4-8-B2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119.280796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34.602612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后关村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小龙涧片区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道路出入口11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119.2847362</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34.60238888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五组片区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道路出入口5-1-B5</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119.291178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34.601597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五组片区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道路出入口5-1-B4</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119.287932</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34.601479</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五组片区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道路出入口5-1-B3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119.288991</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34.600523</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五组片区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道路出入口5-1-B2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119.289969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34.600803</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五组片区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道路出入口5-1-B1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119.291007</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34.60086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南山片区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道路出入口5-2-B-1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119.293008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34.603425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南山片区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道路出入口5-2-B-2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119.290747</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34.604405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北山片区-护林房5-3-D</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119.295588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34.609176</w:t>
            </w:r>
            <w:r/>
          </w:p>
        </w:tc>
        <w:tc>
          <w:tcPr>
            <w:tcBorders>
              <w:top w:val="single" w:color="000000" w:sz="4" w:space="0"/>
              <w:left w:val="single" w:color="000000" w:sz="4" w:space="0"/>
              <w:bottom w:val="single" w:color="000000" w:sz="4" w:space="0"/>
              <w:right w:val="single" w:color="000000" w:sz="4" w:space="0"/>
            </w:tcBorders>
            <w:tcW w:w="1106"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北山片区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道路出入口及散坟5-3-B</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119.295588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34.609176</w:t>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北山片区-蓄水箱5-3-F</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119.295588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34.609176</w:t>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北山片区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祭拜台5-3-G</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119.295588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34.609176</w:t>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北山片区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道路出入口5-3-B1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119.296313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34.609625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东山片区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道路出入口5-5-B3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119.299373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34.608639</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东山片区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道路出入口5-5-B2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119.300923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34.608509</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东山片区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道路出入口5-5-B1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119.302876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34.608086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凌州社区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村委会旁</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道路出入口5-6-B1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119.295446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34.606961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南山</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散坟、道路、水箱-6-1-ABF-1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119.300907</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34.612707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南山片区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祭拜台位置，道路-6-1-G-1</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119.302531</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34.615103</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南山</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道路出入口6-1-B2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119.300408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34.616106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南山</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道路出入口6-1-B3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119.297203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34.617601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南山</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道路出入口6-1-B4</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119.292576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34.621557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南山</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道路出入口6-1-B5</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119.295116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34.618451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山东村-马腰片区-散坟6-3-A-1</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119.293986</w:t>
            </w:r>
            <w:r/>
          </w:p>
        </w:tc>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34.624460 </w:t>
            </w:r>
            <w:r/>
          </w:p>
        </w:tc>
        <w:tc>
          <w:tcPr>
            <w:tcBorders>
              <w:top w:val="single" w:color="000000" w:sz="4" w:space="0"/>
              <w:left w:val="single" w:color="000000" w:sz="4" w:space="0"/>
              <w:bottom w:val="single" w:color="000000" w:sz="4" w:space="0"/>
              <w:right w:val="single" w:color="000000" w:sz="4" w:space="0"/>
            </w:tcBorders>
            <w:tcW w:w="1106"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共用监控</w:t>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马腰片区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道路出入口-B-1</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山东村-马腰片区-蓄水箱6-3-F-1</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119.293768</w:t>
            </w:r>
            <w:r/>
          </w:p>
        </w:tc>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34.626819</w:t>
            </w:r>
            <w:r/>
          </w:p>
        </w:tc>
        <w:tc>
          <w:tcPr>
            <w:tcBorders>
              <w:top w:val="single" w:color="000000" w:sz="4" w:space="0"/>
              <w:left w:val="single" w:color="000000" w:sz="4" w:space="0"/>
              <w:bottom w:val="single" w:color="000000" w:sz="4" w:space="0"/>
              <w:right w:val="single" w:color="000000" w:sz="4" w:space="0"/>
            </w:tcBorders>
            <w:tcW w:w="1106"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Merge w:val="restar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马腰片区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道路出入口-B</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马腰片区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道路出入口6-3-B1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119.295319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34.623311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马腰片区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道路出入口6-3-B2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119.296146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34.62626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马腰片区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道路出入口6-3-B3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119.29746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34.625787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马腰片区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道路出入口6-3-B4</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119.298519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34.625374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小山头片区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道路出入口6-4-B1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119.300822</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34.623673</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小山头片区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道路出入口6-4-B2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119.302551</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34.623486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小山头片区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道路出入口6-4-B3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119.303339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34.623442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小山头片区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道路出入口6-4-B4</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119.304288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34.62333</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小山头片区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道路出入口6-4-B5</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119.304677</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34.624225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东山片区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道路出入口6-5-B4</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119.306556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34.623438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东山片区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道路出入口6-5-B3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119.308009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34.62245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东山片区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道路出入口6-5-B2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119.312273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34.621033</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山东村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东山片区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道路出入口6-5-B1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119.316539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34.619614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炮台山</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道路出入口及散坟7-2-A-1</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119.319886</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34.623328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炮台山</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道路出入口7-2-B1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119.317766</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34.622345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沙僧路祭拜台</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护林房位置及卡口7-3-D</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119.322490</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34.626102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大寨田至白云寺道路卡口-7-5-B-1</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119.321834</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34.637114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大寨田至白云寺上下大庙水箱</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道路卡口-7-5-B-2</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119.320908</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34.637479</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大寨田至白云寺大庙水池</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道路卡口-7-5-B-3</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119.32059</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34.637865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大寨田至白云寺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道路卡口-7-5-B-4</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119.321642</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34.638006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大寨田至白云寺-7-5-B-5</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119.321685</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34.638308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大寨田至白云寺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道路卡口-7-5-B-6</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119.323052</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34.636537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大寨田至白云寺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道路卡口-7-5-B-7</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119.323627</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34.636124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东磊村-小芹地向下至北山祭拜台-道路卡口-7-7-G</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119.326758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34.632867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东磊村-小芹地向下至北山祭拜台</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道路出入口7-7-B1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119.324484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34.634979</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东磊村-小芹地向下至北山祭拜台</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道路出入口7-7-B2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119.32501</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34.634215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团山-蓄水箱位置8-1-F</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119.33206</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34.638053</w:t>
            </w:r>
            <w:r/>
          </w:p>
        </w:tc>
        <w:tc>
          <w:tcPr>
            <w:tcBorders>
              <w:top w:val="single" w:color="000000" w:sz="4" w:space="0"/>
              <w:left w:val="single" w:color="000000" w:sz="4" w:space="0"/>
              <w:bottom w:val="single" w:color="000000" w:sz="4" w:space="0"/>
              <w:right w:val="single" w:color="000000" w:sz="4" w:space="0"/>
            </w:tcBorders>
            <w:tcW w:w="1106"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共杆</w:t>
            </w:r>
            <w:r/>
          </w:p>
        </w:tc>
      </w:tr>
      <w:tr>
        <w:trPr>
          <w:trHeight w:val="4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团山</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祭拜台位置及道路出入口8-1-G</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119.33206</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34.638053</w:t>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团山</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道路出入口8-1-B1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119.332537</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34.636517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团山</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道路出入口8-1-B2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119.331398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34.636652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团山</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道路出入口8-1-B3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119.33454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34.638184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水塔</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道路出入口8-2-B1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119.337283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34.640394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水塔</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道路出入口8-2-B2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119.338422</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34.639432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水塔</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道路出入口8-2-B3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119.339619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34.639295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铁塔</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道路出入口8-3-C</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119.339914</w:t>
            </w:r>
            <w:r/>
          </w:p>
        </w:tc>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34.636868</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渔湾村-铁塔-护林房8-3-D</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果园</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道路出入口8-4-B1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119.34235</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34.635486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水厂</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道路出入口8-5-B-1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119.344292</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34.635373</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水厂</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水厂祭拜台8-5-G-1</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119.34546</w:t>
            </w:r>
            <w:r/>
          </w:p>
        </w:tc>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34.636126</w:t>
            </w:r>
            <w:r/>
          </w:p>
        </w:tc>
        <w:tc>
          <w:tcPr>
            <w:tcBorders>
              <w:top w:val="single" w:color="000000" w:sz="4" w:space="0"/>
              <w:left w:val="single" w:color="000000" w:sz="4" w:space="0"/>
              <w:bottom w:val="single" w:color="000000" w:sz="4" w:space="0"/>
              <w:right w:val="single" w:color="000000" w:sz="4" w:space="0"/>
            </w:tcBorders>
            <w:tcW w:w="1106"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共杆</w:t>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水厂</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水厂护林房8-5-D-1</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渔湾村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水厂</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水厂卡口8-5-C-1</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朱麻村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南湾</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道路出入口9-1-B2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119.350504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34.639392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朱麻村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龙潭涧</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道路出入口9-2-B2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119.352541</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34.641217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朱麻村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龙潭涧</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道路出入口9-2-B1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119.35312</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34.641486</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朱麻村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西山</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道路出入口9-3-B2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119.355209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34.642831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朱麻村-后山-后山卡口9-4-C-1</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119.356836</w:t>
            </w:r>
            <w:r/>
          </w:p>
        </w:tc>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34.647177</w:t>
            </w:r>
            <w:r/>
          </w:p>
        </w:tc>
        <w:tc>
          <w:tcPr>
            <w:tcBorders>
              <w:top w:val="single" w:color="000000" w:sz="4" w:space="0"/>
              <w:left w:val="single" w:color="000000" w:sz="4" w:space="0"/>
              <w:bottom w:val="single" w:color="000000" w:sz="4" w:space="0"/>
              <w:right w:val="single" w:color="000000" w:sz="4" w:space="0"/>
            </w:tcBorders>
            <w:tcW w:w="1106"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朱麻村-后山-后山护林房9-4-D-1</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1324" w:type="pct"/>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朱麻村-后山-后山蓄水箱9-4-F-1</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朱麻村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滴水崖</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道路出入口及祭拜台9-5-G</w:t>
            </w:r>
            <w:r/>
          </w:p>
        </w:tc>
        <w:tc>
          <w:tcPr>
            <w:tcBorders>
              <w:top w:val="single" w:color="000000" w:sz="4" w:space="0"/>
              <w:left w:val="single" w:color="000000" w:sz="4" w:space="0"/>
              <w:bottom w:val="single" w:color="000000" w:sz="4" w:space="0"/>
              <w:right w:val="single" w:color="000000" w:sz="4" w:space="0"/>
            </w:tcBorders>
            <w:tcW w:w="840"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119.358179</w:t>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34.648900</w:t>
            </w:r>
            <w:r/>
          </w:p>
        </w:tc>
        <w:tc>
          <w:tcPr>
            <w:tcBorders>
              <w:top w:val="single" w:color="000000" w:sz="4" w:space="0"/>
              <w:left w:val="single" w:color="000000" w:sz="4" w:space="0"/>
              <w:bottom w:val="single" w:color="000000" w:sz="4" w:space="0"/>
              <w:right w:val="single" w:color="000000" w:sz="4" w:space="0"/>
            </w:tcBorders>
            <w:tcW w:w="1106"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朱麻村-石虎-道路出入口9-6-B2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119.361824</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34.654254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朱麻村-石虎-道路出入口9-6-B1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119.361323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34.65282</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w:t>
            </w:r>
            <w:r>
              <w:rPr>
                <w:rStyle w:val="1140"/>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color w:val="000000"/>
                <w:sz w:val="24"/>
                <w:szCs w:val="24"/>
                <w:highlight w:val="none"/>
                <w:lang w:bidi="ar"/>
              </w:rPr>
              <w:t xml:space="preserve">浦塘口</w:t>
            </w:r>
            <w:r>
              <w:rPr>
                <w:rStyle w:val="1140"/>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color w:val="000000"/>
                <w:sz w:val="24"/>
                <w:szCs w:val="24"/>
                <w:highlight w:val="none"/>
                <w:lang w:bidi="ar"/>
              </w:rPr>
              <w:t xml:space="preserve">卡口名称-C-1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119.232519</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34.587471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w:t>
            </w:r>
            <w:r>
              <w:rPr>
                <w:rStyle w:val="1140"/>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color w:val="000000"/>
                <w:sz w:val="24"/>
                <w:szCs w:val="24"/>
                <w:highlight w:val="none"/>
                <w:lang w:bidi="ar"/>
              </w:rPr>
              <w:t xml:space="preserve">浦塘口</w:t>
            </w:r>
            <w:r>
              <w:rPr>
                <w:rStyle w:val="1140"/>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color w:val="000000"/>
                <w:sz w:val="24"/>
                <w:szCs w:val="24"/>
                <w:highlight w:val="none"/>
                <w:lang w:bidi="ar"/>
              </w:rPr>
              <w:t xml:space="preserve">进山道路-B-1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119.232685</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34.58729</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w:t>
            </w:r>
            <w:r>
              <w:rPr>
                <w:rStyle w:val="1140"/>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color w:val="000000"/>
                <w:sz w:val="24"/>
                <w:szCs w:val="24"/>
                <w:highlight w:val="none"/>
                <w:lang w:bidi="ar"/>
              </w:rPr>
              <w:t xml:space="preserve">浦塘口</w:t>
            </w:r>
            <w:r>
              <w:rPr>
                <w:rStyle w:val="1140"/>
                <w:rFonts w:hint="eastAsia" w:asciiTheme="minorEastAsia" w:hAnsiTheme="minorEastAsia" w:eastAsiaTheme="minorEastAsia" w:cstheme="minorEastAsia"/>
                <w:sz w:val="24"/>
                <w:szCs w:val="24"/>
                <w:highlight w:val="none"/>
                <w:lang w:bidi="ar"/>
              </w:rPr>
              <w:t xml:space="preserve">-</w:t>
            </w:r>
            <w:r>
              <w:rPr>
                <w:rFonts w:hint="eastAsia" w:asciiTheme="minorEastAsia" w:hAnsiTheme="minorEastAsia" w:eastAsiaTheme="minorEastAsia" w:cstheme="minorEastAsia"/>
                <w:color w:val="000000"/>
                <w:sz w:val="24"/>
                <w:szCs w:val="24"/>
                <w:highlight w:val="none"/>
                <w:lang w:bidi="ar"/>
              </w:rPr>
              <w:t xml:space="preserve">进山道路-B-2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119.233473</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34.584345</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蜈蚣涧</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进山道路-B-1</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119.233949</w:t>
            </w:r>
            <w:r/>
          </w:p>
        </w:tc>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34.58515</w:t>
            </w:r>
            <w:r/>
          </w:p>
        </w:tc>
        <w:tc>
          <w:tcPr>
            <w:tcBorders>
              <w:top w:val="single" w:color="000000" w:sz="4" w:space="0"/>
              <w:left w:val="single" w:color="000000" w:sz="4" w:space="0"/>
              <w:bottom w:val="single" w:color="000000" w:sz="4" w:space="0"/>
              <w:right w:val="single" w:color="000000" w:sz="4" w:space="0"/>
            </w:tcBorders>
            <w:tcW w:w="1106"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共用监控</w:t>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蜈蚣涧</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护林房位置</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6"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蜈蚣涧</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进山道路-B-2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119.234192</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34.586921</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林场-小桥口-BE-1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119.232728</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34.589107</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龙山头-BEG-1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119.239657 </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34.580374</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lef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仙姑顶</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道路出入口B-1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119.237084 </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34.588685 </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仙姑顶</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道路出入口B-2</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119.236804 </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34.592732 </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仙姑顶</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道路出入口B-3</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119.237196 </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34.594768 </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1324" w:type="pct"/>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仙姑顶</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道路出入口B-4</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119.236972 </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34.593858 </w:t>
            </w:r>
            <w:r/>
          </w:p>
        </w:tc>
        <w:tc>
          <w:tcPr>
            <w:tcBorders>
              <w:top w:val="single" w:color="000000" w:sz="4" w:space="0"/>
              <w:left w:val="single" w:color="000000" w:sz="4" w:space="0"/>
              <w:bottom w:val="single" w:color="000000" w:sz="4" w:space="0"/>
              <w:right w:val="single" w:color="000000" w:sz="4" w:space="0"/>
            </w:tcBorders>
            <w:tcW w:w="1106" w:type="pc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bl>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15"/>
        <w:ind w:left="60"/>
        <w:rPr>
          <w:rFonts w:asciiTheme="minorEastAsia" w:hAnsiTheme="minorEastAsia" w:eastAsiaTheme="minorEastAsia" w:cstheme="minorEastAsia"/>
          <w:b/>
          <w:bCs/>
          <w:sz w:val="24"/>
          <w:szCs w:val="24"/>
          <w:highlight w:val="none"/>
        </w:rPr>
      </w:pPr>
      <w:r/>
      <w:bookmarkStart w:id="187" w:name="_Toc19184"/>
      <w:r>
        <w:rPr>
          <w:rFonts w:hint="eastAsia" w:asciiTheme="minorEastAsia" w:hAnsiTheme="minorEastAsia" w:eastAsiaTheme="minorEastAsia" w:cstheme="minorEastAsia"/>
          <w:b/>
          <w:bCs/>
          <w:sz w:val="24"/>
          <w:szCs w:val="24"/>
          <w:highlight w:val="none"/>
        </w:rPr>
        <w:t xml:space="preserve">坟区监控点位明细</w:t>
      </w:r>
      <w:bookmarkEnd w:id="187"/>
      <w:r/>
      <w:r/>
    </w:p>
    <w:p>
      <w:pPr>
        <w:rPr>
          <w:rFonts w:asciiTheme="minorEastAsia" w:hAnsiTheme="minorEastAsia" w:eastAsiaTheme="minorEastAsia" w:cstheme="minorEastAsia"/>
          <w:b/>
          <w:bCs/>
          <w:sz w:val="24"/>
          <w:szCs w:val="24"/>
          <w:highlight w:val="none"/>
        </w:rPr>
      </w:pPr>
      <w:r>
        <w:rPr>
          <w:rFonts w:asciiTheme="minorEastAsia" w:hAnsiTheme="minorEastAsia" w:eastAsiaTheme="minorEastAsia" w:cstheme="minorEastAsia"/>
          <w:b/>
          <w:bCs/>
          <w:sz w:val="24"/>
          <w:szCs w:val="24"/>
          <w:highlight w:val="none"/>
        </w:rPr>
      </w:r>
      <w:r/>
    </w:p>
    <w:tbl>
      <w:tblPr>
        <w:tblStyle w:val="82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46"/>
        <w:gridCol w:w="3076"/>
        <w:gridCol w:w="2216"/>
        <w:gridCol w:w="1258"/>
        <w:gridCol w:w="1661"/>
        <w:gridCol w:w="437"/>
        <w:gridCol w:w="437"/>
      </w:tblGrid>
      <w:tr>
        <w:trPr>
          <w:trHeight w:val="540"/>
        </w:trPr>
        <w:tc>
          <w:tcPr>
            <w:tcBorders>
              <w:top w:val="single" w:color="000000" w:sz="4" w:space="0"/>
              <w:left w:val="single" w:color="000000" w:sz="4" w:space="0"/>
              <w:bottom w:val="single" w:color="000000" w:sz="4" w:space="0"/>
              <w:right w:val="single" w:color="000000" w:sz="4" w:space="0"/>
            </w:tcBorders>
            <w:tcW w:w="546" w:type="dxa"/>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点位名称</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经度</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维度</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设备选型</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新增数量</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备注</w:t>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仙姑岭</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散坟-1-1-A-1</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119.23773</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34.593257</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仙姑岭</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散坟-1-1-A-2</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119.237321</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34.593165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仙姑岭</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散坟-1-1-A-3</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119.237948</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34.593918</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仙姑岭-1-1-A-5</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119.240404</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34.592689</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仙姑岭</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散坟-1-1-A-6</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119.240159</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34.591845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仙姑岭</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散坟-1-1-A-7</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119.239169</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34.593011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仙姑岭</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散坟-1-1-A-8</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119.238607</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34.592768</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仙姑岭</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散坟-1-1-A-9</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119.238181</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34.592318</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西山村-牛栏坡-散坟-1-2-A-1</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119.237248</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34.585549</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076" w:type="dxa"/>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西山村-牛栏坡-散坟-1-2-A-2</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119.237229</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34.588702</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西山村-牛栏坡-散坟-1-2-A-3</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119.237735</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34.58885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西山村-牛栏坡-散坟-1-2-A-4</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119.237946</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34.590332</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西山村-牛栏坡-散坟-1-2-A-5</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119.23754</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34.590491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076" w:type="dxa"/>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西山村-牛栏坡-散坟-1-2-A-6</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119.237597</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34.590148</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西山村-牛栏坡-散坟-1-2-A-7</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119.23781</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34.589951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西山村-牛栏坡-散坟-1-2-A-8</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119.238277</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34.589967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红外热成像球机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076" w:type="dxa"/>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西山村-牛栏坡-散坟-1-2-A-9</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119.238561</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34.589859</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西山村-牛栏坡-散坟-1-2-A-11</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119.238494</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34.589562</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西山村-牛栏坡-散坟-1-2-A-19</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119.239478</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34.587011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西山村-牛栏坡-散坟-1-2-A-20</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119.241381</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34.586294</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杨沟</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散坟1-3-A</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119.243685</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34.594489</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西山村-杨沟-散坟1-3-A-1</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119.241383</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34.594587</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西山村-杨沟-散坟1-3-A-2</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119.241173</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34.594367</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西山村-杨沟-散坟1-3-A-3</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119.244704</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34.594079</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散坟1-4-A-1</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119.244564</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34.591384</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散坟1-4-A-2</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119.244618</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34.590888</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散坟1-4-A-3</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119.243765</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34.591343</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散坟1-4-A-4</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119.243337</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34.591963</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散坟1-4-A-5</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119.243032</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34.591524</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散坟1-4-A-6</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119.242636</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34.592277</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散坟1-4-A-7</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119.242207</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34.591858</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散坟1-4-A-8</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119.241440 </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34.591577</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散坟1-4-A-9</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119.241362</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34.592006</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散坟1-4-A-10</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119.240570 </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34.592191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散坟1-4-A-11</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119.239982</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34.592656</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大洼</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散坟1-4-A-13</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119.245835</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34.590619</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散坟1-5-A</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119.243817</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34.579868</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3076" w:type="dxa"/>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散坟1-5-A-1</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119.243860 </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34.579844</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散坟1-5-A-2</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119.248668</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34.579619</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076" w:type="dxa"/>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散坟1-5-A-5</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119.243533</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34.579718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红外热成像球机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散坟1-5-A-4</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119.243127</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34.580279</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3076" w:type="dxa"/>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散坟1-5-A-6</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119.243277</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34.579682</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散坟1-5-A-7</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119.242876</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34.579952</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散坟1-5-A-8</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119.243137</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34.579648</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散坟1-5-A-9</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119.242847</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34.579304</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3076" w:type="dxa"/>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散坟1-5-A-10</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119.243311</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34.579150 </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散坟1-5-A-11</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119.243770</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34.578774</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西山村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龙山头</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散坟1-5-A-12</w:t>
            </w:r>
            <w:r/>
          </w:p>
        </w:tc>
        <w:tc>
          <w:tcPr>
            <w:tcBorders>
              <w:top w:val="single" w:color="000000" w:sz="4" w:space="0"/>
              <w:left w:val="single" w:color="000000" w:sz="4" w:space="0"/>
              <w:bottom w:val="single" w:color="000000" w:sz="4" w:space="0"/>
              <w:right w:val="single" w:color="000000" w:sz="4" w:space="0"/>
            </w:tcBorders>
            <w:tcW w:w="221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119.243857</w:t>
            </w:r>
            <w:r/>
          </w:p>
        </w:tc>
        <w:tc>
          <w:tcPr>
            <w:tcBorders>
              <w:top w:val="single" w:color="000000" w:sz="4" w:space="0"/>
              <w:left w:val="single" w:color="000000" w:sz="4" w:space="0"/>
              <w:bottom w:val="single" w:color="000000" w:sz="4" w:space="0"/>
              <w:right w:val="single" w:color="000000" w:sz="4" w:space="0"/>
            </w:tcBorders>
            <w:tcW w:w="1258"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34.579321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119.24371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34.59704</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3A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119.24447</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34.59665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4A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119.24396</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34.59731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6A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119.24374</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34.59775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7A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119.24345</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34.59793</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9A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119.24308</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34.59847</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11A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119.241751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34.59901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12A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119.24128</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34.59921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红外热成像球机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14A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119.23907</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34.59955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16A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119.24191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34.59781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19A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119.24745</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34.59448</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21A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119.24656</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34.59355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22A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119.24645</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34.59615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23A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119.24621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34.59746</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25A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119.24528</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34.59656</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潭沟片区-2-5</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26A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119.24471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34.59801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铁山头-2-2</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5A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119.26051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34.59625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铁山头-2-2</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7A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119.26011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34.59659</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铁山头-2-2</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8A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119.25999</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34.59713</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铁山头-2-2</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11A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119.26024</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34.59733</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铁山头-2-2</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12A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119.26055</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34.59679</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铁山头-2-2</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14A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119.26105</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34.59621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铁山头-2-2</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15A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119.26211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34.59547</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铁山头-2-2</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18A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119.26311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34.59501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后山片区-散坟2-3-A-2</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119.253266</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34.600952</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散坟2-3-A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119.253531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34.600777</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后山片区-散坟2-3-A-5</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119.253472</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34.600453</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后山片区-散坟2-3-A-7</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119.254001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34.600322</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后山片区-散坟2-3-A-9</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119.254248</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34.599885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红外热成像球机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后山片区-散坟2-3</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11A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119.254384</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34.599896</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散坟2-3-A-13</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119.254371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34.599541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散坟2-3-A-15</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119.254797</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34.598918</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后山片区-散坟2-3</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17A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119.255811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34.598772</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后山片区-散坟2-3</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19A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119.256096</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34.59851</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散坟2-3-A-20</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119.25616</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34.598579</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散坟2-3</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22A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119.256605</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34.598285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散坟2-3-A-23</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119.256509</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34.598165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后山片区-散坟2-3</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25A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119.256836</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34.597787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红外热成像球机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散坟2-3-A-27</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119.257258</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34.597343</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后山片区-散坟2-3</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29A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119.25736</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34.59705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散坟2-3-A-32</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119.258691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34.59604</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散坟2-3-A-34</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119.258137</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34.595684</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后山片区-散坟2-3-A-36</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119.256637</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34.597702</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后山片区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散坟2-3-A-37</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119.252747</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34.60436</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丹霞村-大庙-散坟2-4-A-2</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119.24496</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34.6042</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丹霞村-大庙-散坟2-4-A-4</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119.245786</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34.605056</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丹霞村-大庙-散坟2-4</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3A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119.246191,34.604933</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119.246191,34.604933</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丹霞村-大庙-散坟2-4</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6A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119.245136,34.606142</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119.245136,34.606142</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丹霞村-大庙-散坟2-4</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8A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119.245569,34.606368</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119.245569,34.606368</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丹霞村-大庙-散坟2-4-A-9</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119.245108</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34.606427</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丹霞村-大庙-散坟2-4-A-10</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119.246044</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34.603706</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丹霞村-大庙-散坟2-4-A-12</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119.244562</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34.607273</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丹霞村-大庙-散坟2-4</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13A</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119.244630,34.607869</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119.244630,34.607869</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大庙</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散坟2-4-A-15</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119.244262</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34.609074</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丹霞村-大庙-散坟2-4-A-18</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119.2455</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34.608349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红外热成像球机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丹霞村-大庙-散坟2-4-A-19</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119.247229</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34.609065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浦塘口</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散坟数量-A-1</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119.23303</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34.585895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Style w:val="1141"/>
                <w:rFonts w:hint="default" w:asciiTheme="minorEastAsia" w:hAnsiTheme="minorEastAsia" w:eastAsiaTheme="minorEastAsia" w:cstheme="minorEastAsia"/>
                <w:sz w:val="24"/>
                <w:szCs w:val="24"/>
                <w:highlight w:val="none"/>
                <w:lang w:bidi="ar"/>
              </w:rPr>
              <w:t xml:space="preserve">林场</w:t>
            </w:r>
            <w:r>
              <w:rPr>
                <w:rStyle w:val="1141"/>
                <w:rFonts w:hint="eastAsia" w:asciiTheme="minorEastAsia" w:hAnsiTheme="minorEastAsia" w:eastAsiaTheme="minorEastAsia" w:cstheme="minorEastAsia"/>
                <w:sz w:val="24"/>
                <w:szCs w:val="24"/>
                <w:highlight w:val="none"/>
                <w:lang w:eastAsia="zh-CN" w:bidi="ar"/>
              </w:rPr>
              <w:t xml:space="preserve">－</w:t>
            </w:r>
            <w:r>
              <w:rPr>
                <w:rStyle w:val="1141"/>
                <w:rFonts w:hint="default" w:asciiTheme="minorEastAsia" w:hAnsiTheme="minorEastAsia" w:eastAsiaTheme="minorEastAsia" w:cstheme="minorEastAsia"/>
                <w:sz w:val="24"/>
                <w:szCs w:val="24"/>
                <w:highlight w:val="none"/>
                <w:lang w:bidi="ar"/>
              </w:rPr>
              <w:t xml:space="preserve">浦塘口</w:t>
            </w:r>
            <w:r>
              <w:rPr>
                <w:rStyle w:val="1141"/>
                <w:rFonts w:hint="eastAsia" w:asciiTheme="minorEastAsia" w:hAnsiTheme="minorEastAsia" w:eastAsiaTheme="minorEastAsia" w:cstheme="minorEastAsia"/>
                <w:sz w:val="24"/>
                <w:szCs w:val="24"/>
                <w:highlight w:val="none"/>
                <w:lang w:eastAsia="zh-CN" w:bidi="ar"/>
              </w:rPr>
              <w:t xml:space="preserve">－</w:t>
            </w:r>
            <w:r>
              <w:rPr>
                <w:rStyle w:val="1141"/>
                <w:rFonts w:hint="default" w:asciiTheme="minorEastAsia" w:hAnsiTheme="minorEastAsia" w:eastAsiaTheme="minorEastAsia" w:cstheme="minorEastAsia"/>
                <w:sz w:val="24"/>
                <w:szCs w:val="24"/>
                <w:highlight w:val="none"/>
                <w:lang w:bidi="ar"/>
              </w:rPr>
              <w:t xml:space="preserve">散坟数量-A-2</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119.234165</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34.583906</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林场-郑庄-A-2</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119.233517</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34.592562</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林场-郑庄-A-3</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119.233316</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34.591955</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3076" w:type="dxa"/>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仙姑顶-散坟A-1</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119.242165 </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34.587702 </w:t>
            </w:r>
            <w:r/>
          </w:p>
        </w:tc>
        <w:tc>
          <w:tcPr>
            <w:tcBorders>
              <w:top w:val="single" w:color="000000" w:sz="4" w:space="0"/>
              <w:left w:val="single" w:color="000000" w:sz="4" w:space="0"/>
              <w:bottom w:val="single" w:color="000000" w:sz="4" w:space="0"/>
              <w:right w:val="single" w:color="000000" w:sz="4" w:space="0"/>
            </w:tcBorders>
            <w:tcW w:w="1661" w:type="dxa"/>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林场-郑庄-蓄水箱位置</w:t>
            </w:r>
            <w:r>
              <w:rPr>
                <w:rFonts w:hint="eastAsia" w:asciiTheme="minorEastAsia" w:hAnsiTheme="minorEastAsia" w:eastAsiaTheme="minorEastAsia" w:cstheme="minorEastAsia"/>
                <w:color w:val="000000"/>
                <w:sz w:val="24"/>
                <w:szCs w:val="24"/>
                <w:highlight w:val="none"/>
                <w:lang w:eastAsia="zh-CN" w:bidi="ar"/>
              </w:rPr>
              <w:t xml:space="preserve">－</w:t>
            </w:r>
            <w:r>
              <w:rPr>
                <w:rFonts w:hint="eastAsia" w:asciiTheme="minorEastAsia" w:hAnsiTheme="minorEastAsia" w:eastAsiaTheme="minorEastAsia" w:cstheme="minorEastAsia"/>
                <w:color w:val="000000"/>
                <w:sz w:val="24"/>
                <w:szCs w:val="24"/>
                <w:highlight w:val="none"/>
                <w:lang w:bidi="ar"/>
              </w:rPr>
              <w:t xml:space="preserve">郑庄f</w:t>
            </w:r>
            <w:r/>
          </w:p>
        </w:tc>
        <w:tc>
          <w:tcPr>
            <w:tcBorders>
              <w:top w:val="single" w:color="000000" w:sz="4" w:space="0"/>
              <w:left w:val="single" w:color="000000" w:sz="4" w:space="0"/>
              <w:bottom w:val="single" w:color="000000" w:sz="4" w:space="0"/>
              <w:right w:val="single" w:color="000000" w:sz="4" w:space="0"/>
            </w:tcBorders>
            <w:tcW w:w="2216" w:type="dxa"/>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119.233594</w:t>
            </w:r>
            <w:r/>
          </w:p>
        </w:tc>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34.592621</w:t>
            </w:r>
            <w:r/>
          </w:p>
        </w:tc>
        <w:tc>
          <w:tcPr>
            <w:tcBorders>
              <w:top w:val="single" w:color="000000" w:sz="4" w:space="0"/>
              <w:left w:val="single" w:color="000000" w:sz="4" w:space="0"/>
              <w:bottom w:val="single" w:color="000000" w:sz="4" w:space="0"/>
              <w:right w:val="single" w:color="000000" w:sz="4" w:space="0"/>
            </w:tcBorders>
            <w:tcW w:w="1661" w:type="dxa"/>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437" w:type="dxa"/>
            <w:vAlign w:val="center"/>
            <w:vMerge w:val="restart"/>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vMerge w:val="restar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jc w:val="lef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林场-郑庄-祭拜台位置</w:t>
            </w:r>
            <w:r/>
          </w:p>
        </w:tc>
        <w:tc>
          <w:tcPr>
            <w:tcBorders>
              <w:top w:val="single" w:color="000000" w:sz="4" w:space="0"/>
              <w:left w:val="single" w:color="000000" w:sz="4" w:space="0"/>
              <w:bottom w:val="single" w:color="000000" w:sz="4" w:space="0"/>
              <w:right w:val="single" w:color="000000" w:sz="4" w:space="0"/>
            </w:tcBorders>
            <w:tcW w:w="2216" w:type="dxa"/>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bl>
    <w:p>
      <w:pPr>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p>
      <w:pPr>
        <w:pStyle w:val="1135"/>
        <w:ind w:firstLine="482"/>
        <w:jc w:val="left"/>
        <w:spacing w:line="360" w:lineRule="auto"/>
        <w:rPr>
          <w:rFonts w:asciiTheme="minorEastAsia" w:hAnsiTheme="minorEastAsia" w:eastAsiaTheme="minorEastAsia" w:cstheme="minorEastAsia"/>
          <w:b/>
          <w:sz w:val="24"/>
          <w:highlight w:val="none"/>
        </w:rPr>
        <w:outlineLvl w:val="1"/>
      </w:pPr>
      <w:r>
        <w:rPr>
          <w:rFonts w:hint="eastAsia" w:asciiTheme="minorEastAsia" w:hAnsiTheme="minorEastAsia" w:eastAsiaTheme="minorEastAsia" w:cstheme="minorEastAsia"/>
          <w:b/>
          <w:sz w:val="24"/>
          <w:highlight w:val="none"/>
        </w:rPr>
        <w:t xml:space="preserve">三、货物（标的）采购清单</w:t>
      </w:r>
      <w:r/>
    </w:p>
    <w:tbl>
      <w:tblPr>
        <w:tblStyle w:val="82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08"/>
        <w:gridCol w:w="2286"/>
        <w:gridCol w:w="721"/>
        <w:gridCol w:w="1224"/>
        <w:gridCol w:w="4915"/>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360" w:lineRule="auto"/>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一、前端监测体系</w:t>
            </w:r>
            <w:r/>
          </w:p>
        </w:tc>
      </w:tr>
      <w:tr>
        <w:trPr>
          <w:trHeight w:val="9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中小企业划分标准所属行业　</w:t>
            </w:r>
            <w:r/>
          </w:p>
        </w:tc>
      </w:tr>
      <w:tr>
        <w:trPr>
          <w:trHeight w:val="282"/>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智能警戒摄像机</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智能全景一体球</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智慧音柱</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红外热成像球机</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5G路由器</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5G高清枪机</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5G智能球机</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气象环境采集监测仪</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6米立杆及基础</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4米立杆及基础</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3米立杆及基础</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200W太阳能板</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120W太阳能板</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系统集成服务</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其他未列明行业</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b/>
                <w:bCs/>
                <w:color w:val="000000"/>
                <w:sz w:val="24"/>
                <w:szCs w:val="24"/>
                <w:highlight w:val="none"/>
                <w:lang w:bidi="ar"/>
              </w:rPr>
              <w:t xml:space="preserve">二、通信传输网络</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VPN 网络及服务1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信息传输业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VPN 网络及服务2</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信息传输业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VPN 网络及服务3</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信息传输业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5G物联网卡</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rPr>
              <w:t xml:space="preserve">张</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信息传输业</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360" w:lineRule="auto"/>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三、后端软硬件系统</w:t>
            </w:r>
            <w:r/>
          </w:p>
        </w:tc>
      </w:tr>
      <w:tr>
        <w:trPr>
          <w:trHeight w:val="54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森林防火预警监测平台升级服务</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信息传输业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视频管理系统扩容</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信息传输业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AI 视频分析服务器</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指挥调度控制终端</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移动指挥终端</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配置管理平台</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流媒体服务器</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lang w:bidi="ar"/>
              </w:rPr>
              <w:t xml:space="preserve">存储节点</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16T硬盘</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视频防护平台</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安全监控平台</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接入交换机</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spacing w:line="360" w:lineRule="auto"/>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bidi="ar"/>
              </w:rPr>
              <w:t xml:space="preserve">工业</w:t>
            </w:r>
            <w:r/>
          </w:p>
        </w:tc>
      </w:tr>
    </w:tbl>
    <w:p>
      <w:pPr>
        <w:rPr>
          <w:rFonts w:asciiTheme="minorEastAsia" w:hAnsiTheme="minorEastAsia" w:eastAsiaTheme="minorEastAsia" w:cstheme="minorEastAsia"/>
          <w:highlight w:val="none"/>
        </w:rPr>
      </w:pPr>
      <w:r>
        <w:rPr>
          <w:rFonts w:hint="eastAsia" w:asciiTheme="minorEastAsia" w:hAnsiTheme="minorEastAsia" w:eastAsiaTheme="minorEastAsia" w:cstheme="minorEastAsia"/>
          <w:b/>
          <w:sz w:val="24"/>
          <w:highlight w:val="none"/>
        </w:rPr>
        <w:t xml:space="preserve">四、货物（标的）技术参数及功能指标</w:t>
      </w:r>
      <w:bookmarkEnd w:id="156"/>
      <w:r/>
      <w:r/>
    </w:p>
    <w:tbl>
      <w:tblPr>
        <w:tblStyle w:val="823"/>
        <w:tblW w:w="505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2425"/>
        <w:gridCol w:w="6743"/>
      </w:tblGrid>
      <w:tr>
        <w:trPr>
          <w:trHeight w:val="20"/>
        </w:trPr>
        <w:tc>
          <w:tcPr>
            <w:tcW w:w="802" w:type="dxa"/>
            <w:vAlign w:val="center"/>
            <w:textDirection w:val="lrTb"/>
            <w:noWrap w:val="false"/>
          </w:tcPr>
          <w:p>
            <w:pPr>
              <w:jc w:val="center"/>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W w:w="2425" w:type="dxa"/>
            <w:vAlign w:val="center"/>
            <w:textDirection w:val="lrTb"/>
            <w:noWrap w:val="false"/>
          </w:tcPr>
          <w:p>
            <w:pPr>
              <w:jc w:val="center"/>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货物（标的）名称</w:t>
            </w:r>
            <w:r/>
          </w:p>
        </w:tc>
        <w:tc>
          <w:tcPr>
            <w:tcW w:w="6743" w:type="dxa"/>
            <w:vAlign w:val="center"/>
            <w:textDirection w:val="lrTb"/>
            <w:noWrap w:val="false"/>
          </w:tcPr>
          <w:p>
            <w:pPr>
              <w:jc w:val="center"/>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技术参数及功能指标</w:t>
            </w:r>
            <w:r/>
          </w:p>
        </w:tc>
      </w:tr>
      <w:tr>
        <w:trPr>
          <w:trHeight w:val="20"/>
        </w:trPr>
        <w:tc>
          <w:tcPr>
            <w:gridSpan w:val="3"/>
            <w:tcW w:w="9970" w:type="dxa"/>
            <w:vAlign w:val="center"/>
            <w:textDirection w:val="lrTb"/>
            <w:noWrap w:val="false"/>
          </w:tcPr>
          <w:p>
            <w:pPr>
              <w:jc w:val="left"/>
              <w:spacing w:line="36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一、前端监测体系</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智能警戒摄像机</w:t>
            </w:r>
            <w:r/>
          </w:p>
        </w:tc>
        <w:tc>
          <w:tcPr>
            <w:tcW w:w="6743" w:type="dxa"/>
            <w:vAlign w:val="center"/>
            <w:textDirection w:val="lrTb"/>
            <w:noWrap/>
          </w:tcPr>
          <w:p>
            <w:pPr>
              <w:numPr>
                <w:ilvl w:val="0"/>
                <w:numId w:val="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采用星光级低照度1/2.7英寸CMOS图像传感器，低照度效果好，图像清晰度高</w:t>
            </w:r>
            <w:r/>
          </w:p>
          <w:p>
            <w:pPr>
              <w:numPr>
                <w:ilvl w:val="0"/>
                <w:numId w:val="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支持H.265编码，压缩比高，实现超低码流传输</w:t>
            </w:r>
            <w:r/>
          </w:p>
          <w:p>
            <w:pPr>
              <w:numPr>
                <w:ilvl w:val="0"/>
                <w:numId w:val="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内置高效暖光和红外补光灯，最大红外监控距离60米，最大暖光监控距离30米</w:t>
            </w:r>
            <w:r/>
          </w:p>
          <w:p>
            <w:pPr>
              <w:numPr>
                <w:ilvl w:val="0"/>
                <w:numId w:val="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支持走廊模式，宽动态，3D降噪，强光抑制，背光补偿，数字水印，适用不同监控环境</w:t>
            </w:r>
            <w:r/>
          </w:p>
          <w:p>
            <w:pPr>
              <w:numPr>
                <w:ilvl w:val="0"/>
                <w:numId w:val="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 H.264/H.265灵活编码，适用不同带宽和存储环境</w:t>
            </w:r>
            <w:r/>
          </w:p>
          <w:p>
            <w:pPr>
              <w:numPr>
                <w:ilvl w:val="0"/>
                <w:numId w:val="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内置GPU芯片，支持深度学习算法，有效提升检测准确率</w:t>
            </w:r>
            <w:r/>
          </w:p>
          <w:p>
            <w:pPr>
              <w:numPr>
                <w:ilvl w:val="0"/>
                <w:numId w:val="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支持道路监控：支持卡口，支持上传机动车全景图、车身图、车牌，支持上传非机动车全景图、车身图，支持绘制车道，车道方向可设，最大可绘制4个车道</w:t>
            </w:r>
            <w:r/>
          </w:p>
          <w:p>
            <w:pPr>
              <w:numPr>
                <w:ilvl w:val="0"/>
                <w:numId w:val="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支持人脸检测：支持跟踪，支持优选，支持抓拍，支持上报最优的人脸抓图，人脸曝光，支持人脸属性提取，支持6种属性，8种表情</w:t>
            </w:r>
            <w:r/>
          </w:p>
          <w:p>
            <w:pPr>
              <w:numPr>
                <w:ilvl w:val="0"/>
                <w:numId w:val="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支持精准搜索功能，开启后可检测分析画面中人体各类特征后形成结构化数据上传后端</w:t>
            </w:r>
            <w:r/>
          </w:p>
          <w:p>
            <w:pPr>
              <w:numPr>
                <w:ilvl w:val="0"/>
                <w:numId w:val="5"/>
              </w:numPr>
              <w:jc w:val="left"/>
              <w:spacing w:line="360" w:lineRule="auto"/>
              <w:widowControl/>
              <w:rPr>
                <w:highlight w:val="none"/>
              </w:rPr>
            </w:pPr>
            <w:r>
              <w:rPr>
                <w:rFonts w:hint="eastAsia" w:ascii="宋体" w:hAnsi="宋体" w:cs="宋体"/>
                <w:color w:val="000000"/>
                <w:sz w:val="24"/>
                <w:szCs w:val="24"/>
                <w:highlight w:val="none"/>
              </w:rPr>
              <w:t xml:space="preserve">支持在web界面中设置车牌指定位号匹配规则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当检测到的号牌匹配该规则时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联动报警事件</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智能全景一体球</w:t>
            </w:r>
            <w:r/>
          </w:p>
        </w:tc>
        <w:tc>
          <w:tcPr>
            <w:tcW w:w="6743" w:type="dxa"/>
            <w:vAlign w:val="center"/>
            <w:textDirection w:val="lrTb"/>
            <w:noWrap/>
          </w:tcPr>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全景≥400 万像素，支持≥90° 大视场；细节≥400 万像素，≥25 倍光学变倍；</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传感器类型：【全景】1/1.8＂CMOS,【细节】1/2.8＂ CMOS</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最低照度：全景彩色≤0.0005Lux (AGC ON</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，黑白≤0.0001Lux (AGC ON</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；细节彩色≤0.005Lux (AGC ON</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，黑白≤0.001Lux (AGC ON</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光学变倍：【细节】≥25倍 </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补光灯类型：混合光（红外+白光）</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补光灯距离：【全景】暖白光≥30米；【细节】暖白光≥50米，红外≥200米</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水平范围：【细节】0-360°</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水平速度：【细节】水平键控速度：0.1°-160°/s可选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速度可设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水平预置点速度≥240°/s </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垂直速度：【全景】垂直键控速度可设；【细节】垂直键控速度0.1°-120°/s可选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速度可设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垂直预置点速度≥200°/s </w:t>
            </w:r>
            <w:r/>
          </w:p>
          <w:p>
            <w:pPr>
              <w:numPr>
                <w:ilvl w:val="0"/>
                <w:numId w:val="6"/>
              </w:numPr>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具有图像质量提升功能，在低照度环境下，可自动调节预览场景视频画面中人脸、人体、车辆等目标及预览场景视频画面的区域曝光、亮度、色彩饱和度、对比度、锐度等；（提供具备CNAS或CMA标识的第三方检测机构出具的检测报告扫描件并加盖投标人公章）</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内置扬声器≥1个内置扬声器，有效距离≥20 m</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最大功耗≤60 W</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工作温湿度≥-30 ℃~65 ℃；湿度≤95%</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喇叭温度≥-30 ℃~55 ℃</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除雾：支持</w:t>
            </w:r>
            <w:r/>
          </w:p>
          <w:p>
            <w:pPr>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防护：IP67；GB/T17626.2/3/4/5/三级标准 </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智慧音柱</w:t>
            </w:r>
            <w:r/>
          </w:p>
        </w:tc>
        <w:tc>
          <w:tcPr>
            <w:tcW w:w="6743" w:type="dxa"/>
            <w:vAlign w:val="center"/>
            <w:textDirection w:val="lrTb"/>
            <w:noWrap/>
          </w:tcPr>
          <w:p>
            <w:pPr>
              <w:numPr>
                <w:ilvl w:val="0"/>
                <w:numId w:val="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额定功率≥30W</w:t>
            </w:r>
            <w:r/>
          </w:p>
          <w:p>
            <w:pPr>
              <w:numPr>
                <w:ilvl w:val="0"/>
                <w:numId w:val="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总谐波失真：THD≤10%</w:t>
            </w:r>
            <w:r/>
          </w:p>
          <w:p>
            <w:pPr>
              <w:numPr>
                <w:ilvl w:val="0"/>
                <w:numId w:val="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灵敏度≥92 db(±3db) </w:t>
            </w:r>
            <w:r/>
          </w:p>
          <w:p>
            <w:pPr>
              <w:numPr>
                <w:ilvl w:val="0"/>
                <w:numId w:val="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设备接口≥线路输入接口*1，开关量触发接口*3，USB接口*1 </w:t>
            </w:r>
            <w:r/>
          </w:p>
          <w:p>
            <w:pPr>
              <w:numPr>
                <w:ilvl w:val="0"/>
                <w:numId w:val="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设备支持≥3路开关量触发播报相关音源，并支持多信号源优先级。</w:t>
            </w:r>
            <w:r/>
          </w:p>
          <w:p>
            <w:pPr>
              <w:numPr>
                <w:ilvl w:val="0"/>
                <w:numId w:val="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功耗：待机功耗≤0.16W；工作最大功耗≤32W</w:t>
            </w:r>
            <w:r/>
          </w:p>
          <w:p>
            <w:pPr>
              <w:numPr>
                <w:ilvl w:val="0"/>
                <w:numId w:val="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工作湿度：≤90%（无凝结）</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红外热成像球机</w:t>
            </w:r>
            <w:r/>
          </w:p>
        </w:tc>
        <w:tc>
          <w:tcPr>
            <w:tcW w:w="6743" w:type="dxa"/>
            <w:vAlign w:val="center"/>
            <w:textDirection w:val="lrTb"/>
            <w:noWrap/>
          </w:tcPr>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可见光传感器类型：1/2.5" CMOS</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可见光分辨率≥2688 × 1520</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可见光焦距：5.55-222 mm，光学变倍≥40倍</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可见光视场角≥60.4°(H)36.3°(V)-2.68°(H)1.51°(V</w:t>
            </w:r>
            <w:r>
              <w:rPr>
                <w:rFonts w:hint="eastAsia" w:ascii="宋体" w:hAnsi="宋体" w:cs="宋体"/>
                <w:color w:val="000000"/>
                <w:sz w:val="24"/>
                <w:szCs w:val="24"/>
                <w:highlight w:val="none"/>
                <w:lang w:eastAsia="zh-CN"/>
              </w:rPr>
              <w:t xml:space="preserve">)</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热成像响应波段≥8~14μm</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热成像分辨率≥256 × 192</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热成像视场角≥18.1°×13.6° (H × V)</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火点最远报警距离（以2米*2米为准）：≥830m</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测温防火最远报警距离（以0.01平方米为准）：≥17m</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伪彩：黑热/白热/铁红/彩虹等多种伪彩（总计15种模式） </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最低照度：彩色≤ 0.05 Lux， 黑白≤0.01  Lux @(F1.6，AGC ON)</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可见光补光功能：红外，有效距离≥100m，亮度、角度根据场景智能调整</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烟雾最远报警距离（以5米*5米为准）：≥4000m</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可见光透雾：支持算法透雾 </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水平范围：360°连续旋转</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水平速度：键控速度：0.1°~200°/s可选，预置点速度：0.1°~200°/s可选</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垂直范围：≥-5°~90°</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垂直速度：键控速度：0.1°~120°/s可选，  预置点速度：0.1°~120°/s可选</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预置点个数≥300个</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巡航扫描≥8条，每条可添加≥300个预置点</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定位精度≤±0.2° </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视频压缩标准：H.264/H.265/ MPEG4 / MJPEG；H.264编码支持 BaseLine / Main / High ,Smart264</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音频压缩标准：G .711u/G.711a/G.722.1/MP2L2/G726/PCM/AAC </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报警接口≥4路输入，2路输出</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音频接口≥1个音频输入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Line in</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，1个音频输出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Line out</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p>
          <w:p>
            <w:pPr>
              <w:numPr>
                <w:ilvl w:val="0"/>
                <w:numId w:val="8"/>
              </w:numPr>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智能行为分析中可对人、车分别进行检测，并可设置不同颜色进行标注（提供具备CNAS或CMA标识的第三方检测机构出具的检测报告扫描件并加盖投标人公章）；</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功率：整机静态功耗≈15W  运动功耗≤25W  整机最大峰值功耗≤30W</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设备可在立体防控系统平台上添加、修改和删除AR标签，包括普通标签和可视域标签；</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防护等级：IP66，TVS 6000V 防雷、防浪涌、防突波，符合GB/T17626.5 四级标准</w:t>
            </w:r>
            <w:r/>
          </w:p>
          <w:p>
            <w:pPr>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抗风等级：12级（最大33 m/s）</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5G路由器</w:t>
            </w:r>
            <w:r/>
          </w:p>
        </w:tc>
        <w:tc>
          <w:tcPr>
            <w:tcW w:w="6743" w:type="dxa"/>
            <w:vAlign w:val="center"/>
            <w:textDirection w:val="lrTb"/>
            <w:noWrap/>
          </w:tcPr>
          <w:p>
            <w:pPr>
              <w:numPr>
                <w:ilvl w:val="0"/>
                <w:numId w:val="9"/>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5G RedCap插卡无线路由器</w:t>
            </w:r>
            <w:r/>
          </w:p>
          <w:p>
            <w:pPr>
              <w:numPr>
                <w:ilvl w:val="0"/>
                <w:numId w:val="9"/>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千兆多网口双频</w:t>
            </w:r>
            <w:r>
              <w:rPr>
                <w:rFonts w:hint="eastAsia" w:ascii="宋体" w:hAnsi="宋体" w:cs="宋体"/>
                <w:color w:val="000000"/>
                <w:sz w:val="24"/>
                <w:szCs w:val="24"/>
                <w:highlight w:val="none"/>
                <w:lang w:eastAsia="zh-CN"/>
              </w:rPr>
              <w:t xml:space="preserve">Wi-Fi</w:t>
            </w:r>
            <w:r>
              <w:rPr>
                <w:rFonts w:hint="eastAsia" w:ascii="宋体" w:hAnsi="宋体" w:cs="宋体"/>
                <w:color w:val="000000"/>
                <w:sz w:val="24"/>
                <w:szCs w:val="24"/>
                <w:highlight w:val="none"/>
              </w:rPr>
              <w:t xml:space="preserve">高核485/232串口联网</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5G高清枪机</w:t>
            </w:r>
            <w:r/>
          </w:p>
        </w:tc>
        <w:tc>
          <w:tcPr>
            <w:tcW w:w="6743" w:type="dxa"/>
            <w:vAlign w:val="center"/>
            <w:textDirection w:val="lrTb"/>
            <w:noWrap/>
          </w:tcPr>
          <w:p>
            <w:pPr>
              <w:numPr>
                <w:ilvl w:val="0"/>
                <w:numId w:val="1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传感器类型：1/1.8" CMOS</w:t>
            </w:r>
            <w:r/>
          </w:p>
          <w:p>
            <w:pPr>
              <w:numPr>
                <w:ilvl w:val="0"/>
                <w:numId w:val="1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最低照度：彩色≤0.0005 Lux @（F1.0，AGC ON），0 Lux with Light；黑白≤0.0001 Lux @（F1.0，AGC ON），0 Lux with IR </w:t>
            </w:r>
            <w:r/>
          </w:p>
          <w:p>
            <w:pPr>
              <w:numPr>
                <w:ilvl w:val="0"/>
                <w:numId w:val="1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水平视场角：≥88°，垂直视场角：≥44°，对角视场角：107.5° </w:t>
            </w:r>
            <w:r/>
          </w:p>
          <w:p>
            <w:pPr>
              <w:numPr>
                <w:ilvl w:val="0"/>
                <w:numId w:val="1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普通监控补光距离≥30m，人脸抓拍补光距离≥5m。 </w:t>
            </w:r>
            <w:r/>
          </w:p>
          <w:p>
            <w:pPr>
              <w:numPr>
                <w:ilvl w:val="0"/>
                <w:numId w:val="1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最大图像尺寸≥2560 × 1440</w:t>
            </w:r>
            <w:r/>
          </w:p>
          <w:p>
            <w:pPr>
              <w:numPr>
                <w:ilvl w:val="0"/>
                <w:numId w:val="1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视频压缩标准：H.265/H.264/MJPEG </w:t>
            </w:r>
            <w:r/>
          </w:p>
          <w:p>
            <w:pPr>
              <w:numPr>
                <w:ilvl w:val="0"/>
                <w:numId w:val="1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移动通信类型：5G/4G</w:t>
            </w:r>
            <w:r/>
          </w:p>
          <w:p>
            <w:pPr>
              <w:numPr>
                <w:ilvl w:val="0"/>
                <w:numId w:val="1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支持智能资源模式切换：人脸抓拍、道路监控、热度图、人数统计，多种智能模式可按需切换</w:t>
            </w:r>
            <w:r/>
          </w:p>
          <w:p>
            <w:pPr>
              <w:numPr>
                <w:ilvl w:val="0"/>
                <w:numId w:val="1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在分辨率1920x1080 @ 25fps，码流设置为1Mbps时，视频图像传输延时不大于60ms。</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5G智能球机</w:t>
            </w:r>
            <w:r/>
          </w:p>
        </w:tc>
        <w:tc>
          <w:tcPr>
            <w:tcW w:w="6743" w:type="dxa"/>
            <w:vAlign w:val="center"/>
            <w:textDirection w:val="lrTb"/>
            <w:noWrap/>
          </w:tcPr>
          <w:p>
            <w:pPr>
              <w:numPr>
                <w:ilvl w:val="0"/>
                <w:numId w:val="1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传感器类型：1/1.8" Progressive Scan CMOS</w:t>
            </w:r>
            <w:r/>
          </w:p>
          <w:p>
            <w:pPr>
              <w:numPr>
                <w:ilvl w:val="0"/>
                <w:numId w:val="1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最低照度：彩色≤0.0005 Lux；黑白≤0.0001 Lux ；0 Lux with light </w:t>
            </w:r>
            <w:r/>
          </w:p>
          <w:p>
            <w:pPr>
              <w:numPr>
                <w:ilvl w:val="0"/>
                <w:numId w:val="1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焦距：≥25倍光学变倍</w:t>
            </w:r>
            <w:r/>
          </w:p>
          <w:p>
            <w:pPr>
              <w:numPr>
                <w:ilvl w:val="0"/>
                <w:numId w:val="1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视场角≥57.3-3.2度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广角-望远</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p>
          <w:p>
            <w:pPr>
              <w:numPr>
                <w:ilvl w:val="0"/>
                <w:numId w:val="1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补光灯距离：红外照射距离：最远≥200 m，白光照射距离：最远≥30 m</w:t>
            </w:r>
            <w:r/>
          </w:p>
          <w:p>
            <w:pPr>
              <w:numPr>
                <w:ilvl w:val="0"/>
                <w:numId w:val="1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水平速度：水平键控速度：0.1°-160°/s速度可设；水平预置点速度≥240°/s</w:t>
            </w:r>
            <w:r/>
          </w:p>
          <w:p>
            <w:pPr>
              <w:numPr>
                <w:ilvl w:val="0"/>
                <w:numId w:val="1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垂直速度：垂直键控速度：0.1°-120°/s，速度可设；垂直预置点速度≥200°/s </w:t>
            </w:r>
            <w:r/>
          </w:p>
          <w:p>
            <w:pPr>
              <w:numPr>
                <w:ilvl w:val="0"/>
                <w:numId w:val="1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移动通信类型：5G/4G</w:t>
            </w:r>
            <w:r/>
          </w:p>
          <w:p>
            <w:pPr>
              <w:numPr>
                <w:ilvl w:val="0"/>
                <w:numId w:val="1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支持多种智能资源切换： 全抓拍、道路监控</w:t>
            </w:r>
            <w:r/>
          </w:p>
          <w:p>
            <w:pPr>
              <w:numPr>
                <w:ilvl w:val="0"/>
                <w:numId w:val="1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全抓拍：支持人、非机动车、车辆混行检测，可同时对人脸、人体、非机动车、车辆进行抓拍并可对车牌识别提取</w:t>
            </w:r>
            <w:r/>
          </w:p>
          <w:p>
            <w:pPr>
              <w:numPr>
                <w:ilvl w:val="0"/>
                <w:numId w:val="1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支持越界侦测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区域入侵侦测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进入/离开区域侦测等智能侦测功能，支持基于事件触发联动球机进行跟踪</w:t>
            </w:r>
            <w:r/>
          </w:p>
          <w:p>
            <w:pPr>
              <w:numPr>
                <w:ilvl w:val="0"/>
                <w:numId w:val="1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支持车辆检测（支持车牌识别，车型/车身颜色/车牌颜色识别）和混行检测</w:t>
            </w:r>
            <w:r/>
          </w:p>
          <w:p>
            <w:pPr>
              <w:numPr>
                <w:ilvl w:val="0"/>
                <w:numId w:val="1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采用去噪卷积神经网络将深度结构、学习算法用于图像去噪，最终使画面成像更加清晰，噪点更小图像更干净</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气象环境采集监测仪</w:t>
            </w:r>
            <w:r/>
          </w:p>
        </w:tc>
        <w:tc>
          <w:tcPr>
            <w:tcW w:w="6743" w:type="dxa"/>
            <w:vAlign w:val="center"/>
            <w:textDirection w:val="lrTb"/>
            <w:noWrap/>
          </w:tcPr>
          <w:p>
            <w:pPr>
              <w:numPr>
                <w:ilvl w:val="0"/>
                <w:numId w:val="12"/>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温度测量范围≥-40℃～+60℃</w:t>
            </w:r>
            <w:r/>
          </w:p>
          <w:p>
            <w:pPr>
              <w:numPr>
                <w:ilvl w:val="0"/>
                <w:numId w:val="12"/>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温度精度≤±0.3℃</w:t>
            </w:r>
            <w:r/>
          </w:p>
          <w:p>
            <w:pPr>
              <w:numPr>
                <w:ilvl w:val="0"/>
                <w:numId w:val="12"/>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湿度测量范围≥0～100% RH</w:t>
            </w:r>
            <w:r/>
          </w:p>
          <w:p>
            <w:pPr>
              <w:numPr>
                <w:ilvl w:val="0"/>
                <w:numId w:val="12"/>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湿度精度≤±3% RH（20%～80% RH 区间）</w:t>
            </w:r>
            <w:r/>
          </w:p>
          <w:p>
            <w:pPr>
              <w:numPr>
                <w:ilvl w:val="0"/>
                <w:numId w:val="12"/>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风速量程≥0～60m/s</w:t>
            </w:r>
            <w:r/>
          </w:p>
          <w:p>
            <w:pPr>
              <w:numPr>
                <w:ilvl w:val="0"/>
                <w:numId w:val="12"/>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风速测量精度≤±(0.3+0.03V) m/s（V 为实测风速）</w:t>
            </w:r>
            <w:r/>
          </w:p>
          <w:p>
            <w:pPr>
              <w:numPr>
                <w:ilvl w:val="0"/>
                <w:numId w:val="12"/>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风向测量范围≥0°～360°</w:t>
            </w:r>
            <w:r/>
          </w:p>
          <w:p>
            <w:pPr>
              <w:numPr>
                <w:ilvl w:val="0"/>
                <w:numId w:val="12"/>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风向测量精度≤±5°</w:t>
            </w:r>
            <w:r/>
          </w:p>
          <w:p>
            <w:pPr>
              <w:numPr>
                <w:ilvl w:val="0"/>
                <w:numId w:val="12"/>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实时采集工作功耗≤1～3W</w:t>
            </w:r>
            <w:r/>
          </w:p>
          <w:p>
            <w:pPr>
              <w:numPr>
                <w:ilvl w:val="0"/>
                <w:numId w:val="12"/>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全天候自动循环采集温湿度、气压、风速风向、雨量等多项气象参数</w:t>
            </w:r>
            <w:r/>
          </w:p>
          <w:p>
            <w:pPr>
              <w:numPr>
                <w:ilvl w:val="0"/>
                <w:numId w:val="12"/>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传感器故障自动识别，异常数值标记剔除，避免无效数据上传</w:t>
            </w:r>
            <w:r/>
          </w:p>
          <w:p>
            <w:pPr>
              <w:numPr>
                <w:ilvl w:val="0"/>
                <w:numId w:val="12"/>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阈值自定义设置：高温、低温、大风、暴雨、颗粒物超标等</w:t>
            </w:r>
            <w:r/>
          </w:p>
          <w:p>
            <w:pPr>
              <w:numPr>
                <w:ilvl w:val="0"/>
                <w:numId w:val="12"/>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防雷设计：电源、通讯端口集成浪涌保护，户外雷雨天气安全使用</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6米立杆及基础</w:t>
            </w:r>
            <w:r/>
          </w:p>
        </w:tc>
        <w:tc>
          <w:tcPr>
            <w:tcW w:w="6743" w:type="dxa"/>
            <w:vAlign w:val="center"/>
            <w:textDirection w:val="lrTb"/>
            <w:noWrap/>
          </w:tcPr>
          <w:p>
            <w:pPr>
              <w:numPr>
                <w:ilvl w:val="0"/>
                <w:numId w:val="13"/>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6米镀锌钢立杆及基础：</w:t>
            </w:r>
            <w:r/>
          </w:p>
          <w:p>
            <w:pPr>
              <w:numPr>
                <w:ilvl w:val="0"/>
                <w:numId w:val="13"/>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国标5MM，直径140变76mm；</w:t>
            </w:r>
            <w:r/>
          </w:p>
          <w:p>
            <w:pPr>
              <w:numPr>
                <w:ilvl w:val="0"/>
                <w:numId w:val="13"/>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配套地笼（对角线240mm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边距170mm折叠地笼）</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4米立杆及基础</w:t>
            </w:r>
            <w:r/>
          </w:p>
        </w:tc>
        <w:tc>
          <w:tcPr>
            <w:tcW w:w="6743" w:type="dxa"/>
            <w:vAlign w:val="center"/>
            <w:textDirection w:val="lrTb"/>
            <w:noWrap/>
          </w:tcPr>
          <w:p>
            <w:pPr>
              <w:numPr>
                <w:ilvl w:val="0"/>
                <w:numId w:val="14"/>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4米镀锌钢立杆及基础：</w:t>
            </w:r>
            <w:r/>
          </w:p>
          <w:p>
            <w:pPr>
              <w:numPr>
                <w:ilvl w:val="0"/>
                <w:numId w:val="14"/>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国标4MM，直径140变76mm；</w:t>
            </w:r>
            <w:r/>
          </w:p>
          <w:p>
            <w:pPr>
              <w:numPr>
                <w:ilvl w:val="0"/>
                <w:numId w:val="14"/>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配套地笼（对角线240mm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边距170mm折叠地笼）</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3米立杆及基础</w:t>
            </w:r>
            <w:r/>
          </w:p>
        </w:tc>
        <w:tc>
          <w:tcPr>
            <w:tcW w:w="6743" w:type="dxa"/>
            <w:vAlign w:val="center"/>
            <w:textDirection w:val="lrTb"/>
            <w:noWrap/>
          </w:tcPr>
          <w:p>
            <w:pPr>
              <w:numPr>
                <w:ilvl w:val="0"/>
                <w:numId w:val="1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3米镀锌钢立杆及基础：</w:t>
            </w:r>
            <w:r/>
          </w:p>
          <w:p>
            <w:pPr>
              <w:numPr>
                <w:ilvl w:val="0"/>
                <w:numId w:val="1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国标4MM，直径140变76mm；</w:t>
            </w:r>
            <w:r/>
          </w:p>
          <w:p>
            <w:pPr>
              <w:numPr>
                <w:ilvl w:val="0"/>
                <w:numId w:val="1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配套地笼（对角线240mm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边距170mm折叠地笼）</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200W太阳能板</w:t>
            </w:r>
            <w:r/>
          </w:p>
        </w:tc>
        <w:tc>
          <w:tcPr>
            <w:tcW w:w="6743" w:type="dxa"/>
            <w:vAlign w:val="center"/>
            <w:textDirection w:val="lrTb"/>
            <w:noWrap/>
          </w:tcPr>
          <w:p>
            <w:pPr>
              <w:numPr>
                <w:ilvl w:val="0"/>
                <w:numId w:val="1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单晶太阳能板工作电流：5.4A；开路电压：21.5V；短路电流：5.8A；</w:t>
            </w:r>
            <w:r/>
          </w:p>
          <w:p>
            <w:pPr>
              <w:numPr>
                <w:ilvl w:val="0"/>
                <w:numId w:val="1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发电功率：200W（峰值224瓦）</w:t>
            </w:r>
            <w:r/>
          </w:p>
          <w:p>
            <w:pPr>
              <w:numPr>
                <w:ilvl w:val="0"/>
                <w:numId w:val="1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光伏最高输入电压50V保护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停止充电。低于45V恢复；                                                                    内置反接保护，开路保护，高温保护，过流/短路保护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可设置</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，均为自恢复型；</w:t>
            </w:r>
            <w:r/>
          </w:p>
          <w:p>
            <w:pPr>
              <w:numPr>
                <w:ilvl w:val="0"/>
                <w:numId w:val="1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电池参数：12V 100AH ；</w:t>
            </w:r>
            <w:r/>
          </w:p>
          <w:p>
            <w:pPr>
              <w:numPr>
                <w:ilvl w:val="0"/>
                <w:numId w:val="1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双MOS防倒灌电路，超低发热量；</w:t>
            </w:r>
            <w:r/>
          </w:p>
          <w:p>
            <w:pPr>
              <w:numPr>
                <w:ilvl w:val="0"/>
                <w:numId w:val="1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具备锂电池激活功能；</w:t>
            </w:r>
            <w:r/>
          </w:p>
          <w:p>
            <w:pPr>
              <w:numPr>
                <w:ilvl w:val="0"/>
                <w:numId w:val="1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电池内含智能保护板，具有短路保护，过充保护，过放保护，过流保护，温度保护等功能。</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120W太阳能板</w:t>
            </w:r>
            <w:r/>
          </w:p>
        </w:tc>
        <w:tc>
          <w:tcPr>
            <w:tcW w:w="6743" w:type="dxa"/>
            <w:vAlign w:val="center"/>
            <w:textDirection w:val="lrTb"/>
            <w:noWrap/>
          </w:tcPr>
          <w:p>
            <w:pPr>
              <w:numPr>
                <w:ilvl w:val="0"/>
                <w:numId w:val="1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工作温度：-40℃—85℃；工作电压：18V；</w:t>
            </w:r>
            <w:r/>
          </w:p>
          <w:p>
            <w:pPr>
              <w:numPr>
                <w:ilvl w:val="0"/>
                <w:numId w:val="1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工作电流：5.4A；开路电压：21.5V；短路电流：5.8A；</w:t>
            </w:r>
            <w:r/>
          </w:p>
          <w:p>
            <w:pPr>
              <w:numPr>
                <w:ilvl w:val="0"/>
                <w:numId w:val="1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发电功率：120瓦</w:t>
            </w:r>
            <w:r/>
          </w:p>
          <w:p>
            <w:pPr>
              <w:numPr>
                <w:ilvl w:val="0"/>
                <w:numId w:val="1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光伏最高输入电压 50V保护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停止充电。低于45V恢复；                                                                    内置反接保护，开路保护，高温保护，过流/短路保护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可设置</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，均为自恢复型；</w:t>
            </w:r>
            <w:r/>
          </w:p>
          <w:p>
            <w:pPr>
              <w:numPr>
                <w:ilvl w:val="0"/>
                <w:numId w:val="1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双MOS防倒灌电路，超低发热量；</w:t>
            </w:r>
            <w:r/>
          </w:p>
          <w:p>
            <w:pPr>
              <w:numPr>
                <w:ilvl w:val="0"/>
                <w:numId w:val="1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具备锂电池激活功能；</w:t>
            </w:r>
            <w:r/>
          </w:p>
          <w:p>
            <w:pPr>
              <w:numPr>
                <w:ilvl w:val="0"/>
                <w:numId w:val="1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电池参数：12V60AH ；</w:t>
            </w:r>
            <w:r/>
          </w:p>
          <w:p>
            <w:pPr>
              <w:numPr>
                <w:ilvl w:val="0"/>
                <w:numId w:val="1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内含智能保护板，具有短路保护，过充保护，过放保护，过流保护，温度保护等功能</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14</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系统集成服务</w:t>
            </w:r>
            <w:r/>
          </w:p>
        </w:tc>
        <w:tc>
          <w:tcPr>
            <w:tcW w:w="6743"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设备调试及服务期内维保服务</w:t>
            </w:r>
            <w:r/>
          </w:p>
        </w:tc>
      </w:tr>
      <w:tr>
        <w:trPr>
          <w:trHeight w:val="20"/>
        </w:trPr>
        <w:tc>
          <w:tcPr>
            <w:gridSpan w:val="3"/>
            <w:tcW w:w="9970"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lang w:bidi="ar"/>
              </w:rPr>
              <w:t xml:space="preserve">通信传输网络</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VPN 网络及服务1</w:t>
            </w:r>
            <w:r/>
          </w:p>
        </w:tc>
        <w:tc>
          <w:tcPr>
            <w:tcW w:w="6743"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带宽不低于20M，1年服务期</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VPN 网络及服务2</w:t>
            </w:r>
            <w:r/>
          </w:p>
        </w:tc>
        <w:tc>
          <w:tcPr>
            <w:tcW w:w="6743"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带宽不低于100M，1年服务期</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VPN 网络及服务3</w:t>
            </w:r>
            <w:r/>
          </w:p>
        </w:tc>
        <w:tc>
          <w:tcPr>
            <w:tcW w:w="6743"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带宽不低于2000M，1年服务期</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5G物联网卡</w:t>
            </w:r>
            <w:r/>
          </w:p>
        </w:tc>
        <w:tc>
          <w:tcPr>
            <w:tcW w:w="6743"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5G网络传输流量池，单卡900G/月，一年服务期</w:t>
            </w:r>
            <w:r/>
          </w:p>
        </w:tc>
      </w:tr>
      <w:tr>
        <w:trPr>
          <w:trHeight w:val="20"/>
        </w:trPr>
        <w:tc>
          <w:tcPr>
            <w:gridSpan w:val="3"/>
            <w:tcW w:w="9970"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三、</w:t>
            </w:r>
            <w:r>
              <w:rPr>
                <w:rFonts w:hint="eastAsia" w:ascii="宋体" w:hAnsi="宋体" w:cs="宋体"/>
                <w:b/>
                <w:bCs/>
                <w:color w:val="000000"/>
                <w:sz w:val="24"/>
                <w:szCs w:val="24"/>
                <w:highlight w:val="none"/>
                <w:lang w:bidi="ar"/>
              </w:rPr>
              <w:t xml:space="preserve">后端硬件系统</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森林防火预警监测平台系统升级</w:t>
            </w:r>
            <w:r/>
          </w:p>
        </w:tc>
        <w:tc>
          <w:tcPr>
            <w:tcW w:w="6743"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（1）综合态势监测中心</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 综合态势平台：依托 GIS 地图汇聚多部门防火数据，统一展示地理、资源、告警等信息，构建森林防火可视化指挥底座。</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 视频监控管理：统一接入各类视频及无人机流，实现预览回放云台控制，火情时自动调阅监控画面支撑现场研判。</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 环境数据采集：物联网传感器采集温湿度、风速、降雨等环境数据，可动态调整采集频次，为火险研判提供数据支撑。</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 火险热力图：基于 GIS 融合气象、历史火情生成全域火险热力图，直观展示风险等级，辅助巡护力量科学部署。</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 设备状态监测：集中监测摄像头、气象站、无人机等设备运行指标，异常自动告警联动工单，保障感知体系稳定可靠。</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 实时态势展示：指挥驾驶舱大屏可视化展示火险、告警、人员车流、设备、应急资源，提升全域风险研判响应效率。</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 舆情监测：采集互联网林区舆情，识别露营、野外用火等风险信息预警，实现线上舆情与线下防火管理联动。</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（2）火险智能预警</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 AI 火焰识别：采用视觉 AI 算法识别明火，抑制反光、夕阳等干扰源，降低误报，实现全天候火情智能监测。</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 人员识别：AI 视频识别进山、祭祀等人员并分类统计，标记重点人员关联轨迹，支撑人员管控与事后追溯。</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 车辆识别：检测采集进出林区车辆信息，依据管控规则识别告警违规车辆，为封山、交通管控提供依据。</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 智能误报过滤：多维度 AI 过滤云彩、反光、扬尘等干扰，经二次复核校验，减少无效告警，减轻人工核验压力。</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 自动预警推送：分级分类设置预警规则，通过短信向各级责任人推送告警，实现早发现、早预警、早响应。</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 特定人员识别：建立人员黑白名单，跟踪特定人员进出与活动轨迹，触发规则即告警，服务风险管控及溯源。</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（3）火情报警与定位</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 火情报警：AI 检测疑似火情自动生成报警记录，纳入平台处置流程，支持确认、误报标记、升级，实现报警全生命周期管理。</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 告警弹窗：火情发生时大屏与 PC 端弹出高亮告警窗口，展示火点图文信息，提供确认、派发、误报快捷操作。</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 消息推送：通过短信推送火情信息给相关责任人，附带位置图片与处置提示，形成报警‑接收‑处置信息闭环。</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 火点定位：结合云台标定、GIS、多源定位技术完成火点空间定位并地图标注，为现场人员赶赴现场提供位置依据。</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 视频联动：火情触发自动调取周边多路监控，条件允许调度无人机复核，构建地面 + 空中协同监测模式。</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 抓拍图片：疑似火情自动抓拍存储关键帧图片，关联事件信息，用于现场核验、火情处置与档案归档。</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 声光报警：在坟区、卡口等重点区域联动声光设备，对现场违规用火进行语音警示，及时干预火险隐患。</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 无人机复核：火情发生后生成无人机复核任务，调度设备回传可见光、红外数据，支撑火点确认与扑救指挥。</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 客流车流与重点区域防控</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 客流统计：卡口 AI 统计林区进出人员，多维度分析客流，高峰时段输出客流分布，支撑限流分流与巡护部署。</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 车流统计：识别统计进出车辆信息，分析车流趋势，告警禁行区违规车辆，服务交通疏导与应急通道保障。</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 重点区域管理：对坟区、露营区等高危区域设置电子围栏，划分风险等级，配置差异化监测巡护管控策略。</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 祭扫专项管理：针对清明、冬至等祭扫时段启用专项防控，AI 识别祭祀明火告警，联动声光提醒与网格员巡查。</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 防火期管理：可自定义防火期时段，系统自动切换监测、预警、巡护策略，关联值班预案物资并平台提示。</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 封山管理：火险达阈值可启动封山管控，多渠道发布禁令，AI 识别告警违规人车，同步调整巡护值守方案。</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 巡查任务下发：结合火险、节假日、风险区域自动生成巡查任务推送移动端，支持跟踪、超时提醒、完成统计。</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（5）网格巡护管理</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 网格管理：按防火要素划分责任网格，GIS 支持网格编辑导入导出，依据季节火险动态调整，落实精细化防火责任。</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 护林员管理：建立护林员电子档案，移动端实时定位，统计巡护里程签到，配置权限支撑调度与绩效考核。</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 巡护任务管理：配置标准化巡护模板，系统自动生成周期或临时任务，全程跟踪进度，对逾期任务自动提醒。</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 巡护签到：护林员支持多方式点位签到，弱网可离线签到，联网后同步数据，实现巡护过程可记录可核验。</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 隐患上报：护林员移动端上报各类防火隐患并附图文，系统按网格自动分派，实现隐患上报‑处置‑整改‑验收闭环。</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 数据分析与辅助决策</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 火险分析：整合历史火情、气象、植被数据研判火险规律，识别高风险时段区域，推动森林防火由被动处置转为主动预防。</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 火势推演：综合火点、气象、地形植被构建蔓延模型，模拟火灾发展态势，GIS 可视化输出结果辅助应急处置决策。</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 数据统计：对火情、巡护、隐患、人车、设备等业务做多维度统计，支持条件筛选、图表可视化及统计结果导出。</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 趋势分析：基于时序数据对火险、人车流量、气象指标做周期同比环比分析，辅助火险预测，支撑防控策略优化。</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 专题报表：围绕火险评估、巡护考核等自动生成专题报表，支持导出归档，满足日常管理、专项检查、向上报送需求。</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 数据看板：可配置多角色数据看板，展示核心防火指标，适配大屏、PC、移动端，实现防火关键数据集中展示。</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 辅助决策：火情发生后整合多源信息输出扑救力量、物资、水源、疏散路线等建议，支持人工调整辅助制定处置方案。</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 AI 数字人问答库：搭建森林防火数字人知识库，面向各级人员提供业务智能问答检索，提升知识服务与辅助决策效率。</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（7）应急指挥调度</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 火情处置：建立火情全流程处置机制，电子工单记录各环节，关联视频、位置、气象，实现处置过程跟踪与全程留痕。</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 任务派发：火情确认后向各类应急力量派发扑救、疏散、警戒任务，附带位置导航，明确优先级时限，做到责任到人。</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 人员调度：展示应急人员位置与任务状态，筛选就近可调度人员测算抵达时间，辅助人员编组与就近力量调配。</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 资源调度：建立应急资源数据库，GIS 展示物资装备状态，火情自动匹配周边资源，辅助指挥人员快速完成资源调配。</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 指挥调度记录：完整记录会商、指令、调度、反馈信息形成处置时间轴，支持回放查询，服务复盘追溯与应急培训。</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 调度会议室：实现会议室预约、冲突检测、使用记录管理，支撑火情应急会商，提升跨部门协同指挥效率。</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（8）火情档案管理</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 火情档案：每起火情建立 “一案一档” 电子档案，汇集事件基础、报警、处置、损失等多源数据，支持人工补充完善。</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 事件归档：处置结束后自动汇聚事件全部图文音视频资料，按时间轴整理归档，实现火情资料完整规范可追溯。</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 档案查询：提供多条件组合及关键词模糊检索，快速调取历史火情档案，提升档案查阅与业务分析工作效率。</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 统计归档：按月 / 季 / 年开展火情统计分析，生成标准化报告归档，支撑工作总结、专项检查及防火长期规划编制。</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 历史追溯：搭建全域火情时间轴，可筛选查看历史火情及同期业务数据，分析风险规律为防火策略优化提供依据。</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视频管理系统扩容</w:t>
            </w:r>
            <w:r/>
          </w:p>
        </w:tc>
        <w:tc>
          <w:tcPr>
            <w:tcW w:w="6743"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监控点位接入管理及转发能力扩容</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AI 视频分析服务器</w:t>
            </w:r>
            <w:r/>
          </w:p>
        </w:tc>
        <w:tc>
          <w:tcPr>
            <w:tcW w:w="6743" w:type="dxa"/>
            <w:vAlign w:val="center"/>
            <w:textDirection w:val="lrTb"/>
            <w:noWrap/>
          </w:tcPr>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处理器：总核数不低于72核@1.6GHz</w:t>
            </w:r>
            <w:r/>
          </w:p>
          <w:p>
            <w:pPr>
              <w:numPr>
                <w:ilvl w:val="0"/>
                <w:numId w:val="18"/>
              </w:numPr>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CNN类模型的芯片利用率不低于70%；（提供具备CNAS或CMA标识的第三方检测机构出具的检测报告扫描件并加盖投标人公章）</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运算精度：支持INT8、INT16、FP32</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AI算力总峰值算力不低于：48TOPS@INT8支持H.264、H.265</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支持4K/1080P/720P/D1/CIF</w:t>
            </w:r>
            <w:r/>
          </w:p>
          <w:p>
            <w:pPr>
              <w:numPr>
                <w:ilvl w:val="0"/>
                <w:numId w:val="18"/>
              </w:numPr>
              <w:jc w:val="left"/>
              <w:spacing w:line="360" w:lineRule="auto"/>
              <w:widowControl/>
              <w:rPr>
                <w:rFonts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支持不低于128路1080P@25fps视频流分析</w:t>
            </w:r>
            <w:r/>
          </w:p>
          <w:p>
            <w:pPr>
              <w:numPr>
                <w:ilvl w:val="0"/>
                <w:numId w:val="18"/>
              </w:numPr>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对烟雾、火焰进行识别和告警检出率≥97%，准确率≥97%（提供具备CNAS或CMA标识的第三方检测机构出具的检测报告扫描件并加盖投标人公章）</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对进入和离开人数进行统计和告警检出率≥99%，准确率≥99%</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支持人脸白名单、黑名单、陌生人进行告警，对车牌进行识别和告警</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支持对关联的摄像头状态、算法分析任务状态进行统一监控，并可根据状态对摄像头进行查询。</w:t>
            </w:r>
            <w:r/>
          </w:p>
          <w:p>
            <w:pPr>
              <w:numPr>
                <w:ilvl w:val="0"/>
                <w:numId w:val="18"/>
              </w:numPr>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支持集群化管理，可对集群内的AI计算服</w:t>
            </w:r>
            <w:r>
              <w:rPr>
                <w:rFonts w:hint="eastAsia" w:ascii="宋体" w:hAnsi="宋体" w:cs="宋体"/>
                <w:b/>
                <w:bCs/>
                <w:color w:val="000000"/>
                <w:sz w:val="24"/>
                <w:szCs w:val="24"/>
                <w:highlight w:val="none"/>
                <w:lang w:eastAsia="zh-CN"/>
              </w:rPr>
              <w:t xml:space="preserve">务</w:t>
            </w:r>
            <w:r>
              <w:rPr>
                <w:rFonts w:hint="eastAsia" w:ascii="宋体" w:hAnsi="宋体" w:cs="宋体"/>
                <w:b/>
                <w:bCs/>
                <w:color w:val="000000"/>
                <w:sz w:val="24"/>
                <w:szCs w:val="24"/>
                <w:highlight w:val="none"/>
              </w:rPr>
              <w:t xml:space="preserve">节点的状态监控、调度与管理（提供具备CNAS或CMA标识的第三方检测机构出具的检测报告扫描件并加盖投标人公章）</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支持对计算服务节点的WEB端远程控制，包括视频接入、算法下发、设备重启等操作。</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支持RTSP、RTMP、GB/T28181等视频协议。</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支持单路视频开启全部算法</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支持实时视频流分析，支持配置算法阈值、ROI</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检测区域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、抽帧频率、推送分析间隔；支持配置文件的快速导入导出。</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支持图片分析，支持API调用对接模式；支持上传本地图片查看分析结果；</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支持算法分析演示功能，通过在视频中叠加检测框，对异常行为进行实时跟踪；支持演示视频流转发功能。</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支持算法联动分析，将一级算法的结果作为输入，进行二次分析后输出，可支持视频+图片联动分析、图片+图片联动分析。</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支持相似度阈值配置，对报警对象进行过滤。</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支持报警片段录制。</w:t>
            </w:r>
            <w:r/>
          </w:p>
          <w:p>
            <w:pPr>
              <w:numPr>
                <w:ilvl w:val="0"/>
                <w:numId w:val="1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支持在线、离线算法商店，通过算法商店快速进行算法上传、安装和卸载；支持算法种类根据项目需求自行添加</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指挥调度控制终端</w:t>
            </w:r>
            <w:r/>
          </w:p>
        </w:tc>
        <w:tc>
          <w:tcPr>
            <w:tcW w:w="6743" w:type="dxa"/>
            <w:vAlign w:val="center"/>
            <w:textDirection w:val="lrTb"/>
            <w:noWrap/>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显示屏幕：整机屏幕尺寸≥23.8 英寸；</w:t>
            </w:r>
            <w:r/>
          </w:p>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处理器：CPU主频不低于2.6 GHz；</w:t>
            </w:r>
            <w:r/>
          </w:p>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内存：≥16GB DDR5；</w:t>
            </w:r>
            <w:r/>
          </w:p>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存储：≥1TB SSD 固态硬盘；</w:t>
            </w:r>
            <w:r/>
          </w:p>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 外设配件：配套提供指挥耳麦 1 套。</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移动指挥终端</w:t>
            </w:r>
            <w:r/>
          </w:p>
        </w:tc>
        <w:tc>
          <w:tcPr>
            <w:tcW w:w="6743" w:type="dxa"/>
            <w:vAlign w:val="center"/>
            <w:textDirection w:val="lrTb"/>
            <w:noWrap/>
          </w:tcPr>
          <w:p>
            <w:pPr>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US" w:eastAsia="zh-CN"/>
              </w:rPr>
              <w:t xml:space="preserve">处理器：搭载八核处理器，CPU主频配置不低于2.40GHz；</w:t>
            </w:r>
            <w:r/>
          </w:p>
          <w:p>
            <w:p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运行内存（RAM）：≥12GB；</w:t>
            </w:r>
            <w:r/>
          </w:p>
          <w:p>
            <w:p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3.机身存储（ROM）：≥256GB</w:t>
            </w:r>
            <w:r/>
          </w:p>
          <w:p>
            <w:pPr>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高刷2.8K超清全面屏，</w:t>
            </w:r>
            <w:r>
              <w:rPr>
                <w:rFonts w:hint="eastAsia" w:ascii="宋体" w:hAnsi="宋体" w:cs="宋体"/>
                <w:color w:val="000000"/>
                <w:sz w:val="24"/>
                <w:szCs w:val="24"/>
                <w:highlight w:val="none"/>
                <w:lang w:eastAsia="zh-CN"/>
              </w:rPr>
              <w:t xml:space="preserve">Wi-Fi</w:t>
            </w:r>
            <w:r>
              <w:rPr>
                <w:rFonts w:hint="eastAsia" w:ascii="宋体" w:hAnsi="宋体" w:eastAsia="宋体" w:cs="宋体"/>
                <w:color w:val="000000"/>
                <w:sz w:val="24"/>
                <w:szCs w:val="24"/>
                <w:highlight w:val="none"/>
                <w:lang w:eastAsia="zh-CN"/>
              </w:rPr>
              <w:t xml:space="preserve">版</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配置管理平台</w:t>
            </w:r>
            <w:r/>
          </w:p>
        </w:tc>
        <w:tc>
          <w:tcPr>
            <w:tcW w:w="6743" w:type="dxa"/>
            <w:vAlign w:val="center"/>
            <w:textDirection w:val="lrTb"/>
            <w:noWrap/>
          </w:tcPr>
          <w:p>
            <w:pPr>
              <w:numPr>
                <w:ilvl w:val="0"/>
                <w:numId w:val="19"/>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CPU：配置2颗国产CUP</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单处理器物理核心数≥8核，主频≥3.0 GHz，末级缓存容量≥16 MB，线程数≥16线程，支持内存的最高速率≥3200 MHz，通道数≥2，位宽≥64；</w:t>
            </w:r>
            <w:r/>
          </w:p>
          <w:p>
            <w:pPr>
              <w:numPr>
                <w:ilvl w:val="0"/>
                <w:numId w:val="19"/>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内存：配置≥64G DDR4，≥8根内存插槽，最大可支持扩展至1TB；</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流媒体服务器</w:t>
            </w:r>
            <w:r/>
          </w:p>
        </w:tc>
        <w:tc>
          <w:tcPr>
            <w:tcW w:w="6743" w:type="dxa"/>
            <w:vAlign w:val="center"/>
            <w:textDirection w:val="lrTb"/>
            <w:noWrap/>
          </w:tcPr>
          <w:p>
            <w:pPr>
              <w:numPr>
                <w:ilvl w:val="0"/>
                <w:numId w:val="19"/>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CPU：单处理器物理核心数≥8核，主频≥3.0 GHz，线程数≥16线程</w:t>
            </w:r>
            <w:r/>
          </w:p>
          <w:p>
            <w:pPr>
              <w:numPr>
                <w:ilvl w:val="0"/>
                <w:numId w:val="19"/>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内存：配置≥32G DDR4，最大支持4根内存插槽；</w:t>
            </w:r>
            <w:r/>
          </w:p>
          <w:p>
            <w:pPr>
              <w:numPr>
                <w:ilvl w:val="0"/>
                <w:numId w:val="19"/>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硬盘：2块480G 2.5寸 SSD硬盘；最大支持4个内置3.5寸/2.5寸硬盘；板载最大可选支持1个 M.2硬盘；</w:t>
            </w:r>
            <w:r/>
          </w:p>
          <w:p>
            <w:pPr>
              <w:numPr>
                <w:ilvl w:val="0"/>
                <w:numId w:val="19"/>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阵列卡：配置1张双口SATA HBA卡（支持RAID 0/1），最大支持2块SATA硬盘接入；硬盘扩容需新增阵列卡或直连主板；</w:t>
            </w:r>
            <w:r/>
          </w:p>
          <w:p>
            <w:pPr>
              <w:numPr>
                <w:ilvl w:val="0"/>
                <w:numId w:val="19"/>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PCIE扩展：最大支持4个PCIe4.0x16PCIE插槽；slot1、3为PCIe4.0 x8信号，slot2、4为PCIe4.0 x4信号；</w:t>
            </w:r>
            <w:r/>
          </w:p>
          <w:p>
            <w:pPr>
              <w:numPr>
                <w:ilvl w:val="0"/>
                <w:numId w:val="19"/>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网口：配置2个千兆电口，1个IPMI管理口；</w:t>
            </w:r>
            <w:r/>
          </w:p>
          <w:p>
            <w:pPr>
              <w:numPr>
                <w:ilvl w:val="0"/>
                <w:numId w:val="19"/>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其他接口≥前置2个USB2.0接口，后置4个USB3.2接口，1个后置VGA显示接口，1个COM串口</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RS232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，一组3音频口</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麦克风、输入、输出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p>
          <w:p>
            <w:pPr>
              <w:numPr>
                <w:ilvl w:val="0"/>
                <w:numId w:val="19"/>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电源：标配550W CRPS 1+1冗余电源；</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存储节点</w:t>
            </w:r>
            <w:r/>
          </w:p>
        </w:tc>
        <w:tc>
          <w:tcPr>
            <w:shd w:val="clear" w:color="auto" w:fill="auto"/>
            <w:tcW w:w="6743" w:type="dxa"/>
            <w:vAlign w:val="center"/>
            <w:textDirection w:val="lrTb"/>
            <w:noWrap/>
          </w:tcPr>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处理器：不低于八核处理器，CPU主频配置不低于1.2GHz</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系统内存≥8GB</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磁盘接口：48个SATA接口，支持硬盘热插拔</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网络接口：≥3个2.5G数据网口，≥1个2.5G管理口</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整机电源≥1200W，1+1冗余电源</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其他接口≥1×COM，2×USB2.0（前置），2×USB3.0（后置），1×VGA（后置），1×HDMI（后置）</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视频性能：最大支持接入≥550路</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图片性能：最大支持≥50张/S（单张图片500KB）</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回放性能：最大支持≥55路2Mbps</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事件录像：最大支持≥200路2Mbps</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支持视频流直写、图片直写</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支持ONVIF、GB/T 28181、RTSP等标准协议</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运行状态下，可自动识别域内所有设备，并通过“一键配置”选项配置完成存储模式后，可直接运行业务，通过一键配置快速部署网络，时间，阵列，存储池；</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支持局部重构，原盘或其克隆盘拔出设备后再插回，未被覆盖数据可快速恢复</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支持视频检索功能，按照监控点编号、录像类型、时间组合等条件查询</w:t>
            </w:r>
            <w:r/>
          </w:p>
          <w:p>
            <w:pPr>
              <w:numPr>
                <w:ilvl w:val="0"/>
                <w:numId w:val="20"/>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支持视频回放功能：正序回放、定位回放、倍速回放等功能</w:t>
            </w:r>
            <w:r/>
          </w:p>
          <w:p>
            <w:pPr>
              <w:numPr>
                <w:ilvl w:val="0"/>
                <w:numId w:val="20"/>
              </w:numPr>
              <w:ind w:left="227" w:hanging="227"/>
              <w:jc w:val="left"/>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支持按需取流功能，未处于录像计划时间内的通道不占用网络带宽</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16T硬盘</w:t>
            </w:r>
            <w:r/>
          </w:p>
        </w:tc>
        <w:tc>
          <w:tcPr>
            <w:tcW w:w="6743" w:type="dxa"/>
            <w:vAlign w:val="center"/>
            <w:textDirection w:val="lrTb"/>
            <w:noWrap/>
          </w:tcPr>
          <w:p>
            <w:pPr>
              <w:numPr>
                <w:ilvl w:val="0"/>
                <w:numId w:val="2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3.5英寸，SATA3.0接口，7200RPM</w:t>
            </w:r>
            <w:r/>
          </w:p>
          <w:p>
            <w:pPr>
              <w:numPr>
                <w:ilvl w:val="0"/>
                <w:numId w:val="2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传输速率≥269 MB/s，512MB高速缓存，流畅存储视频有效防止丢帧</w:t>
            </w:r>
            <w:r/>
          </w:p>
          <w:p>
            <w:pPr>
              <w:numPr>
                <w:ilvl w:val="0"/>
                <w:numId w:val="2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MTBF≥2,500,000小时</w:t>
            </w:r>
            <w:r/>
          </w:p>
          <w:p>
            <w:pPr>
              <w:numPr>
                <w:ilvl w:val="0"/>
                <w:numId w:val="2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平均读写功率（W）：≥6.4W</w:t>
            </w:r>
            <w:r/>
          </w:p>
          <w:p>
            <w:pPr>
              <w:numPr>
                <w:ilvl w:val="0"/>
                <w:numId w:val="2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缓存≥512MB</w:t>
            </w:r>
            <w:r/>
          </w:p>
          <w:p>
            <w:pPr>
              <w:numPr>
                <w:ilvl w:val="0"/>
                <w:numId w:val="2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标称容量：16TB</w:t>
            </w:r>
            <w:r/>
          </w:p>
          <w:p>
            <w:pPr>
              <w:numPr>
                <w:ilvl w:val="0"/>
                <w:numId w:val="2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刻录技术：CMR</w:t>
            </w:r>
            <w:r/>
          </w:p>
          <w:p>
            <w:pPr>
              <w:numPr>
                <w:ilvl w:val="0"/>
                <w:numId w:val="21"/>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接口传输速率（最大值）≥6.0Gb/s</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视频防护平台</w:t>
            </w:r>
            <w:r/>
          </w:p>
        </w:tc>
        <w:tc>
          <w:tcPr>
            <w:tcW w:w="6743" w:type="dxa"/>
            <w:vAlign w:val="center"/>
            <w:textDirection w:val="lrTb"/>
            <w:noWrap/>
          </w:tcPr>
          <w:p>
            <w:pPr>
              <w:numPr>
                <w:ilvl w:val="0"/>
                <w:numId w:val="22"/>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CPU、操作系统须为国产化；</w:t>
            </w:r>
            <w:r/>
          </w:p>
          <w:p>
            <w:pPr>
              <w:numPr>
                <w:ilvl w:val="0"/>
                <w:numId w:val="22"/>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配置≥16G内存，2T机械硬盘；</w:t>
            </w:r>
            <w:r/>
          </w:p>
          <w:p>
            <w:pPr>
              <w:numPr>
                <w:ilvl w:val="0"/>
                <w:numId w:val="22"/>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整机网络层吞吐量不小于30Gbps，整机TCP并发不小于1100W，默认开通审计中心功能；</w:t>
            </w:r>
            <w:r/>
          </w:p>
          <w:p>
            <w:pPr>
              <w:numPr>
                <w:ilvl w:val="0"/>
                <w:numId w:val="22"/>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默认支持IPSec VPN和SSL VPN模块（200个并发用户）</w:t>
            </w:r>
            <w:r/>
          </w:p>
          <w:p>
            <w:pPr>
              <w:numPr>
                <w:ilvl w:val="0"/>
                <w:numId w:val="22"/>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支持策略风险调优，支持安全策略优化分析，支持策略数冗余及命中分析，支持基于应用风险的策略调优，可根据流量、应用、风险类型等细粒度展示，便于用户更好</w:t>
            </w:r>
            <w:r>
              <w:rPr>
                <w:rFonts w:hint="eastAsia"/>
                <w:b w:val="0"/>
                <w:color w:val="000000"/>
                <w:sz w:val="24"/>
                <w:highlight w:val="none"/>
                <w:lang w:eastAsia="zh-CN"/>
              </w:rPr>
              <w:t xml:space="preserve">地</w:t>
            </w:r>
            <w:r>
              <w:rPr>
                <w:rFonts w:hint="eastAsia" w:ascii="Times New Roman" w:hAnsi="Times New Roman" w:eastAsia="宋体"/>
                <w:b w:val="0"/>
                <w:color w:val="000000"/>
                <w:sz w:val="24"/>
                <w:highlight w:val="none"/>
              </w:rPr>
              <w:t xml:space="preserve">管理安全策略。</w:t>
            </w:r>
            <w:r/>
          </w:p>
          <w:p>
            <w:pPr>
              <w:numPr>
                <w:ilvl w:val="0"/>
                <w:numId w:val="22"/>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支持IPv4/IPv6地址转换功能，包括NAT64、NAT46、DNS64功能，支持在nat64下ALG（SIP、RTSP、FTP）。</w:t>
            </w:r>
            <w:r/>
          </w:p>
          <w:p>
            <w:pPr>
              <w:numPr>
                <w:ilvl w:val="0"/>
                <w:numId w:val="22"/>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具有非形式化产品安全策略模型与功能规格说明能力。</w:t>
            </w:r>
            <w:r/>
          </w:p>
          <w:p>
            <w:pPr>
              <w:numPr>
                <w:ilvl w:val="0"/>
                <w:numId w:val="22"/>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产品采用先进的数据流属性向量列表对比技术，实现点对点流量精确识别。</w:t>
            </w:r>
            <w:r/>
          </w:p>
          <w:p>
            <w:pPr>
              <w:numPr>
                <w:ilvl w:val="0"/>
                <w:numId w:val="22"/>
              </w:numPr>
              <w:jc w:val="left"/>
              <w:spacing w:line="360" w:lineRule="auto"/>
              <w:widowControl/>
              <w:rPr>
                <w:rFonts w:ascii="Times New Roman" w:hAnsi="Times New Roman" w:eastAsia="宋体"/>
                <w:b w:val="0"/>
                <w:color w:val="000000"/>
                <w:sz w:val="24"/>
                <w:highlight w:val="none"/>
              </w:rPr>
            </w:pPr>
            <w:r>
              <w:rPr>
                <w:rFonts w:hint="eastAsia"/>
                <w:b w:val="0"/>
                <w:color w:val="000000"/>
                <w:sz w:val="24"/>
                <w:highlight w:val="none"/>
                <w:lang w:eastAsia="zh-CN"/>
              </w:rPr>
              <w:t xml:space="preserve">▲</w:t>
            </w:r>
            <w:r>
              <w:rPr>
                <w:rFonts w:hint="eastAsia" w:ascii="Times New Roman" w:hAnsi="Times New Roman" w:eastAsia="宋体"/>
                <w:b/>
                <w:bCs/>
                <w:color w:val="000000"/>
                <w:sz w:val="24"/>
                <w:highlight w:val="none"/>
              </w:rPr>
              <w:t xml:space="preserve">支持web界面下对攻击流量进行抓包分析，可以自定义抓包参数配置，包括最大包长、报文数量、抓包时间及采集率等基本参数；支持根据协议、源IP、目的IP、端口参数进行数据报文过滤。</w:t>
            </w:r>
            <w:r>
              <w:rPr>
                <w:rFonts w:hint="eastAsia"/>
                <w:b/>
                <w:bCs/>
                <w:color w:val="000000"/>
                <w:sz w:val="24"/>
                <w:highlight w:val="none"/>
                <w:lang w:eastAsia="zh-CN"/>
              </w:rPr>
              <w:t xml:space="preserve">（</w:t>
            </w:r>
            <w:r>
              <w:rPr>
                <w:rFonts w:hint="eastAsia" w:ascii="Times New Roman" w:hAnsi="Times New Roman" w:eastAsia="宋体"/>
                <w:b/>
                <w:bCs/>
                <w:color w:val="000000"/>
                <w:sz w:val="24"/>
                <w:highlight w:val="none"/>
              </w:rPr>
              <w:t xml:space="preserve">提供具备 CNAS或CMA标识的第三方检测机构出具的检测报告扫描件并加盖投标人公章</w:t>
            </w:r>
            <w:r>
              <w:rPr>
                <w:rFonts w:hint="eastAsia" w:ascii="Times New Roman" w:hAnsi="Times New Roman" w:eastAsia="宋体"/>
                <w:b/>
                <w:bCs/>
                <w:color w:val="000000"/>
                <w:sz w:val="24"/>
                <w:highlight w:val="none"/>
                <w:lang w:eastAsia="zh-CN"/>
              </w:rPr>
              <w:t xml:space="preserve">）</w:t>
            </w:r>
            <w:r/>
          </w:p>
          <w:p>
            <w:pPr>
              <w:numPr>
                <w:ilvl w:val="0"/>
                <w:numId w:val="22"/>
              </w:numPr>
              <w:jc w:val="left"/>
              <w:spacing w:line="360" w:lineRule="auto"/>
              <w:widowControl/>
              <w:rPr>
                <w:rFonts w:ascii="宋体" w:hAnsi="宋体" w:cs="宋体"/>
                <w:color w:val="000000"/>
                <w:sz w:val="24"/>
                <w:szCs w:val="24"/>
                <w:highlight w:val="none"/>
              </w:rPr>
            </w:pPr>
            <w:r>
              <w:rPr>
                <w:rFonts w:hint="eastAsia"/>
                <w:b/>
                <w:bCs/>
                <w:color w:val="000000"/>
                <w:sz w:val="24"/>
                <w:highlight w:val="none"/>
                <w:lang w:eastAsia="zh-CN"/>
              </w:rPr>
              <w:t xml:space="preserve">▲</w:t>
            </w:r>
            <w:r>
              <w:rPr>
                <w:rFonts w:hint="eastAsia" w:ascii="Times New Roman" w:hAnsi="Times New Roman" w:eastAsia="宋体"/>
                <w:b/>
                <w:bCs/>
                <w:color w:val="000000"/>
                <w:sz w:val="24"/>
                <w:highlight w:val="none"/>
              </w:rPr>
              <w:t xml:space="preserve">产品具有防雷击功能，</w:t>
            </w:r>
            <w:r>
              <w:rPr>
                <w:rFonts w:ascii="Times New Roman" w:hAnsi="Times New Roman" w:eastAsia="宋体"/>
                <w:b/>
                <w:bCs/>
                <w:color w:val="000000"/>
                <w:sz w:val="24"/>
                <w:highlight w:val="none"/>
              </w:rPr>
              <w:t xml:space="preserve">提供具备CNAS或CMA标识的第三方检测机构出具</w:t>
            </w:r>
            <w:r>
              <w:rPr>
                <w:rFonts w:hint="eastAsia"/>
                <w:b/>
                <w:bCs/>
                <w:color w:val="000000"/>
                <w:sz w:val="24"/>
                <w:highlight w:val="none"/>
                <w:lang w:eastAsia="zh-CN"/>
              </w:rPr>
              <w:t xml:space="preserve">的</w:t>
            </w:r>
            <w:r>
              <w:rPr>
                <w:rFonts w:hint="eastAsia" w:ascii="宋体" w:hAnsi="宋体" w:cs="宋体"/>
                <w:b/>
                <w:bCs/>
                <w:sz w:val="24"/>
                <w:szCs w:val="24"/>
                <w:highlight w:val="none"/>
              </w:rPr>
              <w:t xml:space="preserve">检测报告复印件</w:t>
            </w:r>
            <w:r>
              <w:rPr>
                <w:rFonts w:ascii="Times New Roman" w:hAnsi="Times New Roman" w:eastAsia="宋体"/>
                <w:b/>
                <w:bCs/>
                <w:color w:val="000000"/>
                <w:sz w:val="24"/>
                <w:highlight w:val="none"/>
              </w:rPr>
              <w:t xml:space="preserve">并加盖投标人公章</w:t>
            </w:r>
            <w:r>
              <w:rPr>
                <w:rFonts w:hint="eastAsia" w:ascii="Times New Roman" w:hAnsi="Times New Roman" w:eastAsia="宋体"/>
                <w:b/>
                <w:bCs/>
                <w:color w:val="000000"/>
                <w:sz w:val="24"/>
                <w:highlight w:val="none"/>
                <w:lang w:eastAsia="zh-CN"/>
              </w:rPr>
              <w:t xml:space="preserve">）</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安全监控平台</w:t>
            </w:r>
            <w:r/>
          </w:p>
        </w:tc>
        <w:tc>
          <w:tcPr>
            <w:tcW w:w="6743" w:type="dxa"/>
            <w:vAlign w:val="center"/>
            <w:textDirection w:val="lrTb"/>
            <w:noWrap/>
          </w:tcPr>
          <w:p>
            <w:pPr>
              <w:numPr>
                <w:ilvl w:val="0"/>
                <w:numId w:val="23"/>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CPU、操作系统须为国产化；</w:t>
            </w:r>
            <w:r/>
          </w:p>
          <w:p>
            <w:pPr>
              <w:numPr>
                <w:ilvl w:val="0"/>
                <w:numId w:val="23"/>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配置≥内存16G，硬盘空间≥128G SSD+4TB</w:t>
            </w:r>
            <w:r>
              <w:rPr>
                <w:rFonts w:hint="eastAsia"/>
                <w:b w:val="0"/>
                <w:color w:val="000000"/>
                <w:sz w:val="24"/>
                <w:highlight w:val="none"/>
                <w:lang w:eastAsia="zh-CN"/>
              </w:rPr>
              <w:t xml:space="preserve">，</w:t>
            </w:r>
            <w:r>
              <w:rPr>
                <w:rFonts w:hint="eastAsia" w:ascii="Times New Roman" w:hAnsi="Times New Roman" w:eastAsia="宋体"/>
                <w:b w:val="0"/>
                <w:color w:val="000000"/>
                <w:sz w:val="24"/>
                <w:highlight w:val="none"/>
              </w:rPr>
              <w:t xml:space="preserve">提供</w:t>
            </w:r>
            <w:r>
              <w:rPr>
                <w:rFonts w:hint="eastAsia"/>
                <w:b w:val="0"/>
                <w:color w:val="000000"/>
                <w:sz w:val="24"/>
                <w:highlight w:val="none"/>
                <w:lang w:val="en-US" w:eastAsia="zh-CN"/>
              </w:rPr>
              <w:t xml:space="preserve">≥</w:t>
            </w:r>
            <w:r>
              <w:rPr>
                <w:rFonts w:hint="eastAsia" w:ascii="Times New Roman" w:hAnsi="Times New Roman" w:eastAsia="宋体"/>
                <w:b w:val="0"/>
                <w:color w:val="000000"/>
                <w:sz w:val="24"/>
                <w:highlight w:val="none"/>
              </w:rPr>
              <w:t xml:space="preserve">60个审计对象授权，授权可扩展；</w:t>
            </w:r>
            <w:r/>
          </w:p>
          <w:p>
            <w:pPr>
              <w:numPr>
                <w:ilvl w:val="0"/>
                <w:numId w:val="23"/>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日志采集处理均值不小于8000EPS。</w:t>
            </w:r>
            <w:r/>
          </w:p>
          <w:p>
            <w:pPr>
              <w:numPr>
                <w:ilvl w:val="0"/>
                <w:numId w:val="23"/>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能对网络设备、安全设备和系统、主机操作系统、数据库以及各种应用系统的日志、事件、告警等安全信息进行全面的审计。</w:t>
            </w:r>
            <w:r/>
          </w:p>
          <w:p>
            <w:pPr>
              <w:numPr>
                <w:ilvl w:val="0"/>
                <w:numId w:val="23"/>
              </w:numPr>
              <w:jc w:val="left"/>
              <w:spacing w:line="360" w:lineRule="auto"/>
              <w:widowControl/>
              <w:rPr>
                <w:rFonts w:ascii="Times New Roman" w:hAnsi="Times New Roman" w:eastAsia="宋体"/>
                <w:b/>
                <w:bCs/>
                <w:color w:val="000000"/>
                <w:sz w:val="24"/>
                <w:highlight w:val="none"/>
              </w:rPr>
            </w:pPr>
            <w:r>
              <w:rPr>
                <w:rFonts w:hint="eastAsia"/>
                <w:b/>
                <w:bCs/>
                <w:color w:val="000000"/>
                <w:sz w:val="24"/>
                <w:highlight w:val="none"/>
                <w:lang w:eastAsia="zh-CN"/>
              </w:rPr>
              <w:t xml:space="preserve">▲</w:t>
            </w:r>
            <w:r>
              <w:rPr>
                <w:rFonts w:hint="eastAsia" w:ascii="Times New Roman" w:hAnsi="Times New Roman" w:eastAsia="宋体"/>
                <w:b/>
                <w:bCs/>
                <w:color w:val="000000"/>
                <w:sz w:val="24"/>
                <w:highlight w:val="none"/>
              </w:rPr>
              <w:t xml:space="preserve">支持SNMP、Syslog、ODBC/JDBC、文件/文件夹、WMI、FTP、SFTP、SMB、NetBIOS等多种方式完成日志收集功能。（提供具备CNAS或CMA标识的第三方检测机构出具的检测报告扫描件并加盖投标人公章）</w:t>
            </w:r>
            <w:r/>
          </w:p>
          <w:p>
            <w:pPr>
              <w:numPr>
                <w:ilvl w:val="0"/>
                <w:numId w:val="23"/>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系统具有资产管理的功能，能够将被审计资产进行分组、分域的统一维护。</w:t>
            </w:r>
            <w:r/>
          </w:p>
          <w:p>
            <w:pPr>
              <w:numPr>
                <w:ilvl w:val="0"/>
                <w:numId w:val="23"/>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采用先进的设备状态监测技术对网络资产进行安全监控</w:t>
            </w:r>
            <w:r>
              <w:rPr>
                <w:rFonts w:hint="eastAsia"/>
                <w:b w:val="0"/>
                <w:color w:val="000000"/>
                <w:sz w:val="24"/>
                <w:highlight w:val="none"/>
                <w:lang w:eastAsia="zh-CN"/>
              </w:rPr>
              <w:t xml:space="preserve">；</w:t>
            </w:r>
            <w:r/>
          </w:p>
          <w:p>
            <w:pPr>
              <w:numPr>
                <w:ilvl w:val="0"/>
                <w:numId w:val="23"/>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系统必须具有日志范式化功能，实现对异构日志格式的统一化；</w:t>
            </w:r>
            <w:r/>
          </w:p>
          <w:p>
            <w:pPr>
              <w:numPr>
                <w:ilvl w:val="0"/>
                <w:numId w:val="23"/>
              </w:numPr>
              <w:jc w:val="left"/>
              <w:spacing w:line="360" w:lineRule="auto"/>
              <w:widowControl/>
              <w:rPr>
                <w:rFonts w:ascii="Times New Roman" w:hAnsi="Times New Roman" w:eastAsia="宋体"/>
                <w:b w:val="0"/>
                <w:color w:val="000000"/>
                <w:sz w:val="24"/>
                <w:highlight w:val="none"/>
              </w:rPr>
            </w:pPr>
            <w:r>
              <w:rPr>
                <w:rFonts w:hint="eastAsia" w:ascii="Times New Roman" w:hAnsi="Times New Roman" w:eastAsia="宋体"/>
                <w:b w:val="0"/>
                <w:color w:val="000000"/>
                <w:sz w:val="24"/>
                <w:highlight w:val="none"/>
              </w:rPr>
              <w:t xml:space="preserve">支持全智能范式化解析模式</w:t>
            </w:r>
            <w:r>
              <w:rPr>
                <w:rFonts w:hint="eastAsia"/>
                <w:b w:val="0"/>
                <w:color w:val="000000"/>
                <w:sz w:val="24"/>
                <w:highlight w:val="none"/>
                <w:lang w:eastAsia="zh-CN"/>
              </w:rPr>
              <w:t xml:space="preserve">，</w:t>
            </w:r>
            <w:r>
              <w:rPr>
                <w:rFonts w:hint="eastAsia" w:ascii="Times New Roman" w:hAnsi="Times New Roman" w:eastAsia="宋体"/>
                <w:b w:val="0"/>
                <w:color w:val="000000"/>
                <w:sz w:val="24"/>
                <w:highlight w:val="none"/>
              </w:rPr>
              <w:t xml:space="preserve">支持解析字段的编辑调整；</w:t>
            </w:r>
            <w:r/>
          </w:p>
          <w:p>
            <w:pPr>
              <w:numPr>
                <w:ilvl w:val="0"/>
                <w:numId w:val="23"/>
              </w:numPr>
              <w:jc w:val="left"/>
              <w:spacing w:line="360" w:lineRule="auto"/>
              <w:widowControl/>
              <w:rPr>
                <w:rFonts w:ascii="Times New Roman" w:hAnsi="Times New Roman" w:eastAsia="宋体"/>
                <w:b w:val="0"/>
                <w:color w:val="000000"/>
                <w:sz w:val="24"/>
                <w:highlight w:val="none"/>
              </w:rPr>
            </w:pPr>
            <w:r>
              <w:rPr>
                <w:rFonts w:hint="eastAsia"/>
                <w:b/>
                <w:bCs/>
                <w:color w:val="000000"/>
                <w:sz w:val="24"/>
                <w:highlight w:val="none"/>
                <w:lang w:eastAsia="zh-CN"/>
              </w:rPr>
              <w:t xml:space="preserve">▲</w:t>
            </w:r>
            <w:r>
              <w:rPr>
                <w:rFonts w:hint="eastAsia" w:ascii="Times New Roman" w:hAnsi="Times New Roman" w:eastAsia="宋体"/>
                <w:b/>
                <w:bCs/>
                <w:color w:val="000000"/>
                <w:sz w:val="24"/>
                <w:highlight w:val="none"/>
              </w:rPr>
              <w:t xml:space="preserve">支持日志数据存储时进行阈值设置，包括存储时间不能少于180天、使用容量告警、剩余容量告警、删除方式等设置。（提供具备CNAS或CMA标识的第三方检测机构出具的检测报告扫描件并加盖投标人公章）</w:t>
            </w:r>
            <w:r/>
          </w:p>
          <w:p>
            <w:pPr>
              <w:numPr>
                <w:ilvl w:val="0"/>
                <w:numId w:val="23"/>
              </w:numPr>
              <w:jc w:val="left"/>
              <w:spacing w:line="360" w:lineRule="auto"/>
              <w:widowControl/>
              <w:rPr>
                <w:rFonts w:ascii="Times New Roman" w:hAnsi="Times New Roman" w:eastAsia="宋体"/>
                <w:b/>
                <w:bCs/>
                <w:color w:val="000000"/>
                <w:sz w:val="24"/>
                <w:highlight w:val="none"/>
              </w:rPr>
            </w:pPr>
            <w:r>
              <w:rPr>
                <w:rFonts w:hint="eastAsia"/>
                <w:b/>
                <w:bCs/>
                <w:color w:val="000000"/>
                <w:sz w:val="24"/>
                <w:highlight w:val="none"/>
                <w:lang w:eastAsia="zh-CN"/>
              </w:rPr>
              <w:t xml:space="preserve">▲</w:t>
            </w:r>
            <w:r>
              <w:rPr>
                <w:rFonts w:hint="eastAsia" w:ascii="Times New Roman" w:hAnsi="Times New Roman" w:eastAsia="宋体"/>
                <w:b/>
                <w:bCs/>
                <w:color w:val="000000"/>
                <w:sz w:val="24"/>
                <w:highlight w:val="none"/>
              </w:rPr>
              <w:t xml:space="preserve">支持源IP与目的IP分布走向</w:t>
            </w:r>
            <w:r>
              <w:rPr>
                <w:rFonts w:hint="eastAsia"/>
                <w:b/>
                <w:bCs/>
                <w:color w:val="000000"/>
                <w:sz w:val="24"/>
                <w:highlight w:val="none"/>
                <w:lang w:eastAsia="zh-CN"/>
              </w:rPr>
              <w:t xml:space="preserve">，</w:t>
            </w:r>
            <w:r>
              <w:rPr>
                <w:rFonts w:hint="eastAsia" w:ascii="Times New Roman" w:hAnsi="Times New Roman" w:eastAsia="宋体"/>
                <w:b/>
                <w:bCs/>
                <w:color w:val="000000"/>
                <w:sz w:val="24"/>
                <w:highlight w:val="none"/>
              </w:rPr>
              <w:t xml:space="preserve">支持事件拓扑分析用于描述整个事件的访问关系及过程</w:t>
            </w:r>
            <w:r>
              <w:rPr>
                <w:rFonts w:hint="eastAsia"/>
                <w:b/>
                <w:bCs/>
                <w:color w:val="000000"/>
                <w:sz w:val="24"/>
                <w:highlight w:val="none"/>
                <w:lang w:eastAsia="zh-CN"/>
              </w:rPr>
              <w:t xml:space="preserve">，</w:t>
            </w:r>
            <w:r>
              <w:rPr>
                <w:rFonts w:hint="eastAsia" w:ascii="Times New Roman" w:hAnsi="Times New Roman" w:eastAsia="宋体"/>
                <w:b/>
                <w:bCs/>
                <w:color w:val="000000"/>
                <w:sz w:val="24"/>
                <w:highlight w:val="none"/>
              </w:rPr>
              <w:t xml:space="preserve">支持多维分析。（提供具备CNAS或CMA标识的第三方检测机构出具的检测报告扫描件并加盖投标人公章）</w:t>
            </w:r>
            <w:r/>
          </w:p>
          <w:p>
            <w:pPr>
              <w:numPr>
                <w:ilvl w:val="0"/>
                <w:numId w:val="24"/>
              </w:numPr>
              <w:jc w:val="left"/>
              <w:spacing w:line="360" w:lineRule="auto"/>
              <w:widowControl/>
              <w:rPr>
                <w:rFonts w:ascii="宋体" w:hAnsi="宋体" w:cs="宋体"/>
                <w:sz w:val="24"/>
                <w:szCs w:val="24"/>
                <w:highlight w:val="none"/>
              </w:rPr>
            </w:pPr>
            <w:r>
              <w:rPr>
                <w:rFonts w:hint="eastAsia" w:ascii="Times New Roman" w:hAnsi="Times New Roman" w:eastAsia="宋体"/>
                <w:b w:val="0"/>
                <w:color w:val="000000"/>
                <w:sz w:val="24"/>
                <w:highlight w:val="none"/>
              </w:rPr>
              <w:t xml:space="preserve">支持基于规则的关联分析引擎</w:t>
            </w:r>
            <w:r>
              <w:rPr>
                <w:rFonts w:hint="eastAsia"/>
                <w:b w:val="0"/>
                <w:color w:val="000000"/>
                <w:sz w:val="24"/>
                <w:highlight w:val="none"/>
                <w:lang w:eastAsia="zh-CN"/>
              </w:rPr>
              <w:t xml:space="preserve">，</w:t>
            </w:r>
            <w:r>
              <w:rPr>
                <w:rFonts w:hint="eastAsia" w:ascii="Times New Roman" w:hAnsi="Times New Roman" w:eastAsia="宋体"/>
                <w:b w:val="0"/>
                <w:color w:val="000000"/>
                <w:sz w:val="24"/>
                <w:highlight w:val="none"/>
              </w:rPr>
              <w:t xml:space="preserve">能够提供逻辑关联、统计关联的关联</w:t>
            </w:r>
            <w:r>
              <w:rPr>
                <w:rFonts w:hint="eastAsia"/>
                <w:b w:val="0"/>
                <w:color w:val="000000"/>
                <w:sz w:val="24"/>
                <w:highlight w:val="none"/>
                <w:lang w:val="en-US" w:eastAsia="zh-CN"/>
              </w:rPr>
              <w:t xml:space="preserve">分析</w:t>
            </w:r>
            <w:r>
              <w:rPr>
                <w:rFonts w:hint="eastAsia" w:ascii="Times New Roman" w:hAnsi="Times New Roman" w:eastAsia="宋体"/>
                <w:b w:val="0"/>
                <w:color w:val="000000"/>
                <w:sz w:val="24"/>
                <w:highlight w:val="none"/>
              </w:rPr>
              <w:t xml:space="preserve">能力</w:t>
            </w:r>
            <w:r>
              <w:rPr>
                <w:rFonts w:hint="eastAsia"/>
                <w:b w:val="0"/>
                <w:color w:val="000000"/>
                <w:sz w:val="24"/>
                <w:highlight w:val="none"/>
                <w:lang w:eastAsia="zh-CN"/>
              </w:rPr>
              <w:t xml:space="preserve">，</w:t>
            </w:r>
            <w:r>
              <w:rPr>
                <w:rFonts w:hint="eastAsia" w:ascii="Times New Roman" w:hAnsi="Times New Roman" w:eastAsia="宋体"/>
                <w:b w:val="0"/>
                <w:color w:val="000000"/>
                <w:sz w:val="24"/>
                <w:highlight w:val="none"/>
              </w:rPr>
              <w:t xml:space="preserve">关联规则支持规则嵌套和引用</w:t>
            </w:r>
            <w:r>
              <w:rPr>
                <w:rFonts w:hint="eastAsia"/>
                <w:b w:val="0"/>
                <w:color w:val="000000"/>
                <w:sz w:val="24"/>
                <w:highlight w:val="none"/>
                <w:lang w:eastAsia="zh-CN"/>
              </w:rPr>
              <w:t xml:space="preserve">，</w:t>
            </w:r>
            <w:r>
              <w:rPr>
                <w:rFonts w:hint="eastAsia" w:ascii="Times New Roman" w:hAnsi="Times New Roman" w:eastAsia="宋体"/>
                <w:b w:val="0"/>
                <w:color w:val="000000"/>
                <w:sz w:val="24"/>
                <w:highlight w:val="none"/>
              </w:rPr>
              <w:t xml:space="preserve">支持多规则联合。</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接入交换机</w:t>
            </w:r>
            <w:r/>
          </w:p>
        </w:tc>
        <w:tc>
          <w:tcPr>
            <w:tcW w:w="6743" w:type="dxa"/>
            <w:vAlign w:val="center"/>
            <w:textDirection w:val="lrTb"/>
            <w:noWrap/>
          </w:tcPr>
          <w:p>
            <w:pPr>
              <w:numPr>
                <w:ilvl w:val="0"/>
                <w:numId w:val="25"/>
              </w:numPr>
              <w:jc w:val="left"/>
              <w:spacing w:line="360" w:lineRule="auto"/>
              <w:widowControl/>
              <w:rPr>
                <w:rFonts w:ascii="宋体" w:hAnsi="宋体" w:cs="宋体"/>
                <w:color w:val="000000"/>
                <w:sz w:val="24"/>
                <w:szCs w:val="24"/>
                <w:highlight w:val="none"/>
              </w:rPr>
            </w:pPr>
            <w:r>
              <w:rPr>
                <w:rFonts w:hint="eastAsia" w:ascii="宋体" w:hAnsi="宋体" w:cs="宋体"/>
                <w:sz w:val="24"/>
                <w:szCs w:val="24"/>
                <w:highlight w:val="none"/>
                <w:lang w:bidi="ar"/>
              </w:rPr>
              <w:t xml:space="preserve">接口</w:t>
            </w:r>
            <w:r>
              <w:rPr>
                <w:rFonts w:hint="eastAsia" w:ascii="宋体" w:hAnsi="宋体" w:cs="宋体"/>
                <w:color w:val="000000"/>
                <w:sz w:val="24"/>
                <w:szCs w:val="24"/>
                <w:highlight w:val="none"/>
              </w:rPr>
              <w:t xml:space="preserve">数量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24个10/100/1000自适应以太网口，2个千兆SFP接口</w:t>
            </w:r>
            <w:r/>
          </w:p>
          <w:p>
            <w:pPr>
              <w:numPr>
                <w:ilvl w:val="0"/>
                <w:numId w:val="25"/>
              </w:numPr>
              <w:jc w:val="left"/>
              <w:spacing w:line="360" w:lineRule="auto"/>
              <w:widowControl/>
              <w:rPr>
                <w:rFonts w:ascii="宋体" w:hAnsi="宋体" w:cs="宋体"/>
                <w:color w:val="000000"/>
                <w:sz w:val="24"/>
                <w:szCs w:val="24"/>
                <w:highlight w:val="none"/>
              </w:rPr>
            </w:pPr>
            <w:r>
              <w:rPr>
                <w:rFonts w:hint="eastAsia" w:ascii="宋体" w:hAnsi="宋体" w:cs="宋体"/>
                <w:sz w:val="24"/>
                <w:szCs w:val="24"/>
                <w:highlight w:val="none"/>
                <w:lang w:bidi="ar"/>
              </w:rPr>
              <w:t xml:space="preserve">背板</w:t>
            </w:r>
            <w:r>
              <w:rPr>
                <w:rFonts w:hint="eastAsia" w:ascii="宋体" w:hAnsi="宋体" w:cs="宋体"/>
                <w:color w:val="000000"/>
                <w:sz w:val="24"/>
                <w:szCs w:val="24"/>
                <w:highlight w:val="none"/>
              </w:rPr>
              <w:t xml:space="preserve">带宽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≥336Gbps包转发率≥96Mpps</w:t>
            </w:r>
            <w:r/>
          </w:p>
        </w:tc>
      </w:tr>
      <w:tr>
        <w:trPr>
          <w:trHeight w:val="20"/>
        </w:trPr>
        <w:tc>
          <w:tcPr>
            <w:tcW w:w="802" w:type="dxa"/>
            <w:vAlign w:val="center"/>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c>
          <w:tcPr>
            <w:tcW w:w="2425" w:type="dxa"/>
            <w:vAlign w:val="center"/>
            <w:textDirection w:val="lrTb"/>
            <w:noWrap w:val="false"/>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机柜</w:t>
            </w:r>
            <w:r/>
          </w:p>
        </w:tc>
        <w:tc>
          <w:tcPr>
            <w:tcW w:w="6743"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600*1000*2055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含PDU</w:t>
            </w:r>
            <w:r/>
          </w:p>
        </w:tc>
      </w:tr>
    </w:tbl>
    <w:p>
      <w:pPr>
        <w:rPr>
          <w:highlight w:val="none"/>
        </w:rPr>
      </w:pPr>
      <w:r>
        <w:rPr>
          <w:highlight w:val="none"/>
        </w:rPr>
      </w:r>
      <w:r/>
    </w:p>
    <w:p>
      <w:pPr>
        <w:rPr>
          <w:highlight w:val="none"/>
        </w:rPr>
      </w:pPr>
      <w:r>
        <w:rPr>
          <w:highlight w:val="none"/>
        </w:rPr>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1135"/>
        <w:ind w:firstLine="482"/>
        <w:jc w:val="left"/>
        <w:spacing w:line="360" w:lineRule="auto"/>
        <w:rPr>
          <w:rFonts w:asciiTheme="minorEastAsia" w:hAnsiTheme="minorEastAsia" w:eastAsiaTheme="minorEastAsia" w:cstheme="minorEastAsia"/>
          <w:b/>
          <w:sz w:val="24"/>
          <w:highlight w:val="none"/>
        </w:rPr>
        <w:outlineLvl w:val="1"/>
      </w:pPr>
      <w:r>
        <w:rPr>
          <w:rFonts w:hint="eastAsia" w:asciiTheme="minorEastAsia" w:hAnsiTheme="minorEastAsia" w:eastAsiaTheme="minorEastAsia" w:cstheme="minorEastAsia"/>
          <w:b/>
          <w:sz w:val="24"/>
          <w:highlight w:val="none"/>
        </w:rPr>
        <w:t xml:space="preserve">五、商务条款</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1.本项目包含的各项内容均</w:t>
      </w:r>
      <w:r>
        <w:rPr>
          <w:rFonts w:hint="eastAsia" w:asciiTheme="minorEastAsia" w:hAnsiTheme="minorEastAsia" w:eastAsiaTheme="minorEastAsia" w:cstheme="minorEastAsia"/>
          <w:color w:val="000000"/>
          <w:sz w:val="24"/>
          <w:szCs w:val="24"/>
          <w:highlight w:val="none"/>
          <w:lang w:eastAsia="zh-CN"/>
        </w:rPr>
        <w:t xml:space="preserve">需</w:t>
      </w:r>
      <w:r>
        <w:rPr>
          <w:rFonts w:hint="eastAsia" w:asciiTheme="minorEastAsia" w:hAnsiTheme="minorEastAsia" w:eastAsiaTheme="minorEastAsia" w:cstheme="minorEastAsia"/>
          <w:color w:val="000000"/>
          <w:sz w:val="24"/>
          <w:szCs w:val="24"/>
          <w:highlight w:val="none"/>
        </w:rPr>
        <w:t xml:space="preserve">上门服务，成交后不允许分包或转包。</w:t>
      </w:r>
      <w:r/>
    </w:p>
    <w:p>
      <w:pPr>
        <w:ind w:firstLine="482"/>
        <w:spacing w:line="360" w:lineRule="auto"/>
        <w:rPr>
          <w:rFonts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2.验收：</w:t>
      </w:r>
      <w:r>
        <w:rPr>
          <w:rFonts w:hint="eastAsia" w:asciiTheme="minorEastAsia" w:hAnsiTheme="minorEastAsia" w:eastAsiaTheme="minorEastAsia" w:cstheme="minorEastAsia"/>
          <w:sz w:val="24"/>
          <w:szCs w:val="24"/>
          <w:highlight w:val="none"/>
        </w:rPr>
        <w:t xml:space="preserve">按招标文件要求，先对采购货物（标的）的产品进行验收，功能满足采购清单及技术参数。中标人然后按照招标要求整体建设内容调试完毕并完整上线，系统满足质量要求及安全要求，即最终验收合格。</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eastAsia="zh-CN"/>
        </w:rPr>
        <w:t xml:space="preserve">3.</w:t>
      </w:r>
      <w:r>
        <w:rPr>
          <w:rFonts w:hint="eastAsia" w:asciiTheme="minorEastAsia" w:hAnsiTheme="minorEastAsia" w:eastAsiaTheme="minorEastAsia" w:cstheme="minorEastAsia"/>
          <w:color w:val="000000"/>
          <w:sz w:val="24"/>
          <w:szCs w:val="24"/>
          <w:highlight w:val="none"/>
        </w:rPr>
        <w:t xml:space="preserve">交货期、交货方式及交货地点与免费运维期</w:t>
      </w:r>
      <w:r/>
    </w:p>
    <w:p>
      <w:pPr>
        <w:ind w:firstLine="482"/>
        <w:spacing w:line="360" w:lineRule="auto"/>
        <w:rPr>
          <w:rFonts w:asciiTheme="minorEastAsia" w:hAnsiTheme="minorEastAsia" w:eastAsiaTheme="minorEastAsia" w:cstheme="minorEastAsia"/>
          <w:b/>
          <w:i/>
          <w:iCs/>
          <w:color w:val="000000"/>
          <w:sz w:val="24"/>
          <w:szCs w:val="24"/>
          <w:highlight w:val="none"/>
          <w:u w:val="single"/>
        </w:rPr>
      </w:pPr>
      <w:r>
        <w:rPr>
          <w:rFonts w:hint="eastAsia" w:asciiTheme="minorEastAsia" w:hAnsiTheme="minorEastAsia" w:eastAsiaTheme="minorEastAsia" w:cstheme="minorEastAsia"/>
          <w:bCs/>
          <w:i/>
          <w:iCs/>
          <w:color w:val="000000"/>
          <w:sz w:val="24"/>
          <w:szCs w:val="24"/>
          <w:highlight w:val="none"/>
          <w:u w:val="single"/>
        </w:rPr>
        <w:t xml:space="preserve">3.1</w:t>
      </w:r>
      <w:r>
        <w:rPr>
          <w:rFonts w:hint="eastAsia" w:asciiTheme="minorEastAsia" w:hAnsiTheme="minorEastAsia" w:eastAsiaTheme="minorEastAsia" w:cstheme="minorEastAsia"/>
          <w:b/>
          <w:i/>
          <w:iCs/>
          <w:color w:val="000000"/>
          <w:sz w:val="24"/>
          <w:szCs w:val="24"/>
          <w:highlight w:val="none"/>
          <w:u w:val="single"/>
        </w:rPr>
        <w:t xml:space="preserve"> 交货期：合同签订后</w:t>
      </w:r>
      <w:r>
        <w:rPr>
          <w:rFonts w:hint="eastAsia" w:asciiTheme="minorEastAsia" w:hAnsiTheme="minorEastAsia" w:eastAsiaTheme="minorEastAsia" w:cstheme="minorEastAsia"/>
          <w:b/>
          <w:i/>
          <w:iCs/>
          <w:sz w:val="24"/>
          <w:szCs w:val="24"/>
          <w:highlight w:val="none"/>
          <w:u w:val="single"/>
        </w:rPr>
        <w:t xml:space="preserve">，</w:t>
      </w:r>
      <w:r>
        <w:rPr>
          <w:rFonts w:hint="eastAsia" w:asciiTheme="minorEastAsia" w:hAnsiTheme="minorEastAsia" w:eastAsiaTheme="minorEastAsia" w:cstheme="minorEastAsia"/>
          <w:b/>
          <w:i/>
          <w:iCs/>
          <w:color w:val="000000"/>
          <w:sz w:val="24"/>
          <w:szCs w:val="24"/>
          <w:highlight w:val="none"/>
          <w:u w:val="single"/>
        </w:rPr>
        <w:t xml:space="preserve">60日历天内完成安装调试并验收合格。</w:t>
      </w:r>
      <w:r/>
    </w:p>
    <w:p>
      <w:pPr>
        <w:ind w:firstLine="482"/>
        <w:spacing w:line="360" w:lineRule="auto"/>
        <w:rPr>
          <w:rFonts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3.2 交货方式：项目需求单位指定位置安装验收。</w:t>
      </w:r>
      <w:r/>
    </w:p>
    <w:p>
      <w:pPr>
        <w:ind w:firstLine="482"/>
        <w:spacing w:line="360" w:lineRule="auto"/>
        <w:rPr>
          <w:rFonts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3.3 交货地点：项目需求单位</w:t>
      </w:r>
      <w:r>
        <w:rPr>
          <w:rFonts w:hint="eastAsia" w:asciiTheme="minorEastAsia" w:hAnsiTheme="minorEastAsia" w:eastAsiaTheme="minorEastAsia" w:cstheme="minorEastAsia"/>
          <w:color w:val="000000"/>
          <w:sz w:val="24"/>
          <w:szCs w:val="24"/>
          <w:highlight w:val="none"/>
        </w:rPr>
        <w:t xml:space="preserve">指定地点</w:t>
      </w:r>
      <w:r>
        <w:rPr>
          <w:rFonts w:hint="eastAsia" w:asciiTheme="minorEastAsia" w:hAnsiTheme="minorEastAsia" w:eastAsiaTheme="minorEastAsia" w:cstheme="minorEastAsia"/>
          <w:bCs/>
          <w:color w:val="000000"/>
          <w:sz w:val="24"/>
          <w:szCs w:val="24"/>
          <w:highlight w:val="none"/>
        </w:rPr>
        <w:t xml:space="preserve">。</w:t>
      </w:r>
      <w:r/>
    </w:p>
    <w:p>
      <w:pPr>
        <w:ind w:firstLine="482"/>
        <w:spacing w:line="360" w:lineRule="auto"/>
        <w:rPr>
          <w:rFonts w:asciiTheme="minorEastAsia" w:hAnsiTheme="minorEastAsia" w:eastAsiaTheme="minorEastAsia" w:cstheme="minorEastAsia"/>
          <w:b/>
          <w:bCs/>
          <w:i/>
          <w:iCs/>
          <w:color w:val="000000"/>
          <w:sz w:val="24"/>
          <w:szCs w:val="24"/>
          <w:highlight w:val="none"/>
          <w:u w:val="single"/>
        </w:rPr>
      </w:pPr>
      <w:r>
        <w:rPr>
          <w:rFonts w:hint="eastAsia" w:asciiTheme="minorEastAsia" w:hAnsiTheme="minorEastAsia" w:eastAsiaTheme="minorEastAsia" w:cstheme="minorEastAsia"/>
          <w:b/>
          <w:bCs/>
          <w:i/>
          <w:iCs/>
          <w:color w:val="000000"/>
          <w:sz w:val="24"/>
          <w:szCs w:val="24"/>
          <w:highlight w:val="none"/>
          <w:u w:val="single"/>
        </w:rPr>
        <w:t xml:space="preserve">3.4 运维期：1年。运维期间，中标人免费包维修、保养、安检、调换等，相关费用包含在投标报价中，采购方不再支付任何费用；对于采购方人为原因造成的故障，中标人只收取维保成本费用。超过运维期的损坏，</w:t>
      </w:r>
      <w:r>
        <w:rPr>
          <w:rFonts w:hint="eastAsia" w:asciiTheme="minorEastAsia" w:hAnsiTheme="minorEastAsia" w:eastAsiaTheme="minorEastAsia" w:cstheme="minorEastAsia"/>
          <w:b/>
          <w:bCs/>
          <w:i/>
          <w:iCs/>
          <w:color w:val="000000"/>
          <w:sz w:val="24"/>
          <w:szCs w:val="24"/>
          <w:highlight w:val="none"/>
          <w:u w:val="single"/>
          <w:lang w:eastAsia="zh-CN"/>
        </w:rPr>
        <w:t xml:space="preserve">终身维修，维修时只收</w:t>
      </w:r>
      <w:r>
        <w:rPr>
          <w:rFonts w:hint="eastAsia" w:asciiTheme="minorEastAsia" w:hAnsiTheme="minorEastAsia" w:eastAsiaTheme="minorEastAsia" w:cstheme="minorEastAsia"/>
          <w:b/>
          <w:bCs/>
          <w:i/>
          <w:iCs/>
          <w:color w:val="000000"/>
          <w:sz w:val="24"/>
          <w:szCs w:val="24"/>
          <w:highlight w:val="none"/>
          <w:u w:val="single"/>
        </w:rPr>
        <w:t xml:space="preserve">部件成本费 。</w:t>
      </w:r>
      <w:r/>
    </w:p>
    <w:p>
      <w:pPr>
        <w:pStyle w:val="1042"/>
        <w:ind w:firstLine="482"/>
        <w:spacing w:line="360" w:lineRule="auto"/>
        <w:rPr>
          <w:rFonts w:asciiTheme="minorEastAsia" w:hAnsiTheme="minorEastAsia" w:eastAsiaTheme="minorEastAsia" w:cstheme="minorEastAsia"/>
          <w:b/>
          <w:i/>
          <w:iCs/>
          <w:color w:val="000000"/>
          <w:sz w:val="24"/>
          <w:szCs w:val="24"/>
          <w:highlight w:val="none"/>
          <w:u w:val="single"/>
        </w:rPr>
      </w:pPr>
      <w:r>
        <w:rPr>
          <w:rFonts w:hint="eastAsia" w:asciiTheme="minorEastAsia" w:hAnsiTheme="minorEastAsia" w:eastAsiaTheme="minorEastAsia" w:cstheme="minorEastAsia"/>
          <w:b/>
          <w:i/>
          <w:iCs/>
          <w:color w:val="000000"/>
          <w:sz w:val="24"/>
          <w:szCs w:val="24"/>
          <w:highlight w:val="none"/>
          <w:u w:val="single"/>
        </w:rPr>
        <w:t xml:space="preserve">4.付款方式：</w:t>
      </w:r>
      <w:r/>
    </w:p>
    <w:p>
      <w:pPr>
        <w:pStyle w:val="1042"/>
        <w:ind w:firstLine="482"/>
        <w:spacing w:line="360" w:lineRule="auto"/>
        <w:rPr>
          <w:rFonts w:hint="eastAsia" w:asciiTheme="minorEastAsia" w:hAnsiTheme="minorEastAsia" w:eastAsiaTheme="minorEastAsia" w:cstheme="minorEastAsia"/>
          <w:b/>
          <w:i/>
          <w:iCs/>
          <w:color w:val="000000"/>
          <w:sz w:val="24"/>
          <w:szCs w:val="24"/>
          <w:highlight w:val="none"/>
          <w:u w:val="single"/>
          <w:lang w:val="en-US" w:eastAsia="zh-CN"/>
        </w:rPr>
      </w:pPr>
      <w:r>
        <w:rPr>
          <w:rFonts w:hint="eastAsia" w:asciiTheme="minorEastAsia" w:hAnsiTheme="minorEastAsia" w:eastAsiaTheme="minorEastAsia" w:cstheme="minorEastAsia"/>
          <w:b/>
          <w:i/>
          <w:iCs/>
          <w:color w:val="000000"/>
          <w:sz w:val="24"/>
          <w:szCs w:val="24"/>
          <w:highlight w:val="none"/>
          <w:u w:val="single"/>
        </w:rPr>
        <w:t xml:space="preserve">合同签订后，供应商提交银行或专业担保机构出具的等额预付款保函（保函有效期覆盖至设备到货阶段），并提供对应金额合法有效发票。采购人收到全部资料并审核无误后 10 个工作日内，支付合同总价 30% 作为预付款。项目所需全部硬件设备到货进场，经采购人清点核验、确认无误后，支付至合同价款总额 50%（含前期已付预付款）；所有设备安装调试完成并通过验收后，一次性付清剩余合同款项。各阶段付款前，供应商均应按规定开具合法有效发票，发票资料不齐或不符合要求的，付款时间顺延，采购人不承担逾期付款责任。</w:t>
      </w:r>
      <w:r>
        <w:rPr>
          <w:rFonts w:hint="eastAsia" w:asciiTheme="minorEastAsia" w:hAnsiTheme="minorEastAsia" w:eastAsiaTheme="minorEastAsia" w:cstheme="minorEastAsia"/>
          <w:b/>
          <w:i/>
          <w:iCs/>
          <w:color w:val="000000"/>
          <w:sz w:val="24"/>
          <w:szCs w:val="24"/>
          <w:highlight w:val="none"/>
          <w:u w:val="single"/>
          <w:lang w:val="en-US" w:eastAsia="zh-CN"/>
        </w:rPr>
        <w:t xml:space="preserve"> </w:t>
      </w:r>
      <w:r>
        <w:rPr>
          <w:rFonts w:hint="eastAsia" w:asciiTheme="minorEastAsia" w:hAnsiTheme="minorEastAsia" w:eastAsiaTheme="minorEastAsia" w:cstheme="minorEastAsia"/>
          <w:b/>
          <w:i/>
          <w:iCs/>
          <w:color w:val="000000"/>
          <w:sz w:val="24"/>
          <w:szCs w:val="24"/>
          <w:highlight w:val="none"/>
          <w:u w:val="single"/>
          <w:lang w:val="en-US" w:eastAsia="zh-CN"/>
        </w:rPr>
        <w:t xml:space="preserve"> </w:t>
      </w:r>
      <w:r/>
    </w:p>
    <w:p>
      <w:pPr>
        <w:pStyle w:val="1042"/>
        <w:ind w:firstLine="482"/>
        <w:spacing w:line="360" w:lineRule="auto"/>
        <w:rPr>
          <w:rFonts w:asciiTheme="minorEastAsia" w:hAnsiTheme="minorEastAsia" w:eastAsiaTheme="minorEastAsia" w:cstheme="minorEastAsia"/>
          <w:b/>
          <w:i/>
          <w:iCs/>
          <w:color w:val="000000"/>
          <w:sz w:val="24"/>
          <w:szCs w:val="24"/>
          <w:highlight w:val="none"/>
          <w:u w:val="single"/>
        </w:rPr>
      </w:pPr>
      <w:r>
        <w:rPr>
          <w:rFonts w:hint="eastAsia" w:asciiTheme="minorEastAsia" w:hAnsiTheme="minorEastAsia" w:eastAsiaTheme="minorEastAsia" w:cstheme="minorEastAsia"/>
          <w:b/>
          <w:i/>
          <w:iCs/>
          <w:color w:val="000000"/>
          <w:sz w:val="24"/>
          <w:szCs w:val="24"/>
          <w:highlight w:val="none"/>
          <w:u w:val="single"/>
        </w:rPr>
        <w:t xml:space="preserve">5.履约保证金：乙方交纳合同金额的10%作为本合同的履约保证金</w:t>
      </w:r>
      <w:r/>
    </w:p>
    <w:p>
      <w:pPr>
        <w:ind w:firstLine="482"/>
        <w:spacing w:line="360" w:lineRule="auto"/>
        <w:rPr>
          <w:rFonts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6.货币：本次采购文件所涉及货币币种均为人民币。</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报价要求：报价须包含但不限于全部设备、材料备品备件、包装费、运杂费（运抵现场）、卸货费、现场保管费、运输保险费、成品保护费、安装费、调试费、售后服务、培训费、运行维护费用、税金、国际国内运输保险、报关清关、开证、办理全套免税手续费用及其他有关的为完成本项目发生的所有费用，招标文件中另有规定的除外。</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特别提醒供应商：应根据国家收费标准并结合市场实际进行报价，总价包干。</w:t>
      </w:r>
      <w:r/>
    </w:p>
    <w:p>
      <w:pPr>
        <w:ind w:firstLine="482"/>
        <w:spacing w:line="360" w:lineRule="auto"/>
        <w:rPr>
          <w:rFonts w:asciiTheme="minorEastAsia" w:hAnsiTheme="minorEastAsia" w:eastAsiaTheme="minorEastAsia" w:cstheme="minorEastAsia"/>
          <w:b/>
          <w:bCs/>
          <w:i/>
          <w:iCs/>
          <w:color w:val="000000"/>
          <w:sz w:val="24"/>
          <w:szCs w:val="24"/>
          <w:highlight w:val="none"/>
          <w:u w:val="single"/>
        </w:rPr>
      </w:pPr>
      <w:r>
        <w:rPr>
          <w:rFonts w:hint="eastAsia" w:asciiTheme="minorEastAsia" w:hAnsiTheme="minorEastAsia" w:eastAsiaTheme="minorEastAsia" w:cstheme="minorEastAsia"/>
          <w:b/>
          <w:bCs/>
          <w:i/>
          <w:iCs/>
          <w:color w:val="000000"/>
          <w:sz w:val="24"/>
          <w:szCs w:val="24"/>
          <w:highlight w:val="none"/>
          <w:u w:val="single"/>
        </w:rPr>
        <w:t xml:space="preserve">8.投标人须接入整合现有76路监控点位，对接涉及的设备升级改造、服务期内流量卡费用需投标人自行评估，并包含在投标报价中，招标人不再另行支付。</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9.服务标准</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（1）《森林防火应急指挥系统建设规范》（DB32/T 3435-2018）；</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（2）《森林防火视频监控图像联网技术规范》（LY/T 2582-2016）</w:t>
      </w:r>
      <w:r/>
    </w:p>
    <w:p>
      <w:pPr>
        <w:ind w:firstLine="482"/>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（3）《森林防火视频监控系统技术规范》（LY/T 2581-2016）</w:t>
      </w:r>
      <w:r>
        <w:rPr>
          <w:rFonts w:hint="eastAsia" w:asciiTheme="minorEastAsia" w:hAnsiTheme="minorEastAsia" w:eastAsiaTheme="minorEastAsia" w:cstheme="minorEastAsia"/>
          <w:color w:val="000000"/>
          <w:sz w:val="24"/>
          <w:szCs w:val="24"/>
          <w:highlight w:val="none"/>
          <w:lang w:eastAsia="zh-CN"/>
        </w:rPr>
        <w:t xml:space="preserve">；</w:t>
      </w:r>
      <w:r/>
    </w:p>
    <w:p>
      <w:pPr>
        <w:ind w:firstLine="482"/>
        <w:spacing w:line="360" w:lineRule="auto"/>
        <w:rPr>
          <w:rFonts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上述标准为一般性要求，如有最新要求，按最新标准执行。</w:t>
      </w:r>
      <w:r/>
    </w:p>
    <w:p>
      <w:pPr>
        <w:pStyle w:val="1135"/>
        <w:ind w:firstLine="482"/>
        <w:jc w:val="left"/>
        <w:spacing w:line="360" w:lineRule="auto"/>
        <w:rPr>
          <w:rFonts w:asciiTheme="minorEastAsia" w:hAnsiTheme="minorEastAsia" w:eastAsiaTheme="minorEastAsia" w:cstheme="minorEastAsia"/>
          <w:b/>
          <w:sz w:val="24"/>
          <w:highlight w:val="none"/>
        </w:rPr>
        <w:outlineLvl w:val="1"/>
      </w:pPr>
      <w:r>
        <w:rPr>
          <w:rFonts w:hint="eastAsia" w:asciiTheme="minorEastAsia" w:hAnsiTheme="minorEastAsia" w:eastAsiaTheme="minorEastAsia" w:cstheme="minorEastAsia"/>
          <w:b/>
          <w:sz w:val="24"/>
          <w:highlight w:val="none"/>
        </w:rPr>
        <w:t xml:space="preserve">六、其他</w:t>
      </w:r>
      <w:r/>
    </w:p>
    <w:p>
      <w:pPr>
        <w:numPr>
          <w:ilvl w:val="0"/>
          <w:numId w:val="26"/>
        </w:num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工作中涉及的敏感资料、电子数据等相关信息，成交供应商应严格执行保密的相关规定，不得以任何方式向任何第三人披露、泄露或许可第三人使用，否则追究其相应法律责任。</w:t>
      </w:r>
      <w:r/>
    </w:p>
    <w:p>
      <w:pPr>
        <w:pStyle w:val="853"/>
        <w:ind w:firstLine="480"/>
        <w:jc w:val="both"/>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2.培训要求</w:t>
      </w:r>
      <w:r/>
    </w:p>
    <w:p>
      <w:pPr>
        <w:pStyle w:val="853"/>
        <w:ind w:firstLine="480"/>
        <w:jc w:val="both"/>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（1）提供完善的人员培训方案，通过各种培训课程和培训方式，对采购人的业务人员和技术人员进行针对性培训，直到采购人能够熟练操作为止。</w:t>
      </w:r>
      <w:r/>
    </w:p>
    <w:p>
      <w:pPr>
        <w:pStyle w:val="853"/>
        <w:ind w:firstLine="480"/>
        <w:jc w:val="both"/>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（2）应采用课程培训和实际操作培训相结合的方式，确保项目建设完成后技术人员（包括系统管理员）可以独立完成系统的管理、配置和维护。培训可以根据</w:t>
      </w:r>
      <w:r>
        <w:rPr>
          <w:rFonts w:hint="eastAsia" w:asciiTheme="minorEastAsia" w:hAnsiTheme="minorEastAsia" w:eastAsiaTheme="minorEastAsia" w:cstheme="minorEastAsia"/>
          <w:sz w:val="24"/>
          <w:highlight w:val="none"/>
          <w:lang w:eastAsia="zh-CN"/>
        </w:rPr>
        <w:t xml:space="preserve">人数</w:t>
      </w:r>
      <w:r>
        <w:rPr>
          <w:rFonts w:hint="eastAsia" w:asciiTheme="minorEastAsia" w:hAnsiTheme="minorEastAsia" w:eastAsiaTheme="minorEastAsia" w:cstheme="minorEastAsia"/>
          <w:sz w:val="24"/>
          <w:highlight w:val="none"/>
        </w:rPr>
        <w:t xml:space="preserve">分批进行，以保证培训质量。</w:t>
      </w:r>
      <w:r/>
    </w:p>
    <w:p>
      <w:pPr>
        <w:pStyle w:val="853"/>
        <w:ind w:firstLine="480"/>
        <w:jc w:val="both"/>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3.人员配备要求</w:t>
      </w:r>
      <w:r/>
    </w:p>
    <w:p>
      <w:pPr>
        <w:pStyle w:val="853"/>
        <w:ind w:firstLine="480"/>
        <w:jc w:val="both"/>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rPr>
          <w:rFonts w:hint="eastAsia" w:asciiTheme="minorEastAsia" w:hAnsiTheme="minorEastAsia" w:eastAsiaTheme="minorEastAsia" w:cstheme="minorEastAsia"/>
          <w:b/>
          <w:bCs/>
          <w:i/>
          <w:iCs/>
          <w:sz w:val="24"/>
          <w:highlight w:val="none"/>
          <w:u w:val="single"/>
        </w:rPr>
        <w:t xml:space="preserve">本项目配备项目组成员不低于5名，至少包含1名项目负责人，项目组成员不低于4名。负责所有设备安装、网络调试，运维期内售后服务等工作，同时配合采购人做好验收工作。</w:t>
      </w:r>
      <w:r/>
    </w:p>
    <w:p>
      <w:pPr>
        <w:ind w:firstLine="24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（2）项目负责人</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在整个项目实施全过程中，项目负责人负责与采购人沟通、把控项目进度及组织项目整体工作。项目负责人要全流程跟进项目，建立健全保障项目顺利实施的各项管理制度和质量保证体系。</w:t>
      </w:r>
      <w:r/>
    </w:p>
    <w:p>
      <w:pPr>
        <w:ind w:firstLine="513"/>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项目团队成员</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负责本项目相关的调研、设计、部署及实施过程中的各项事宜。能够解决部署中的技术问题，不断推动预警系统升级和流程优化，保障系统稳定性和可靠性。</w:t>
      </w:r>
      <w:r/>
    </w:p>
    <w:p>
      <w:pPr>
        <w:ind w:firstLine="513"/>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在项目建设期内，项目组团队</w:t>
      </w:r>
      <w:r>
        <w:rPr>
          <w:rFonts w:hint="eastAsia" w:asciiTheme="minorEastAsia" w:hAnsiTheme="minorEastAsia" w:eastAsiaTheme="minorEastAsia" w:cstheme="minorEastAsia"/>
          <w:color w:val="000000"/>
          <w:sz w:val="24"/>
          <w:szCs w:val="24"/>
          <w:highlight w:val="none"/>
          <w:lang w:eastAsia="zh-CN"/>
        </w:rPr>
        <w:t xml:space="preserve">需</w:t>
      </w:r>
      <w:r>
        <w:rPr>
          <w:rFonts w:hint="eastAsia" w:asciiTheme="minorEastAsia" w:hAnsiTheme="minorEastAsia" w:eastAsiaTheme="minorEastAsia" w:cstheme="minorEastAsia"/>
          <w:color w:val="000000"/>
          <w:sz w:val="24"/>
          <w:szCs w:val="24"/>
          <w:highlight w:val="none"/>
        </w:rPr>
        <w:t xml:space="preserve">协助采购人完成与相关单位的事项梳理、数据、对接和沟通协调等工作。</w:t>
      </w:r>
      <w:r/>
    </w:p>
    <w:p>
      <w:pPr>
        <w:ind w:firstLine="480"/>
        <w:spacing w:line="360" w:lineRule="auto"/>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rPr>
          <w:rFonts w:hint="eastAsia" w:asciiTheme="minorEastAsia" w:hAnsiTheme="minorEastAsia" w:eastAsiaTheme="minorEastAsia" w:cstheme="minorEastAsia"/>
          <w:b/>
          <w:bCs/>
          <w:color w:val="000000"/>
          <w:sz w:val="24"/>
          <w:szCs w:val="24"/>
          <w:highlight w:val="none"/>
        </w:rPr>
        <w:t xml:space="preserve"> 保密与涉密信息管理</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中标人对项目实施过程中接触、获取的采购人业务数据、监控视频、火情信息、地理信息、林区敏感点位、内部业务资料等全部涉密及内部敏感信息负有保密义务，未经采购人书面许可，不得向任何第三方泄露、复制、传播、转借，不得用于本项目以外的任何用途。</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中标人应建立保密管理制度，对参与本项目的全部工作人员开展保密教育，签订保密协议；项目相关数据、资料不得私自拷贝、带出工作环境，项目结束后应按采购人要求销毁或交还全部涉密、敏感资料及副本，不得私自留存。</w:t>
      </w:r>
      <w:r/>
    </w:p>
    <w:p>
      <w:pPr>
        <w:jc w:val="center"/>
        <w:rPr>
          <w:rFonts w:asciiTheme="minorEastAsia" w:hAnsiTheme="minorEastAsia" w:eastAsiaTheme="minorEastAsia" w:cstheme="minorEastAsia"/>
          <w:b/>
          <w:color w:val="000000"/>
          <w:sz w:val="24"/>
          <w:szCs w:val="24"/>
          <w:highlight w:val="none"/>
        </w:rPr>
        <w:outlineLvl w:val="0"/>
      </w:pPr>
      <w:r/>
      <w:bookmarkStart w:id="188" w:name="_Toc25553"/>
      <w:r/>
      <w:bookmarkStart w:id="189" w:name="_Toc3179"/>
      <w:r/>
      <w:bookmarkStart w:id="190" w:name="_Toc120614281"/>
      <w:r>
        <w:rPr>
          <w:rFonts w:hint="eastAsia" w:asciiTheme="minorEastAsia" w:hAnsiTheme="minorEastAsia" w:eastAsiaTheme="minorEastAsia" w:cstheme="minorEastAsia"/>
          <w:b/>
          <w:color w:val="000000"/>
          <w:sz w:val="24"/>
          <w:szCs w:val="24"/>
          <w:highlight w:val="none"/>
        </w:rPr>
        <w:t xml:space="preserve">实质性条款响应项</w:t>
      </w:r>
      <w:r/>
    </w:p>
    <w:tbl>
      <w:tblPr>
        <w:tblStyle w:val="84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1"/>
        <w:gridCol w:w="4923"/>
      </w:tblGrid>
      <w:tr>
        <w:trPr/>
        <w:tc>
          <w:tcPr>
            <w:tcW w:w="2499" w:type="pct"/>
            <w:textDirection w:val="lrTb"/>
            <w:noWrap w:val="false"/>
          </w:tcPr>
          <w:p>
            <w:pPr>
              <w:jc w:val="center"/>
              <w:rPr>
                <w:rFonts w:asciiTheme="minorEastAsia" w:hAnsiTheme="minorEastAsia" w:eastAsiaTheme="minorEastAsia" w:cstheme="minorEastAsia"/>
                <w:b/>
                <w:color w:val="000000"/>
                <w:sz w:val="24"/>
                <w:szCs w:val="24"/>
                <w:highlight w:val="none"/>
              </w:rPr>
              <w:outlineLvl w:val="0"/>
            </w:pPr>
            <w:r>
              <w:rPr>
                <w:rFonts w:hint="eastAsia" w:asciiTheme="minorEastAsia" w:hAnsiTheme="minorEastAsia" w:eastAsiaTheme="minorEastAsia" w:cstheme="minorEastAsia"/>
                <w:b/>
                <w:color w:val="000000"/>
                <w:sz w:val="24"/>
                <w:szCs w:val="24"/>
                <w:highlight w:val="none"/>
              </w:rPr>
              <w:t xml:space="preserve">序号</w:t>
            </w:r>
            <w:r/>
          </w:p>
        </w:tc>
        <w:tc>
          <w:tcPr>
            <w:tcW w:w="2500" w:type="pct"/>
            <w:textDirection w:val="lrTb"/>
            <w:noWrap w:val="false"/>
          </w:tcPr>
          <w:p>
            <w:pPr>
              <w:jc w:val="center"/>
              <w:rPr>
                <w:rFonts w:asciiTheme="minorEastAsia" w:hAnsiTheme="minorEastAsia" w:eastAsiaTheme="minorEastAsia" w:cstheme="minorEastAsia"/>
                <w:b/>
                <w:color w:val="000000"/>
                <w:sz w:val="24"/>
                <w:szCs w:val="24"/>
                <w:highlight w:val="none"/>
              </w:rPr>
              <w:outlineLvl w:val="0"/>
            </w:pPr>
            <w:r>
              <w:rPr>
                <w:rFonts w:hint="eastAsia" w:asciiTheme="minorEastAsia" w:hAnsiTheme="minorEastAsia" w:eastAsiaTheme="minorEastAsia" w:cstheme="minorEastAsia"/>
                <w:b/>
                <w:color w:val="000000"/>
                <w:sz w:val="24"/>
                <w:szCs w:val="24"/>
                <w:highlight w:val="none"/>
              </w:rPr>
              <w:t xml:space="preserve">实质性响应条款</w:t>
            </w:r>
            <w:r/>
          </w:p>
        </w:tc>
      </w:tr>
      <w:tr>
        <w:trPr/>
        <w:tc>
          <w:tcPr>
            <w:tcW w:w="2499" w:type="pct"/>
            <w:vAlign w:val="center"/>
            <w:textDirection w:val="lrTb"/>
            <w:noWrap w:val="false"/>
          </w:tcPr>
          <w:p>
            <w:pPr>
              <w:jc w:val="center"/>
              <w:rPr>
                <w:rFonts w:asciiTheme="minorEastAsia" w:hAnsiTheme="minorEastAsia" w:eastAsiaTheme="minorEastAsia" w:cstheme="minorEastAsia"/>
                <w:b/>
                <w:color w:val="000000"/>
                <w:sz w:val="24"/>
                <w:szCs w:val="24"/>
                <w:highlight w:val="none"/>
              </w:rPr>
              <w:outlineLvl w:val="0"/>
            </w:pPr>
            <w:r>
              <w:rPr>
                <w:rFonts w:hint="eastAsia" w:asciiTheme="minorEastAsia" w:hAnsiTheme="minorEastAsia" w:eastAsiaTheme="minorEastAsia" w:cstheme="minorEastAsia"/>
                <w:b/>
                <w:color w:val="000000"/>
                <w:sz w:val="24"/>
                <w:szCs w:val="24"/>
                <w:highlight w:val="none"/>
              </w:rPr>
              <w:t xml:space="preserve">1</w:t>
            </w:r>
            <w:r/>
          </w:p>
        </w:tc>
        <w:tc>
          <w:tcPr>
            <w:tcW w:w="2500" w:type="pct"/>
            <w:vAlign w:val="center"/>
            <w:textDirection w:val="lrTb"/>
            <w:noWrap w:val="false"/>
          </w:tcPr>
          <w:p>
            <w:pPr>
              <w:jc w:val="left"/>
              <w:spacing w:line="360" w:lineRule="auto"/>
              <w:widowControl/>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AI 视频分析服务器；</w:t>
            </w:r>
            <w:r>
              <w:rPr>
                <w:rFonts w:hint="eastAsia" w:asciiTheme="minorEastAsia" w:hAnsiTheme="minorEastAsia" w:eastAsiaTheme="minorEastAsia" w:cstheme="minorEastAsia"/>
                <w:b/>
                <w:bCs/>
                <w:i/>
                <w:iCs/>
                <w:color w:val="000000"/>
                <w:sz w:val="24"/>
                <w:szCs w:val="24"/>
                <w:highlight w:val="none"/>
                <w:u w:val="single"/>
              </w:rPr>
              <w:t xml:space="preserve">支持不低于128路1080P@25fps视频流分析</w:t>
            </w:r>
            <w:r/>
          </w:p>
        </w:tc>
      </w:tr>
      <w:tr>
        <w:trPr/>
        <w:tc>
          <w:tcPr>
            <w:tcW w:w="2499" w:type="pct"/>
            <w:vAlign w:val="center"/>
            <w:textDirection w:val="lrTb"/>
            <w:noWrap w:val="false"/>
          </w:tcPr>
          <w:p>
            <w:pPr>
              <w:jc w:val="center"/>
              <w:rPr>
                <w:rFonts w:hint="eastAsia" w:asciiTheme="minorEastAsia" w:hAnsiTheme="minorEastAsia" w:eastAsiaTheme="minorEastAsia" w:cstheme="minorEastAsia"/>
                <w:b/>
                <w:color w:val="000000"/>
                <w:sz w:val="24"/>
                <w:szCs w:val="24"/>
                <w:highlight w:val="none"/>
                <w:lang w:eastAsia="zh-CN"/>
              </w:rPr>
              <w:outlineLvl w:val="0"/>
            </w:pPr>
            <w:r>
              <w:rPr>
                <w:rFonts w:hint="eastAsia" w:asciiTheme="minorEastAsia" w:hAnsiTheme="minorEastAsia" w:eastAsiaTheme="minorEastAsia" w:cstheme="minorEastAsia"/>
                <w:b/>
                <w:color w:val="000000"/>
                <w:sz w:val="24"/>
                <w:szCs w:val="24"/>
                <w:highlight w:val="none"/>
                <w:lang w:val="en-US" w:eastAsia="zh-CN"/>
              </w:rPr>
              <w:t xml:space="preserve">2</w:t>
            </w:r>
            <w:r/>
          </w:p>
        </w:tc>
        <w:tc>
          <w:tcPr>
            <w:tcW w:w="2500" w:type="pct"/>
            <w:vAlign w:val="center"/>
            <w:textDirection w:val="lrTb"/>
            <w:noWrap w:val="false"/>
          </w:tcPr>
          <w:p>
            <w:pPr>
              <w:jc w:val="left"/>
              <w:rPr>
                <w:rFonts w:asciiTheme="minorEastAsia" w:hAnsiTheme="minorEastAsia" w:eastAsiaTheme="minorEastAsia" w:cstheme="minorEastAsia"/>
                <w:b/>
                <w:bCs/>
                <w:color w:val="000000"/>
                <w:sz w:val="24"/>
                <w:szCs w:val="24"/>
                <w:highlight w:val="none"/>
              </w:rPr>
              <w:outlineLvl w:val="0"/>
            </w:pPr>
            <w:r>
              <w:rPr>
                <w:rFonts w:hint="eastAsia" w:asciiTheme="minorEastAsia" w:hAnsiTheme="minorEastAsia" w:eastAsiaTheme="minorEastAsia" w:cstheme="minorEastAsia"/>
                <w:b/>
                <w:bCs/>
                <w:i/>
                <w:iCs/>
                <w:color w:val="000000"/>
                <w:sz w:val="24"/>
                <w:szCs w:val="24"/>
                <w:highlight w:val="none"/>
                <w:u w:val="single"/>
              </w:rPr>
              <w:t xml:space="preserve">交货期：合同签订后</w:t>
            </w:r>
            <w:r>
              <w:rPr>
                <w:rFonts w:hint="eastAsia" w:asciiTheme="minorEastAsia" w:hAnsiTheme="minorEastAsia" w:eastAsiaTheme="minorEastAsia" w:cstheme="minorEastAsia"/>
                <w:b/>
                <w:bCs/>
                <w:i/>
                <w:iCs/>
                <w:sz w:val="24"/>
                <w:szCs w:val="24"/>
                <w:highlight w:val="none"/>
                <w:u w:val="single"/>
              </w:rPr>
              <w:t xml:space="preserve">，</w:t>
            </w:r>
            <w:r>
              <w:rPr>
                <w:rFonts w:hint="eastAsia" w:asciiTheme="minorEastAsia" w:hAnsiTheme="minorEastAsia" w:eastAsiaTheme="minorEastAsia" w:cstheme="minorEastAsia"/>
                <w:b/>
                <w:bCs/>
                <w:i/>
                <w:iCs/>
                <w:color w:val="000000"/>
                <w:sz w:val="24"/>
                <w:szCs w:val="24"/>
                <w:highlight w:val="none"/>
                <w:u w:val="single"/>
              </w:rPr>
              <w:t xml:space="preserve">60日历天内完成安装调试并验收合格</w:t>
            </w:r>
            <w:r/>
          </w:p>
        </w:tc>
      </w:tr>
      <w:tr>
        <w:trPr/>
        <w:tc>
          <w:tcPr>
            <w:tcW w:w="2499" w:type="pct"/>
            <w:vAlign w:val="center"/>
            <w:textDirection w:val="lrTb"/>
            <w:noWrap w:val="false"/>
          </w:tcPr>
          <w:p>
            <w:pPr>
              <w:jc w:val="center"/>
              <w:rPr>
                <w:rFonts w:hint="eastAsia" w:asciiTheme="minorEastAsia" w:hAnsiTheme="minorEastAsia" w:eastAsiaTheme="minorEastAsia" w:cstheme="minorEastAsia"/>
                <w:b/>
                <w:color w:val="000000"/>
                <w:sz w:val="24"/>
                <w:szCs w:val="24"/>
                <w:highlight w:val="none"/>
                <w:lang w:eastAsia="zh-CN"/>
              </w:rPr>
              <w:outlineLvl w:val="0"/>
            </w:pPr>
            <w:r>
              <w:rPr>
                <w:rFonts w:hint="eastAsia" w:asciiTheme="minorEastAsia" w:hAnsiTheme="minorEastAsia" w:eastAsiaTheme="minorEastAsia" w:cstheme="minorEastAsia"/>
                <w:b/>
                <w:color w:val="000000"/>
                <w:sz w:val="24"/>
                <w:szCs w:val="24"/>
                <w:highlight w:val="none"/>
                <w:lang w:val="en-US" w:eastAsia="zh-CN"/>
              </w:rPr>
              <w:t xml:space="preserve">3</w:t>
            </w:r>
            <w:r/>
          </w:p>
        </w:tc>
        <w:tc>
          <w:tcPr>
            <w:tcW w:w="2500" w:type="pct"/>
            <w:vAlign w:val="center"/>
            <w:textDirection w:val="lrTb"/>
            <w:noWrap w:val="false"/>
          </w:tcPr>
          <w:p>
            <w:pPr>
              <w:jc w:val="left"/>
              <w:rPr>
                <w:rFonts w:asciiTheme="minorEastAsia" w:hAnsiTheme="minorEastAsia" w:eastAsiaTheme="minorEastAsia" w:cstheme="minorEastAsia"/>
                <w:b/>
                <w:bCs/>
                <w:color w:val="000000"/>
                <w:sz w:val="24"/>
                <w:szCs w:val="24"/>
                <w:highlight w:val="none"/>
              </w:rPr>
              <w:outlineLvl w:val="0"/>
            </w:pPr>
            <w:r>
              <w:rPr>
                <w:rFonts w:hint="eastAsia" w:asciiTheme="minorEastAsia" w:hAnsiTheme="minorEastAsia" w:eastAsiaTheme="minorEastAsia" w:cstheme="minorEastAsia"/>
                <w:b/>
                <w:bCs/>
                <w:i/>
                <w:iCs/>
                <w:color w:val="000000"/>
                <w:sz w:val="24"/>
                <w:szCs w:val="24"/>
                <w:highlight w:val="none"/>
                <w:u w:val="single"/>
              </w:rPr>
              <w:t xml:space="preserve">运维期：1年。运维期间，中标人免费包维修、保养、安检、调换等，相关费用包含在投标报价中，采购方不再支付任何费用；对于采购方人为原因造成的故障，中标人只收取维保成本费用。超过运维期的损坏，</w:t>
            </w:r>
            <w:r>
              <w:rPr>
                <w:rFonts w:hint="eastAsia" w:asciiTheme="minorEastAsia" w:hAnsiTheme="minorEastAsia" w:eastAsiaTheme="minorEastAsia" w:cstheme="minorEastAsia"/>
                <w:b/>
                <w:bCs/>
                <w:i/>
                <w:iCs/>
                <w:color w:val="000000"/>
                <w:sz w:val="24"/>
                <w:szCs w:val="24"/>
                <w:highlight w:val="none"/>
                <w:u w:val="single"/>
                <w:lang w:eastAsia="zh-CN"/>
              </w:rPr>
              <w:t xml:space="preserve">终身维修，维修时只收</w:t>
            </w:r>
            <w:r>
              <w:rPr>
                <w:rFonts w:hint="eastAsia" w:asciiTheme="minorEastAsia" w:hAnsiTheme="minorEastAsia" w:eastAsiaTheme="minorEastAsia" w:cstheme="minorEastAsia"/>
                <w:b/>
                <w:bCs/>
                <w:i/>
                <w:iCs/>
                <w:color w:val="000000"/>
                <w:sz w:val="24"/>
                <w:szCs w:val="24"/>
                <w:highlight w:val="none"/>
                <w:u w:val="single"/>
              </w:rPr>
              <w:t xml:space="preserve">部件成本费 。</w:t>
            </w:r>
            <w:r/>
          </w:p>
        </w:tc>
      </w:tr>
      <w:tr>
        <w:trPr/>
        <w:tc>
          <w:tcPr>
            <w:tcW w:w="2499" w:type="pct"/>
            <w:vAlign w:val="center"/>
            <w:textDirection w:val="lrTb"/>
            <w:noWrap w:val="false"/>
          </w:tcPr>
          <w:p>
            <w:pPr>
              <w:jc w:val="center"/>
              <w:rPr>
                <w:rFonts w:hint="eastAsia" w:asciiTheme="minorEastAsia" w:hAnsiTheme="minorEastAsia" w:eastAsiaTheme="minorEastAsia" w:cstheme="minorEastAsia"/>
                <w:b/>
                <w:color w:val="000000"/>
                <w:sz w:val="24"/>
                <w:szCs w:val="24"/>
                <w:highlight w:val="none"/>
                <w:lang w:eastAsia="zh-CN"/>
              </w:rPr>
              <w:outlineLvl w:val="0"/>
            </w:pPr>
            <w:r>
              <w:rPr>
                <w:rFonts w:hint="eastAsia" w:asciiTheme="minorEastAsia" w:hAnsiTheme="minorEastAsia" w:eastAsiaTheme="minorEastAsia" w:cstheme="minorEastAsia"/>
                <w:b/>
                <w:color w:val="000000"/>
                <w:sz w:val="24"/>
                <w:szCs w:val="24"/>
                <w:highlight w:val="none"/>
                <w:lang w:val="en-US" w:eastAsia="zh-CN"/>
              </w:rPr>
              <w:t xml:space="preserve">4</w:t>
            </w:r>
            <w:r/>
          </w:p>
        </w:tc>
        <w:tc>
          <w:tcPr>
            <w:tcW w:w="2500" w:type="pct"/>
            <w:vAlign w:val="center"/>
            <w:textDirection w:val="lrTb"/>
            <w:noWrap w:val="false"/>
          </w:tcPr>
          <w:p>
            <w:pPr>
              <w:pStyle w:val="1042"/>
              <w:jc w:val="left"/>
              <w:spacing w:line="360" w:lineRule="auto"/>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i/>
                <w:iCs/>
                <w:color w:val="000000"/>
                <w:sz w:val="24"/>
                <w:szCs w:val="24"/>
                <w:highlight w:val="none"/>
                <w:u w:val="single"/>
              </w:rPr>
              <w:t xml:space="preserve">付款方式：合同签订后，供应商提交银行或专业担保机构出具的等额预付款保函（保函有效期覆盖至设备到货阶段），并提供对应金额合法有效发票。采购人收到全部资料并审核无误后 10 个工作日内，支付合同总价 30% 作为预付款。项目所需全部硬件设备到货进场，经采购人清点核验、确认无误后，支付至合同价款总额 50%（含前期已付预付款）；所有设备安装调试完成并通过验收后，一次性付清剩余合同款项。各阶段付款前，供应商均应按规定开具合法有效发票，发票资料不齐或不符合要求的，付款时间顺延，采购人不承担逾期付款责任。</w:t>
            </w:r>
            <w:r/>
          </w:p>
        </w:tc>
      </w:tr>
      <w:tr>
        <w:trPr/>
        <w:tc>
          <w:tcPr>
            <w:tcW w:w="2499" w:type="pct"/>
            <w:vAlign w:val="center"/>
            <w:textDirection w:val="lrTb"/>
            <w:noWrap w:val="false"/>
          </w:tcPr>
          <w:p>
            <w:pPr>
              <w:jc w:val="center"/>
              <w:rPr>
                <w:rFonts w:hint="eastAsia" w:asciiTheme="minorEastAsia" w:hAnsiTheme="minorEastAsia" w:eastAsiaTheme="minorEastAsia" w:cstheme="minorEastAsia"/>
                <w:b/>
                <w:color w:val="000000"/>
                <w:sz w:val="24"/>
                <w:szCs w:val="24"/>
                <w:highlight w:val="none"/>
                <w:lang w:eastAsia="zh-CN"/>
              </w:rPr>
              <w:outlineLvl w:val="0"/>
            </w:pPr>
            <w:r>
              <w:rPr>
                <w:rFonts w:hint="eastAsia" w:asciiTheme="minorEastAsia" w:hAnsiTheme="minorEastAsia" w:eastAsiaTheme="minorEastAsia" w:cstheme="minorEastAsia"/>
                <w:b/>
                <w:color w:val="000000"/>
                <w:sz w:val="24"/>
                <w:szCs w:val="24"/>
                <w:highlight w:val="none"/>
                <w:lang w:val="en-US" w:eastAsia="zh-CN"/>
              </w:rPr>
              <w:t xml:space="preserve">5</w:t>
            </w:r>
            <w:r/>
          </w:p>
        </w:tc>
        <w:tc>
          <w:tcPr>
            <w:tcW w:w="2500" w:type="pct"/>
            <w:vAlign w:val="center"/>
            <w:textDirection w:val="lrTb"/>
            <w:noWrap w:val="false"/>
          </w:tcPr>
          <w:p>
            <w:pPr>
              <w:jc w:val="left"/>
              <w:spacing w:line="360" w:lineRule="auto"/>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i/>
                <w:iCs/>
                <w:color w:val="000000"/>
                <w:sz w:val="24"/>
                <w:szCs w:val="24"/>
                <w:highlight w:val="none"/>
                <w:u w:val="single"/>
              </w:rPr>
              <w:t xml:space="preserve">履约保证金：乙方交纳合同金额的 10%作为本合同的履约保证金</w:t>
            </w:r>
            <w:r/>
          </w:p>
        </w:tc>
      </w:tr>
      <w:tr>
        <w:trPr/>
        <w:tc>
          <w:tcPr>
            <w:tcW w:w="2499" w:type="pct"/>
            <w:vAlign w:val="center"/>
            <w:textDirection w:val="lrTb"/>
            <w:noWrap w:val="false"/>
          </w:tcPr>
          <w:p>
            <w:pPr>
              <w:jc w:val="center"/>
              <w:rPr>
                <w:rFonts w:hint="eastAsia" w:asciiTheme="minorEastAsia" w:hAnsiTheme="minorEastAsia" w:eastAsiaTheme="minorEastAsia" w:cstheme="minorEastAsia"/>
                <w:b/>
                <w:color w:val="000000"/>
                <w:sz w:val="24"/>
                <w:szCs w:val="24"/>
                <w:highlight w:val="none"/>
                <w:lang w:eastAsia="zh-CN"/>
              </w:rPr>
              <w:outlineLvl w:val="0"/>
            </w:pPr>
            <w:r>
              <w:rPr>
                <w:rFonts w:hint="eastAsia" w:asciiTheme="minorEastAsia" w:hAnsiTheme="minorEastAsia" w:eastAsiaTheme="minorEastAsia" w:cstheme="minorEastAsia"/>
                <w:b/>
                <w:color w:val="000000"/>
                <w:sz w:val="24"/>
                <w:szCs w:val="24"/>
                <w:highlight w:val="none"/>
                <w:lang w:val="en-US" w:eastAsia="zh-CN"/>
              </w:rPr>
              <w:t xml:space="preserve">6</w:t>
            </w:r>
            <w:r/>
          </w:p>
        </w:tc>
        <w:tc>
          <w:tcPr>
            <w:tcW w:w="2500" w:type="pct"/>
            <w:vAlign w:val="center"/>
            <w:textDirection w:val="lrTb"/>
            <w:noWrap w:val="false"/>
          </w:tcPr>
          <w:p>
            <w:pPr>
              <w:jc w:val="left"/>
              <w:spacing w:line="360" w:lineRule="auto"/>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i/>
                <w:iCs/>
                <w:color w:val="000000"/>
                <w:sz w:val="24"/>
                <w:szCs w:val="24"/>
                <w:highlight w:val="none"/>
                <w:u w:val="single"/>
              </w:rPr>
              <w:t xml:space="preserve">投标人须接入整合现有76路监控点位，对接涉及的设备升级改造、服务期内流量卡费用需投标人自行评估，并包含在投标报价中，招标人不再另行支付。</w:t>
            </w:r>
            <w:r/>
          </w:p>
        </w:tc>
      </w:tr>
      <w:tr>
        <w:trPr/>
        <w:tc>
          <w:tcPr>
            <w:tcW w:w="2499" w:type="pct"/>
            <w:vAlign w:val="center"/>
            <w:textDirection w:val="lrTb"/>
            <w:noWrap w:val="false"/>
          </w:tcPr>
          <w:p>
            <w:pPr>
              <w:jc w:val="center"/>
              <w:rPr>
                <w:rFonts w:hint="eastAsia" w:asciiTheme="minorEastAsia" w:hAnsiTheme="minorEastAsia" w:eastAsiaTheme="minorEastAsia" w:cstheme="minorEastAsia"/>
                <w:b/>
                <w:color w:val="000000"/>
                <w:sz w:val="24"/>
                <w:szCs w:val="24"/>
                <w:highlight w:val="none"/>
                <w:lang w:eastAsia="zh-CN"/>
              </w:rPr>
              <w:outlineLvl w:val="0"/>
            </w:pPr>
            <w:r>
              <w:rPr>
                <w:rFonts w:hint="eastAsia" w:asciiTheme="minorEastAsia" w:hAnsiTheme="minorEastAsia" w:eastAsiaTheme="minorEastAsia" w:cstheme="minorEastAsia"/>
                <w:b/>
                <w:color w:val="000000"/>
                <w:sz w:val="24"/>
                <w:szCs w:val="24"/>
                <w:highlight w:val="none"/>
                <w:lang w:val="en-US" w:eastAsia="zh-CN"/>
              </w:rPr>
              <w:t xml:space="preserve">7</w:t>
            </w:r>
            <w:r/>
          </w:p>
        </w:tc>
        <w:tc>
          <w:tcPr>
            <w:tcW w:w="2500" w:type="pct"/>
            <w:vAlign w:val="center"/>
            <w:textDirection w:val="lrTb"/>
            <w:noWrap w:val="false"/>
          </w:tcPr>
          <w:p>
            <w:pPr>
              <w:jc w:val="left"/>
              <w:rPr>
                <w:rFonts w:asciiTheme="minorEastAsia" w:hAnsiTheme="minorEastAsia" w:eastAsiaTheme="minorEastAsia" w:cstheme="minorEastAsia"/>
                <w:b/>
                <w:bCs/>
                <w:color w:val="000000"/>
                <w:sz w:val="24"/>
                <w:szCs w:val="24"/>
                <w:highlight w:val="none"/>
              </w:rPr>
              <w:outlineLvl w:val="0"/>
            </w:pPr>
            <w:r>
              <w:rPr>
                <w:rFonts w:hint="eastAsia" w:asciiTheme="minorEastAsia" w:hAnsiTheme="minorEastAsia" w:eastAsiaTheme="minorEastAsia" w:cstheme="minorEastAsia"/>
                <w:b/>
                <w:bCs/>
                <w:i/>
                <w:iCs/>
                <w:sz w:val="24"/>
                <w:highlight w:val="none"/>
                <w:u w:val="single"/>
              </w:rPr>
              <w:t xml:space="preserve">本项目配备项目组成员不低于5名，至少包含1名项目负责人，项目组成员不低于4名。负责所有设备安装、网络调试，运维期内售后服务等工作，同时配合采购人做好验收工作。</w:t>
            </w:r>
            <w:r/>
          </w:p>
        </w:tc>
      </w:tr>
    </w:tbl>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hint="eastAsia" w:asciiTheme="minorEastAsia" w:hAnsiTheme="minorEastAsia" w:eastAsiaTheme="minorEastAsia" w:cstheme="minorEastAsia"/>
          <w:b/>
          <w:color w:val="000000"/>
          <w:sz w:val="32"/>
          <w:szCs w:val="32"/>
          <w:highlight w:val="none"/>
        </w:rPr>
        <w:t xml:space="preserve">第五章  评标方法与评标标准</w:t>
      </w:r>
      <w:bookmarkEnd w:id="188"/>
      <w:r/>
      <w:bookmarkEnd w:id="189"/>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ind w:firstLine="482"/>
        <w:jc w:val="left"/>
        <w:spacing w:line="500" w:lineRule="exact"/>
        <w:rPr>
          <w:rFonts w:asciiTheme="minorEastAsia" w:hAnsiTheme="minorEastAsia" w:eastAsiaTheme="minorEastAsia" w:cstheme="minorEastAsia"/>
          <w:b/>
          <w:sz w:val="24"/>
          <w:szCs w:val="24"/>
          <w:highlight w:val="none"/>
        </w:rPr>
        <w:outlineLvl w:val="0"/>
      </w:pPr>
      <w:r/>
      <w:bookmarkStart w:id="191" w:name="_Toc22270"/>
      <w:r>
        <w:rPr>
          <w:rFonts w:hint="eastAsia" w:asciiTheme="minorEastAsia" w:hAnsiTheme="minorEastAsia" w:eastAsiaTheme="minorEastAsia" w:cstheme="minorEastAsia"/>
          <w:b/>
          <w:sz w:val="24"/>
          <w:szCs w:val="24"/>
          <w:highlight w:val="none"/>
        </w:rPr>
        <w:t xml:space="preserve">一、评标方法</w:t>
      </w:r>
      <w:bookmarkEnd w:id="191"/>
      <w:r/>
      <w:r/>
    </w:p>
    <w:p>
      <w:pPr>
        <w:ind w:firstLine="480"/>
        <w:jc w:val="left"/>
        <w:spacing w:line="5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jc w:val="left"/>
        <w:spacing w:line="500" w:lineRule="exact"/>
        <w:rPr>
          <w:rFonts w:asciiTheme="minorEastAsia" w:hAnsiTheme="minorEastAsia" w:eastAsiaTheme="minorEastAsia" w:cstheme="minorEastAsia"/>
          <w:b/>
          <w:sz w:val="24"/>
          <w:szCs w:val="24"/>
          <w:highlight w:val="none"/>
        </w:rPr>
        <w:outlineLvl w:val="0"/>
      </w:pPr>
      <w:r/>
      <w:bookmarkStart w:id="192" w:name="_Toc16142"/>
      <w:r>
        <w:rPr>
          <w:rFonts w:hint="eastAsia" w:asciiTheme="minorEastAsia" w:hAnsiTheme="minorEastAsia" w:eastAsiaTheme="minorEastAsia" w:cstheme="minorEastAsia"/>
          <w:b/>
          <w:sz w:val="24"/>
          <w:szCs w:val="24"/>
          <w:highlight w:val="none"/>
        </w:rPr>
        <w:t xml:space="preserve">二、评标标准</w:t>
      </w:r>
      <w:bookmarkEnd w:id="192"/>
      <w:r/>
      <w:r/>
    </w:p>
    <w:p>
      <w:pPr>
        <w:ind w:firstLine="480"/>
        <w:jc w:val="left"/>
        <w:spacing w:line="5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（2）本项目评分总分为100分，按四舍五入取至小数点后两位。</w:t>
      </w:r>
      <w:r/>
    </w:p>
    <w:p>
      <w:pPr>
        <w:ind w:firstLine="480"/>
        <w:jc w:val="left"/>
        <w:spacing w:line="5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（3）总得分=价格分+商务技术分。</w:t>
      </w:r>
      <w:r/>
    </w:p>
    <w:p>
      <w:pPr>
        <w:pStyle w:val="1126"/>
        <w:ind w:left="734" w:hanging="343"/>
        <w:jc w:val="center"/>
        <w:spacing w:line="360" w:lineRule="auto"/>
        <w:tabs>
          <w:tab w:val="left" w:pos="720" w:leader="none"/>
        </w:tabs>
        <w:rPr>
          <w:rFonts w:asciiTheme="minorEastAsia" w:hAnsiTheme="minorEastAsia" w:eastAsiaTheme="minorEastAsia" w:cstheme="minorEastAsia"/>
          <w:b/>
          <w:color w:val="000000"/>
          <w:sz w:val="28"/>
          <w:szCs w:val="28"/>
          <w:highlight w:val="none"/>
        </w:rPr>
        <w:outlineLvl w:val="0"/>
      </w:pPr>
      <w:r/>
      <w:bookmarkStart w:id="193" w:name="_Toc12984"/>
      <w:r>
        <w:rPr>
          <w:rFonts w:hint="eastAsia" w:asciiTheme="minorEastAsia" w:hAnsiTheme="minorEastAsia" w:eastAsiaTheme="minorEastAsia" w:cstheme="minorEastAsia"/>
          <w:b/>
          <w:color w:val="000000"/>
          <w:sz w:val="28"/>
          <w:szCs w:val="28"/>
          <w:highlight w:val="none"/>
        </w:rPr>
        <w:t xml:space="preserve">综合评分法</w:t>
      </w:r>
      <w:bookmarkEnd w:id="193"/>
      <w:r/>
      <w:r/>
    </w:p>
    <w:p>
      <w:pPr>
        <w:ind w:firstLine="482"/>
        <w:spacing w:line="360" w:lineRule="auto"/>
        <w:widowControl/>
        <w:rPr>
          <w:rFonts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b/>
          <w:bCs/>
          <w:color w:val="000000"/>
          <w:sz w:val="24"/>
          <w:highlight w:val="none"/>
        </w:rPr>
        <w:t xml:space="preserve">1.价格分：30分</w:t>
      </w:r>
      <w:r/>
    </w:p>
    <w:p>
      <w:pPr>
        <w:ind w:firstLine="480"/>
        <w:spacing w:line="360" w:lineRule="auto"/>
        <w:widowControl/>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widowControl/>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投标报价得分=（评标基准价/投标报价）×30分。</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因落实政府采购政策进行价格调整的，以调整后的价格计算评标基准价和响应报价，小数点后保留两位。评标过程中，不得去掉报价中的最高报价和最低报价。</w:t>
      </w:r>
      <w:r/>
    </w:p>
    <w:p>
      <w:pPr>
        <w:ind w:firstLine="480"/>
        <w:spacing w:line="360" w:lineRule="auto"/>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 w:val="24"/>
          <w:highlight w:val="none"/>
        </w:rPr>
        <w:t xml:space="preserve">不得去掉报价中的最高报价和最低报价。</w:t>
      </w:r>
      <w:r/>
    </w:p>
    <w:p>
      <w:pPr>
        <w:ind w:firstLine="482"/>
        <w:rPr>
          <w:rFonts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2.商务技术分（70分）</w:t>
      </w:r>
      <w:r/>
    </w:p>
    <w:tbl>
      <w:tblPr>
        <w:tblStyle w:val="82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7771"/>
      </w:tblGrid>
      <w:tr>
        <w:trPr>
          <w:jc w:val="center"/>
          <w:trHeight w:val="470"/>
        </w:trPr>
        <w:tc>
          <w:tcPr>
            <w:tcW w:w="1057" w:type="pct"/>
            <w:vAlign w:val="center"/>
            <w:textDirection w:val="lrTb"/>
            <w:noWrap/>
          </w:tcPr>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评审类型</w:t>
            </w:r>
            <w:r/>
          </w:p>
        </w:tc>
        <w:tc>
          <w:tcPr>
            <w:tcW w:w="3942" w:type="pct"/>
            <w:vAlign w:val="center"/>
            <w:textDirection w:val="lrTb"/>
            <w:noWrap/>
          </w:tcPr>
          <w:p>
            <w:pPr>
              <w:ind w:firstLine="44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评分标准</w:t>
            </w:r>
            <w:r/>
          </w:p>
        </w:tc>
      </w:tr>
      <w:tr>
        <w:trPr>
          <w:jc w:val="center"/>
          <w:trHeight w:val="470"/>
        </w:trPr>
        <w:tc>
          <w:tcPr>
            <w:tcW w:w="1057" w:type="pct"/>
            <w:vAlign w:val="center"/>
            <w:textDirection w:val="lrTb"/>
            <w:noWrap/>
          </w:tcPr>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技术指标</w:t>
            </w:r>
            <w:r/>
          </w:p>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tc>
        <w:tc>
          <w:tcPr>
            <w:tcW w:w="3942" w:type="pct"/>
            <w:vAlign w:val="center"/>
            <w:textDirection w:val="lrTb"/>
            <w:noWrap/>
          </w:tcPr>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技术响应评审基准分2</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分，招标文件标注</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的要求，每有一项负偏离扣2分，扣完为止。</w:t>
            </w:r>
            <w:r/>
          </w:p>
          <w:p>
            <w:pPr>
              <w:spacing w:line="360" w:lineRule="auto"/>
              <w:rPr>
                <w:rFonts w:asciiTheme="minorEastAsia" w:hAnsiTheme="minorEastAsia" w:eastAsiaTheme="minorEastAsia" w:cstheme="minorEastAsia"/>
                <w:b/>
                <w:color w:val="ff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注：投标文件中详细填写技术要求响应及偏离表，逐条响应。未提供证明材料或所提供材料与招标文件要求不一致的视为负偏离（证明需标注、明示，便于专家查找）。</w:t>
            </w:r>
            <w:r/>
          </w:p>
        </w:tc>
      </w:tr>
      <w:tr>
        <w:trPr>
          <w:jc w:val="center"/>
          <w:trHeight w:val="470"/>
        </w:trPr>
        <w:tc>
          <w:tcPr>
            <w:tcW w:w="1057" w:type="pct"/>
            <w:vAlign w:val="center"/>
            <w:textDirection w:val="lrTb"/>
            <w:noWrap/>
          </w:tcPr>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人员资质</w:t>
            </w:r>
            <w:r/>
          </w:p>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分）</w:t>
            </w:r>
            <w:r/>
          </w:p>
        </w:tc>
        <w:tc>
          <w:tcPr>
            <w:tcW w:w="3942" w:type="pct"/>
            <w:vAlign w:val="center"/>
            <w:textDirection w:val="lrTb"/>
            <w:noWrap/>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项目负责人具有电子信息工程专业高级工程师、网络工程师（高级）、软件工程师（高级）</w:t>
            </w:r>
            <w:r>
              <w:rPr>
                <w:rFonts w:hint="eastAsia" w:asciiTheme="minorEastAsia" w:hAnsiTheme="minorEastAsia" w:eastAsiaTheme="minorEastAsia" w:cstheme="minorEastAsia"/>
                <w:sz w:val="24"/>
                <w:szCs w:val="24"/>
                <w:highlight w:val="none"/>
                <w:lang w:eastAsia="zh-CN"/>
              </w:rPr>
              <w:t xml:space="preserve">、高级智能化系统集成项目经理、系统分析师、售后服务管理师</w:t>
            </w:r>
            <w:r>
              <w:rPr>
                <w:rFonts w:hint="eastAsia" w:asciiTheme="minorEastAsia" w:hAnsiTheme="minorEastAsia" w:eastAsiaTheme="minorEastAsia" w:cstheme="minorEastAsia"/>
                <w:sz w:val="24"/>
                <w:szCs w:val="24"/>
                <w:highlight w:val="none"/>
              </w:rPr>
              <w:t xml:space="preserve">，每提供一个得2分，最高得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项目组成员（不含项目负责人）具有计算机、电子、通信等专业中级及以上职称证书的，每提供一个得1分，一人多证不重复得分，本项最多4分。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投标文件中提供项目团队名单，附相关证书、证明的扫描件并加盖投标人公章，同时提供2026年6月（含）以来任意一个月由投标人为其缴纳社保证明（加盖社保中心章或社保中心参保缴费证明电子专用章）等材料，如退休人员，需提供退休证及和供应商签订的返聘合同等材料；</w:t>
            </w:r>
            <w:r/>
          </w:p>
        </w:tc>
      </w:tr>
      <w:tr>
        <w:trPr>
          <w:jc w:val="center"/>
          <w:trHeight w:val="470"/>
        </w:trPr>
        <w:tc>
          <w:tcPr>
            <w:tcW w:w="1057" w:type="pct"/>
            <w:vAlign w:val="center"/>
            <w:textDirection w:val="lrTb"/>
            <w:noWrap/>
          </w:tcPr>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项目实施保障</w:t>
            </w:r>
            <w:r/>
          </w:p>
          <w:p>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分）</w:t>
            </w:r>
            <w:r/>
          </w:p>
        </w:tc>
        <w:tc>
          <w:tcPr>
            <w:tcW w:w="3942" w:type="pct"/>
            <w:vAlign w:val="center"/>
            <w:textDirection w:val="lrTb"/>
            <w:noWrap/>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投标人或核心产品制造商具有有效的质量管理体系认证证书的得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投标人或核心产品制造商具有有效的环境管理体系认证证书的得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rPr>
              <w:t xml:space="preserve">投标人具有有效的信息系统业务安全服务资质认证证书的得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4.</w:t>
            </w:r>
            <w:r>
              <w:rPr>
                <w:rFonts w:hint="eastAsia" w:asciiTheme="minorEastAsia" w:hAnsiTheme="minorEastAsia" w:eastAsiaTheme="minorEastAsia" w:cstheme="minorEastAsia"/>
                <w:sz w:val="24"/>
                <w:szCs w:val="24"/>
                <w:highlight w:val="none"/>
              </w:rPr>
              <w:t xml:space="preserve">投标人具有有效的信息系统安全运维服务认证证书的得1分；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lang w:val="en-US" w:eastAsia="zh-CN"/>
              </w:rPr>
              <w:t xml:space="preserve">5.</w:t>
            </w:r>
            <w:r>
              <w:rPr>
                <w:rFonts w:hint="eastAsia" w:asciiTheme="minorEastAsia" w:hAnsiTheme="minorEastAsia" w:eastAsiaTheme="minorEastAsia" w:cstheme="minorEastAsia"/>
                <w:sz w:val="24"/>
                <w:highlight w:val="none"/>
              </w:rPr>
              <w:t xml:space="preserve">投标人具有有效的ITSS信息技术服务标准符合性证书的得1分；注：提供以上相关证书扫描件。</w:t>
            </w:r>
            <w:r/>
          </w:p>
        </w:tc>
      </w:tr>
      <w:tr>
        <w:trPr>
          <w:jc w:val="center"/>
          <w:trHeight w:val="470"/>
        </w:trPr>
        <w:tc>
          <w:tcPr>
            <w:tcW w:w="1057" w:type="pct"/>
            <w:vAlign w:val="center"/>
            <w:textDirection w:val="lrTb"/>
            <w:noWrap/>
          </w:tcPr>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类似业绩</w:t>
            </w:r>
            <w:r/>
          </w:p>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（4分）</w:t>
            </w:r>
            <w:r/>
          </w:p>
        </w:tc>
        <w:tc>
          <w:tcPr>
            <w:tcW w:w="3942" w:type="pct"/>
            <w:vAlign w:val="center"/>
            <w:textDirection w:val="lrTb"/>
            <w:noWrap/>
          </w:tcPr>
          <w:p>
            <w:pP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w:t>
            </w:r>
            <w:r>
              <w:rPr>
                <w:rFonts w:hint="eastAsia" w:asciiTheme="minorEastAsia" w:hAnsiTheme="minorEastAsia" w:eastAsiaTheme="minorEastAsia" w:cstheme="minorEastAsia"/>
                <w:color w:val="000000"/>
                <w:sz w:val="24"/>
                <w:szCs w:val="24"/>
                <w:highlight w:val="none"/>
                <w:lang w:bidi="ar"/>
              </w:rPr>
              <w:t xml:space="preserve">自2023年1月1日以来（以合同签订日期为准）</w:t>
            </w:r>
            <w:r>
              <w:rPr>
                <w:rFonts w:hint="eastAsia" w:asciiTheme="minorEastAsia" w:hAnsiTheme="minorEastAsia" w:eastAsiaTheme="minorEastAsia" w:cstheme="minorEastAsia"/>
                <w:sz w:val="24"/>
                <w:szCs w:val="24"/>
                <w:highlight w:val="none"/>
              </w:rPr>
              <w:t xml:space="preserve">具有类似项目业绩，每提供一个得1分，最高得4分。</w:t>
            </w:r>
            <w:r/>
          </w:p>
          <w:p>
            <w:pPr>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注：1、类似项目：前端视频监测设备建设或后端监控平台软件建设等；</w:t>
            </w:r>
            <w:r/>
          </w:p>
          <w:p>
            <w:pPr>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eastAsia="zh-CN"/>
              </w:rPr>
              <w:t xml:space="preserve">2.</w:t>
            </w:r>
            <w:r>
              <w:rPr>
                <w:rFonts w:hint="eastAsia" w:asciiTheme="minorEastAsia" w:hAnsiTheme="minorEastAsia" w:eastAsiaTheme="minorEastAsia" w:cstheme="minorEastAsia"/>
                <w:b/>
                <w:color w:val="000000"/>
                <w:sz w:val="24"/>
                <w:szCs w:val="24"/>
                <w:highlight w:val="none"/>
              </w:rPr>
              <w:t xml:space="preserve">投标文件中提供完整合同扫描件并加盖投标人公章，合同中须体现主要标的信息，（时间以合同签订时间为准），未提供、提供内容不清晰或与要求不符的不得分。</w:t>
            </w:r>
            <w:r/>
          </w:p>
        </w:tc>
      </w:tr>
      <w:tr>
        <w:trPr>
          <w:jc w:val="center"/>
          <w:trHeight w:val="90"/>
        </w:trPr>
        <w:tc>
          <w:tcPr>
            <w:tcW w:w="1057" w:type="pct"/>
            <w:vAlign w:val="center"/>
            <w:textDirection w:val="lrTb"/>
            <w:noWrap/>
          </w:tcPr>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技术方案</w:t>
            </w:r>
            <w:r/>
          </w:p>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（12分）</w:t>
            </w:r>
            <w:r/>
          </w:p>
        </w:tc>
        <w:tc>
          <w:tcPr>
            <w:tcW w:w="3942" w:type="pct"/>
            <w:vAlign w:val="center"/>
            <w:textDirection w:val="lrTb"/>
            <w:noWrap/>
          </w:tcPr>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投标文件提供项目技术方案，方案必须覆盖前端监测体系、通信传输网络等主要内容，包含但不限于点位选择、监控方向设置、供电配套规划、传输链路规划、AI 智能应用设计、安全保密设计：</w:t>
            </w:r>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方案完整详实，完整覆盖前端监测体系、通信传输网络模块；点位选择充分结合本项目进出山道路、坟区祭拜</w:t>
            </w:r>
            <w:r>
              <w:rPr>
                <w:rFonts w:hint="eastAsia" w:asciiTheme="minorEastAsia" w:hAnsiTheme="minorEastAsia" w:eastAsiaTheme="minorEastAsia" w:cstheme="minorEastAsia"/>
                <w:sz w:val="24"/>
                <w:szCs w:val="24"/>
                <w:highlight w:val="none"/>
              </w:rPr>
              <w:t xml:space="preserve">台、护林房、蓄水箱等高风险业务场景、招标文件给定点位坐标、现有存量监控设备现状，区分新增布点与利旧点位，充分考虑地形遮挡、制高点选取；监控方向设置结合山林地形、山体树木遮挡、逆光强光规避、烟火/人车 AI 算法识别需求做针对性角度、预置巡航点位设计；对供电配套规划、传输链路规划、AI 智能应用设计、安全保密设计均有对应深度阐述；设备选型匹配清单参数、网络架构合理，响应全部业务需求，落实与省市森林防火平台无缝级联要求；整体内容贴合云台山景区项目实际，逻辑清晰，技术路径明确，针对性强，落地可实施性高，得12分；</w:t>
            </w:r>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较完整，完整覆盖前端监测体系、通信传输网络模块；包含点位选择、监控方向设置内容，点位、监控方向有对应分析；对供电配套、传输链路有基础描述；能够响应项目主要建设需求，设备、网络主要技术路径清晰，具备可实施性；但部分内容深度基本满足，得9分；</w:t>
            </w:r>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一般，基本覆盖前端监测体系、通信传输网络模块；包含点位选择、监控方向设置内容，点位、监控方向有对应分析；对供电配套、传输链路有基础描述；基本响应项目主要建设需求，设备、网络主要技术路径清晰，可实施性较弱，部分内容深度不足，得6分；</w:t>
            </w:r>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方案仅覆盖前端监测体系、通信传输网络部分模块；点位选择、监控方向设置仅简单文字描述，缺少结合云台山景区现场场景分析；供电、传输、AI 应用、安全保密大部分要素未展开说明；整体内容深度一般，技术描述宽泛，项目针对性较弱，得3分；</w:t>
            </w:r>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未见阐述不得分。</w:t>
            </w:r>
            <w:r/>
          </w:p>
        </w:tc>
      </w:tr>
      <w:tr>
        <w:trPr>
          <w:jc w:val="center"/>
          <w:trHeight w:val="90"/>
        </w:trPr>
        <w:tc>
          <w:tcPr>
            <w:tcW w:w="2083" w:type="dxa"/>
            <w:vAlign w:val="center"/>
            <w:textDirection w:val="lrTb"/>
            <w:noWrap/>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平台升级方案</w:t>
            </w:r>
            <w:r/>
          </w:p>
          <w:p>
            <w:pPr>
              <w:jc w:val="center"/>
              <w:spacing w:line="360" w:lineRule="auto"/>
              <w:rPr>
                <w:rFonts w:asciiTheme="minorEastAsia" w:hAnsiTheme="minorEastAsia" w:eastAsiaTheme="minorEastAsia" w:cstheme="minorEastAsia"/>
                <w:sz w:val="24"/>
                <w:szCs w:val="24"/>
                <w:highlight w:val="none"/>
              </w:rPr>
            </w:pPr>
            <w:r>
              <w:rPr>
                <w:rFonts w:hint="eastAsia" w:ascii="宋体" w:hAnsi="宋体"/>
                <w:sz w:val="24"/>
                <w:szCs w:val="24"/>
                <w:highlight w:val="none"/>
              </w:rPr>
              <w:t xml:space="preserve">（10分）</w:t>
            </w:r>
            <w:r/>
          </w:p>
        </w:tc>
        <w:tc>
          <w:tcPr>
            <w:tcW w:w="7771" w:type="dxa"/>
            <w:vAlign w:val="center"/>
            <w:textDirection w:val="lrTb"/>
            <w:noWrap/>
          </w:tcPr>
          <w:p>
            <w:pPr>
              <w:spacing w:line="360" w:lineRule="auto"/>
              <w:rPr>
                <w:rFonts w:ascii="宋体" w:hAnsi="宋体"/>
                <w:sz w:val="24"/>
                <w:szCs w:val="24"/>
                <w:highlight w:val="none"/>
              </w:rPr>
            </w:pPr>
            <w:r>
              <w:rPr>
                <w:rFonts w:hint="eastAsia" w:ascii="宋体" w:hAnsi="宋体"/>
                <w:sz w:val="24"/>
                <w:szCs w:val="24"/>
                <w:highlight w:val="none"/>
              </w:rPr>
              <w:t xml:space="preserve">投标人应结合本项目业务需求，在技术方案中提供对软件平台升级的理解说明，包含但不限于：平台功能模块逻辑流程图、业务数据流图、页面功能示意图/示例截图、接口交互设计说明、数据模型设计方案等。等内容：</w:t>
            </w:r>
            <w:r/>
          </w:p>
          <w:p>
            <w:pPr>
              <w:spacing w:line="360" w:lineRule="auto"/>
              <w:rPr>
                <w:rFonts w:ascii="宋体" w:hAnsi="宋体"/>
                <w:sz w:val="24"/>
                <w:szCs w:val="24"/>
                <w:highlight w:val="none"/>
              </w:rPr>
            </w:pPr>
            <w:r>
              <w:rPr>
                <w:rFonts w:hint="eastAsia" w:ascii="宋体" w:hAnsi="宋体"/>
                <w:sz w:val="24"/>
                <w:szCs w:val="24"/>
                <w:highlight w:val="none"/>
              </w:rPr>
              <w:t xml:space="preserve">方案内容全面合理，能够完整对应本项目软件升级各项业务功能，清晰体现平台业务流转、数据交互，业务逻辑理解深刻的得10分；</w:t>
            </w:r>
            <w:r/>
          </w:p>
          <w:p>
            <w:pPr>
              <w:spacing w:line="360" w:lineRule="auto"/>
              <w:rPr>
                <w:rFonts w:ascii="宋体" w:hAnsi="宋体"/>
                <w:sz w:val="24"/>
                <w:szCs w:val="24"/>
                <w:highlight w:val="none"/>
              </w:rPr>
            </w:pPr>
            <w:r>
              <w:rPr>
                <w:rFonts w:hint="eastAsia" w:ascii="宋体" w:hAnsi="宋体"/>
                <w:sz w:val="24"/>
                <w:szCs w:val="24"/>
                <w:highlight w:val="none"/>
              </w:rPr>
              <w:t xml:space="preserve">方案内容比较完整，能够基本对应本项目软件升级各项业务功能，基本体现平台业务流转、数据交互，业务逻辑理解深刻的得8分；</w:t>
            </w:r>
            <w:r/>
          </w:p>
          <w:p>
            <w:pPr>
              <w:spacing w:line="360" w:lineRule="auto"/>
              <w:rPr>
                <w:rFonts w:ascii="宋体" w:hAnsi="宋体"/>
                <w:sz w:val="24"/>
                <w:szCs w:val="24"/>
                <w:highlight w:val="none"/>
              </w:rPr>
            </w:pPr>
            <w:r>
              <w:rPr>
                <w:rFonts w:hint="eastAsia" w:ascii="宋体" w:hAnsi="宋体"/>
                <w:sz w:val="24"/>
                <w:szCs w:val="24"/>
                <w:highlight w:val="none"/>
              </w:rPr>
              <w:t xml:space="preserve">方案内容一般，本项目软件升级各项业务功能缺项，体现平台业务流转、数据交互，业务逻辑理解不足的得6分；</w:t>
            </w:r>
            <w:r/>
          </w:p>
          <w:p>
            <w:pPr>
              <w:spacing w:line="360" w:lineRule="auto"/>
              <w:rPr>
                <w:rFonts w:ascii="宋体" w:hAnsi="宋体"/>
                <w:sz w:val="24"/>
                <w:szCs w:val="24"/>
                <w:highlight w:val="none"/>
              </w:rPr>
            </w:pPr>
            <w:r>
              <w:rPr>
                <w:rFonts w:hint="eastAsia" w:ascii="宋体" w:hAnsi="宋体"/>
                <w:sz w:val="24"/>
                <w:szCs w:val="24"/>
                <w:highlight w:val="none"/>
              </w:rPr>
              <w:t xml:space="preserve">方案内容有缺项，相关截图、示意图与本项目软件升级各项业务功能不相关、无法体现对软件平台理解的得4分；</w:t>
            </w:r>
            <w:r/>
          </w:p>
          <w:p>
            <w:pPr>
              <w:spacing w:line="360" w:lineRule="auto"/>
              <w:rPr>
                <w:rFonts w:asciiTheme="minorEastAsia" w:hAnsiTheme="minorEastAsia" w:eastAsiaTheme="minorEastAsia" w:cstheme="minorEastAsia"/>
                <w:sz w:val="24"/>
                <w:szCs w:val="24"/>
                <w:highlight w:val="none"/>
              </w:rPr>
            </w:pPr>
            <w:r>
              <w:rPr>
                <w:rFonts w:hint="eastAsia" w:ascii="宋体" w:hAnsi="宋体"/>
                <w:sz w:val="24"/>
                <w:szCs w:val="24"/>
                <w:highlight w:val="none"/>
              </w:rPr>
              <w:t xml:space="preserve">未见阐述不得分。</w:t>
            </w:r>
            <w:r/>
          </w:p>
        </w:tc>
      </w:tr>
      <w:tr>
        <w:trPr>
          <w:jc w:val="center"/>
          <w:trHeight w:val="470"/>
        </w:trPr>
        <w:tc>
          <w:tcPr>
            <w:tcW w:w="1057" w:type="pct"/>
            <w:vAlign w:val="center"/>
            <w:textDirection w:val="lrTb"/>
            <w:noWrap/>
          </w:tcPr>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实施方案</w:t>
            </w:r>
            <w:r/>
          </w:p>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tc>
        <w:tc>
          <w:tcPr>
            <w:tcW w:w="3942" w:type="pct"/>
            <w:vAlign w:val="center"/>
            <w:textDirection w:val="lrTb"/>
            <w:noWrap/>
          </w:tcPr>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投标文件提供项目实施方案，方案包括但不限于进度安排、安全保证措施、环境保护措施、应急处置措施、现场管理措施等内容：</w:t>
            </w:r>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方案内容全面完整，进度安排科学合理、安全保障措施完善、应急处置措施切实可行的得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方案内容比较完整，进度安排科学比较合理、安全保障措施比较完善、应急处置措施比较可行的得2分；</w:t>
            </w:r>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方案内容有缺项，进度安排科学合理性一般、安全保障措施完善程度一般、应急处置措施可行性一般的得1分；</w:t>
            </w:r>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未见阐述不得分。</w:t>
            </w:r>
            <w:r/>
          </w:p>
        </w:tc>
      </w:tr>
      <w:tr>
        <w:trPr>
          <w:jc w:val="center"/>
          <w:trHeight w:val="470"/>
        </w:trPr>
        <w:tc>
          <w:tcPr>
            <w:tcW w:w="1057" w:type="pct"/>
            <w:vAlign w:val="center"/>
            <w:textDirection w:val="lrTb"/>
            <w:noWrap/>
          </w:tcPr>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售后服务方案</w:t>
            </w:r>
            <w:r/>
          </w:p>
          <w:p>
            <w:pPr>
              <w:jc w:val="cente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tc>
        <w:tc>
          <w:tcPr>
            <w:tcW w:w="3942" w:type="pct"/>
            <w:vAlign w:val="center"/>
            <w:textDirection w:val="lrTb"/>
            <w:noWrap/>
          </w:tcPr>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根据投标人所提供的售后服务方案，包括但不限于货物质保范围、质保期限、售后响应时间、售后服务保障方案、应急保障方案等内容进行综合评分。</w:t>
            </w:r>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质保范围全面、售后响应快速、售后服务保障方案可行性强、应急保障方案全面，得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质保范围较为全面、售后响应较快速、售后服务保障方案可行性较强、应急保障方案较为全面，得2分；</w:t>
            </w:r>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质保范围一般、售后响应速度较慢、售后服务保障方案可行性较弱、应急保障方案欠缺，得1分；</w:t>
            </w:r>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未见阐述不得分。</w:t>
            </w:r>
            <w:r/>
          </w:p>
        </w:tc>
      </w:tr>
    </w:tbl>
    <w:p>
      <w:pPr>
        <w:spacing w:line="320" w:lineRule="exact"/>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p>
      <w:pPr>
        <w:jc w:val="center"/>
        <w:rPr>
          <w:rFonts w:asciiTheme="minorEastAsia" w:hAnsiTheme="minorEastAsia" w:eastAsiaTheme="minorEastAsia" w:cstheme="minorEastAsia"/>
          <w:b/>
          <w:color w:val="000000"/>
          <w:sz w:val="32"/>
          <w:szCs w:val="32"/>
          <w:highlight w:val="none"/>
        </w:rPr>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bookmarkStart w:id="194" w:name="_Toc28528"/>
      <w:r/>
      <w:bookmarkStart w:id="195" w:name="_Toc12880"/>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asciiTheme="minorEastAsia" w:hAnsiTheme="minorEastAsia" w:eastAsiaTheme="minorEastAsia" w:cstheme="minorEastAsia"/>
          <w:b/>
          <w:color w:val="000000"/>
          <w:sz w:val="32"/>
          <w:szCs w:val="32"/>
          <w:highlight w:val="none"/>
        </w:rPr>
      </w:r>
      <w:r/>
    </w:p>
    <w:p>
      <w:pPr>
        <w:jc w:val="center"/>
        <w:rPr>
          <w:rFonts w:asciiTheme="minorEastAsia" w:hAnsiTheme="minorEastAsia" w:eastAsiaTheme="minorEastAsia" w:cstheme="minorEastAsia"/>
          <w:b/>
          <w:color w:val="000000"/>
          <w:sz w:val="32"/>
          <w:szCs w:val="32"/>
          <w:highlight w:val="none"/>
        </w:rPr>
        <w:outlineLvl w:val="0"/>
      </w:pPr>
      <w:r>
        <w:rPr>
          <w:rFonts w:hint="eastAsia" w:asciiTheme="minorEastAsia" w:hAnsiTheme="minorEastAsia" w:eastAsiaTheme="minorEastAsia" w:cstheme="minorEastAsia"/>
          <w:b/>
          <w:color w:val="000000"/>
          <w:sz w:val="32"/>
          <w:szCs w:val="32"/>
          <w:highlight w:val="none"/>
        </w:rPr>
        <w:t xml:space="preserve">第六章  投标</w:t>
      </w:r>
      <w:bookmarkEnd w:id="153"/>
      <w:r/>
      <w:bookmarkEnd w:id="154"/>
      <w:r/>
      <w:bookmarkEnd w:id="190"/>
      <w:r>
        <w:rPr>
          <w:rFonts w:hint="eastAsia" w:asciiTheme="minorEastAsia" w:hAnsiTheme="minorEastAsia" w:eastAsiaTheme="minorEastAsia" w:cstheme="minorEastAsia"/>
          <w:b/>
          <w:color w:val="000000"/>
          <w:sz w:val="32"/>
          <w:szCs w:val="32"/>
          <w:highlight w:val="none"/>
        </w:rPr>
        <w:t xml:space="preserve">文件格式</w:t>
      </w:r>
      <w:bookmarkEnd w:id="194"/>
      <w:r/>
      <w:bookmarkEnd w:id="195"/>
      <w:r>
        <w:rPr>
          <w:rFonts w:hint="eastAsia" w:asciiTheme="minorEastAsia" w:hAnsiTheme="minorEastAsia" w:eastAsiaTheme="minorEastAsia" w:cstheme="minorEastAsia"/>
          <w:b/>
          <w:color w:val="000000"/>
          <w:sz w:val="32"/>
          <w:szCs w:val="32"/>
          <w:highlight w:val="none"/>
        </w:rPr>
        <w:t xml:space="preserve"> </w:t>
      </w:r>
      <w:r/>
    </w:p>
    <w:p>
      <w:pPr>
        <w:jc w:val="center"/>
        <w:rPr>
          <w:rFonts w:asciiTheme="minorEastAsia" w:hAnsiTheme="minorEastAsia" w:eastAsiaTheme="minorEastAsia" w:cstheme="minorEastAsia"/>
          <w:b/>
          <w:color w:val="000000"/>
          <w:sz w:val="72"/>
          <w:szCs w:val="21"/>
          <w:highlight w:val="none"/>
        </w:rPr>
      </w:pPr>
      <w:r/>
      <w:bookmarkStart w:id="196" w:name="_Hlt26955039"/>
      <w:r/>
      <w:bookmarkEnd w:id="196"/>
      <w:r/>
      <w:bookmarkStart w:id="197" w:name="_Hlt26671244"/>
      <w:r/>
      <w:bookmarkEnd w:id="197"/>
      <w:r/>
      <w:bookmarkStart w:id="198" w:name="_Toc120614282"/>
      <w:r/>
      <w:bookmarkStart w:id="199" w:name="_Toc49090576"/>
      <w:r/>
      <w:bookmarkStart w:id="200" w:name="_Toc26554094"/>
      <w:r/>
      <w:r/>
    </w:p>
    <w:p>
      <w:pPr>
        <w:jc w:val="center"/>
        <w:rPr>
          <w:rFonts w:asciiTheme="minorEastAsia" w:hAnsiTheme="minorEastAsia" w:eastAsiaTheme="minorEastAsia" w:cstheme="minorEastAsia"/>
          <w:b/>
          <w:color w:val="000000"/>
          <w:sz w:val="72"/>
          <w:szCs w:val="21"/>
          <w:highlight w:val="none"/>
        </w:rPr>
      </w:pPr>
      <w:r>
        <w:rPr>
          <w:rFonts w:asciiTheme="minorEastAsia" w:hAnsiTheme="minorEastAsia" w:eastAsiaTheme="minorEastAsia" w:cstheme="minorEastAsia"/>
          <w:b/>
          <w:color w:val="000000"/>
          <w:sz w:val="72"/>
          <w:szCs w:val="21"/>
          <w:highlight w:val="none"/>
        </w:rPr>
      </w:r>
      <w:r/>
    </w:p>
    <w:p>
      <w:pPr>
        <w:jc w:val="center"/>
        <w:rPr>
          <w:rFonts w:asciiTheme="minorEastAsia" w:hAnsiTheme="minorEastAsia" w:eastAsiaTheme="minorEastAsia" w:cstheme="minorEastAsia"/>
          <w:b/>
          <w:color w:val="000000"/>
          <w:sz w:val="72"/>
          <w:szCs w:val="21"/>
          <w:highlight w:val="none"/>
        </w:rPr>
      </w:pPr>
      <w:r>
        <w:rPr>
          <w:rFonts w:asciiTheme="minorEastAsia" w:hAnsiTheme="minorEastAsia" w:eastAsiaTheme="minorEastAsia" w:cstheme="minorEastAsia"/>
          <w:b/>
          <w:color w:val="000000"/>
          <w:sz w:val="72"/>
          <w:szCs w:val="21"/>
          <w:highlight w:val="none"/>
        </w:rPr>
      </w:r>
      <w:r/>
    </w:p>
    <w:p>
      <w:pPr>
        <w:jc w:val="center"/>
        <w:rPr>
          <w:rFonts w:asciiTheme="minorEastAsia" w:hAnsiTheme="minorEastAsia" w:eastAsiaTheme="minorEastAsia" w:cstheme="minorEastAsia"/>
          <w:b/>
          <w:color w:val="000000"/>
          <w:sz w:val="72"/>
          <w:szCs w:val="21"/>
          <w:highlight w:val="none"/>
        </w:rPr>
      </w:pPr>
      <w:r>
        <w:rPr>
          <w:rFonts w:asciiTheme="minorEastAsia" w:hAnsiTheme="minorEastAsia" w:eastAsiaTheme="minorEastAsia" w:cstheme="minorEastAsia"/>
          <w:b/>
          <w:color w:val="000000"/>
          <w:sz w:val="72"/>
          <w:szCs w:val="21"/>
          <w:highlight w:val="none"/>
        </w:rPr>
      </w:r>
      <w:r/>
    </w:p>
    <w:p>
      <w:pPr>
        <w:jc w:val="center"/>
        <w:rPr>
          <w:rFonts w:asciiTheme="minorEastAsia" w:hAnsiTheme="minorEastAsia" w:eastAsiaTheme="minorEastAsia" w:cstheme="minorEastAsia"/>
          <w:b/>
          <w:color w:val="000000"/>
          <w:sz w:val="72"/>
          <w:szCs w:val="21"/>
          <w:highlight w:val="none"/>
        </w:rPr>
        <w:outlineLvl w:val="0"/>
      </w:pPr>
      <w:r/>
      <w:bookmarkStart w:id="201" w:name="_Toc7998"/>
      <w:r>
        <w:rPr>
          <w:rFonts w:hint="eastAsia" w:asciiTheme="minorEastAsia" w:hAnsiTheme="minorEastAsia" w:eastAsiaTheme="minorEastAsia" w:cstheme="minorEastAsia"/>
          <w:b/>
          <w:color w:val="000000"/>
          <w:sz w:val="72"/>
          <w:szCs w:val="21"/>
          <w:highlight w:val="none"/>
        </w:rPr>
        <w:t xml:space="preserve">投  标  文  件</w:t>
      </w:r>
      <w:bookmarkEnd w:id="201"/>
      <w:r/>
      <w:r/>
    </w:p>
    <w:p>
      <w:pPr>
        <w:jc w:val="center"/>
        <w:rPr>
          <w:rFonts w:asciiTheme="minorEastAsia" w:hAnsiTheme="minorEastAsia" w:eastAsiaTheme="minorEastAsia" w:cstheme="minorEastAsia"/>
          <w:b/>
          <w:color w:val="000000"/>
          <w:sz w:val="72"/>
          <w:szCs w:val="21"/>
          <w:highlight w:val="none"/>
        </w:rPr>
      </w:pPr>
      <w:r>
        <w:rPr>
          <w:rFonts w:asciiTheme="minorEastAsia" w:hAnsiTheme="minorEastAsia" w:eastAsiaTheme="minorEastAsia" w:cstheme="minorEastAsia"/>
          <w:b/>
          <w:color w:val="000000"/>
          <w:sz w:val="72"/>
          <w:szCs w:val="21"/>
          <w:highlight w:val="none"/>
        </w:rPr>
      </w:r>
      <w:r/>
    </w:p>
    <w:p>
      <w:pPr>
        <w:jc w:val="center"/>
        <w:rPr>
          <w:rFonts w:asciiTheme="minorEastAsia" w:hAnsiTheme="minorEastAsia" w:eastAsiaTheme="minorEastAsia" w:cstheme="minorEastAsia"/>
          <w:b/>
          <w:color w:val="000000"/>
          <w:sz w:val="72"/>
          <w:szCs w:val="21"/>
          <w:highlight w:val="none"/>
        </w:rPr>
      </w:pPr>
      <w:r>
        <w:rPr>
          <w:rFonts w:asciiTheme="minorEastAsia" w:hAnsiTheme="minorEastAsia" w:eastAsiaTheme="minorEastAsia" w:cstheme="minorEastAsia"/>
          <w:b/>
          <w:color w:val="000000"/>
          <w:sz w:val="72"/>
          <w:szCs w:val="21"/>
          <w:highlight w:val="none"/>
        </w:rPr>
      </w:r>
      <w:r/>
    </w:p>
    <w:p>
      <w:pPr>
        <w:jc w:val="center"/>
        <w:rPr>
          <w:rFonts w:asciiTheme="minorEastAsia" w:hAnsiTheme="minorEastAsia" w:eastAsiaTheme="minorEastAsia" w:cstheme="minorEastAsia"/>
          <w:b/>
          <w:color w:val="000000"/>
          <w:sz w:val="36"/>
          <w:szCs w:val="21"/>
          <w:highlight w:val="none"/>
        </w:rPr>
      </w:pPr>
      <w:r>
        <w:rPr>
          <w:rFonts w:asciiTheme="minorEastAsia" w:hAnsiTheme="minorEastAsia" w:eastAsiaTheme="minorEastAsia" w:cstheme="minorEastAsia"/>
          <w:b/>
          <w:color w:val="000000"/>
          <w:sz w:val="36"/>
          <w:szCs w:val="21"/>
          <w:highlight w:val="none"/>
        </w:rPr>
      </w:r>
      <w:r/>
    </w:p>
    <w:p>
      <w:pPr>
        <w:jc w:val="center"/>
        <w:rPr>
          <w:rFonts w:asciiTheme="minorEastAsia" w:hAnsiTheme="minorEastAsia" w:eastAsiaTheme="minorEastAsia" w:cstheme="minorEastAsia"/>
          <w:b/>
          <w:color w:val="000000"/>
          <w:sz w:val="36"/>
          <w:szCs w:val="21"/>
          <w:highlight w:val="none"/>
        </w:rPr>
      </w:pPr>
      <w:r>
        <w:rPr>
          <w:rFonts w:asciiTheme="minorEastAsia" w:hAnsiTheme="minorEastAsia" w:eastAsiaTheme="minorEastAsia" w:cstheme="minorEastAsia"/>
          <w:b/>
          <w:color w:val="000000"/>
          <w:sz w:val="36"/>
          <w:szCs w:val="21"/>
          <w:highlight w:val="none"/>
        </w:rPr>
      </w:r>
      <w:r/>
    </w:p>
    <w:p>
      <w:pPr>
        <w:jc w:val="center"/>
        <w:rPr>
          <w:rFonts w:asciiTheme="minorEastAsia" w:hAnsiTheme="minorEastAsia" w:eastAsiaTheme="minorEastAsia" w:cstheme="minorEastAsia"/>
          <w:b/>
          <w:color w:val="000000"/>
          <w:sz w:val="36"/>
          <w:szCs w:val="21"/>
          <w:highlight w:val="none"/>
        </w:rPr>
      </w:pPr>
      <w:r>
        <w:rPr>
          <w:rFonts w:asciiTheme="minorEastAsia" w:hAnsiTheme="minorEastAsia" w:eastAsiaTheme="minorEastAsia" w:cstheme="minorEastAsia"/>
          <w:b/>
          <w:color w:val="000000"/>
          <w:sz w:val="36"/>
          <w:szCs w:val="21"/>
          <w:highlight w:val="none"/>
        </w:rPr>
      </w:r>
      <w:r/>
    </w:p>
    <w:p>
      <w:pPr>
        <w:ind w:firstLine="1084"/>
        <w:rPr>
          <w:rFonts w:asciiTheme="minorEastAsia" w:hAnsiTheme="minorEastAsia" w:eastAsiaTheme="minorEastAsia" w:cstheme="minorEastAsia"/>
          <w:b/>
          <w:color w:val="000000"/>
          <w:sz w:val="36"/>
          <w:szCs w:val="21"/>
          <w:highlight w:val="none"/>
        </w:rPr>
      </w:pPr>
      <w:r>
        <w:rPr>
          <w:rFonts w:hint="eastAsia" w:asciiTheme="minorEastAsia" w:hAnsiTheme="minorEastAsia" w:eastAsiaTheme="minorEastAsia" w:cstheme="minorEastAsia"/>
          <w:b/>
          <w:color w:val="000000"/>
          <w:sz w:val="36"/>
          <w:szCs w:val="21"/>
          <w:highlight w:val="none"/>
        </w:rPr>
        <w:t xml:space="preserve">项 目 名 称：</w:t>
      </w:r>
      <w:r>
        <w:rPr>
          <w:rFonts w:hint="eastAsia" w:asciiTheme="minorEastAsia" w:hAnsiTheme="minorEastAsia" w:eastAsiaTheme="minorEastAsia" w:cstheme="minorEastAsia"/>
          <w:b/>
          <w:color w:val="000000"/>
          <w:sz w:val="36"/>
          <w:szCs w:val="21"/>
          <w:highlight w:val="none"/>
          <w:u w:val="single"/>
        </w:rPr>
        <w:t xml:space="preserve">               </w:t>
      </w:r>
      <w:r/>
    </w:p>
    <w:p>
      <w:pPr>
        <w:ind w:firstLine="1084"/>
        <w:rPr>
          <w:rFonts w:asciiTheme="minorEastAsia" w:hAnsiTheme="minorEastAsia" w:eastAsiaTheme="minorEastAsia" w:cstheme="minorEastAsia"/>
          <w:b/>
          <w:color w:val="000000"/>
          <w:sz w:val="36"/>
          <w:szCs w:val="21"/>
          <w:highlight w:val="none"/>
          <w:u w:val="single"/>
        </w:rPr>
      </w:pPr>
      <w:r>
        <w:rPr>
          <w:rFonts w:hint="eastAsia" w:asciiTheme="minorEastAsia" w:hAnsiTheme="minorEastAsia" w:eastAsiaTheme="minorEastAsia" w:cstheme="minorEastAsia"/>
          <w:b/>
          <w:color w:val="000000"/>
          <w:sz w:val="36"/>
          <w:szCs w:val="21"/>
          <w:highlight w:val="none"/>
        </w:rPr>
        <w:t xml:space="preserve">项 目 编 号：</w:t>
      </w:r>
      <w:r>
        <w:rPr>
          <w:rFonts w:hint="eastAsia" w:asciiTheme="minorEastAsia" w:hAnsiTheme="minorEastAsia" w:eastAsiaTheme="minorEastAsia" w:cstheme="minorEastAsia"/>
          <w:b/>
          <w:color w:val="000000"/>
          <w:sz w:val="36"/>
          <w:szCs w:val="21"/>
          <w:highlight w:val="none"/>
          <w:u w:val="single"/>
        </w:rPr>
        <w:t xml:space="preserve">               </w:t>
      </w:r>
      <w:r/>
    </w:p>
    <w:p>
      <w:pPr>
        <w:rPr>
          <w:rFonts w:asciiTheme="minorEastAsia" w:hAnsiTheme="minorEastAsia" w:eastAsiaTheme="minorEastAsia" w:cstheme="minorEastAsia"/>
          <w:b/>
          <w:color w:val="000000"/>
          <w:sz w:val="36"/>
          <w:szCs w:val="21"/>
          <w:highlight w:val="none"/>
          <w:u w:val="single"/>
        </w:rPr>
      </w:pPr>
      <w:r>
        <w:rPr>
          <w:rFonts w:hint="eastAsia" w:asciiTheme="minorEastAsia" w:hAnsiTheme="minorEastAsia" w:eastAsiaTheme="minorEastAsia" w:cstheme="minorEastAsia"/>
          <w:b/>
          <w:color w:val="000000"/>
          <w:sz w:val="36"/>
          <w:szCs w:val="21"/>
          <w:highlight w:val="none"/>
        </w:rPr>
        <w:t xml:space="preserve">      投标人名称 ：</w:t>
      </w:r>
      <w:r>
        <w:rPr>
          <w:rFonts w:hint="eastAsia" w:asciiTheme="minorEastAsia" w:hAnsiTheme="minorEastAsia" w:eastAsiaTheme="minorEastAsia" w:cstheme="minorEastAsia"/>
          <w:b/>
          <w:color w:val="000000"/>
          <w:sz w:val="36"/>
          <w:szCs w:val="21"/>
          <w:highlight w:val="none"/>
          <w:u w:val="single"/>
        </w:rPr>
        <w:t xml:space="preserve">（加盖CA电子公章）</w:t>
      </w:r>
      <w:r/>
    </w:p>
    <w:p>
      <w:pPr>
        <w:rPr>
          <w:rFonts w:asciiTheme="minorEastAsia" w:hAnsiTheme="minorEastAsia" w:eastAsiaTheme="minorEastAsia" w:cstheme="minorEastAsia"/>
          <w:b/>
          <w:color w:val="000000"/>
          <w:sz w:val="36"/>
          <w:szCs w:val="21"/>
          <w:highlight w:val="none"/>
          <w:u w:val="single"/>
        </w:rPr>
      </w:pPr>
      <w:r>
        <w:rPr>
          <w:rFonts w:hint="eastAsia" w:asciiTheme="minorEastAsia" w:hAnsiTheme="minorEastAsia" w:eastAsiaTheme="minorEastAsia" w:cstheme="minorEastAsia"/>
          <w:b/>
          <w:color w:val="000000"/>
          <w:sz w:val="36"/>
          <w:szCs w:val="21"/>
          <w:highlight w:val="none"/>
        </w:rPr>
        <w:t xml:space="preserve">      日      期 ：</w:t>
      </w:r>
      <w:r>
        <w:rPr>
          <w:rFonts w:hint="eastAsia" w:asciiTheme="minorEastAsia" w:hAnsiTheme="minorEastAsia" w:eastAsiaTheme="minorEastAsia" w:cstheme="minorEastAsia"/>
          <w:b/>
          <w:color w:val="000000"/>
          <w:sz w:val="36"/>
          <w:szCs w:val="21"/>
          <w:highlight w:val="none"/>
          <w:u w:val="single"/>
        </w:rPr>
        <w:t xml:space="preserve">               </w:t>
      </w:r>
      <w:r/>
    </w:p>
    <w:p>
      <w:pPr>
        <w:jc w:val="center"/>
        <w:spacing w:line="440" w:lineRule="exact"/>
        <w:rPr>
          <w:rFonts w:asciiTheme="minorEastAsia" w:hAnsiTheme="minorEastAsia" w:eastAsiaTheme="minorEastAsia" w:cstheme="minorEastAsia"/>
          <w:b/>
          <w:bCs/>
          <w:color w:val="000000"/>
          <w:sz w:val="32"/>
          <w:szCs w:val="32"/>
          <w:highlight w:val="none"/>
        </w:rPr>
      </w:pPr>
      <w:r>
        <w:rPr>
          <w:rFonts w:asciiTheme="minorEastAsia" w:hAnsiTheme="minorEastAsia" w:eastAsiaTheme="minorEastAsia" w:cstheme="minorEastAsia"/>
          <w:b/>
          <w:bCs/>
          <w:color w:val="000000"/>
          <w:sz w:val="32"/>
          <w:szCs w:val="32"/>
          <w:highlight w:val="none"/>
        </w:rPr>
      </w:r>
      <w:r/>
    </w:p>
    <w:p>
      <w:pPr>
        <w:spacing w:line="440" w:lineRule="exact"/>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b/>
          <w:bCs/>
          <w:color w:val="000000"/>
          <w:sz w:val="32"/>
          <w:szCs w:val="32"/>
          <w:highlight w:val="none"/>
        </w:rPr>
      </w:pPr>
      <w:r>
        <w:rPr>
          <w:rFonts w:asciiTheme="minorEastAsia" w:hAnsiTheme="minorEastAsia" w:eastAsiaTheme="minorEastAsia" w:cstheme="minorEastAsia"/>
          <w:b/>
          <w:bCs/>
          <w:color w:val="000000"/>
          <w:sz w:val="32"/>
          <w:szCs w:val="32"/>
          <w:highlight w:val="none"/>
        </w:rPr>
      </w:r>
      <w:r/>
    </w:p>
    <w:p>
      <w:pPr>
        <w:jc w:val="center"/>
        <w:spacing w:line="440" w:lineRule="exact"/>
        <w:rPr>
          <w:rFonts w:asciiTheme="minorEastAsia" w:hAnsiTheme="minorEastAsia" w:eastAsiaTheme="minorEastAsia" w:cstheme="minorEastAsia"/>
          <w:b/>
          <w:bCs/>
          <w:color w:val="000000"/>
          <w:sz w:val="32"/>
          <w:szCs w:val="32"/>
          <w:highlight w:val="none"/>
        </w:rPr>
      </w:pPr>
      <w:r>
        <w:rPr>
          <w:rFonts w:asciiTheme="minorEastAsia" w:hAnsiTheme="minorEastAsia" w:eastAsiaTheme="minorEastAsia" w:cstheme="minorEastAsia"/>
          <w:b/>
          <w:bCs/>
          <w:color w:val="000000"/>
          <w:sz w:val="32"/>
          <w:szCs w:val="32"/>
          <w:highlight w:val="none"/>
        </w:rPr>
      </w:r>
      <w:r/>
    </w:p>
    <w:p>
      <w:pPr>
        <w:jc w:val="center"/>
        <w:spacing w:line="440" w:lineRule="exact"/>
        <w:rPr>
          <w:rFonts w:asciiTheme="minorEastAsia" w:hAnsiTheme="minorEastAsia" w:eastAsiaTheme="minorEastAsia" w:cstheme="minorEastAsia"/>
          <w:b/>
          <w:bCs/>
          <w:color w:val="000000"/>
          <w:sz w:val="32"/>
          <w:szCs w:val="32"/>
          <w:highlight w:val="none"/>
        </w:rPr>
      </w:pPr>
      <w:r>
        <w:rPr>
          <w:rFonts w:asciiTheme="minorEastAsia" w:hAnsiTheme="minorEastAsia" w:eastAsiaTheme="minorEastAsia" w:cstheme="minorEastAsia"/>
          <w:b/>
          <w:bCs/>
          <w:color w:val="000000"/>
          <w:sz w:val="32"/>
          <w:szCs w:val="32"/>
          <w:highlight w:val="none"/>
        </w:rPr>
      </w:r>
      <w:r/>
    </w:p>
    <w:p>
      <w:pPr>
        <w:jc w:val="center"/>
        <w:spacing w:line="440" w:lineRule="exact"/>
        <w:rPr>
          <w:rFonts w:asciiTheme="minorEastAsia" w:hAnsiTheme="minorEastAsia" w:eastAsiaTheme="minorEastAsia" w:cstheme="minorEastAsia"/>
          <w:b/>
          <w:bCs/>
          <w:color w:val="000000"/>
          <w:sz w:val="32"/>
          <w:szCs w:val="32"/>
          <w:highlight w:val="none"/>
        </w:rPr>
      </w:pPr>
      <w:r>
        <w:rPr>
          <w:rFonts w:asciiTheme="minorEastAsia" w:hAnsiTheme="minorEastAsia" w:eastAsiaTheme="minorEastAsia" w:cstheme="minorEastAsia"/>
          <w:b/>
          <w:bCs/>
          <w:color w:val="000000"/>
          <w:sz w:val="32"/>
          <w:szCs w:val="32"/>
          <w:highlight w:val="none"/>
        </w:rPr>
      </w:r>
      <w:r/>
    </w:p>
    <w:p>
      <w:pPr>
        <w:jc w:val="center"/>
        <w:spacing w:line="440" w:lineRule="exact"/>
        <w:rPr>
          <w:rFonts w:asciiTheme="minorEastAsia" w:hAnsiTheme="minorEastAsia" w:eastAsiaTheme="minorEastAsia" w:cstheme="minorEastAsia"/>
          <w:b/>
          <w:bCs/>
          <w:color w:val="000000"/>
          <w:sz w:val="32"/>
          <w:szCs w:val="32"/>
          <w:highlight w:val="none"/>
        </w:rPr>
      </w:pPr>
      <w:r>
        <w:rPr>
          <w:rFonts w:asciiTheme="minorEastAsia" w:hAnsiTheme="minorEastAsia" w:eastAsiaTheme="minorEastAsia" w:cstheme="minorEastAsia"/>
          <w:b/>
          <w:bCs/>
          <w:color w:val="000000"/>
          <w:sz w:val="32"/>
          <w:szCs w:val="32"/>
          <w:highlight w:val="none"/>
        </w:rPr>
      </w:r>
      <w:r/>
    </w:p>
    <w:p>
      <w:pPr>
        <w:jc w:val="center"/>
        <w:spacing w:line="440" w:lineRule="exact"/>
        <w:rPr>
          <w:rFonts w:asciiTheme="minorEastAsia" w:hAnsiTheme="minorEastAsia" w:eastAsiaTheme="minorEastAsia" w:cstheme="minorEastAsia"/>
          <w:b/>
          <w:bCs/>
          <w:color w:val="000000"/>
          <w:sz w:val="32"/>
          <w:szCs w:val="32"/>
          <w:highlight w:val="none"/>
        </w:rPr>
      </w:pPr>
      <w:r>
        <w:rPr>
          <w:rFonts w:asciiTheme="minorEastAsia" w:hAnsiTheme="minorEastAsia" w:eastAsiaTheme="minorEastAsia" w:cstheme="minorEastAsia"/>
          <w:b/>
          <w:bCs/>
          <w:color w:val="000000"/>
          <w:sz w:val="32"/>
          <w:szCs w:val="32"/>
          <w:highlight w:val="none"/>
        </w:rPr>
      </w:r>
      <w:r/>
    </w:p>
    <w:p>
      <w:pPr>
        <w:jc w:val="center"/>
        <w:spacing w:line="440" w:lineRule="exact"/>
        <w:rPr>
          <w:rFonts w:asciiTheme="minorEastAsia" w:hAnsiTheme="minorEastAsia" w:eastAsiaTheme="minorEastAsia" w:cstheme="minorEastAsia"/>
          <w:b/>
          <w:bCs/>
          <w:color w:val="000000"/>
          <w:sz w:val="32"/>
          <w:szCs w:val="32"/>
          <w:highlight w:val="none"/>
        </w:rPr>
      </w:pPr>
      <w:r>
        <w:rPr>
          <w:rFonts w:asciiTheme="minorEastAsia" w:hAnsiTheme="minorEastAsia" w:eastAsiaTheme="minorEastAsia" w:cstheme="minorEastAsia"/>
          <w:b/>
          <w:bCs/>
          <w:color w:val="000000"/>
          <w:sz w:val="32"/>
          <w:szCs w:val="32"/>
          <w:highlight w:val="none"/>
        </w:rPr>
      </w:r>
      <w:r/>
    </w:p>
    <w:p>
      <w:pPr>
        <w:rPr>
          <w:rFonts w:asciiTheme="minorEastAsia" w:hAnsiTheme="minorEastAsia" w:eastAsiaTheme="minorEastAsia" w:cstheme="minorEastAsia"/>
          <w:i/>
          <w:color w:val="000000"/>
          <w:sz w:val="32"/>
          <w:szCs w:val="32"/>
          <w:highlight w:val="none"/>
          <w:u w:val="single"/>
        </w:rPr>
      </w:pPr>
      <w:r>
        <w:rPr>
          <w:rFonts w:asciiTheme="minorEastAsia" w:hAnsiTheme="minorEastAsia" w:eastAsiaTheme="minorEastAsia" w:cstheme="minorEastAsia"/>
          <w:i/>
          <w:color w:val="000000"/>
          <w:sz w:val="32"/>
          <w:szCs w:val="32"/>
          <w:highlight w:val="none"/>
          <w:u w:val="single"/>
        </w:rPr>
      </w:r>
      <w:bookmarkEnd w:id="198"/>
      <w:r/>
      <w:bookmarkEnd w:id="199"/>
      <w:r/>
      <w:bookmarkEnd w:id="200"/>
      <w:r/>
      <w:r/>
    </w:p>
    <w:p>
      <w:pPr>
        <w:rPr>
          <w:rFonts w:asciiTheme="minorEastAsia" w:hAnsiTheme="minorEastAsia" w:eastAsiaTheme="minorEastAsia" w:cstheme="minorEastAsia"/>
          <w:i/>
          <w:sz w:val="28"/>
          <w:szCs w:val="28"/>
          <w:highlight w:val="none"/>
          <w:u w:val="single"/>
        </w:rPr>
        <w:outlineLvl w:val="0"/>
      </w:pPr>
      <w:r/>
      <w:bookmarkStart w:id="202" w:name="_Toc3651"/>
      <w:r/>
      <w:bookmarkStart w:id="203" w:name="_Toc120614284"/>
      <w:r>
        <w:rPr>
          <w:rFonts w:hint="eastAsia" w:asciiTheme="minorEastAsia" w:hAnsiTheme="minorEastAsia" w:eastAsiaTheme="minorEastAsia" w:cstheme="minorEastAsia"/>
          <w:i/>
          <w:sz w:val="28"/>
          <w:szCs w:val="28"/>
          <w:highlight w:val="none"/>
          <w:u w:val="single"/>
        </w:rPr>
        <w:t xml:space="preserve">一、法人或者其他组织的营业执照等证明文件，自然人的身份证明</w:t>
      </w:r>
      <w:bookmarkEnd w:id="202"/>
      <w:r/>
      <w:r/>
    </w:p>
    <w:p>
      <w:pPr>
        <w:ind w:firstLine="480"/>
        <w:spacing w:line="440" w:lineRule="exact"/>
        <w:rPr>
          <w:rFonts w:asciiTheme="minorEastAsia" w:hAnsiTheme="minorEastAsia" w:eastAsiaTheme="minorEastAsia" w:cstheme="minorEastAsia"/>
          <w:sz w:val="22"/>
          <w:szCs w:val="20"/>
          <w:highlight w:val="none"/>
        </w:rPr>
      </w:pPr>
      <w:r>
        <w:rPr>
          <w:rFonts w:asciiTheme="minorEastAsia" w:hAnsiTheme="minorEastAsia" w:eastAsiaTheme="minorEastAsia" w:cstheme="minorEastAsia"/>
          <w:sz w:val="22"/>
          <w:szCs w:val="20"/>
          <w:highlight w:val="none"/>
        </w:rPr>
      </w:r>
      <w:r/>
    </w:p>
    <w:p>
      <w:pPr>
        <w:rPr>
          <w:rFonts w:asciiTheme="minorEastAsia" w:hAnsiTheme="minorEastAsia" w:eastAsiaTheme="minorEastAsia" w:cstheme="minorEastAsia"/>
          <w:i/>
          <w:sz w:val="28"/>
          <w:szCs w:val="28"/>
          <w:highlight w:val="none"/>
          <w:u w:val="single"/>
        </w:rPr>
        <w:outlineLvl w:val="0"/>
      </w:pPr>
      <w:r/>
      <w:bookmarkStart w:id="204" w:name="_Toc13188"/>
      <w:r>
        <w:rPr>
          <w:rFonts w:hint="eastAsia" w:asciiTheme="minorEastAsia" w:hAnsiTheme="minorEastAsia" w:eastAsiaTheme="minorEastAsia" w:cstheme="minorEastAsia"/>
          <w:i/>
          <w:sz w:val="28"/>
          <w:szCs w:val="28"/>
          <w:highlight w:val="none"/>
          <w:u w:val="single"/>
        </w:rPr>
        <w:t xml:space="preserve">二、上一年度的财务状况报告</w:t>
      </w:r>
      <w:bookmarkEnd w:id="204"/>
      <w:r/>
      <w:r/>
    </w:p>
    <w:p>
      <w:pPr>
        <w:ind w:firstLine="480"/>
        <w:spacing w:line="44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投标人成立不满一年不需提供</w:t>
      </w:r>
      <w:r/>
    </w:p>
    <w:p>
      <w:pPr>
        <w:rPr>
          <w:rFonts w:asciiTheme="minorEastAsia" w:hAnsiTheme="minorEastAsia" w:eastAsiaTheme="minorEastAsia" w:cstheme="minorEastAsia"/>
          <w:i/>
          <w:sz w:val="28"/>
          <w:szCs w:val="28"/>
          <w:highlight w:val="none"/>
          <w:u w:val="single"/>
        </w:rPr>
      </w:pPr>
      <w:r>
        <w:rPr>
          <w:rFonts w:asciiTheme="minorEastAsia" w:hAnsiTheme="minorEastAsia" w:eastAsiaTheme="minorEastAsia" w:cstheme="minorEastAsia"/>
          <w:i/>
          <w:sz w:val="28"/>
          <w:szCs w:val="28"/>
          <w:highlight w:val="none"/>
          <w:u w:val="single"/>
        </w:rPr>
      </w:r>
      <w:r/>
    </w:p>
    <w:p>
      <w:pPr>
        <w:rPr>
          <w:rFonts w:asciiTheme="minorEastAsia" w:hAnsiTheme="minorEastAsia" w:eastAsiaTheme="minorEastAsia" w:cstheme="minorEastAsia"/>
          <w:i/>
          <w:sz w:val="28"/>
          <w:szCs w:val="28"/>
          <w:highlight w:val="none"/>
          <w:u w:val="single"/>
        </w:rPr>
        <w:outlineLvl w:val="0"/>
      </w:pPr>
      <w:r/>
      <w:bookmarkStart w:id="205" w:name="_Toc9035"/>
      <w:r>
        <w:rPr>
          <w:rFonts w:hint="eastAsia" w:asciiTheme="minorEastAsia" w:hAnsiTheme="minorEastAsia" w:eastAsiaTheme="minorEastAsia" w:cstheme="minorEastAsia"/>
          <w:i/>
          <w:sz w:val="28"/>
          <w:szCs w:val="28"/>
          <w:highlight w:val="none"/>
          <w:u w:val="single"/>
        </w:rPr>
        <w:t xml:space="preserve">三、依法缴纳税收和社会保障资金的相关材料</w:t>
      </w:r>
      <w:bookmarkEnd w:id="205"/>
      <w:r/>
      <w:r/>
    </w:p>
    <w:p>
      <w:pPr>
        <w:ind w:firstLine="480"/>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asciiTheme="minorEastAsia" w:hAnsiTheme="minorEastAsia" w:eastAsiaTheme="minorEastAsia" w:cstheme="minorEastAsia"/>
          <w:bCs/>
          <w:sz w:val="32"/>
          <w:szCs w:val="24"/>
          <w:highlight w:val="none"/>
        </w:rPr>
      </w:pPr>
      <w:r>
        <w:rPr>
          <w:rFonts w:asciiTheme="minorEastAsia" w:hAnsiTheme="minorEastAsia" w:eastAsiaTheme="minorEastAsia" w:cstheme="minorEastAsia"/>
          <w:bCs/>
          <w:sz w:val="32"/>
          <w:szCs w:val="24"/>
          <w:highlight w:val="none"/>
        </w:rPr>
      </w:r>
      <w:r/>
    </w:p>
    <w:p>
      <w:pPr>
        <w:rPr>
          <w:rFonts w:asciiTheme="minorEastAsia" w:hAnsiTheme="minorEastAsia" w:eastAsiaTheme="minorEastAsia" w:cstheme="minorEastAsia"/>
          <w:bCs/>
          <w:sz w:val="32"/>
          <w:szCs w:val="24"/>
          <w:highlight w:val="none"/>
        </w:rPr>
      </w:pPr>
      <w:r>
        <w:rPr>
          <w:rFonts w:hint="eastAsia" w:asciiTheme="minorEastAsia" w:hAnsiTheme="minorEastAsia" w:eastAsiaTheme="minorEastAsia" w:cstheme="minorEastAsia"/>
          <w:bCs/>
          <w:sz w:val="32"/>
          <w:szCs w:val="24"/>
          <w:highlight w:val="none"/>
        </w:rPr>
        <w:t xml:space="preserve">财务状况报告及税收、社会保障资金缴纳情况承诺函</w:t>
      </w:r>
      <w:r/>
    </w:p>
    <w:p>
      <w:pPr>
        <w:jc w:val="left"/>
        <w:spacing w:line="360" w:lineRule="auto"/>
        <w:rPr>
          <w:rFonts w:asciiTheme="minorEastAsia" w:hAnsiTheme="minorEastAsia" w:eastAsiaTheme="minorEastAsia" w:cstheme="minorEastAsia"/>
          <w:sz w:val="22"/>
          <w:szCs w:val="21"/>
          <w:highlight w:val="none"/>
        </w:rPr>
      </w:pPr>
      <w:r>
        <w:rPr>
          <w:rFonts w:hint="eastAsia" w:asciiTheme="minorEastAsia" w:hAnsiTheme="minorEastAsia" w:eastAsiaTheme="minorEastAsia" w:cstheme="minorEastAsia"/>
          <w:sz w:val="22"/>
          <w:szCs w:val="21"/>
          <w:highlight w:val="none"/>
        </w:rPr>
        <w:t xml:space="preserve">致：</w:t>
      </w:r>
      <w:r>
        <w:rPr>
          <w:rFonts w:hint="eastAsia" w:asciiTheme="minorEastAsia" w:hAnsiTheme="minorEastAsia" w:eastAsiaTheme="minorEastAsia" w:cstheme="minorEastAsia"/>
          <w:i/>
          <w:iCs/>
          <w:sz w:val="22"/>
          <w:szCs w:val="21"/>
          <w:highlight w:val="none"/>
          <w:u w:val="single"/>
        </w:rPr>
        <w:t xml:space="preserve">采购人名称</w:t>
      </w:r>
      <w:r/>
    </w:p>
    <w:p>
      <w:pPr>
        <w:ind w:firstLine="480"/>
        <w:jc w:val="left"/>
        <w:spacing w:line="360" w:lineRule="auto"/>
        <w:rPr>
          <w:rFonts w:asciiTheme="minorEastAsia" w:hAnsiTheme="minorEastAsia" w:eastAsiaTheme="minorEastAsia" w:cstheme="minorEastAsia"/>
          <w:sz w:val="22"/>
          <w:szCs w:val="21"/>
          <w:highlight w:val="none"/>
        </w:rPr>
      </w:pPr>
      <w:r>
        <w:rPr>
          <w:rFonts w:hint="eastAsia" w:asciiTheme="minorEastAsia" w:hAnsiTheme="minorEastAsia" w:eastAsiaTheme="minorEastAsia" w:cstheme="minorEastAsia"/>
          <w:sz w:val="22"/>
          <w:szCs w:val="21"/>
          <w:highlight w:val="none"/>
        </w:rPr>
        <w:t xml:space="preserve">我方</w:t>
      </w:r>
      <w:r>
        <w:rPr>
          <w:rFonts w:hint="eastAsia" w:asciiTheme="minorEastAsia" w:hAnsiTheme="minorEastAsia" w:eastAsiaTheme="minorEastAsia" w:cstheme="minorEastAsia"/>
          <w:sz w:val="22"/>
          <w:szCs w:val="21"/>
          <w:highlight w:val="none"/>
          <w:u w:val="single"/>
        </w:rPr>
        <w:t xml:space="preserve"> </w:t>
      </w:r>
      <w:r>
        <w:rPr>
          <w:rFonts w:hint="eastAsia" w:asciiTheme="minorEastAsia" w:hAnsiTheme="minorEastAsia" w:eastAsiaTheme="minorEastAsia" w:cstheme="minorEastAsia"/>
          <w:i/>
          <w:sz w:val="22"/>
          <w:szCs w:val="21"/>
          <w:highlight w:val="none"/>
          <w:u w:val="single"/>
        </w:rPr>
        <w:t xml:space="preserve">供应商名称 </w:t>
      </w:r>
      <w:r>
        <w:rPr>
          <w:rFonts w:hint="eastAsia" w:asciiTheme="minorEastAsia" w:hAnsiTheme="minorEastAsia" w:eastAsiaTheme="minorEastAsia" w:cstheme="minorEastAsia"/>
          <w:sz w:val="22"/>
          <w:szCs w:val="21"/>
          <w:highlight w:val="none"/>
        </w:rPr>
        <w:t xml:space="preserve">参加</w:t>
      </w:r>
      <w:r>
        <w:rPr>
          <w:rFonts w:hint="eastAsia" w:asciiTheme="minorEastAsia" w:hAnsiTheme="minorEastAsia" w:eastAsiaTheme="minorEastAsia" w:cstheme="minorEastAsia"/>
          <w:sz w:val="22"/>
          <w:szCs w:val="21"/>
          <w:highlight w:val="none"/>
          <w:u w:val="single"/>
        </w:rPr>
        <w:t xml:space="preserve">【标段名称】</w:t>
      </w:r>
      <w:r>
        <w:rPr>
          <w:rFonts w:hint="eastAsia" w:asciiTheme="minorEastAsia" w:hAnsiTheme="minorEastAsia" w:eastAsiaTheme="minorEastAsia" w:cstheme="minorEastAsia"/>
          <w:sz w:val="22"/>
          <w:szCs w:val="21"/>
          <w:highlight w:val="none"/>
        </w:rPr>
        <w:t xml:space="preserve">（项目编号：</w:t>
      </w:r>
      <w:r>
        <w:rPr>
          <w:rFonts w:hint="eastAsia" w:asciiTheme="minorEastAsia" w:hAnsiTheme="minorEastAsia" w:eastAsiaTheme="minorEastAsia" w:cstheme="minorEastAsia"/>
          <w:sz w:val="22"/>
          <w:szCs w:val="21"/>
          <w:highlight w:val="none"/>
          <w:u w:val="single"/>
        </w:rPr>
        <w:t xml:space="preserve">【标段编号】</w:t>
      </w:r>
      <w:r>
        <w:rPr>
          <w:rFonts w:hint="eastAsia" w:asciiTheme="minorEastAsia" w:hAnsiTheme="minorEastAsia" w:eastAsiaTheme="minorEastAsia" w:cstheme="minorEastAsia"/>
          <w:sz w:val="22"/>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asciiTheme="minorEastAsia" w:hAnsiTheme="minorEastAsia" w:eastAsiaTheme="minorEastAsia" w:cstheme="minorEastAsia"/>
          <w:sz w:val="22"/>
          <w:szCs w:val="21"/>
          <w:highlight w:val="none"/>
        </w:rPr>
      </w:pPr>
      <w:r>
        <w:rPr>
          <w:rFonts w:hint="eastAsia" w:asciiTheme="minorEastAsia" w:hAnsiTheme="minorEastAsia" w:eastAsiaTheme="minorEastAsia" w:cstheme="minorEastAsia"/>
          <w:sz w:val="22"/>
          <w:szCs w:val="21"/>
          <w:highlight w:val="none"/>
        </w:rPr>
        <w:t xml:space="preserve">（1）具有良好的商业信誉和健全的财务会计制度（财务状况报告）；</w:t>
      </w:r>
      <w:r/>
    </w:p>
    <w:p>
      <w:pPr>
        <w:ind w:firstLine="480"/>
        <w:jc w:val="left"/>
        <w:spacing w:line="360" w:lineRule="auto"/>
        <w:rPr>
          <w:rFonts w:asciiTheme="minorEastAsia" w:hAnsiTheme="minorEastAsia" w:eastAsiaTheme="minorEastAsia" w:cstheme="minorEastAsia"/>
          <w:sz w:val="22"/>
          <w:szCs w:val="21"/>
          <w:highlight w:val="none"/>
        </w:rPr>
      </w:pPr>
      <w:r>
        <w:rPr>
          <w:rFonts w:hint="eastAsia" w:asciiTheme="minorEastAsia" w:hAnsiTheme="minorEastAsia" w:eastAsiaTheme="minorEastAsia" w:cstheme="minorEastAsia"/>
          <w:sz w:val="22"/>
          <w:szCs w:val="21"/>
          <w:highlight w:val="none"/>
        </w:rPr>
        <w:t xml:space="preserve">（2）有依法缴纳税收和社会保障资金的良好记录。</w:t>
      </w:r>
      <w:r/>
    </w:p>
    <w:p>
      <w:pPr>
        <w:ind w:firstLine="480"/>
        <w:jc w:val="left"/>
        <w:spacing w:line="360" w:lineRule="auto"/>
        <w:rPr>
          <w:rFonts w:asciiTheme="minorEastAsia" w:hAnsiTheme="minorEastAsia" w:eastAsiaTheme="minorEastAsia" w:cstheme="minorEastAsia"/>
          <w:sz w:val="22"/>
          <w:szCs w:val="21"/>
          <w:highlight w:val="none"/>
        </w:rPr>
      </w:pPr>
      <w:r>
        <w:rPr>
          <w:rFonts w:hint="eastAsia" w:asciiTheme="minorEastAsia" w:hAnsiTheme="minorEastAsia" w:eastAsiaTheme="minorEastAsia" w:cstheme="minorEastAsia"/>
          <w:sz w:val="22"/>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asciiTheme="minorEastAsia" w:hAnsiTheme="minorEastAsia" w:eastAsiaTheme="minorEastAsia" w:cstheme="minorEastAsia"/>
          <w:sz w:val="22"/>
          <w:szCs w:val="21"/>
          <w:highlight w:val="none"/>
        </w:rPr>
      </w:pPr>
      <w:r>
        <w:rPr>
          <w:rFonts w:hint="eastAsia" w:asciiTheme="minorEastAsia" w:hAnsiTheme="minorEastAsia" w:eastAsiaTheme="minorEastAsia" w:cstheme="minorEastAsia"/>
          <w:sz w:val="22"/>
          <w:szCs w:val="21"/>
          <w:highlight w:val="none"/>
        </w:rPr>
        <w:t xml:space="preserve">特此承诺</w:t>
      </w:r>
      <w:r/>
    </w:p>
    <w:p>
      <w:pPr>
        <w:ind w:firstLine="480"/>
        <w:jc w:val="left"/>
        <w:spacing w:line="360" w:lineRule="auto"/>
        <w:rPr>
          <w:rFonts w:asciiTheme="minorEastAsia" w:hAnsiTheme="minorEastAsia" w:eastAsiaTheme="minorEastAsia" w:cstheme="minorEastAsia"/>
          <w:sz w:val="22"/>
          <w:szCs w:val="21"/>
          <w:highlight w:val="none"/>
        </w:rPr>
      </w:pPr>
      <w:r>
        <w:rPr>
          <w:rFonts w:asciiTheme="minorEastAsia" w:hAnsiTheme="minorEastAsia" w:eastAsiaTheme="minorEastAsia" w:cstheme="minorEastAsia"/>
          <w:sz w:val="22"/>
          <w:szCs w:val="21"/>
          <w:highlight w:val="none"/>
        </w:rPr>
      </w:r>
      <w:r/>
    </w:p>
    <w:p>
      <w:pPr>
        <w:ind w:firstLine="480"/>
        <w:jc w:val="left"/>
        <w:spacing w:line="360" w:lineRule="auto"/>
        <w:rPr>
          <w:rFonts w:asciiTheme="minorEastAsia" w:hAnsiTheme="minorEastAsia" w:eastAsiaTheme="minorEastAsia" w:cstheme="minorEastAsia"/>
          <w:sz w:val="22"/>
          <w:szCs w:val="21"/>
          <w:highlight w:val="none"/>
        </w:rPr>
      </w:pPr>
      <w:r>
        <w:rPr>
          <w:rFonts w:hint="eastAsia" w:asciiTheme="minorEastAsia" w:hAnsiTheme="minorEastAsia" w:eastAsiaTheme="minorEastAsia" w:cstheme="minorEastAsia"/>
          <w:sz w:val="22"/>
          <w:szCs w:val="21"/>
          <w:highlight w:val="none"/>
        </w:rPr>
        <w:t xml:space="preserve">投标人（盖章）：</w:t>
      </w:r>
      <w:r/>
    </w:p>
    <w:p>
      <w:pPr>
        <w:ind w:firstLine="480"/>
        <w:jc w:val="left"/>
        <w:spacing w:line="360" w:lineRule="auto"/>
        <w:rPr>
          <w:rFonts w:asciiTheme="minorEastAsia" w:hAnsiTheme="minorEastAsia" w:eastAsiaTheme="minorEastAsia" w:cstheme="minorEastAsia"/>
          <w:sz w:val="22"/>
          <w:szCs w:val="21"/>
          <w:highlight w:val="none"/>
        </w:rPr>
      </w:pPr>
      <w:r>
        <w:rPr>
          <w:rFonts w:hint="eastAsia" w:asciiTheme="minorEastAsia" w:hAnsiTheme="minorEastAsia" w:eastAsiaTheme="minorEastAsia" w:cstheme="minorEastAsia"/>
          <w:sz w:val="22"/>
          <w:szCs w:val="21"/>
          <w:highlight w:val="none"/>
        </w:rPr>
        <w:t xml:space="preserve">法定代表人或委托代理人（签字或盖章）：</w:t>
      </w:r>
      <w:r/>
    </w:p>
    <w:p>
      <w:pPr>
        <w:ind w:firstLine="480"/>
        <w:jc w:val="left"/>
        <w:spacing w:line="360" w:lineRule="auto"/>
        <w:rPr>
          <w:rFonts w:asciiTheme="minorEastAsia" w:hAnsiTheme="minorEastAsia" w:eastAsiaTheme="minorEastAsia" w:cstheme="minorEastAsia"/>
          <w:sz w:val="22"/>
          <w:szCs w:val="21"/>
          <w:highlight w:val="none"/>
        </w:rPr>
      </w:pPr>
      <w:r>
        <w:rPr>
          <w:rFonts w:hint="eastAsia" w:asciiTheme="minorEastAsia" w:hAnsiTheme="minorEastAsia" w:eastAsiaTheme="minorEastAsia" w:cstheme="minorEastAsia"/>
          <w:sz w:val="22"/>
          <w:szCs w:val="21"/>
          <w:highlight w:val="none"/>
        </w:rPr>
        <w:t xml:space="preserve">日期：    年     月     日</w:t>
      </w:r>
      <w:r/>
    </w:p>
    <w:p>
      <w:pPr>
        <w:rPr>
          <w:rFonts w:asciiTheme="minorEastAsia" w:hAnsiTheme="minorEastAsia" w:eastAsiaTheme="minorEastAsia" w:cstheme="minorEastAsia"/>
          <w:i/>
          <w:sz w:val="28"/>
          <w:szCs w:val="28"/>
          <w:highlight w:val="none"/>
          <w:u w:val="single"/>
        </w:rPr>
      </w:pPr>
      <w:r>
        <w:rPr>
          <w:rFonts w:hint="eastAsia" w:asciiTheme="minorEastAsia" w:hAnsiTheme="minorEastAsia" w:eastAsiaTheme="minorEastAsia" w:cstheme="minorEastAsia"/>
          <w:i/>
          <w:sz w:val="28"/>
          <w:szCs w:val="28"/>
          <w:highlight w:val="none"/>
          <w:u w:val="single"/>
        </w:rPr>
        <w:br w:type="page" w:clear="all"/>
      </w:r>
      <w:r/>
    </w:p>
    <w:p>
      <w:pPr>
        <w:rPr>
          <w:rFonts w:asciiTheme="minorEastAsia" w:hAnsiTheme="minorEastAsia" w:eastAsiaTheme="minorEastAsia" w:cstheme="minorEastAsia"/>
          <w:i/>
          <w:sz w:val="28"/>
          <w:szCs w:val="28"/>
          <w:highlight w:val="none"/>
          <w:u w:val="single"/>
        </w:rPr>
      </w:pPr>
      <w:r>
        <w:rPr>
          <w:rFonts w:asciiTheme="minorEastAsia" w:hAnsiTheme="minorEastAsia" w:eastAsiaTheme="minorEastAsia" w:cstheme="minorEastAsia"/>
          <w:i/>
          <w:sz w:val="28"/>
          <w:szCs w:val="28"/>
          <w:highlight w:val="none"/>
          <w:u w:val="single"/>
        </w:rPr>
      </w:r>
      <w:r/>
    </w:p>
    <w:p>
      <w:pPr>
        <w:rPr>
          <w:rFonts w:asciiTheme="minorEastAsia" w:hAnsiTheme="minorEastAsia" w:eastAsiaTheme="minorEastAsia" w:cstheme="minorEastAsia"/>
          <w:i/>
          <w:sz w:val="28"/>
          <w:szCs w:val="28"/>
          <w:highlight w:val="none"/>
          <w:u w:val="single"/>
        </w:rPr>
        <w:outlineLvl w:val="0"/>
      </w:pPr>
      <w:r/>
      <w:bookmarkStart w:id="206" w:name="_Toc1923"/>
      <w:r>
        <w:rPr>
          <w:rFonts w:hint="eastAsia" w:asciiTheme="minorEastAsia" w:hAnsiTheme="minorEastAsia" w:eastAsiaTheme="minorEastAsia" w:cstheme="minorEastAsia"/>
          <w:i/>
          <w:sz w:val="28"/>
          <w:szCs w:val="28"/>
          <w:highlight w:val="none"/>
          <w:u w:val="single"/>
        </w:rPr>
        <w:t xml:space="preserve">四、具备履行合同所必需的设备和专业技术能力的声明及证明材料</w:t>
      </w:r>
      <w:bookmarkEnd w:id="206"/>
      <w:r/>
      <w:r/>
    </w:p>
    <w:p>
      <w:pPr>
        <w:jc w:val="center"/>
        <w:spacing w:line="460" w:lineRule="exact"/>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jc w:val="center"/>
        <w:spacing w:line="460" w:lineRule="exact"/>
        <w:rPr>
          <w:rFonts w:asciiTheme="minorEastAsia" w:hAnsiTheme="minorEastAsia" w:eastAsiaTheme="minorEastAsia" w:cstheme="minorEastAsia"/>
          <w:iCs/>
          <w:sz w:val="28"/>
          <w:szCs w:val="28"/>
          <w:highlight w:val="none"/>
        </w:rPr>
      </w:pPr>
      <w:r>
        <w:rPr>
          <w:rFonts w:hint="eastAsia" w:asciiTheme="minorEastAsia" w:hAnsiTheme="minorEastAsia" w:eastAsiaTheme="minorEastAsia" w:cstheme="minorEastAsia"/>
          <w:iCs/>
          <w:sz w:val="28"/>
          <w:szCs w:val="28"/>
          <w:highlight w:val="none"/>
        </w:rPr>
        <w:t xml:space="preserve">具备履行合同所必需的设备和专业技术能力的声明及证明材料</w:t>
      </w:r>
      <w:r/>
    </w:p>
    <w:p>
      <w:pPr>
        <w:ind w:firstLine="492"/>
        <w:jc w:val="left"/>
        <w:spacing w:line="46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我单位郑重声明：我单位具备履行本项采购合同所必需的设备和专业技术能力，为履行本项采购合同我公司具备如下主要设备和主要专业技术能力：</w:t>
      </w:r>
      <w:r/>
    </w:p>
    <w:p>
      <w:pPr>
        <w:ind w:firstLine="492"/>
        <w:jc w:val="left"/>
        <w:spacing w:line="46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主要设备有：</w:t>
      </w:r>
      <w:r>
        <w:rPr>
          <w:rFonts w:hint="eastAsia" w:asciiTheme="minorEastAsia" w:hAnsiTheme="minorEastAsia" w:eastAsiaTheme="minorEastAsia" w:cstheme="minorEastAsia"/>
          <w:bCs/>
          <w:sz w:val="22"/>
          <w:szCs w:val="20"/>
          <w:highlight w:val="none"/>
          <w:u w:val="single"/>
        </w:rPr>
        <w:t xml:space="preserve">                          </w:t>
      </w:r>
      <w:r>
        <w:rPr>
          <w:rFonts w:hint="eastAsia" w:asciiTheme="minorEastAsia" w:hAnsiTheme="minorEastAsia" w:eastAsiaTheme="minorEastAsia" w:cstheme="minorEastAsia"/>
          <w:bCs/>
          <w:sz w:val="22"/>
          <w:szCs w:val="20"/>
          <w:highlight w:val="none"/>
        </w:rPr>
        <w:t xml:space="preserve">。</w:t>
      </w:r>
      <w:r/>
    </w:p>
    <w:p>
      <w:pPr>
        <w:ind w:firstLine="492"/>
        <w:jc w:val="left"/>
        <w:spacing w:line="46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主要专业技术能力有：</w:t>
      </w:r>
      <w:r>
        <w:rPr>
          <w:rFonts w:hint="eastAsia" w:asciiTheme="minorEastAsia" w:hAnsiTheme="minorEastAsia" w:eastAsiaTheme="minorEastAsia" w:cstheme="minorEastAsia"/>
          <w:bCs/>
          <w:sz w:val="22"/>
          <w:szCs w:val="20"/>
          <w:highlight w:val="none"/>
          <w:u w:val="single"/>
        </w:rPr>
        <w:t xml:space="preserve">                  </w:t>
      </w:r>
      <w:r>
        <w:rPr>
          <w:rFonts w:hint="eastAsia" w:asciiTheme="minorEastAsia" w:hAnsiTheme="minorEastAsia" w:eastAsiaTheme="minorEastAsia" w:cstheme="minorEastAsia"/>
          <w:bCs/>
          <w:sz w:val="22"/>
          <w:szCs w:val="20"/>
          <w:highlight w:val="none"/>
        </w:rPr>
        <w:t xml:space="preserve">。</w:t>
      </w:r>
      <w:r/>
    </w:p>
    <w:p>
      <w:pPr>
        <w:ind w:firstLine="492"/>
        <w:jc w:val="left"/>
        <w:spacing w:line="460" w:lineRule="exact"/>
        <w:rPr>
          <w:rFonts w:asciiTheme="minorEastAsia" w:hAnsiTheme="minorEastAsia" w:eastAsiaTheme="minorEastAsia" w:cstheme="minorEastAsia"/>
          <w:bCs/>
          <w:sz w:val="22"/>
          <w:szCs w:val="20"/>
          <w:highlight w:val="none"/>
        </w:rPr>
      </w:pPr>
      <w:r>
        <w:rPr>
          <w:rFonts w:asciiTheme="minorEastAsia" w:hAnsiTheme="minorEastAsia" w:eastAsiaTheme="minorEastAsia" w:cstheme="minorEastAsia"/>
          <w:bCs/>
          <w:sz w:val="22"/>
          <w:szCs w:val="20"/>
          <w:highlight w:val="none"/>
        </w:rPr>
      </w:r>
      <w:r/>
    </w:p>
    <w:p>
      <w:pPr>
        <w:ind w:firstLine="492"/>
        <w:jc w:val="left"/>
        <w:spacing w:line="46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投标人（盖章）：</w:t>
      </w:r>
      <w:r/>
    </w:p>
    <w:p>
      <w:pPr>
        <w:ind w:firstLine="492"/>
        <w:jc w:val="left"/>
        <w:spacing w:line="46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法定代表人（单位负责人）或委托代理人（签字或盖章）：</w:t>
      </w:r>
      <w:r/>
    </w:p>
    <w:p>
      <w:pPr>
        <w:ind w:firstLine="492"/>
        <w:jc w:val="left"/>
        <w:spacing w:line="46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日期：   年   月   日</w:t>
      </w:r>
      <w:r/>
    </w:p>
    <w:p>
      <w:pPr>
        <w:ind w:firstLine="492"/>
        <w:jc w:val="left"/>
        <w:spacing w:line="460" w:lineRule="exact"/>
        <w:rPr>
          <w:rFonts w:asciiTheme="minorEastAsia" w:hAnsiTheme="minorEastAsia" w:eastAsiaTheme="minorEastAsia" w:cstheme="minorEastAsia"/>
          <w:bCs/>
          <w:sz w:val="22"/>
          <w:szCs w:val="20"/>
          <w:highlight w:val="none"/>
        </w:rPr>
      </w:pPr>
      <w:r>
        <w:rPr>
          <w:rFonts w:asciiTheme="minorEastAsia" w:hAnsiTheme="minorEastAsia" w:eastAsiaTheme="minorEastAsia" w:cstheme="minorEastAsia"/>
          <w:bCs/>
          <w:sz w:val="22"/>
          <w:szCs w:val="20"/>
          <w:highlight w:val="none"/>
        </w:rPr>
      </w:r>
      <w:r/>
    </w:p>
    <w:p>
      <w:pPr>
        <w:ind w:firstLine="492"/>
        <w:jc w:val="left"/>
        <w:spacing w:line="46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附主要设备和主要专业技术能力的证明材料如下：</w:t>
      </w:r>
      <w:r/>
    </w:p>
    <w:p>
      <w:pPr>
        <w:spacing w:line="460" w:lineRule="exact"/>
        <w:rPr>
          <w:rFonts w:asciiTheme="minorEastAsia" w:hAnsiTheme="minorEastAsia" w:eastAsiaTheme="minorEastAsia" w:cstheme="minorEastAsia"/>
          <w:bCs/>
          <w:sz w:val="22"/>
          <w:szCs w:val="20"/>
          <w:highlight w:val="none"/>
        </w:rPr>
      </w:pPr>
      <w:r>
        <w:rPr>
          <w:rFonts w:asciiTheme="minorEastAsia" w:hAnsiTheme="minorEastAsia" w:eastAsiaTheme="minorEastAsia" w:cstheme="minorEastAsia"/>
          <w:bCs/>
          <w:sz w:val="22"/>
          <w:szCs w:val="20"/>
          <w:highlight w:val="none"/>
        </w:rPr>
      </w:r>
      <w:r/>
    </w:p>
    <w:p>
      <w:pPr>
        <w:rPr>
          <w:rFonts w:asciiTheme="minorEastAsia" w:hAnsiTheme="minorEastAsia" w:eastAsiaTheme="minorEastAsia" w:cstheme="minorEastAsia"/>
          <w:i/>
          <w:sz w:val="28"/>
          <w:szCs w:val="28"/>
          <w:highlight w:val="none"/>
          <w:u w:val="single"/>
        </w:rPr>
        <w:outlineLvl w:val="0"/>
      </w:pPr>
      <w:r/>
      <w:bookmarkStart w:id="207" w:name="_Toc31456"/>
      <w:r>
        <w:rPr>
          <w:rFonts w:hint="eastAsia" w:asciiTheme="minorEastAsia" w:hAnsiTheme="minorEastAsia" w:eastAsiaTheme="minorEastAsia" w:cstheme="minorEastAsia"/>
          <w:i/>
          <w:sz w:val="28"/>
          <w:szCs w:val="28"/>
          <w:highlight w:val="none"/>
          <w:u w:val="single"/>
        </w:rPr>
        <w:t xml:space="preserve">五、参加政府采购活动前 3 年内在经营活动中没有重大违法记录的书面声明</w:t>
      </w:r>
      <w:bookmarkEnd w:id="207"/>
      <w:r/>
      <w:r/>
    </w:p>
    <w:p>
      <w:pPr>
        <w:jc w:val="center"/>
        <w:spacing w:line="460" w:lineRule="exact"/>
        <w:rPr>
          <w:rFonts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32"/>
          <w:szCs w:val="32"/>
          <w:highlight w:val="none"/>
        </w:rPr>
        <w:t xml:space="preserve">声  明</w:t>
      </w:r>
      <w:r/>
    </w:p>
    <w:p>
      <w:pPr>
        <w:ind w:firstLine="440"/>
        <w:spacing w:line="46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92"/>
        <w:spacing w:line="460" w:lineRule="exact"/>
        <w:rPr>
          <w:rFonts w:asciiTheme="minorEastAsia" w:hAnsiTheme="minorEastAsia" w:eastAsiaTheme="minorEastAsia" w:cstheme="minorEastAsia"/>
          <w:bCs/>
          <w:sz w:val="22"/>
          <w:szCs w:val="20"/>
          <w:highlight w:val="none"/>
        </w:rPr>
      </w:pPr>
      <w:r>
        <w:rPr>
          <w:rFonts w:asciiTheme="minorEastAsia" w:hAnsiTheme="minorEastAsia" w:eastAsiaTheme="minorEastAsia" w:cstheme="minorEastAsia"/>
          <w:bCs/>
          <w:sz w:val="22"/>
          <w:szCs w:val="20"/>
          <w:highlight w:val="none"/>
        </w:rPr>
      </w:r>
      <w:r/>
    </w:p>
    <w:p>
      <w:pPr>
        <w:ind w:firstLine="492"/>
        <w:spacing w:line="46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投标人（盖章）：</w:t>
      </w:r>
      <w:r/>
    </w:p>
    <w:p>
      <w:pPr>
        <w:ind w:firstLine="492"/>
        <w:spacing w:line="46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法定代表人（单位负责人）或委托代理人（签字或盖章）：</w:t>
      </w:r>
      <w:r/>
    </w:p>
    <w:p>
      <w:pPr>
        <w:ind w:firstLine="492"/>
        <w:spacing w:line="46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日期：   年   月   日</w:t>
      </w:r>
      <w:r/>
    </w:p>
    <w:p>
      <w:pPr>
        <w:rPr>
          <w:rFonts w:asciiTheme="minorEastAsia" w:hAnsiTheme="minorEastAsia" w:eastAsiaTheme="minorEastAsia" w:cstheme="minorEastAsia"/>
          <w:i/>
          <w:sz w:val="28"/>
          <w:szCs w:val="28"/>
          <w:highlight w:val="none"/>
          <w:u w:val="single"/>
        </w:rPr>
      </w:pPr>
      <w:r>
        <w:rPr>
          <w:rFonts w:asciiTheme="minorEastAsia" w:hAnsiTheme="minorEastAsia" w:eastAsiaTheme="minorEastAsia" w:cstheme="minorEastAsia"/>
          <w:i/>
          <w:sz w:val="28"/>
          <w:szCs w:val="28"/>
          <w:highlight w:val="none"/>
          <w:u w:val="single"/>
        </w:rPr>
      </w:r>
      <w:r/>
    </w:p>
    <w:p>
      <w:pPr>
        <w:rPr>
          <w:rFonts w:asciiTheme="minorEastAsia" w:hAnsiTheme="minorEastAsia" w:eastAsiaTheme="minorEastAsia" w:cstheme="minorEastAsia"/>
          <w:i/>
          <w:sz w:val="28"/>
          <w:szCs w:val="28"/>
          <w:highlight w:val="none"/>
          <w:u w:val="single"/>
        </w:rPr>
        <w:outlineLvl w:val="0"/>
      </w:pPr>
      <w:r/>
      <w:bookmarkStart w:id="208" w:name="_Toc20654"/>
      <w:r>
        <w:rPr>
          <w:rFonts w:hint="eastAsia" w:asciiTheme="minorEastAsia" w:hAnsiTheme="minorEastAsia" w:eastAsiaTheme="minorEastAsia" w:cstheme="minorEastAsia"/>
          <w:i/>
          <w:sz w:val="28"/>
          <w:szCs w:val="28"/>
          <w:highlight w:val="none"/>
          <w:u w:val="single"/>
        </w:rPr>
        <w:t xml:space="preserve">六、法律、行政法规规定的其他条件的证明文件</w:t>
      </w:r>
      <w:bookmarkEnd w:id="208"/>
      <w:r/>
      <w:r/>
    </w:p>
    <w:p>
      <w:pPr>
        <w:ind w:firstLine="480"/>
        <w:jc w:val="left"/>
        <w:spacing w:line="5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2"/>
          <w:szCs w:val="20"/>
          <w:highlight w:val="none"/>
        </w:rPr>
        <w:t xml:space="preserve">（如有，请按要求提供</w:t>
      </w:r>
      <w:r>
        <w:rPr>
          <w:rFonts w:hint="eastAsia" w:asciiTheme="minorEastAsia" w:hAnsiTheme="minorEastAsia" w:eastAsiaTheme="minorEastAsia" w:cstheme="minorEastAsia"/>
          <w:sz w:val="24"/>
          <w:szCs w:val="24"/>
          <w:highlight w:val="none"/>
        </w:rPr>
        <w:t xml:space="preserve">）</w:t>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rPr>
          <w:rFonts w:asciiTheme="minorEastAsia" w:hAnsiTheme="minorEastAsia" w:eastAsiaTheme="minorEastAsia" w:cstheme="minorEastAsia"/>
          <w:i/>
          <w:sz w:val="28"/>
          <w:szCs w:val="28"/>
          <w:highlight w:val="none"/>
          <w:u w:val="single"/>
        </w:rPr>
        <w:outlineLvl w:val="0"/>
      </w:pPr>
      <w:r/>
      <w:bookmarkStart w:id="209" w:name="_Toc20416"/>
      <w:r>
        <w:rPr>
          <w:rFonts w:hint="eastAsia" w:asciiTheme="minorEastAsia" w:hAnsiTheme="minorEastAsia" w:eastAsiaTheme="minorEastAsia" w:cstheme="minorEastAsia"/>
          <w:i/>
          <w:sz w:val="28"/>
          <w:szCs w:val="28"/>
          <w:highlight w:val="none"/>
          <w:u w:val="single"/>
        </w:rPr>
        <w:t xml:space="preserve">七、落实政府采购政策需满足的资格要求的证明文件</w:t>
      </w:r>
      <w:bookmarkEnd w:id="209"/>
      <w:r/>
      <w:r/>
    </w:p>
    <w:p>
      <w:pPr>
        <w:ind w:firstLine="480"/>
        <w:jc w:val="left"/>
        <w:spacing w:line="50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（如有，请按要求提供）</w:t>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rPr>
          <w:rFonts w:asciiTheme="minorEastAsia" w:hAnsiTheme="minorEastAsia" w:eastAsiaTheme="minorEastAsia" w:cstheme="minorEastAsia"/>
          <w:i/>
          <w:sz w:val="28"/>
          <w:szCs w:val="28"/>
          <w:highlight w:val="none"/>
          <w:u w:val="single"/>
        </w:rPr>
        <w:outlineLvl w:val="0"/>
      </w:pPr>
      <w:r/>
      <w:bookmarkStart w:id="210" w:name="_Toc24707"/>
      <w:r>
        <w:rPr>
          <w:rFonts w:hint="eastAsia" w:asciiTheme="minorEastAsia" w:hAnsiTheme="minorEastAsia" w:eastAsiaTheme="minorEastAsia" w:cstheme="minorEastAsia"/>
          <w:i/>
          <w:sz w:val="28"/>
          <w:szCs w:val="28"/>
          <w:highlight w:val="none"/>
          <w:u w:val="single"/>
        </w:rPr>
        <w:t xml:space="preserve">八、特定资格要求的证明文件</w:t>
      </w:r>
      <w:bookmarkEnd w:id="210"/>
      <w:r/>
      <w:r/>
    </w:p>
    <w:p>
      <w:pPr>
        <w:ind w:firstLine="480"/>
        <w:jc w:val="left"/>
        <w:spacing w:line="500" w:lineRule="exact"/>
        <w:rPr>
          <w:rFonts w:asciiTheme="minorEastAsia" w:hAnsiTheme="minorEastAsia" w:eastAsiaTheme="minorEastAsia" w:cstheme="minorEastAsia"/>
          <w:bCs/>
          <w:sz w:val="22"/>
          <w:szCs w:val="20"/>
          <w:highlight w:val="none"/>
        </w:rPr>
      </w:pPr>
      <w:r>
        <w:rPr>
          <w:rFonts w:hint="eastAsia" w:asciiTheme="minorEastAsia" w:hAnsiTheme="minorEastAsia" w:eastAsiaTheme="minorEastAsia" w:cstheme="minorEastAsia"/>
          <w:bCs/>
          <w:sz w:val="22"/>
          <w:szCs w:val="20"/>
          <w:highlight w:val="none"/>
        </w:rPr>
        <w:t xml:space="preserve">（如有，请按要求提供）</w:t>
      </w:r>
      <w:r/>
    </w:p>
    <w:p>
      <w:pPr>
        <w:rPr>
          <w:rFonts w:asciiTheme="minorEastAsia" w:hAnsiTheme="minorEastAsia" w:eastAsiaTheme="minorEastAsia" w:cstheme="minorEastAsia"/>
          <w:i/>
          <w:sz w:val="28"/>
          <w:szCs w:val="28"/>
          <w:highlight w:val="none"/>
          <w:u w:val="single"/>
        </w:rPr>
        <w:outlineLvl w:val="0"/>
      </w:pPr>
      <w:r/>
      <w:bookmarkStart w:id="211" w:name="_Toc5633"/>
      <w:r>
        <w:rPr>
          <w:rFonts w:hint="eastAsia" w:asciiTheme="minorEastAsia" w:hAnsiTheme="minorEastAsia" w:eastAsiaTheme="minorEastAsia" w:cstheme="minorEastAsia"/>
          <w:i/>
          <w:sz w:val="28"/>
          <w:szCs w:val="28"/>
          <w:highlight w:val="none"/>
          <w:u w:val="single"/>
        </w:rPr>
        <w:t xml:space="preserve">九、授权委托书与法定代表人（单位负责人）身份证明</w:t>
      </w:r>
      <w:bookmarkEnd w:id="211"/>
      <w:r/>
      <w:r/>
    </w:p>
    <w:p>
      <w:pPr>
        <w:jc w:val="center"/>
        <w:spacing w:line="360" w:lineRule="exact"/>
        <w:rPr>
          <w:rFonts w:asciiTheme="minorEastAsia" w:hAnsiTheme="minorEastAsia" w:eastAsiaTheme="minorEastAsia" w:cstheme="minorEastAsia"/>
          <w:b/>
          <w:sz w:val="28"/>
          <w:szCs w:val="28"/>
          <w:highlight w:val="none"/>
        </w:rPr>
      </w:pPr>
      <w:r>
        <w:rPr>
          <w:rFonts w:asciiTheme="minorEastAsia" w:hAnsiTheme="minorEastAsia" w:eastAsiaTheme="minorEastAsia" w:cstheme="minorEastAsia"/>
          <w:b/>
          <w:sz w:val="28"/>
          <w:szCs w:val="28"/>
          <w:highlight w:val="none"/>
        </w:rPr>
      </w:r>
      <w:r/>
    </w:p>
    <w:p>
      <w:pPr>
        <w:jc w:val="center"/>
        <w:spacing w:line="360" w:lineRule="exact"/>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 xml:space="preserve">授权委托书</w:t>
      </w:r>
      <w:r/>
    </w:p>
    <w:p>
      <w:pPr>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致：</w:t>
      </w:r>
      <w:r>
        <w:rPr>
          <w:rFonts w:hint="eastAsia" w:asciiTheme="minorEastAsia" w:hAnsiTheme="minorEastAsia" w:eastAsiaTheme="minorEastAsia" w:cstheme="minorEastAsia"/>
          <w:sz w:val="22"/>
          <w:highlight w:val="none"/>
          <w:u w:val="single"/>
        </w:rPr>
        <w:t xml:space="preserve">采购单位</w:t>
      </w:r>
      <w:r/>
    </w:p>
    <w:p>
      <w:pPr>
        <w:ind w:firstLine="420"/>
        <w:jc w:val="left"/>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本人</w:t>
      </w:r>
      <w:r>
        <w:rPr>
          <w:rFonts w:hint="eastAsia" w:asciiTheme="minorEastAsia" w:hAnsiTheme="minorEastAsia" w:eastAsiaTheme="minorEastAsia" w:cstheme="minorEastAsia"/>
          <w:sz w:val="22"/>
          <w:highlight w:val="none"/>
          <w:u w:val="single"/>
        </w:rPr>
        <w:t xml:space="preserve">（姓名）</w:t>
      </w:r>
      <w:r>
        <w:rPr>
          <w:rFonts w:hint="eastAsia" w:asciiTheme="minorEastAsia" w:hAnsiTheme="minorEastAsia" w:eastAsiaTheme="minorEastAsia" w:cstheme="minorEastAsia"/>
          <w:sz w:val="22"/>
          <w:highlight w:val="none"/>
        </w:rPr>
        <w:t xml:space="preserve">系</w:t>
      </w:r>
      <w:r>
        <w:rPr>
          <w:rFonts w:hint="eastAsia" w:asciiTheme="minorEastAsia" w:hAnsiTheme="minorEastAsia" w:eastAsiaTheme="minorEastAsia" w:cstheme="minorEastAsia"/>
          <w:sz w:val="22"/>
          <w:highlight w:val="none"/>
          <w:u w:val="single"/>
        </w:rPr>
        <w:t xml:space="preserve">（投标人名称）</w:t>
      </w:r>
      <w:r>
        <w:rPr>
          <w:rFonts w:hint="eastAsia" w:asciiTheme="minorEastAsia" w:hAnsiTheme="minorEastAsia" w:eastAsiaTheme="minorEastAsia" w:cstheme="minorEastAsia"/>
          <w:sz w:val="22"/>
          <w:highlight w:val="none"/>
        </w:rPr>
        <w:t xml:space="preserve">的法定代表人（单位负责人），现委托</w:t>
      </w:r>
      <w:r>
        <w:rPr>
          <w:rFonts w:hint="eastAsia" w:asciiTheme="minorEastAsia" w:hAnsiTheme="minorEastAsia" w:eastAsiaTheme="minorEastAsia" w:cstheme="minorEastAsia"/>
          <w:sz w:val="22"/>
          <w:highlight w:val="none"/>
          <w:u w:val="single"/>
        </w:rPr>
        <w:t xml:space="preserve">（姓名）</w:t>
      </w:r>
      <w:r>
        <w:rPr>
          <w:rFonts w:hint="eastAsia" w:asciiTheme="minorEastAsia" w:hAnsiTheme="minorEastAsia" w:eastAsiaTheme="minorEastAsia" w:cstheme="minorEastAsia"/>
          <w:sz w:val="22"/>
          <w:highlight w:val="none"/>
        </w:rPr>
        <w:t xml:space="preserve">为我方代理人。代理人根据授权，以我方名义签署、澄清确认、递交、撤回、修改</w:t>
      </w:r>
      <w:r>
        <w:rPr>
          <w:rFonts w:hint="eastAsia" w:asciiTheme="minorEastAsia" w:hAnsiTheme="minorEastAsia" w:eastAsiaTheme="minorEastAsia" w:cstheme="minorEastAsia"/>
          <w:sz w:val="22"/>
          <w:highlight w:val="none"/>
          <w:u w:val="single"/>
        </w:rPr>
        <w:t xml:space="preserve">（项目名称）</w:t>
      </w:r>
      <w:r>
        <w:rPr>
          <w:rFonts w:hint="eastAsia" w:asciiTheme="minorEastAsia" w:hAnsiTheme="minorEastAsia" w:eastAsiaTheme="minorEastAsia" w:cstheme="minorEastAsia"/>
          <w:sz w:val="22"/>
          <w:highlight w:val="none"/>
        </w:rPr>
        <w:t xml:space="preserve">项目（项目编号</w:t>
      </w:r>
      <w:r>
        <w:rPr>
          <w:rFonts w:hint="eastAsia" w:asciiTheme="minorEastAsia" w:hAnsiTheme="minorEastAsia" w:eastAsiaTheme="minorEastAsia" w:cstheme="minorEastAsia"/>
          <w:sz w:val="22"/>
          <w:highlight w:val="none"/>
          <w:lang w:eastAsia="zh-CN"/>
        </w:rPr>
        <w:t xml:space="preserve">）</w:t>
      </w:r>
      <w:r>
        <w:rPr>
          <w:rFonts w:hint="eastAsia" w:asciiTheme="minorEastAsia" w:hAnsiTheme="minorEastAsia" w:eastAsiaTheme="minorEastAsia" w:cstheme="minorEastAsia"/>
          <w:sz w:val="22"/>
          <w:highlight w:val="none"/>
        </w:rPr>
        <w:t xml:space="preserve">投标文件和处理有关事宜，其法律后果由我方承担。</w:t>
      </w:r>
      <w:r/>
    </w:p>
    <w:p>
      <w:pPr>
        <w:ind w:firstLine="420"/>
        <w:jc w:val="left"/>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委托期限：自本授权委托书签署之日起至响应有效期届满之日止。</w:t>
      </w:r>
      <w:r/>
    </w:p>
    <w:p>
      <w:pPr>
        <w:ind w:firstLine="420"/>
        <w:jc w:val="left"/>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代理人无转委托权。</w:t>
      </w:r>
      <w:r/>
    </w:p>
    <w:p>
      <w:pPr>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投标人名称（加盖公章）：</w:t>
      </w:r>
      <w:r/>
    </w:p>
    <w:p>
      <w:pPr>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法定代表人（单位负责人）（签字、签章或印鉴）：</w:t>
      </w:r>
      <w:r/>
    </w:p>
    <w:p>
      <w:pPr>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委托代理人（签字/签章）：</w:t>
      </w:r>
      <w:r/>
    </w:p>
    <w:p>
      <w:pPr>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日期：    年   月   日</w:t>
      </w:r>
      <w:r/>
    </w:p>
    <w:p>
      <w:pPr>
        <w:jc w:val="left"/>
        <w:spacing w:line="360" w:lineRule="auto"/>
        <w:tabs>
          <w:tab w:val="left" w:pos="5580" w:leader="none"/>
        </w:tabs>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法定代表人（单位负责人）有效期内的身份证</w:t>
      </w:r>
      <w:r>
        <w:rPr>
          <w:rFonts w:hint="eastAsia" w:asciiTheme="minorEastAsia" w:hAnsiTheme="minorEastAsia" w:eastAsiaTheme="minorEastAsia" w:cstheme="minorEastAsia"/>
          <w:b/>
          <w:sz w:val="22"/>
          <w:highlight w:val="none"/>
        </w:rPr>
        <w:t xml:space="preserve">正反面</w:t>
      </w:r>
      <w:r>
        <w:rPr>
          <w:rFonts w:hint="eastAsia" w:asciiTheme="minorEastAsia" w:hAnsiTheme="minorEastAsia" w:eastAsiaTheme="minorEastAsia" w:cstheme="minorEastAsia"/>
          <w:sz w:val="22"/>
          <w:highlight w:val="none"/>
        </w:rPr>
        <w:t xml:space="preserve">电子件：</w:t>
      </w:r>
      <w:r/>
    </w:p>
    <w:tbl>
      <w:tblPr>
        <w:tblStyle w:val="8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jc w:val="left"/>
              <w:spacing w:line="360" w:lineRule="auto"/>
              <w:tabs>
                <w:tab w:val="left" w:pos="5580" w:leader="none"/>
              </w:tabs>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jc w:val="left"/>
              <w:spacing w:line="360" w:lineRule="auto"/>
              <w:tabs>
                <w:tab w:val="left" w:pos="5580" w:leader="none"/>
              </w:tabs>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tc>
        <w:tc>
          <w:tcPr>
            <w:tcW w:w="4536" w:type="dxa"/>
            <w:textDirection w:val="lrTb"/>
            <w:noWrap w:val="false"/>
          </w:tcPr>
          <w:p>
            <w:pPr>
              <w:jc w:val="left"/>
              <w:spacing w:line="360" w:lineRule="auto"/>
              <w:tabs>
                <w:tab w:val="left" w:pos="5580" w:leader="none"/>
              </w:tabs>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jc w:val="left"/>
              <w:spacing w:line="360" w:lineRule="auto"/>
              <w:tabs>
                <w:tab w:val="left" w:pos="5580" w:leader="none"/>
              </w:tabs>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jc w:val="left"/>
              <w:spacing w:line="360" w:lineRule="auto"/>
              <w:tabs>
                <w:tab w:val="left" w:pos="5580" w:leader="none"/>
              </w:tabs>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tc>
      </w:tr>
    </w:tbl>
    <w:p>
      <w:pPr>
        <w:jc w:val="left"/>
        <w:spacing w:line="360" w:lineRule="auto"/>
        <w:tabs>
          <w:tab w:val="left" w:pos="5580" w:leader="none"/>
        </w:tabs>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委托代理人有效期内的身份证</w:t>
      </w:r>
      <w:r>
        <w:rPr>
          <w:rFonts w:hint="eastAsia" w:asciiTheme="minorEastAsia" w:hAnsiTheme="minorEastAsia" w:eastAsiaTheme="minorEastAsia" w:cstheme="minorEastAsia"/>
          <w:b/>
          <w:sz w:val="22"/>
          <w:highlight w:val="none"/>
        </w:rPr>
        <w:t xml:space="preserve">正反面</w:t>
      </w:r>
      <w:r>
        <w:rPr>
          <w:rFonts w:hint="eastAsia" w:asciiTheme="minorEastAsia" w:hAnsiTheme="minorEastAsia" w:eastAsiaTheme="minorEastAsia" w:cstheme="minorEastAsia"/>
          <w:sz w:val="22"/>
          <w:highlight w:val="none"/>
        </w:rPr>
        <w:t xml:space="preserve">电子件：</w:t>
      </w:r>
      <w:r/>
    </w:p>
    <w:tbl>
      <w:tblPr>
        <w:tblStyle w:val="8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heme="minorEastAsia" w:hAnsiTheme="minorEastAsia" w:eastAsiaTheme="minorEastAsia" w:cstheme="minorEastAsia"/>
                <w:sz w:val="24"/>
                <w:szCs w:val="20"/>
                <w:highlight w:val="none"/>
              </w:rPr>
            </w:pPr>
            <w:r>
              <w:rPr>
                <w:rFonts w:asciiTheme="minorEastAsia" w:hAnsiTheme="minorEastAsia" w:eastAsiaTheme="minorEastAsia" w:cstheme="minorEastAsia"/>
                <w:sz w:val="24"/>
                <w:szCs w:val="20"/>
                <w:highlight w:val="none"/>
              </w:rPr>
            </w:r>
            <w:r/>
          </w:p>
          <w:p>
            <w:pPr>
              <w:jc w:val="left"/>
              <w:spacing w:line="360" w:lineRule="auto"/>
              <w:tabs>
                <w:tab w:val="left" w:pos="5580" w:leader="none"/>
              </w:tabs>
              <w:rPr>
                <w:rFonts w:asciiTheme="minorEastAsia" w:hAnsiTheme="minorEastAsia" w:eastAsiaTheme="minorEastAsia" w:cstheme="minorEastAsia"/>
                <w:sz w:val="24"/>
                <w:szCs w:val="20"/>
                <w:highlight w:val="none"/>
              </w:rPr>
            </w:pPr>
            <w:r>
              <w:rPr>
                <w:rFonts w:asciiTheme="minorEastAsia" w:hAnsiTheme="minorEastAsia" w:eastAsiaTheme="minorEastAsia" w:cstheme="minorEastAsia"/>
                <w:sz w:val="24"/>
                <w:szCs w:val="20"/>
                <w:highlight w:val="none"/>
              </w:rPr>
            </w:r>
            <w:r/>
          </w:p>
          <w:p>
            <w:pPr>
              <w:jc w:val="left"/>
              <w:spacing w:line="360" w:lineRule="auto"/>
              <w:tabs>
                <w:tab w:val="left" w:pos="5580" w:leader="none"/>
              </w:tabs>
              <w:rPr>
                <w:rFonts w:asciiTheme="minorEastAsia" w:hAnsiTheme="minorEastAsia" w:eastAsiaTheme="minorEastAsia" w:cstheme="minorEastAsia"/>
                <w:sz w:val="24"/>
                <w:szCs w:val="20"/>
                <w:highlight w:val="none"/>
              </w:rPr>
            </w:pPr>
            <w:r>
              <w:rPr>
                <w:rFonts w:asciiTheme="minorEastAsia" w:hAnsiTheme="minorEastAsia" w:eastAsiaTheme="minorEastAsia" w:cstheme="minorEastAsia"/>
                <w:sz w:val="24"/>
                <w:szCs w:val="20"/>
                <w:highlight w:val="none"/>
              </w:rPr>
            </w:r>
            <w:r/>
          </w:p>
        </w:tc>
        <w:tc>
          <w:tcPr>
            <w:tcW w:w="4536" w:type="dxa"/>
            <w:textDirection w:val="lrTb"/>
            <w:noWrap w:val="false"/>
          </w:tcPr>
          <w:p>
            <w:pPr>
              <w:jc w:val="left"/>
              <w:spacing w:line="360" w:lineRule="auto"/>
              <w:tabs>
                <w:tab w:val="left" w:pos="5580" w:leader="none"/>
              </w:tabs>
              <w:rPr>
                <w:rFonts w:asciiTheme="minorEastAsia" w:hAnsiTheme="minorEastAsia" w:eastAsiaTheme="minorEastAsia" w:cstheme="minorEastAsia"/>
                <w:sz w:val="24"/>
                <w:szCs w:val="20"/>
                <w:highlight w:val="none"/>
              </w:rPr>
            </w:pPr>
            <w:r>
              <w:rPr>
                <w:rFonts w:asciiTheme="minorEastAsia" w:hAnsiTheme="minorEastAsia" w:eastAsiaTheme="minorEastAsia" w:cstheme="minorEastAsia"/>
                <w:sz w:val="24"/>
                <w:szCs w:val="20"/>
                <w:highlight w:val="none"/>
              </w:rPr>
            </w:r>
            <w:r/>
          </w:p>
          <w:p>
            <w:pPr>
              <w:jc w:val="left"/>
              <w:spacing w:line="360" w:lineRule="auto"/>
              <w:tabs>
                <w:tab w:val="left" w:pos="5580" w:leader="none"/>
              </w:tabs>
              <w:rPr>
                <w:rFonts w:asciiTheme="minorEastAsia" w:hAnsiTheme="minorEastAsia" w:eastAsiaTheme="minorEastAsia" w:cstheme="minorEastAsia"/>
                <w:sz w:val="24"/>
                <w:szCs w:val="20"/>
                <w:highlight w:val="none"/>
              </w:rPr>
            </w:pPr>
            <w:r>
              <w:rPr>
                <w:rFonts w:asciiTheme="minorEastAsia" w:hAnsiTheme="minorEastAsia" w:eastAsiaTheme="minorEastAsia" w:cstheme="minorEastAsia"/>
                <w:sz w:val="24"/>
                <w:szCs w:val="20"/>
                <w:highlight w:val="none"/>
              </w:rPr>
            </w:r>
            <w:r/>
          </w:p>
          <w:p>
            <w:pPr>
              <w:jc w:val="left"/>
              <w:spacing w:line="360" w:lineRule="auto"/>
              <w:tabs>
                <w:tab w:val="left" w:pos="5580" w:leader="none"/>
              </w:tabs>
              <w:rPr>
                <w:rFonts w:asciiTheme="minorEastAsia" w:hAnsiTheme="minorEastAsia" w:eastAsiaTheme="minorEastAsia" w:cstheme="minorEastAsia"/>
                <w:sz w:val="24"/>
                <w:szCs w:val="20"/>
                <w:highlight w:val="none"/>
              </w:rPr>
            </w:pPr>
            <w:r>
              <w:rPr>
                <w:rFonts w:asciiTheme="minorEastAsia" w:hAnsiTheme="minorEastAsia" w:eastAsiaTheme="minorEastAsia" w:cstheme="minorEastAsia"/>
                <w:sz w:val="24"/>
                <w:szCs w:val="20"/>
                <w:highlight w:val="none"/>
              </w:rPr>
            </w:r>
            <w:r/>
          </w:p>
        </w:tc>
      </w:tr>
    </w:tbl>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填报说明：</w:t>
      </w:r>
      <w:r/>
    </w:p>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lang w:eastAsia="zh-CN"/>
        </w:rPr>
        <w:t xml:space="preserve">1.</w:t>
      </w:r>
      <w:r>
        <w:rPr>
          <w:rFonts w:hint="eastAsia" w:asciiTheme="minorEastAsia" w:hAnsiTheme="minorEastAsia" w:eastAsiaTheme="minorEastAsia" w:cstheme="minorEastAsia"/>
          <w:sz w:val="22"/>
          <w:highlight w:val="none"/>
        </w:rPr>
        <w:t xml:space="preserve">若供应商为事业单位或其他组织或分支机构（仅当招标文件注明允许分支机构投标的），则法定代表人（单位负责人）处的签署人可为单位负责人。</w:t>
      </w:r>
      <w:r/>
    </w:p>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lang w:eastAsia="zh-CN"/>
        </w:rPr>
        <w:t xml:space="preserve">2.</w:t>
      </w:r>
      <w:r>
        <w:rPr>
          <w:rFonts w:hint="eastAsia" w:asciiTheme="minorEastAsia" w:hAnsiTheme="minorEastAsia" w:eastAsiaTheme="minorEastAsia" w:cstheme="minorEastAsia"/>
          <w:sz w:val="22"/>
          <w:highlight w:val="none"/>
        </w:rPr>
        <w:t xml:space="preserve">若投标文件中全部签字之处均为法定代表人（单位负责人）本人签署，则可不提供本《授权委托书》，但须提供《法定代表人（单位负责人）身份证明》。</w:t>
      </w:r>
      <w:r/>
    </w:p>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lang w:eastAsia="zh-CN"/>
        </w:rPr>
        <w:t xml:space="preserve">3.</w:t>
      </w:r>
      <w:r>
        <w:rPr>
          <w:rFonts w:hint="eastAsia" w:asciiTheme="minorEastAsia" w:hAnsiTheme="minorEastAsia" w:eastAsiaTheme="minorEastAsia" w:cstheme="minorEastAsia"/>
          <w:sz w:val="22"/>
          <w:highlight w:val="none"/>
        </w:rPr>
        <w:t xml:space="preserve">供应商为自然人的情形，可不提供本《授权委托书》。</w:t>
      </w:r>
      <w:r/>
    </w:p>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 请供应商如实填写联系方式并在评审过程中保持联系方式畅通，评审过程中如联系不上，由供应商承担一切不利后果。</w:t>
      </w:r>
      <w:r>
        <w:rPr>
          <w:rFonts w:hint="eastAsia" w:asciiTheme="minorEastAsia" w:hAnsiTheme="minorEastAsia" w:eastAsiaTheme="minorEastAsia" w:cstheme="minorEastAsia"/>
          <w:sz w:val="22"/>
          <w:highlight w:val="none"/>
        </w:rPr>
        <w:br w:type="page" w:clear="all"/>
      </w:r>
      <w:r/>
    </w:p>
    <w:p>
      <w:pPr>
        <w:jc w:val="center"/>
        <w:spacing w:line="360" w:lineRule="exact"/>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jc w:val="center"/>
        <w:spacing w:line="360" w:lineRule="exact"/>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 xml:space="preserve">法定代表人（单位负责人）身份证明</w:t>
      </w:r>
      <w:r/>
    </w:p>
    <w:p>
      <w:pPr>
        <w:spacing w:line="200" w:lineRule="exact"/>
        <w:rPr>
          <w:rFonts w:asciiTheme="minorEastAsia" w:hAnsiTheme="minorEastAsia" w:eastAsiaTheme="minorEastAsia" w:cstheme="minorEastAsia"/>
          <w:sz w:val="18"/>
          <w:szCs w:val="18"/>
          <w:highlight w:val="none"/>
        </w:rPr>
      </w:pPr>
      <w:r>
        <w:rPr>
          <w:rFonts w:asciiTheme="minorEastAsia" w:hAnsiTheme="minorEastAsia" w:eastAsiaTheme="minorEastAsia" w:cstheme="minorEastAsia"/>
          <w:sz w:val="18"/>
          <w:szCs w:val="18"/>
          <w:highlight w:val="none"/>
        </w:rPr>
      </w:r>
      <w:r/>
    </w:p>
    <w:p>
      <w:pPr>
        <w:spacing w:line="360" w:lineRule="auto"/>
        <w:tabs>
          <w:tab w:val="left" w:pos="5580" w:leader="none"/>
        </w:tabs>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致：</w:t>
      </w:r>
      <w:r>
        <w:rPr>
          <w:rFonts w:hint="eastAsia" w:asciiTheme="minorEastAsia" w:hAnsiTheme="minorEastAsia" w:eastAsiaTheme="minorEastAsia" w:cstheme="minorEastAsia"/>
          <w:sz w:val="22"/>
          <w:highlight w:val="none"/>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Theme="minorEastAsia" w:hAnsiTheme="minorEastAsia" w:eastAsiaTheme="minorEastAsia" w:cstheme="minorEastAsia"/>
          <w:sz w:val="22"/>
          <w:highlight w:val="none"/>
          <w:u w:val="single"/>
        </w:rPr>
      </w:pPr>
      <w:r>
        <w:rPr>
          <w:rFonts w:hint="eastAsia" w:asciiTheme="minorEastAsia" w:hAnsiTheme="minorEastAsia" w:eastAsiaTheme="minorEastAsia" w:cstheme="minorEastAsia"/>
          <w:sz w:val="22"/>
          <w:highlight w:val="none"/>
        </w:rPr>
        <w:t xml:space="preserve">姓名：</w:t>
      </w:r>
      <w:r>
        <w:rPr>
          <w:rFonts w:hint="eastAsia" w:asciiTheme="minorEastAsia" w:hAnsiTheme="minorEastAsia" w:eastAsiaTheme="minorEastAsia" w:cstheme="minorEastAsia"/>
          <w:sz w:val="22"/>
          <w:highlight w:val="none"/>
          <w:u w:val="single"/>
        </w:rPr>
        <w:t xml:space="preserve">                  </w:t>
      </w:r>
      <w:r>
        <w:rPr>
          <w:rFonts w:hint="eastAsia" w:asciiTheme="minorEastAsia" w:hAnsiTheme="minorEastAsia" w:eastAsiaTheme="minorEastAsia" w:cstheme="minorEastAsia"/>
          <w:sz w:val="22"/>
          <w:highlight w:val="none"/>
        </w:rPr>
        <w:t xml:space="preserve">性别：</w:t>
      </w:r>
      <w:r>
        <w:rPr>
          <w:rFonts w:hint="eastAsia" w:asciiTheme="minorEastAsia" w:hAnsiTheme="minorEastAsia" w:eastAsiaTheme="minorEastAsia" w:cstheme="minorEastAsia"/>
          <w:sz w:val="22"/>
          <w:highlight w:val="none"/>
          <w:u w:val="single"/>
        </w:rPr>
        <w:t xml:space="preserve">                  </w:t>
      </w:r>
      <w:r/>
    </w:p>
    <w:p>
      <w:pPr>
        <w:spacing w:before="120" w:line="335" w:lineRule="exact"/>
        <w:tabs>
          <w:tab w:val="left" w:pos="567" w:leader="none"/>
          <w:tab w:val="left" w:pos="1690" w:leader="none"/>
          <w:tab w:val="left" w:pos="3400" w:leader="none"/>
          <w:tab w:val="left" w:pos="5110" w:leader="none"/>
          <w:tab w:val="left" w:pos="6821" w:leader="none"/>
        </w:tabs>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年龄：</w:t>
      </w:r>
      <w:r>
        <w:rPr>
          <w:rFonts w:hint="eastAsia" w:asciiTheme="minorEastAsia" w:hAnsiTheme="minorEastAsia" w:eastAsiaTheme="minorEastAsia" w:cstheme="minorEastAsia"/>
          <w:sz w:val="22"/>
          <w:highlight w:val="none"/>
          <w:u w:val="single"/>
        </w:rPr>
        <w:t xml:space="preserve">                  </w:t>
      </w:r>
      <w:r>
        <w:rPr>
          <w:rFonts w:hint="eastAsia" w:asciiTheme="minorEastAsia" w:hAnsiTheme="minorEastAsia" w:eastAsiaTheme="minorEastAsia" w:cstheme="minorEastAsia"/>
          <w:sz w:val="22"/>
          <w:highlight w:val="none"/>
        </w:rPr>
        <w:t xml:space="preserve">职务：</w:t>
      </w:r>
      <w:r>
        <w:rPr>
          <w:rFonts w:hint="eastAsia" w:asciiTheme="minorEastAsia" w:hAnsiTheme="minorEastAsia" w:eastAsiaTheme="minorEastAsia" w:cstheme="minorEastAsia"/>
          <w:sz w:val="22"/>
          <w:highlight w:val="none"/>
          <w:u w:val="single"/>
        </w:rPr>
        <w:t xml:space="preserve">                  </w:t>
      </w:r>
      <w:r/>
    </w:p>
    <w:p>
      <w:pPr>
        <w:spacing w:before="120" w:line="335" w:lineRule="exact"/>
        <w:tabs>
          <w:tab w:val="left" w:pos="2250" w:leader="none"/>
          <w:tab w:val="left" w:pos="2412" w:leader="none"/>
          <w:tab w:val="left" w:pos="3883" w:leader="none"/>
          <w:tab w:val="left" w:pos="5352" w:leader="none"/>
          <w:tab w:val="left" w:pos="6821" w:leader="none"/>
        </w:tabs>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系</w:t>
      </w:r>
      <w:r>
        <w:rPr>
          <w:rFonts w:hint="eastAsia" w:asciiTheme="minorEastAsia" w:hAnsiTheme="minorEastAsia" w:eastAsiaTheme="minorEastAsia" w:cstheme="minorEastAsia"/>
          <w:sz w:val="22"/>
          <w:highlight w:val="none"/>
          <w:u w:val="single"/>
        </w:rPr>
        <w:t xml:space="preserve">（投标人名称）</w:t>
      </w:r>
      <w:r>
        <w:rPr>
          <w:rFonts w:hint="eastAsia" w:asciiTheme="minorEastAsia" w:hAnsiTheme="minorEastAsia" w:eastAsiaTheme="minorEastAsia" w:cstheme="minorEastAsia"/>
          <w:sz w:val="22"/>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ind w:right="-46"/>
        <w:spacing w:before="120" w:line="583" w:lineRule="auto"/>
        <w:tabs>
          <w:tab w:val="left" w:pos="567" w:leader="none"/>
        </w:tabs>
        <w:rPr>
          <w:rFonts w:asciiTheme="minorEastAsia" w:hAnsiTheme="minorEastAsia" w:eastAsiaTheme="minorEastAsia" w:cstheme="minorEastAsia"/>
          <w:spacing w:val="-3"/>
          <w:sz w:val="22"/>
          <w:highlight w:val="none"/>
        </w:rPr>
      </w:pPr>
      <w:r>
        <w:rPr>
          <w:rFonts w:hint="eastAsia" w:asciiTheme="minorEastAsia" w:hAnsiTheme="minorEastAsia" w:eastAsiaTheme="minorEastAsia" w:cstheme="minorEastAsia"/>
          <w:spacing w:val="-3"/>
          <w:sz w:val="22"/>
          <w:highlight w:val="none"/>
        </w:rPr>
        <w:t xml:space="preserve">法</w:t>
      </w:r>
      <w:r>
        <w:rPr>
          <w:rFonts w:hint="eastAsia" w:asciiTheme="minorEastAsia" w:hAnsiTheme="minorEastAsia" w:eastAsiaTheme="minorEastAsia" w:cstheme="minorEastAsia"/>
          <w:sz w:val="22"/>
          <w:highlight w:val="none"/>
        </w:rPr>
        <w:t xml:space="preserve">定</w:t>
      </w:r>
      <w:r>
        <w:rPr>
          <w:rFonts w:hint="eastAsia" w:asciiTheme="minorEastAsia" w:hAnsiTheme="minorEastAsia" w:eastAsiaTheme="minorEastAsia" w:cstheme="minorEastAsia"/>
          <w:spacing w:val="-3"/>
          <w:sz w:val="22"/>
          <w:highlight w:val="none"/>
        </w:rPr>
        <w:t xml:space="preserve">代</w:t>
      </w:r>
      <w:r>
        <w:rPr>
          <w:rFonts w:hint="eastAsia" w:asciiTheme="minorEastAsia" w:hAnsiTheme="minorEastAsia" w:eastAsiaTheme="minorEastAsia" w:cstheme="minorEastAsia"/>
          <w:sz w:val="22"/>
          <w:highlight w:val="none"/>
        </w:rPr>
        <w:t xml:space="preserve">表</w:t>
      </w:r>
      <w:r>
        <w:rPr>
          <w:rFonts w:hint="eastAsia" w:asciiTheme="minorEastAsia" w:hAnsiTheme="minorEastAsia" w:eastAsiaTheme="minorEastAsia" w:cstheme="minorEastAsia"/>
          <w:spacing w:val="-3"/>
          <w:sz w:val="22"/>
          <w:highlight w:val="none"/>
        </w:rPr>
        <w:t xml:space="preserve">人</w:t>
      </w:r>
      <w:r>
        <w:rPr>
          <w:rFonts w:hint="eastAsia" w:asciiTheme="minorEastAsia" w:hAnsiTheme="minorEastAsia" w:eastAsiaTheme="minorEastAsia" w:cstheme="minorEastAsia"/>
          <w:sz w:val="22"/>
          <w:highlight w:val="none"/>
        </w:rPr>
        <w:t xml:space="preserve">（</w:t>
      </w:r>
      <w:r>
        <w:rPr>
          <w:rFonts w:hint="eastAsia" w:asciiTheme="minorEastAsia" w:hAnsiTheme="minorEastAsia" w:eastAsiaTheme="minorEastAsia" w:cstheme="minorEastAsia"/>
          <w:spacing w:val="-3"/>
          <w:sz w:val="22"/>
          <w:highlight w:val="none"/>
        </w:rPr>
        <w:t xml:space="preserve">单</w:t>
      </w:r>
      <w:r>
        <w:rPr>
          <w:rFonts w:hint="eastAsia" w:asciiTheme="minorEastAsia" w:hAnsiTheme="minorEastAsia" w:eastAsiaTheme="minorEastAsia" w:cstheme="minorEastAsia"/>
          <w:sz w:val="22"/>
          <w:highlight w:val="none"/>
        </w:rPr>
        <w:t xml:space="preserve">位</w:t>
      </w:r>
      <w:r>
        <w:rPr>
          <w:rFonts w:hint="eastAsia" w:asciiTheme="minorEastAsia" w:hAnsiTheme="minorEastAsia" w:eastAsiaTheme="minorEastAsia" w:cstheme="minorEastAsia"/>
          <w:spacing w:val="-3"/>
          <w:sz w:val="22"/>
          <w:highlight w:val="none"/>
        </w:rPr>
        <w:t xml:space="preserve">负</w:t>
      </w:r>
      <w:r>
        <w:rPr>
          <w:rFonts w:hint="eastAsia" w:asciiTheme="minorEastAsia" w:hAnsiTheme="minorEastAsia" w:eastAsiaTheme="minorEastAsia" w:cstheme="minorEastAsia"/>
          <w:sz w:val="22"/>
          <w:highlight w:val="none"/>
        </w:rPr>
        <w:t xml:space="preserve">责人</w:t>
      </w:r>
      <w:r>
        <w:rPr>
          <w:rFonts w:hint="eastAsia" w:asciiTheme="minorEastAsia" w:hAnsiTheme="minorEastAsia" w:eastAsiaTheme="minorEastAsia" w:cstheme="minorEastAsia"/>
          <w:spacing w:val="-3"/>
          <w:sz w:val="22"/>
          <w:highlight w:val="none"/>
        </w:rPr>
        <w:t xml:space="preserve">）有效期内的身份证正反面电子件：</w:t>
      </w:r>
      <w:r/>
    </w:p>
    <w:tbl>
      <w:tblPr>
        <w:tblStyle w:val="8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heme="minorEastAsia" w:hAnsiTheme="minorEastAsia" w:eastAsiaTheme="minorEastAsia" w:cstheme="minorEastAsia"/>
                <w:sz w:val="22"/>
                <w:szCs w:val="18"/>
                <w:highlight w:val="none"/>
              </w:rPr>
            </w:pPr>
            <w:r>
              <w:rPr>
                <w:rFonts w:asciiTheme="minorEastAsia" w:hAnsiTheme="minorEastAsia" w:eastAsiaTheme="minorEastAsia" w:cstheme="minorEastAsia"/>
                <w:sz w:val="22"/>
                <w:szCs w:val="18"/>
                <w:highlight w:val="none"/>
              </w:rPr>
            </w:r>
            <w:r/>
          </w:p>
          <w:p>
            <w:pPr>
              <w:jc w:val="left"/>
              <w:spacing w:line="360" w:lineRule="auto"/>
              <w:tabs>
                <w:tab w:val="left" w:pos="5580" w:leader="none"/>
              </w:tabs>
              <w:rPr>
                <w:rFonts w:asciiTheme="minorEastAsia" w:hAnsiTheme="minorEastAsia" w:eastAsiaTheme="minorEastAsia" w:cstheme="minorEastAsia"/>
                <w:sz w:val="22"/>
                <w:szCs w:val="18"/>
                <w:highlight w:val="none"/>
              </w:rPr>
            </w:pPr>
            <w:r>
              <w:rPr>
                <w:rFonts w:asciiTheme="minorEastAsia" w:hAnsiTheme="minorEastAsia" w:eastAsiaTheme="minorEastAsia" w:cstheme="minorEastAsia"/>
                <w:sz w:val="22"/>
                <w:szCs w:val="18"/>
                <w:highlight w:val="none"/>
              </w:rPr>
            </w:r>
            <w:r/>
          </w:p>
          <w:p>
            <w:pPr>
              <w:jc w:val="left"/>
              <w:spacing w:line="360" w:lineRule="auto"/>
              <w:tabs>
                <w:tab w:val="left" w:pos="5580" w:leader="none"/>
              </w:tabs>
              <w:rPr>
                <w:rFonts w:asciiTheme="minorEastAsia" w:hAnsiTheme="minorEastAsia" w:eastAsiaTheme="minorEastAsia" w:cstheme="minorEastAsia"/>
                <w:sz w:val="22"/>
                <w:szCs w:val="18"/>
                <w:highlight w:val="none"/>
              </w:rPr>
            </w:pPr>
            <w:r>
              <w:rPr>
                <w:rFonts w:asciiTheme="minorEastAsia" w:hAnsiTheme="minorEastAsia" w:eastAsiaTheme="minorEastAsia" w:cstheme="minorEastAsia"/>
                <w:sz w:val="22"/>
                <w:szCs w:val="18"/>
                <w:highlight w:val="none"/>
              </w:rPr>
            </w:r>
            <w:r/>
          </w:p>
        </w:tc>
        <w:tc>
          <w:tcPr>
            <w:tcW w:w="4536" w:type="dxa"/>
            <w:textDirection w:val="lrTb"/>
            <w:noWrap w:val="false"/>
          </w:tcPr>
          <w:p>
            <w:pPr>
              <w:jc w:val="left"/>
              <w:spacing w:line="360" w:lineRule="auto"/>
              <w:tabs>
                <w:tab w:val="left" w:pos="5580" w:leader="none"/>
              </w:tabs>
              <w:rPr>
                <w:rFonts w:asciiTheme="minorEastAsia" w:hAnsiTheme="minorEastAsia" w:eastAsiaTheme="minorEastAsia" w:cstheme="minorEastAsia"/>
                <w:sz w:val="22"/>
                <w:szCs w:val="18"/>
                <w:highlight w:val="none"/>
              </w:rPr>
            </w:pPr>
            <w:r>
              <w:rPr>
                <w:rFonts w:asciiTheme="minorEastAsia" w:hAnsiTheme="minorEastAsia" w:eastAsiaTheme="minorEastAsia" w:cstheme="minorEastAsia"/>
                <w:sz w:val="22"/>
                <w:szCs w:val="18"/>
                <w:highlight w:val="none"/>
              </w:rPr>
            </w:r>
            <w:r/>
          </w:p>
          <w:p>
            <w:pPr>
              <w:jc w:val="left"/>
              <w:spacing w:line="360" w:lineRule="auto"/>
              <w:tabs>
                <w:tab w:val="left" w:pos="5580" w:leader="none"/>
              </w:tabs>
              <w:rPr>
                <w:rFonts w:asciiTheme="minorEastAsia" w:hAnsiTheme="minorEastAsia" w:eastAsiaTheme="minorEastAsia" w:cstheme="minorEastAsia"/>
                <w:sz w:val="22"/>
                <w:szCs w:val="18"/>
                <w:highlight w:val="none"/>
              </w:rPr>
            </w:pPr>
            <w:r>
              <w:rPr>
                <w:rFonts w:asciiTheme="minorEastAsia" w:hAnsiTheme="minorEastAsia" w:eastAsiaTheme="minorEastAsia" w:cstheme="minorEastAsia"/>
                <w:sz w:val="22"/>
                <w:szCs w:val="18"/>
                <w:highlight w:val="none"/>
              </w:rPr>
            </w:r>
            <w:r/>
          </w:p>
          <w:p>
            <w:pPr>
              <w:jc w:val="left"/>
              <w:spacing w:line="360" w:lineRule="auto"/>
              <w:tabs>
                <w:tab w:val="left" w:pos="5580" w:leader="none"/>
              </w:tabs>
              <w:rPr>
                <w:rFonts w:asciiTheme="minorEastAsia" w:hAnsiTheme="minorEastAsia" w:eastAsiaTheme="minorEastAsia" w:cstheme="minorEastAsia"/>
                <w:sz w:val="22"/>
                <w:szCs w:val="18"/>
                <w:highlight w:val="none"/>
              </w:rPr>
            </w:pPr>
            <w:r>
              <w:rPr>
                <w:rFonts w:asciiTheme="minorEastAsia" w:hAnsiTheme="minorEastAsia" w:eastAsiaTheme="minorEastAsia" w:cstheme="minorEastAsia"/>
                <w:sz w:val="22"/>
                <w:szCs w:val="18"/>
                <w:highlight w:val="none"/>
              </w:rPr>
            </w:r>
            <w:r/>
          </w:p>
        </w:tc>
      </w:tr>
    </w:tbl>
    <w:p>
      <w:pPr>
        <w:ind w:right="4305"/>
        <w:spacing w:before="120" w:line="583" w:lineRule="auto"/>
        <w:tabs>
          <w:tab w:val="left" w:pos="567" w:leader="none"/>
        </w:tabs>
        <w:rPr>
          <w:rFonts w:asciiTheme="minorEastAsia" w:hAnsiTheme="minorEastAsia" w:eastAsiaTheme="minorEastAsia" w:cstheme="minorEastAsia"/>
          <w:spacing w:val="-3"/>
          <w:sz w:val="22"/>
          <w:highlight w:val="none"/>
        </w:rPr>
      </w:pPr>
      <w:r>
        <w:rPr>
          <w:rFonts w:asciiTheme="minorEastAsia" w:hAnsiTheme="minorEastAsia" w:eastAsiaTheme="minorEastAsia" w:cstheme="minorEastAsia"/>
          <w:spacing w:val="-3"/>
          <w:sz w:val="22"/>
          <w:highlight w:val="none"/>
        </w:rPr>
      </w:r>
      <w:r/>
    </w:p>
    <w:p>
      <w:pPr>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投标人名称（加盖公章）</w:t>
      </w:r>
      <w:r>
        <w:rPr>
          <w:rFonts w:hint="eastAsia" w:asciiTheme="minorEastAsia" w:hAnsiTheme="minorEastAsia" w:eastAsiaTheme="minorEastAsia" w:cstheme="minorEastAsia"/>
          <w:sz w:val="22"/>
          <w:highlight w:val="none"/>
          <w:lang w:val="zh-CN"/>
        </w:rPr>
        <w:t xml:space="preserve">：</w:t>
      </w:r>
      <w:r/>
    </w:p>
    <w:p>
      <w:pPr>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pacing w:val="-3"/>
          <w:sz w:val="22"/>
          <w:highlight w:val="none"/>
        </w:rPr>
        <w:t xml:space="preserve">法定代表人（</w:t>
      </w:r>
      <w:r>
        <w:rPr>
          <w:rFonts w:hint="eastAsia" w:asciiTheme="minorEastAsia" w:hAnsiTheme="minorEastAsia" w:eastAsiaTheme="minorEastAsia" w:cstheme="minorEastAsia"/>
          <w:sz w:val="22"/>
          <w:highlight w:val="none"/>
        </w:rPr>
        <w:t xml:space="preserve">单位负责人</w:t>
      </w:r>
      <w:r>
        <w:rPr>
          <w:rFonts w:hint="eastAsia" w:asciiTheme="minorEastAsia" w:hAnsiTheme="minorEastAsia" w:eastAsiaTheme="minorEastAsia" w:cstheme="minorEastAsia"/>
          <w:spacing w:val="-3"/>
          <w:sz w:val="22"/>
          <w:highlight w:val="none"/>
        </w:rPr>
        <w:t xml:space="preserve">）（签字、签章或印鉴）：</w:t>
      </w:r>
      <w:r/>
    </w:p>
    <w:p>
      <w:pPr>
        <w:spacing w:line="360" w:lineRule="auto"/>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日期：   年   月   日</w:t>
      </w:r>
      <w:r/>
    </w:p>
    <w:p>
      <w:pPr>
        <w:spacing w:line="360" w:lineRule="auto"/>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p>
      <w:pPr>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ind w:firstLine="420"/>
        <w:rPr>
          <w:rFonts w:asciiTheme="minorEastAsia" w:hAnsiTheme="minorEastAsia" w:eastAsiaTheme="minorEastAsia" w:cstheme="minorEastAsia"/>
          <w:i/>
          <w:color w:val="000000"/>
          <w:sz w:val="24"/>
          <w:szCs w:val="24"/>
          <w:highlight w:val="none"/>
          <w:u w:val="single"/>
        </w:rPr>
      </w:pPr>
      <w:r>
        <w:rPr>
          <w:rFonts w:asciiTheme="minorEastAsia" w:hAnsiTheme="minorEastAsia" w:eastAsiaTheme="minorEastAsia" w:cstheme="minorEastAsia"/>
          <w:i/>
          <w:color w:val="000000"/>
          <w:sz w:val="24"/>
          <w:szCs w:val="24"/>
          <w:highlight w:val="none"/>
          <w:u w:val="singl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p>
      <w:pPr>
        <w:pStyle w:val="853"/>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pStyle w:val="853"/>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pStyle w:val="853"/>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pStyle w:val="853"/>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pStyle w:val="853"/>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pStyle w:val="853"/>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pStyle w:val="853"/>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pStyle w:val="853"/>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bookmarkEnd w:id="203"/>
      <w:r/>
      <w:r/>
    </w:p>
    <w:p>
      <w:pPr>
        <w:jc w:val="left"/>
        <w:keepLines/>
        <w:keepNext/>
        <w:spacing w:before="260" w:after="260" w:line="416" w:lineRule="auto"/>
        <w:rPr>
          <w:rFonts w:asciiTheme="minorEastAsia" w:hAnsiTheme="minorEastAsia" w:eastAsiaTheme="minorEastAsia" w:cstheme="minorEastAsia"/>
          <w:b/>
          <w:i/>
          <w:color w:val="000000"/>
          <w:sz w:val="28"/>
          <w:szCs w:val="28"/>
          <w:highlight w:val="none"/>
          <w:u w:val="single"/>
        </w:rPr>
        <w:outlineLvl w:val="0"/>
      </w:pPr>
      <w:r/>
      <w:bookmarkStart w:id="212" w:name="_Toc18727"/>
      <w:r>
        <w:rPr>
          <w:rFonts w:hint="eastAsia" w:asciiTheme="minorEastAsia" w:hAnsiTheme="minorEastAsia" w:eastAsiaTheme="minorEastAsia" w:cstheme="minorEastAsia"/>
          <w:i/>
          <w:iCs/>
          <w:sz w:val="28"/>
          <w:szCs w:val="28"/>
          <w:highlight w:val="none"/>
          <w:u w:val="single"/>
        </w:rPr>
        <w:t xml:space="preserve">十、投标函</w:t>
      </w:r>
      <w:bookmarkEnd w:id="212"/>
      <w:r/>
      <w:r/>
    </w:p>
    <w:p>
      <w:pPr>
        <w:jc w:val="center"/>
        <w:spacing w:line="360" w:lineRule="auto"/>
        <w:tabs>
          <w:tab w:val="left" w:pos="360" w:leader="none"/>
        </w:tabs>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Cs/>
          <w:sz w:val="36"/>
          <w:szCs w:val="28"/>
          <w:highlight w:val="none"/>
        </w:rPr>
        <w:t xml:space="preserve">投标函</w:t>
      </w:r>
      <w:r/>
    </w:p>
    <w:p>
      <w:pPr>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致：连云港市公共资源交易中心</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根据贵方的</w:t>
      </w:r>
      <w:r>
        <w:rPr>
          <w:rFonts w:hint="eastAsia" w:asciiTheme="minorEastAsia" w:hAnsiTheme="minorEastAsia" w:eastAsiaTheme="minorEastAsia" w:cstheme="minorEastAsia"/>
          <w:color w:val="000000"/>
          <w:sz w:val="22"/>
          <w:highlight w:val="none"/>
          <w:lang w:eastAsia="zh-CN"/>
        </w:rPr>
        <w:t xml:space="preserve">JSZC-320793-JSDZ-G2026-0077</w:t>
      </w:r>
      <w:r>
        <w:rPr>
          <w:rFonts w:hint="eastAsia" w:asciiTheme="minorEastAsia" w:hAnsiTheme="minorEastAsia" w:eastAsiaTheme="minorEastAsia" w:cstheme="minorEastAsia"/>
          <w:color w:val="000000"/>
          <w:sz w:val="22"/>
          <w:highlight w:val="none"/>
        </w:rPr>
        <w:t xml:space="preserve">_________________号招标文件，正式授权下述签字人_________________</w:t>
      </w:r>
      <w:r>
        <w:rPr>
          <w:rFonts w:hint="eastAsia" w:asciiTheme="minorEastAsia" w:hAnsiTheme="minorEastAsia" w:eastAsiaTheme="minorEastAsia" w:cstheme="minorEastAsia"/>
          <w:color w:val="000000"/>
          <w:sz w:val="22"/>
          <w:highlight w:val="none"/>
          <w:lang w:eastAsia="zh-CN"/>
        </w:rPr>
        <w:t xml:space="preserve">（</w:t>
      </w:r>
      <w:r>
        <w:rPr>
          <w:rFonts w:hint="eastAsia" w:asciiTheme="minorEastAsia" w:hAnsiTheme="minorEastAsia" w:eastAsiaTheme="minorEastAsia" w:cstheme="minorEastAsia"/>
          <w:color w:val="000000"/>
          <w:sz w:val="22"/>
          <w:highlight w:val="none"/>
        </w:rPr>
        <w:t xml:space="preserve">姓名</w:t>
      </w:r>
      <w:r>
        <w:rPr>
          <w:rFonts w:hint="eastAsia" w:asciiTheme="minorEastAsia" w:hAnsiTheme="minorEastAsia" w:eastAsiaTheme="minorEastAsia" w:cstheme="minorEastAsia"/>
          <w:color w:val="000000"/>
          <w:sz w:val="22"/>
          <w:highlight w:val="none"/>
          <w:lang w:eastAsia="zh-CN"/>
        </w:rPr>
        <w:t xml:space="preserve">）</w:t>
      </w:r>
      <w:r>
        <w:rPr>
          <w:rFonts w:hint="eastAsia" w:asciiTheme="minorEastAsia" w:hAnsiTheme="minorEastAsia" w:eastAsiaTheme="minorEastAsia" w:cstheme="minorEastAsia"/>
          <w:color w:val="000000"/>
          <w:sz w:val="22"/>
          <w:highlight w:val="none"/>
        </w:rPr>
        <w:t xml:space="preserve">代表我方______________（投标人的名称），全权处理本次项目投标的有关事宜。</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据此函，__________签字人兹宣布同意如下：</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1.按招标文件规定的各项要求，向买方提供所需货物（包含与货物相关的工程、服务）。</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2.我们完全理解贵方不一定将合同授予最低报价的投标人。</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3.我们已详细审核全部招标文件及其有效补充文件，我们知道必须放弃提出含糊不清或误解问题的权利。</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4.我们同意从规定的开标日期起遵循本投标文件，并在规定的投标有效期期满之前均具有约束力。</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6.一旦我方中标</w:t>
      </w:r>
      <w:r>
        <w:rPr>
          <w:rFonts w:hint="eastAsia" w:asciiTheme="minorEastAsia" w:hAnsiTheme="minorEastAsia" w:eastAsiaTheme="minorEastAsia" w:cstheme="minorEastAsia"/>
          <w:color w:val="000000"/>
          <w:sz w:val="22"/>
          <w:highlight w:val="none"/>
          <w:lang w:eastAsia="zh-CN"/>
        </w:rPr>
        <w:t xml:space="preserve">，</w:t>
      </w:r>
      <w:r>
        <w:rPr>
          <w:rFonts w:hint="eastAsia" w:asciiTheme="minorEastAsia" w:hAnsiTheme="minorEastAsia" w:eastAsiaTheme="minorEastAsia" w:cstheme="minorEastAsia"/>
          <w:color w:val="000000"/>
          <w:sz w:val="22"/>
          <w:highlight w:val="none"/>
        </w:rPr>
        <w:t xml:space="preserve">我方将根据招标文件的规定，严格履行合同的责任和义务</w:t>
      </w:r>
      <w:r>
        <w:rPr>
          <w:rFonts w:hint="eastAsia" w:asciiTheme="minorEastAsia" w:hAnsiTheme="minorEastAsia" w:eastAsiaTheme="minorEastAsia" w:cstheme="minorEastAsia"/>
          <w:color w:val="000000"/>
          <w:sz w:val="22"/>
          <w:highlight w:val="none"/>
          <w:lang w:eastAsia="zh-CN"/>
        </w:rPr>
        <w:t xml:space="preserve">，</w:t>
      </w:r>
      <w:r>
        <w:rPr>
          <w:rFonts w:hint="eastAsia" w:asciiTheme="minorEastAsia" w:hAnsiTheme="minorEastAsia" w:eastAsiaTheme="minorEastAsia" w:cstheme="minorEastAsia"/>
          <w:color w:val="000000"/>
          <w:sz w:val="22"/>
          <w:highlight w:val="none"/>
        </w:rPr>
        <w:t xml:space="preserve">并保证在招标文件规定的时间完成项目，交付买方验收、使用。</w:t>
      </w:r>
      <w:r/>
    </w:p>
    <w:p>
      <w:pPr>
        <w:ind w:firstLine="480"/>
        <w:jc w:val="left"/>
        <w:spacing w:line="500" w:lineRule="exact"/>
        <w:rPr>
          <w:rFonts w:hint="eastAsia" w:asciiTheme="minorEastAsia" w:hAnsiTheme="minorEastAsia" w:eastAsiaTheme="minorEastAsia" w:cstheme="minorEastAsia"/>
          <w:color w:val="000000"/>
          <w:sz w:val="22"/>
          <w:highlight w:val="none"/>
          <w:lang w:val="en-US" w:eastAsia="zh-CN"/>
        </w:rPr>
      </w:pPr>
      <w:r>
        <w:rPr>
          <w:rFonts w:hint="eastAsia" w:asciiTheme="minorEastAsia" w:hAnsiTheme="minorEastAsia" w:eastAsiaTheme="minorEastAsia" w:cstheme="minorEastAsia"/>
          <w:color w:val="000000"/>
          <w:sz w:val="22"/>
          <w:highlight w:val="none"/>
          <w:lang w:val="en-US" w:eastAsia="zh-CN"/>
        </w:rPr>
        <w:t xml:space="preserve">7.</w:t>
      </w:r>
      <w:r>
        <w:rPr>
          <w:rFonts w:hint="eastAsia" w:asciiTheme="minorEastAsia" w:hAnsiTheme="minorEastAsia" w:eastAsiaTheme="minorEastAsia" w:cstheme="minorEastAsia"/>
          <w:color w:val="000000"/>
          <w:sz w:val="22"/>
          <w:highlight w:val="none"/>
        </w:rPr>
        <w:t xml:space="preserve">一旦我方中标</w:t>
      </w:r>
      <w:r>
        <w:rPr>
          <w:rFonts w:hint="eastAsia" w:asciiTheme="minorEastAsia" w:hAnsiTheme="minorEastAsia" w:eastAsiaTheme="minorEastAsia" w:cstheme="minorEastAsia"/>
          <w:color w:val="000000"/>
          <w:sz w:val="22"/>
          <w:highlight w:val="none"/>
          <w:lang w:eastAsia="zh-CN"/>
        </w:rPr>
        <w:t xml:space="preserve">，我方承诺</w:t>
      </w:r>
      <w:r>
        <w:rPr>
          <w:rFonts w:hint="eastAsia" w:asciiTheme="minorEastAsia" w:hAnsiTheme="minorEastAsia" w:eastAsiaTheme="minorEastAsia" w:cstheme="minorEastAsia"/>
          <w:color w:val="000000"/>
          <w:sz w:val="22"/>
          <w:highlight w:val="none"/>
          <w:lang w:val="en-US" w:eastAsia="zh-CN"/>
        </w:rPr>
        <w:t xml:space="preserve">中标后绝不存在转包行为。</w:t>
      </w:r>
      <w:r/>
    </w:p>
    <w:p>
      <w:pPr>
        <w:ind w:firstLine="480"/>
        <w:jc w:val="left"/>
        <w:spacing w:line="500" w:lineRule="exact"/>
        <w:rPr>
          <w:rFonts w:hint="default" w:asciiTheme="minorEastAsia" w:hAnsiTheme="minorEastAsia" w:eastAsiaTheme="minorEastAsia" w:cstheme="minorEastAsia"/>
          <w:color w:val="000000"/>
          <w:sz w:val="22"/>
          <w:highlight w:val="none"/>
          <w:lang w:val="en-US" w:eastAsia="zh-CN"/>
        </w:rPr>
      </w:pPr>
      <w:r>
        <w:rPr>
          <w:rFonts w:hint="eastAsia" w:asciiTheme="minorEastAsia" w:hAnsiTheme="minorEastAsia" w:eastAsiaTheme="minorEastAsia" w:cstheme="minorEastAsia"/>
          <w:color w:val="000000"/>
          <w:sz w:val="22"/>
          <w:highlight w:val="none"/>
          <w:lang w:val="en-US" w:eastAsia="zh-CN"/>
        </w:rPr>
        <w:t xml:space="preserve">8.我方承诺本项目所投产品均非进口产品。</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lang w:val="en-US" w:eastAsia="zh-CN"/>
        </w:rPr>
        <w:t xml:space="preserve">9</w:t>
      </w:r>
      <w:r>
        <w:rPr>
          <w:rFonts w:hint="eastAsia" w:asciiTheme="minorEastAsia" w:hAnsiTheme="minorEastAsia" w:eastAsiaTheme="minorEastAsia" w:cstheme="minorEastAsia"/>
          <w:color w:val="000000"/>
          <w:sz w:val="22"/>
          <w:highlight w:val="none"/>
        </w:rPr>
        <w:t xml:space="preserve">.与本投标有关的正式通讯地址为：</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地        址：</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邮        编：</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电        话：</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传        真：</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投标人开户行：</w:t>
      </w:r>
      <w:r/>
    </w:p>
    <w:p>
      <w:pPr>
        <w:ind w:firstLine="480"/>
        <w:jc w:val="lef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账        号： </w:t>
      </w:r>
      <w:r/>
    </w:p>
    <w:p>
      <w:pPr>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投标人（盖章）：</w:t>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法定代表人</w:t>
      </w:r>
      <w:r>
        <w:rPr>
          <w:rFonts w:hint="eastAsia" w:asciiTheme="minorEastAsia" w:hAnsiTheme="minorEastAsia" w:eastAsiaTheme="minorEastAsia" w:cstheme="minorEastAsia"/>
          <w:sz w:val="22"/>
          <w:highlight w:val="none"/>
        </w:rPr>
        <w:t xml:space="preserve">（单位负责人）</w:t>
      </w:r>
      <w:r>
        <w:rPr>
          <w:rFonts w:hint="eastAsia" w:asciiTheme="minorEastAsia" w:hAnsiTheme="minorEastAsia" w:eastAsiaTheme="minorEastAsia" w:cstheme="minorEastAsia"/>
          <w:color w:val="000000"/>
          <w:sz w:val="22"/>
          <w:highlight w:val="none"/>
        </w:rPr>
        <w:t xml:space="preserve">或委托代理人（签字或盖章）：</w:t>
      </w:r>
      <w:r/>
    </w:p>
    <w:p>
      <w:pPr>
        <w:ind w:firstLine="480"/>
        <w:spacing w:line="5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2"/>
          <w:highlight w:val="none"/>
        </w:rPr>
        <w:t xml:space="preserve">日期：    年     月     日</w:t>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jc w:val="left"/>
        <w:keepLines/>
        <w:keepNext/>
        <w:spacing w:before="360" w:after="200" w:line="360" w:lineRule="auto"/>
        <w:rPr>
          <w:rFonts w:asciiTheme="minorEastAsia" w:hAnsiTheme="minorEastAsia" w:eastAsiaTheme="minorEastAsia" w:cstheme="minorEastAsia"/>
          <w:sz w:val="28"/>
          <w:szCs w:val="28"/>
          <w:highlight w:val="none"/>
        </w:rPr>
        <w:outlineLvl w:val="0"/>
      </w:pPr>
      <w:r/>
      <w:bookmarkStart w:id="213" w:name="_Toc21514"/>
      <w:r>
        <w:rPr>
          <w:rFonts w:hint="eastAsia" w:asciiTheme="minorEastAsia" w:hAnsiTheme="minorEastAsia" w:eastAsiaTheme="minorEastAsia" w:cstheme="minorEastAsia"/>
          <w:sz w:val="28"/>
          <w:szCs w:val="28"/>
          <w:highlight w:val="none"/>
        </w:rPr>
        <w:t xml:space="preserve">十一、中小企业声明函（货物）（分包号：**）</w:t>
      </w:r>
      <w:bookmarkEnd w:id="213"/>
      <w:r/>
      <w:r/>
    </w:p>
    <w:p>
      <w:pPr>
        <w:pStyle w:val="843"/>
        <w:ind w:left="0" w:right="0" w:firstLine="240"/>
        <w:jc w:val="center"/>
        <w:keepLines w:val="0"/>
        <w:keepNext w:val="0"/>
        <w:spacing w:before="0" w:beforeAutospacing="0" w:after="0" w:afterAutospacing="0" w:line="0" w:lineRule="atLeast"/>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bookmarkStart w:id="214" w:name="_Toc10445"/>
      <w:r>
        <w:rPr>
          <w:rFonts w:hint="eastAsia" w:ascii="宋体" w:hAnsi="宋体" w:eastAsia="宋体" w:cs="宋体"/>
          <w:b/>
          <w:bCs/>
          <w:color w:val="000000"/>
          <w:sz w:val="22"/>
          <w:szCs w:val="22"/>
        </w:rPr>
        <w:t xml:space="preserve">中小微企业声明函（货物类项目）（采购包号：**）</w:t>
      </w:r>
      <w:r/>
    </w:p>
    <w:p>
      <w:pPr>
        <w:pStyle w:val="843"/>
        <w:ind w:left="0" w:firstLine="240"/>
        <w:jc w:val="center"/>
        <w:keepLines w:val="0"/>
        <w:keepNext w:val="0"/>
        <w:spacing w:before="0" w:beforeAutospacing="0" w:after="0" w:afterAutospacing="0" w:line="0" w:lineRule="atLeast"/>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rPr>
        <w:t xml:space="preserve"> </w:t>
      </w:r>
      <w:r/>
    </w:p>
    <w:p>
      <w:pPr>
        <w:pStyle w:val="843"/>
        <w:ind w:left="0" w:firstLine="36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本公司（联合体）郑重声明，根据《政府采购促进中小企业发展管理办法》(财库〔2020〕46号)的规定，本公司（联合体）参加</w:t>
      </w:r>
      <w:r>
        <w:rPr>
          <w:rFonts w:hint="eastAsia" w:ascii="宋体" w:hAnsi="宋体" w:eastAsia="宋体" w:cs="宋体"/>
          <w:color w:val="000000"/>
          <w:sz w:val="22"/>
          <w:szCs w:val="22"/>
          <w:u w:val="single"/>
        </w:rPr>
        <w:t xml:space="preserve">（单位名称）</w:t>
      </w:r>
      <w:r>
        <w:rPr>
          <w:rFonts w:hint="eastAsia" w:ascii="宋体" w:hAnsi="宋体" w:eastAsia="宋体" w:cs="宋体"/>
          <w:color w:val="000000"/>
          <w:sz w:val="22"/>
          <w:szCs w:val="22"/>
        </w:rPr>
        <w:t xml:space="preserve">采购编号为</w:t>
      </w:r>
      <w:r>
        <w:rPr>
          <w:rFonts w:hint="eastAsia" w:ascii="宋体" w:hAnsi="宋体" w:eastAsia="宋体" w:cs="宋体"/>
          <w:color w:val="000000"/>
          <w:sz w:val="22"/>
          <w:szCs w:val="22"/>
          <w:u w:val="single"/>
        </w:rPr>
        <w:t xml:space="preserve">（采购编号）</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项目（项目名称）（采购包号：**）的采购活动，提供的货物全部由符合政策要求的中小微企业制造。相关企业（含联合体中的中小微企业、签订采购包意向协议的中小微企业）的具体情况如下：</w:t>
      </w:r>
      <w:r/>
    </w:p>
    <w:p>
      <w:pPr>
        <w:pStyle w:val="843"/>
        <w:ind w:left="0" w:firstLine="36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（标的名称）</w:t>
      </w:r>
      <w:r>
        <w:rPr>
          <w:rFonts w:hint="eastAsia" w:ascii="宋体" w:hAnsi="宋体" w:eastAsia="宋体" w:cs="宋体"/>
          <w:i/>
          <w:iCs/>
          <w:color w:val="000000"/>
          <w:sz w:val="22"/>
          <w:szCs w:val="22"/>
        </w:rPr>
        <w:t xml:space="preserve">，</w:t>
      </w:r>
      <w:r>
        <w:rPr>
          <w:rFonts w:hint="eastAsia" w:ascii="宋体" w:hAnsi="宋体" w:eastAsia="宋体" w:cs="宋体"/>
          <w:color w:val="000000"/>
          <w:sz w:val="22"/>
          <w:szCs w:val="22"/>
        </w:rPr>
        <w:t xml:space="preserve">属于</w:t>
      </w:r>
      <w:r>
        <w:rPr>
          <w:rFonts w:hint="eastAsia" w:ascii="宋体" w:hAnsi="宋体" w:eastAsia="宋体" w:cs="宋体"/>
          <w:color w:val="000000"/>
          <w:sz w:val="22"/>
          <w:szCs w:val="22"/>
          <w:u w:val="single"/>
        </w:rPr>
        <w:t xml:space="preserve">（供应商填写招标文件中明确的所属行业）</w:t>
      </w:r>
      <w:r>
        <w:rPr>
          <w:rFonts w:hint="eastAsia" w:ascii="宋体" w:hAnsi="宋体" w:eastAsia="宋体" w:cs="宋体"/>
          <w:color w:val="000000"/>
          <w:sz w:val="22"/>
          <w:szCs w:val="22"/>
        </w:rPr>
        <w:t xml:space="preserve">行业；投标产品制造商为</w:t>
      </w:r>
      <w:r>
        <w:rPr>
          <w:rFonts w:hint="eastAsia" w:ascii="宋体" w:hAnsi="宋体" w:eastAsia="宋体" w:cs="宋体"/>
          <w:color w:val="000000"/>
          <w:sz w:val="22"/>
          <w:szCs w:val="22"/>
          <w:u w:val="single"/>
        </w:rPr>
        <w:t xml:space="preserve">（企业名称）</w:t>
      </w:r>
      <w:r>
        <w:rPr>
          <w:rFonts w:hint="eastAsia" w:ascii="宋体" w:hAnsi="宋体" w:eastAsia="宋体" w:cs="宋体"/>
          <w:color w:val="000000"/>
          <w:sz w:val="22"/>
          <w:szCs w:val="22"/>
        </w:rPr>
        <w:t xml:space="preserve">，从业人员</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人，营业收入为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万元，资产总额为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万元，属于</w:t>
      </w:r>
      <w:r>
        <w:rPr>
          <w:rFonts w:hint="eastAsia" w:ascii="宋体" w:hAnsi="宋体" w:eastAsia="宋体" w:cs="宋体"/>
          <w:color w:val="000000"/>
          <w:sz w:val="22"/>
          <w:szCs w:val="22"/>
          <w:u w:val="single"/>
        </w:rPr>
        <w:t xml:space="preserve">（□中型企业 □小型企业 □微型企业）；</w:t>
      </w:r>
      <w:r/>
    </w:p>
    <w:p>
      <w:pPr>
        <w:pStyle w:val="843"/>
        <w:ind w:left="0" w:firstLine="36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（标的名称）</w:t>
      </w:r>
      <w:r>
        <w:rPr>
          <w:rFonts w:hint="eastAsia" w:ascii="宋体" w:hAnsi="宋体" w:eastAsia="宋体" w:cs="宋体"/>
          <w:i/>
          <w:iCs/>
          <w:color w:val="000000"/>
          <w:sz w:val="22"/>
          <w:szCs w:val="22"/>
        </w:rPr>
        <w:t xml:space="preserve">，</w:t>
      </w:r>
      <w:r>
        <w:rPr>
          <w:rFonts w:hint="eastAsia" w:ascii="宋体" w:hAnsi="宋体" w:eastAsia="宋体" w:cs="宋体"/>
          <w:color w:val="000000"/>
          <w:sz w:val="22"/>
          <w:szCs w:val="22"/>
        </w:rPr>
        <w:t xml:space="preserve">属于</w:t>
      </w:r>
      <w:r>
        <w:rPr>
          <w:rFonts w:hint="eastAsia" w:ascii="宋体" w:hAnsi="宋体" w:eastAsia="宋体" w:cs="宋体"/>
          <w:color w:val="000000"/>
          <w:sz w:val="22"/>
          <w:szCs w:val="22"/>
          <w:u w:val="single"/>
        </w:rPr>
        <w:t xml:space="preserve">（供应商填写招标文件中明确的所属行业）</w:t>
      </w:r>
      <w:r>
        <w:rPr>
          <w:rFonts w:hint="eastAsia" w:ascii="宋体" w:hAnsi="宋体" w:eastAsia="宋体" w:cs="宋体"/>
          <w:color w:val="000000"/>
          <w:sz w:val="22"/>
          <w:szCs w:val="22"/>
        </w:rPr>
        <w:t xml:space="preserve">行业；投标产品制造商为</w:t>
      </w:r>
      <w:r>
        <w:rPr>
          <w:rFonts w:hint="eastAsia" w:ascii="宋体" w:hAnsi="宋体" w:eastAsia="宋体" w:cs="宋体"/>
          <w:color w:val="000000"/>
          <w:sz w:val="22"/>
          <w:szCs w:val="22"/>
          <w:u w:val="single"/>
        </w:rPr>
        <w:t xml:space="preserve">（企业名称）</w:t>
      </w:r>
      <w:r>
        <w:rPr>
          <w:rFonts w:hint="eastAsia" w:ascii="宋体" w:hAnsi="宋体" w:eastAsia="宋体" w:cs="宋体"/>
          <w:color w:val="000000"/>
          <w:sz w:val="22"/>
          <w:szCs w:val="22"/>
        </w:rPr>
        <w:t xml:space="preserve">，从业人员</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人，营业收入为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万元，资产总额为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万元，属于</w:t>
      </w:r>
      <w:r>
        <w:rPr>
          <w:rFonts w:hint="eastAsia" w:ascii="宋体" w:hAnsi="宋体" w:eastAsia="宋体" w:cs="宋体"/>
          <w:color w:val="000000"/>
          <w:sz w:val="22"/>
          <w:szCs w:val="22"/>
          <w:u w:val="single"/>
        </w:rPr>
        <w:t xml:space="preserve">（□中型企业 □小型企业 □微型企业）；</w:t>
      </w:r>
      <w:r/>
    </w:p>
    <w:p>
      <w:pPr>
        <w:pStyle w:val="843"/>
        <w:ind w:left="0" w:firstLine="36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w:t>
      </w:r>
      <w:r/>
    </w:p>
    <w:p>
      <w:pPr>
        <w:pStyle w:val="843"/>
        <w:ind w:left="0" w:firstLine="36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以上企业，不属于大企业的分支机构，不存在控股股东为大企业的情形，也不存在与大企业的负责人为同一人的情形。</w:t>
      </w:r>
      <w:r/>
    </w:p>
    <w:p>
      <w:pPr>
        <w:pStyle w:val="843"/>
        <w:ind w:left="0" w:firstLine="36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本企业对上述声明内容的真实性负责。如有虚假，将依法承担相应责任</w:t>
      </w:r>
      <w:r/>
    </w:p>
    <w:p>
      <w:pPr>
        <w:pStyle w:val="843"/>
        <w:ind w:right="72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rPr>
        <w:t xml:space="preserve"> </w:t>
      </w:r>
      <w:r/>
    </w:p>
    <w:p>
      <w:pPr>
        <w:pStyle w:val="843"/>
        <w:ind w:left="0" w:right="180" w:firstLine="360"/>
        <w:jc w:val="center"/>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             企业名称（加盖CA电子公章）：</w:t>
      </w:r>
      <w:r/>
    </w:p>
    <w:p>
      <w:pPr>
        <w:pStyle w:val="843"/>
        <w:ind w:left="0" w:right="480" w:firstLine="456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日  期：___年____月____日</w:t>
      </w:r>
      <w:r/>
    </w:p>
    <w:p>
      <w:pPr>
        <w:pStyle w:val="843"/>
        <w:jc w:val="both"/>
        <w:keepLines w:val="0"/>
        <w:keepNext w:val="0"/>
        <w:spacing w:before="0" w:beforeAutospacing="0" w:after="0" w:afterAutospacing="0" w:line="0" w:lineRule="atLeast"/>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rPr>
        <w:t xml:space="preserve"> </w:t>
      </w:r>
      <w:r/>
    </w:p>
    <w:p>
      <w:pPr>
        <w:pStyle w:val="843"/>
        <w:ind w:left="0" w:firstLine="480"/>
        <w:jc w:val="both"/>
        <w:keepLines w:val="0"/>
        <w:keepNext w:val="0"/>
        <w:spacing w:before="0" w:beforeAutospacing="0" w:after="0" w:afterAutospacing="0" w:line="0" w:lineRule="atLeast"/>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备注：</w:t>
      </w:r>
      <w:r/>
    </w:p>
    <w:p>
      <w:pPr>
        <w:pStyle w:val="843"/>
        <w:ind w:left="0" w:firstLine="480"/>
        <w:jc w:val="both"/>
        <w:keepLines w:val="0"/>
        <w:keepNext w:val="0"/>
        <w:spacing w:before="0" w:beforeAutospacing="0" w:after="0" w:afterAutospacing="0" w:line="0" w:lineRule="atLeast"/>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1.从业人员、营业收入、资产总额填报上一年度数据，无上一年度数据的新成立企业可不填报。</w:t>
      </w:r>
      <w:r/>
    </w:p>
    <w:p>
      <w:pPr>
        <w:pStyle w:val="843"/>
        <w:ind w:left="0" w:firstLine="480"/>
        <w:jc w:val="both"/>
        <w:keepLines w:val="0"/>
        <w:keepNext w:val="0"/>
        <w:spacing w:before="0" w:beforeAutospacing="0" w:after="0" w:afterAutospacing="0" w:line="0" w:lineRule="atLeast"/>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2.专门面向中小微型企业采购的项目，供应商如不提供此声明函，则不能通过资格审查；非专门面向中小微型企业采购的项目，供应商如不提供此声明函，价格将不做相应扣除。</w:t>
      </w:r>
      <w:r/>
    </w:p>
    <w:p>
      <w:pPr>
        <w:pStyle w:val="843"/>
        <w:ind w:left="540" w:hanging="120"/>
        <w:jc w:val="both"/>
        <w:keepLines w:val="0"/>
        <w:keepNext w:val="0"/>
        <w:spacing w:before="0" w:beforeAutospacing="0" w:after="0" w:afterAutospacing="0" w:line="0" w:lineRule="atLeast"/>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3.供应商应对照《工业和信息化部、国家统计局、国家发展和改革委员会、</w:t>
      </w:r>
      <w:r/>
    </w:p>
    <w:p>
      <w:pPr>
        <w:pStyle w:val="843"/>
        <w:jc w:val="both"/>
        <w:keepLines w:val="0"/>
        <w:keepNext w:val="0"/>
        <w:spacing w:before="0" w:beforeAutospacing="0" w:after="0" w:afterAutospacing="0"/>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Start w:id="215" w:name="_GoBack"/>
      <w:r/>
      <w:bookmarkEnd w:id="215"/>
      <w:r/>
      <w:r/>
    </w:p>
    <w:p>
      <w:pPr>
        <w:jc w:val="left"/>
        <w:keepLines/>
        <w:keepNext/>
        <w:spacing w:before="360" w:after="200" w:line="360" w:lineRule="auto"/>
        <w:rPr>
          <w:rFonts w:hint="eastAsia" w:asciiTheme="minorEastAsia" w:hAnsiTheme="minorEastAsia" w:eastAsiaTheme="minorEastAsia" w:cstheme="minorEastAsia"/>
          <w:sz w:val="28"/>
          <w:szCs w:val="28"/>
          <w:highlight w:val="none"/>
        </w:rPr>
        <w:outlineLvl w:val="0"/>
      </w:pPr>
      <w:r>
        <w:rPr>
          <w:rFonts w:hint="eastAsia" w:asciiTheme="minorEastAsia" w:hAnsiTheme="minorEastAsia" w:eastAsiaTheme="minorEastAsia" w:cstheme="minorEastAsia"/>
          <w:sz w:val="28"/>
          <w:szCs w:val="28"/>
          <w:highlight w:val="none"/>
        </w:rPr>
      </w:r>
      <w:r/>
    </w:p>
    <w:p>
      <w:pPr>
        <w:jc w:val="left"/>
        <w:keepLines/>
        <w:keepNext/>
        <w:spacing w:before="360" w:after="200" w:line="360" w:lineRule="auto"/>
        <w:rPr>
          <w:rFonts w:asciiTheme="minorEastAsia" w:hAnsiTheme="minorEastAsia" w:eastAsiaTheme="minorEastAsia" w:cstheme="minorEastAsia"/>
          <w:sz w:val="28"/>
          <w:szCs w:val="28"/>
          <w:highlight w:val="none"/>
        </w:rPr>
        <w:outlineLvl w:val="0"/>
      </w:pPr>
      <w:r>
        <w:rPr>
          <w:rFonts w:hint="eastAsia" w:asciiTheme="minorEastAsia" w:hAnsiTheme="minorEastAsia" w:eastAsiaTheme="minorEastAsia" w:cstheme="minorEastAsia"/>
          <w:sz w:val="28"/>
          <w:szCs w:val="28"/>
          <w:highlight w:val="none"/>
        </w:rPr>
        <w:t xml:space="preserve">十二、残疾人福利性单位声明函（分包号：**）</w:t>
      </w:r>
      <w:bookmarkEnd w:id="214"/>
      <w:r/>
      <w:r/>
    </w:p>
    <w:p>
      <w:pPr>
        <w:pStyle w:val="843"/>
        <w:ind w:left="0" w:right="0"/>
        <w:jc w:val="center"/>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2"/>
          <w:szCs w:val="22"/>
        </w:rPr>
        <w:t xml:space="preserve">残疾人福利性单位声明函（货物类项目）（采购包号：**）</w:t>
      </w:r>
      <w:r/>
    </w:p>
    <w:p>
      <w:pPr>
        <w:pStyle w:val="843"/>
        <w:jc w:val="center"/>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rPr>
        <w:t xml:space="preserve"> </w:t>
      </w:r>
      <w:r/>
    </w:p>
    <w:p>
      <w:pPr>
        <w:pStyle w:val="843"/>
        <w:ind w:left="0" w:firstLine="48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2"/>
          <w:szCs w:val="22"/>
          <w:u w:val="single"/>
        </w:rPr>
        <w:t xml:space="preserve">（单位名称）</w:t>
      </w:r>
      <w:r>
        <w:rPr>
          <w:rFonts w:hint="eastAsia" w:ascii="宋体" w:hAnsi="宋体" w:eastAsia="宋体" w:cs="宋体"/>
          <w:color w:val="000000"/>
          <w:sz w:val="22"/>
          <w:szCs w:val="22"/>
        </w:rPr>
        <w:t xml:space="preserve">采购编号为</w:t>
      </w:r>
      <w:r>
        <w:rPr>
          <w:rFonts w:hint="eastAsia" w:ascii="宋体" w:hAnsi="宋体" w:eastAsia="宋体" w:cs="宋体"/>
          <w:color w:val="000000"/>
          <w:sz w:val="22"/>
          <w:szCs w:val="22"/>
          <w:u w:val="single"/>
        </w:rPr>
        <w:t xml:space="preserve">（采购编号）</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项目（项目名称）（采购包号：**）采购活动提供本单位制造的货物，或者提供其他残疾人福利性单位制造的货物（不包括使用非残疾人福利性单位注册商标的货物）。</w:t>
      </w:r>
      <w:r/>
    </w:p>
    <w:p>
      <w:pPr>
        <w:pStyle w:val="843"/>
        <w:ind w:left="0" w:firstLine="48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本单位对上述声明的真实性负责。如有虚假，将依法承担相应责任。</w:t>
      </w:r>
      <w:r/>
    </w:p>
    <w:p>
      <w:pPr>
        <w:pStyle w:val="843"/>
        <w:ind w:left="0" w:firstLine="48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rPr>
        <w:t xml:space="preserve"> </w:t>
      </w:r>
      <w:r/>
    </w:p>
    <w:p>
      <w:pPr>
        <w:pStyle w:val="843"/>
        <w:ind w:left="0" w:firstLine="48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备注：</w:t>
      </w:r>
      <w:r/>
    </w:p>
    <w:p>
      <w:pPr>
        <w:pStyle w:val="843"/>
        <w:ind w:left="0" w:firstLine="48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843"/>
        <w:ind w:left="0" w:firstLine="48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 非专门面向中小微型企业采购的项目，供应商如不提供此声明函，价格将不做相应扣除。</w:t>
      </w:r>
      <w:r/>
    </w:p>
    <w:p>
      <w:pPr>
        <w:pStyle w:val="843"/>
        <w:ind w:left="0" w:firstLine="48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3.中标/成交供应商为残疾人福利性单位的，此声明函将随中标/成交结果同时公告，接受社会监督。</w:t>
      </w:r>
      <w:r/>
    </w:p>
    <w:p>
      <w:pPr>
        <w:pStyle w:val="843"/>
        <w:ind w:left="0" w:firstLine="624"/>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rPr>
        <w:t xml:space="preserve"> </w:t>
      </w:r>
      <w:r/>
    </w:p>
    <w:p>
      <w:pPr>
        <w:pStyle w:val="843"/>
        <w:ind w:left="0" w:right="1559" w:firstLine="624"/>
        <w:jc w:val="center"/>
        <w:keepLines w:val="0"/>
        <w:keepNext w:val="0"/>
        <w:spacing w:before="0" w:beforeAutospacing="0" w:after="0" w:afterAutospacing="0" w:line="360" w:lineRule="auto"/>
        <w:widowControl w:val="off"/>
        <w:tabs>
          <w:tab w:val="left" w:pos="4864"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2"/>
          <w:szCs w:val="22"/>
        </w:rPr>
        <w:t xml:space="preserve">             </w:t>
      </w:r>
      <w:r>
        <w:rPr>
          <w:rFonts w:hint="eastAsia" w:ascii="宋体" w:hAnsi="宋体" w:eastAsia="宋体" w:cs="宋体"/>
          <w:color w:val="000000"/>
          <w:sz w:val="22"/>
          <w:szCs w:val="22"/>
        </w:rPr>
        <w:t xml:space="preserve">   供应商全称（加盖CA电子公章）：</w:t>
      </w:r>
      <w:r/>
    </w:p>
    <w:p>
      <w:pPr>
        <w:pStyle w:val="843"/>
        <w:ind w:left="0" w:right="1559" w:firstLine="480"/>
        <w:jc w:val="center"/>
        <w:keepLines w:val="0"/>
        <w:keepNext w:val="0"/>
        <w:spacing w:before="0" w:beforeAutospacing="0" w:after="0" w:afterAutospacing="0" w:line="360" w:lineRule="auto"/>
        <w:widowControl w:val="off"/>
        <w:tabs>
          <w:tab w:val="left" w:pos="4864"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            日  期：___年____月____日</w:t>
      </w:r>
      <w:r>
        <w:rPr>
          <w:rFonts w:hint="eastAsia" w:ascii="宋体" w:hAnsi="宋体" w:eastAsia="宋体" w:cs="宋体"/>
          <w:color w:val="000000"/>
          <w:sz w:val="22"/>
          <w:szCs w:val="22"/>
          <w:shd w:val="clear" w:color="auto" w:fill="ffffff"/>
        </w:rPr>
        <w:t xml:space="preserve"> </w:t>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jc w:val="left"/>
        <w:keepLines/>
        <w:keepNext/>
        <w:spacing w:before="360" w:after="200" w:line="360" w:lineRule="auto"/>
        <w:rPr>
          <w:rFonts w:asciiTheme="minorEastAsia" w:hAnsiTheme="minorEastAsia" w:eastAsiaTheme="minorEastAsia" w:cstheme="minorEastAsia"/>
          <w:sz w:val="28"/>
          <w:szCs w:val="28"/>
          <w:highlight w:val="none"/>
        </w:rPr>
        <w:outlineLvl w:val="0"/>
      </w:pPr>
      <w:r/>
      <w:bookmarkStart w:id="216" w:name="_Toc25321"/>
      <w:r>
        <w:rPr>
          <w:rFonts w:hint="eastAsia" w:asciiTheme="minorEastAsia" w:hAnsiTheme="minorEastAsia" w:eastAsiaTheme="minorEastAsia" w:cstheme="minorEastAsia"/>
          <w:sz w:val="28"/>
          <w:szCs w:val="28"/>
          <w:highlight w:val="none"/>
        </w:rPr>
        <w:t xml:space="preserve">十三、联合体协议（参考格式）（分包号：**）</w:t>
      </w:r>
      <w:bookmarkEnd w:id="216"/>
      <w:r/>
      <w:r/>
    </w:p>
    <w:p>
      <w:pPr>
        <w:jc w:val="center"/>
        <w:spacing w:line="360" w:lineRule="auto"/>
        <w:tabs>
          <w:tab w:val="left" w:pos="360" w:leader="none"/>
        </w:tabs>
        <w:rPr>
          <w:rFonts w:asciiTheme="minorEastAsia" w:hAnsiTheme="minorEastAsia" w:eastAsiaTheme="minorEastAsia" w:cstheme="minorEastAsia"/>
          <w:color w:val="000000"/>
          <w:sz w:val="24"/>
          <w:szCs w:val="21"/>
          <w:highlight w:val="none"/>
          <w:u w:val="single"/>
        </w:rPr>
      </w:pPr>
      <w:r>
        <w:rPr>
          <w:rFonts w:hint="eastAsia" w:asciiTheme="minorEastAsia" w:hAnsiTheme="minorEastAsia" w:eastAsiaTheme="minorEastAsia" w:cstheme="minorEastAsia"/>
          <w:bCs/>
          <w:sz w:val="36"/>
          <w:szCs w:val="28"/>
          <w:highlight w:val="none"/>
        </w:rPr>
        <w:t xml:space="preserve">联合体协议</w:t>
      </w:r>
      <w:r/>
    </w:p>
    <w:p>
      <w:pPr>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u w:val="single"/>
        </w:rPr>
        <w:t xml:space="preserve">（联合体中各供应商全称）</w:t>
      </w:r>
      <w:r>
        <w:rPr>
          <w:rFonts w:hint="eastAsia" w:asciiTheme="minorEastAsia" w:hAnsiTheme="minorEastAsia" w:eastAsiaTheme="minorEastAsia" w:cstheme="minorEastAsia"/>
          <w:color w:val="000000"/>
          <w:sz w:val="22"/>
          <w:highlight w:val="none"/>
        </w:rPr>
        <w:t xml:space="preserve">在此达成以下协议：</w:t>
      </w:r>
      <w:r/>
    </w:p>
    <w:p>
      <w:pPr>
        <w:ind w:firstLine="480"/>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lang w:eastAsia="zh-CN"/>
        </w:rPr>
        <w:t xml:space="preserve">1.</w:t>
      </w:r>
      <w:r>
        <w:rPr>
          <w:rFonts w:hint="eastAsia" w:asciiTheme="minorEastAsia" w:hAnsiTheme="minorEastAsia" w:eastAsiaTheme="minorEastAsia" w:cstheme="minorEastAsia"/>
          <w:color w:val="000000"/>
          <w:sz w:val="22"/>
          <w:highlight w:val="none"/>
        </w:rPr>
        <w:t xml:space="preserve">我们</w:t>
      </w:r>
      <w:r>
        <w:rPr>
          <w:rFonts w:hint="eastAsia" w:asciiTheme="minorEastAsia" w:hAnsiTheme="minorEastAsia" w:eastAsiaTheme="minorEastAsia" w:cstheme="minorEastAsia"/>
          <w:color w:val="000000"/>
          <w:sz w:val="22"/>
          <w:highlight w:val="none"/>
          <w:u w:val="single"/>
        </w:rPr>
        <w:t xml:space="preserve"> （供应商1），（供应商2） ，……</w:t>
      </w:r>
      <w:r>
        <w:rPr>
          <w:rFonts w:hint="eastAsia" w:asciiTheme="minorEastAsia" w:hAnsiTheme="minorEastAsia" w:eastAsiaTheme="minorEastAsia" w:cstheme="minorEastAsia"/>
          <w:color w:val="000000"/>
          <w:sz w:val="22"/>
          <w:highlight w:val="none"/>
        </w:rPr>
        <w:t xml:space="preserve">自愿组成联合体，参加连云港市公共资源交易中心组织的</w:t>
      </w:r>
      <w:r>
        <w:rPr>
          <w:rFonts w:hint="eastAsia" w:asciiTheme="minorEastAsia" w:hAnsiTheme="minorEastAsia" w:eastAsiaTheme="minorEastAsia" w:cstheme="minorEastAsia"/>
          <w:color w:val="000000"/>
          <w:sz w:val="22"/>
          <w:highlight w:val="none"/>
          <w:u w:val="single"/>
        </w:rPr>
        <w:t xml:space="preserve">（项目名称）</w:t>
      </w:r>
      <w:r>
        <w:rPr>
          <w:rFonts w:hint="eastAsia" w:asciiTheme="minorEastAsia" w:hAnsiTheme="minorEastAsia" w:eastAsiaTheme="minorEastAsia" w:cstheme="minorEastAsia"/>
          <w:color w:val="000000"/>
          <w:sz w:val="22"/>
          <w:highlight w:val="none"/>
        </w:rPr>
        <w:t xml:space="preserve">（项目编号</w:t>
      </w:r>
      <w:r>
        <w:rPr>
          <w:rFonts w:hint="eastAsia" w:asciiTheme="minorEastAsia" w:hAnsiTheme="minorEastAsia" w:eastAsiaTheme="minorEastAsia" w:cstheme="minorEastAsia"/>
          <w:color w:val="000000"/>
          <w:sz w:val="22"/>
          <w:highlight w:val="none"/>
          <w:lang w:eastAsia="zh-CN"/>
        </w:rPr>
        <w:t xml:space="preserve">：</w:t>
      </w:r>
      <w:r>
        <w:rPr>
          <w:rFonts w:hint="eastAsia" w:asciiTheme="minorEastAsia" w:hAnsiTheme="minorEastAsia" w:eastAsiaTheme="minorEastAsia" w:cstheme="minorEastAsia"/>
          <w:color w:val="000000"/>
          <w:sz w:val="22"/>
          <w:highlight w:val="none"/>
        </w:rPr>
        <w:t xml:space="preserve">分包号</w:t>
      </w:r>
      <w:r>
        <w:rPr>
          <w:rFonts w:hint="eastAsia" w:asciiTheme="minorEastAsia" w:hAnsiTheme="minorEastAsia" w:eastAsiaTheme="minorEastAsia" w:cstheme="minorEastAsia"/>
          <w:color w:val="000000"/>
          <w:sz w:val="22"/>
          <w:highlight w:val="none"/>
          <w:lang w:eastAsia="zh-CN"/>
        </w:rPr>
        <w:t xml:space="preserve">）</w:t>
      </w:r>
      <w:r>
        <w:rPr>
          <w:rFonts w:hint="eastAsia" w:asciiTheme="minorEastAsia" w:hAnsiTheme="minorEastAsia" w:eastAsiaTheme="minorEastAsia" w:cstheme="minorEastAsia"/>
          <w:color w:val="000000"/>
          <w:sz w:val="22"/>
          <w:highlight w:val="none"/>
        </w:rPr>
        <w:t xml:space="preserve">的政府采购活动，我联合体指定</w:t>
      </w:r>
      <w:r>
        <w:rPr>
          <w:rFonts w:hint="eastAsia" w:asciiTheme="minorEastAsia" w:hAnsiTheme="minorEastAsia" w:eastAsiaTheme="minorEastAsia" w:cstheme="minorEastAsia"/>
          <w:color w:val="000000"/>
          <w:sz w:val="22"/>
          <w:highlight w:val="none"/>
          <w:u w:val="single"/>
        </w:rPr>
        <w:t xml:space="preserve">（供应商*）</w:t>
      </w:r>
      <w:r>
        <w:rPr>
          <w:rFonts w:hint="eastAsia" w:asciiTheme="minorEastAsia" w:hAnsiTheme="minorEastAsia" w:eastAsiaTheme="minorEastAsia" w:cstheme="minorEastAsia"/>
          <w:color w:val="000000"/>
          <w:sz w:val="22"/>
          <w:highlight w:val="none"/>
        </w:rPr>
        <w:t xml:space="preserve">为牵头单位（牵头单位必须为联合体成员）。</w:t>
      </w:r>
      <w:r/>
    </w:p>
    <w:p>
      <w:pPr>
        <w:ind w:firstLine="480"/>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lang w:eastAsia="zh-CN"/>
        </w:rPr>
        <w:t xml:space="preserve">2.</w:t>
      </w:r>
      <w:r>
        <w:rPr>
          <w:rFonts w:hint="eastAsia" w:asciiTheme="minorEastAsia" w:hAnsiTheme="minorEastAsia" w:eastAsiaTheme="minorEastAsia" w:cstheme="minorEastAsia"/>
          <w:color w:val="000000"/>
          <w:sz w:val="22"/>
          <w:highlight w:val="none"/>
        </w:rPr>
        <w:t xml:space="preserve">若我们联合中标、成交，</w:t>
      </w:r>
      <w:r>
        <w:rPr>
          <w:rFonts w:hint="eastAsia" w:asciiTheme="minorEastAsia" w:hAnsiTheme="minorEastAsia" w:eastAsiaTheme="minorEastAsia" w:cstheme="minorEastAsia"/>
          <w:color w:val="000000"/>
          <w:sz w:val="22"/>
          <w:highlight w:val="none"/>
          <w:u w:val="single"/>
        </w:rPr>
        <w:t xml:space="preserve">（供应商单位1全称）</w:t>
      </w:r>
      <w:r>
        <w:rPr>
          <w:rFonts w:hint="eastAsia" w:asciiTheme="minorEastAsia" w:hAnsiTheme="minorEastAsia" w:eastAsiaTheme="minorEastAsia" w:cstheme="minorEastAsia"/>
          <w:color w:val="000000"/>
          <w:sz w:val="22"/>
          <w:highlight w:val="none"/>
        </w:rPr>
        <w:t xml:space="preserve">实施项目中</w:t>
      </w:r>
      <w:r>
        <w:rPr>
          <w:rFonts w:hint="eastAsia" w:asciiTheme="minorEastAsia" w:hAnsiTheme="minorEastAsia" w:eastAsiaTheme="minorEastAsia" w:cstheme="minorEastAsia"/>
          <w:color w:val="000000"/>
          <w:sz w:val="22"/>
          <w:highlight w:val="none"/>
          <w:u w:val="single"/>
        </w:rPr>
        <w:t xml:space="preserve">（工作内容）</w:t>
      </w:r>
      <w:r>
        <w:rPr>
          <w:rFonts w:hint="eastAsia" w:asciiTheme="minorEastAsia" w:hAnsiTheme="minorEastAsia" w:eastAsiaTheme="minorEastAsia" w:cstheme="minorEastAsia"/>
          <w:color w:val="000000"/>
          <w:sz w:val="22"/>
          <w:highlight w:val="none"/>
        </w:rPr>
        <w:t xml:space="preserve">部分工作，并承担相应的责任。</w:t>
      </w:r>
      <w:r>
        <w:rPr>
          <w:rFonts w:hint="eastAsia" w:asciiTheme="minorEastAsia" w:hAnsiTheme="minorEastAsia" w:eastAsiaTheme="minorEastAsia" w:cstheme="minorEastAsia"/>
          <w:color w:val="000000"/>
          <w:sz w:val="22"/>
          <w:highlight w:val="none"/>
          <w:u w:val="single"/>
        </w:rPr>
        <w:t xml:space="preserve">（供应商单位2全称）</w:t>
      </w:r>
      <w:r>
        <w:rPr>
          <w:rFonts w:hint="eastAsia" w:asciiTheme="minorEastAsia" w:hAnsiTheme="minorEastAsia" w:eastAsiaTheme="minorEastAsia" w:cstheme="minorEastAsia"/>
          <w:color w:val="000000"/>
          <w:sz w:val="22"/>
          <w:highlight w:val="none"/>
        </w:rPr>
        <w:t xml:space="preserve">实施项目中</w:t>
      </w:r>
      <w:r>
        <w:rPr>
          <w:rFonts w:hint="eastAsia" w:asciiTheme="minorEastAsia" w:hAnsiTheme="minorEastAsia" w:eastAsiaTheme="minorEastAsia" w:cstheme="minorEastAsia"/>
          <w:color w:val="000000"/>
          <w:sz w:val="22"/>
          <w:highlight w:val="none"/>
          <w:u w:val="single"/>
        </w:rPr>
        <w:t xml:space="preserve">（工作内容）</w:t>
      </w:r>
      <w:r>
        <w:rPr>
          <w:rFonts w:hint="eastAsia" w:asciiTheme="minorEastAsia" w:hAnsiTheme="minorEastAsia" w:eastAsiaTheme="minorEastAsia" w:cstheme="minorEastAsia"/>
          <w:color w:val="000000"/>
          <w:sz w:val="22"/>
          <w:highlight w:val="none"/>
        </w:rPr>
        <w:t xml:space="preserve">部分工作，并承担相应的责任……。（注：联合体中各供应商都应明示所承担的工作和相应的责任）。</w:t>
      </w:r>
      <w:r/>
    </w:p>
    <w:p>
      <w:pPr>
        <w:ind w:firstLine="480"/>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lang w:eastAsia="zh-CN"/>
        </w:rPr>
        <w:t xml:space="preserve">3.</w:t>
      </w:r>
      <w:r>
        <w:rPr>
          <w:rFonts w:hint="eastAsia" w:asciiTheme="minorEastAsia" w:hAnsiTheme="minorEastAsia" w:eastAsiaTheme="minorEastAsia" w:cstheme="minorEastAsia"/>
          <w:color w:val="000000"/>
          <w:sz w:val="22"/>
          <w:highlight w:val="none"/>
        </w:rPr>
        <w:t xml:space="preserve">其中（小型、微型企业/残疾人福利性单位/监狱企业全称）为（小型、微型企业/残疾人福利性单位/监狱企业）企业，且我们约定该公司/单位所承担的合同金额将占本项目合同总金额的%。（可选）</w:t>
      </w:r>
      <w:r/>
    </w:p>
    <w:p>
      <w:pPr>
        <w:ind w:firstLine="480"/>
        <w:spacing w:line="500" w:lineRule="exact"/>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p>
      <w:pPr>
        <w:ind w:firstLine="480"/>
        <w:spacing w:line="500" w:lineRule="exact"/>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供应商1全称（公章）：</w:t>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法定代表人（单位负责人）或委托代理人（签字或盖章）：</w:t>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日期：     年   月   日</w:t>
      </w:r>
      <w:r/>
    </w:p>
    <w:p>
      <w:pPr>
        <w:ind w:firstLine="480"/>
        <w:spacing w:line="360" w:lineRule="auto"/>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供应商2全称（公章）：</w:t>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法定代表人（单位负责人）或委托代理人（签字或盖章）：</w:t>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日期：     年   月   日</w:t>
      </w:r>
      <w:r/>
    </w:p>
    <w:p>
      <w:pPr>
        <w:ind w:firstLine="480"/>
        <w:spacing w:line="360" w:lineRule="auto"/>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ind w:firstLine="480"/>
        <w:spacing w:line="500" w:lineRule="exact"/>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w:t>
      </w:r>
      <w:r/>
    </w:p>
    <w:p>
      <w:pPr>
        <w:ind w:firstLine="480"/>
        <w:spacing w:line="500" w:lineRule="exact"/>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ind w:firstLine="480"/>
        <w:spacing w:line="5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 w:val="22"/>
          <w:highlight w:val="none"/>
        </w:rPr>
        <w:t xml:space="preserve">备注：本招标文件中要求加盖公章的内容，仅需加盖牵头单位的公章。</w:t>
      </w:r>
      <w:r/>
    </w:p>
    <w:p>
      <w:pPr>
        <w:jc w:val="left"/>
        <w:keepLines/>
        <w:spacing w:before="360" w:after="200" w:line="360" w:lineRule="auto"/>
        <w:rPr>
          <w:rFonts w:asciiTheme="minorEastAsia" w:hAnsiTheme="minorEastAsia" w:eastAsiaTheme="minorEastAsia" w:cstheme="minorEastAsia"/>
          <w:i/>
          <w:iCs/>
          <w:sz w:val="36"/>
          <w:highlight w:val="none"/>
          <w:u w:val="single"/>
        </w:rPr>
      </w:pPr>
      <w:r>
        <w:rPr>
          <w:rFonts w:asciiTheme="minorEastAsia" w:hAnsiTheme="minorEastAsia" w:eastAsiaTheme="minorEastAsia" w:cstheme="minorEastAsia"/>
          <w:i/>
          <w:iCs/>
          <w:sz w:val="36"/>
          <w:highlight w:val="none"/>
          <w:u w:val="singl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jc w:val="left"/>
        <w:keepLines/>
        <w:spacing w:before="360" w:after="200" w:line="360" w:lineRule="auto"/>
        <w:rPr>
          <w:rFonts w:asciiTheme="minorEastAsia" w:hAnsiTheme="minorEastAsia" w:eastAsiaTheme="minorEastAsia" w:cstheme="minorEastAsia"/>
          <w:i/>
          <w:iCs/>
          <w:sz w:val="28"/>
          <w:szCs w:val="28"/>
          <w:highlight w:val="none"/>
          <w:u w:val="single"/>
        </w:rPr>
        <w:outlineLvl w:val="0"/>
      </w:pPr>
      <w:r/>
      <w:bookmarkStart w:id="217" w:name="_Toc344"/>
      <w:r>
        <w:rPr>
          <w:rFonts w:hint="eastAsia" w:asciiTheme="minorEastAsia" w:hAnsiTheme="minorEastAsia" w:eastAsiaTheme="minorEastAsia" w:cstheme="minorEastAsia"/>
          <w:i/>
          <w:iCs/>
          <w:sz w:val="28"/>
          <w:szCs w:val="28"/>
          <w:highlight w:val="none"/>
          <w:u w:val="single"/>
        </w:rPr>
        <w:t xml:space="preserve">十四、投标分项报价表（分包号：**）</w:t>
      </w:r>
      <w:bookmarkEnd w:id="217"/>
      <w:r/>
      <w:r/>
    </w:p>
    <w:p>
      <w:pPr>
        <w:jc w:val="center"/>
        <w:spacing w:line="360" w:lineRule="auto"/>
        <w:tabs>
          <w:tab w:val="left" w:pos="360" w:leader="none"/>
        </w:tabs>
        <w:rPr>
          <w:rFonts w:asciiTheme="minorEastAsia" w:hAnsiTheme="minorEastAsia" w:eastAsiaTheme="minorEastAsia" w:cstheme="minorEastAsia"/>
          <w:bCs/>
          <w:sz w:val="36"/>
          <w:szCs w:val="28"/>
          <w:highlight w:val="none"/>
        </w:rPr>
      </w:pPr>
      <w:r>
        <w:rPr>
          <w:rFonts w:hint="eastAsia" w:asciiTheme="minorEastAsia" w:hAnsiTheme="minorEastAsia" w:eastAsiaTheme="minorEastAsia" w:cstheme="minorEastAsia"/>
          <w:bCs/>
          <w:sz w:val="36"/>
          <w:szCs w:val="28"/>
          <w:highlight w:val="none"/>
        </w:rPr>
        <w:t xml:space="preserve">投标分项报价表</w:t>
      </w:r>
      <w:r/>
    </w:p>
    <w:p>
      <w:pPr>
        <w:jc w:val="left"/>
        <w:spacing w:line="360" w:lineRule="auto"/>
        <w:rPr>
          <w:rFonts w:asciiTheme="minorEastAsia" w:hAnsiTheme="minorEastAsia" w:eastAsiaTheme="minorEastAsia" w:cstheme="minorEastAsia"/>
          <w:bCs/>
          <w:color w:val="000000"/>
          <w:sz w:val="22"/>
          <w:highlight w:val="none"/>
        </w:rPr>
      </w:pPr>
      <w:r>
        <w:rPr>
          <w:rFonts w:hint="eastAsia" w:asciiTheme="minorEastAsia" w:hAnsiTheme="minorEastAsia" w:eastAsiaTheme="minorEastAsia" w:cstheme="minorEastAsia"/>
          <w:color w:val="000000"/>
          <w:sz w:val="22"/>
          <w:highlight w:val="none"/>
        </w:rPr>
        <w:t xml:space="preserve">项目名称：      项目编号：      分包号：</w:t>
      </w:r>
      <w:r/>
    </w:p>
    <w:p>
      <w:pPr>
        <w:jc w:val="right"/>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单位：元</w:t>
      </w:r>
      <w:r/>
    </w:p>
    <w:tbl>
      <w:tblPr>
        <w:tblStyle w:val="82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1394"/>
        <w:gridCol w:w="764"/>
        <w:gridCol w:w="918"/>
        <w:gridCol w:w="815"/>
        <w:gridCol w:w="1292"/>
        <w:gridCol w:w="811"/>
        <w:gridCol w:w="811"/>
        <w:gridCol w:w="1297"/>
        <w:gridCol w:w="1143"/>
      </w:tblGrid>
      <w:tr>
        <w:trPr>
          <w:jc w:val="center"/>
          <w:trHeight w:val="663"/>
        </w:trPr>
        <w:tc>
          <w:tcPr>
            <w:tcW w:w="305" w:type="pct"/>
            <w:vAlign w:val="center"/>
            <w:textDirection w:val="lrTb"/>
            <w:noWrap w:val="false"/>
          </w:tcPr>
          <w:p>
            <w:pPr>
              <w:jc w:val="center"/>
              <w:spacing w:line="360" w:lineRule="auto"/>
              <w:widowControl/>
              <w:rPr>
                <w:rFonts w:asciiTheme="minorEastAsia" w:hAnsiTheme="minorEastAsia" w:eastAsiaTheme="minorEastAsia" w:cstheme="minorEastAsia"/>
                <w:bCs/>
                <w:color w:val="000000"/>
                <w:sz w:val="22"/>
                <w:highlight w:val="none"/>
              </w:rPr>
            </w:pPr>
            <w:r>
              <w:rPr>
                <w:rFonts w:hint="eastAsia" w:asciiTheme="minorEastAsia" w:hAnsiTheme="minorEastAsia" w:eastAsiaTheme="minorEastAsia" w:cstheme="minorEastAsia"/>
                <w:bCs/>
                <w:color w:val="000000"/>
                <w:sz w:val="22"/>
                <w:highlight w:val="none"/>
              </w:rPr>
              <w:t xml:space="preserve">序号</w:t>
            </w:r>
            <w:r/>
          </w:p>
        </w:tc>
        <w:tc>
          <w:tcPr>
            <w:tcW w:w="708" w:type="pct"/>
            <w:vAlign w:val="center"/>
            <w:textDirection w:val="lrTb"/>
            <w:noWrap w:val="false"/>
          </w:tcPr>
          <w:p>
            <w:pPr>
              <w:jc w:val="center"/>
              <w:spacing w:line="360" w:lineRule="auto"/>
              <w:widowControl/>
              <w:rPr>
                <w:rFonts w:asciiTheme="minorEastAsia" w:hAnsiTheme="minorEastAsia" w:eastAsiaTheme="minorEastAsia" w:cstheme="minorEastAsia"/>
                <w:bCs/>
                <w:color w:val="000000"/>
                <w:sz w:val="22"/>
                <w:highlight w:val="none"/>
              </w:rPr>
            </w:pPr>
            <w:r>
              <w:rPr>
                <w:rFonts w:hint="eastAsia" w:asciiTheme="minorEastAsia" w:hAnsiTheme="minorEastAsia" w:eastAsiaTheme="minorEastAsia" w:cstheme="minorEastAsia"/>
                <w:bCs/>
                <w:color w:val="000000"/>
                <w:sz w:val="22"/>
                <w:highlight w:val="none"/>
              </w:rPr>
              <w:t xml:space="preserve">货物（标的）名称</w:t>
            </w:r>
            <w:r/>
          </w:p>
        </w:tc>
        <w:tc>
          <w:tcPr>
            <w:tcW w:w="388" w:type="pct"/>
            <w:vAlign w:val="center"/>
            <w:textDirection w:val="lrTb"/>
            <w:noWrap w:val="false"/>
          </w:tcPr>
          <w:p>
            <w:pPr>
              <w:jc w:val="center"/>
              <w:spacing w:line="360" w:lineRule="auto"/>
              <w:widowControl/>
              <w:rPr>
                <w:rFonts w:asciiTheme="minorEastAsia" w:hAnsiTheme="minorEastAsia" w:eastAsiaTheme="minorEastAsia" w:cstheme="minorEastAsia"/>
                <w:bCs/>
                <w:color w:val="000000"/>
                <w:sz w:val="22"/>
                <w:highlight w:val="none"/>
              </w:rPr>
            </w:pPr>
            <w:r>
              <w:rPr>
                <w:rFonts w:hint="eastAsia" w:asciiTheme="minorEastAsia" w:hAnsiTheme="minorEastAsia" w:eastAsiaTheme="minorEastAsia" w:cstheme="minorEastAsia"/>
                <w:bCs/>
                <w:color w:val="000000"/>
                <w:sz w:val="22"/>
                <w:highlight w:val="none"/>
              </w:rPr>
              <w:t xml:space="preserve">品牌</w:t>
            </w:r>
            <w:r/>
          </w:p>
        </w:tc>
        <w:tc>
          <w:tcPr>
            <w:tcW w:w="466" w:type="pct"/>
            <w:vAlign w:val="center"/>
            <w:textDirection w:val="lrTb"/>
            <w:noWrap w:val="false"/>
          </w:tcPr>
          <w:p>
            <w:pPr>
              <w:jc w:val="center"/>
              <w:spacing w:line="360" w:lineRule="auto"/>
              <w:widowControl/>
              <w:rPr>
                <w:rFonts w:asciiTheme="minorEastAsia" w:hAnsiTheme="minorEastAsia" w:eastAsiaTheme="minorEastAsia" w:cstheme="minorEastAsia"/>
                <w:bCs/>
                <w:color w:val="000000"/>
                <w:sz w:val="22"/>
                <w:highlight w:val="none"/>
              </w:rPr>
            </w:pPr>
            <w:r>
              <w:rPr>
                <w:rFonts w:hint="eastAsia" w:asciiTheme="minorEastAsia" w:hAnsiTheme="minorEastAsia" w:eastAsiaTheme="minorEastAsia" w:cstheme="minorEastAsia"/>
                <w:bCs/>
                <w:color w:val="000000"/>
                <w:sz w:val="22"/>
                <w:highlight w:val="none"/>
              </w:rPr>
              <w:t xml:space="preserve">规格型号</w:t>
            </w:r>
            <w:r/>
          </w:p>
        </w:tc>
        <w:tc>
          <w:tcPr>
            <w:tcW w:w="412" w:type="pct"/>
            <w:vAlign w:val="center"/>
            <w:textDirection w:val="lrTb"/>
            <w:noWrap w:val="false"/>
          </w:tcPr>
          <w:p>
            <w:pPr>
              <w:jc w:val="center"/>
              <w:spacing w:line="360" w:lineRule="auto"/>
              <w:widowControl/>
              <w:rPr>
                <w:rFonts w:asciiTheme="minorEastAsia" w:hAnsiTheme="minorEastAsia" w:eastAsiaTheme="minorEastAsia" w:cstheme="minorEastAsia"/>
                <w:bCs/>
                <w:color w:val="000000"/>
                <w:sz w:val="22"/>
                <w:highlight w:val="none"/>
              </w:rPr>
            </w:pPr>
            <w:r>
              <w:rPr>
                <w:rFonts w:hint="eastAsia" w:asciiTheme="minorEastAsia" w:hAnsiTheme="minorEastAsia" w:eastAsiaTheme="minorEastAsia" w:cstheme="minorEastAsia"/>
                <w:bCs/>
                <w:color w:val="000000"/>
                <w:sz w:val="22"/>
                <w:highlight w:val="none"/>
              </w:rPr>
              <w:t xml:space="preserve">制造商</w:t>
            </w:r>
            <w:r/>
          </w:p>
        </w:tc>
        <w:tc>
          <w:tcPr>
            <w:tcW w:w="656" w:type="pct"/>
            <w:vAlign w:val="center"/>
            <w:textDirection w:val="lrTb"/>
            <w:noWrap w:val="false"/>
          </w:tcPr>
          <w:p>
            <w:pPr>
              <w:jc w:val="center"/>
              <w:spacing w:line="360" w:lineRule="auto"/>
              <w:widowControl/>
              <w:rPr>
                <w:rFonts w:asciiTheme="minorEastAsia" w:hAnsiTheme="minorEastAsia" w:eastAsiaTheme="minorEastAsia" w:cstheme="minorEastAsia"/>
                <w:bCs/>
                <w:color w:val="000000"/>
                <w:sz w:val="22"/>
                <w:highlight w:val="none"/>
              </w:rPr>
            </w:pPr>
            <w:r>
              <w:rPr>
                <w:rFonts w:hint="eastAsia" w:asciiTheme="minorEastAsia" w:hAnsiTheme="minorEastAsia" w:eastAsiaTheme="minorEastAsia" w:cstheme="minorEastAsia"/>
                <w:bCs/>
                <w:color w:val="000000"/>
                <w:sz w:val="22"/>
                <w:highlight w:val="none"/>
              </w:rPr>
              <w:t xml:space="preserve">制造商企业类型</w:t>
            </w:r>
            <w:r/>
          </w:p>
        </w:tc>
        <w:tc>
          <w:tcPr>
            <w:tcW w:w="412" w:type="pct"/>
            <w:vAlign w:val="center"/>
            <w:textDirection w:val="lrTb"/>
            <w:noWrap w:val="false"/>
          </w:tcPr>
          <w:p>
            <w:pPr>
              <w:jc w:val="center"/>
              <w:spacing w:line="360" w:lineRule="auto"/>
              <w:widowControl/>
              <w:rPr>
                <w:rFonts w:asciiTheme="minorEastAsia" w:hAnsiTheme="minorEastAsia" w:eastAsiaTheme="minorEastAsia" w:cstheme="minorEastAsia"/>
                <w:bCs/>
                <w:color w:val="000000"/>
                <w:sz w:val="22"/>
                <w:highlight w:val="none"/>
              </w:rPr>
            </w:pPr>
            <w:r>
              <w:rPr>
                <w:rFonts w:hint="eastAsia" w:asciiTheme="minorEastAsia" w:hAnsiTheme="minorEastAsia" w:eastAsiaTheme="minorEastAsia" w:cstheme="minorEastAsia"/>
                <w:bCs/>
                <w:color w:val="000000"/>
                <w:sz w:val="22"/>
                <w:highlight w:val="none"/>
              </w:rPr>
              <w:t xml:space="preserve">单价</w:t>
            </w:r>
            <w:r/>
          </w:p>
        </w:tc>
        <w:tc>
          <w:tcPr>
            <w:tcW w:w="412" w:type="pct"/>
            <w:vAlign w:val="center"/>
            <w:textDirection w:val="lrTb"/>
            <w:noWrap w:val="false"/>
          </w:tcPr>
          <w:p>
            <w:pPr>
              <w:jc w:val="center"/>
              <w:spacing w:line="360" w:lineRule="auto"/>
              <w:widowControl/>
              <w:rPr>
                <w:rFonts w:asciiTheme="minorEastAsia" w:hAnsiTheme="minorEastAsia" w:eastAsiaTheme="minorEastAsia" w:cstheme="minorEastAsia"/>
                <w:bCs/>
                <w:color w:val="000000"/>
                <w:sz w:val="22"/>
                <w:highlight w:val="none"/>
              </w:rPr>
            </w:pPr>
            <w:r>
              <w:rPr>
                <w:rFonts w:hint="eastAsia" w:asciiTheme="minorEastAsia" w:hAnsiTheme="minorEastAsia" w:eastAsiaTheme="minorEastAsia" w:cstheme="minorEastAsia"/>
                <w:bCs/>
                <w:color w:val="000000"/>
                <w:sz w:val="22"/>
                <w:highlight w:val="none"/>
              </w:rPr>
              <w:t xml:space="preserve">数量</w:t>
            </w:r>
            <w:r/>
          </w:p>
        </w:tc>
        <w:tc>
          <w:tcPr>
            <w:tcW w:w="658" w:type="pct"/>
            <w:vAlign w:val="center"/>
            <w:textDirection w:val="lrTb"/>
            <w:noWrap w:val="false"/>
          </w:tcPr>
          <w:p>
            <w:pPr>
              <w:jc w:val="center"/>
              <w:spacing w:line="360" w:lineRule="auto"/>
              <w:widowControl/>
              <w:rPr>
                <w:rFonts w:asciiTheme="minorEastAsia" w:hAnsiTheme="minorEastAsia" w:eastAsiaTheme="minorEastAsia" w:cstheme="minorEastAsia"/>
                <w:bCs/>
                <w:color w:val="000000"/>
                <w:sz w:val="22"/>
                <w:highlight w:val="none"/>
              </w:rPr>
            </w:pPr>
            <w:r>
              <w:rPr>
                <w:rFonts w:hint="eastAsia" w:asciiTheme="minorEastAsia" w:hAnsiTheme="minorEastAsia" w:eastAsiaTheme="minorEastAsia" w:cstheme="minorEastAsia"/>
                <w:bCs/>
                <w:color w:val="000000"/>
                <w:sz w:val="22"/>
                <w:highlight w:val="none"/>
              </w:rPr>
              <w:t xml:space="preserve">计量单位</w:t>
            </w:r>
            <w:r/>
          </w:p>
        </w:tc>
        <w:tc>
          <w:tcPr>
            <w:tcW w:w="579" w:type="pct"/>
            <w:vAlign w:val="center"/>
            <w:textDirection w:val="lrTb"/>
            <w:noWrap w:val="false"/>
          </w:tcPr>
          <w:p>
            <w:pPr>
              <w:jc w:val="center"/>
              <w:spacing w:line="360" w:lineRule="auto"/>
              <w:widowControl/>
              <w:rPr>
                <w:rFonts w:asciiTheme="minorEastAsia" w:hAnsiTheme="minorEastAsia" w:eastAsiaTheme="minorEastAsia" w:cstheme="minorEastAsia"/>
                <w:bCs/>
                <w:color w:val="000000"/>
                <w:sz w:val="22"/>
                <w:highlight w:val="none"/>
              </w:rPr>
            </w:pPr>
            <w:r>
              <w:rPr>
                <w:rFonts w:hint="eastAsia" w:asciiTheme="minorEastAsia" w:hAnsiTheme="minorEastAsia" w:eastAsiaTheme="minorEastAsia" w:cstheme="minorEastAsia"/>
                <w:bCs/>
                <w:color w:val="000000"/>
                <w:sz w:val="22"/>
                <w:highlight w:val="none"/>
              </w:rPr>
              <w:t xml:space="preserve">单项合计价</w:t>
            </w:r>
            <w:r/>
          </w:p>
        </w:tc>
      </w:tr>
      <w:tr>
        <w:trPr>
          <w:jc w:val="center"/>
          <w:trHeight w:val="581"/>
        </w:trPr>
        <w:tc>
          <w:tcPr>
            <w:tcW w:w="305" w:type="pct"/>
            <w:vAlign w:val="center"/>
            <w:textDirection w:val="lrTb"/>
            <w:noWrap w:val="false"/>
          </w:tcPr>
          <w:p>
            <w:pPr>
              <w:jc w:val="center"/>
              <w:spacing w:line="360" w:lineRule="auto"/>
              <w:widowControl/>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c>
          <w:tcPr>
            <w:tcW w:w="708"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388"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66"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12"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56"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12"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12"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58"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579"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r>
        <w:trPr>
          <w:jc w:val="center"/>
          <w:trHeight w:val="548"/>
        </w:trPr>
        <w:tc>
          <w:tcPr>
            <w:tcW w:w="305" w:type="pct"/>
            <w:vAlign w:val="center"/>
            <w:textDirection w:val="lrTb"/>
            <w:noWrap w:val="false"/>
          </w:tcPr>
          <w:p>
            <w:pPr>
              <w:jc w:val="center"/>
              <w:spacing w:line="360" w:lineRule="auto"/>
              <w:widowControl/>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c>
          <w:tcPr>
            <w:tcW w:w="708"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388"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66"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12"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56"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12"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12"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58"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579"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r>
        <w:trPr>
          <w:jc w:val="center"/>
          <w:trHeight w:val="551"/>
        </w:trPr>
        <w:tc>
          <w:tcPr>
            <w:tcW w:w="305" w:type="pct"/>
            <w:vAlign w:val="center"/>
            <w:textDirection w:val="lrTb"/>
            <w:noWrap w:val="false"/>
          </w:tcPr>
          <w:p>
            <w:pPr>
              <w:jc w:val="center"/>
              <w:spacing w:line="360" w:lineRule="auto"/>
              <w:widowControl/>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3</w:t>
            </w:r>
            <w:r/>
          </w:p>
        </w:tc>
        <w:tc>
          <w:tcPr>
            <w:tcW w:w="708"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388"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66"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12"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56"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12"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12"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58"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579"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r>
        <w:trPr>
          <w:jc w:val="center"/>
          <w:trHeight w:val="547"/>
        </w:trPr>
        <w:tc>
          <w:tcPr>
            <w:tcW w:w="305" w:type="pct"/>
            <w:vAlign w:val="center"/>
            <w:textDirection w:val="lrTb"/>
            <w:noWrap w:val="false"/>
          </w:tcPr>
          <w:p>
            <w:pPr>
              <w:jc w:val="center"/>
              <w:spacing w:line="360" w:lineRule="auto"/>
              <w:widowControl/>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w:t>
            </w:r>
            <w:r/>
          </w:p>
        </w:tc>
        <w:tc>
          <w:tcPr>
            <w:tcW w:w="708"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388"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66"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12"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56"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12"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412"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58"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579"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r>
        <w:trPr>
          <w:jc w:val="center"/>
          <w:trHeight w:val="567"/>
        </w:trPr>
        <w:tc>
          <w:tcPr>
            <w:gridSpan w:val="5"/>
            <w:tcW w:w="2281" w:type="pct"/>
            <w:vAlign w:val="center"/>
            <w:textDirection w:val="lrTb"/>
            <w:noWrap w:val="false"/>
          </w:tcPr>
          <w:p>
            <w:pPr>
              <w:jc w:val="center"/>
              <w:spacing w:line="360" w:lineRule="auto"/>
              <w:widowControl/>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总计（元）</w:t>
            </w:r>
            <w:r/>
          </w:p>
        </w:tc>
        <w:tc>
          <w:tcPr>
            <w:gridSpan w:val="5"/>
            <w:tcW w:w="2718" w:type="pct"/>
            <w:vAlign w:val="center"/>
            <w:textDirection w:val="lrTb"/>
            <w:noWrap w:val="false"/>
          </w:tcPr>
          <w:p>
            <w:pPr>
              <w:spacing w:line="360" w:lineRule="auto"/>
              <w:widowControl/>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bl>
    <w:p>
      <w:pPr>
        <w:ind w:firstLine="420"/>
        <w:spacing w:line="360" w:lineRule="auto"/>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p>
      <w:pPr>
        <w:ind w:firstLine="42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投标人（盖章）：</w:t>
      </w:r>
      <w:r/>
    </w:p>
    <w:p>
      <w:pPr>
        <w:ind w:firstLine="42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法定代表人（单位负责人）或委托代理人（签字或盖章）：</w:t>
      </w:r>
      <w:r/>
    </w:p>
    <w:p>
      <w:pPr>
        <w:ind w:firstLine="42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日期：    年     月     日</w:t>
      </w:r>
      <w:r/>
    </w:p>
    <w:p>
      <w:pPr>
        <w:spacing w:line="360" w:lineRule="auto"/>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p>
      <w:pPr>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填报说明：</w:t>
      </w:r>
      <w:r/>
    </w:p>
    <w:p>
      <w:pPr>
        <w:ind w:firstLine="42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lang w:eastAsia="zh-CN"/>
        </w:rPr>
        <w:t xml:space="preserve">1.</w:t>
      </w:r>
      <w:r>
        <w:rPr>
          <w:rFonts w:hint="eastAsia" w:asciiTheme="minorEastAsia" w:hAnsiTheme="minorEastAsia" w:eastAsiaTheme="minorEastAsia" w:cstheme="minorEastAsia"/>
          <w:color w:val="000000"/>
          <w:sz w:val="22"/>
          <w:highlight w:val="none"/>
        </w:rPr>
        <w:t xml:space="preserve">“制造商企业类型”栏填写内容为“大型”“中型”“小型”“微型”“监狱企业”或“残疾人福利性单位”。</w:t>
      </w:r>
      <w:r/>
    </w:p>
    <w:p>
      <w:pPr>
        <w:ind w:firstLine="42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lang w:eastAsia="zh-CN"/>
        </w:rPr>
        <w:t xml:space="preserve">2.</w:t>
      </w:r>
      <w:r>
        <w:rPr>
          <w:rFonts w:hint="eastAsia" w:asciiTheme="minorEastAsia" w:hAnsiTheme="minorEastAsia" w:eastAsiaTheme="minorEastAsia" w:cstheme="minorEastAsia"/>
          <w:color w:val="000000"/>
          <w:sz w:val="22"/>
          <w:highlight w:val="none"/>
        </w:rPr>
        <w:t xml:space="preserve">以上报价包含货物费用、运杂费、安装施工费、集成费、税金和其他费用。</w:t>
      </w:r>
      <w:r/>
    </w:p>
    <w:p>
      <w:pPr>
        <w:ind w:firstLine="42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lang w:eastAsia="zh-CN"/>
        </w:rPr>
        <w:t xml:space="preserve">3.</w:t>
      </w:r>
      <w:r>
        <w:rPr>
          <w:rFonts w:hint="eastAsia" w:asciiTheme="minorEastAsia" w:hAnsiTheme="minorEastAsia" w:eastAsiaTheme="minorEastAsia" w:cstheme="minorEastAsia"/>
          <w:color w:val="000000"/>
          <w:sz w:val="22"/>
          <w:highlight w:val="none"/>
        </w:rPr>
        <w:t xml:space="preserve">请供应商如实、正确填写本表，所填内容将作为评审的依据，其内容应与对应的证明资料相符。</w:t>
      </w:r>
      <w:r/>
    </w:p>
    <w:p>
      <w:pPr>
        <w:ind w:firstLine="420"/>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lang w:eastAsia="zh-CN"/>
        </w:rPr>
        <w:t xml:space="preserve">4.</w:t>
      </w:r>
      <w:r>
        <w:rPr>
          <w:rFonts w:hint="eastAsia" w:asciiTheme="minorEastAsia" w:hAnsiTheme="minorEastAsia" w:eastAsiaTheme="minorEastAsia" w:cstheme="minorEastAsia"/>
          <w:color w:val="000000"/>
          <w:sz w:val="22"/>
          <w:highlight w:val="none"/>
        </w:rPr>
        <w:t xml:space="preserve">投标分项报价表应按照货物标的采购清单填写，不得增减项目清单内容。行数或事项不够，可自行增加。</w:t>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jc w:val="left"/>
        <w:keepLines/>
        <w:keepNext/>
        <w:spacing w:before="360" w:after="200" w:line="360" w:lineRule="auto"/>
        <w:rPr>
          <w:rFonts w:asciiTheme="minorEastAsia" w:hAnsiTheme="minorEastAsia" w:eastAsiaTheme="minorEastAsia" w:cstheme="minorEastAsia"/>
          <w:i/>
          <w:iCs/>
          <w:sz w:val="28"/>
          <w:szCs w:val="28"/>
          <w:highlight w:val="none"/>
          <w:u w:val="single"/>
        </w:rPr>
        <w:outlineLvl w:val="0"/>
      </w:pPr>
      <w:r/>
      <w:bookmarkStart w:id="218" w:name="_Toc7671"/>
      <w:r>
        <w:rPr>
          <w:rFonts w:hint="eastAsia" w:asciiTheme="minorEastAsia" w:hAnsiTheme="minorEastAsia" w:eastAsiaTheme="minorEastAsia" w:cstheme="minorEastAsia"/>
          <w:i/>
          <w:iCs/>
          <w:sz w:val="28"/>
          <w:szCs w:val="28"/>
          <w:highlight w:val="none"/>
          <w:u w:val="single"/>
        </w:rPr>
        <w:t xml:space="preserve">十五、技术要求响应及偏离表（分包号：**）</w:t>
      </w:r>
      <w:bookmarkEnd w:id="218"/>
      <w:r/>
      <w:r/>
    </w:p>
    <w:p>
      <w:pPr>
        <w:jc w:val="center"/>
        <w:spacing w:line="360" w:lineRule="auto"/>
        <w:tabs>
          <w:tab w:val="left" w:pos="360" w:leader="none"/>
        </w:tabs>
        <w:rPr>
          <w:rFonts w:asciiTheme="minorEastAsia" w:hAnsiTheme="minorEastAsia" w:eastAsiaTheme="minorEastAsia" w:cstheme="minorEastAsia"/>
          <w:bCs/>
          <w:sz w:val="22"/>
          <w:highlight w:val="none"/>
        </w:rPr>
      </w:pPr>
      <w:r>
        <w:rPr>
          <w:rFonts w:hint="eastAsia" w:asciiTheme="minorEastAsia" w:hAnsiTheme="minorEastAsia" w:eastAsiaTheme="minorEastAsia" w:cstheme="minorEastAsia"/>
          <w:bCs/>
          <w:sz w:val="22"/>
          <w:highlight w:val="none"/>
        </w:rPr>
        <w:t xml:space="preserve">技术要求响应及偏离表</w:t>
      </w:r>
      <w:r/>
    </w:p>
    <w:p>
      <w:pPr>
        <w:jc w:val="left"/>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color w:val="000000"/>
          <w:sz w:val="22"/>
          <w:highlight w:val="none"/>
        </w:rPr>
        <w:t xml:space="preserve">项目名称：      项目编号：      分包号：</w:t>
      </w:r>
      <w:r/>
    </w:p>
    <w:tbl>
      <w:tblPr>
        <w:tblStyle w:val="82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3792"/>
        <w:gridCol w:w="3502"/>
        <w:gridCol w:w="1620"/>
      </w:tblGrid>
      <w:tr>
        <w:trPr>
          <w:cantSplit/>
          <w:jc w:val="center"/>
        </w:trPr>
        <w:tc>
          <w:tcPr>
            <w:tcW w:w="475"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序号</w:t>
            </w:r>
            <w:r/>
          </w:p>
        </w:tc>
        <w:tc>
          <w:tcPr>
            <w:tcW w:w="1924"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招标文件要求</w:t>
            </w:r>
            <w:r/>
          </w:p>
        </w:tc>
        <w:tc>
          <w:tcPr>
            <w:tcW w:w="1777"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投标响应情况</w:t>
            </w:r>
            <w:r/>
          </w:p>
        </w:tc>
        <w:tc>
          <w:tcPr>
            <w:tcW w:w="822"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超出、符合或偏离</w:t>
            </w:r>
            <w:r/>
          </w:p>
        </w:tc>
      </w:tr>
      <w:tr>
        <w:trPr>
          <w:cantSplit/>
          <w:jc w:val="center"/>
          <w:trHeight w:val="640"/>
        </w:trPr>
        <w:tc>
          <w:tcPr>
            <w:tcW w:w="475"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c>
          <w:tcPr>
            <w:tcW w:w="1924"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1777"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822"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r>
        <w:trPr>
          <w:cantSplit/>
          <w:jc w:val="center"/>
          <w:trHeight w:val="640"/>
        </w:trPr>
        <w:tc>
          <w:tcPr>
            <w:tcW w:w="475"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c>
          <w:tcPr>
            <w:tcW w:w="1924"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1777"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822"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r>
        <w:trPr>
          <w:cantSplit/>
          <w:jc w:val="center"/>
          <w:trHeight w:val="640"/>
        </w:trPr>
        <w:tc>
          <w:tcPr>
            <w:tcW w:w="475"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3</w:t>
            </w:r>
            <w:r/>
          </w:p>
        </w:tc>
        <w:tc>
          <w:tcPr>
            <w:tcW w:w="1924"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1777"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822"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r>
        <w:trPr>
          <w:cantSplit/>
          <w:jc w:val="center"/>
          <w:trHeight w:val="640"/>
        </w:trPr>
        <w:tc>
          <w:tcPr>
            <w:tcW w:w="475"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w:t>
            </w:r>
            <w:r/>
          </w:p>
        </w:tc>
        <w:tc>
          <w:tcPr>
            <w:tcW w:w="1924"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1777"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822"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bl>
    <w:p>
      <w:pPr>
        <w:ind w:firstLine="480"/>
        <w:spacing w:line="500" w:lineRule="exact"/>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p>
      <w:pPr>
        <w:ind w:firstLine="480"/>
        <w:spacing w:line="500" w:lineRule="exact"/>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投标人（盖章）：</w:t>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法定代表人</w:t>
      </w:r>
      <w:r>
        <w:rPr>
          <w:rFonts w:hint="eastAsia" w:asciiTheme="minorEastAsia" w:hAnsiTheme="minorEastAsia" w:eastAsiaTheme="minorEastAsia" w:cstheme="minorEastAsia"/>
          <w:sz w:val="22"/>
          <w:highlight w:val="none"/>
        </w:rPr>
        <w:t xml:space="preserve">（单位负责人）</w:t>
      </w:r>
      <w:r>
        <w:rPr>
          <w:rFonts w:hint="eastAsia" w:asciiTheme="minorEastAsia" w:hAnsiTheme="minorEastAsia" w:eastAsiaTheme="minorEastAsia" w:cstheme="minorEastAsia"/>
          <w:color w:val="000000"/>
          <w:sz w:val="22"/>
          <w:highlight w:val="none"/>
        </w:rPr>
        <w:t xml:space="preserve">或委托代理人（签字或盖章）：</w:t>
      </w:r>
      <w:r/>
    </w:p>
    <w:p>
      <w:pPr>
        <w:ind w:firstLine="480"/>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日期：    年     月     日</w:t>
      </w:r>
      <w:r/>
    </w:p>
    <w:p>
      <w:pPr>
        <w:rPr>
          <w:rFonts w:asciiTheme="minorEastAsia" w:hAnsiTheme="minorEastAsia" w:eastAsiaTheme="minorEastAsia" w:cstheme="minorEastAsia"/>
          <w:sz w:val="22"/>
          <w:highlight w:val="none"/>
        </w:rPr>
      </w:pPr>
      <w:r>
        <w:rPr>
          <w:rFonts w:asciiTheme="minorEastAsia" w:hAnsiTheme="minorEastAsia" w:eastAsiaTheme="minorEastAsia" w:cstheme="minorEastAsia"/>
          <w:sz w:val="22"/>
          <w:highlight w:val="none"/>
        </w:rPr>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jc w:val="left"/>
        <w:keepLines/>
        <w:keepNext/>
        <w:spacing w:before="360" w:after="200" w:line="360" w:lineRule="auto"/>
        <w:rPr>
          <w:rFonts w:asciiTheme="minorEastAsia" w:hAnsiTheme="minorEastAsia" w:eastAsiaTheme="minorEastAsia" w:cstheme="minorEastAsia"/>
          <w:i/>
          <w:iCs/>
          <w:sz w:val="28"/>
          <w:szCs w:val="28"/>
          <w:highlight w:val="none"/>
          <w:u w:val="single"/>
        </w:rPr>
        <w:outlineLvl w:val="0"/>
      </w:pPr>
      <w:r/>
      <w:bookmarkStart w:id="219" w:name="_Hlt26955054"/>
      <w:r/>
      <w:bookmarkEnd w:id="219"/>
      <w:r/>
      <w:bookmarkStart w:id="220" w:name="_Toc1481"/>
      <w:r>
        <w:rPr>
          <w:rFonts w:hint="eastAsia" w:asciiTheme="minorEastAsia" w:hAnsiTheme="minorEastAsia" w:eastAsiaTheme="minorEastAsia" w:cstheme="minorEastAsia"/>
          <w:i/>
          <w:iCs/>
          <w:sz w:val="28"/>
          <w:szCs w:val="28"/>
          <w:highlight w:val="none"/>
          <w:u w:val="single"/>
        </w:rPr>
        <w:t xml:space="preserve">十六、商务要求响应及偏离表（分包号：**）</w:t>
      </w:r>
      <w:bookmarkEnd w:id="220"/>
      <w:r/>
      <w:r/>
    </w:p>
    <w:p>
      <w:pPr>
        <w:jc w:val="center"/>
        <w:spacing w:line="360" w:lineRule="auto"/>
        <w:tabs>
          <w:tab w:val="left" w:pos="360" w:leader="none"/>
        </w:tabs>
        <w:rPr>
          <w:rFonts w:asciiTheme="minorEastAsia" w:hAnsiTheme="minorEastAsia" w:eastAsiaTheme="minorEastAsia" w:cstheme="minorEastAsia"/>
          <w:bCs/>
          <w:sz w:val="36"/>
          <w:szCs w:val="28"/>
          <w:highlight w:val="none"/>
        </w:rPr>
      </w:pPr>
      <w:r>
        <w:rPr>
          <w:rFonts w:hint="eastAsia" w:asciiTheme="minorEastAsia" w:hAnsiTheme="minorEastAsia" w:eastAsiaTheme="minorEastAsia" w:cstheme="minorEastAsia"/>
          <w:bCs/>
          <w:sz w:val="36"/>
          <w:szCs w:val="28"/>
          <w:highlight w:val="none"/>
        </w:rPr>
        <w:t xml:space="preserve">商务要求响应及偏离表</w:t>
      </w:r>
      <w:r/>
    </w:p>
    <w:p>
      <w:pPr>
        <w:jc w:val="left"/>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color w:val="000000"/>
          <w:sz w:val="22"/>
          <w:highlight w:val="none"/>
        </w:rPr>
        <w:t xml:space="preserve">项目名称：      项目编号：      分包号：</w:t>
      </w:r>
      <w:r/>
    </w:p>
    <w:tbl>
      <w:tblPr>
        <w:tblStyle w:val="82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3780"/>
        <w:gridCol w:w="3514"/>
        <w:gridCol w:w="1610"/>
      </w:tblGrid>
      <w:tr>
        <w:trPr>
          <w:cantSplit/>
        </w:trPr>
        <w:tc>
          <w:tcPr>
            <w:tcW w:w="480" w:type="pct"/>
            <w:vAlign w:val="center"/>
            <w:textDirection w:val="lrTb"/>
            <w:noWrap w:val="false"/>
          </w:tcPr>
          <w:p>
            <w:pPr>
              <w:jc w:val="center"/>
              <w:rPr>
                <w:rFonts w:asciiTheme="minorEastAsia" w:hAnsiTheme="minorEastAsia" w:eastAsiaTheme="minorEastAsia" w:cstheme="minorEastAsia"/>
                <w:color w:val="000000"/>
                <w:sz w:val="22"/>
                <w:highlight w:val="none"/>
              </w:rPr>
            </w:pPr>
            <w:r/>
            <w:bookmarkStart w:id="221" w:name="_Hlt26955056"/>
            <w:r/>
            <w:bookmarkEnd w:id="221"/>
            <w:r/>
            <w:bookmarkStart w:id="222" w:name="_Hlt24879081"/>
            <w:r/>
            <w:bookmarkEnd w:id="222"/>
            <w:r/>
            <w:bookmarkStart w:id="223" w:name="_Hlt26955064"/>
            <w:r/>
            <w:bookmarkEnd w:id="223"/>
            <w:r/>
            <w:bookmarkStart w:id="224" w:name="_Hlt26609391"/>
            <w:r/>
            <w:bookmarkEnd w:id="224"/>
            <w:r/>
            <w:bookmarkStart w:id="225" w:name="_Hlt26671372"/>
            <w:r/>
            <w:bookmarkEnd w:id="225"/>
            <w:r/>
            <w:bookmarkStart w:id="226" w:name="_Hlt26580838"/>
            <w:r/>
            <w:bookmarkEnd w:id="226"/>
            <w:r/>
            <w:bookmarkStart w:id="227" w:name="_Hlt26782999"/>
            <w:r/>
            <w:bookmarkEnd w:id="227"/>
            <w:r/>
            <w:bookmarkStart w:id="228" w:name="_Hlt26671343"/>
            <w:r/>
            <w:bookmarkEnd w:id="228"/>
            <w:r>
              <w:rPr>
                <w:rFonts w:hint="eastAsia" w:asciiTheme="minorEastAsia" w:hAnsiTheme="minorEastAsia" w:eastAsiaTheme="minorEastAsia" w:cstheme="minorEastAsia"/>
                <w:color w:val="000000"/>
                <w:sz w:val="22"/>
                <w:highlight w:val="none"/>
              </w:rPr>
              <w:t xml:space="preserve">序号</w:t>
            </w:r>
            <w:r/>
          </w:p>
        </w:tc>
        <w:tc>
          <w:tcPr>
            <w:tcW w:w="1918"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招标文件要求</w:t>
            </w:r>
            <w:r/>
          </w:p>
        </w:tc>
        <w:tc>
          <w:tcPr>
            <w:tcW w:w="1783"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投标响应情况</w:t>
            </w:r>
            <w:r/>
          </w:p>
        </w:tc>
        <w:tc>
          <w:tcPr>
            <w:tcW w:w="817"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超出、符合或偏离</w:t>
            </w:r>
            <w:r/>
          </w:p>
        </w:tc>
      </w:tr>
      <w:tr>
        <w:trPr>
          <w:cantSplit/>
          <w:trHeight w:val="640"/>
        </w:trPr>
        <w:tc>
          <w:tcPr>
            <w:tcW w:w="480"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1</w:t>
            </w:r>
            <w:r/>
          </w:p>
        </w:tc>
        <w:tc>
          <w:tcPr>
            <w:tcW w:w="1918"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1783"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817"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r>
        <w:trPr>
          <w:cantSplit/>
          <w:trHeight w:val="640"/>
        </w:trPr>
        <w:tc>
          <w:tcPr>
            <w:tcW w:w="480"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2</w:t>
            </w:r>
            <w:r/>
          </w:p>
        </w:tc>
        <w:tc>
          <w:tcPr>
            <w:tcW w:w="1918"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1783"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817"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r>
        <w:trPr>
          <w:cantSplit/>
          <w:trHeight w:val="640"/>
        </w:trPr>
        <w:tc>
          <w:tcPr>
            <w:tcW w:w="480"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3</w:t>
            </w:r>
            <w:r/>
          </w:p>
        </w:tc>
        <w:tc>
          <w:tcPr>
            <w:tcW w:w="1918"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1783"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817"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r>
        <w:trPr>
          <w:cantSplit/>
          <w:trHeight w:val="640"/>
        </w:trPr>
        <w:tc>
          <w:tcPr>
            <w:tcW w:w="480"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w:t>
            </w:r>
            <w:r/>
          </w:p>
        </w:tc>
        <w:tc>
          <w:tcPr>
            <w:tcW w:w="1918"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1783"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817"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bl>
    <w:p>
      <w:pPr>
        <w:ind w:firstLine="480"/>
        <w:spacing w:line="500" w:lineRule="exact"/>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p>
      <w:pPr>
        <w:ind w:firstLine="480"/>
        <w:spacing w:line="500" w:lineRule="exact"/>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投标人（盖章）：</w:t>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法定代表人</w:t>
      </w:r>
      <w:r>
        <w:rPr>
          <w:rFonts w:hint="eastAsia" w:asciiTheme="minorEastAsia" w:hAnsiTheme="minorEastAsia" w:eastAsiaTheme="minorEastAsia" w:cstheme="minorEastAsia"/>
          <w:sz w:val="22"/>
          <w:highlight w:val="none"/>
        </w:rPr>
        <w:t xml:space="preserve">（单位负责人）</w:t>
      </w:r>
      <w:r>
        <w:rPr>
          <w:rFonts w:hint="eastAsia" w:asciiTheme="minorEastAsia" w:hAnsiTheme="minorEastAsia" w:eastAsiaTheme="minorEastAsia" w:cstheme="minorEastAsia"/>
          <w:color w:val="000000"/>
          <w:sz w:val="22"/>
          <w:highlight w:val="none"/>
        </w:rPr>
        <w:t xml:space="preserve">或委托代理人（签字或盖章）：</w:t>
      </w:r>
      <w:r/>
    </w:p>
    <w:p>
      <w:pPr>
        <w:ind w:firstLine="480"/>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日期：    年     月     日</w:t>
      </w:r>
      <w:r/>
    </w:p>
    <w:p>
      <w:pPr>
        <w:rPr>
          <w:rFonts w:asciiTheme="minorEastAsia" w:hAnsiTheme="minorEastAsia" w:eastAsiaTheme="minorEastAsia" w:cstheme="minorEastAsia"/>
          <w:sz w:val="22"/>
          <w:highlight w:val="none"/>
        </w:rPr>
      </w:pPr>
      <w:r/>
      <w:bookmarkStart w:id="229" w:name="_Hlt26671374"/>
      <w:r/>
      <w:bookmarkEnd w:id="229"/>
      <w:r/>
      <w:bookmarkStart w:id="230" w:name="_Hlt26609389"/>
      <w:r/>
      <w:bookmarkEnd w:id="230"/>
      <w:r/>
      <w:bookmarkStart w:id="231" w:name="_格式2__法定代表人授权书"/>
      <w:r/>
      <w:bookmarkEnd w:id="231"/>
      <w:r/>
      <w:bookmarkStart w:id="232" w:name="_Hlt26955066"/>
      <w:r/>
      <w:bookmarkEnd w:id="232"/>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53"/>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jc w:val="left"/>
        <w:keepLines/>
        <w:keepNext/>
        <w:spacing w:before="360" w:after="200" w:line="360" w:lineRule="auto"/>
        <w:rPr>
          <w:rFonts w:asciiTheme="minorEastAsia" w:hAnsiTheme="minorEastAsia" w:eastAsiaTheme="minorEastAsia" w:cstheme="minorEastAsia"/>
          <w:iCs/>
          <w:sz w:val="28"/>
          <w:szCs w:val="28"/>
          <w:highlight w:val="none"/>
        </w:rPr>
        <w:outlineLvl w:val="0"/>
      </w:pPr>
      <w:r/>
      <w:bookmarkStart w:id="233" w:name="_Toc25843"/>
      <w:r>
        <w:rPr>
          <w:rFonts w:hint="eastAsia" w:asciiTheme="minorEastAsia" w:hAnsiTheme="minorEastAsia" w:eastAsiaTheme="minorEastAsia" w:cstheme="minorEastAsia"/>
          <w:iCs/>
          <w:sz w:val="28"/>
          <w:szCs w:val="28"/>
          <w:highlight w:val="none"/>
        </w:rPr>
        <w:t xml:space="preserve">十七、类似项目业绩一览表（分包号：**）</w:t>
      </w:r>
      <w:bookmarkEnd w:id="233"/>
      <w:r/>
      <w:r/>
    </w:p>
    <w:p>
      <w:pPr>
        <w:jc w:val="center"/>
        <w:spacing w:line="360" w:lineRule="auto"/>
        <w:tabs>
          <w:tab w:val="left" w:pos="360" w:leader="none"/>
        </w:tabs>
        <w:rPr>
          <w:rFonts w:asciiTheme="minorEastAsia" w:hAnsiTheme="minorEastAsia" w:eastAsiaTheme="minorEastAsia" w:cstheme="minorEastAsia"/>
          <w:bCs/>
          <w:sz w:val="36"/>
          <w:szCs w:val="28"/>
          <w:highlight w:val="none"/>
        </w:rPr>
      </w:pPr>
      <w:r>
        <w:rPr>
          <w:rFonts w:hint="eastAsia" w:asciiTheme="minorEastAsia" w:hAnsiTheme="minorEastAsia" w:eastAsiaTheme="minorEastAsia" w:cstheme="minorEastAsia"/>
          <w:bCs/>
          <w:sz w:val="36"/>
          <w:szCs w:val="28"/>
          <w:highlight w:val="none"/>
        </w:rPr>
        <w:t xml:space="preserve">类似项目业绩一览表</w:t>
      </w:r>
      <w:r/>
    </w:p>
    <w:p>
      <w:pPr>
        <w:jc w:val="left"/>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 w:val="24"/>
          <w:szCs w:val="24"/>
          <w:highlight w:val="none"/>
        </w:rPr>
        <w:t xml:space="preserve">项目名称：      项目编号：      分包号：</w:t>
      </w:r>
      <w:r/>
    </w:p>
    <w:tbl>
      <w:tblPr>
        <w:tblStyle w:val="82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3113"/>
        <w:gridCol w:w="2143"/>
        <w:gridCol w:w="2298"/>
        <w:gridCol w:w="1516"/>
      </w:tblGrid>
      <w:tr>
        <w:trPr>
          <w:cantSplit/>
          <w:jc w:val="center"/>
        </w:trPr>
        <w:tc>
          <w:tcPr>
            <w:tcW w:w="396"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序号</w:t>
            </w:r>
            <w:r/>
          </w:p>
        </w:tc>
        <w:tc>
          <w:tcPr>
            <w:tcW w:w="1579"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项目名称</w:t>
            </w:r>
            <w:r/>
          </w:p>
        </w:tc>
        <w:tc>
          <w:tcPr>
            <w:tcW w:w="1087"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签订时间</w:t>
            </w:r>
            <w:r/>
          </w:p>
        </w:tc>
        <w:tc>
          <w:tcPr>
            <w:tcW w:w="1166"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采购单位</w:t>
            </w:r>
            <w:r/>
          </w:p>
        </w:tc>
        <w:tc>
          <w:tcPr>
            <w:tcW w:w="769"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主要标的</w:t>
            </w:r>
            <w:r/>
          </w:p>
        </w:tc>
      </w:tr>
      <w:tr>
        <w:trPr>
          <w:cantSplit/>
          <w:jc w:val="center"/>
          <w:trHeight w:val="640"/>
        </w:trPr>
        <w:tc>
          <w:tcPr>
            <w:tcW w:w="396"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p>
        </w:tc>
        <w:tc>
          <w:tcPr>
            <w:tcW w:w="1579"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W w:w="1087" w:type="pc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W w:w="1166"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W w:w="769"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cantSplit/>
          <w:jc w:val="center"/>
          <w:trHeight w:val="640"/>
        </w:trPr>
        <w:tc>
          <w:tcPr>
            <w:tcW w:w="396"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tcW w:w="1579"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W w:w="1087" w:type="pc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W w:w="1166"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W w:w="769"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cantSplit/>
          <w:jc w:val="center"/>
          <w:trHeight w:val="640"/>
        </w:trPr>
        <w:tc>
          <w:tcPr>
            <w:tcW w:w="396"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p>
        </w:tc>
        <w:tc>
          <w:tcPr>
            <w:tcW w:w="1579"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W w:w="1087" w:type="pc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W w:w="1166"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W w:w="769"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r>
        <w:trPr>
          <w:cantSplit/>
          <w:jc w:val="center"/>
          <w:trHeight w:val="640"/>
        </w:trPr>
        <w:tc>
          <w:tcPr>
            <w:tcW w:w="396"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p>
        </w:tc>
        <w:tc>
          <w:tcPr>
            <w:tcW w:w="1579"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W w:w="1087" w:type="pct"/>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W w:w="1166"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W w:w="769"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r>
    </w:tbl>
    <w:p>
      <w:pPr>
        <w:ind w:firstLine="480"/>
        <w:spacing w:line="500" w:lineRule="exac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ind w:firstLine="480"/>
        <w:spacing w:line="500" w:lineRule="exac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投标人（盖章）：</w:t>
      </w:r>
      <w:r/>
    </w:p>
    <w:p>
      <w:pPr>
        <w:ind w:firstLine="480"/>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法定代表人</w:t>
      </w:r>
      <w:r>
        <w:rPr>
          <w:rFonts w:hint="eastAsia" w:asciiTheme="minorEastAsia" w:hAnsiTheme="minorEastAsia" w:eastAsiaTheme="minorEastAsia" w:cstheme="minorEastAsia"/>
          <w:sz w:val="24"/>
          <w:szCs w:val="24"/>
          <w:highlight w:val="none"/>
        </w:rPr>
        <w:t xml:space="preserve">（单位负责人）</w:t>
      </w:r>
      <w:r>
        <w:rPr>
          <w:rFonts w:hint="eastAsia" w:asciiTheme="minorEastAsia" w:hAnsiTheme="minorEastAsia" w:eastAsiaTheme="minorEastAsia" w:cstheme="minorEastAsia"/>
          <w:color w:val="000000"/>
          <w:sz w:val="24"/>
          <w:szCs w:val="24"/>
          <w:highlight w:val="none"/>
        </w:rPr>
        <w:t xml:space="preserve">或委托代理人（签字或盖章）：</w:t>
      </w:r>
      <w:r/>
    </w:p>
    <w:p>
      <w:pPr>
        <w:ind w:firstLine="480"/>
        <w:spacing w:line="5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日期：    年     月     日</w:t>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jc w:val="left"/>
        <w:keepLines/>
        <w:spacing w:before="360" w:after="200" w:line="360" w:lineRule="auto"/>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pStyle w:val="853"/>
        <w:rPr>
          <w:rFonts w:asciiTheme="minorEastAsia" w:hAnsiTheme="minorEastAsia" w:eastAsiaTheme="minorEastAsia" w:cstheme="minorEastAsia"/>
          <w:iCs/>
          <w:sz w:val="28"/>
          <w:szCs w:val="28"/>
          <w:highlight w:val="none"/>
        </w:rPr>
      </w:pPr>
      <w:r>
        <w:rPr>
          <w:rFonts w:asciiTheme="minorEastAsia" w:hAnsiTheme="minorEastAsia" w:eastAsiaTheme="minorEastAsia" w:cstheme="minorEastAsia"/>
          <w:iCs/>
          <w:sz w:val="28"/>
          <w:szCs w:val="28"/>
          <w:highlight w:val="none"/>
        </w:rPr>
      </w:r>
      <w:r/>
    </w:p>
    <w:p>
      <w:pPr>
        <w:jc w:val="left"/>
        <w:keepLines/>
        <w:spacing w:before="360" w:after="200" w:line="360" w:lineRule="auto"/>
        <w:rPr>
          <w:rFonts w:asciiTheme="minorEastAsia" w:hAnsiTheme="minorEastAsia" w:eastAsiaTheme="minorEastAsia" w:cstheme="minorEastAsia"/>
          <w:iCs/>
          <w:sz w:val="28"/>
          <w:szCs w:val="28"/>
          <w:highlight w:val="none"/>
        </w:rPr>
        <w:outlineLvl w:val="0"/>
      </w:pPr>
      <w:r/>
      <w:bookmarkStart w:id="234" w:name="_Toc21638"/>
      <w:r>
        <w:rPr>
          <w:rFonts w:hint="eastAsia" w:asciiTheme="minorEastAsia" w:hAnsiTheme="minorEastAsia" w:eastAsiaTheme="minorEastAsia" w:cstheme="minorEastAsia"/>
          <w:iCs/>
          <w:sz w:val="28"/>
          <w:szCs w:val="28"/>
          <w:highlight w:val="none"/>
        </w:rPr>
        <w:t xml:space="preserve">十八、项目团队人员一览表（分包号：**）</w:t>
      </w:r>
      <w:bookmarkEnd w:id="234"/>
      <w:r/>
      <w:r/>
    </w:p>
    <w:p>
      <w:pPr>
        <w:jc w:val="center"/>
        <w:spacing w:line="360" w:lineRule="auto"/>
        <w:tabs>
          <w:tab w:val="left" w:pos="360" w:leader="none"/>
        </w:tabs>
        <w:rPr>
          <w:rFonts w:asciiTheme="minorEastAsia" w:hAnsiTheme="minorEastAsia" w:eastAsiaTheme="minorEastAsia" w:cstheme="minorEastAsia"/>
          <w:bCs/>
          <w:sz w:val="36"/>
          <w:szCs w:val="28"/>
          <w:highlight w:val="none"/>
        </w:rPr>
      </w:pPr>
      <w:r>
        <w:rPr>
          <w:rFonts w:hint="eastAsia" w:asciiTheme="minorEastAsia" w:hAnsiTheme="minorEastAsia" w:eastAsiaTheme="minorEastAsia" w:cstheme="minorEastAsia"/>
          <w:bCs/>
          <w:sz w:val="36"/>
          <w:szCs w:val="28"/>
          <w:highlight w:val="none"/>
        </w:rPr>
        <w:t xml:space="preserve">项目团队人员一览表</w:t>
      </w:r>
      <w:r/>
    </w:p>
    <w:p>
      <w:pPr>
        <w:jc w:val="left"/>
        <w:spacing w:line="360" w:lineRule="auto"/>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color w:val="000000"/>
          <w:sz w:val="22"/>
          <w:highlight w:val="none"/>
        </w:rPr>
        <w:t xml:space="preserve">项目名称：      项目编号：      分包号：</w:t>
      </w:r>
      <w:r/>
    </w:p>
    <w:tbl>
      <w:tblPr>
        <w:tblStyle w:val="82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1674"/>
        <w:gridCol w:w="2594"/>
        <w:gridCol w:w="1313"/>
        <w:gridCol w:w="1313"/>
        <w:gridCol w:w="1855"/>
      </w:tblGrid>
      <w:tr>
        <w:trPr>
          <w:cantSplit/>
          <w:jc w:val="center"/>
        </w:trPr>
        <w:tc>
          <w:tcPr>
            <w:tcW w:w="558"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姓名</w:t>
            </w:r>
            <w:r/>
          </w:p>
        </w:tc>
        <w:tc>
          <w:tcPr>
            <w:tcW w:w="850"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本项目拟担任职务</w:t>
            </w:r>
            <w:r/>
          </w:p>
        </w:tc>
        <w:tc>
          <w:tcPr>
            <w:tcW w:w="1316"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技术职称、专业资质</w:t>
            </w:r>
            <w:r/>
          </w:p>
        </w:tc>
        <w:tc>
          <w:tcPr>
            <w:tcW w:w="666"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学历</w:t>
            </w:r>
            <w:r/>
          </w:p>
        </w:tc>
        <w:tc>
          <w:tcPr>
            <w:tcW w:w="666"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年龄</w:t>
            </w:r>
            <w:r/>
          </w:p>
        </w:tc>
        <w:tc>
          <w:tcPr>
            <w:tcW w:w="941"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主要资历及担任过的职务</w:t>
            </w:r>
            <w:r/>
          </w:p>
        </w:tc>
      </w:tr>
      <w:tr>
        <w:trPr>
          <w:cantSplit/>
          <w:jc w:val="center"/>
          <w:trHeight w:val="640"/>
        </w:trPr>
        <w:tc>
          <w:tcPr>
            <w:tcW w:w="558"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850"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1316" w:type="pct"/>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66" w:type="pct"/>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根据项目需求、评分办法确定一览表格式</w:t>
            </w:r>
            <w:r/>
          </w:p>
        </w:tc>
        <w:tc>
          <w:tcPr>
            <w:tcW w:w="666"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根据项目需求、评分办法确定一览表格式</w:t>
            </w:r>
            <w:r/>
          </w:p>
        </w:tc>
        <w:tc>
          <w:tcPr>
            <w:tcW w:w="941"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r>
        <w:trPr>
          <w:cantSplit/>
          <w:jc w:val="center"/>
          <w:trHeight w:val="640"/>
        </w:trPr>
        <w:tc>
          <w:tcPr>
            <w:tcW w:w="558"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850"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1316" w:type="pct"/>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66" w:type="pct"/>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66"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941"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r>
        <w:trPr>
          <w:cantSplit/>
          <w:jc w:val="center"/>
          <w:trHeight w:val="640"/>
        </w:trPr>
        <w:tc>
          <w:tcPr>
            <w:tcW w:w="558"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850"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1316" w:type="pct"/>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66" w:type="pct"/>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66"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941"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r>
        <w:trPr>
          <w:cantSplit/>
          <w:jc w:val="center"/>
          <w:trHeight w:val="640"/>
        </w:trPr>
        <w:tc>
          <w:tcPr>
            <w:tcW w:w="558"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850"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1316" w:type="pct"/>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66" w:type="pct"/>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666"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941" w:type="pct"/>
            <w:vAlign w:val="center"/>
            <w:textDirection w:val="lrTb"/>
            <w:noWrap w:val="false"/>
          </w:tcPr>
          <w:p>
            <w:pPr>
              <w:jc w:val="center"/>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bl>
    <w:p>
      <w:pPr>
        <w:ind w:firstLine="480"/>
        <w:spacing w:line="500" w:lineRule="exac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ind w:firstLine="480"/>
        <w:spacing w:line="500" w:lineRule="exac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投标人（盖章）：</w:t>
      </w:r>
      <w:r/>
    </w:p>
    <w:p>
      <w:pPr>
        <w:ind w:firstLine="480"/>
        <w:spacing w:line="360" w:lineRule="auto"/>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法定代表人</w:t>
      </w:r>
      <w:r>
        <w:rPr>
          <w:rFonts w:hint="eastAsia" w:asciiTheme="minorEastAsia" w:hAnsiTheme="minorEastAsia" w:eastAsiaTheme="minorEastAsia" w:cstheme="minorEastAsia"/>
          <w:sz w:val="22"/>
          <w:highlight w:val="none"/>
        </w:rPr>
        <w:t xml:space="preserve">（单位负责人）</w:t>
      </w:r>
      <w:r>
        <w:rPr>
          <w:rFonts w:hint="eastAsia" w:asciiTheme="minorEastAsia" w:hAnsiTheme="minorEastAsia" w:eastAsiaTheme="minorEastAsia" w:cstheme="minorEastAsia"/>
          <w:color w:val="000000"/>
          <w:sz w:val="22"/>
          <w:highlight w:val="none"/>
        </w:rPr>
        <w:t xml:space="preserve">或委托代理人（签字或盖章）：</w:t>
      </w:r>
      <w:r/>
    </w:p>
    <w:p>
      <w:pPr>
        <w:ind w:firstLine="480"/>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日期：    年     月     日</w:t>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ind w:firstLine="643"/>
        <w:jc w:val="left"/>
        <w:spacing w:line="500" w:lineRule="exact"/>
        <w:rPr>
          <w:rFonts w:asciiTheme="minorEastAsia" w:hAnsiTheme="minorEastAsia" w:eastAsiaTheme="minorEastAsia" w:cstheme="minorEastAsia"/>
          <w:b/>
          <w:color w:val="000000"/>
          <w:sz w:val="32"/>
          <w:szCs w:val="32"/>
          <w:highlight w:val="none"/>
        </w:rPr>
      </w:pPr>
      <w:r>
        <w:rPr>
          <w:rFonts w:asciiTheme="minorEastAsia" w:hAnsiTheme="minorEastAsia" w:eastAsiaTheme="minorEastAsia" w:cstheme="minorEastAsia"/>
          <w:b/>
          <w:color w:val="000000"/>
          <w:sz w:val="32"/>
          <w:szCs w:val="32"/>
          <w:highlight w:val="none"/>
        </w:rPr>
      </w:r>
      <w:r/>
    </w:p>
    <w:p>
      <w:pPr>
        <w:pStyle w:val="853"/>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pStyle w:val="853"/>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pStyle w:val="853"/>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pStyle w:val="853"/>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pStyle w:val="853"/>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pStyle w:val="853"/>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pStyle w:val="853"/>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pStyle w:val="853"/>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pStyle w:val="853"/>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pStyle w:val="853"/>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pStyle w:val="853"/>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pStyle w:val="853"/>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jc w:val="left"/>
        <w:rPr>
          <w:rFonts w:asciiTheme="minorEastAsia" w:hAnsiTheme="minorEastAsia" w:eastAsiaTheme="minorEastAsia" w:cstheme="minorEastAsia"/>
          <w:color w:val="000000"/>
          <w:sz w:val="28"/>
          <w:szCs w:val="28"/>
          <w:highlight w:val="none"/>
        </w:rPr>
        <w:outlineLvl w:val="0"/>
      </w:pPr>
      <w:r/>
      <w:bookmarkStart w:id="235" w:name="_Toc11208"/>
      <w:r>
        <w:rPr>
          <w:rFonts w:hint="eastAsia" w:asciiTheme="minorEastAsia" w:hAnsiTheme="minorEastAsia" w:eastAsiaTheme="minorEastAsia" w:cstheme="minorEastAsia"/>
          <w:bCs/>
          <w:i/>
          <w:color w:val="000000"/>
          <w:sz w:val="28"/>
          <w:szCs w:val="28"/>
          <w:highlight w:val="none"/>
          <w:u w:val="single"/>
        </w:rPr>
        <w:t xml:space="preserve">十九、开标一览表</w:t>
      </w:r>
      <w:bookmarkEnd w:id="235"/>
      <w:r/>
      <w:r/>
    </w:p>
    <w:p>
      <w:pPr>
        <w:ind w:firstLine="480"/>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投标人全称（CA公章）：</w:t>
      </w:r>
      <w:r/>
    </w:p>
    <w:p>
      <w:pPr>
        <w:ind w:firstLine="480"/>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项目名称：</w:t>
      </w:r>
      <w:r/>
    </w:p>
    <w:p>
      <w:pPr>
        <w:ind w:firstLine="480"/>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项目编号：                                   分包号：</w:t>
      </w:r>
      <w:r/>
    </w:p>
    <w:tbl>
      <w:tblPr>
        <w:tblStyle w:val="82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46"/>
        <w:gridCol w:w="6606"/>
      </w:tblGrid>
      <w:tr>
        <w:trPr/>
        <w:tc>
          <w:tcPr>
            <w:tcW w:w="1647" w:type="pct"/>
            <w:textDirection w:val="lrTb"/>
            <w:noWrap w:val="false"/>
          </w:tcPr>
          <w:p>
            <w:pPr>
              <w:jc w:val="center"/>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投标货物名称</w:t>
            </w:r>
            <w:r/>
          </w:p>
        </w:tc>
        <w:tc>
          <w:tcPr>
            <w:tcW w:w="3352" w:type="pct"/>
            <w:textDirection w:val="lrTb"/>
            <w:noWrap w:val="false"/>
          </w:tcPr>
          <w:p>
            <w:pPr>
              <w:jc w:val="center"/>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总价（小写）</w:t>
            </w:r>
            <w:r/>
          </w:p>
        </w:tc>
      </w:tr>
      <w:tr>
        <w:trPr/>
        <w:tc>
          <w:tcPr>
            <w:tcW w:w="1647" w:type="pct"/>
            <w:textDirection w:val="lrTb"/>
            <w:noWrap w:val="false"/>
          </w:tcPr>
          <w:p>
            <w:pPr>
              <w:jc w:val="center"/>
              <w:spacing w:line="500" w:lineRule="exact"/>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c>
          <w:tcPr>
            <w:tcW w:w="3352" w:type="pct"/>
            <w:textDirection w:val="lrTb"/>
            <w:noWrap w:val="false"/>
          </w:tcPr>
          <w:p>
            <w:pPr>
              <w:jc w:val="center"/>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元</w:t>
            </w:r>
            <w:r/>
          </w:p>
        </w:tc>
      </w:tr>
      <w:tr>
        <w:trPr/>
        <w:tc>
          <w:tcPr>
            <w:tcW w:w="1647" w:type="pct"/>
            <w:textDirection w:val="lrTb"/>
            <w:noWrap w:val="false"/>
          </w:tcPr>
          <w:p>
            <w:pPr>
              <w:jc w:val="center"/>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核心产品</w:t>
            </w:r>
            <w:r/>
          </w:p>
        </w:tc>
        <w:tc>
          <w:tcPr>
            <w:tcW w:w="3352" w:type="pct"/>
            <w:textDirection w:val="lrTb"/>
            <w:noWrap w:val="false"/>
          </w:tcPr>
          <w:p>
            <w:pPr>
              <w:jc w:val="center"/>
              <w:spacing w:line="500" w:lineRule="exact"/>
              <w:rPr>
                <w:rFonts w:asciiTheme="minorEastAsia" w:hAnsiTheme="minorEastAsia" w:eastAsiaTheme="minorEastAsia" w:cstheme="minorEastAsia"/>
                <w:color w:val="000000"/>
                <w:sz w:val="22"/>
                <w:highlight w:val="none"/>
              </w:rPr>
            </w:pPr>
            <w:r>
              <w:rPr>
                <w:rFonts w:asciiTheme="minorEastAsia" w:hAnsiTheme="minorEastAsia" w:eastAsiaTheme="minorEastAsia" w:cstheme="minorEastAsia"/>
                <w:color w:val="000000"/>
                <w:sz w:val="22"/>
                <w:highlight w:val="none"/>
              </w:rPr>
            </w:r>
            <w:r/>
          </w:p>
        </w:tc>
      </w:tr>
    </w:tbl>
    <w:p>
      <w:pPr>
        <w:ind w:firstLine="480"/>
        <w:jc w:val="right"/>
        <w:spacing w:line="500" w:lineRule="exact"/>
        <w:rPr>
          <w:rFonts w:asciiTheme="minorEastAsia" w:hAnsiTheme="minorEastAsia" w:eastAsiaTheme="minorEastAsia" w:cstheme="minorEastAsia"/>
          <w:color w:val="000000"/>
          <w:sz w:val="22"/>
          <w:highlight w:val="none"/>
        </w:rPr>
      </w:pPr>
      <w:r>
        <w:rPr>
          <w:rFonts w:hint="eastAsia" w:asciiTheme="minorEastAsia" w:hAnsiTheme="minorEastAsia" w:eastAsiaTheme="minorEastAsia" w:cstheme="minorEastAsia"/>
          <w:color w:val="000000"/>
          <w:sz w:val="22"/>
          <w:highlight w:val="none"/>
        </w:rPr>
        <w:t xml:space="preserve">    年     月     日</w:t>
      </w:r>
      <w:r/>
    </w:p>
    <w:p>
      <w:pPr>
        <w:jc w:val="left"/>
        <w:widowControl/>
        <w:rPr>
          <w:rFonts w:asciiTheme="minorEastAsia" w:hAnsiTheme="minorEastAsia" w:eastAsiaTheme="minorEastAsia" w:cstheme="minorEastAsia"/>
          <w:bCs/>
          <w:color w:val="000000"/>
          <w:sz w:val="40"/>
          <w:szCs w:val="32"/>
          <w:highlight w:val="none"/>
        </w:rPr>
      </w:pPr>
      <w:r>
        <w:rPr>
          <w:rFonts w:hint="eastAsia" w:asciiTheme="minorEastAsia" w:hAnsiTheme="minorEastAsia" w:eastAsiaTheme="minorEastAsia" w:cstheme="minorEastAsia"/>
          <w:bCs/>
          <w:color w:val="000000"/>
          <w:sz w:val="40"/>
          <w:szCs w:val="32"/>
          <w:highlight w:val="none"/>
        </w:rPr>
        <w:br w:type="page" w:clear="all"/>
      </w:r>
      <w:r/>
    </w:p>
    <w:p>
      <w:pPr>
        <w:pStyle w:val="843"/>
        <w:spacing w:beforeAutospacing="0" w:afterAutospacing="0" w:line="360" w:lineRule="auto"/>
        <w:rPr>
          <w:rFonts w:asciiTheme="minorEastAsia" w:hAnsiTheme="minorEastAsia" w:eastAsiaTheme="minorEastAsia" w:cstheme="minorEastAsia"/>
          <w:sz w:val="28"/>
          <w:szCs w:val="28"/>
          <w:highlight w:val="none"/>
        </w:rPr>
      </w:pPr>
      <w:r/>
      <w:bookmarkStart w:id="236" w:name="_Toc3200"/>
      <w:r>
        <w:rPr>
          <w:rFonts w:hint="eastAsia" w:asciiTheme="minorEastAsia" w:hAnsiTheme="minorEastAsia" w:eastAsiaTheme="minorEastAsia" w:cstheme="minorEastAsia"/>
          <w:color w:val="000000"/>
          <w:sz w:val="28"/>
          <w:szCs w:val="28"/>
          <w:highlight w:val="none"/>
        </w:rPr>
        <w:t xml:space="preserve">二十、关于符合本国产品标准的声明函</w:t>
      </w:r>
      <w:r>
        <w:rPr>
          <w:rFonts w:hint="eastAsia" w:asciiTheme="minorEastAsia" w:hAnsiTheme="minorEastAsia" w:eastAsiaTheme="minorEastAsia" w:cstheme="minorEastAsia"/>
          <w:color w:val="000000"/>
          <w:sz w:val="28"/>
          <w:szCs w:val="28"/>
          <w:highlight w:val="none"/>
        </w:rPr>
        <w:tab/>
      </w:r>
      <w:r/>
    </w:p>
    <w:p>
      <w:pPr>
        <w:pStyle w:val="843"/>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843"/>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43"/>
        <w:ind w:left="0" w:firstLine="420"/>
        <w:keepLines w:val="0"/>
        <w:keepNext w:val="0"/>
        <w:spacing w:before="0" w:beforeAutospacing="0" w:after="0" w:afterAutospacing="0" w:line="360" w:lineRule="auto"/>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3"/>
        <w:ind w:left="0" w:firstLine="420"/>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1.</w:t>
      </w:r>
      <w:r>
        <w:rPr>
          <w:rFonts w:hint="eastAsia" w:ascii="宋体" w:hAnsi="宋体" w:eastAsia="宋体" w:cs="宋体"/>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vertAlign w:val="superscript"/>
        </w:rPr>
        <w:t xml:space="preserve">1</w:t>
      </w:r>
      <w:r>
        <w:rPr>
          <w:rFonts w:hint="eastAsia" w:ascii="宋体" w:hAnsi="宋体" w:eastAsia="宋体" w:cs="宋体"/>
          <w:color w:val="000000"/>
          <w:sz w:val="22"/>
          <w:szCs w:val="22"/>
          <w:shd w:val="clear" w:color="auto" w:fill="ffffff"/>
        </w:rPr>
        <w:t xml:space="preserve">，生产厂为</w:t>
      </w:r>
      <w:r>
        <w:rPr>
          <w:rFonts w:hint="eastAsia" w:ascii="宋体" w:hAnsi="宋体" w:eastAsia="宋体" w:cs="宋体"/>
          <w:color w:val="000000"/>
          <w:sz w:val="22"/>
          <w:szCs w:val="22"/>
          <w:u w:val="single"/>
          <w:shd w:val="clear" w:color="auto" w:fill="ffffff"/>
        </w:rPr>
        <w:t xml:space="preserve">（厂名）</w:t>
      </w:r>
      <w:r>
        <w:rPr>
          <w:rFonts w:hint="eastAsia" w:ascii="宋体" w:hAnsi="宋体" w:eastAsia="宋体" w:cs="宋体"/>
          <w:color w:val="000000"/>
          <w:sz w:val="22"/>
          <w:szCs w:val="22"/>
          <w:shd w:val="clear" w:color="auto" w:fill="ffffff"/>
          <w:vertAlign w:val="superscript"/>
        </w:rPr>
        <w:t xml:space="preserve">2</w:t>
      </w:r>
      <w:r>
        <w:rPr>
          <w:rFonts w:hint="eastAsia" w:ascii="宋体" w:hAnsi="宋体" w:eastAsia="宋体" w:cs="宋体"/>
          <w:color w:val="000000"/>
          <w:sz w:val="22"/>
          <w:szCs w:val="22"/>
          <w:shd w:val="clear" w:color="auto" w:fill="ffffff"/>
        </w:rPr>
        <w:t xml:space="preserve">，厂址为</w:t>
      </w:r>
      <w:r>
        <w:rPr>
          <w:rFonts w:hint="eastAsia" w:ascii="宋体" w:hAnsi="宋体" w:eastAsia="宋体" w:cs="宋体"/>
          <w:color w:val="000000"/>
          <w:sz w:val="22"/>
          <w:szCs w:val="22"/>
          <w:u w:val="single"/>
          <w:shd w:val="clear" w:color="auto" w:fill="ffffff"/>
        </w:rPr>
        <w:t xml:space="preserve">（生产厂址）</w:t>
      </w: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的中国境内生产的组件成本占比≥</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vertAlign w:val="superscript"/>
        </w:rPr>
        <w:t xml:space="preserve">3</w:t>
      </w: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的</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vertAlign w:val="superscript"/>
        </w:rPr>
        <w:t xml:space="preserve">4</w:t>
      </w:r>
      <w:r>
        <w:rPr>
          <w:rFonts w:hint="eastAsia" w:ascii="宋体" w:hAnsi="宋体" w:eastAsia="宋体" w:cs="宋体"/>
          <w:color w:val="000000"/>
          <w:sz w:val="22"/>
          <w:szCs w:val="22"/>
          <w:shd w:val="clear" w:color="auto" w:fill="ffffff"/>
        </w:rPr>
        <w:t xml:space="preserve">在中国境内生产。</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的</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vertAlign w:val="superscript"/>
        </w:rPr>
        <w:t xml:space="preserve">5</w:t>
      </w:r>
      <w:r>
        <w:rPr>
          <w:rFonts w:hint="eastAsia" w:ascii="宋体" w:hAnsi="宋体" w:eastAsia="宋体" w:cs="宋体"/>
          <w:color w:val="000000"/>
          <w:sz w:val="22"/>
          <w:szCs w:val="22"/>
          <w:shd w:val="clear" w:color="auto" w:fill="ffffff"/>
        </w:rPr>
        <w:t xml:space="preserve">在中国境内完成。</w:t>
      </w:r>
      <w:r/>
    </w:p>
    <w:p>
      <w:pPr>
        <w:pStyle w:val="843"/>
        <w:ind w:left="0" w:firstLine="420"/>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2.</w:t>
      </w:r>
      <w:r>
        <w:rPr>
          <w:rFonts w:hint="eastAsia" w:ascii="宋体" w:hAnsi="宋体" w:eastAsia="宋体" w:cs="宋体"/>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，生产厂为</w:t>
      </w:r>
      <w:r>
        <w:rPr>
          <w:rFonts w:hint="eastAsia" w:ascii="宋体" w:hAnsi="宋体" w:eastAsia="宋体" w:cs="宋体"/>
          <w:color w:val="000000"/>
          <w:sz w:val="22"/>
          <w:szCs w:val="22"/>
          <w:u w:val="single"/>
          <w:shd w:val="clear" w:color="auto" w:fill="ffffff"/>
        </w:rPr>
        <w:t xml:space="preserve">（厂名）</w:t>
      </w:r>
      <w:r>
        <w:rPr>
          <w:rFonts w:hint="eastAsia" w:ascii="宋体" w:hAnsi="宋体" w:eastAsia="宋体" w:cs="宋体"/>
          <w:color w:val="000000"/>
          <w:sz w:val="22"/>
          <w:szCs w:val="22"/>
          <w:shd w:val="clear" w:color="auto" w:fill="ffffff"/>
        </w:rPr>
        <w:t xml:space="preserve">，厂址为</w:t>
      </w:r>
      <w:r>
        <w:rPr>
          <w:rFonts w:hint="eastAsia" w:ascii="宋体" w:hAnsi="宋体" w:eastAsia="宋体" w:cs="宋体"/>
          <w:color w:val="000000"/>
          <w:sz w:val="22"/>
          <w:szCs w:val="22"/>
          <w:u w:val="single"/>
          <w:shd w:val="clear" w:color="auto" w:fill="ffffff"/>
        </w:rPr>
        <w:t xml:space="preserve">（生产厂址）</w:t>
      </w: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的中国境内生产的组件成本占比≥</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的</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在中国境内生产。</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的</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在中国境内完成。</w:t>
      </w:r>
      <w:r/>
    </w:p>
    <w:p>
      <w:pPr>
        <w:pStyle w:val="843"/>
        <w:ind w:left="0" w:firstLine="420"/>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w:t>
      </w:r>
      <w:r/>
    </w:p>
    <w:p>
      <w:pPr>
        <w:pStyle w:val="843"/>
        <w:ind w:left="0" w:firstLine="420"/>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本公司（单位）对上述声明内容的真实性负责。如有虚假，愿承担相应法律责任。</w:t>
      </w:r>
      <w:r/>
    </w:p>
    <w:p>
      <w:pPr>
        <w:pStyle w:val="843"/>
        <w:keepLines w:val="0"/>
        <w:keepNext w:val="0"/>
        <w:spacing w:before="30" w:beforeAutospacing="0" w:after="30" w:afterAutospacing="0" w:line="0" w:lineRule="atLeast"/>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shd w:val="clear" w:color="auto" w:fill="ffffff"/>
        </w:rPr>
        <w:t xml:space="preserve"> </w:t>
      </w:r>
      <w:r/>
    </w:p>
    <w:p>
      <w:pPr>
        <w:pStyle w:val="843"/>
        <w:jc w:val="right"/>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   公司（单位）名称（加盖CA电子公章）：         </w:t>
      </w:r>
      <w:r/>
    </w:p>
    <w:p>
      <w:pPr>
        <w:pStyle w:val="843"/>
        <w:jc w:val="center"/>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           日期：      年   月   日         </w:t>
      </w:r>
      <w:r/>
    </w:p>
    <w:p>
      <w:pPr>
        <w:pStyle w:val="843"/>
        <w:keepLines w:val="0"/>
        <w:keepNext w:val="0"/>
        <w:spacing w:before="30" w:beforeAutospacing="0" w:after="30" w:afterAutospacing="0" w:line="0" w:lineRule="atLeast"/>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shd w:val="clear" w:color="auto" w:fill="ffffff"/>
        </w:rPr>
        <w:t xml:space="preserve"> </w:t>
      </w:r>
      <w:r/>
    </w:p>
    <w:p>
      <w:pPr>
        <w:pStyle w:val="843"/>
        <w:keepLines w:val="0"/>
        <w:keepNext w:val="0"/>
        <w:spacing w:before="30" w:beforeAutospacing="0" w:after="30" w:afterAutospacing="0" w:line="0" w:lineRule="atLeast"/>
        <w:shd w:val="clear" w:color="auto" w:fill="ffffff"/>
        <w:widowControl/>
        <w:rPr>
          <w:sz w:val="22"/>
          <w:szCs w:val="22"/>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shd w:val="clear" w:color="auto" w:fill="ffffff"/>
        </w:rPr>
        <w:t xml:space="preserve"> </w:t>
      </w:r>
      <w:r/>
    </w:p>
    <w:p>
      <w:pPr>
        <w:pStyle w:val="843"/>
        <w:keepLines w:val="0"/>
        <w:keepNext w:val="0"/>
        <w:spacing w:before="30" w:beforeAutospacing="0" w:after="30" w:afterAutospacing="0" w:line="0" w:lineRule="atLeast"/>
        <w:shd w:val="clear" w:color="auto" w:fill="ffffff"/>
        <w:widowControl/>
        <w:rPr>
          <w:sz w:val="22"/>
          <w:szCs w:val="22"/>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shd w:val="clear" w:color="auto" w:fill="ffffff"/>
        </w:rPr>
      </w:r>
      <w:r/>
    </w:p>
    <w:p>
      <w:pPr>
        <w:pStyle w:val="843"/>
        <w:keepLines w:val="0"/>
        <w:keepNext w:val="0"/>
        <w:spacing w:before="30" w:beforeAutospacing="0" w:after="30" w:afterAutospacing="0" w:line="0" w:lineRule="atLeast"/>
        <w:shd w:val="clear" w:color="auto" w:fill="ffffff"/>
        <w:widowControl/>
        <w:rPr>
          <w:sz w:val="22"/>
          <w:szCs w:val="22"/>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shd w:val="clear" w:color="auto" w:fill="ffffff"/>
        </w:rPr>
      </w:r>
      <w:r/>
    </w:p>
    <w:p>
      <w:pPr>
        <w:pStyle w:val="843"/>
        <w:keepLines w:val="0"/>
        <w:keepNext w:val="0"/>
        <w:spacing w:before="30" w:beforeAutospacing="0" w:after="30" w:afterAutospacing="0" w:line="0" w:lineRule="atLeast"/>
        <w:shd w:val="clear" w:color="auto" w:fill="ffffff"/>
        <w:widowControl/>
        <w:rPr>
          <w:sz w:val="22"/>
          <w:szCs w:val="22"/>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shd w:val="clear" w:color="auto" w:fill="ffffff"/>
        </w:rPr>
      </w:r>
      <w:r/>
    </w:p>
    <w:p>
      <w:pPr>
        <w:pStyle w:val="843"/>
        <w:keepLines w:val="0"/>
        <w:keepNext w:val="0"/>
        <w:spacing w:before="30" w:beforeAutospacing="0" w:after="30" w:afterAutospacing="0" w:line="0" w:lineRule="atLeast"/>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_________________</w:t>
      </w:r>
      <w:r/>
    </w:p>
    <w:p>
      <w:pPr>
        <w:pStyle w:val="843"/>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1.产品如有型号，请在“产品名称”栏一并填写。</w:t>
      </w:r>
      <w:r/>
    </w:p>
    <w:p>
      <w:pPr>
        <w:pStyle w:val="843"/>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2.生产厂名与厂址应与生产厂营业执照载明的相关信息保持一致。</w:t>
      </w:r>
      <w:r/>
    </w:p>
    <w:p>
      <w:pPr>
        <w:pStyle w:val="843"/>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3.该产品的中国境内生产的组件成本占比相关要求实施前，“规定比例”栏可不填，下同。</w:t>
      </w:r>
      <w:r/>
    </w:p>
    <w:p>
      <w:pPr>
        <w:pStyle w:val="843"/>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4.该产品的关键组件要求实施前，“关键组件”栏可不填，下同。</w:t>
      </w:r>
      <w:r/>
    </w:p>
    <w:p>
      <w:pPr>
        <w:pStyle w:val="843"/>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5.该产品的关键工序要求实施前，“关键工序”栏可不填，下同。</w:t>
      </w:r>
      <w:r/>
    </w:p>
    <w:p>
      <w:pPr>
        <w:pStyle w:val="843"/>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6.《声明函》中标注“</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”的地方无需填写。</w:t>
      </w:r>
      <w:r/>
    </w:p>
    <w:p>
      <w:pPr>
        <w:jc w:val="center"/>
        <w:rPr>
          <w:rFonts w:asciiTheme="minorEastAsia" w:hAnsiTheme="minorEastAsia" w:eastAsiaTheme="minorEastAsia" w:cstheme="minorEastAsia"/>
          <w:b/>
          <w:bCs/>
          <w:color w:val="000000"/>
          <w:sz w:val="22"/>
          <w:highlight w:val="none"/>
        </w:rPr>
        <w:outlineLvl w:val="0"/>
      </w:pPr>
      <w:r>
        <w:rPr>
          <w:rFonts w:asciiTheme="minorEastAsia" w:hAnsiTheme="minorEastAsia" w:eastAsiaTheme="minorEastAsia" w:cstheme="minorEastAsia"/>
          <w:b/>
          <w:bCs/>
          <w:color w:val="000000"/>
          <w:sz w:val="22"/>
          <w:highlight w:val="none"/>
        </w:rPr>
      </w:r>
      <w:r/>
    </w:p>
    <w:p>
      <w:pPr>
        <w:jc w:val="center"/>
        <w:rPr>
          <w:rFonts w:hint="eastAsia" w:asciiTheme="minorEastAsia" w:hAnsiTheme="minorEastAsia" w:eastAsiaTheme="minorEastAsia" w:cstheme="minorEastAsia"/>
          <w:b/>
          <w:bCs/>
          <w:color w:val="000000"/>
          <w:sz w:val="32"/>
          <w:szCs w:val="32"/>
          <w:highlight w:val="none"/>
        </w:rPr>
        <w:outlineLvl w:val="0"/>
      </w:pPr>
      <w:r>
        <w:rPr>
          <w:rFonts w:hint="eastAsia" w:asciiTheme="minorEastAsia" w:hAnsiTheme="minorEastAsia" w:eastAsiaTheme="minorEastAsia" w:cstheme="minorEastAsia"/>
          <w:b/>
          <w:bCs/>
          <w:color w:val="000000"/>
          <w:sz w:val="32"/>
          <w:szCs w:val="32"/>
          <w:highlight w:val="none"/>
        </w:rPr>
      </w:r>
      <w:r/>
    </w:p>
    <w:p>
      <w:pPr>
        <w:jc w:val="center"/>
        <w:rPr>
          <w:rFonts w:hint="eastAsia" w:asciiTheme="minorEastAsia" w:hAnsiTheme="minorEastAsia" w:eastAsiaTheme="minorEastAsia" w:cstheme="minorEastAsia"/>
          <w:b/>
          <w:bCs/>
          <w:color w:val="000000"/>
          <w:sz w:val="32"/>
          <w:szCs w:val="32"/>
          <w:highlight w:val="none"/>
        </w:rPr>
        <w:outlineLvl w:val="0"/>
      </w:pPr>
      <w:r>
        <w:rPr>
          <w:rFonts w:hint="eastAsia" w:asciiTheme="minorEastAsia" w:hAnsiTheme="minorEastAsia" w:eastAsiaTheme="minorEastAsia" w:cstheme="minorEastAsia"/>
          <w:b/>
          <w:bCs/>
          <w:color w:val="000000"/>
          <w:sz w:val="32"/>
          <w:szCs w:val="32"/>
          <w:highlight w:val="none"/>
        </w:rPr>
      </w:r>
      <w:r/>
    </w:p>
    <w:p>
      <w:pPr>
        <w:jc w:val="center"/>
        <w:rPr>
          <w:rFonts w:hint="eastAsia" w:asciiTheme="minorEastAsia" w:hAnsiTheme="minorEastAsia" w:eastAsiaTheme="minorEastAsia" w:cstheme="minorEastAsia"/>
          <w:b/>
          <w:bCs/>
          <w:color w:val="000000"/>
          <w:sz w:val="32"/>
          <w:szCs w:val="32"/>
          <w:highlight w:val="none"/>
        </w:rPr>
        <w:outlineLvl w:val="0"/>
      </w:pPr>
      <w:r>
        <w:rPr>
          <w:rFonts w:hint="eastAsia" w:asciiTheme="minorEastAsia" w:hAnsiTheme="minorEastAsia" w:eastAsiaTheme="minorEastAsia" w:cstheme="minorEastAsia"/>
          <w:b/>
          <w:bCs/>
          <w:color w:val="000000"/>
          <w:sz w:val="32"/>
          <w:szCs w:val="32"/>
          <w:highlight w:val="none"/>
        </w:rPr>
      </w:r>
      <w:r/>
    </w:p>
    <w:p>
      <w:pPr>
        <w:jc w:val="center"/>
        <w:rPr>
          <w:rFonts w:asciiTheme="minorEastAsia" w:hAnsiTheme="minorEastAsia" w:eastAsiaTheme="minorEastAsia" w:cstheme="minorEastAsia"/>
          <w:b/>
          <w:bCs/>
          <w:color w:val="000000"/>
          <w:sz w:val="32"/>
          <w:szCs w:val="32"/>
          <w:highlight w:val="none"/>
        </w:rPr>
        <w:outlineLvl w:val="0"/>
      </w:pPr>
      <w:r>
        <w:rPr>
          <w:rFonts w:hint="eastAsia" w:asciiTheme="minorEastAsia" w:hAnsiTheme="minorEastAsia" w:eastAsiaTheme="minorEastAsia" w:cstheme="minorEastAsia"/>
          <w:b/>
          <w:bCs/>
          <w:color w:val="000000"/>
          <w:sz w:val="32"/>
          <w:szCs w:val="32"/>
          <w:highlight w:val="none"/>
        </w:rPr>
        <w:t xml:space="preserve">质疑函范本</w:t>
      </w:r>
      <w:bookmarkEnd w:id="236"/>
      <w:r/>
      <w:r/>
    </w:p>
    <w:p>
      <w:pPr>
        <w:spacing w:before="290" w:line="360" w:lineRule="auto"/>
        <w:rPr>
          <w:rFonts w:asciiTheme="minorEastAsia" w:hAnsiTheme="minorEastAsia" w:eastAsiaTheme="minorEastAsia" w:cstheme="minorEastAsia"/>
          <w:bCs/>
          <w:color w:val="000000"/>
          <w:sz w:val="24"/>
          <w:szCs w:val="24"/>
          <w:highlight w:val="none"/>
        </w:rPr>
        <w:outlineLvl w:val="1"/>
      </w:pPr>
      <w:r/>
      <w:bookmarkStart w:id="237" w:name="_Toc28045"/>
      <w:r>
        <w:rPr>
          <w:rFonts w:hint="eastAsia" w:asciiTheme="minorEastAsia" w:hAnsiTheme="minorEastAsia" w:eastAsiaTheme="minorEastAsia" w:cstheme="minorEastAsia"/>
          <w:bCs/>
          <w:color w:val="000000"/>
          <w:sz w:val="24"/>
          <w:szCs w:val="24"/>
          <w:highlight w:val="none"/>
        </w:rPr>
        <w:t xml:space="preserve">一、质疑供应商基本信息</w:t>
      </w:r>
      <w:bookmarkEnd w:id="237"/>
      <w:r/>
      <w:r/>
    </w:p>
    <w:p>
      <w:pPr>
        <w:spacing w:line="360" w:lineRule="auto"/>
        <w:rPr>
          <w:rFonts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质疑供应商：</w:t>
      </w: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地址：</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邮编：</w:t>
      </w: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联系人：</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联系电话：</w:t>
      </w: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授权代表：</w:t>
      </w: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w:t>
      </w: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地址：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邮编：</w:t>
      </w: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bCs/>
          <w:color w:val="000000"/>
          <w:sz w:val="24"/>
          <w:szCs w:val="24"/>
          <w:highlight w:val="none"/>
        </w:rPr>
        <w:outlineLvl w:val="1"/>
      </w:pPr>
      <w:r/>
      <w:bookmarkStart w:id="238" w:name="_Toc23732"/>
      <w:r>
        <w:rPr>
          <w:rFonts w:hint="eastAsia" w:asciiTheme="minorEastAsia" w:hAnsiTheme="minorEastAsia" w:eastAsiaTheme="minorEastAsia" w:cstheme="minorEastAsia"/>
          <w:bCs/>
          <w:color w:val="000000"/>
          <w:sz w:val="24"/>
          <w:szCs w:val="24"/>
          <w:highlight w:val="none"/>
        </w:rPr>
        <w:t xml:space="preserve">二、质疑项目基本情况</w:t>
      </w:r>
      <w:bookmarkEnd w:id="238"/>
      <w:r/>
      <w:r/>
    </w:p>
    <w:p>
      <w:pPr>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质疑项目的名称：</w:t>
      </w: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质疑项目的编号：</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包号：</w:t>
      </w: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采购人名称：</w:t>
      </w: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采购文件获取日期：</w:t>
      </w: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bCs/>
          <w:color w:val="000000"/>
          <w:sz w:val="24"/>
          <w:szCs w:val="24"/>
          <w:highlight w:val="none"/>
        </w:rPr>
        <w:outlineLvl w:val="1"/>
      </w:pPr>
      <w:r/>
      <w:bookmarkStart w:id="239" w:name="_Toc17543"/>
      <w:r>
        <w:rPr>
          <w:rFonts w:hint="eastAsia" w:asciiTheme="minorEastAsia" w:hAnsiTheme="minorEastAsia" w:eastAsiaTheme="minorEastAsia" w:cstheme="minorEastAsia"/>
          <w:bCs/>
          <w:color w:val="000000"/>
          <w:sz w:val="24"/>
          <w:szCs w:val="24"/>
          <w:highlight w:val="none"/>
        </w:rPr>
        <w:t xml:space="preserve">三、质疑事项具体内容</w:t>
      </w:r>
      <w:bookmarkEnd w:id="239"/>
      <w:r/>
      <w:r/>
    </w:p>
    <w:p>
      <w:pPr>
        <w:spacing w:line="360" w:lineRule="auto"/>
        <w:rPr>
          <w:rFonts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质疑事项1：</w:t>
      </w: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事实依据：</w:t>
      </w: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法律依据：</w:t>
      </w: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                                                                           </w:t>
      </w:r>
      <w:r/>
    </w:p>
    <w:p>
      <w:pPr>
        <w:spacing w:line="360" w:lineRule="auto"/>
        <w:rPr>
          <w:rFonts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质疑事项2</w:t>
      </w:r>
      <w:r/>
    </w:p>
    <w:p>
      <w:pPr>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p>
    <w:p>
      <w:pPr>
        <w:spacing w:line="360" w:lineRule="auto"/>
        <w:rPr>
          <w:rFonts w:asciiTheme="minorEastAsia" w:hAnsiTheme="minorEastAsia" w:eastAsiaTheme="minorEastAsia" w:cstheme="minorEastAsia"/>
          <w:bCs/>
          <w:color w:val="000000"/>
          <w:sz w:val="24"/>
          <w:szCs w:val="24"/>
          <w:highlight w:val="none"/>
        </w:rPr>
        <w:outlineLvl w:val="1"/>
      </w:pPr>
      <w:r/>
      <w:bookmarkStart w:id="240" w:name="_Toc26790"/>
      <w:r>
        <w:rPr>
          <w:rFonts w:hint="eastAsia" w:asciiTheme="minorEastAsia" w:hAnsiTheme="minorEastAsia" w:eastAsiaTheme="minorEastAsia" w:cstheme="minorEastAsia"/>
          <w:bCs/>
          <w:color w:val="000000"/>
          <w:sz w:val="24"/>
          <w:szCs w:val="24"/>
          <w:highlight w:val="none"/>
        </w:rPr>
        <w:t xml:space="preserve">四、与质疑事项相关的质疑请求</w:t>
      </w:r>
      <w:bookmarkEnd w:id="240"/>
      <w:r/>
      <w:r/>
    </w:p>
    <w:p>
      <w:pPr>
        <w:spacing w:line="360" w:lineRule="auto"/>
        <w:rPr>
          <w:rFonts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请求：</w:t>
      </w:r>
      <w:r>
        <w:rPr>
          <w:rFonts w:hint="eastAsia" w:asciiTheme="minorEastAsia" w:hAnsiTheme="minorEastAsia" w:eastAsiaTheme="minorEastAsia" w:cstheme="minorEastAsia"/>
          <w:color w:val="000000"/>
          <w:sz w:val="24"/>
          <w:szCs w:val="24"/>
          <w:highlight w:val="none"/>
          <w:u w:val="single"/>
        </w:rPr>
        <w:t xml:space="preserve">                                                                     </w:t>
      </w:r>
      <w:r/>
    </w:p>
    <w:p>
      <w:pPr>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签字</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签章</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                   公章：                      </w:t>
      </w:r>
      <w:r/>
    </w:p>
    <w:p>
      <w:pPr>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日期：    </w:t>
      </w:r>
      <w:r/>
    </w:p>
    <w:p>
      <w:pPr>
        <w:spacing w:line="400" w:lineRule="exact"/>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质疑函制作说明：</w:t>
      </w:r>
      <w:r/>
    </w:p>
    <w:p>
      <w:pPr>
        <w:ind w:firstLine="480"/>
        <w:jc w:val="left"/>
        <w:spacing w:line="400" w:lineRule="exac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5.质疑函的质疑请求应与质疑事项相关。</w:t>
      </w:r>
      <w:r/>
    </w:p>
    <w:p>
      <w:pPr>
        <w:ind w:firstLine="480"/>
        <w:jc w:val="left"/>
        <w:spacing w:line="400" w:lineRule="exact"/>
        <w:widowControl/>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ind w:firstLine="420"/>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sectPr>
      <w:footerReference w:type="default" r:id="rId11"/>
      <w:footerReference w:type="first" r:id="rId12"/>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方正黑体_GBK">
    <w:panose1 w:val="020B0503020202020204"/>
  </w:font>
  <w:font w:name="Courier New">
    <w:panose1 w:val="02070309020205020404"/>
  </w:font>
  <w:font w:name="等线">
    <w:panose1 w:val="02010600030101010101"/>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MS Mincho">
    <w:panose1 w:val="02020603050405090304"/>
  </w:font>
  <w:font w:name="Tahoma">
    <w:panose1 w:val="020B060403050404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pPr>
                          <w:r>
                            <w:fldChar w:fldCharType="begin"/>
                          </w:r>
                          <w:r>
                            <w:instrText xml:space="preserve"> PAGE  \* MERGEFORMAT </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pPr>
                    <w:r>
                      <w:fldChar w:fldCharType="begin"/>
                    </w:r>
                    <w:r>
                      <w:instrText xml:space="preserve"> PAGE  \* MERGEFORMAT </w:instrText>
                    </w:r>
                    <w:r>
                      <w:fldChar w:fldCharType="separate"/>
                    </w:r>
                    <w:r>
                      <w:t xml:space="preserve">64</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21"/>
      <w:isLgl w:val="false"/>
      <w:suff w:val="tab"/>
      <w:lvlText w:val="表%1"/>
      <w:lvlJc w:val="left"/>
      <w:pPr>
        <w:ind w:left="454" w:hanging="454"/>
        <w:tabs>
          <w:tab w:val="left" w:pos="39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7"/>
      <w:isLgl w:val="false"/>
      <w:suff w:val="nothing"/>
      <w:lvlText w:val=""/>
      <w:lvlJc w:val="left"/>
      <w:pPr>
        <w:ind w:left="0" w:firstLine="0"/>
      </w:pPr>
      <w:rPr>
        <w:rFonts w:hint="eastAsia"/>
      </w:rPr>
    </w:lvl>
    <w:lvl w:ilvl="6">
      <w:start w:val="1"/>
      <w:numFmt w:val="decimal"/>
      <w:pStyle w:val="1008"/>
      <w:isLgl w:val="false"/>
      <w:suff w:val="nothing"/>
      <w:lvlText w:val=""/>
      <w:lvlJc w:val="left"/>
      <w:pPr>
        <w:ind w:left="0" w:firstLine="0"/>
      </w:pPr>
      <w:rPr>
        <w:rFonts w:hint="eastAsia"/>
      </w:rPr>
    </w:lvl>
    <w:lvl w:ilvl="7">
      <w:start w:val="1"/>
      <w:numFmt w:val="decimal"/>
      <w:pStyle w:val="1009"/>
      <w:isLgl w:val="false"/>
      <w:suff w:val="nothing"/>
      <w:lvlText w:val=""/>
      <w:lvlJc w:val="left"/>
      <w:pPr>
        <w:ind w:left="0" w:firstLine="0"/>
      </w:pPr>
      <w:rPr>
        <w:rFonts w:hint="eastAsia"/>
      </w:rPr>
    </w:lvl>
    <w:lvl w:ilvl="8">
      <w:start w:val="1"/>
      <w:numFmt w:val="decimal"/>
      <w:pStyle w:val="1010"/>
      <w:isLgl w:val="false"/>
      <w:suff w:val="nothing"/>
      <w:lvlText w:val=""/>
      <w:lvlJc w:val="left"/>
      <w:pPr>
        <w:ind w:left="0" w:firstLine="0"/>
      </w:pPr>
      <w:rPr>
        <w:rFonts w:hint="eastAsia"/>
      </w:rPr>
    </w:lvl>
  </w:abstractNum>
  <w:abstractNum w:abstractNumId="12">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0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227"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9"/>
  </w:num>
  <w:num w:numId="4">
    <w:abstractNumId w:val="6"/>
  </w:num>
  <w:num w:numId="5">
    <w:abstractNumId w:val="17"/>
  </w:num>
  <w:num w:numId="6">
    <w:abstractNumId w:val="15"/>
  </w:num>
  <w:num w:numId="7">
    <w:abstractNumId w:val="22"/>
  </w:num>
  <w:num w:numId="8">
    <w:abstractNumId w:val="18"/>
  </w:num>
  <w:num w:numId="9">
    <w:abstractNumId w:val="0"/>
  </w:num>
  <w:num w:numId="10">
    <w:abstractNumId w:val="5"/>
  </w:num>
  <w:num w:numId="11">
    <w:abstractNumId w:val="20"/>
  </w:num>
  <w:num w:numId="12">
    <w:abstractNumId w:val="24"/>
  </w:num>
  <w:num w:numId="13">
    <w:abstractNumId w:val="10"/>
  </w:num>
  <w:num w:numId="14">
    <w:abstractNumId w:val="23"/>
  </w:num>
  <w:num w:numId="15">
    <w:abstractNumId w:val="9"/>
  </w:num>
  <w:num w:numId="16">
    <w:abstractNumId w:val="13"/>
  </w:num>
  <w:num w:numId="17">
    <w:abstractNumId w:val="12"/>
  </w:num>
  <w:num w:numId="18">
    <w:abstractNumId w:val="2"/>
  </w:num>
  <w:num w:numId="19">
    <w:abstractNumId w:val="16"/>
  </w:num>
  <w:num w:numId="20">
    <w:abstractNumId w:val="1"/>
  </w:num>
  <w:num w:numId="21">
    <w:abstractNumId w:val="4"/>
  </w:num>
  <w:num w:numId="22">
    <w:abstractNumId w:val="21"/>
  </w:num>
  <w:num w:numId="23">
    <w:abstractNumId w:val="14"/>
  </w:num>
  <w:num w:numId="24">
    <w:abstractNumId w:val="8"/>
  </w:num>
  <w:num w:numId="25">
    <w:abstractNumId w:val="3"/>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822"/>
    <w:link w:val="813"/>
    <w:uiPriority w:val="9"/>
    <w:rPr>
      <w:rFonts w:ascii="Arial" w:hAnsi="Arial" w:eastAsia="Arial" w:cs="Arial"/>
      <w:sz w:val="40"/>
      <w:szCs w:val="40"/>
    </w:rPr>
  </w:style>
  <w:style w:type="character" w:styleId="776">
    <w:name w:val="Heading 2 Char"/>
    <w:basedOn w:val="822"/>
    <w:link w:val="814"/>
    <w:uiPriority w:val="9"/>
    <w:rPr>
      <w:rFonts w:ascii="Arial" w:hAnsi="Arial" w:eastAsia="Arial" w:cs="Arial"/>
      <w:sz w:val="34"/>
    </w:rPr>
  </w:style>
  <w:style w:type="character" w:styleId="777">
    <w:name w:val="Heading 3 Char"/>
    <w:basedOn w:val="822"/>
    <w:link w:val="815"/>
    <w:uiPriority w:val="9"/>
    <w:rPr>
      <w:rFonts w:ascii="Arial" w:hAnsi="Arial" w:eastAsia="Arial" w:cs="Arial"/>
      <w:sz w:val="30"/>
      <w:szCs w:val="30"/>
    </w:rPr>
  </w:style>
  <w:style w:type="character" w:styleId="778">
    <w:name w:val="Heading 4 Char"/>
    <w:basedOn w:val="822"/>
    <w:link w:val="816"/>
    <w:uiPriority w:val="9"/>
    <w:rPr>
      <w:rFonts w:ascii="Arial" w:hAnsi="Arial" w:eastAsia="Arial" w:cs="Arial"/>
      <w:b/>
      <w:bCs/>
      <w:sz w:val="26"/>
      <w:szCs w:val="26"/>
    </w:rPr>
  </w:style>
  <w:style w:type="character" w:styleId="779">
    <w:name w:val="Heading 5 Char"/>
    <w:basedOn w:val="822"/>
    <w:link w:val="817"/>
    <w:uiPriority w:val="9"/>
    <w:rPr>
      <w:rFonts w:ascii="Arial" w:hAnsi="Arial" w:eastAsia="Arial" w:cs="Arial"/>
      <w:b/>
      <w:bCs/>
      <w:sz w:val="24"/>
      <w:szCs w:val="24"/>
    </w:rPr>
  </w:style>
  <w:style w:type="character" w:styleId="780">
    <w:name w:val="Heading 6 Char"/>
    <w:basedOn w:val="822"/>
    <w:link w:val="818"/>
    <w:uiPriority w:val="9"/>
    <w:rPr>
      <w:rFonts w:ascii="Arial" w:hAnsi="Arial" w:eastAsia="Arial" w:cs="Arial"/>
      <w:b/>
      <w:bCs/>
      <w:sz w:val="22"/>
      <w:szCs w:val="22"/>
    </w:rPr>
  </w:style>
  <w:style w:type="character" w:styleId="781">
    <w:name w:val="Heading 7 Char"/>
    <w:basedOn w:val="822"/>
    <w:link w:val="819"/>
    <w:uiPriority w:val="9"/>
    <w:rPr>
      <w:rFonts w:ascii="Arial" w:hAnsi="Arial" w:eastAsia="Arial" w:cs="Arial"/>
      <w:b/>
      <w:bCs/>
      <w:i/>
      <w:iCs/>
      <w:sz w:val="22"/>
      <w:szCs w:val="22"/>
    </w:rPr>
  </w:style>
  <w:style w:type="character" w:styleId="782">
    <w:name w:val="Heading 8 Char"/>
    <w:basedOn w:val="822"/>
    <w:link w:val="820"/>
    <w:uiPriority w:val="9"/>
    <w:rPr>
      <w:rFonts w:ascii="Arial" w:hAnsi="Arial" w:eastAsia="Arial" w:cs="Arial"/>
      <w:i/>
      <w:iCs/>
      <w:sz w:val="22"/>
      <w:szCs w:val="22"/>
    </w:rPr>
  </w:style>
  <w:style w:type="character" w:styleId="783">
    <w:name w:val="Heading 9 Char"/>
    <w:basedOn w:val="822"/>
    <w:link w:val="821"/>
    <w:uiPriority w:val="9"/>
    <w:rPr>
      <w:rFonts w:ascii="Arial" w:hAnsi="Arial" w:eastAsia="Arial" w:cs="Arial"/>
      <w:i/>
      <w:iCs/>
      <w:sz w:val="21"/>
      <w:szCs w:val="21"/>
    </w:rPr>
  </w:style>
  <w:style w:type="character" w:styleId="784">
    <w:name w:val="Title Char"/>
    <w:basedOn w:val="822"/>
    <w:link w:val="844"/>
    <w:uiPriority w:val="10"/>
    <w:rPr>
      <w:sz w:val="48"/>
      <w:szCs w:val="48"/>
    </w:rPr>
  </w:style>
  <w:style w:type="character" w:styleId="785">
    <w:name w:val="Subtitle Char"/>
    <w:basedOn w:val="822"/>
    <w:link w:val="837"/>
    <w:uiPriority w:val="11"/>
    <w:rPr>
      <w:sz w:val="24"/>
      <w:szCs w:val="24"/>
    </w:rPr>
  </w:style>
  <w:style w:type="character" w:styleId="786">
    <w:name w:val="Quote Char"/>
    <w:link w:val="867"/>
    <w:uiPriority w:val="29"/>
    <w:rPr>
      <w:i/>
    </w:rPr>
  </w:style>
  <w:style w:type="character" w:styleId="787">
    <w:name w:val="Intense Quote Char"/>
    <w:link w:val="869"/>
    <w:uiPriority w:val="30"/>
    <w:rPr>
      <w:i/>
    </w:rPr>
  </w:style>
  <w:style w:type="character" w:styleId="788">
    <w:name w:val="Header Char"/>
    <w:basedOn w:val="822"/>
    <w:link w:val="834"/>
    <w:uiPriority w:val="99"/>
  </w:style>
  <w:style w:type="character" w:styleId="789">
    <w:name w:val="Caption Char"/>
    <w:basedOn w:val="825"/>
    <w:link w:val="833"/>
    <w:uiPriority w:val="99"/>
  </w:style>
  <w:style w:type="table" w:styleId="790">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9">
    <w:name w:val="Footnote Text Char"/>
    <w:link w:val="838"/>
    <w:uiPriority w:val="99"/>
    <w:rPr>
      <w:sz w:val="18"/>
    </w:rPr>
  </w:style>
  <w:style w:type="character" w:styleId="810">
    <w:name w:val="Endnote Text Char"/>
    <w:link w:val="831"/>
    <w:uiPriority w:val="99"/>
    <w:rPr>
      <w:sz w:val="20"/>
    </w:rPr>
  </w:style>
  <w:style w:type="paragraph" w:styleId="811">
    <w:name w:val="TOC Heading"/>
    <w:uiPriority w:val="39"/>
    <w:unhideWhenUsed/>
  </w:style>
  <w:style w:type="paragraph" w:styleId="81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13">
    <w:name w:val="Heading 1"/>
    <w:basedOn w:val="812"/>
    <w:next w:val="812"/>
    <w:link w:val="854"/>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855"/>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link w:val="856"/>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857"/>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858"/>
    <w:uiPriority w:val="9"/>
    <w:unhideWhenUsed/>
    <w:qFormat/>
    <w:pPr>
      <w:keepLines/>
      <w:keepNext/>
      <w:spacing w:before="320" w:after="200"/>
      <w:outlineLvl w:val="4"/>
    </w:pPr>
    <w:rPr>
      <w:rFonts w:ascii="Arial" w:hAnsi="Arial" w:eastAsia="Arial" w:cs="Arial"/>
      <w:b/>
      <w:bCs/>
      <w:sz w:val="24"/>
      <w:szCs w:val="24"/>
    </w:rPr>
  </w:style>
  <w:style w:type="paragraph" w:styleId="818">
    <w:name w:val="Heading 6"/>
    <w:basedOn w:val="812"/>
    <w:next w:val="812"/>
    <w:link w:val="859"/>
    <w:uiPriority w:val="9"/>
    <w:unhideWhenUsed/>
    <w:qFormat/>
    <w:pPr>
      <w:keepLines/>
      <w:keepNext/>
      <w:spacing w:before="320" w:after="200"/>
      <w:outlineLvl w:val="5"/>
    </w:pPr>
    <w:rPr>
      <w:rFonts w:ascii="Arial" w:hAnsi="Arial" w:eastAsia="Arial" w:cs="Arial"/>
      <w:b/>
      <w:bCs/>
      <w:sz w:val="22"/>
    </w:rPr>
  </w:style>
  <w:style w:type="paragraph" w:styleId="819">
    <w:name w:val="Heading 7"/>
    <w:basedOn w:val="812"/>
    <w:next w:val="812"/>
    <w:link w:val="860"/>
    <w:uiPriority w:val="9"/>
    <w:unhideWhenUsed/>
    <w:qFormat/>
    <w:pPr>
      <w:keepLines/>
      <w:keepNext/>
      <w:spacing w:before="320" w:after="200"/>
      <w:outlineLvl w:val="6"/>
    </w:pPr>
    <w:rPr>
      <w:rFonts w:ascii="Arial" w:hAnsi="Arial" w:eastAsia="Arial" w:cs="Arial"/>
      <w:b/>
      <w:bCs/>
      <w:i/>
      <w:iCs/>
      <w:sz w:val="22"/>
    </w:rPr>
  </w:style>
  <w:style w:type="paragraph" w:styleId="820">
    <w:name w:val="Heading 8"/>
    <w:basedOn w:val="812"/>
    <w:next w:val="812"/>
    <w:link w:val="861"/>
    <w:uiPriority w:val="9"/>
    <w:unhideWhenUsed/>
    <w:qFormat/>
    <w:pPr>
      <w:keepLines/>
      <w:keepNext/>
      <w:spacing w:before="320" w:after="200"/>
      <w:outlineLvl w:val="7"/>
    </w:pPr>
    <w:rPr>
      <w:rFonts w:ascii="Arial" w:hAnsi="Arial" w:eastAsia="Arial" w:cs="Arial"/>
      <w:i/>
      <w:iCs/>
      <w:sz w:val="22"/>
    </w:rPr>
  </w:style>
  <w:style w:type="paragraph" w:styleId="821">
    <w:name w:val="Heading 9"/>
    <w:basedOn w:val="812"/>
    <w:next w:val="812"/>
    <w:link w:val="862"/>
    <w:uiPriority w:val="9"/>
    <w:unhideWhenUsed/>
    <w:qFormat/>
    <w:pPr>
      <w:keepLines/>
      <w:keepNext/>
      <w:spacing w:before="320" w:after="200"/>
      <w:outlineLvl w:val="8"/>
    </w:pPr>
    <w:rPr>
      <w:rFonts w:ascii="Arial" w:hAnsi="Arial" w:eastAsia="Arial" w:cs="Arial"/>
      <w:i/>
      <w:iCs/>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toc 7"/>
    <w:basedOn w:val="812"/>
    <w:next w:val="812"/>
    <w:uiPriority w:val="39"/>
    <w:unhideWhenUsed/>
    <w:qFormat/>
    <w:pPr>
      <w:ind w:left="1701"/>
      <w:spacing w:after="57"/>
    </w:pPr>
  </w:style>
  <w:style w:type="paragraph" w:styleId="825">
    <w:name w:val="Caption"/>
    <w:basedOn w:val="812"/>
    <w:next w:val="812"/>
    <w:uiPriority w:val="35"/>
    <w:semiHidden/>
    <w:unhideWhenUsed/>
    <w:qFormat/>
    <w:pPr>
      <w:spacing w:line="276" w:lineRule="auto"/>
    </w:pPr>
    <w:rPr>
      <w:b/>
      <w:bCs/>
      <w:color w:val="4f81bd"/>
      <w:sz w:val="18"/>
      <w:szCs w:val="18"/>
    </w:rPr>
  </w:style>
  <w:style w:type="paragraph" w:styleId="826">
    <w:name w:val="annotation text"/>
    <w:basedOn w:val="812"/>
    <w:link w:val="1137"/>
    <w:uiPriority w:val="0"/>
    <w:qFormat/>
    <w:pPr>
      <w:jc w:val="left"/>
    </w:pPr>
    <w:rPr>
      <w:sz w:val="20"/>
      <w:szCs w:val="24"/>
    </w:rPr>
  </w:style>
  <w:style w:type="paragraph" w:styleId="827">
    <w:name w:val="Body Text Indent"/>
    <w:basedOn w:val="812"/>
    <w:uiPriority w:val="0"/>
    <w:qFormat/>
    <w:pPr>
      <w:ind w:firstLine="645"/>
    </w:pPr>
    <w:rPr>
      <w:rFonts w:ascii="楷体_GB2312" w:eastAsia="楷体_GB2312"/>
      <w:sz w:val="32"/>
      <w:szCs w:val="20"/>
    </w:rPr>
  </w:style>
  <w:style w:type="paragraph" w:styleId="828">
    <w:name w:val="toc 5"/>
    <w:basedOn w:val="812"/>
    <w:next w:val="812"/>
    <w:uiPriority w:val="39"/>
    <w:unhideWhenUsed/>
    <w:qFormat/>
    <w:pPr>
      <w:ind w:left="1134"/>
      <w:spacing w:after="57"/>
    </w:pPr>
  </w:style>
  <w:style w:type="paragraph" w:styleId="829">
    <w:name w:val="toc 3"/>
    <w:basedOn w:val="812"/>
    <w:next w:val="812"/>
    <w:uiPriority w:val="39"/>
    <w:unhideWhenUsed/>
    <w:qFormat/>
    <w:pPr>
      <w:ind w:left="567"/>
      <w:spacing w:after="57"/>
    </w:pPr>
  </w:style>
  <w:style w:type="paragraph" w:styleId="830">
    <w:name w:val="toc 8"/>
    <w:basedOn w:val="812"/>
    <w:next w:val="812"/>
    <w:uiPriority w:val="39"/>
    <w:unhideWhenUsed/>
    <w:qFormat/>
    <w:pPr>
      <w:ind w:left="1984"/>
      <w:spacing w:after="57"/>
    </w:pPr>
  </w:style>
  <w:style w:type="paragraph" w:styleId="831">
    <w:name w:val="endnote text"/>
    <w:basedOn w:val="812"/>
    <w:link w:val="1000"/>
    <w:uiPriority w:val="99"/>
    <w:semiHidden/>
    <w:unhideWhenUsed/>
    <w:qFormat/>
    <w:rPr>
      <w:sz w:val="20"/>
    </w:rPr>
  </w:style>
  <w:style w:type="paragraph" w:styleId="832">
    <w:name w:val="Balloon Text"/>
    <w:basedOn w:val="812"/>
    <w:link w:val="1139"/>
    <w:uiPriority w:val="99"/>
    <w:semiHidden/>
    <w:unhideWhenUsed/>
    <w:qFormat/>
    <w:rPr>
      <w:sz w:val="18"/>
      <w:szCs w:val="18"/>
    </w:rPr>
  </w:style>
  <w:style w:type="paragraph" w:styleId="833">
    <w:name w:val="Footer"/>
    <w:basedOn w:val="812"/>
    <w:link w:val="873"/>
    <w:uiPriority w:val="99"/>
    <w:unhideWhenUsed/>
    <w:qFormat/>
    <w:pPr>
      <w:tabs>
        <w:tab w:val="center" w:pos="7143" w:leader="none"/>
        <w:tab w:val="right" w:pos="14287" w:leader="none"/>
      </w:tabs>
    </w:pPr>
  </w:style>
  <w:style w:type="paragraph" w:styleId="834">
    <w:name w:val="Header"/>
    <w:basedOn w:val="812"/>
    <w:link w:val="871"/>
    <w:uiPriority w:val="99"/>
    <w:unhideWhenUsed/>
    <w:qFormat/>
    <w:pPr>
      <w:tabs>
        <w:tab w:val="center" w:pos="7143" w:leader="none"/>
        <w:tab w:val="right" w:pos="14287" w:leader="none"/>
      </w:tabs>
    </w:pPr>
  </w:style>
  <w:style w:type="paragraph" w:styleId="835">
    <w:name w:val="toc 1"/>
    <w:basedOn w:val="812"/>
    <w:next w:val="812"/>
    <w:uiPriority w:val="39"/>
    <w:unhideWhenUsed/>
    <w:qFormat/>
    <w:pPr>
      <w:spacing w:after="57"/>
    </w:pPr>
  </w:style>
  <w:style w:type="paragraph" w:styleId="836">
    <w:name w:val="toc 4"/>
    <w:basedOn w:val="812"/>
    <w:next w:val="812"/>
    <w:uiPriority w:val="39"/>
    <w:unhideWhenUsed/>
    <w:qFormat/>
    <w:pPr>
      <w:ind w:left="850"/>
      <w:spacing w:after="57"/>
    </w:pPr>
  </w:style>
  <w:style w:type="paragraph" w:styleId="837">
    <w:name w:val="Subtitle"/>
    <w:basedOn w:val="812"/>
    <w:next w:val="812"/>
    <w:link w:val="866"/>
    <w:uiPriority w:val="11"/>
    <w:qFormat/>
    <w:pPr>
      <w:spacing w:before="200" w:after="200"/>
    </w:pPr>
    <w:rPr>
      <w:sz w:val="24"/>
      <w:szCs w:val="24"/>
    </w:rPr>
  </w:style>
  <w:style w:type="paragraph" w:styleId="838">
    <w:name w:val="footnote text"/>
    <w:basedOn w:val="812"/>
    <w:link w:val="999"/>
    <w:uiPriority w:val="99"/>
    <w:semiHidden/>
    <w:unhideWhenUsed/>
    <w:qFormat/>
    <w:pPr>
      <w:spacing w:after="40"/>
    </w:pPr>
    <w:rPr>
      <w:sz w:val="18"/>
    </w:rPr>
  </w:style>
  <w:style w:type="paragraph" w:styleId="839">
    <w:name w:val="toc 6"/>
    <w:basedOn w:val="812"/>
    <w:next w:val="812"/>
    <w:uiPriority w:val="39"/>
    <w:unhideWhenUsed/>
    <w:qFormat/>
    <w:pPr>
      <w:ind w:left="1417"/>
      <w:spacing w:after="57"/>
    </w:pPr>
  </w:style>
  <w:style w:type="paragraph" w:styleId="840">
    <w:name w:val="table of figures"/>
    <w:basedOn w:val="812"/>
    <w:next w:val="812"/>
    <w:uiPriority w:val="99"/>
    <w:unhideWhenUsed/>
    <w:qFormat/>
  </w:style>
  <w:style w:type="paragraph" w:styleId="841">
    <w:name w:val="toc 2"/>
    <w:basedOn w:val="812"/>
    <w:next w:val="812"/>
    <w:uiPriority w:val="39"/>
    <w:unhideWhenUsed/>
    <w:qFormat/>
    <w:pPr>
      <w:ind w:left="283"/>
      <w:spacing w:after="57"/>
    </w:pPr>
  </w:style>
  <w:style w:type="paragraph" w:styleId="842">
    <w:name w:val="toc 9"/>
    <w:basedOn w:val="812"/>
    <w:next w:val="812"/>
    <w:uiPriority w:val="39"/>
    <w:unhideWhenUsed/>
    <w:qFormat/>
    <w:pPr>
      <w:ind w:left="2268"/>
      <w:spacing w:after="57"/>
    </w:pPr>
  </w:style>
  <w:style w:type="paragraph" w:styleId="843">
    <w:name w:val="Normal (Web)"/>
    <w:basedOn w:val="812"/>
    <w:uiPriority w:val="99"/>
    <w:semiHidden/>
    <w:unhideWhenUsed/>
    <w:qFormat/>
    <w:pPr>
      <w:jc w:val="left"/>
      <w:spacing w:beforeAutospacing="1" w:afterAutospacing="1"/>
    </w:pPr>
    <w:rPr>
      <w:sz w:val="24"/>
    </w:rPr>
  </w:style>
  <w:style w:type="paragraph" w:styleId="844">
    <w:name w:val="Title"/>
    <w:basedOn w:val="812"/>
    <w:next w:val="812"/>
    <w:link w:val="865"/>
    <w:uiPriority w:val="10"/>
    <w:qFormat/>
    <w:pPr>
      <w:contextualSpacing/>
      <w:spacing w:before="300" w:after="200"/>
    </w:pPr>
    <w:rPr>
      <w:sz w:val="48"/>
      <w:szCs w:val="48"/>
    </w:rPr>
  </w:style>
  <w:style w:type="paragraph" w:styleId="845">
    <w:name w:val="annotation subject"/>
    <w:basedOn w:val="826"/>
    <w:next w:val="826"/>
    <w:link w:val="1138"/>
    <w:uiPriority w:val="99"/>
    <w:semiHidden/>
    <w:unhideWhenUsed/>
    <w:qFormat/>
    <w:rPr>
      <w:b/>
      <w:bCs/>
      <w:sz w:val="21"/>
      <w:szCs w:val="22"/>
    </w:rPr>
  </w:style>
  <w:style w:type="paragraph" w:styleId="846">
    <w:name w:val="Body Text First Indent 2"/>
    <w:basedOn w:val="827"/>
    <w:uiPriority w:val="99"/>
    <w:unhideWhenUsed/>
    <w:qFormat/>
    <w:pPr>
      <w:ind w:firstLine="420"/>
    </w:pPr>
  </w:style>
  <w:style w:type="table" w:styleId="8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Strong"/>
    <w:uiPriority w:val="22"/>
    <w:qFormat/>
    <w:rPr>
      <w:b/>
      <w:bCs/>
    </w:r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u w:val="single"/>
    </w:rPr>
  </w:style>
  <w:style w:type="character" w:styleId="851">
    <w:name w:val="annotation reference"/>
    <w:uiPriority w:val="99"/>
    <w:semiHidden/>
    <w:unhideWhenUsed/>
    <w:qFormat/>
    <w:rPr>
      <w:sz w:val="21"/>
      <w:szCs w:val="21"/>
    </w:rPr>
  </w:style>
  <w:style w:type="character" w:styleId="852">
    <w:name w:val="footnote reference"/>
    <w:uiPriority w:val="99"/>
    <w:unhideWhenUsed/>
    <w:qFormat/>
    <w:rPr>
      <w:vertAlign w:val="superscript"/>
    </w:rPr>
  </w:style>
  <w:style w:type="paragraph" w:styleId="853" w:customStyle="1">
    <w:name w:val="Default"/>
    <w:uiPriority w:val="99"/>
    <w:qFormat/>
    <w:pPr>
      <w:widowControl w:val="off"/>
    </w:pPr>
    <w:rPr>
      <w:rFonts w:ascii="MS Mincho" w:hAnsi="Calibri" w:eastAsia="宋体" w:cs="Times New Roman"/>
      <w:color w:val="000000"/>
      <w:sz w:val="21"/>
      <w:szCs w:val="24"/>
      <w:lang w:val="en-US" w:eastAsia="zh-CN" w:bidi="ar-SA"/>
    </w:rPr>
  </w:style>
  <w:style w:type="character" w:styleId="854" w:customStyle="1">
    <w:name w:val="标题 1 字符"/>
    <w:link w:val="813"/>
    <w:uiPriority w:val="9"/>
    <w:qFormat/>
    <w:rPr>
      <w:rFonts w:ascii="Arial" w:hAnsi="Arial" w:eastAsia="Arial" w:cs="Arial"/>
      <w:sz w:val="40"/>
      <w:szCs w:val="40"/>
    </w:rPr>
  </w:style>
  <w:style w:type="character" w:styleId="855" w:customStyle="1">
    <w:name w:val="标题 2 字符"/>
    <w:link w:val="814"/>
    <w:uiPriority w:val="9"/>
    <w:qFormat/>
    <w:rPr>
      <w:rFonts w:ascii="Arial" w:hAnsi="Arial" w:eastAsia="Arial" w:cs="Arial"/>
      <w:sz w:val="34"/>
    </w:rPr>
  </w:style>
  <w:style w:type="character" w:styleId="856" w:customStyle="1">
    <w:name w:val="标题 3 字符"/>
    <w:link w:val="815"/>
    <w:uiPriority w:val="9"/>
    <w:qFormat/>
    <w:rPr>
      <w:rFonts w:ascii="Arial" w:hAnsi="Arial" w:eastAsia="Arial" w:cs="Arial"/>
      <w:sz w:val="30"/>
      <w:szCs w:val="30"/>
    </w:rPr>
  </w:style>
  <w:style w:type="character" w:styleId="857" w:customStyle="1">
    <w:name w:val="标题 4 字符"/>
    <w:link w:val="816"/>
    <w:uiPriority w:val="9"/>
    <w:qFormat/>
    <w:rPr>
      <w:rFonts w:ascii="Arial" w:hAnsi="Arial" w:eastAsia="Arial" w:cs="Arial"/>
      <w:b/>
      <w:bCs/>
      <w:sz w:val="26"/>
      <w:szCs w:val="26"/>
    </w:rPr>
  </w:style>
  <w:style w:type="character" w:styleId="858" w:customStyle="1">
    <w:name w:val="标题 5 字符"/>
    <w:link w:val="817"/>
    <w:uiPriority w:val="9"/>
    <w:qFormat/>
    <w:rPr>
      <w:rFonts w:ascii="Arial" w:hAnsi="Arial" w:eastAsia="Arial" w:cs="Arial"/>
      <w:b/>
      <w:bCs/>
      <w:sz w:val="24"/>
      <w:szCs w:val="24"/>
    </w:rPr>
  </w:style>
  <w:style w:type="character" w:styleId="859" w:customStyle="1">
    <w:name w:val="标题 6 字符"/>
    <w:link w:val="818"/>
    <w:uiPriority w:val="9"/>
    <w:qFormat/>
    <w:rPr>
      <w:rFonts w:ascii="Arial" w:hAnsi="Arial" w:eastAsia="Arial" w:cs="Arial"/>
      <w:b/>
      <w:bCs/>
      <w:sz w:val="22"/>
      <w:szCs w:val="22"/>
    </w:rPr>
  </w:style>
  <w:style w:type="character" w:styleId="860" w:customStyle="1">
    <w:name w:val="标题 7 字符"/>
    <w:link w:val="819"/>
    <w:uiPriority w:val="9"/>
    <w:qFormat/>
    <w:rPr>
      <w:rFonts w:ascii="Arial" w:hAnsi="Arial" w:eastAsia="Arial" w:cs="Arial"/>
      <w:b/>
      <w:bCs/>
      <w:i/>
      <w:iCs/>
      <w:sz w:val="22"/>
      <w:szCs w:val="22"/>
    </w:rPr>
  </w:style>
  <w:style w:type="character" w:styleId="861" w:customStyle="1">
    <w:name w:val="标题 8 字符"/>
    <w:link w:val="820"/>
    <w:uiPriority w:val="9"/>
    <w:qFormat/>
    <w:rPr>
      <w:rFonts w:ascii="Arial" w:hAnsi="Arial" w:eastAsia="Arial" w:cs="Arial"/>
      <w:i/>
      <w:iCs/>
      <w:sz w:val="22"/>
      <w:szCs w:val="22"/>
    </w:rPr>
  </w:style>
  <w:style w:type="character" w:styleId="862" w:customStyle="1">
    <w:name w:val="标题 9 字符"/>
    <w:link w:val="821"/>
    <w:uiPriority w:val="9"/>
    <w:qFormat/>
    <w:rPr>
      <w:rFonts w:ascii="Arial" w:hAnsi="Arial" w:eastAsia="Arial" w:cs="Arial"/>
      <w:i/>
      <w:iCs/>
      <w:sz w:val="21"/>
      <w:szCs w:val="21"/>
    </w:rPr>
  </w:style>
  <w:style w:type="paragraph" w:styleId="863">
    <w:name w:val="List Paragraph"/>
    <w:basedOn w:val="812"/>
    <w:uiPriority w:val="34"/>
    <w:qFormat/>
    <w:pPr>
      <w:contextualSpacing/>
      <w:ind w:left="720"/>
    </w:pPr>
  </w:style>
  <w:style w:type="paragraph" w:styleId="864">
    <w:name w:val="No Spacing"/>
    <w:uiPriority w:val="1"/>
    <w:qFormat/>
    <w:rPr>
      <w:rFonts w:ascii="Times New Roman" w:hAnsi="Times New Roman" w:eastAsia="宋体" w:cs="Times New Roman"/>
      <w:lang w:val="en-US" w:eastAsia="zh-CN" w:bidi="ar-SA"/>
    </w:rPr>
  </w:style>
  <w:style w:type="character" w:styleId="865" w:customStyle="1">
    <w:name w:val="标题 字符"/>
    <w:link w:val="844"/>
    <w:uiPriority w:val="10"/>
    <w:qFormat/>
    <w:rPr>
      <w:sz w:val="48"/>
      <w:szCs w:val="48"/>
    </w:rPr>
  </w:style>
  <w:style w:type="character" w:styleId="866" w:customStyle="1">
    <w:name w:val="副标题 字符"/>
    <w:link w:val="837"/>
    <w:uiPriority w:val="11"/>
    <w:qFormat/>
    <w:rPr>
      <w:sz w:val="24"/>
      <w:szCs w:val="24"/>
    </w:rPr>
  </w:style>
  <w:style w:type="paragraph" w:styleId="867">
    <w:name w:val="Quote"/>
    <w:basedOn w:val="812"/>
    <w:next w:val="812"/>
    <w:link w:val="868"/>
    <w:uiPriority w:val="29"/>
    <w:qFormat/>
    <w:pPr>
      <w:ind w:left="720" w:right="720"/>
    </w:pPr>
    <w:rPr>
      <w:i/>
    </w:rPr>
  </w:style>
  <w:style w:type="character" w:styleId="868" w:customStyle="1">
    <w:name w:val="引用 字符"/>
    <w:link w:val="867"/>
    <w:uiPriority w:val="29"/>
    <w:qFormat/>
    <w:rPr>
      <w:i/>
    </w:rPr>
  </w:style>
  <w:style w:type="paragraph" w:styleId="869">
    <w:name w:val="Intense Quote"/>
    <w:basedOn w:val="812"/>
    <w:next w:val="812"/>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字符"/>
    <w:link w:val="869"/>
    <w:uiPriority w:val="30"/>
    <w:qFormat/>
    <w:rPr>
      <w:i/>
    </w:rPr>
  </w:style>
  <w:style w:type="character" w:styleId="871" w:customStyle="1">
    <w:name w:val="页眉 字符"/>
    <w:link w:val="834"/>
    <w:uiPriority w:val="99"/>
    <w:qFormat/>
  </w:style>
  <w:style w:type="character" w:styleId="872" w:customStyle="1">
    <w:name w:val="Footer Char"/>
    <w:uiPriority w:val="99"/>
    <w:qFormat/>
  </w:style>
  <w:style w:type="character" w:styleId="873" w:customStyle="1">
    <w:name w:val="页脚 字符"/>
    <w:link w:val="833"/>
    <w:uiPriority w:val="99"/>
    <w:qFormat/>
  </w:style>
  <w:style w:type="table" w:styleId="87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7" w:customStyle="1">
    <w:name w:val="无格式表格 31"/>
    <w:uiPriority w:val="99"/>
    <w:qFormat/>
    <w:tblPr>
      <w:tblCellMar>
        <w:left w:w="0" w:type="dxa"/>
        <w:top w:w="0" w:type="dxa"/>
        <w:right w:w="0" w:type="dxa"/>
        <w:bottom w:w="0" w:type="dxa"/>
      </w:tblCellMar>
    </w:tblPr>
  </w:style>
  <w:style w:type="table" w:styleId="878" w:customStyle="1">
    <w:name w:val="无格式表格 41"/>
    <w:uiPriority w:val="99"/>
    <w:qFormat/>
    <w:tblPr>
      <w:tblCellMar>
        <w:left w:w="0" w:type="dxa"/>
        <w:top w:w="0" w:type="dxa"/>
        <w:right w:w="0" w:type="dxa"/>
        <w:bottom w:w="0" w:type="dxa"/>
      </w:tblCellMar>
    </w:tblPr>
  </w:style>
  <w:style w:type="table" w:styleId="879" w:customStyle="1">
    <w:name w:val="无格式表格 51"/>
    <w:uiPriority w:val="99"/>
    <w:qFormat/>
    <w:tblPr>
      <w:tblCellMar>
        <w:left w:w="0" w:type="dxa"/>
        <w:top w:w="0" w:type="dxa"/>
        <w:right w:w="0" w:type="dxa"/>
        <w:bottom w:w="0" w:type="dxa"/>
      </w:tblCellMar>
    </w:tblPr>
  </w:style>
  <w:style w:type="table" w:styleId="88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清单表 1 浅色1"/>
    <w:uiPriority w:val="99"/>
    <w:qFormat/>
    <w:tblPr>
      <w:tblCellMar>
        <w:left w:w="0" w:type="dxa"/>
        <w:top w:w="0" w:type="dxa"/>
        <w:right w:w="0" w:type="dxa"/>
        <w:bottom w:w="0" w:type="dxa"/>
      </w:tblCellMar>
    </w:tblPr>
  </w:style>
  <w:style w:type="table" w:styleId="930" w:customStyle="1">
    <w:name w:val="List Table 1 Light - Accent 1"/>
    <w:uiPriority w:val="99"/>
    <w:qFormat/>
    <w:tblPr>
      <w:tblCellMar>
        <w:left w:w="0" w:type="dxa"/>
        <w:top w:w="0" w:type="dxa"/>
        <w:right w:w="0" w:type="dxa"/>
        <w:bottom w:w="0" w:type="dxa"/>
      </w:tblCellMar>
    </w:tblPr>
  </w:style>
  <w:style w:type="table" w:styleId="931" w:customStyle="1">
    <w:name w:val="List Table 1 Light - Accent 2"/>
    <w:uiPriority w:val="99"/>
    <w:qFormat/>
    <w:tblPr>
      <w:tblCellMar>
        <w:left w:w="0" w:type="dxa"/>
        <w:top w:w="0" w:type="dxa"/>
        <w:right w:w="0" w:type="dxa"/>
        <w:bottom w:w="0" w:type="dxa"/>
      </w:tblCellMar>
    </w:tblPr>
  </w:style>
  <w:style w:type="table" w:styleId="932" w:customStyle="1">
    <w:name w:val="List Table 1 Light - Accent 3"/>
    <w:uiPriority w:val="99"/>
    <w:qFormat/>
    <w:tblPr>
      <w:tblCellMar>
        <w:left w:w="0" w:type="dxa"/>
        <w:top w:w="0" w:type="dxa"/>
        <w:right w:w="0" w:type="dxa"/>
        <w:bottom w:w="0" w:type="dxa"/>
      </w:tblCellMar>
    </w:tblPr>
  </w:style>
  <w:style w:type="table" w:styleId="933" w:customStyle="1">
    <w:name w:val="List Table 1 Light - Accent 4"/>
    <w:uiPriority w:val="99"/>
    <w:qFormat/>
    <w:tblPr>
      <w:tblCellMar>
        <w:left w:w="0" w:type="dxa"/>
        <w:top w:w="0" w:type="dxa"/>
        <w:right w:w="0" w:type="dxa"/>
        <w:bottom w:w="0" w:type="dxa"/>
      </w:tblCellMar>
    </w:tblPr>
  </w:style>
  <w:style w:type="table" w:styleId="934" w:customStyle="1">
    <w:name w:val="List Table 1 Light - Accent 5"/>
    <w:uiPriority w:val="99"/>
    <w:qFormat/>
    <w:tblPr>
      <w:tblCellMar>
        <w:left w:w="0" w:type="dxa"/>
        <w:top w:w="0" w:type="dxa"/>
        <w:right w:w="0" w:type="dxa"/>
        <w:bottom w:w="0" w:type="dxa"/>
      </w:tblCellMar>
    </w:tblPr>
  </w:style>
  <w:style w:type="table" w:styleId="935" w:customStyle="1">
    <w:name w:val="List Table 1 Light - Accent 6"/>
    <w:uiPriority w:val="99"/>
    <w:qFormat/>
    <w:tblPr>
      <w:tblCellMar>
        <w:left w:w="0" w:type="dxa"/>
        <w:top w:w="0" w:type="dxa"/>
        <w:right w:w="0" w:type="dxa"/>
        <w:bottom w:w="0" w:type="dxa"/>
      </w:tblCellMar>
    </w:tblPr>
  </w:style>
  <w:style w:type="table" w:styleId="93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8" w:customStyle="1">
    <w:name w:val="Lined - Accent"/>
    <w:uiPriority w:val="99"/>
    <w:qFormat/>
    <w:rPr>
      <w:color w:val="404040"/>
    </w:rPr>
    <w:tblPr>
      <w:tblCellMar>
        <w:left w:w="0" w:type="dxa"/>
        <w:top w:w="0" w:type="dxa"/>
        <w:right w:w="0" w:type="dxa"/>
        <w:bottom w:w="0" w:type="dxa"/>
      </w:tblCellMar>
    </w:tblPr>
  </w:style>
  <w:style w:type="table" w:styleId="979" w:customStyle="1">
    <w:name w:val="Lined - Accent 1"/>
    <w:uiPriority w:val="99"/>
    <w:qFormat/>
    <w:rPr>
      <w:color w:val="404040"/>
    </w:rPr>
    <w:tblPr>
      <w:tblCellMar>
        <w:left w:w="0" w:type="dxa"/>
        <w:top w:w="0" w:type="dxa"/>
        <w:right w:w="0" w:type="dxa"/>
        <w:bottom w:w="0" w:type="dxa"/>
      </w:tblCellMar>
    </w:tblPr>
  </w:style>
  <w:style w:type="table" w:styleId="980" w:customStyle="1">
    <w:name w:val="Lined - Accent 2"/>
    <w:uiPriority w:val="99"/>
    <w:qFormat/>
    <w:rPr>
      <w:color w:val="404040"/>
    </w:rPr>
    <w:tblPr>
      <w:tblCellMar>
        <w:left w:w="0" w:type="dxa"/>
        <w:top w:w="0" w:type="dxa"/>
        <w:right w:w="0" w:type="dxa"/>
        <w:bottom w:w="0" w:type="dxa"/>
      </w:tblCellMar>
    </w:tblPr>
  </w:style>
  <w:style w:type="table" w:styleId="981" w:customStyle="1">
    <w:name w:val="Lined - Accent 3"/>
    <w:uiPriority w:val="99"/>
    <w:qFormat/>
    <w:rPr>
      <w:color w:val="404040"/>
    </w:rPr>
    <w:tblPr>
      <w:tblCellMar>
        <w:left w:w="0" w:type="dxa"/>
        <w:top w:w="0" w:type="dxa"/>
        <w:right w:w="0" w:type="dxa"/>
        <w:bottom w:w="0" w:type="dxa"/>
      </w:tblCellMar>
    </w:tblPr>
  </w:style>
  <w:style w:type="table" w:styleId="982" w:customStyle="1">
    <w:name w:val="Lined - Accent 4"/>
    <w:uiPriority w:val="99"/>
    <w:qFormat/>
    <w:rPr>
      <w:color w:val="404040"/>
    </w:rPr>
    <w:tblPr>
      <w:tblCellMar>
        <w:left w:w="0" w:type="dxa"/>
        <w:top w:w="0" w:type="dxa"/>
        <w:right w:w="0" w:type="dxa"/>
        <w:bottom w:w="0" w:type="dxa"/>
      </w:tblCellMar>
    </w:tblPr>
  </w:style>
  <w:style w:type="table" w:styleId="983" w:customStyle="1">
    <w:name w:val="Lined - Accent 5"/>
    <w:uiPriority w:val="99"/>
    <w:qFormat/>
    <w:rPr>
      <w:color w:val="404040"/>
    </w:rPr>
    <w:tblPr>
      <w:tblCellMar>
        <w:left w:w="0" w:type="dxa"/>
        <w:top w:w="0" w:type="dxa"/>
        <w:right w:w="0" w:type="dxa"/>
        <w:bottom w:w="0" w:type="dxa"/>
      </w:tblCellMar>
    </w:tblPr>
  </w:style>
  <w:style w:type="table" w:styleId="984" w:customStyle="1">
    <w:name w:val="Lined - Accent 6"/>
    <w:uiPriority w:val="99"/>
    <w:qFormat/>
    <w:rPr>
      <w:color w:val="404040"/>
    </w:rPr>
    <w:tblPr>
      <w:tblCellMar>
        <w:left w:w="0" w:type="dxa"/>
        <w:top w:w="0" w:type="dxa"/>
        <w:right w:w="0" w:type="dxa"/>
        <w:bottom w:w="0" w:type="dxa"/>
      </w:tblCellMar>
    </w:tblPr>
  </w:style>
  <w:style w:type="table" w:styleId="98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9" w:customStyle="1">
    <w:name w:val="脚注文本 字符"/>
    <w:link w:val="838"/>
    <w:uiPriority w:val="99"/>
    <w:qFormat/>
    <w:rPr>
      <w:sz w:val="18"/>
    </w:rPr>
  </w:style>
  <w:style w:type="character" w:styleId="1000" w:customStyle="1">
    <w:name w:val="尾注文本 字符"/>
    <w:link w:val="831"/>
    <w:uiPriority w:val="99"/>
    <w:qFormat/>
    <w:rPr>
      <w:sz w:val="20"/>
    </w:rPr>
  </w:style>
  <w:style w:type="paragraph" w:styleId="1001" w:customStyle="1">
    <w:name w:val="TOC 标题1"/>
    <w:uiPriority w:val="39"/>
    <w:unhideWhenUsed/>
    <w:qFormat/>
    <w:rPr>
      <w:rFonts w:ascii="Times New Roman" w:hAnsi="Times New Roman" w:eastAsia="宋体" w:cs="Times New Roman"/>
      <w:lang w:val="en-US" w:eastAsia="zh-CN" w:bidi="ar-SA"/>
    </w:rPr>
  </w:style>
  <w:style w:type="paragraph" w:styleId="1002" w:customStyle="1">
    <w:name w:val="标题 11"/>
    <w:basedOn w:val="812"/>
    <w:next w:val="812"/>
    <w:link w:val="1013"/>
    <w:uiPriority w:val="0"/>
    <w:qFormat/>
    <w:pPr>
      <w:jc w:val="center"/>
      <w:keepNext/>
      <w:outlineLvl w:val="0"/>
    </w:pPr>
    <w:rPr>
      <w:rFonts w:ascii="楷体_GB2312" w:eastAsia="楷体_GB2312"/>
      <w:sz w:val="28"/>
      <w:szCs w:val="28"/>
    </w:rPr>
  </w:style>
  <w:style w:type="paragraph" w:styleId="1003" w:customStyle="1">
    <w:name w:val="标题 21"/>
    <w:basedOn w:val="812"/>
    <w:next w:val="812"/>
    <w:link w:val="10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4" w:customStyle="1">
    <w:name w:val="标题 31"/>
    <w:basedOn w:val="812"/>
    <w:next w:val="812"/>
    <w:link w:val="1015"/>
    <w:uiPriority w:val="0"/>
    <w:qFormat/>
    <w:pPr>
      <w:keepLines/>
      <w:keepNext/>
      <w:spacing w:before="260" w:after="260" w:line="416" w:lineRule="auto"/>
      <w:outlineLvl w:val="2"/>
    </w:pPr>
    <w:rPr>
      <w:b/>
      <w:bCs/>
      <w:sz w:val="32"/>
      <w:szCs w:val="32"/>
    </w:rPr>
  </w:style>
  <w:style w:type="paragraph" w:styleId="1005" w:customStyle="1">
    <w:name w:val="标题 41"/>
    <w:basedOn w:val="812"/>
    <w:next w:val="812"/>
    <w:link w:val="1016"/>
    <w:uiPriority w:val="0"/>
    <w:qFormat/>
    <w:pPr>
      <w:keepLines/>
      <w:keepNext/>
      <w:spacing w:before="280" w:after="290" w:line="376" w:lineRule="auto"/>
      <w:outlineLvl w:val="3"/>
    </w:pPr>
    <w:rPr>
      <w:rFonts w:ascii="Arial" w:hAnsi="Arial" w:eastAsia="黑体" w:cs="Arial"/>
      <w:b/>
      <w:bCs/>
      <w:sz w:val="28"/>
      <w:szCs w:val="28"/>
    </w:rPr>
  </w:style>
  <w:style w:type="paragraph" w:styleId="1006" w:customStyle="1">
    <w:name w:val="标题 51"/>
    <w:basedOn w:val="812"/>
    <w:next w:val="812"/>
    <w:link w:val="1017"/>
    <w:uiPriority w:val="0"/>
    <w:qFormat/>
    <w:pPr>
      <w:keepNext/>
      <w:outlineLvl w:val="4"/>
    </w:pPr>
    <w:rPr>
      <w:rFonts w:ascii="宋体"/>
      <w:color w:val="000000"/>
      <w:sz w:val="28"/>
      <w:szCs w:val="28"/>
    </w:rPr>
  </w:style>
  <w:style w:type="paragraph" w:styleId="1007" w:customStyle="1">
    <w:name w:val="标题 61"/>
    <w:basedOn w:val="812"/>
    <w:next w:val="812"/>
    <w:link w:val="101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8" w:customStyle="1">
    <w:name w:val="标题 71"/>
    <w:basedOn w:val="812"/>
    <w:next w:val="812"/>
    <w:link w:val="1019"/>
    <w:uiPriority w:val="0"/>
    <w:qFormat/>
    <w:pPr>
      <w:numPr>
        <w:ilvl w:val="6"/>
        <w:numId w:val="1"/>
      </w:numPr>
      <w:keepLines/>
      <w:keepNext/>
      <w:spacing w:before="240" w:after="64" w:line="320" w:lineRule="auto"/>
      <w:outlineLvl w:val="6"/>
    </w:pPr>
    <w:rPr>
      <w:b/>
      <w:bCs/>
      <w:sz w:val="24"/>
      <w:szCs w:val="24"/>
    </w:rPr>
  </w:style>
  <w:style w:type="paragraph" w:styleId="1009" w:customStyle="1">
    <w:name w:val="标题 81"/>
    <w:basedOn w:val="812"/>
    <w:next w:val="812"/>
    <w:link w:val="102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10" w:customStyle="1">
    <w:name w:val="标题 91"/>
    <w:basedOn w:val="812"/>
    <w:next w:val="812"/>
    <w:link w:val="1021"/>
    <w:uiPriority w:val="0"/>
    <w:qFormat/>
    <w:pPr>
      <w:numPr>
        <w:ilvl w:val="8"/>
        <w:numId w:val="1"/>
      </w:numPr>
      <w:keepLines/>
      <w:keepNext/>
      <w:spacing w:before="240" w:after="64" w:line="320" w:lineRule="auto"/>
      <w:outlineLvl w:val="8"/>
    </w:pPr>
    <w:rPr>
      <w:rFonts w:ascii="Arial" w:hAnsi="Arial" w:eastAsia="黑体"/>
      <w:szCs w:val="21"/>
    </w:rPr>
  </w:style>
  <w:style w:type="character" w:styleId="1011" w:customStyle="1">
    <w:name w:val="默认段落字体1"/>
    <w:uiPriority w:val="1"/>
    <w:unhideWhenUsed/>
    <w:qFormat/>
  </w:style>
  <w:style w:type="table" w:styleId="1012" w:customStyle="1">
    <w:name w:val="普通表格1"/>
    <w:uiPriority w:val="99"/>
    <w:unhideWhenUsed/>
    <w:qFormat/>
    <w:tblPr>
      <w:tblCellMar>
        <w:left w:w="0" w:type="dxa"/>
        <w:top w:w="0" w:type="dxa"/>
        <w:right w:w="0" w:type="dxa"/>
        <w:bottom w:w="0" w:type="dxa"/>
      </w:tblCellMar>
    </w:tblPr>
  </w:style>
  <w:style w:type="character" w:styleId="1013" w:customStyle="1">
    <w:name w:val="标题 1 Char"/>
    <w:link w:val="1002"/>
    <w:uiPriority w:val="0"/>
    <w:qFormat/>
    <w:rPr>
      <w:rFonts w:ascii="楷体_GB2312" w:hAnsi="Times New Roman" w:eastAsia="楷体_GB2312" w:cs="Times New Roman"/>
      <w:sz w:val="28"/>
      <w:szCs w:val="28"/>
    </w:rPr>
  </w:style>
  <w:style w:type="character" w:styleId="1014" w:customStyle="1">
    <w:name w:val="标题 2 Char"/>
    <w:link w:val="1003"/>
    <w:uiPriority w:val="0"/>
    <w:qFormat/>
    <w:rPr>
      <w:rFonts w:ascii="Arial" w:hAnsi="Arial" w:eastAsia="幼圆" w:cs="Arial"/>
      <w:b/>
      <w:bCs/>
      <w:sz w:val="44"/>
      <w:szCs w:val="44"/>
    </w:rPr>
  </w:style>
  <w:style w:type="character" w:styleId="1015" w:customStyle="1">
    <w:name w:val="标题 3 Char"/>
    <w:link w:val="1004"/>
    <w:uiPriority w:val="0"/>
    <w:qFormat/>
    <w:rPr>
      <w:rFonts w:ascii="Times New Roman" w:hAnsi="Times New Roman" w:eastAsia="宋体" w:cs="Times New Roman"/>
      <w:b/>
      <w:bCs/>
      <w:sz w:val="32"/>
      <w:szCs w:val="32"/>
    </w:rPr>
  </w:style>
  <w:style w:type="character" w:styleId="1016" w:customStyle="1">
    <w:name w:val="标题 4 Char"/>
    <w:link w:val="1005"/>
    <w:uiPriority w:val="0"/>
    <w:qFormat/>
    <w:rPr>
      <w:rFonts w:ascii="Arial" w:hAnsi="Arial" w:eastAsia="黑体" w:cs="Arial"/>
      <w:b/>
      <w:bCs/>
      <w:sz w:val="28"/>
      <w:szCs w:val="28"/>
    </w:rPr>
  </w:style>
  <w:style w:type="character" w:styleId="1017" w:customStyle="1">
    <w:name w:val="标题 5 Char"/>
    <w:link w:val="1006"/>
    <w:uiPriority w:val="0"/>
    <w:qFormat/>
    <w:rPr>
      <w:rFonts w:ascii="宋体" w:hAnsi="Times New Roman" w:eastAsia="宋体" w:cs="Times New Roman"/>
      <w:color w:val="000000"/>
      <w:sz w:val="28"/>
      <w:szCs w:val="28"/>
    </w:rPr>
  </w:style>
  <w:style w:type="character" w:styleId="1018" w:customStyle="1">
    <w:name w:val="标题 6 Char"/>
    <w:link w:val="1007"/>
    <w:uiPriority w:val="0"/>
    <w:qFormat/>
    <w:rPr>
      <w:rFonts w:ascii="Arial" w:hAnsi="Arial" w:eastAsia="黑体" w:cs="Times New Roman"/>
      <w:b/>
      <w:bCs/>
      <w:sz w:val="24"/>
      <w:szCs w:val="24"/>
    </w:rPr>
  </w:style>
  <w:style w:type="character" w:styleId="1019" w:customStyle="1">
    <w:name w:val="标题 7 Char"/>
    <w:link w:val="1008"/>
    <w:uiPriority w:val="0"/>
    <w:qFormat/>
    <w:rPr>
      <w:rFonts w:ascii="Times New Roman" w:hAnsi="Times New Roman" w:eastAsia="宋体" w:cs="Times New Roman"/>
      <w:b/>
      <w:bCs/>
      <w:sz w:val="24"/>
      <w:szCs w:val="24"/>
    </w:rPr>
  </w:style>
  <w:style w:type="character" w:styleId="1020" w:customStyle="1">
    <w:name w:val="标题 8 Char"/>
    <w:link w:val="1009"/>
    <w:uiPriority w:val="0"/>
    <w:qFormat/>
    <w:rPr>
      <w:rFonts w:ascii="Arial" w:hAnsi="Arial" w:eastAsia="黑体" w:cs="Times New Roman"/>
      <w:sz w:val="24"/>
      <w:szCs w:val="24"/>
    </w:rPr>
  </w:style>
  <w:style w:type="character" w:styleId="1021" w:customStyle="1">
    <w:name w:val="标题 9 Char"/>
    <w:link w:val="1010"/>
    <w:uiPriority w:val="0"/>
    <w:qFormat/>
    <w:rPr>
      <w:rFonts w:ascii="Arial" w:hAnsi="Arial" w:eastAsia="黑体" w:cs="Times New Roman"/>
      <w:szCs w:val="21"/>
    </w:rPr>
  </w:style>
  <w:style w:type="paragraph" w:styleId="1022" w:customStyle="1">
    <w:name w:val="列表 31"/>
    <w:basedOn w:val="812"/>
    <w:uiPriority w:val="0"/>
    <w:qFormat/>
    <w:pPr>
      <w:ind w:left="100" w:hanging="200"/>
    </w:pPr>
    <w:rPr>
      <w:szCs w:val="21"/>
    </w:rPr>
  </w:style>
  <w:style w:type="paragraph" w:styleId="1023" w:customStyle="1">
    <w:name w:val="目录 71"/>
    <w:basedOn w:val="812"/>
    <w:next w:val="812"/>
    <w:uiPriority w:val="0"/>
    <w:semiHidden/>
    <w:qFormat/>
    <w:pPr>
      <w:ind w:left="1260"/>
      <w:jc w:val="left"/>
    </w:pPr>
    <w:rPr>
      <w:szCs w:val="21"/>
    </w:rPr>
  </w:style>
  <w:style w:type="paragraph" w:styleId="1024" w:customStyle="1">
    <w:name w:val="正文缩进1"/>
    <w:basedOn w:val="812"/>
    <w:link w:val="1025"/>
    <w:uiPriority w:val="0"/>
    <w:qFormat/>
    <w:pPr>
      <w:ind w:firstLine="420"/>
    </w:pPr>
    <w:rPr>
      <w:szCs w:val="21"/>
    </w:rPr>
  </w:style>
  <w:style w:type="character" w:styleId="1025" w:customStyle="1">
    <w:name w:val="正文缩进 Char"/>
    <w:link w:val="1024"/>
    <w:uiPriority w:val="0"/>
    <w:qFormat/>
    <w:rPr>
      <w:szCs w:val="21"/>
    </w:rPr>
  </w:style>
  <w:style w:type="paragraph" w:styleId="1026" w:customStyle="1">
    <w:name w:val="题注1"/>
    <w:basedOn w:val="812"/>
    <w:next w:val="812"/>
    <w:uiPriority w:val="35"/>
    <w:qFormat/>
    <w:pPr>
      <w:jc w:val="center"/>
      <w:spacing w:after="395"/>
      <w:widowControl/>
    </w:pPr>
    <w:rPr>
      <w:rFonts w:ascii="仿宋" w:hAnsi="仿宋" w:eastAsia="仿宋" w:cs="仿宋"/>
      <w:szCs w:val="20"/>
    </w:rPr>
  </w:style>
  <w:style w:type="paragraph" w:styleId="1027" w:customStyle="1">
    <w:name w:val="文档结构图1"/>
    <w:basedOn w:val="812"/>
    <w:link w:val="1028"/>
    <w:uiPriority w:val="0"/>
    <w:semiHidden/>
    <w:qFormat/>
    <w:pPr>
      <w:shd w:val="clear" w:color="auto" w:fill="000080"/>
    </w:pPr>
    <w:rPr>
      <w:szCs w:val="21"/>
    </w:rPr>
  </w:style>
  <w:style w:type="character" w:styleId="1028" w:customStyle="1">
    <w:name w:val="文档结构图 Char"/>
    <w:link w:val="1027"/>
    <w:uiPriority w:val="0"/>
    <w:semiHidden/>
    <w:qFormat/>
    <w:rPr>
      <w:rFonts w:ascii="Times New Roman" w:hAnsi="Times New Roman" w:eastAsia="宋体" w:cs="Times New Roman"/>
      <w:szCs w:val="21"/>
      <w:shd w:val="clear" w:color="auto" w:fill="000080"/>
    </w:rPr>
  </w:style>
  <w:style w:type="paragraph" w:styleId="1029" w:customStyle="1">
    <w:name w:val="批注文字1"/>
    <w:basedOn w:val="812"/>
    <w:link w:val="1030"/>
    <w:uiPriority w:val="0"/>
    <w:unhideWhenUsed/>
    <w:qFormat/>
    <w:pPr>
      <w:jc w:val="left"/>
    </w:pPr>
  </w:style>
  <w:style w:type="character" w:styleId="1030" w:customStyle="1">
    <w:name w:val="批注文字 Char"/>
    <w:basedOn w:val="1011"/>
    <w:link w:val="1029"/>
    <w:uiPriority w:val="99"/>
    <w:semiHidden/>
    <w:qFormat/>
  </w:style>
  <w:style w:type="paragraph" w:styleId="1031" w:customStyle="1">
    <w:name w:val="正文文本 31"/>
    <w:basedOn w:val="812"/>
    <w:link w:val="1032"/>
    <w:uiPriority w:val="0"/>
    <w:qFormat/>
    <w:rPr>
      <w:rFonts w:ascii="仿宋_GB2312" w:hAnsi="Arial" w:eastAsia="仿宋_GB2312"/>
      <w:sz w:val="32"/>
      <w:szCs w:val="32"/>
    </w:rPr>
  </w:style>
  <w:style w:type="character" w:styleId="1032" w:customStyle="1">
    <w:name w:val="正文文本 3 Char"/>
    <w:link w:val="1031"/>
    <w:uiPriority w:val="0"/>
    <w:qFormat/>
    <w:rPr>
      <w:rFonts w:ascii="仿宋_GB2312" w:hAnsi="Arial" w:eastAsia="仿宋_GB2312" w:cs="Times New Roman"/>
      <w:sz w:val="32"/>
      <w:szCs w:val="32"/>
    </w:rPr>
  </w:style>
  <w:style w:type="paragraph" w:styleId="1033" w:customStyle="1">
    <w:name w:val="正文文本1"/>
    <w:basedOn w:val="812"/>
    <w:next w:val="1034"/>
    <w:link w:val="1035"/>
    <w:uiPriority w:val="0"/>
    <w:qFormat/>
    <w:rPr>
      <w:rFonts w:ascii="楷体_GB2312" w:hAnsi="Arial" w:eastAsia="楷体_GB2312"/>
      <w:sz w:val="28"/>
      <w:szCs w:val="28"/>
    </w:rPr>
  </w:style>
  <w:style w:type="paragraph" w:styleId="1034" w:customStyle="1">
    <w:name w:val="正文文本 21"/>
    <w:basedOn w:val="812"/>
    <w:link w:val="1036"/>
    <w:uiPriority w:val="0"/>
    <w:qFormat/>
    <w:pPr>
      <w:jc w:val="center"/>
      <w:widowControl/>
    </w:pPr>
    <w:rPr>
      <w:rFonts w:ascii="楷体_GB2312" w:eastAsia="楷体_GB2312"/>
      <w:sz w:val="28"/>
      <w:szCs w:val="28"/>
    </w:rPr>
  </w:style>
  <w:style w:type="character" w:styleId="1035" w:customStyle="1">
    <w:name w:val="正文文本 Char"/>
    <w:link w:val="1033"/>
    <w:uiPriority w:val="0"/>
    <w:qFormat/>
    <w:rPr>
      <w:rFonts w:ascii="楷体_GB2312" w:hAnsi="Arial" w:eastAsia="楷体_GB2312" w:cs="Times New Roman"/>
      <w:sz w:val="28"/>
      <w:szCs w:val="28"/>
    </w:rPr>
  </w:style>
  <w:style w:type="character" w:styleId="1036" w:customStyle="1">
    <w:name w:val="正文文本 2 Char"/>
    <w:link w:val="1034"/>
    <w:uiPriority w:val="0"/>
    <w:qFormat/>
    <w:rPr>
      <w:rFonts w:ascii="楷体_GB2312" w:hAnsi="Times New Roman" w:eastAsia="楷体_GB2312" w:cs="Times New Roman"/>
      <w:sz w:val="28"/>
      <w:szCs w:val="28"/>
    </w:rPr>
  </w:style>
  <w:style w:type="paragraph" w:styleId="1037" w:customStyle="1">
    <w:name w:val="正文文本缩进1"/>
    <w:basedOn w:val="812"/>
    <w:link w:val="1038"/>
    <w:uiPriority w:val="0"/>
    <w:unhideWhenUsed/>
    <w:qFormat/>
    <w:pPr>
      <w:ind w:left="420"/>
      <w:spacing w:after="120"/>
    </w:pPr>
  </w:style>
  <w:style w:type="character" w:styleId="1038" w:customStyle="1">
    <w:name w:val="正文文本缩进 Char"/>
    <w:basedOn w:val="1011"/>
    <w:link w:val="1037"/>
    <w:uiPriority w:val="99"/>
    <w:semiHidden/>
    <w:qFormat/>
  </w:style>
  <w:style w:type="paragraph" w:styleId="1039" w:customStyle="1">
    <w:name w:val="列表 21"/>
    <w:basedOn w:val="812"/>
    <w:uiPriority w:val="0"/>
    <w:qFormat/>
    <w:pPr>
      <w:ind w:left="100" w:hanging="200"/>
    </w:pPr>
    <w:rPr>
      <w:szCs w:val="21"/>
    </w:rPr>
  </w:style>
  <w:style w:type="paragraph" w:styleId="1040" w:customStyle="1">
    <w:name w:val="目录 51"/>
    <w:basedOn w:val="812"/>
    <w:next w:val="812"/>
    <w:uiPriority w:val="0"/>
    <w:semiHidden/>
    <w:qFormat/>
    <w:pPr>
      <w:ind w:left="840"/>
      <w:jc w:val="left"/>
    </w:pPr>
    <w:rPr>
      <w:szCs w:val="21"/>
    </w:rPr>
  </w:style>
  <w:style w:type="paragraph" w:styleId="1041" w:customStyle="1">
    <w:name w:val="目录 31"/>
    <w:basedOn w:val="812"/>
    <w:next w:val="812"/>
    <w:uiPriority w:val="0"/>
    <w:semiHidden/>
    <w:qFormat/>
    <w:pPr>
      <w:ind w:left="420"/>
      <w:jc w:val="left"/>
    </w:pPr>
    <w:rPr>
      <w:i/>
      <w:iCs/>
      <w:szCs w:val="24"/>
    </w:rPr>
  </w:style>
  <w:style w:type="paragraph" w:styleId="1042" w:customStyle="1">
    <w:name w:val="纯文本1"/>
    <w:basedOn w:val="812"/>
    <w:link w:val="1043"/>
    <w:uiPriority w:val="0"/>
    <w:qFormat/>
    <w:rPr>
      <w:rFonts w:ascii="宋体" w:hAnsi="Courier New" w:cs="Courier New"/>
      <w:szCs w:val="21"/>
    </w:rPr>
  </w:style>
  <w:style w:type="character" w:styleId="1043" w:customStyle="1">
    <w:name w:val="纯文本 Char"/>
    <w:link w:val="1042"/>
    <w:uiPriority w:val="0"/>
    <w:qFormat/>
    <w:rPr>
      <w:rFonts w:ascii="宋体" w:hAnsi="Courier New" w:eastAsia="宋体" w:cs="Courier New"/>
      <w:szCs w:val="21"/>
    </w:rPr>
  </w:style>
  <w:style w:type="paragraph" w:styleId="1044" w:customStyle="1">
    <w:name w:val="目录 81"/>
    <w:basedOn w:val="812"/>
    <w:next w:val="812"/>
    <w:uiPriority w:val="0"/>
    <w:semiHidden/>
    <w:qFormat/>
    <w:pPr>
      <w:ind w:left="1470"/>
      <w:jc w:val="left"/>
    </w:pPr>
    <w:rPr>
      <w:szCs w:val="21"/>
    </w:rPr>
  </w:style>
  <w:style w:type="paragraph" w:styleId="1045" w:customStyle="1">
    <w:name w:val="日期1"/>
    <w:basedOn w:val="812"/>
    <w:next w:val="812"/>
    <w:link w:val="1046"/>
    <w:uiPriority w:val="0"/>
    <w:qFormat/>
    <w:rPr>
      <w:sz w:val="24"/>
      <w:szCs w:val="24"/>
    </w:rPr>
  </w:style>
  <w:style w:type="character" w:styleId="1046" w:customStyle="1">
    <w:name w:val="日期 Char"/>
    <w:link w:val="1045"/>
    <w:uiPriority w:val="0"/>
    <w:qFormat/>
    <w:rPr>
      <w:rFonts w:ascii="Times New Roman" w:hAnsi="Times New Roman" w:eastAsia="宋体" w:cs="Times New Roman"/>
      <w:sz w:val="24"/>
      <w:szCs w:val="24"/>
    </w:rPr>
  </w:style>
  <w:style w:type="paragraph" w:styleId="1047" w:customStyle="1">
    <w:name w:val="正文文本缩进 21"/>
    <w:basedOn w:val="812"/>
    <w:link w:val="1048"/>
    <w:uiPriority w:val="0"/>
    <w:qFormat/>
    <w:pPr>
      <w:ind w:left="630" w:firstLine="645"/>
    </w:pPr>
    <w:rPr>
      <w:rFonts w:ascii="Arial" w:hAnsi="Arial" w:eastAsia="仿宋_GB2312" w:cs="Arial"/>
      <w:sz w:val="32"/>
      <w:szCs w:val="32"/>
    </w:rPr>
  </w:style>
  <w:style w:type="character" w:styleId="1048" w:customStyle="1">
    <w:name w:val="正文文本缩进 2 Char"/>
    <w:link w:val="1047"/>
    <w:uiPriority w:val="0"/>
    <w:qFormat/>
    <w:rPr>
      <w:rFonts w:ascii="Arial" w:hAnsi="Arial" w:eastAsia="仿宋_GB2312" w:cs="Arial"/>
      <w:sz w:val="32"/>
      <w:szCs w:val="32"/>
    </w:rPr>
  </w:style>
  <w:style w:type="paragraph" w:styleId="1049" w:customStyle="1">
    <w:name w:val="批注框文本1"/>
    <w:basedOn w:val="812"/>
    <w:link w:val="1050"/>
    <w:uiPriority w:val="0"/>
    <w:semiHidden/>
    <w:qFormat/>
    <w:rPr>
      <w:sz w:val="18"/>
      <w:szCs w:val="18"/>
    </w:rPr>
  </w:style>
  <w:style w:type="character" w:styleId="1050" w:customStyle="1">
    <w:name w:val="批注框文本 Char"/>
    <w:link w:val="1049"/>
    <w:uiPriority w:val="0"/>
    <w:semiHidden/>
    <w:qFormat/>
    <w:rPr>
      <w:rFonts w:ascii="Times New Roman" w:hAnsi="Times New Roman" w:eastAsia="宋体" w:cs="Times New Roman"/>
      <w:sz w:val="18"/>
      <w:szCs w:val="18"/>
    </w:rPr>
  </w:style>
  <w:style w:type="paragraph" w:styleId="1051" w:customStyle="1">
    <w:name w:val="页脚1"/>
    <w:basedOn w:val="812"/>
    <w:link w:val="1052"/>
    <w:uiPriority w:val="0"/>
    <w:qFormat/>
    <w:pPr>
      <w:jc w:val="left"/>
      <w:tabs>
        <w:tab w:val="center" w:pos="4153" w:leader="none"/>
        <w:tab w:val="right" w:pos="8306" w:leader="none"/>
      </w:tabs>
    </w:pPr>
    <w:rPr>
      <w:sz w:val="18"/>
      <w:szCs w:val="18"/>
    </w:rPr>
  </w:style>
  <w:style w:type="character" w:styleId="1052" w:customStyle="1">
    <w:name w:val="页脚 Char"/>
    <w:link w:val="1051"/>
    <w:uiPriority w:val="0"/>
    <w:qFormat/>
    <w:rPr>
      <w:rFonts w:ascii="Times New Roman" w:hAnsi="Times New Roman" w:eastAsia="宋体" w:cs="Times New Roman"/>
      <w:sz w:val="18"/>
      <w:szCs w:val="18"/>
    </w:rPr>
  </w:style>
  <w:style w:type="paragraph" w:styleId="1053" w:customStyle="1">
    <w:name w:val="页眉1"/>
    <w:basedOn w:val="812"/>
    <w:link w:val="1054"/>
    <w:uiPriority w:val="0"/>
    <w:qFormat/>
    <w:pPr>
      <w:jc w:val="center"/>
      <w:tabs>
        <w:tab w:val="center" w:pos="4153" w:leader="none"/>
        <w:tab w:val="right" w:pos="8306" w:leader="none"/>
      </w:tabs>
      <w:pBdr>
        <w:bottom w:val="single" w:color="000000" w:sz="6" w:space="1"/>
      </w:pBdr>
    </w:pPr>
    <w:rPr>
      <w:sz w:val="18"/>
      <w:szCs w:val="18"/>
    </w:rPr>
  </w:style>
  <w:style w:type="character" w:styleId="1054" w:customStyle="1">
    <w:name w:val="页眉 Char"/>
    <w:link w:val="1053"/>
    <w:uiPriority w:val="0"/>
    <w:qFormat/>
    <w:rPr>
      <w:rFonts w:ascii="Times New Roman" w:hAnsi="Times New Roman" w:eastAsia="宋体" w:cs="Times New Roman"/>
      <w:sz w:val="18"/>
      <w:szCs w:val="18"/>
    </w:rPr>
  </w:style>
  <w:style w:type="paragraph" w:styleId="1055" w:customStyle="1">
    <w:name w:val="目录 11"/>
    <w:basedOn w:val="812"/>
    <w:next w:val="812"/>
    <w:uiPriority w:val="0"/>
    <w:semiHidden/>
    <w:qFormat/>
    <w:pPr>
      <w:jc w:val="left"/>
      <w:spacing w:before="120" w:after="120" w:line="400" w:lineRule="exact"/>
      <w:tabs>
        <w:tab w:val="right" w:pos="8720" w:leader="dot"/>
      </w:tabs>
    </w:pPr>
    <w:rPr>
      <w:rFonts w:ascii="宋体" w:hAnsi="宋体"/>
      <w:caps/>
      <w:sz w:val="24"/>
      <w:szCs w:val="24"/>
    </w:rPr>
  </w:style>
  <w:style w:type="paragraph" w:styleId="1056" w:customStyle="1">
    <w:name w:val="目录 41"/>
    <w:basedOn w:val="812"/>
    <w:next w:val="812"/>
    <w:uiPriority w:val="0"/>
    <w:semiHidden/>
    <w:qFormat/>
    <w:pPr>
      <w:ind w:left="630"/>
      <w:jc w:val="left"/>
    </w:pPr>
    <w:rPr>
      <w:szCs w:val="21"/>
    </w:rPr>
  </w:style>
  <w:style w:type="paragraph" w:styleId="1057" w:customStyle="1">
    <w:name w:val="列表1"/>
    <w:basedOn w:val="812"/>
    <w:uiPriority w:val="0"/>
    <w:qFormat/>
    <w:pPr>
      <w:ind w:left="200" w:hanging="200"/>
    </w:pPr>
    <w:rPr>
      <w:szCs w:val="21"/>
    </w:rPr>
  </w:style>
  <w:style w:type="paragraph" w:styleId="1058" w:customStyle="1">
    <w:name w:val="目录 61"/>
    <w:basedOn w:val="812"/>
    <w:next w:val="812"/>
    <w:uiPriority w:val="0"/>
    <w:semiHidden/>
    <w:qFormat/>
    <w:pPr>
      <w:ind w:left="1050"/>
      <w:jc w:val="left"/>
    </w:pPr>
    <w:rPr>
      <w:szCs w:val="21"/>
    </w:rPr>
  </w:style>
  <w:style w:type="paragraph" w:styleId="1059" w:customStyle="1">
    <w:name w:val="正文文本缩进 31"/>
    <w:basedOn w:val="812"/>
    <w:link w:val="1060"/>
    <w:uiPriority w:val="0"/>
    <w:qFormat/>
    <w:pPr>
      <w:ind w:left="645" w:firstLine="645"/>
    </w:pPr>
    <w:rPr>
      <w:rFonts w:ascii="Arial" w:hAnsi="Arial" w:eastAsia="仿宋_GB2312" w:cs="Arial"/>
      <w:color w:val="ffff00"/>
      <w:sz w:val="32"/>
      <w:szCs w:val="32"/>
    </w:rPr>
  </w:style>
  <w:style w:type="character" w:styleId="1060" w:customStyle="1">
    <w:name w:val="正文文本缩进 3 Char"/>
    <w:link w:val="1059"/>
    <w:uiPriority w:val="0"/>
    <w:qFormat/>
    <w:rPr>
      <w:rFonts w:ascii="Arial" w:hAnsi="Arial" w:eastAsia="仿宋_GB2312" w:cs="Arial"/>
      <w:color w:val="ffff00"/>
      <w:sz w:val="32"/>
      <w:szCs w:val="32"/>
    </w:rPr>
  </w:style>
  <w:style w:type="paragraph" w:styleId="1061" w:customStyle="1">
    <w:name w:val="图表目录1"/>
    <w:basedOn w:val="812"/>
    <w:next w:val="812"/>
    <w:uiPriority w:val="0"/>
    <w:semiHidden/>
    <w:qFormat/>
    <w:pPr>
      <w:ind w:left="840" w:hanging="420"/>
    </w:pPr>
    <w:rPr>
      <w:szCs w:val="21"/>
    </w:rPr>
  </w:style>
  <w:style w:type="paragraph" w:styleId="1062" w:customStyle="1">
    <w:name w:val="目录 21"/>
    <w:basedOn w:val="812"/>
    <w:next w:val="812"/>
    <w:uiPriority w:val="0"/>
    <w:semiHidden/>
    <w:qFormat/>
    <w:pPr>
      <w:ind w:left="210"/>
      <w:jc w:val="left"/>
    </w:pPr>
    <w:rPr>
      <w:smallCaps/>
      <w:szCs w:val="24"/>
    </w:rPr>
  </w:style>
  <w:style w:type="paragraph" w:styleId="1063" w:customStyle="1">
    <w:name w:val="目录 91"/>
    <w:basedOn w:val="812"/>
    <w:next w:val="812"/>
    <w:uiPriority w:val="0"/>
    <w:semiHidden/>
    <w:qFormat/>
    <w:pPr>
      <w:ind w:left="1680"/>
      <w:jc w:val="left"/>
    </w:pPr>
    <w:rPr>
      <w:szCs w:val="21"/>
    </w:rPr>
  </w:style>
  <w:style w:type="paragraph" w:styleId="1064" w:customStyle="1">
    <w:name w:val="普通(网站)1"/>
    <w:basedOn w:val="812"/>
    <w:uiPriority w:val="99"/>
    <w:qFormat/>
    <w:pPr>
      <w:jc w:val="left"/>
      <w:spacing w:before="100" w:beforeAutospacing="1" w:after="100" w:afterAutospacing="1"/>
      <w:widowControl/>
    </w:pPr>
    <w:rPr>
      <w:rFonts w:ascii="宋体" w:hAnsi="宋体" w:cs="宋体"/>
      <w:sz w:val="24"/>
      <w:szCs w:val="24"/>
    </w:rPr>
  </w:style>
  <w:style w:type="paragraph" w:styleId="1065" w:customStyle="1">
    <w:name w:val="索引 11"/>
    <w:basedOn w:val="812"/>
    <w:next w:val="812"/>
    <w:uiPriority w:val="0"/>
    <w:semiHidden/>
    <w:qFormat/>
    <w:pPr>
      <w:spacing w:line="240" w:lineRule="atLeast"/>
    </w:pPr>
    <w:rPr>
      <w:b/>
      <w:bCs/>
      <w:szCs w:val="21"/>
    </w:rPr>
  </w:style>
  <w:style w:type="paragraph" w:styleId="1066" w:customStyle="1">
    <w:name w:val="批注主题1"/>
    <w:basedOn w:val="1029"/>
    <w:next w:val="1029"/>
    <w:link w:val="1067"/>
    <w:uiPriority w:val="0"/>
    <w:semiHidden/>
    <w:qFormat/>
    <w:rPr>
      <w:b/>
      <w:bCs/>
      <w:szCs w:val="21"/>
    </w:rPr>
  </w:style>
  <w:style w:type="character" w:styleId="1067" w:customStyle="1">
    <w:name w:val="批注主题 Char"/>
    <w:link w:val="1066"/>
    <w:uiPriority w:val="0"/>
    <w:semiHidden/>
    <w:qFormat/>
    <w:rPr>
      <w:rFonts w:ascii="Times New Roman" w:hAnsi="Times New Roman" w:eastAsia="宋体" w:cs="Times New Roman"/>
      <w:b/>
      <w:bCs/>
      <w:szCs w:val="21"/>
    </w:rPr>
  </w:style>
  <w:style w:type="paragraph" w:styleId="1068" w:customStyle="1">
    <w:name w:val="正文首行缩进1"/>
    <w:basedOn w:val="1033"/>
    <w:link w:val="1069"/>
    <w:uiPriority w:val="0"/>
    <w:qFormat/>
    <w:pPr>
      <w:ind w:firstLine="200"/>
      <w:spacing w:line="360" w:lineRule="auto"/>
    </w:pPr>
    <w:rPr>
      <w:rFonts w:ascii="仿宋_GB2312" w:hAnsi="Times New Roman" w:eastAsia="仿宋_GB2312"/>
      <w:sz w:val="30"/>
      <w:szCs w:val="30"/>
    </w:rPr>
  </w:style>
  <w:style w:type="character" w:styleId="1069" w:customStyle="1">
    <w:name w:val="正文首行缩进 Char"/>
    <w:link w:val="1068"/>
    <w:uiPriority w:val="0"/>
    <w:qFormat/>
    <w:rPr>
      <w:rFonts w:ascii="仿宋_GB2312" w:hAnsi="Times New Roman" w:eastAsia="仿宋_GB2312" w:cs="Times New Roman"/>
      <w:sz w:val="30"/>
      <w:szCs w:val="30"/>
    </w:rPr>
  </w:style>
  <w:style w:type="paragraph" w:styleId="1070" w:customStyle="1">
    <w:name w:val="正文首行缩进 21"/>
    <w:basedOn w:val="1037"/>
    <w:link w:val="1071"/>
    <w:uiPriority w:val="0"/>
    <w:qFormat/>
    <w:pPr>
      <w:ind w:left="0" w:firstLine="420"/>
      <w:spacing w:after="0" w:line="360" w:lineRule="auto"/>
    </w:pPr>
    <w:rPr>
      <w:rFonts w:ascii="宋体" w:hAnsi="宋体"/>
      <w:szCs w:val="20"/>
    </w:rPr>
  </w:style>
  <w:style w:type="character" w:styleId="1071" w:customStyle="1">
    <w:name w:val="正文首行缩进 2 Char"/>
    <w:link w:val="1070"/>
    <w:uiPriority w:val="0"/>
    <w:qFormat/>
    <w:rPr>
      <w:rFonts w:ascii="宋体" w:hAnsi="宋体" w:eastAsia="宋体" w:cs="Times New Roman"/>
      <w:szCs w:val="20"/>
    </w:rPr>
  </w:style>
  <w:style w:type="table" w:styleId="1072" w:customStyle="1">
    <w:name w:val="网格型1"/>
    <w:basedOn w:val="1012"/>
    <w:uiPriority w:val="0"/>
    <w:qFormat/>
    <w:pPr>
      <w:jc w:val="both"/>
      <w:widowControl w:val="off"/>
    </w:pPr>
    <w:tblPr/>
  </w:style>
  <w:style w:type="character" w:styleId="1073" w:customStyle="1">
    <w:name w:val="要点1"/>
    <w:uiPriority w:val="0"/>
    <w:qFormat/>
    <w:rPr>
      <w:b/>
      <w:bCs/>
    </w:rPr>
  </w:style>
  <w:style w:type="character" w:styleId="1074" w:customStyle="1">
    <w:name w:val="页码1"/>
    <w:uiPriority w:val="0"/>
    <w:qFormat/>
  </w:style>
  <w:style w:type="character" w:styleId="1075" w:customStyle="1">
    <w:name w:val="已访问的超链接1"/>
    <w:uiPriority w:val="0"/>
    <w:qFormat/>
    <w:rPr>
      <w:color w:val="800080"/>
      <w:u w:val="single"/>
    </w:rPr>
  </w:style>
  <w:style w:type="character" w:styleId="1076" w:customStyle="1">
    <w:name w:val="超链接1"/>
    <w:uiPriority w:val="0"/>
    <w:qFormat/>
    <w:rPr>
      <w:color w:val="0000ff"/>
      <w:u w:val="single"/>
    </w:rPr>
  </w:style>
  <w:style w:type="character" w:styleId="1077" w:customStyle="1">
    <w:name w:val="批注引用1"/>
    <w:uiPriority w:val="0"/>
    <w:semiHidden/>
    <w:qFormat/>
    <w:rPr>
      <w:sz w:val="21"/>
      <w:szCs w:val="21"/>
    </w:rPr>
  </w:style>
  <w:style w:type="paragraph" w:styleId="1078" w:customStyle="1">
    <w:name w:val="索引 41"/>
    <w:basedOn w:val="812"/>
    <w:next w:val="812"/>
    <w:uiPriority w:val="0"/>
    <w:semiHidden/>
    <w:qFormat/>
    <w:pPr>
      <w:ind w:left="1260"/>
    </w:pPr>
    <w:rPr>
      <w:rFonts w:ascii="Calibri" w:hAnsi="Calibri" w:eastAsia="Calibri" w:cs="宋体"/>
      <w:sz w:val="20"/>
      <w:lang w:val="zh-CN"/>
    </w:rPr>
  </w:style>
  <w:style w:type="character" w:styleId="1079" w:customStyle="1">
    <w:name w:val="font5 Char"/>
    <w:uiPriority w:val="0"/>
    <w:qFormat/>
    <w:rPr>
      <w:rFonts w:ascii="宋体" w:hAnsi="宋体" w:eastAsia="宋体"/>
      <w:sz w:val="28"/>
      <w:szCs w:val="28"/>
      <w:lang w:val="en-US" w:eastAsia="zh-CN" w:bidi="ar-SA"/>
    </w:rPr>
  </w:style>
  <w:style w:type="character" w:styleId="1080" w:customStyle="1">
    <w:name w:val="二级目录 Char"/>
    <w:link w:val="1081"/>
    <w:uiPriority w:val="0"/>
    <w:qFormat/>
    <w:rPr>
      <w:b/>
      <w:sz w:val="30"/>
      <w:szCs w:val="28"/>
    </w:rPr>
  </w:style>
  <w:style w:type="paragraph" w:styleId="1081" w:customStyle="1">
    <w:name w:val="二级目录"/>
    <w:next w:val="812"/>
    <w:link w:val="108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82" w:customStyle="1">
    <w:name w:val="列出段落 Char"/>
    <w:link w:val="1083"/>
    <w:uiPriority w:val="0"/>
    <w:qFormat/>
    <w:rPr>
      <w:rFonts w:ascii="Calibri" w:hAnsi="Calibri"/>
      <w:sz w:val="24"/>
      <w:szCs w:val="24"/>
      <w:lang w:eastAsia="en-US" w:bidi="en-US"/>
    </w:rPr>
  </w:style>
  <w:style w:type="paragraph" w:styleId="1083" w:customStyle="1">
    <w:name w:val="列出段落1"/>
    <w:basedOn w:val="812"/>
    <w:link w:val="1082"/>
    <w:uiPriority w:val="0"/>
    <w:qFormat/>
    <w:pPr>
      <w:contextualSpacing/>
      <w:ind w:left="720"/>
      <w:jc w:val="left"/>
      <w:widowControl/>
    </w:pPr>
    <w:rPr>
      <w:rFonts w:ascii="Calibri" w:hAnsi="Calibri"/>
      <w:sz w:val="24"/>
      <w:szCs w:val="24"/>
      <w:lang w:eastAsia="en-US" w:bidi="en-US"/>
    </w:rPr>
  </w:style>
  <w:style w:type="paragraph" w:styleId="1084" w:customStyle="1">
    <w:name w:val="Body Text(ch)"/>
    <w:basedOn w:val="812"/>
    <w:next w:val="1033"/>
    <w:uiPriority w:val="0"/>
    <w:qFormat/>
    <w:pPr>
      <w:spacing w:after="120"/>
    </w:pPr>
    <w:rPr>
      <w:rFonts w:ascii="宋体" w:hAnsi="Arial"/>
      <w:bCs/>
      <w:iCs/>
      <w:szCs w:val="24"/>
    </w:rPr>
  </w:style>
  <w:style w:type="paragraph" w:styleId="1085" w:customStyle="1">
    <w:name w:val="xl27"/>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6" w:customStyle="1">
    <w:name w:val="xl2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7" w:customStyle="1">
    <w:name w:val="Char"/>
    <w:basedOn w:val="812"/>
    <w:uiPriority w:val="0"/>
    <w:qFormat/>
    <w:pPr>
      <w:ind w:firstLine="200"/>
      <w:tabs>
        <w:tab w:val="left" w:pos="360" w:leader="none"/>
      </w:tabs>
    </w:pPr>
    <w:rPr>
      <w:sz w:val="28"/>
      <w:szCs w:val="30"/>
    </w:rPr>
  </w:style>
  <w:style w:type="paragraph" w:styleId="1088" w:customStyle="1">
    <w:name w:val="Char1"/>
    <w:basedOn w:val="1027"/>
    <w:uiPriority w:val="0"/>
    <w:qFormat/>
    <w:rPr>
      <w:rFonts w:ascii="Tahoma" w:hAnsi="Tahoma"/>
      <w:sz w:val="24"/>
      <w:szCs w:val="24"/>
    </w:rPr>
  </w:style>
  <w:style w:type="paragraph" w:styleId="1089" w:customStyle="1">
    <w:name w:val="普通正文"/>
    <w:basedOn w:val="812"/>
    <w:uiPriority w:val="0"/>
    <w:qFormat/>
    <w:pPr>
      <w:ind w:firstLine="480"/>
      <w:jc w:val="left"/>
      <w:spacing w:before="120" w:after="120" w:line="360" w:lineRule="auto"/>
    </w:pPr>
    <w:rPr>
      <w:rFonts w:ascii="Arial" w:hAnsi="Arial"/>
      <w:sz w:val="24"/>
      <w:szCs w:val="24"/>
    </w:rPr>
  </w:style>
  <w:style w:type="paragraph" w:styleId="1090" w:customStyle="1">
    <w:name w:val="table_lines"/>
    <w:basedOn w:val="812"/>
    <w:uiPriority w:val="0"/>
    <w:qFormat/>
    <w:pPr>
      <w:jc w:val="left"/>
      <w:widowControl/>
    </w:pPr>
    <w:rPr>
      <w:sz w:val="20"/>
      <w:szCs w:val="20"/>
      <w:lang w:val="de-DE" w:eastAsia="de-DE"/>
    </w:rPr>
  </w:style>
  <w:style w:type="paragraph" w:styleId="109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92" w:customStyle="1">
    <w:name w:val="font7"/>
    <w:basedOn w:val="812"/>
    <w:uiPriority w:val="0"/>
    <w:qFormat/>
    <w:pPr>
      <w:jc w:val="left"/>
      <w:spacing w:before="100" w:beforeAutospacing="1" w:after="100" w:afterAutospacing="1"/>
      <w:widowControl/>
    </w:pPr>
    <w:rPr>
      <w:rFonts w:hint="eastAsia" w:ascii="宋体" w:hAnsi="宋体"/>
      <w:sz w:val="18"/>
      <w:szCs w:val="18"/>
    </w:rPr>
  </w:style>
  <w:style w:type="paragraph" w:styleId="1093" w:customStyle="1">
    <w:name w:val="Char Char Char Char"/>
    <w:basedOn w:val="1027"/>
    <w:uiPriority w:val="0"/>
    <w:qFormat/>
    <w:pPr>
      <w:spacing w:line="360" w:lineRule="auto"/>
    </w:pPr>
    <w:rPr>
      <w:rFonts w:ascii="Tahoma" w:hAnsi="Tahoma"/>
      <w:sz w:val="24"/>
      <w:szCs w:val="24"/>
    </w:rPr>
  </w:style>
  <w:style w:type="paragraph" w:styleId="1094" w:customStyle="1">
    <w:name w:val="列出段落2"/>
    <w:basedOn w:val="812"/>
    <w:uiPriority w:val="0"/>
    <w:qFormat/>
    <w:pPr>
      <w:contextualSpacing/>
      <w:ind w:left="720"/>
      <w:jc w:val="left"/>
      <w:widowControl/>
    </w:pPr>
    <w:rPr>
      <w:rFonts w:ascii="Calibri" w:hAnsi="Calibri"/>
      <w:sz w:val="24"/>
      <w:szCs w:val="24"/>
      <w:lang w:eastAsia="en-US" w:bidi="en-US"/>
    </w:rPr>
  </w:style>
  <w:style w:type="paragraph" w:styleId="1095" w:customStyle="1">
    <w:name w:val="4"/>
    <w:basedOn w:val="812"/>
    <w:next w:val="1059"/>
    <w:uiPriority w:val="0"/>
    <w:qFormat/>
    <w:pPr>
      <w:ind w:firstLine="420"/>
      <w:spacing w:line="360" w:lineRule="auto"/>
    </w:pPr>
    <w:rPr>
      <w:color w:val="ff0000"/>
      <w:sz w:val="24"/>
      <w:szCs w:val="24"/>
    </w:rPr>
  </w:style>
  <w:style w:type="paragraph" w:styleId="1096" w:customStyle="1">
    <w:name w:val="普通 (Web)"/>
    <w:basedOn w:val="812"/>
    <w:uiPriority w:val="0"/>
    <w:qFormat/>
    <w:pPr>
      <w:jc w:val="left"/>
      <w:spacing w:before="100" w:beforeAutospacing="1" w:after="100" w:afterAutospacing="1"/>
      <w:widowControl/>
    </w:pPr>
    <w:rPr>
      <w:rFonts w:ascii="宋体" w:hAnsi="宋体"/>
      <w:sz w:val="24"/>
      <w:szCs w:val="24"/>
    </w:rPr>
  </w:style>
  <w:style w:type="paragraph" w:styleId="1097" w:customStyle="1">
    <w:name w:val="Char Char Char Char Char Char Char Char Char Char"/>
    <w:basedOn w:val="812"/>
    <w:uiPriority w:val="0"/>
    <w:qFormat/>
    <w:pPr>
      <w:spacing w:line="360" w:lineRule="auto"/>
    </w:pPr>
    <w:rPr>
      <w:sz w:val="24"/>
      <w:szCs w:val="20"/>
    </w:rPr>
  </w:style>
  <w:style w:type="paragraph" w:styleId="1098" w:customStyle="1">
    <w:name w:val="样式1"/>
    <w:basedOn w:val="812"/>
    <w:uiPriority w:val="0"/>
    <w:qFormat/>
    <w:pPr>
      <w:numPr>
        <w:ilvl w:val="0"/>
        <w:numId w:val="3"/>
      </w:numPr>
    </w:pPr>
    <w:rPr>
      <w:rFonts w:ascii="宋体" w:hAnsi="宋体"/>
      <w:szCs w:val="21"/>
    </w:rPr>
  </w:style>
  <w:style w:type="paragraph" w:styleId="1099" w:customStyle="1">
    <w:name w:val="font6"/>
    <w:basedOn w:val="812"/>
    <w:uiPriority w:val="0"/>
    <w:qFormat/>
    <w:pPr>
      <w:jc w:val="left"/>
      <w:spacing w:before="100" w:beforeAutospacing="1" w:after="100" w:afterAutospacing="1"/>
      <w:widowControl/>
    </w:pPr>
    <w:rPr>
      <w:rFonts w:hint="eastAsia" w:ascii="宋体" w:hAnsi="宋体"/>
      <w:sz w:val="28"/>
      <w:szCs w:val="28"/>
      <w:u w:val="single"/>
    </w:rPr>
  </w:style>
  <w:style w:type="paragraph" w:styleId="1100" w:customStyle="1">
    <w:name w:val="xl25"/>
    <w:basedOn w:val="8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1" w:customStyle="1">
    <w:name w:val="图标"/>
    <w:basedOn w:val="812"/>
    <w:next w:val="8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2" w:customStyle="1">
    <w:name w:val="标题3"/>
    <w:basedOn w:val="812"/>
    <w:next w:val="812"/>
    <w:uiPriority w:val="0"/>
    <w:qFormat/>
    <w:pPr>
      <w:ind w:firstLine="624"/>
      <w:spacing w:line="590" w:lineRule="atLeast"/>
    </w:pPr>
    <w:rPr>
      <w:rFonts w:ascii="方正黑体_GBK" w:eastAsia="方正黑体_GBK"/>
      <w:sz w:val="32"/>
      <w:szCs w:val="32"/>
    </w:rPr>
  </w:style>
  <w:style w:type="paragraph" w:styleId="1103" w:customStyle="1">
    <w:name w:val="xl24"/>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4" w:customStyle="1">
    <w:name w:val="xl29"/>
    <w:basedOn w:val="81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5" w:customStyle="1">
    <w:name w:val="Char Char Char Char Char Char Char Char"/>
    <w:basedOn w:val="812"/>
    <w:uiPriority w:val="0"/>
    <w:qFormat/>
    <w:pPr>
      <w:jc w:val="left"/>
      <w:spacing w:after="160" w:line="240" w:lineRule="exact"/>
      <w:widowControl/>
    </w:pPr>
    <w:rPr>
      <w:rFonts w:ascii="Verdana" w:hAnsi="Verdana"/>
      <w:sz w:val="20"/>
      <w:szCs w:val="20"/>
      <w:lang w:eastAsia="en-US"/>
    </w:rPr>
  </w:style>
  <w:style w:type="paragraph" w:styleId="1106" w:customStyle="1">
    <w:name w:val="xl2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7" w:customStyle="1">
    <w:name w:val="Char Char Char Char Char Char Char Char1"/>
    <w:basedOn w:val="812"/>
    <w:uiPriority w:val="0"/>
    <w:qFormat/>
    <w:pPr>
      <w:jc w:val="left"/>
      <w:spacing w:after="160" w:line="240" w:lineRule="exact"/>
      <w:widowControl/>
    </w:pPr>
    <w:rPr>
      <w:rFonts w:ascii="Verdana" w:hAnsi="Verdana"/>
      <w:sz w:val="20"/>
      <w:szCs w:val="20"/>
      <w:lang w:eastAsia="en-US"/>
    </w:rPr>
  </w:style>
  <w:style w:type="paragraph" w:styleId="1108" w:customStyle="1">
    <w:name w:val="xl30"/>
    <w:basedOn w:val="812"/>
    <w:uiPriority w:val="0"/>
    <w:qFormat/>
    <w:pPr>
      <w:jc w:val="center"/>
      <w:spacing w:before="100" w:beforeAutospacing="1" w:after="100" w:afterAutospacing="1"/>
      <w:widowControl/>
    </w:pPr>
    <w:rPr>
      <w:rFonts w:ascii="宋体" w:hAnsi="宋体"/>
      <w:b/>
      <w:bCs/>
      <w:sz w:val="36"/>
      <w:szCs w:val="36"/>
    </w:rPr>
  </w:style>
  <w:style w:type="paragraph" w:styleId="1109" w:customStyle="1">
    <w:name w:val="Char Char Char Char1"/>
    <w:basedOn w:val="1027"/>
    <w:uiPriority w:val="0"/>
    <w:qFormat/>
    <w:pPr>
      <w:spacing w:line="360" w:lineRule="auto"/>
    </w:pPr>
    <w:rPr>
      <w:rFonts w:ascii="Tahoma" w:hAnsi="Tahoma"/>
      <w:sz w:val="24"/>
      <w:szCs w:val="24"/>
    </w:rPr>
  </w:style>
  <w:style w:type="paragraph" w:styleId="1110" w:customStyle="1">
    <w:name w:val="table_1stline"/>
    <w:basedOn w:val="812"/>
    <w:uiPriority w:val="0"/>
    <w:qFormat/>
    <w:pPr>
      <w:jc w:val="left"/>
      <w:spacing w:before="120"/>
      <w:widowControl/>
    </w:pPr>
    <w:rPr>
      <w:bCs/>
      <w:sz w:val="20"/>
      <w:szCs w:val="20"/>
      <w:lang w:val="de-DE" w:eastAsia="de-DE"/>
    </w:rPr>
  </w:style>
  <w:style w:type="paragraph" w:styleId="1111" w:customStyle="1">
    <w:name w:val="font5"/>
    <w:basedOn w:val="812"/>
    <w:uiPriority w:val="0"/>
    <w:qFormat/>
    <w:pPr>
      <w:jc w:val="left"/>
      <w:spacing w:before="100" w:beforeAutospacing="1" w:after="100" w:afterAutospacing="1"/>
      <w:widowControl/>
    </w:pPr>
    <w:rPr>
      <w:rFonts w:hint="eastAsia" w:ascii="宋体" w:hAnsi="宋体"/>
      <w:sz w:val="28"/>
      <w:szCs w:val="28"/>
    </w:rPr>
  </w:style>
  <w:style w:type="paragraph" w:styleId="1112" w:customStyle="1">
    <w:name w:val="标题1"/>
    <w:basedOn w:val="812"/>
    <w:next w:val="8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3" w:customStyle="1">
    <w:name w:val="修订1"/>
    <w:uiPriority w:val="99"/>
    <w:semiHidden/>
    <w:qFormat/>
    <w:rPr>
      <w:rFonts w:ascii="Times New Roman" w:hAnsi="Times New Roman" w:eastAsia="宋体" w:cs="Times New Roman"/>
      <w:sz w:val="21"/>
      <w:szCs w:val="21"/>
      <w:lang w:val="en-US" w:eastAsia="zh-CN" w:bidi="ar-SA"/>
    </w:rPr>
  </w:style>
  <w:style w:type="paragraph" w:styleId="111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15" w:customStyle="1">
    <w:name w:val="style4"/>
    <w:basedOn w:val="812"/>
    <w:next w:val="1116"/>
    <w:uiPriority w:val="0"/>
    <w:qFormat/>
    <w:pPr>
      <w:spacing w:before="280" w:after="280"/>
      <w:widowControl/>
    </w:pPr>
    <w:rPr>
      <w:rFonts w:ascii="宋体"/>
      <w:sz w:val="18"/>
    </w:rPr>
  </w:style>
  <w:style w:type="paragraph" w:styleId="1116" w:customStyle="1">
    <w:name w:val="2"/>
    <w:next w:val="812"/>
    <w:uiPriority w:val="0"/>
    <w:qFormat/>
    <w:pPr>
      <w:jc w:val="both"/>
      <w:widowControl w:val="off"/>
    </w:pPr>
    <w:rPr>
      <w:rFonts w:ascii="Times New Roman" w:hAnsi="Times New Roman" w:eastAsia="宋体" w:cs="Times New Roman"/>
      <w:sz w:val="21"/>
      <w:szCs w:val="22"/>
      <w:lang w:val="en-US" w:eastAsia="zh-CN" w:bidi="ar-SA"/>
    </w:rPr>
  </w:style>
  <w:style w:type="paragraph" w:styleId="1117" w:customStyle="1">
    <w:name w:val="L图表"/>
    <w:basedOn w:val="1042"/>
    <w:uiPriority w:val="99"/>
    <w:qFormat/>
    <w:pPr>
      <w:jc w:val="center"/>
    </w:pPr>
    <w:rPr>
      <w:rFonts w:ascii="Times New Roman" w:hAnsi="Times New Roman" w:eastAsia="黑体" w:cs="Times New Roman"/>
      <w:sz w:val="24"/>
      <w:szCs w:val="24"/>
    </w:rPr>
  </w:style>
  <w:style w:type="paragraph" w:styleId="1118" w:customStyle="1">
    <w:name w:val="L4"/>
    <w:basedOn w:val="812"/>
    <w:uiPriority w:val="0"/>
    <w:qFormat/>
    <w:pPr>
      <w:ind w:firstLine="482"/>
      <w:outlineLvl w:val="3"/>
    </w:pPr>
    <w:rPr>
      <w:b/>
      <w:szCs w:val="24"/>
    </w:rPr>
  </w:style>
  <w:style w:type="paragraph" w:styleId="1119" w:customStyle="1">
    <w:name w:val="Table Paragraph"/>
    <w:basedOn w:val="812"/>
    <w:uiPriority w:val="1"/>
    <w:qFormat/>
    <w:pPr>
      <w:jc w:val="left"/>
    </w:pPr>
    <w:rPr>
      <w:rFonts w:ascii="宋体" w:hAnsi="宋体" w:cs="宋体"/>
      <w:sz w:val="22"/>
      <w:szCs w:val="24"/>
      <w:lang w:val="zh-CN" w:bidi="zh-CN"/>
    </w:rPr>
  </w:style>
  <w:style w:type="paragraph" w:styleId="1120" w:customStyle="1">
    <w:name w:val="图片格式"/>
    <w:basedOn w:val="812"/>
    <w:uiPriority w:val="0"/>
    <w:qFormat/>
    <w:pPr>
      <w:jc w:val="center"/>
    </w:pPr>
    <w:rPr>
      <w:rFonts w:ascii="等线" w:hAnsi="等线"/>
    </w:rPr>
  </w:style>
  <w:style w:type="paragraph" w:styleId="1121" w:customStyle="1">
    <w:name w:val="表格题目"/>
    <w:basedOn w:val="812"/>
    <w:uiPriority w:val="7"/>
    <w:qFormat/>
    <w:pPr>
      <w:numPr>
        <w:ilvl w:val="0"/>
        <w:numId w:val="4"/>
      </w:numPr>
      <w:ind w:left="900" w:firstLine="0"/>
      <w:jc w:val="center"/>
      <w:spacing w:before="50"/>
      <w:tabs>
        <w:tab w:val="clear" w:pos="397" w:leader="none"/>
      </w:tabs>
    </w:pPr>
    <w:rPr>
      <w:rFonts w:ascii="等线" w:hAnsi="等线" w:eastAsia="黑体"/>
      <w:sz w:val="28"/>
      <w:szCs w:val="28"/>
    </w:rPr>
  </w:style>
  <w:style w:type="paragraph" w:styleId="1122" w:customStyle="1">
    <w:name w:val="表格样式"/>
    <w:basedOn w:val="812"/>
    <w:next w:val="812"/>
    <w:uiPriority w:val="0"/>
    <w:qFormat/>
    <w:pPr>
      <w:spacing w:line="520" w:lineRule="exact"/>
    </w:pPr>
    <w:rPr>
      <w:rFonts w:ascii="仿宋" w:hAnsi="仿宋" w:eastAsia="仿宋"/>
    </w:rPr>
  </w:style>
  <w:style w:type="paragraph" w:styleId="1123" w:customStyle="1">
    <w:name w:val="_Style 2"/>
    <w:basedOn w:val="812"/>
    <w:next w:val="812"/>
    <w:uiPriority w:val="0"/>
    <w:qFormat/>
    <w:pPr>
      <w:spacing w:line="312" w:lineRule="auto"/>
    </w:pPr>
    <w:rPr>
      <w:rFonts w:ascii="等线" w:hAnsi="等线"/>
      <w:sz w:val="28"/>
    </w:rPr>
  </w:style>
  <w:style w:type="paragraph" w:styleId="1124" w:customStyle="1">
    <w:name w:val="图的样式"/>
    <w:basedOn w:val="812"/>
    <w:uiPriority w:val="0"/>
    <w:qFormat/>
    <w:pPr>
      <w:jc w:val="center"/>
      <w:spacing w:before="156"/>
      <w:widowControl/>
    </w:pPr>
    <w:rPr>
      <w:rFonts w:ascii="等线" w:hAnsi="等线" w:eastAsia="楷体" w:cs="Calibri"/>
      <w:lang w:val="zh-CN"/>
    </w:rPr>
  </w:style>
  <w:style w:type="paragraph" w:styleId="1125" w:customStyle="1">
    <w:name w:val="图片样式"/>
    <w:uiPriority w:val="0"/>
    <w:qFormat/>
    <w:pPr>
      <w:jc w:val="center"/>
    </w:pPr>
    <w:rPr>
      <w:rFonts w:ascii="等线" w:hAnsi="等线" w:eastAsia="仿宋_GB2312" w:cs="Times New Roman"/>
      <w:sz w:val="28"/>
      <w:szCs w:val="21"/>
      <w:lang w:val="en-US" w:eastAsia="zh-CN" w:bidi="ar-SA"/>
    </w:rPr>
  </w:style>
  <w:style w:type="paragraph" w:styleId="1126" w:customStyle="1">
    <w:name w:val="HTML 预设格式1"/>
    <w:basedOn w:val="8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27" w:customStyle="1">
    <w:name w:val="表格内文字"/>
    <w:basedOn w:val="812"/>
    <w:next w:val="812"/>
    <w:uiPriority w:val="0"/>
    <w:qFormat/>
    <w:pPr>
      <w:jc w:val="center"/>
      <w:spacing w:line="360" w:lineRule="exact"/>
      <w:tabs>
        <w:tab w:val="left" w:pos="1134" w:leader="none"/>
        <w:tab w:val="left" w:pos="5481" w:leader="none"/>
        <w:tab w:val="left" w:pos="5859" w:leader="none"/>
      </w:tabs>
    </w:pPr>
    <w:rPr>
      <w:rFonts w:hint="eastAsia" w:ascii="宋体" w:hAnsi="宋体"/>
      <w:color w:val="000000"/>
      <w:szCs w:val="48"/>
    </w:rPr>
  </w:style>
  <w:style w:type="character" w:styleId="1128" w:customStyle="1">
    <w:name w:val="font31"/>
    <w:uiPriority w:val="0"/>
    <w:qFormat/>
    <w:rPr>
      <w:rFonts w:hint="eastAsia" w:ascii="宋体" w:hAnsi="宋体" w:eastAsia="宋体" w:cs="宋体"/>
      <w:color w:val="000000"/>
      <w:sz w:val="20"/>
      <w:szCs w:val="20"/>
      <w:u w:val="none"/>
    </w:rPr>
  </w:style>
  <w:style w:type="character" w:styleId="1129" w:customStyle="1">
    <w:name w:val="font51"/>
    <w:uiPriority w:val="0"/>
    <w:qFormat/>
    <w:rPr>
      <w:rFonts w:hint="eastAsia" w:ascii="宋体" w:hAnsi="宋体" w:eastAsia="宋体" w:cs="宋体"/>
      <w:color w:val="000000"/>
      <w:sz w:val="20"/>
      <w:szCs w:val="20"/>
      <w:u w:val="none"/>
      <w:vertAlign w:val="superscript"/>
    </w:rPr>
  </w:style>
  <w:style w:type="character" w:styleId="1130" w:customStyle="1">
    <w:name w:val="font11"/>
    <w:uiPriority w:val="0"/>
    <w:qFormat/>
    <w:rPr>
      <w:rFonts w:hint="eastAsia" w:ascii="宋体" w:hAnsi="宋体" w:eastAsia="宋体" w:cs="宋体"/>
      <w:color w:val="ff0000"/>
      <w:sz w:val="20"/>
      <w:szCs w:val="20"/>
      <w:u w:val="none"/>
    </w:rPr>
  </w:style>
  <w:style w:type="character" w:styleId="1131" w:customStyle="1">
    <w:name w:val="font21"/>
    <w:uiPriority w:val="0"/>
    <w:qFormat/>
    <w:rPr>
      <w:rFonts w:hint="eastAsia" w:ascii="宋体" w:hAnsi="宋体" w:eastAsia="宋体" w:cs="宋体"/>
      <w:color w:val="000000"/>
      <w:sz w:val="20"/>
      <w:szCs w:val="20"/>
      <w:u w:val="none"/>
    </w:rPr>
  </w:style>
  <w:style w:type="paragraph" w:styleId="1132" w:customStyle="1">
    <w:name w:val="！BECC正文1"/>
    <w:basedOn w:val="812"/>
    <w:uiPriority w:val="0"/>
    <w:qFormat/>
    <w:pPr>
      <w:ind w:firstLine="480"/>
      <w:spacing w:line="360" w:lineRule="auto"/>
    </w:pPr>
    <w:rPr>
      <w:sz w:val="24"/>
    </w:rPr>
  </w:style>
  <w:style w:type="paragraph" w:styleId="1133" w:customStyle="1">
    <w:name w:val="标题 411"/>
    <w:basedOn w:val="1134"/>
    <w:next w:val="1134"/>
    <w:uiPriority w:val="9"/>
    <w:qFormat/>
    <w:pPr>
      <w:keepLines/>
      <w:keepNext/>
      <w:spacing w:before="320" w:after="200"/>
      <w:outlineLvl w:val="3"/>
    </w:pPr>
    <w:rPr>
      <w:b/>
      <w:bCs/>
      <w:sz w:val="26"/>
      <w:szCs w:val="26"/>
    </w:rPr>
  </w:style>
  <w:style w:type="paragraph" w:styleId="1134" w:customStyle="1">
    <w:name w:val="正文文本111"/>
    <w:basedOn w:val="812"/>
    <w:next w:val="812"/>
    <w:uiPriority w:val="0"/>
    <w:semiHidden/>
    <w:qFormat/>
    <w:rPr>
      <w:rFonts w:ascii="Arial" w:hAnsi="Arial" w:eastAsia="Arial" w:cs="Arial"/>
      <w:lang w:eastAsia="en-US"/>
    </w:rPr>
  </w:style>
  <w:style w:type="paragraph" w:styleId="1135" w:customStyle="1">
    <w:name w:val="列表段落1"/>
    <w:basedOn w:val="812"/>
    <w:uiPriority w:val="34"/>
    <w:qFormat/>
    <w:pPr>
      <w:ind w:firstLine="420"/>
    </w:pPr>
    <w:rPr>
      <w:szCs w:val="24"/>
    </w:rPr>
  </w:style>
  <w:style w:type="paragraph" w:styleId="1136" w:customStyle="1">
    <w:name w:val="样式3"/>
    <w:basedOn w:val="834"/>
    <w:uiPriority w:val="0"/>
    <w:qFormat/>
    <w:pPr>
      <w:tabs>
        <w:tab w:val="left" w:pos="2269" w:leader="none"/>
        <w:tab w:val="center" w:pos="4153" w:leader="none"/>
        <w:tab w:val="clear" w:pos="7143" w:leader="none"/>
        <w:tab w:val="right" w:pos="8306" w:leader="none"/>
        <w:tab w:val="clear" w:pos="14287" w:leader="none"/>
      </w:tabs>
    </w:pPr>
  </w:style>
  <w:style w:type="character" w:styleId="1137" w:customStyle="1">
    <w:name w:val="批注文字 字符"/>
    <w:link w:val="826"/>
    <w:uiPriority w:val="0"/>
    <w:qFormat/>
    <w:rPr>
      <w:szCs w:val="24"/>
    </w:rPr>
  </w:style>
  <w:style w:type="character" w:styleId="1138" w:customStyle="1">
    <w:name w:val="批注主题 字符"/>
    <w:link w:val="845"/>
    <w:uiPriority w:val="99"/>
    <w:semiHidden/>
    <w:qFormat/>
    <w:rPr>
      <w:b/>
      <w:bCs/>
      <w:sz w:val="21"/>
      <w:szCs w:val="22"/>
    </w:rPr>
  </w:style>
  <w:style w:type="character" w:styleId="1139" w:customStyle="1">
    <w:name w:val="批注框文本 字符"/>
    <w:link w:val="832"/>
    <w:uiPriority w:val="99"/>
    <w:semiHidden/>
    <w:qFormat/>
    <w:rPr>
      <w:sz w:val="18"/>
      <w:szCs w:val="18"/>
    </w:rPr>
  </w:style>
  <w:style w:type="character" w:styleId="1140" w:customStyle="1">
    <w:name w:val="font01"/>
    <w:basedOn w:val="822"/>
    <w:uiPriority w:val="0"/>
    <w:qFormat/>
    <w:rPr>
      <w:rFonts w:hint="default" w:ascii="Arial" w:hAnsi="Arial" w:cs="Arial"/>
      <w:color w:val="000000"/>
      <w:sz w:val="22"/>
      <w:szCs w:val="22"/>
      <w:u w:val="none"/>
    </w:rPr>
  </w:style>
  <w:style w:type="character" w:styleId="1141" w:customStyle="1">
    <w:name w:val="font41"/>
    <w:basedOn w:val="822"/>
    <w:uiPriority w:val="0"/>
    <w:qFormat/>
    <w:rPr>
      <w:rFonts w:hint="eastAsia" w:ascii="宋体" w:hAnsi="宋体" w:eastAsia="宋体" w:cs="宋体"/>
      <w:color w:val="000000"/>
      <w:sz w:val="22"/>
      <w:szCs w:val="22"/>
      <w:u w:val="none"/>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fb2c5259-c3b0-49d2-8ff7-0cec634e8eb6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695D4490</paraID>
      <start>45</start>
      <end>46</end>
      <status>ignored</status>
      <modifiedWord/>
      <trackRevisions>false</trackRevisions>
    </reviewItem>
    <reviewItem>
      <errorID>3a153c5d-ae35-41eb-a29e-5f4b7f9d8813</errorID>
      <errorWord>一次性支付给</errorWord>
      <group>L1_Word</group>
      <groupName>字词问题</groupName>
      <ability>L2_Typo</ability>
      <abilityName>字词错误</abilityName>
      <candidateList>
        <item>一次性支付</item>
      </candidateList>
      <explain/>
      <paraID>374B3280</paraID>
      <start>73</start>
      <end>79</end>
      <status>ignored</status>
      <modifiedWord/>
      <trackRevisions>false</trackRevisions>
    </reviewItem>
    <reviewItem>
      <errorID>935c2b80-eb3d-400a-9c65-8781e482fd5b</errorID>
      <errorWord>间</errorWord>
      <group>L1_Word</group>
      <groupName>字词问题</groupName>
      <ability>L2_Typo</ability>
      <abilityName>字词错误</abilityName>
      <candidateList>
        <item>间之</item>
      </candidateList>
      <explain/>
      <paraID>30EE5962</paraID>
      <start>10</start>
      <end>11</end>
      <status>ignored</status>
      <modifiedWord/>
      <trackRevisions>false</trackRevisions>
    </reviewItem>
    <reviewItem>
      <errorID>8684cb56-0982-4956-8d62-d0d5863aea62</errorID>
      <errorWord>做无效投标</errorWord>
      <group>L1_Word</group>
      <groupName>字词问题</groupName>
      <ability>L2_Typo</ability>
      <abilityName>字词错误</abilityName>
      <candidateList>
        <item>作无效投标</item>
      </candidateList>
      <explain/>
      <paraID>66CD2117</paraID>
      <start>54</start>
      <end>59</end>
      <status>ignored</status>
      <modifiedWord/>
      <trackRevisions>false</trackRevisions>
    </reviewItem>
    <reviewItem>
      <errorID>f2fd8ca4-dcae-43dc-8f0c-4b632cf86516</errorID>
      <errorWord>做无效投标</errorWord>
      <group>L1_Word</group>
      <groupName>字词问题</groupName>
      <ability>L2_Typo</ability>
      <abilityName>字词错误</abilityName>
      <candidateList>
        <item>作无效投标</item>
      </candidateList>
      <explain/>
      <paraID> A8E2977</paraID>
      <start>73</start>
      <end>78</end>
      <status>ignored</status>
      <modifiedWord/>
      <trackRevisions>false</trackRevisions>
    </reviewItem>
    <reviewItem>
      <errorID>31e0aba0-2f30-46f2-b440-c0489f2696d7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209E965A</paraID>
      <start>14</start>
      <end>17</end>
      <status>ignored</status>
      <modifiedWord/>
      <trackRevisions>false</trackRevisions>
    </reviewItem>
    <reviewItem>
      <errorID>779e71f0-a369-40f4-8bbf-3b6e2d8ffcb6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268BFC67</paraID>
      <start>37</start>
      <end>38</end>
      <status>ignored</status>
      <modifiedWord/>
      <trackRevisions>false</trackRevisions>
    </reviewItem>
    <reviewItem>
      <errorID>fed56a0a-ccbf-4e19-ba2b-7c1bd2b9c09b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635EC5E5</paraID>
      <start>37</start>
      <end>38</end>
      <status>ignored</status>
      <modifiedWord/>
      <trackRevisions>false</trackRevisions>
    </reviewItem>
    <reviewItem>
      <errorID>3ae9b90f-d4b6-4a66-9a1d-e4ab45c15c12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45DAD129</paraID>
      <start>26</start>
      <end>27</end>
      <status>ignored</status>
      <modifiedWord/>
      <trackRevisions>false</trackRevisions>
    </reviewItem>
    <reviewItem>
      <errorID>1fa4e3b9-bc61-4e58-af17-f2cb35ac9381</errorID>
      <errorWord>，</errorWord>
      <group>L1_Word</group>
      <groupName>字词问题</groupName>
      <ability>L2_Typo</ability>
      <abilityName>字词错误</abilityName>
      <candidateList>
        <item>，并</item>
      </candidateList>
      <explain/>
      <paraID>16ECBC53</paraID>
      <start>68</start>
      <end>69</end>
      <status>ignored</status>
      <modifiedWord/>
      <trackRevisions>false</trackRevisions>
    </reviewItem>
    <reviewItem>
      <errorID>a0e292f0-59d0-4cc5-b130-348864c7a3a8</errorID>
      <errorWord>保持通讯畅通</errorWord>
      <group>L1_Word</group>
      <groupName>字词问题</groupName>
      <ability>L2_Typo</ability>
      <abilityName>字词错误</abilityName>
      <candidateList>
        <item>保持通信畅通</item>
      </candidateList>
      <explain/>
      <paraID>3924EB6C</paraID>
      <start>18</start>
      <end>24</end>
      <status>ignored</status>
      <modifiedWord/>
      <trackRevisions>false</trackRevisions>
    </reviewItem>
    <reviewItem>
      <errorID>02f32931-d641-41a7-98c9-4c3a65dd8229</errorID>
      <errorWord>国家发改委</errorWord>
      <group>L1_Knowledge</group>
      <groupName>知识性问题</groupName>
      <ability>L2_Knowledge</ability>
      <abilityName>其他知识</abilityName>
      <candidateList>
        <item>国家发展改革委</item>
      </candidateList>
      <explain/>
      <paraID>2987AC7D</paraID>
      <start>19</start>
      <end>24</end>
      <status>ignored</status>
      <modifiedWord/>
      <trackRevisions>false</trackRevisions>
    </reviewItem>
    <reviewItem>
      <errorID>6cd1ebaf-7e07-4468-9932-5098f857ec62</errorID>
      <errorWord>法律、法规</errorWord>
      <group>L1_Word</group>
      <groupName>字词问题</groupName>
      <ability>L2_Typo</ability>
      <abilityName>字词错误</abilityName>
      <candidateList>
        <item>法律法规</item>
      </candidateList>
      <explain/>
      <paraID>491116A4</paraID>
      <start>6</start>
      <end>11</end>
      <status>ignored</status>
      <modifiedWord/>
      <trackRevisions>false</trackRevisions>
    </reviewItem>
    <reviewItem>
      <errorID>2204b91e-cee6-40ba-89cc-e2ccda789da6</errorID>
      <errorWord>法律、法规执行</errorWord>
      <group>L1_Word</group>
      <groupName>字词问题</groupName>
      <ability>L2_Typo</ability>
      <abilityName>字词错误</abilityName>
      <candidateList>
        <item>法律法规执行</item>
      </candidateList>
      <explain/>
      <paraID>1D756DDD</paraID>
      <start>14</start>
      <end>21</end>
      <status>ignored</status>
      <modifiedWord/>
      <trackRevisions>false</trackRevisions>
    </reviewItem>
    <reviewItem>
      <errorID>5b5c7ad6-1a3b-4abd-85fb-37e1fe3062af</errorID>
      <errorWord>验收的</errorWord>
      <group>L1_Word</group>
      <groupName>字词问题</groupName>
      <ability>L2_Typo</ability>
      <abilityName>字词错误</abilityName>
      <candidateList>
        <item>验收</item>
      </candidateList>
      <explain/>
      <paraID>64CBB64C</paraID>
      <start>25</start>
      <end>28</end>
      <status>ignored</status>
      <modifiedWord/>
      <trackRevisions>false</trackRevisions>
    </reviewItem>
    <reviewItem>
      <errorID>2245b8e6-f21d-4063-a286-3ec0608c5978</errorID>
      <errorWord>，</errorWord>
      <group>L1_Word</group>
      <groupName>字词问题</groupName>
      <ability>L2_Typo</ability>
      <abilityName>字词错误</abilityName>
      <candidateList>
        <item>，由</item>
      </candidateList>
      <explain/>
      <paraID> 5D88563</paraID>
      <start>101</start>
      <end>102</end>
      <status>ignored</status>
      <modifiedWord/>
      <trackRevisions>false</trackRevisions>
    </reviewItem>
    <reviewItem>
      <errorID>5b3e24e3-94a4-4422-a535-7ca5e9549f83</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3C966768</paraID>
      <start>16</start>
      <end>19</end>
      <status>ignored</status>
      <modifiedWord/>
      <trackRevisions>false</trackRevisions>
    </reviewItem>
    <reviewItem>
      <errorID>2dfd7ee5-7344-4851-8a9c-1afbd4c20c96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3C966768</paraID>
      <start>21</start>
      <end>26</end>
      <status>ignored</status>
      <modifiedWord/>
      <trackRevisions>false</trackRevisions>
    </reviewItem>
    <reviewItem>
      <errorID>f11453fe-fd81-460f-8b1e-177866cdc34c</errorID>
      <errorWord>)</errorWord>
      <group>L1_Format</group>
      <groupName>格式问题</groupName>
      <ability>L2_HalfPunc_CN</ability>
      <abilityName>全半角问题</abilityName>
      <candidateList>
        <item>）</item>
      </candidateList>
      <explain>文本全半角错误。</explain>
      <paraID>742C3373</paraID>
      <start>27</start>
      <end>28</end>
      <status>modified</status>
      <modifiedWord>）</modifiedWord>
      <trackRevisions>false</trackRevisions>
    </reviewItem>
    <reviewItem>
      <errorID>d1dd8444-3bfb-4d76-9083-6d25138c6e11</errorID>
      <errorWord>)</errorWord>
      <group>L1_Format</group>
      <groupName>格式问题</groupName>
      <ability>L2_HalfPunc_CN</ability>
      <abilityName>全半角问题</abilityName>
      <candidateList>
        <item>）</item>
      </candidateList>
      <explain>文本全半角错误。</explain>
      <paraID>742C3373</paraID>
      <start>49</start>
      <end>50</end>
      <status>modified</status>
      <modifiedWord>）</modifiedWord>
      <trackRevisions>false</trackRevisions>
    </reviewItem>
    <reviewItem>
      <errorID>68752fad-c00c-4a1a-adce-dbcd40876f72</errorID>
      <errorWord>)</errorWord>
      <group>L1_Format</group>
      <groupName>格式问题</groupName>
      <ability>L2_HalfPunc_CN</ability>
      <abilityName>全半角问题</abilityName>
      <candidateList>
        <item>）</item>
      </candidateList>
      <explain>文本全半角错误。</explain>
      <paraID>742C3373</paraID>
      <start>72</start>
      <end>73</end>
      <status>modified</status>
      <modifiedWord>）</modifiedWord>
      <trackRevisions>false</trackRevisions>
    </reviewItem>
    <reviewItem>
      <errorID>5be412e8-e133-48b3-862c-cd4fe2411174</errorID>
      <errorWord>)</errorWord>
      <group>L1_Format</group>
      <groupName>格式问题</groupName>
      <ability>L2_HalfPunc_CN</ability>
      <abilityName>全半角问题</abilityName>
      <candidateList>
        <item>）</item>
      </candidateList>
      <explain>文本全半角错误。</explain>
      <paraID>742C3373</paraID>
      <start>93</start>
      <end>94</end>
      <status>modified</status>
      <modifiedWord>）</modifiedWord>
      <trackRevisions>false</trackRevisions>
    </reviewItem>
    <reviewItem>
      <errorID>84eccefe-097e-40d7-a75f-569f227e02b6</errorID>
      <errorWord>WiFi</errorWord>
      <group>L1_Punc</group>
      <groupName>标点问题</groupName>
      <ability>L2_Punc_CN</ability>
      <abilityName>标点符号问题</abilityName>
      <candidateList>
        <item>Wi-Fi</item>
      </candidateList>
      <explain/>
      <paraID>5A4AA80A</paraID>
      <start>7</start>
      <end>12</end>
      <status>modified</status>
      <modifiedWord>Wi-Fi</modifiedWord>
      <trackRevisions>false</trackRevisions>
    </reviewItem>
    <reviewItem>
      <errorID>2fe6abd9-9b4e-437d-b4b7-2878f9956693</errorID>
      <errorWord>WIFI</errorWord>
      <group>L1_Knowledge</group>
      <groupName>知识性问题</groupName>
      <ability>L2_Knowledge</ability>
      <abilityName>其他知识</abilityName>
      <candidateList>
        <item>Wi-Fi</item>
      </candidateList>
      <explain/>
      <paraID>26101CB8</paraID>
      <start>14</start>
      <end>19</end>
      <status>modified</status>
      <modifiedWord>Wi-Fi</modifiedWord>
      <trackRevisions>false</trackRevisions>
    </reviewItem>
    <reviewItem>
      <errorID>7a3d47bc-cd11-41d8-9ee0-5e224a5fc7b3</errorID>
      <errorWord>的</errorWord>
      <group>L1_Word</group>
      <groupName>字词问题</groupName>
      <ability>L2_DDD</ability>
      <abilityName>的地得用法</abilityName>
      <candidateList>
        <item>地</item>
      </candidateList>
      <explain/>
      <paraID>355D4543</paraID>
      <start>73</start>
      <end>74</end>
      <status>modified</status>
      <modifiedWord>地</modifiedWord>
      <trackRevisions>false</trackRevisions>
    </reviewItem>
    <reviewItem>
      <errorID>20f28a35-d55a-4821-898a-b47affd7fcc1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72448E70</paraID>
      <start>51</start>
      <end>52</end>
      <status>ignored</status>
      <modifiedWord/>
      <trackRevisions>false</trackRevisions>
    </reviewItem>
    <reviewItem>
      <errorID>be898592-b5f1-4bca-8fb6-2c4102b599b0</errorID>
      <errorWord>位</errorWord>
      <group>L1_Word</group>
      <groupName>字词问题</groupName>
      <ability>L2_Typo</ability>
      <abilityName>字词错误</abilityName>
      <candidateList>
        <item>位在</item>
      </candidateList>
      <explain/>
      <paraID>73E17C05</paraID>
      <start>14</start>
      <end>15</end>
      <status>ignored</status>
      <modifiedWord/>
      <trackRevisions>false</trackRevisions>
    </reviewItem>
    <reviewItem>
      <errorID>63deaf84-0033-45df-8f94-875ce4cd71af</errorID>
      <errorWord>实施全过程中</errorWord>
      <group>L1_Word</group>
      <groupName>字词问题</groupName>
      <ability>L2_Typo</ability>
      <abilityName>字词错误</abilityName>
      <candidateList>
        <item>实施全过程</item>
      </candidateList>
      <explain/>
      <paraID>79ECEB23</paraID>
      <start>14</start>
      <end>20</end>
      <status>ignored</status>
      <modifiedWord/>
      <trackRevisions>false</trackRevisions>
    </reviewItem>
    <reviewItem>
      <errorID>9af89c66-e598-4440-be92-146f96953af0</errorID>
      <errorWord>详实</errorWord>
      <group>L1_Word</group>
      <groupName>字词问题</groupName>
      <ability>L2_Typo</ability>
      <abilityName>字词错误</abilityName>
      <candidateList>
        <item>翔实</item>
      </candidateList>
      <explain>存在发音相同字词的误用。</explain>
      <paraID>649CE333</paraID>
      <start>4</start>
      <end>6</end>
      <status>ignored</status>
      <modifiedWord/>
      <trackRevisions>false</trackRevisions>
    </reviewItem>
    <reviewItem>
      <errorID>a8d76b24-71a8-4b8b-a254-e0414be24b4a</errorID>
      <errorWord>晰</errorWord>
      <group>L1_Word</group>
      <groupName>字词问题</groupName>
      <ability>L2_Typo</ability>
      <abilityName>字词错误</abilityName>
      <candidateList>
        <item>晰地</item>
      </candidateList>
      <explain/>
      <paraID>599BFE3C</paraID>
      <start>30</start>
      <end>31</end>
      <status>ignored</status>
      <modifiedWord/>
      <trackRevisions>false</trackRevisions>
    </reviewItem>
    <reviewItem>
      <errorID>a7290b87-aa98-4a4b-b0ce-1fa2d42e2399</errorID>
      <errorWord>间</errorWord>
      <group>L1_Word</group>
      <groupName>字词问题</groupName>
      <ability>L2_Typo</ability>
      <abilityName>字词错误</abilityName>
      <candidateList>
        <item>间内</item>
      </candidateList>
      <explain/>
      <paraID>7D00CA78</paraID>
      <start>47</start>
      <end>48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4E21E8-4B5C-44EB-A30E-EC9BAF3F21F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连云港分公司</cp:lastModifiedBy>
  <cp:revision>14</cp:revision>
  <dcterms:created xsi:type="dcterms:W3CDTF">2023-03-16T02:13:00Z</dcterms:created>
  <dcterms:modified xsi:type="dcterms:W3CDTF">2026-09-23T07:35:37Z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eyJoZGlkIjoiZjZlM2ViNzkwMjgxNTMxOTdkY2YyNTlmMDM2Y2QwOTIiLCJ1c2VySWQiOiIyMTcwOTI5OSJ9</vt:lpwstr>
  </property>
  <property fmtid="{D5CDD505-2E9C-101B-9397-08002B2CF9AE}" pid="3" name="KSOProductBuildVer">
    <vt:lpwstr>2052-12.1.0.28505</vt:lpwstr>
  </property>
  <property fmtid="{D5CDD505-2E9C-101B-9397-08002B2CF9AE}" pid="4" name="ICV">
    <vt:lpwstr>68AD47FB158C41E394F6767F484F128F_13</vt:lpwstr>
  </property>
</Properties>
</file>