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6"/>
        <w:rPr>
          <w:rFonts w:hint="eastAsia"/>
          <w:color w:val="000000"/>
          <w:highlight w:val="none"/>
        </w:rPr>
      </w:pPr>
      <w:r>
        <w:rPr>
          <w:rFonts w:hint="eastAsia"/>
          <w:color w:val="000000"/>
          <w:highlight w:val="none"/>
        </w:rPr>
      </w:r>
      <w:r/>
    </w:p>
    <w:p>
      <w:pPr>
        <w:pStyle w:val="967"/>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7"/>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“南京市电化教育馆综合演播室”专业设备</w:t>
      </w:r>
      <w:r>
        <w:rPr>
          <w:rFonts w:eastAsia="宋体" w:cs="Times New Roman"/>
          <w:b/>
          <w:color w:val="000000"/>
          <w:sz w:val="30"/>
          <w:szCs w:val="30"/>
          <w:highlight w:val="none"/>
          <w:u w:val="single"/>
          <w:lang w:val="en-US" w:eastAsia="zh-CN"/>
        </w:rPr>
      </w:r>
      <w:r/>
    </w:p>
    <w:p>
      <w:pPr>
        <w:pStyle w:val="877"/>
        <w:jc w:val="center"/>
        <w:rPr>
          <w:rFonts w:hint="eastAsia" w:ascii="Times New Roman" w:hAnsi="Times New Roman" w:eastAsia="宋体" w:cs="Times New Roman"/>
          <w:b/>
          <w:i w:val="0"/>
          <w:iCs w:val="0"/>
          <w:caps w:val="0"/>
          <w:color w:val="000000"/>
          <w:spacing w:val="0"/>
          <w:sz w:val="32"/>
          <w:szCs w:val="32"/>
          <w:highlight w:val="none"/>
          <w:shd w:val="clear" w:color="auto" w:fill="auto"/>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JSZC-320100-JZCG-G2026-0246</w:t>
      </w:r>
      <w:r>
        <w:rPr>
          <w:rFonts w:hint="eastAsia" w:ascii="Times New Roman" w:hAnsi="Times New Roman" w:eastAsia="宋体" w:cs="Times New Roman"/>
          <w:b/>
          <w:i w:val="0"/>
          <w:iCs w:val="0"/>
          <w:caps w:val="0"/>
          <w:color w:val="000000"/>
          <w:spacing w:val="0"/>
          <w:sz w:val="32"/>
          <w:szCs w:val="32"/>
          <w:highlight w:val="none"/>
          <w:shd w:val="clear" w:color="auto" w:fill="auto"/>
        </w:rPr>
      </w:r>
      <w:r/>
    </w:p>
    <w:p>
      <w:pPr>
        <w:pStyle w:val="877"/>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7"/>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7"/>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77"/>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7"/>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7"/>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7"/>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77"/>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7"/>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15</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19</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67</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73</w:t>
      </w:r>
      <w:r/>
    </w:p>
    <w:p>
      <w:pPr>
        <w:pStyle w:val="877"/>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7"/>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7"/>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7"/>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rPr>
      </w:pPr>
      <w:r/>
      <w:bookmarkEnd w:id="11"/>
      <w:r/>
      <w:bookmarkStart w:id="12" w:name="_Toc28359080"/>
      <w:r/>
      <w:bookmarkStart w:id="13" w:name="_Toc28359003"/>
      <w:r/>
      <w:bookmarkStart w:id="14" w:name="_Toc35393622"/>
      <w:r/>
      <w:bookmarkStart w:id="15" w:name="_Toc38985264"/>
      <w:r/>
      <w:bookmarkStart w:id="16" w:name="_Toc35393791"/>
      <w:r>
        <w:rPr>
          <w:rFonts w:hint="eastAsia" w:ascii="宋体" w:hAnsi="宋体" w:eastAsia="宋体" w:cs="Times New Roman"/>
          <w:color w:val="000000"/>
          <w:sz w:val="24"/>
          <w:szCs w:val="24"/>
          <w:highlight w:val="none"/>
        </w:rPr>
        <w:t xml:space="preserve">1.项目编号：</w:t>
      </w:r>
      <w:r>
        <w:rPr>
          <w:rFonts w:hint="eastAsia" w:ascii="宋体" w:hAnsi="宋体" w:eastAsia="宋体" w:cs="Times New Roman"/>
          <w:b w:val="0"/>
          <w:i w:val="0"/>
          <w:iCs w:val="0"/>
          <w:caps w:val="0"/>
          <w:color w:val="000000"/>
          <w:spacing w:val="0"/>
          <w:sz w:val="24"/>
          <w:szCs w:val="24"/>
          <w:highlight w:val="none"/>
          <w:u w:val="none"/>
          <w:shd w:val="clear" w:color="auto" w:fill="auto"/>
        </w:rPr>
        <w:t xml:space="preserve">JSZC-320100-JZCG-G2026-0246</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i w:val="0"/>
          <w:iCs w:val="0"/>
          <w:caps w:val="0"/>
          <w:color w:val="000000"/>
          <w:spacing w:val="0"/>
          <w:sz w:val="24"/>
          <w:szCs w:val="24"/>
          <w:highlight w:val="none"/>
          <w:shd w:val="clear" w:color="auto" w:fill="auto"/>
        </w:rPr>
        <w:t xml:space="preserve">“南京市电化教育馆综合演播室”专业设备</w:t>
      </w:r>
      <w:r>
        <w:rPr>
          <w:rFonts w:hint="eastAsia" w:ascii="宋体" w:hAnsi="宋体" w:eastAsia="宋体" w:cs="Times New Roman"/>
          <w:color w:val="000000"/>
          <w:sz w:val="24"/>
          <w:szCs w:val="24"/>
          <w:highlight w:val="none"/>
          <w:lang w:eastAsia="zh-CN"/>
        </w:rPr>
      </w:r>
      <w:r/>
    </w:p>
    <w:p>
      <w:pPr>
        <w:pStyle w:val="877"/>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770</w:t>
      </w:r>
      <w:r>
        <w:rPr>
          <w:rFonts w:hint="eastAsia" w:ascii="宋体" w:hAnsi="宋体" w:eastAsia="宋体" w:cs="Times New Roman"/>
          <w:color w:val="000000"/>
          <w:sz w:val="24"/>
          <w:szCs w:val="24"/>
          <w:highlight w:val="none"/>
        </w:rPr>
        <w:t xml:space="preserve">万元</w:t>
      </w:r>
      <w:r>
        <w:rPr>
          <w:rFonts w:hint="eastAsia" w:ascii="宋体" w:hAnsi="宋体" w:eastAsia="宋体" w:cs="Times New Roman"/>
          <w:color w:val="000000"/>
          <w:sz w:val="24"/>
          <w:szCs w:val="24"/>
          <w:highlight w:val="none"/>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最高限价：770</w:t>
      </w:r>
      <w:r>
        <w:rPr>
          <w:rFonts w:hint="eastAsia" w:ascii="宋体" w:hAnsi="宋体"/>
          <w:color w:val="000000"/>
          <w:sz w:val="24"/>
          <w:szCs w:val="24"/>
          <w:highlight w:val="none"/>
        </w:rPr>
        <w:t xml:space="preserve">万元</w:t>
      </w:r>
      <w:r>
        <w:rPr>
          <w:rFonts w:hint="eastAsia" w:ascii="宋体" w:hAnsi="宋体" w:eastAsia="宋体" w:cs="宋体"/>
          <w:color w:val="000000"/>
          <w:sz w:val="24"/>
          <w:szCs w:val="24"/>
          <w:highlight w:val="none"/>
          <w:lang w:eastAsia="zh-CN"/>
        </w:rPr>
      </w:r>
      <w:r/>
    </w:p>
    <w:p>
      <w:pPr>
        <w:pStyle w:val="877"/>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“南京市电化教育馆综合演播室”专业设备项目，包括本馆4F综合演播室、4F综合演播室候播间、5F综合演播室控制室、5F综合演播室设备机房等专用场所的相关设备购置及系统集成等。</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7"/>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240天。</w:t>
      </w:r>
      <w:r>
        <w:rPr>
          <w:rFonts w:hint="eastAsia" w:ascii="宋体" w:hAnsi="宋体" w:eastAsia="宋体"/>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7"/>
        <w:ind w:firstLine="480"/>
        <w:spacing w:line="252" w:lineRule="auto"/>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color w:val="000000"/>
          <w:highlight w:val="none"/>
          <w:lang w:val="en-US" w:eastAsia="zh-CN"/>
        </w:rPr>
      </w:r>
      <w:r/>
    </w:p>
    <w:p>
      <w:pPr>
        <w:pStyle w:val="877"/>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8985265"/>
      <w:r/>
      <w:bookmarkStart w:id="19" w:name="_Toc28359004"/>
      <w:r/>
      <w:bookmarkStart w:id="20" w:name="_Toc28359081"/>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7"/>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3.联合体资格要求</w:t>
      </w:r>
      <w:r>
        <w:rPr>
          <w:rFonts w:hint="eastAsia" w:ascii="宋体" w:hAnsi="宋体" w:eastAsia="宋体" w:cs="Times New Roman"/>
          <w:color w:val="000000"/>
          <w:sz w:val="24"/>
          <w:szCs w:val="24"/>
          <w:highlight w:val="none"/>
          <w:lang w:val="zh-CN" w:eastAsia="zh-CN"/>
        </w:rPr>
      </w:r>
      <w:r/>
    </w:p>
    <w:p>
      <w:pPr>
        <w:pStyle w:val="877"/>
        <w:ind w:firstLine="420"/>
        <w:spacing w:line="240"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rPr>
        <w:t xml:space="preserve">联合体各方均应当符合《中华人民共和国政府采购法》第二十二条规定</w:t>
      </w:r>
      <w:r>
        <w:rPr>
          <w:rFonts w:hint="eastAsia" w:ascii="宋体" w:hAnsi="宋体" w:eastAsia="宋体" w:cs="Times New Roman"/>
          <w:color w:val="000000"/>
          <w:sz w:val="24"/>
          <w:szCs w:val="24"/>
          <w:highlight w:val="none"/>
          <w:lang w:val="zh-CN" w:eastAsia="zh-CN"/>
        </w:rPr>
        <w:t xml:space="preserve">，均需提供</w:t>
      </w:r>
      <w:r>
        <w:rPr>
          <w:rFonts w:hint="eastAsia" w:ascii="宋体" w:hAnsi="宋体" w:eastAsia="宋体" w:cs="Times New Roman"/>
          <w:color w:val="000000"/>
          <w:sz w:val="24"/>
          <w:szCs w:val="24"/>
          <w:highlight w:val="none"/>
          <w:lang w:val="zh-CN"/>
        </w:rPr>
        <w:t xml:space="preserve">《信用承诺函》。</w:t>
      </w: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szCs w:val="24"/>
          <w:highlight w:val="none"/>
          <w:lang w:val="en-US"/>
        </w:rPr>
      </w:r>
      <w:r/>
    </w:p>
    <w:p>
      <w:pPr>
        <w:pStyle w:val="877"/>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（2）联合体各方必须签订并提</w:t>
      </w:r>
      <w:r>
        <w:rPr>
          <w:rFonts w:hint="eastAsia" w:ascii="宋体" w:hAnsi="宋体" w:eastAsia="宋体" w:cs="Times New Roman"/>
          <w:color w:val="000000"/>
          <w:sz w:val="24"/>
          <w:szCs w:val="24"/>
          <w:highlight w:val="none"/>
          <w:lang w:val="en-US" w:eastAsia="zh-CN"/>
        </w:rPr>
        <w:t xml:space="preserve">供</w:t>
      </w:r>
      <w:r>
        <w:rPr>
          <w:rFonts w:hint="eastAsia" w:ascii="宋体" w:hAnsi="宋体" w:eastAsia="宋体" w:cs="Times New Roman"/>
          <w:color w:val="000000"/>
          <w:sz w:val="24"/>
          <w:szCs w:val="24"/>
          <w:highlight w:val="none"/>
          <w:lang w:val="zh-CN" w:eastAsia="zh-CN"/>
        </w:rPr>
        <w:t xml:space="preserve">《联合体协议》（格式见第六章），协议必须明确联合体牵头单位并约定联合体各方承担的工作和相应的责任。联合体各方</w:t>
      </w:r>
      <w:r>
        <w:rPr>
          <w:rFonts w:hint="eastAsia" w:ascii="宋体" w:hAnsi="宋体" w:eastAsia="宋体" w:cs="Times New Roman"/>
          <w:color w:val="000000"/>
          <w:sz w:val="24"/>
          <w:szCs w:val="24"/>
          <w:highlight w:val="none"/>
          <w:lang w:val="en-US" w:eastAsia="zh-CN"/>
        </w:rPr>
        <w:t xml:space="preserve">应当</w:t>
      </w:r>
      <w:r>
        <w:rPr>
          <w:rFonts w:hint="eastAsia" w:ascii="宋体" w:hAnsi="宋体" w:eastAsia="宋体" w:cs="Times New Roman"/>
          <w:color w:val="000000"/>
          <w:sz w:val="24"/>
          <w:szCs w:val="24"/>
          <w:highlight w:val="none"/>
          <w:lang w:val="zh-CN" w:eastAsia="zh-CN"/>
        </w:rPr>
        <w:t xml:space="preserve">共同与采购人签订采购合同，就采购合同约定的事项对采购人承担连带责任。</w:t>
      </w:r>
      <w:r>
        <w:rPr>
          <w:rFonts w:hint="eastAsia" w:ascii="宋体" w:hAnsi="宋体" w:eastAsia="宋体" w:cs="Times New Roman"/>
          <w:color w:val="000000"/>
          <w:sz w:val="24"/>
          <w:szCs w:val="24"/>
          <w:highlight w:val="none"/>
          <w:lang w:val="zh-CN" w:eastAsia="zh-CN"/>
        </w:rPr>
      </w:r>
      <w:r/>
    </w:p>
    <w:p>
      <w:pPr>
        <w:pStyle w:val="877"/>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t xml:space="preserve">本项目设定特定资格要求的，</w:t>
      </w:r>
      <w:r>
        <w:rPr>
          <w:rFonts w:hint="eastAsia" w:ascii="宋体" w:hAnsi="宋体" w:eastAsia="宋体" w:cs="Times New Roman"/>
          <w:color w:val="000000"/>
          <w:sz w:val="24"/>
          <w:szCs w:val="24"/>
          <w:highlight w:val="none"/>
          <w:lang w:val="zh-CN" w:eastAsia="zh-CN"/>
        </w:rPr>
        <w:t xml:space="preserve">联合体各方中至少应当有一方符合特定</w:t>
      </w:r>
      <w:r>
        <w:rPr>
          <w:rFonts w:hint="eastAsia" w:ascii="宋体" w:hAnsi="宋体" w:eastAsia="宋体" w:cs="Times New Roman"/>
          <w:color w:val="000000"/>
          <w:sz w:val="24"/>
          <w:szCs w:val="24"/>
          <w:highlight w:val="none"/>
          <w:lang w:val="en-US" w:eastAsia="zh-CN"/>
        </w:rPr>
        <w:t xml:space="preserve">资格要求</w:t>
      </w:r>
      <w:r>
        <w:rPr>
          <w:rFonts w:hint="eastAsia" w:ascii="宋体" w:hAnsi="宋体" w:eastAsia="宋体" w:cs="Times New Roman"/>
          <w:color w:val="000000"/>
          <w:sz w:val="24"/>
          <w:szCs w:val="24"/>
          <w:highlight w:val="none"/>
          <w:lang w:val="zh-CN" w:eastAsia="zh-CN"/>
        </w:rPr>
        <w:t xml:space="preserve">。联合体中</w:t>
      </w:r>
      <w:r>
        <w:rPr>
          <w:rFonts w:ascii="宋体" w:hAnsi="宋体" w:eastAsia="宋体" w:cs="Times New Roman"/>
          <w:color w:val="000000"/>
          <w:sz w:val="24"/>
          <w:szCs w:val="24"/>
          <w:highlight w:val="none"/>
          <w:lang w:val="en-US" w:eastAsia="zh-CN"/>
        </w:rPr>
        <w:t xml:space="preserve">有</w:t>
      </w:r>
      <w:r>
        <w:rPr>
          <w:rFonts w:hint="eastAsia" w:ascii="宋体" w:hAnsi="宋体" w:eastAsia="宋体" w:cs="Times New Roman"/>
          <w:color w:val="000000"/>
          <w:sz w:val="24"/>
          <w:szCs w:val="24"/>
          <w:highlight w:val="none"/>
          <w:lang w:val="en-US" w:eastAsia="zh-CN"/>
        </w:rPr>
        <w:t xml:space="preserve">同类资质</w:t>
      </w:r>
      <w:r>
        <w:rPr>
          <w:rFonts w:hint="eastAsia" w:ascii="宋体" w:hAnsi="宋体" w:eastAsia="宋体" w:cs="Times New Roman"/>
          <w:color w:val="000000"/>
          <w:sz w:val="24"/>
          <w:szCs w:val="24"/>
          <w:highlight w:val="none"/>
          <w:lang w:val="zh-CN" w:eastAsia="zh-CN"/>
        </w:rPr>
        <w:t xml:space="preserve">的投标人按照联合体分工承担相同工作的，按照资质等级较低的投标人确定资质等级。</w:t>
      </w:r>
      <w:r>
        <w:rPr>
          <w:rFonts w:hint="eastAsia" w:ascii="宋体" w:hAnsi="宋体" w:eastAsia="宋体" w:cs="Times New Roman"/>
          <w:color w:val="000000"/>
          <w:sz w:val="24"/>
          <w:szCs w:val="24"/>
          <w:highlight w:val="none"/>
          <w:lang w:val="zh-CN" w:eastAsia="zh-CN"/>
        </w:rPr>
      </w:r>
      <w:r/>
    </w:p>
    <w:p>
      <w:pPr>
        <w:pStyle w:val="877"/>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7"/>
        <w:ind w:firstLine="480"/>
        <w:pageBreakBefore w:val="0"/>
        <w:spacing w:line="252"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en-US" w:eastAsia="zh-CN"/>
        </w:rPr>
        <w:t xml:space="preserve">投标人具有</w:t>
      </w:r>
      <w:r>
        <w:rPr>
          <w:rFonts w:ascii="宋体" w:hAnsi="宋体" w:eastAsia="宋体" w:cs="宋体"/>
          <w:color w:val="000000"/>
          <w:sz w:val="24"/>
          <w:szCs w:val="24"/>
          <w:highlight w:val="none"/>
        </w:rPr>
        <w:t xml:space="preserve">住建部门核发</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有效期内的</w:t>
      </w:r>
      <w:r>
        <w:rPr>
          <w:rFonts w:hint="eastAsia" w:ascii="宋体" w:hAnsi="宋体" w:eastAsia="宋体" w:cs="Times New Roman"/>
          <w:color w:val="000000"/>
          <w:sz w:val="24"/>
          <w:szCs w:val="24"/>
          <w:highlight w:val="none"/>
          <w:lang w:val="en-US" w:eastAsia="zh-CN"/>
        </w:rPr>
        <w:t xml:space="preserve">钢结构工程专业承包三级及以上资质、建筑机电安装工程专业承包三级及以上资质和安全生产许可证</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提供证书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签合同时核验证书原件及</w:t>
      </w:r>
      <w:r>
        <w:rPr>
          <w:rFonts w:ascii="宋体" w:hAnsi="宋体" w:eastAsia="宋体" w:cs="宋体"/>
          <w:color w:val="000000"/>
          <w:sz w:val="24"/>
          <w:szCs w:val="24"/>
          <w:highlight w:val="none"/>
        </w:rPr>
        <w:t xml:space="preserve">官网公示状态</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u w:val="none"/>
          <w:lang w:val="en-US" w:eastAsia="zh-CN"/>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7"/>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28359007"/>
      <w:r/>
      <w:bookmarkStart w:id="29" w:name="_Toc35393794"/>
      <w:r/>
      <w:bookmarkStart w:id="30" w:name="_Toc35393625"/>
      <w:r/>
      <w:bookmarkStart w:id="31" w:name="_Toc3898526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9</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4</w:t>
      </w:r>
      <w:r>
        <w:rPr>
          <w:rFonts w:hint="eastAsia" w:ascii="宋体" w:hAnsi="宋体"/>
          <w:bCs/>
          <w:color w:val="000000"/>
          <w:sz w:val="24"/>
          <w:szCs w:val="24"/>
          <w:highlight w:val="none"/>
          <w:u w:val="none"/>
        </w:rPr>
        <w:t xml:space="preserve">日9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7"/>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5393796"/>
      <w:r/>
      <w:bookmarkStart w:id="37" w:name="_Toc38985269"/>
      <w:r/>
      <w:bookmarkStart w:id="38" w:name="_Toc35393627"/>
      <w:r/>
      <w:bookmarkStart w:id="39" w:name="_Toc28359008"/>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7"/>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投标人代表携带加盖单位公章的营业执照复印件、法定代表人授权委托书、身份证参加。签到时间：</w:t>
      </w:r>
      <w:r>
        <w:rPr>
          <w:rFonts w:hint="eastAsia" w:ascii="宋体" w:hAnsi="宋体" w:eastAsia="宋体" w:cs="宋体"/>
          <w:color w:val="000000"/>
          <w:sz w:val="24"/>
          <w:szCs w:val="24"/>
          <w:highlight w:val="none"/>
          <w:u w:val="none"/>
          <w:lang w:val="en-US" w:eastAsia="zh-CN"/>
        </w:rPr>
        <w:t xml:space="preserve">2026年8月24日9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40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u w:val="none"/>
          <w:lang w:eastAsia="zh-CN"/>
        </w:rPr>
        <w:t xml:space="preserve">至</w:t>
      </w:r>
      <w:r>
        <w:rPr>
          <w:rFonts w:hint="eastAsia" w:ascii="宋体" w:hAnsi="宋体" w:eastAsia="宋体" w:cs="宋体"/>
          <w:color w:val="000000"/>
          <w:sz w:val="24"/>
          <w:szCs w:val="24"/>
          <w:highlight w:val="none"/>
          <w:u w:val="none"/>
          <w:lang w:val="en-US" w:eastAsia="zh-CN"/>
        </w:rPr>
        <w:t xml:space="preserve">10</w:t>
      </w:r>
      <w:r>
        <w:rPr>
          <w:rFonts w:hint="eastAsia" w:ascii="Times New Roman" w:hAnsi="Times New Roman" w:eastAsia="宋体" w:cs="Times New Roman"/>
          <w:bCs/>
          <w:color w:val="000000"/>
          <w:sz w:val="24"/>
          <w:szCs w:val="24"/>
          <w:highlight w:val="none"/>
          <w:u w:val="none"/>
          <w:lang w:val="en-US" w:eastAsia="zh-CN"/>
        </w:rPr>
        <w:t xml:space="preserve">时00</w:t>
      </w:r>
      <w:r>
        <w:rPr>
          <w:rFonts w:hint="eastAsia" w:ascii="宋体" w:hAnsi="宋体"/>
          <w:bCs/>
          <w:color w:val="000000"/>
          <w:sz w:val="24"/>
          <w:szCs w:val="24"/>
          <w:highlight w:val="none"/>
          <w:u w:val="none"/>
        </w:rPr>
        <w:t xml:space="preserve">分</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t xml:space="preserve">地址：</w:t>
      </w:r>
      <w:r>
        <w:rPr>
          <w:rFonts w:hint="eastAsia" w:ascii="宋体" w:hAnsi="宋体" w:eastAsia="宋体" w:cs="宋体"/>
          <w:color w:val="000000"/>
          <w:sz w:val="24"/>
          <w:szCs w:val="24"/>
          <w:highlight w:val="none"/>
          <w:u w:val="none"/>
          <w:lang w:val="en-US" w:eastAsia="zh-CN"/>
        </w:rPr>
        <w:t xml:space="preserve">南京市鼓楼区慈悲社5号，联系人：郝老师，联系电话：13951807371。</w:t>
      </w:r>
      <w:r>
        <w:rPr>
          <w:rFonts w:hint="eastAsia" w:ascii="宋体" w:hAnsi="宋体" w:cs="宋体"/>
          <w:color w:val="000000"/>
          <w:sz w:val="24"/>
          <w:szCs w:val="24"/>
          <w:highlight w:val="none"/>
        </w:rPr>
      </w:r>
      <w:r/>
    </w:p>
    <w:p>
      <w:pPr>
        <w:pStyle w:val="877"/>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7"/>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7"/>
        <w:ind w:firstLine="480"/>
        <w:spacing w:line="252"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宋体"/>
          <w:color w:val="000000"/>
          <w:sz w:val="24"/>
          <w:szCs w:val="24"/>
          <w:highlight w:val="none"/>
          <w:u w:val="none"/>
          <w:lang w:val="en-US" w:eastAsia="zh-CN"/>
        </w:rPr>
        <w:t xml:space="preserve">郝老师</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宋体"/>
          <w:color w:val="000000"/>
          <w:sz w:val="24"/>
          <w:szCs w:val="24"/>
          <w:highlight w:val="none"/>
          <w:u w:val="none"/>
          <w:lang w:val="en-US" w:eastAsia="zh-CN"/>
        </w:rPr>
        <w:t xml:space="preserve">南京市鼓楼区慈悲社5号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13951807371</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877"/>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7"/>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none"/>
          <w:lang w:val="en-US" w:eastAsia="zh-CN"/>
        </w:rPr>
        <w:t xml:space="preserve">南京市电化教育馆</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7"/>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eastAsia="宋体" w:cs="宋体"/>
          <w:color w:val="000000"/>
          <w:sz w:val="24"/>
          <w:szCs w:val="24"/>
          <w:highlight w:val="none"/>
          <w:u w:val="none"/>
          <w:lang w:val="en-US" w:eastAsia="zh-CN"/>
        </w:rPr>
        <w:t xml:space="preserve">南京市鼓楼区慈悲社5号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7"/>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郝老师</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7"/>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r>
        <w:rPr>
          <w:rFonts w:hint="eastAsia" w:ascii="宋体" w:hAnsi="宋体" w:eastAsia="宋体" w:cs="宋体"/>
          <w:color w:val="000000"/>
          <w:sz w:val="24"/>
          <w:szCs w:val="24"/>
          <w:highlight w:val="none"/>
          <w:u w:val="none"/>
          <w:lang w:val="en-US" w:eastAsia="zh-CN"/>
        </w:rPr>
        <w:t xml:space="preserve">13951807371</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w:t>
      </w:r>
      <w:r>
        <w:rPr>
          <w:rFonts w:hint="eastAsia" w:ascii="宋体" w:hAnsi="宋体" w:eastAsia="宋体" w:cs="Times New Roman"/>
          <w:color w:val="000000"/>
          <w:sz w:val="24"/>
          <w:szCs w:val="24"/>
          <w:highlight w:val="none"/>
          <w:u w:val="none"/>
          <w:lang w:val="en-US" w:eastAsia="zh-CN"/>
        </w:rPr>
        <w:t xml:space="preserve">士       </w:t>
      </w:r>
      <w:r>
        <w:rPr>
          <w:rFonts w:hint="eastAsia" w:ascii="宋体" w:hAnsi="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7"/>
        <w:ind w:right="0" w:firstLine="480"/>
        <w:jc w:val="left"/>
        <w:spacing w:line="252" w:lineRule="auto"/>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ascii="宋体" w:hAnsi="宋体" w:eastAsia="宋体" w:cs="Times New Roman"/>
          <w:color w:val="000000"/>
          <w:sz w:val="24"/>
          <w:szCs w:val="24"/>
          <w:highlight w:val="none"/>
          <w:u w:val="none"/>
          <w:lang w:val="en-US" w:eastAsia="zh-CN"/>
        </w:rPr>
      </w:r>
      <w:r/>
    </w:p>
    <w:p>
      <w:pPr>
        <w:pStyle w:val="95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8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8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8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77"/>
        <w:ind w:firstLine="420"/>
        <w:jc w:val="left"/>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7"/>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7"/>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8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7"/>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7"/>
        <w:ind w:firstLine="420"/>
        <w:keepLines w:val="0"/>
        <w:keepNext w:val="0"/>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zh-CN" w:eastAsia="zh-CN"/>
        </w:rPr>
        <w:t xml:space="preserve">18.</w:t>
      </w:r>
      <w:r>
        <w:rPr>
          <w:rFonts w:hint="eastAsia" w:ascii="宋体" w:hAnsi="宋体" w:eastAsia="宋体" w:cs="Times New Roman"/>
          <w:b/>
          <w:bCs/>
          <w:color w:val="000000"/>
          <w:sz w:val="24"/>
          <w:highlight w:val="none"/>
          <w:lang w:val="zh-CN"/>
        </w:rPr>
        <w:t xml:space="preserve">评标</w:t>
      </w:r>
      <w:r>
        <w:rPr>
          <w:b/>
          <w:bC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7"/>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7"/>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7"/>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77"/>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7"/>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8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8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80"/>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7"/>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7"/>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80"/>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81"/>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7"/>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7"/>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7"/>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7"/>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81"/>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77"/>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77"/>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77"/>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77"/>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81"/>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77"/>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81"/>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81"/>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7"/>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77"/>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77"/>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77"/>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77"/>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77"/>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77"/>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77"/>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77"/>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77"/>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77"/>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77"/>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77"/>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479757207"/>
      <w:r/>
      <w:bookmarkStart w:id="44" w:name="_Toc513029242"/>
      <w:r/>
      <w:bookmarkStart w:id="45" w:name="_Toc120614221"/>
      <w:r/>
      <w:bookmarkStart w:id="46" w:name="_Toc20823314"/>
      <w:r/>
      <w:bookmarkStart w:id="47" w:name="_Toc16938558"/>
      <w:r>
        <w:rPr>
          <w:rFonts w:hint="eastAsia" w:ascii="宋体" w:hAnsi="宋体" w:eastAsia="宋体" w:cs="Times New Roman"/>
          <w:color w:val="000000"/>
          <w:sz w:val="24"/>
          <w:highlight w:val="none"/>
          <w:lang w:val="zh-CN" w:eastAsia="zh-CN"/>
        </w:rPr>
      </w:r>
      <w:r/>
    </w:p>
    <w:p>
      <w:pPr>
        <w:pStyle w:val="956"/>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6"/>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7"/>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513029243"/>
      <w:r/>
      <w:bookmarkStart w:id="49" w:name="_Toc20823315"/>
      <w:r/>
      <w:bookmarkStart w:id="50" w:name="_Toc16938559"/>
      <w:r/>
      <w:bookmarkStart w:id="51" w:name="_Toc462564139"/>
      <w:r/>
      <w:bookmarkStart w:id="52" w:name="_Hlt16619350"/>
      <w:r/>
      <w:bookmarkStart w:id="53" w:name="_Toc120614244"/>
      <w:r/>
      <w:bookmarkStart w:id="54" w:name="_Toc16938590"/>
      <w:r/>
      <w:bookmarkStart w:id="55" w:name="_Toc20823346"/>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7"/>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7"/>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7"/>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7"/>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7"/>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7"/>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8"/>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bidi="ar-SA"/>
        </w:rPr>
      </w:pPr>
      <w:r>
        <w:rPr>
          <w:rFonts w:hint="eastAsia" w:ascii="宋体" w:hAnsi="宋体" w:eastAsia="宋体" w:cs="Courier New"/>
          <w:b w:val="0"/>
          <w:bCs w:val="0"/>
          <w:color w:val="000000"/>
          <w:sz w:val="24"/>
          <w:szCs w:val="24"/>
          <w:highlight w:val="none"/>
          <w:lang w:val="en-US" w:eastAsia="zh-CN" w:bidi="ar-SA"/>
        </w:rPr>
        <w:t xml:space="preserve">8.1.1 合同签订后，甲方支付合同总价款的30%作为预付款。</w:t>
      </w:r>
      <w:r>
        <w:rPr>
          <w:rFonts w:hint="eastAsia" w:ascii="宋体" w:hAnsi="宋体" w:eastAsia="宋体" w:cs="Courier New"/>
          <w:b w:val="0"/>
          <w:bCs w:val="0"/>
          <w:color w:val="000000"/>
          <w:sz w:val="24"/>
          <w:szCs w:val="24"/>
          <w:highlight w:val="none"/>
          <w:lang w:val="en-US" w:eastAsia="zh-CN" w:bidi="ar-SA"/>
        </w:rPr>
      </w:r>
      <w:r/>
    </w:p>
    <w:p>
      <w:pPr>
        <w:pStyle w:val="918"/>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bidi="ar-SA"/>
        </w:rPr>
      </w:pPr>
      <w:r>
        <w:rPr>
          <w:rFonts w:hint="eastAsia" w:ascii="宋体" w:hAnsi="宋体" w:eastAsia="宋体" w:cs="Courier New"/>
          <w:b w:val="0"/>
          <w:bCs w:val="0"/>
          <w:color w:val="000000"/>
          <w:sz w:val="24"/>
          <w:szCs w:val="24"/>
          <w:highlight w:val="none"/>
          <w:lang w:val="en-US" w:eastAsia="zh-CN" w:bidi="ar-SA"/>
        </w:rPr>
        <w:t xml:space="preserve">8.1.2 供货结束并初验合格后，甲方支付合同总价款的30%。</w:t>
      </w:r>
      <w:r>
        <w:rPr>
          <w:rFonts w:hint="eastAsia" w:ascii="宋体" w:hAnsi="宋体" w:eastAsia="宋体" w:cs="Courier New"/>
          <w:b w:val="0"/>
          <w:bCs w:val="0"/>
          <w:color w:val="000000"/>
          <w:sz w:val="24"/>
          <w:szCs w:val="24"/>
          <w:highlight w:val="none"/>
          <w:lang w:val="en-US" w:eastAsia="zh-CN" w:bidi="ar-SA"/>
        </w:rPr>
      </w:r>
      <w:r/>
    </w:p>
    <w:p>
      <w:pPr>
        <w:pStyle w:val="918"/>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bidi="ar-SA"/>
        </w:rPr>
      </w:pPr>
      <w:r>
        <w:rPr>
          <w:rFonts w:hint="eastAsia" w:ascii="宋体" w:hAnsi="宋体" w:eastAsia="宋体" w:cs="Courier New"/>
          <w:b w:val="0"/>
          <w:bCs w:val="0"/>
          <w:color w:val="000000"/>
          <w:sz w:val="24"/>
          <w:szCs w:val="24"/>
          <w:highlight w:val="none"/>
          <w:lang w:val="en-US" w:eastAsia="zh-CN" w:bidi="ar-SA"/>
        </w:rPr>
        <w:t xml:space="preserve">8.1.3 所有安装调试和系统集成完成并终验合格后，甲方向乙方支付剩余全部款项。</w:t>
      </w:r>
      <w:r>
        <w:rPr>
          <w:rFonts w:hint="eastAsia" w:ascii="宋体" w:hAnsi="宋体" w:eastAsia="宋体" w:cs="Courier New"/>
          <w:b w:val="0"/>
          <w:bCs w:val="0"/>
          <w:color w:val="000000"/>
          <w:sz w:val="24"/>
          <w:szCs w:val="24"/>
          <w:highlight w:val="none"/>
          <w:lang w:val="en-US" w:eastAsia="zh-CN" w:bidi="ar-SA"/>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8.1.4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7"/>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color w:val="000000"/>
          <w:highlight w:val="none"/>
          <w:lang w:val="en-US" w:eastAsia="zh-CN"/>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0.1%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val="en-US" w:eastAsia="zh-CN"/>
        </w:rPr>
        <w:t xml:space="preserve">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48"/>
      <w:r/>
      <w:bookmarkEnd w:id="49"/>
      <w:r/>
      <w:bookmarkEnd w:id="50"/>
      <w:r/>
      <w:bookmarkStart w:id="57" w:name="_Hlt16619369"/>
      <w:r/>
      <w:bookmarkEnd w:id="57"/>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8"/>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1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8"/>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8"/>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77"/>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7"/>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7"/>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2"/>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3"/>
      <w:r/>
      <w:bookmarkEnd w:id="54"/>
      <w:r/>
      <w:bookmarkEnd w:id="55"/>
      <w:r>
        <w:rPr>
          <w:rFonts w:hint="eastAsia" w:ascii="方正小标宋简体" w:hAnsi="方正小标宋简体" w:eastAsia="方正小标宋简体" w:cs="方正小标宋简体"/>
          <w:color w:val="000000"/>
          <w:sz w:val="36"/>
          <w:szCs w:val="36"/>
          <w:highlight w:val="none"/>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南京市电化教育馆综合演播室适</w:t>
      </w:r>
      <w:r>
        <w:rPr>
          <w:rFonts w:hint="eastAsia" w:ascii="宋体" w:hAnsi="宋体" w:eastAsia="宋体" w:cs="宋体"/>
          <w:bCs/>
          <w:color w:val="000000"/>
          <w:sz w:val="24"/>
          <w:szCs w:val="24"/>
          <w:highlight w:val="none"/>
          <w:lang w:eastAsia="zh-CN"/>
        </w:rPr>
        <w:t xml:space="preserve">用于“</w:t>
      </w:r>
      <w:r>
        <w:rPr>
          <w:rFonts w:hint="eastAsia" w:ascii="宋体" w:hAnsi="宋体" w:eastAsia="宋体" w:cs="宋体"/>
          <w:bCs/>
          <w:color w:val="000000"/>
          <w:sz w:val="24"/>
          <w:szCs w:val="24"/>
          <w:highlight w:val="none"/>
          <w:lang w:val="en-US" w:eastAsia="zh-CN"/>
        </w:rPr>
        <w:t xml:space="preserve">国家中小学智慧教育平台</w:t>
      </w:r>
      <w:r>
        <w:rPr>
          <w:rFonts w:hint="eastAsia" w:ascii="宋体" w:hAnsi="宋体" w:eastAsia="宋体" w:cs="宋体"/>
          <w:bCs/>
          <w:color w:val="000000"/>
          <w:sz w:val="24"/>
          <w:szCs w:val="24"/>
          <w:highlight w:val="none"/>
          <w:lang w:eastAsia="zh-CN"/>
        </w:rPr>
        <w:t xml:space="preserve">”“名师空中课堂”相关教育教学资源制作、</w:t>
      </w:r>
      <w:r>
        <w:rPr>
          <w:rFonts w:hint="eastAsia" w:ascii="宋体" w:hAnsi="宋体" w:eastAsia="宋体" w:cs="宋体"/>
          <w:bCs/>
          <w:color w:val="000000"/>
          <w:sz w:val="24"/>
          <w:szCs w:val="24"/>
          <w:highlight w:val="none"/>
          <w:lang w:val="en-US" w:eastAsia="zh-CN"/>
        </w:rPr>
        <w:t xml:space="preserve">中小学生A超联赛、教师智能研修活动、</w:t>
      </w:r>
      <w:r>
        <w:rPr>
          <w:rFonts w:hint="eastAsia" w:ascii="宋体" w:hAnsi="宋体" w:eastAsia="宋体" w:cs="宋体"/>
          <w:bCs/>
          <w:color w:val="000000"/>
          <w:sz w:val="24"/>
          <w:szCs w:val="24"/>
          <w:highlight w:val="none"/>
          <w:lang w:eastAsia="zh-CN"/>
        </w:rPr>
        <w:t xml:space="preserve">教育访谈类、综合类资源录制及多项教学应用场景等。具体包括“专递课堂”“名师课堂”“名校网络课堂”、</w:t>
      </w:r>
      <w:r>
        <w:rPr>
          <w:rFonts w:hint="eastAsia" w:ascii="宋体" w:hAnsi="宋体" w:eastAsia="宋体" w:cs="宋体"/>
          <w:bCs/>
          <w:color w:val="000000"/>
          <w:sz w:val="24"/>
          <w:szCs w:val="24"/>
          <w:highlight w:val="none"/>
          <w:lang w:val="en-US" w:eastAsia="zh-CN"/>
        </w:rPr>
        <w:t xml:space="preserve">机器人比赛、</w:t>
      </w:r>
      <w:r>
        <w:rPr>
          <w:rFonts w:hint="eastAsia" w:ascii="宋体" w:hAnsi="宋体" w:eastAsia="宋体" w:cs="宋体"/>
          <w:bCs/>
          <w:color w:val="000000"/>
          <w:sz w:val="24"/>
          <w:szCs w:val="24"/>
          <w:highlight w:val="none"/>
          <w:lang w:eastAsia="zh-CN"/>
        </w:rPr>
        <w:t xml:space="preserve">名师公益大讲堂、中小学艺术展演、师德师风暨教育好故事分享会、经典诵读大赛以及省市级教学公开课、精品课等各类节目的录制和网络直播等。</w:t>
      </w:r>
      <w:r>
        <w:rPr>
          <w:rFonts w:hint="eastAsia" w:ascii="宋体" w:hAnsi="宋体" w:eastAsia="宋体" w:cs="宋体"/>
          <w:bCs/>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本项目包括本馆4F综合演播室、4F综合演播室候播间、5F综合演播室控制室、5F综合演播室设备机房等专用场所的相关设备购置及系统集成等。</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具体内容如下：</w:t>
      </w:r>
      <w:r>
        <w:rPr>
          <w:rFonts w:ascii="宋体" w:hAnsi="宋体" w:eastAsia="宋体" w:cs="宋体"/>
          <w:bCs/>
          <w:color w:val="000000"/>
          <w:sz w:val="24"/>
          <w:szCs w:val="24"/>
          <w:highlight w:val="none"/>
          <w:lang w:val="en-US" w:eastAsia="zh-CN"/>
        </w:rPr>
      </w:r>
      <w:r/>
    </w:p>
    <w:tbl>
      <w:tblPr>
        <w:tblStyle w:val="948"/>
        <w:tblW w:w="498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352"/>
        <w:gridCol w:w="1412"/>
        <w:gridCol w:w="5410"/>
      </w:tblGrid>
      <w:tr>
        <w:trPr>
          <w:trHeight w:val="327"/>
        </w:trPr>
        <w:tc>
          <w:tcPr>
            <w:tcMar>
              <w:left w:w="108" w:type="dxa"/>
              <w:top w:w="0" w:type="dxa"/>
              <w:right w:w="108" w:type="dxa"/>
              <w:bottom w:w="0" w:type="dxa"/>
            </w:tcMar>
            <w:tcW w:w="758"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楼层</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235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场所</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4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预估面积（㎡）</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541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建设内容</w:t>
            </w:r>
            <w:r>
              <w:rPr>
                <w:rFonts w:hint="eastAsia" w:ascii="宋体" w:hAnsi="宋体" w:eastAsia="宋体" w:cs="宋体"/>
                <w:bCs/>
                <w:color w:val="000000"/>
                <w:sz w:val="24"/>
                <w:szCs w:val="24"/>
                <w:highlight w:val="none"/>
                <w:lang w:val="en-US" w:eastAsia="zh-CN"/>
              </w:rPr>
            </w:r>
            <w:r/>
          </w:p>
        </w:tc>
      </w:tr>
      <w:tr>
        <w:trPr>
          <w:trHeight w:val="761"/>
        </w:trPr>
        <w:tc>
          <w:tcPr>
            <w:tcMar>
              <w:left w:w="108" w:type="dxa"/>
              <w:top w:w="0" w:type="dxa"/>
              <w:right w:w="108" w:type="dxa"/>
              <w:bottom w:w="0" w:type="dxa"/>
            </w:tcMar>
            <w:tcW w:w="758" w:type="dxa"/>
            <w:vAlign w:val="center"/>
            <w:vMerge w:val="restart"/>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4楼</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2352"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综合演播室</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4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27</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541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制作系统、扩声系统、灯光系统、吊挂系统、LED屏及显示系统、舞美置景系统、强弱电系统、舞台、观众看台及专业操作台定制</w:t>
            </w:r>
            <w:r>
              <w:rPr>
                <w:rFonts w:hint="eastAsia" w:ascii="宋体" w:hAnsi="宋体" w:eastAsia="宋体" w:cs="宋体"/>
                <w:bCs/>
                <w:color w:val="000000"/>
                <w:sz w:val="24"/>
                <w:szCs w:val="24"/>
                <w:highlight w:val="none"/>
                <w:lang w:val="en-US" w:eastAsia="zh-CN"/>
              </w:rPr>
            </w:r>
            <w:r/>
          </w:p>
        </w:tc>
      </w:tr>
      <w:tr>
        <w:trPr>
          <w:trHeight w:val="327"/>
        </w:trPr>
        <w:tc>
          <w:tcPr>
            <w:tcMar>
              <w:left w:w="108" w:type="dxa"/>
              <w:top w:w="0" w:type="dxa"/>
              <w:right w:w="108" w:type="dxa"/>
              <w:bottom w:w="0" w:type="dxa"/>
            </w:tcMar>
            <w:tcW w:w="758" w:type="dxa"/>
            <w:vAlign w:val="center"/>
            <w:vMerge w:val="continue"/>
            <w:textDirection w:val="lrTb"/>
            <w:noWrap w:val="false"/>
          </w:tcPr>
          <w:p>
            <w:pPr>
              <w:pStyle w:val="877"/>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2352"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综合演播</w:t>
            </w:r>
            <w:r>
              <w:rPr>
                <w:rFonts w:hint="eastAsia" w:ascii="宋体" w:hAnsi="宋体" w:eastAsia="宋体" w:cs="宋体"/>
                <w:bCs/>
                <w:color w:val="000000"/>
                <w:sz w:val="24"/>
                <w:szCs w:val="24"/>
                <w:highlight w:val="none"/>
                <w:lang w:val="en-US" w:eastAsia="zh-CN"/>
              </w:rPr>
              <w:t xml:space="preserve">室</w:t>
            </w:r>
            <w:r>
              <w:rPr>
                <w:rFonts w:hint="eastAsia" w:ascii="宋体" w:hAnsi="宋体" w:eastAsia="宋体" w:cs="宋体"/>
                <w:bCs/>
                <w:color w:val="000000"/>
                <w:sz w:val="24"/>
                <w:szCs w:val="24"/>
                <w:highlight w:val="none"/>
                <w:lang w:eastAsia="zh-CN"/>
              </w:rPr>
              <w:t xml:space="preserve">候播</w:t>
            </w:r>
            <w:r>
              <w:rPr>
                <w:rFonts w:hint="eastAsia" w:ascii="宋体" w:hAnsi="宋体" w:eastAsia="宋体" w:cs="宋体"/>
                <w:bCs/>
                <w:color w:val="000000"/>
                <w:sz w:val="24"/>
                <w:szCs w:val="24"/>
                <w:highlight w:val="none"/>
                <w:lang w:val="en-US" w:eastAsia="zh-CN"/>
              </w:rPr>
              <w:t xml:space="preserve">间</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4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541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家具</w:t>
            </w:r>
            <w:r>
              <w:rPr>
                <w:rFonts w:hint="eastAsia" w:ascii="宋体" w:hAnsi="宋体" w:eastAsia="宋体" w:cs="宋体"/>
                <w:bCs/>
                <w:color w:val="000000"/>
                <w:sz w:val="24"/>
                <w:szCs w:val="24"/>
                <w:highlight w:val="none"/>
                <w:lang w:val="en-US" w:eastAsia="zh-CN"/>
              </w:rPr>
            </w:r>
            <w:r/>
          </w:p>
        </w:tc>
      </w:tr>
      <w:tr>
        <w:trPr>
          <w:trHeight w:val="635"/>
        </w:trPr>
        <w:tc>
          <w:tcPr>
            <w:tcMar>
              <w:left w:w="108" w:type="dxa"/>
              <w:top w:w="0" w:type="dxa"/>
              <w:right w:w="108" w:type="dxa"/>
              <w:bottom w:w="0" w:type="dxa"/>
            </w:tcMar>
            <w:tcW w:w="758" w:type="dxa"/>
            <w:vAlign w:val="center"/>
            <w:vMerge w:val="restart"/>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5楼</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2352"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综合演播室控制室</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4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541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制作系统、专业操作台定制、强弱电系统、置景系统</w:t>
            </w:r>
            <w:r>
              <w:rPr>
                <w:rFonts w:hint="eastAsia" w:ascii="宋体" w:hAnsi="宋体" w:eastAsia="宋体" w:cs="宋体"/>
                <w:bCs/>
                <w:color w:val="000000"/>
                <w:sz w:val="24"/>
                <w:szCs w:val="24"/>
                <w:highlight w:val="none"/>
                <w:lang w:val="en-US" w:eastAsia="zh-CN"/>
              </w:rPr>
            </w:r>
            <w:r/>
          </w:p>
        </w:tc>
      </w:tr>
      <w:tr>
        <w:trPr>
          <w:trHeight w:val="327"/>
        </w:trPr>
        <w:tc>
          <w:tcPr>
            <w:tcMar>
              <w:left w:w="108" w:type="dxa"/>
              <w:top w:w="0" w:type="dxa"/>
              <w:right w:w="108" w:type="dxa"/>
              <w:bottom w:w="0" w:type="dxa"/>
            </w:tcMar>
            <w:tcW w:w="758" w:type="dxa"/>
            <w:vAlign w:val="center"/>
            <w:vMerge w:val="continue"/>
            <w:textDirection w:val="lrTb"/>
            <w:noWrap w:val="false"/>
          </w:tcPr>
          <w:p>
            <w:pPr>
              <w:pStyle w:val="877"/>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2352"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综合演播室设备机房</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14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w:t>
            </w:r>
            <w:r>
              <w:rPr>
                <w:rFonts w:hint="eastAsia" w:ascii="宋体" w:hAnsi="宋体" w:eastAsia="宋体" w:cs="宋体"/>
                <w:bCs/>
                <w:color w:val="000000"/>
                <w:sz w:val="24"/>
                <w:szCs w:val="24"/>
                <w:highlight w:val="none"/>
                <w:lang w:val="en-US" w:eastAsia="zh-CN"/>
              </w:rPr>
            </w:r>
            <w:r/>
          </w:p>
        </w:tc>
        <w:tc>
          <w:tcPr>
            <w:tcMar>
              <w:left w:w="108" w:type="dxa"/>
              <w:top w:w="0" w:type="dxa"/>
              <w:right w:w="108" w:type="dxa"/>
              <w:bottom w:w="0" w:type="dxa"/>
            </w:tcMar>
            <w:tcW w:w="541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扩声系统、强弱电系统</w:t>
            </w:r>
            <w:r>
              <w:rPr>
                <w:rFonts w:hint="eastAsia" w:ascii="宋体" w:hAnsi="宋体" w:eastAsia="宋体" w:cs="宋体"/>
                <w:bCs/>
                <w:color w:val="000000"/>
                <w:sz w:val="24"/>
                <w:szCs w:val="24"/>
                <w:highlight w:val="none"/>
                <w:lang w:val="en-US" w:eastAsia="zh-CN"/>
              </w:rPr>
            </w:r>
            <w:r/>
          </w:p>
        </w:tc>
      </w:tr>
    </w:tbl>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本项目实施及验收遵循以下规范和标准。</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显示系统：</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SJ/T 11141-2025《发光二极管（LED）显示屏通用规范》</w:t>
      </w:r>
      <w:r>
        <w:rPr>
          <w:rFonts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 4943.1-2022《音视频、信息技术和通信技术设备 第一部分：安全要求》</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43770-2024《室内LED显示屏规范》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SJ/T 11890—2023《LED显示屏节能设计要求》</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36101-2018《LED显示屏干扰光评价要求》</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SJ/T 11711-2018《室内用LED显示屏多媒体系统验收规范》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扩声系统：</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50371-2006《厅堂扩声系统设计标准》</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50356-2005《剧场、电影院和多用途厅堂建筑声学设计规范》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28049-2011《厅堂、体育场馆扩声系统设计规范》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WH/T 18-2003《演出场所扩声系统的声学特性指标》</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WH/T 75-2016《演出场所扩声用扬声器系统通用规范》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WH/T 38-2009《舞台扩声系统跳线柜、接线箱（盒）及设置规范》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灯光系统：</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 50054-2011《低压配电设计规范》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GY 5045-2006《电视演播室灯光系统设计规范》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GY 5070-2013《电视演播室灯光系统施工及验收规范》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7000.217-2023《灯具 第2-17部分：特殊要求 舞台灯光、电视、电影及摄影场所（室内外）用灯具》</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WH/T 86-2019《舞台灯光控制台通用技术条件》</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WH/T 78.3-2018《演出安全 第3部分：舞台灯光安全》</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舞台机械系统：</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GB 55006-2021《钢结构通用规范》</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50009-2012《建筑结构荷载规范》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WH/T 28-2007《舞台机械台上设备安全》</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36727-2018《舞台机械 验收检测规范》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WH/T 78.6-2017《演出安全 第6部分：舞美装置安全》</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制作系统：</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GY/T 155-2000《高清晰度电视节目制作及交换用视频参数值》</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GY/T 157-2000《演播室高清晰度电视数字视频信号接口》</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14857-1993《演播室数字电视编码参数规范》</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GY/T 164-2000《演播室串行数字光纤传输系统》</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32631-2016《高清晰度电视3Gbps串行数据接口和源图像格式映射》</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GY/T 156-2000《演播室数字音频参数》</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GY/T 165-2000《电视中心播控系统数字播出通路 技术指标和测量方法》</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（三）资产配置标准</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符合《南京市市级行政事业单位通用资产配置标准（2026年版）》及《关于印发南京市中小学通用资产配置标准的通知》（宁教财〔2023〕9号）的要求。</w:t>
      </w:r>
      <w:r>
        <w:rPr>
          <w:rFonts w:hint="eastAsia" w:ascii="宋体" w:hAnsi="宋体" w:eastAsia="宋体" w:cs="宋体"/>
          <w:bCs/>
          <w:color w:val="000000"/>
          <w:sz w:val="24"/>
          <w:szCs w:val="24"/>
          <w:highlight w:val="none"/>
          <w:lang w:eastAsia="zh-CN"/>
        </w:rPr>
      </w:r>
      <w:r/>
    </w:p>
    <w:p>
      <w:pPr>
        <w:pStyle w:val="877"/>
        <w:numPr>
          <w:ilvl w:val="0"/>
          <w:numId w:val="0"/>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9"/>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tbl>
      <w:tblPr>
        <w:tblStyle w:val="993"/>
        <w:tblW w:w="5036"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12"/>
        <w:gridCol w:w="1538"/>
        <w:gridCol w:w="574"/>
        <w:gridCol w:w="549"/>
        <w:gridCol w:w="1121"/>
        <w:gridCol w:w="1272"/>
        <w:gridCol w:w="1276"/>
        <w:gridCol w:w="1559"/>
        <w:gridCol w:w="1432"/>
      </w:tblGrid>
      <w:tr>
        <w:trPr>
          <w:trHeight w:val="470"/>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538"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877"/>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1432" w:type="dxa"/>
            <w:vAlign w:val="center"/>
            <w:textDirection w:val="lrTb"/>
            <w:noWrap w:val="false"/>
          </w:tcPr>
          <w:p>
            <w:pPr>
              <w:pStyle w:val="877"/>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政府强制采购节能产品</w:t>
            </w:r>
            <w:r>
              <w:rPr>
                <w:rFonts w:hint="eastAsia" w:ascii="宋体" w:hAnsi="宋体" w:eastAsia="宋体" w:cs="Times New Roman"/>
                <w:bCs/>
                <w:color w:val="000000"/>
                <w:sz w:val="24"/>
                <w:szCs w:val="24"/>
                <w:highlight w:val="none"/>
                <w:lang w:val="en-US" w:eastAsia="zh-CN" w:bidi="ar-SA"/>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演播室摄像机系统</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220000</w:t>
            </w:r>
            <w:r>
              <w:rPr>
                <w:rFonts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便携式标准镜头1</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便携式标准镜头2</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摄像机光缆</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摄像机承托设备</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脚轮</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广电专业接口箱</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室内LED显示屏控制台</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188000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媒体控制器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切换台</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在线包装字幕机</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12G数字视频帧同步模块</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12G分配模块</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交叉变换器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通话主站</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有线通话腰包</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7700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四线混合分配器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鹅颈话筒</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专业</w:t>
            </w:r>
            <w:bookmarkStart w:id="60" w:name="OLE_LINK2"/>
            <w:r>
              <w:rPr>
                <w:rFonts w:hint="eastAsia" w:ascii="宋体" w:hAnsi="宋体" w:eastAsia="宋体" w:cs="宋体"/>
                <w:bCs/>
                <w:color w:val="000000"/>
                <w:sz w:val="24"/>
                <w:szCs w:val="24"/>
                <w:highlight w:val="none"/>
                <w:lang w:val="en-US" w:eastAsia="zh-CN"/>
              </w:rPr>
              <w:t xml:space="preserve">监视器</w:t>
            </w:r>
            <w:bookmarkEnd w:id="60"/>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编码器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TALLY控制系统</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HDMI转3G-SDI</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12G光通联设备</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多格式输入输出矩阵</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16键单母线控制面板</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机架式双通道硬盘录像机</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主扩声线阵列扬声器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主扩声线阵次低频扬声器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返听同轴全频扬声器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超低频扬声器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手持无线发射器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腰包发射器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领夹咪</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头戴话筒</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无线会议底座</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指向性天线</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话筒接收机</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无线话筒自动增益控制天线分配器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7700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主扩功率放大器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主扩次低频功率放大器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返听功率放大器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超低频扬声器功率放大器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数字调音台1</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数字调音台2</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Dante扩展卡</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舞台接口箱</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音频延时器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监听耳机</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数字音频处理器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12G数字音频加嵌模块</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12G数字音频解嵌模块</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室内LED显示屏</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核心产品</w:t>
            </w: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商业显示器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主扩声线阵吊挂架</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吊杆电动卷扬机1</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吊杆电动卷扬机2</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吊杆电动卷扬机3</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舞台机械控制系统</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LED变焦静音聚光灯</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LED平板柔光灯</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LED定焦帕灯</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HID三合一灯</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LED四合一灯</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LED电脑切割灯</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灯光控制台</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网络扩展器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信号中继柜</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21700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电动伸缩活动看台</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演播室固定舞台</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演播室移动舞台</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152000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中控主机</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录制交换机</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交换机1</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7200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74</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交换机2</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75</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交换机3</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76</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配电箱及运行控制设备</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77</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周边机箱</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78</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数字电源直通柜</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86000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79</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机柜1</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机柜2</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干燥柜</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电源时序器</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UPS</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台</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84</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控制台</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工位</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85</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操作台</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单元</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86</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办公椅</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87</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沙发</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位</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88</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茶几</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张</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89</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制作系统安装调试</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73500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90</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1" w:name="OLE_LINK11"/>
            <w:r>
              <w:rPr>
                <w:rFonts w:hint="eastAsia" w:ascii="宋体" w:hAnsi="宋体" w:eastAsia="宋体" w:cs="宋体"/>
                <w:bCs/>
                <w:color w:val="000000"/>
                <w:sz w:val="24"/>
                <w:szCs w:val="24"/>
                <w:highlight w:val="none"/>
                <w:lang w:val="en-US" w:eastAsia="zh-CN"/>
              </w:rPr>
              <w:t xml:space="preserve">吊挂机械系统安装调试</w:t>
            </w:r>
            <w:bookmarkEnd w:id="61"/>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91</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灯光系统安装调试</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123500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设备层实施</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93</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声学处理</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94</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显示屏安装框架结构及装饰</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61000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548"/>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95</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综合演播室舞美置景</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r>
        <w:trPr>
          <w:trHeight w:val="414"/>
        </w:trPr>
        <w:tc>
          <w:tcPr>
            <w:tcW w:w="51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96</w:t>
            </w:r>
            <w:r>
              <w:rPr>
                <w:rFonts w:hint="eastAsia" w:ascii="宋体" w:hAnsi="宋体" w:eastAsia="宋体" w:cs="宋体"/>
                <w:bCs/>
                <w:color w:val="000000"/>
                <w:sz w:val="24"/>
                <w:szCs w:val="24"/>
                <w:highlight w:val="none"/>
                <w:lang w:val="en-US" w:eastAsia="zh-CN"/>
              </w:rPr>
            </w:r>
            <w:r/>
          </w:p>
        </w:tc>
        <w:tc>
          <w:tcPr>
            <w:tcW w:w="1538"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综合演播室控制室置景</w:t>
            </w:r>
            <w:r>
              <w:rPr>
                <w:rFonts w:hint="eastAsia" w:ascii="宋体" w:hAnsi="宋体" w:eastAsia="宋体" w:cs="宋体"/>
                <w:bCs/>
                <w:color w:val="000000"/>
                <w:sz w:val="24"/>
                <w:szCs w:val="24"/>
                <w:highlight w:val="none"/>
                <w:lang w:val="en-US" w:eastAsia="zh-CN"/>
              </w:rPr>
            </w:r>
            <w:r/>
          </w:p>
        </w:tc>
        <w:tc>
          <w:tcPr>
            <w:tcW w:w="57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4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112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30000</w:t>
            </w:r>
            <w:r>
              <w:rPr>
                <w:rFonts w:hint="eastAsia" w:ascii="宋体" w:hAnsi="宋体" w:eastAsia="宋体" w:cs="宋体"/>
                <w:bCs/>
                <w:color w:val="000000"/>
                <w:sz w:val="24"/>
                <w:szCs w:val="24"/>
                <w:highlight w:val="none"/>
                <w:lang w:val="en-US" w:eastAsia="zh-CN"/>
              </w:rPr>
            </w:r>
            <w:r/>
          </w:p>
        </w:tc>
        <w:tc>
          <w:tcPr>
            <w:tcW w:w="127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27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lang w:val="en-US" w:eastAsia="zh-CN"/>
              </w:rPr>
            </w:r>
            <w:r/>
          </w:p>
        </w:tc>
        <w:tc>
          <w:tcPr>
            <w:tcW w:w="155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工程</w:t>
            </w:r>
            <w:r>
              <w:rPr>
                <w:rFonts w:hint="eastAsia" w:ascii="宋体" w:hAnsi="宋体" w:eastAsia="宋体" w:cs="宋体"/>
                <w:bCs/>
                <w:color w:val="000000"/>
                <w:sz w:val="24"/>
                <w:szCs w:val="24"/>
                <w:highlight w:val="none"/>
                <w:lang w:val="en-US" w:eastAsia="zh-CN"/>
              </w:rPr>
            </w:r>
            <w:r/>
          </w:p>
        </w:tc>
        <w:tc>
          <w:tcPr>
            <w:tcW w:w="1432"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rPr>
            </w:r>
            <w:r/>
          </w:p>
        </w:tc>
      </w:tr>
    </w:tbl>
    <w:p>
      <w:pPr>
        <w:pStyle w:val="87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7"/>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序号</w:t>
            </w:r>
            <w:r>
              <w:rPr>
                <w:rFonts w:hint="eastAsia" w:ascii="宋体" w:hAnsi="宋体" w:eastAsia="宋体" w:cs="宋体"/>
                <w:b/>
                <w:bCs w:val="0"/>
                <w:color w:val="000000"/>
                <w:sz w:val="24"/>
                <w:szCs w:val="24"/>
                <w:highlight w:val="none"/>
                <w:lang w:val="en-US" w:eastAsia="zh-CN"/>
              </w:rPr>
            </w:r>
            <w:r/>
          </w:p>
        </w:tc>
        <w:tc>
          <w:tcPr>
            <w:tcW w:w="1354"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产品名称</w:t>
            </w:r>
            <w:r>
              <w:rPr>
                <w:rFonts w:hint="eastAsia" w:ascii="宋体" w:hAnsi="宋体" w:eastAsia="宋体" w:cs="宋体"/>
                <w:b/>
                <w:bCs w:val="0"/>
                <w:color w:val="000000"/>
                <w:sz w:val="24"/>
                <w:szCs w:val="24"/>
                <w:highlight w:val="none"/>
                <w:lang w:val="en-US" w:eastAsia="zh-CN"/>
              </w:rPr>
            </w:r>
            <w:r/>
          </w:p>
        </w:tc>
        <w:tc>
          <w:tcPr>
            <w:tcW w:w="779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功能、性能、配置要求不低于以下要求</w:t>
            </w:r>
            <w:r>
              <w:rPr>
                <w:rFonts w:hint="eastAsia" w:ascii="宋体" w:hAnsi="宋体" w:eastAsia="宋体" w:cs="宋体"/>
                <w:b/>
                <w:bCs w:val="0"/>
                <w:color w:val="000000"/>
                <w:sz w:val="24"/>
                <w:szCs w:val="24"/>
                <w:highlight w:val="none"/>
                <w:lang w:val="en-US" w:eastAsia="zh-CN"/>
              </w:rPr>
            </w:r>
            <w:r/>
          </w:p>
        </w:tc>
      </w:tr>
      <w:tr>
        <w:trPr>
          <w:trHeight w:val="840"/>
        </w:trPr>
        <w:tc>
          <w:tcPr>
            <w:tcW w:w="66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演播室摄像机系统</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1.4K摄像机机头单元：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（1）2/3英寸CMOS（MOS）成像器，有效分辨率不低于3840×2160；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color w:val="000000"/>
                <w:sz w:val="24"/>
                <w:szCs w:val="24"/>
                <w:highlight w:val="none"/>
              </w:rPr>
              <w:t xml:space="preserve">4K模式下</w:t>
            </w:r>
            <w:r>
              <w:rPr>
                <w:rFonts w:hint="eastAsia" w:ascii="宋体" w:hAnsi="宋体" w:eastAsia="宋体" w:cs="宋体"/>
                <w:bCs/>
                <w:color w:val="000000"/>
                <w:sz w:val="24"/>
                <w:szCs w:val="24"/>
                <w:highlight w:val="none"/>
                <w:lang w:val="en-US" w:eastAsia="zh-CN"/>
              </w:rPr>
              <w:t xml:space="preserve">水平分辨率不低于2000电视线；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（3）灵敏度不低于F11(50HZ)，信噪比不低于62dB；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（4）支持1080 50P/59.94P/50I等高清格式的拍摄，支持2160 50P/59.94P等UHD格式的拍摄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可</w:t>
            </w:r>
            <w:r>
              <w:rPr>
                <w:rStyle w:val="949"/>
                <w:rFonts w:hint="eastAsia" w:ascii="宋体" w:hAnsi="宋体" w:eastAsia="宋体" w:cs="宋体"/>
                <w:b w:val="0"/>
                <w:bCs w:val="0"/>
                <w:color w:val="000000"/>
                <w:sz w:val="24"/>
                <w:szCs w:val="24"/>
                <w:highlight w:val="none"/>
                <w:lang w:val="en-US" w:eastAsia="zh-CN"/>
              </w:rPr>
              <w:t xml:space="preserve">配置</w:t>
            </w:r>
            <w:r>
              <w:rPr>
                <w:rStyle w:val="949"/>
                <w:rFonts w:ascii="宋体" w:hAnsi="宋体" w:eastAsia="宋体" w:cs="宋体"/>
                <w:b w:val="0"/>
                <w:bCs w:val="0"/>
                <w:color w:val="000000"/>
                <w:sz w:val="24"/>
                <w:szCs w:val="24"/>
                <w:highlight w:val="none"/>
              </w:rPr>
              <w:t xml:space="preserve">4K升级选件</w:t>
            </w:r>
            <w:r>
              <w:rPr>
                <w:rFonts w:ascii="宋体" w:hAnsi="宋体" w:eastAsia="宋体" w:cs="宋体"/>
                <w:color w:val="000000"/>
                <w:sz w:val="24"/>
                <w:szCs w:val="24"/>
                <w:highlight w:val="none"/>
              </w:rPr>
              <w:t xml:space="preserve">，升级后</w:t>
            </w:r>
            <w:r>
              <w:rPr>
                <w:rFonts w:hint="eastAsia" w:ascii="宋体" w:hAnsi="宋体" w:eastAsia="宋体" w:cs="宋体"/>
                <w:color w:val="000000"/>
                <w:sz w:val="24"/>
                <w:szCs w:val="24"/>
                <w:highlight w:val="none"/>
                <w:lang w:val="en-US" w:eastAsia="zh-CN"/>
              </w:rPr>
              <w:t xml:space="preserve">满足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（5）内置CC滤镜和电子ND滤镜（ND档位不少于4档）；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（6）支持RJ45网络传输，便于CCU端和摄像机端交互其他类型的信号；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ascii="宋体" w:hAnsi="宋体" w:eastAsia="宋体" w:cs="宋体"/>
                <w:color w:val="000000"/>
                <w:sz w:val="24"/>
                <w:szCs w:val="24"/>
                <w:highlight w:val="none"/>
              </w:rPr>
              <w:t xml:space="preserve">具备不少于2路SDI接口</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（8）机头具备一路XLR 5芯内部通话接口；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（9）机头支持两路XLR 3芯音频输入；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（10）支持复合光纤传输，接口采用符合 SMPTE304M标准的推拉自锁混合光纤连接器；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（11）配有V口电池安装背板，可用于摄像机供电或加挂第三方配套设备。</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2.4K摄像机基站单元：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（1）机架式基站，可以输出4K、HD基带信号，与摄像机采用SMPTE光纤连接，接口采用符合SMPTE304M标准的推拉自锁混合光纤连接器；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（2）支持1080 50P/59.94P/50I等高清格式的拍摄，支持2160 50P/59.94P/50I等UHD格式的拍摄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可</w:t>
            </w:r>
            <w:r>
              <w:rPr>
                <w:rStyle w:val="949"/>
                <w:rFonts w:hint="eastAsia" w:ascii="宋体" w:hAnsi="宋体" w:eastAsia="宋体" w:cs="宋体"/>
                <w:b w:val="0"/>
                <w:bCs w:val="0"/>
                <w:color w:val="000000"/>
                <w:sz w:val="24"/>
                <w:szCs w:val="24"/>
                <w:highlight w:val="none"/>
                <w:lang w:val="en-US" w:eastAsia="zh-CN"/>
              </w:rPr>
              <w:t xml:space="preserve">配置</w:t>
            </w:r>
            <w:r>
              <w:rPr>
                <w:rStyle w:val="949"/>
                <w:rFonts w:ascii="宋体" w:hAnsi="宋体" w:eastAsia="宋体" w:cs="宋体"/>
                <w:b w:val="0"/>
                <w:bCs w:val="0"/>
                <w:color w:val="000000"/>
                <w:sz w:val="24"/>
                <w:szCs w:val="24"/>
                <w:highlight w:val="none"/>
              </w:rPr>
              <w:t xml:space="preserve">4K升级选件</w:t>
            </w:r>
            <w:r>
              <w:rPr>
                <w:rFonts w:ascii="宋体" w:hAnsi="宋体" w:eastAsia="宋体" w:cs="宋体"/>
                <w:color w:val="000000"/>
                <w:sz w:val="24"/>
                <w:szCs w:val="24"/>
                <w:highlight w:val="none"/>
              </w:rPr>
              <w:t xml:space="preserve">，升级后</w:t>
            </w:r>
            <w:r>
              <w:rPr>
                <w:rFonts w:hint="eastAsia" w:ascii="宋体" w:hAnsi="宋体" w:eastAsia="宋体" w:cs="宋体"/>
                <w:color w:val="000000"/>
                <w:sz w:val="24"/>
                <w:szCs w:val="24"/>
                <w:highlight w:val="none"/>
                <w:lang w:val="en-US" w:eastAsia="zh-CN"/>
              </w:rPr>
              <w:t xml:space="preserve">满足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color w:val="000000"/>
                <w:sz w:val="24"/>
                <w:szCs w:val="24"/>
                <w:highlight w:val="none"/>
              </w:rPr>
              <w:t xml:space="preserve">具备</w:t>
            </w:r>
            <w:r>
              <w:rPr>
                <w:rFonts w:hint="eastAsia" w:ascii="宋体" w:hAnsi="宋体" w:eastAsia="宋体" w:cs="宋体"/>
                <w:color w:val="000000"/>
                <w:sz w:val="24"/>
                <w:szCs w:val="24"/>
                <w:highlight w:val="none"/>
                <w:lang w:val="en-US" w:eastAsia="zh-CN"/>
              </w:rPr>
              <w:t xml:space="preserve">四</w:t>
            </w:r>
            <w:r>
              <w:rPr>
                <w:rFonts w:ascii="宋体" w:hAnsi="宋体" w:eastAsia="宋体" w:cs="宋体"/>
                <w:color w:val="000000"/>
                <w:sz w:val="24"/>
                <w:szCs w:val="24"/>
                <w:highlight w:val="none"/>
              </w:rPr>
              <w:t xml:space="preserve">路3G-SDI接口</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color w:val="000000"/>
                <w:sz w:val="24"/>
                <w:szCs w:val="24"/>
                <w:highlight w:val="none"/>
              </w:rPr>
              <w:t xml:space="preserve">4K信号可通过12G-SDI单链路或4路3G-SDI输出</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（5）具备两路3G-SDI输出接口；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（6）具备一个字符/同步输出接口；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（7）具备两路XLR 3芯音频输出接口；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（8）前面板配备控制面板，可单独对Iris、Paint等摄像机参数进行控制。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3.4K摄像机遥控面板：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（1）全功能摄像机遥控面板；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（2）要求有网络接口，支持网络连接遥控，具备液晶触摸屏，可通过触摸屏对摄像机菜单及参数进行快速、直观的调整；</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（3）遥控面板采用推杆式光圈控制方式，配备遥控面板与基站之间的专用连接线，距离≥10米，</w:t>
            </w:r>
            <w:r>
              <w:rPr>
                <w:rFonts w:ascii="宋体" w:hAnsi="宋体" w:eastAsia="宋体" w:cs="宋体"/>
                <w:color w:val="000000"/>
                <w:sz w:val="24"/>
                <w:szCs w:val="24"/>
                <w:highlight w:val="none"/>
              </w:rPr>
              <w:t xml:space="preserve">具备色彩调整功能</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4.4K摄像机彩色大寻像器：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（1）提供摄像机用LCD或OLED彩色寻像器，其尺寸应不小于7英寸；</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（2）全高清面板，分辨率</w:t>
            </w:r>
            <w:r>
              <w:rPr>
                <w:rFonts w:hint="eastAsia" w:ascii="宋体" w:hAnsi="宋体" w:eastAsia="宋体" w:cs="宋体"/>
                <w:color w:val="000000"/>
                <w:sz w:val="24"/>
                <w:szCs w:val="24"/>
                <w:highlight w:val="none"/>
                <w:lang w:val="en-US" w:eastAsia="zh-CN"/>
              </w:rPr>
              <w:t xml:space="preserve">达到</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92</w:t>
            </w:r>
            <w:r>
              <w:rPr>
                <w:rFonts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108</w:t>
            </w:r>
            <w:r>
              <w:rPr>
                <w:rFonts w:ascii="宋体" w:hAnsi="宋体" w:eastAsia="宋体" w:cs="宋体"/>
                <w:color w:val="000000"/>
                <w:sz w:val="24"/>
                <w:szCs w:val="24"/>
                <w:highlight w:val="none"/>
              </w:rPr>
              <w:t xml:space="preserve">0</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color w:val="000000"/>
                <w:sz w:val="24"/>
                <w:szCs w:val="24"/>
                <w:highlight w:val="none"/>
              </w:rPr>
              <w:t xml:space="preserve">高对比度（不低于</w:t>
            </w: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00:1）；支持波形/矢量显示功能（或配合CCU实现）；配备遮光罩及专用连接电缆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5.4K摄像机托板：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（1）摄像机配套托板；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（2）承重：不低于8KG；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（3）铝合金材质。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6.4K摄像机控制线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（1）与高清摄像机遥控面板配套使用；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（2）长度10米。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7.4K摄像机机头单元、4K摄像机基站单元、4K摄像机遥控面板、4K摄像机彩色大寻像器需配套使用。</w:t>
            </w:r>
            <w:r>
              <w:rPr>
                <w:rFonts w:ascii="宋体" w:hAnsi="宋体" w:eastAsia="宋体" w:cs="宋体"/>
                <w:bCs/>
                <w:color w:val="000000"/>
                <w:sz w:val="24"/>
                <w:szCs w:val="24"/>
                <w:highlight w:val="none"/>
                <w:lang w:val="en-US" w:eastAsia="zh-CN"/>
              </w:rPr>
            </w:r>
            <w:r/>
          </w:p>
        </w:tc>
      </w:tr>
      <w:tr>
        <w:trPr>
          <w:trHeight w:val="985"/>
        </w:trPr>
        <w:tc>
          <w:tcPr>
            <w:tcW w:w="66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便携式标准镜头1</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1.4K广播级便携式标准镜头，全伺服型，放大倍率≥18倍，广角端焦距≤7.6mm；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2.带倍率，不小于2倍扩展，最小物距：≤0.6m，与摄像机B4卡口匹配,</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3.2/3英寸型摄像机镜头，镜片需采用镀膜加工，防潮，防发霉，带16比特数字编码器，具备内聚焦，快速变焦，原厂UV；</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4.变焦控制部分满足全伺服套件使用，采用电控伺服变焦，包含12Pin插头，变焦控制器，标配安装夹具，具备ZOOM S-F档位调节，支持并具有摄像机返送按键、REC录制橡胶按键；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5.电动对焦手柄与带12针远程连接器的广播ENG镜头兼容。旋转角度为 720°（2 圈）。工作灵活，可切换旋转方向。手柄经过涂层处理，可安全操作；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6.各类夹具配齐。</w:t>
            </w:r>
            <w:r>
              <w:rPr>
                <w:rFonts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便携式标准镜头2</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1.4K广播级便携式广角镜头，全伺服型，放大倍率≥18倍，广角端焦距≤5.5mm；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2.带倍率，不小于2倍扩展，最小物距：≤0.4m，与摄像机B4卡口匹配；</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3.2/3英寸型摄像机镜头，镜片需采用镀膜加工，防潮，防发霉，带16比特数字编码器，具备内聚焦，快速变焦，原厂UV；</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4.变焦控制部分满足全伺服套件使用，采用电控伺服变焦，包含12Pin插头，变焦控制器，标配安装夹具，具备ZOOM S-F档位调节，支持并具有摄像机返送按键、REC录制橡胶按键；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5.电动对焦手柄与带12针远程连接器的广播ENG镜头兼容。旋转角度为 720°（2 圈）。工作灵活，可切换旋转方向。手柄经过涂层处理，可安全操作；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6.各类夹具配齐。</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摄像机光缆</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1.摄像机光学电缆，符合SMPTE 311M2009版标准；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2.外层由PVC包裹，具有高度可靠性、防水性、防尘性和耐腐蚀性、EMI屏蔽、低插拔力等；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3.长度≥80米；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4.接口采用符合SMPTE304M标准的推拉自锁混合光纤连接器。</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摄像机承托设备</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1.三脚架云台套装（含双手柄）；</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2.云台承重不小于25Kg；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3.云台自重不超过4.5Kg；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4.三脚架自重不超过5Kg；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5.云台高度不超过220mm；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6.球碗直径不小于100mm；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7.动态平衡不少于4档；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8.平衡托板滑动范围不小于160mm；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9.水平及俯仰阻尼档位不少于8档（含0档）；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10.支持夜视水平气泡；</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11.俯仰范围+90°-70°；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12.摄像机滑板滑槽长度范围不小于160mm；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13.摄像机托板固定；</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14.重型碳纤三脚架；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15.承重不少于60Kg；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16.最低工作高度不超过700mm；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17.最高工作高度不少于1600mm；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18.含云台的携带高度不超过1000mm；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19.配备双伸缩手柄，地板延伸器；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20.配备防雨帆布，内衬海棉，便携包、说明书。</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脚轮</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1.三脚架脚轮要求带刹车、方向锁、电缆防压护套，可折叠可定向，承重不小于100Kg；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2.具备橡胶马蹄扣，能与采购的三脚架适配使用。</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广电专业接口箱</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1.综合演播室内设置广电专业接口箱，内含4个接口采用符合SMPTE304M标准的推拉自锁混合光纤连接器，1个86面板，8个D型接口；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所投接口采用符合SMPTE304M标准的推拉自锁混合光纤连接器，产品应为广播级面板安装式光纤插座，支持高清光纤信号传输，适用于光纤系统中的终端面板或设备接入，具备高性能、易维护的结构设计，长度根据接口箱位置至CCU距离，据实布放；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3.光学性能要求：插入损耗：不大于0.5 dB；回波损耗：不小于45 dB（测试波长为1.3μm）；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结构及材料要求：中心对准套筒应为可拆卸式结构，便于现场维护和清洁；插孔本体结构材质应为不锈钢，确保耐腐蚀性和稳定性；插座应配套提供绝缘隔板或具备电气绝缘能力，防止误接与短路风险；可搭配防尘帽、清洁工具等附件使用，确保光学接头清洁度；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5.安装与适配性要求：所投产品应为面板安装式设计，兼容标准 D型安装孔位或提供对应安装开孔图纸；安装孔位支持4 × M3螺钉或直径为3.2 mm的标准安装孔配置；安装结构应牢固可靠，满足车载、演播室、设备机柜等环境长期使用需求；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6.兼容性与应用要求：所投产品应与现有光纤连接系统兼容，适用于广播车、终端箱体、机架面板等场景；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7.物理尺寸与适配性：8个D型接口面板安装尺寸应为约31mm×26mm，采用行业通用D型标准接口开孔布局； 预留一个86面板空位；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8.详见图纸要求（见附件）。</w:t>
            </w:r>
            <w:r>
              <w:rPr>
                <w:rFonts w:hint="eastAsia" w:ascii="宋体" w:hAnsi="宋体" w:eastAsia="宋体" w:cs="宋体"/>
                <w:bCs/>
                <w:color w:val="000000"/>
                <w:sz w:val="24"/>
                <w:szCs w:val="24"/>
                <w:highlight w:val="none"/>
                <w:lang w:val="en-US" w:eastAsia="zh-CN"/>
              </w:rPr>
            </w:r>
            <w:r/>
          </w:p>
        </w:tc>
      </w:tr>
      <w:tr>
        <w:trPr>
          <w:trHeight w:val="153"/>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室内LED显示屏控制台</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▲1.全链路4K一体化视频控台。输入通道：4路HDMI2.0接</w:t>
            </w:r>
            <w:r>
              <w:rPr>
                <w:rFonts w:hint="eastAsia" w:ascii="宋体" w:hAnsi="宋体" w:eastAsia="宋体" w:cs="宋体"/>
                <w:bCs/>
                <w:color w:val="000000"/>
                <w:sz w:val="24"/>
                <w:szCs w:val="24"/>
                <w:highlight w:val="none"/>
                <w:lang w:val="en-US" w:eastAsia="zh-CN"/>
              </w:rPr>
              <w:t xml:space="preserve">口+12路12G-SDI接口；HDMI输入通道具有EDID管理功能，最大支持4K×2K@60Hz 8bit 4:4:4 格式输入源，支持 4:4:4，4:2:2，4:2:0 格式视频输入，用户可自定义输入分辨率，最大水平分辨率4096、最大垂直分辨率4096，支持HDCP 2.2，向下兼容； 12G-SDI输入通道最大支持4K×2K@60Hz 10bit 4:2:2 格式输入源，兼容HD-SDI、3G-SDI、6G-SDI输入（签订合同时提供白皮书、彩页、手册、网站截图、第三方检测报告等至少一种证明材料）；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2.输出通道：主输出：2路HDMI2.0输出接口；最大支持4K×2K@60Hz 8bit 4:4:4 格式，用户可自定义输入分辨率，最大水平分辨率4096、最大垂直分辨率4096；2路复制12G-SDI输出接口，兼容HD-SDI、3G-SDI、6G-SDI；</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预监输出：支持1路HDMI2.0+1路12G SDI的预监输出，输出分辨率最大支持4K×2K@60Hz 8bit 4:4:4 ，支持复制和独立模式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编组输出：4路HDMI2.0接口+4路12G-SDI接口：最大支持4K×2K@60Hz 8bit 4:4:4 格式输出，支持输出输入源、PVW、PGM、预监和净信号；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3.主机自带不小于10英寸液晶显示屏，无需外接显示器即可监视输入/输出及各预设的实时画面；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4.支持虚拟输出，可虚拟输出LED大屏幕点数，方便进行点对点的开窗及布局，无需进行画面比例换算，支持UHD、FHD 及自定义分辨率切换；支持将多路输入源组合为单一输入源，最多包含1 路背景画面及4路前景画面；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5.具备图层调整能力，包括位置及尺寸、源截取、抠图、遮罩、边框、阴影、色彩调节等；允许用户自定义图层的所有属性，并将这些个性化设置保存为场景。内置多种视频转场效果，包括MIX，DIP，WIPE 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6.支持按钮、旋钮、T-bar、摇杆和液晶菜单等多种控制方式 ，不少于80个按键、12个旋钮及1个T-bar实体控制；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7.音频接口：支持2路XLR音频输入、2路XLR音频输出、1路双声道监听输出、2路DANTE数字音频接口，互为备份，用于数字音频输入输出；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8.控制接口：具备USB3.0接口≥2，支持外接控制、素材导入导出及固件升级，支持UVC视频捕获协议；具备1路LTC 输入接口，支持外源时码输入；具备1路LTC 输出接口，支持时码环出或主动输出；具备GENLOCK同步输入*1，支持外同步（Bi-Level 和Tri-Level），具备Genlock同步输出*1，支持同步信号环出或主动同步输出，Genlock帧频范围</w:t>
            </w:r>
            <w:r>
              <w:rPr>
                <w:rFonts w:hint="eastAsia" w:ascii="宋体" w:hAnsi="宋体" w:eastAsia="宋体" w:cs="宋体"/>
                <w:bCs/>
                <w:i w:val="0"/>
                <w:iCs w:val="0"/>
                <w:caps w:val="0"/>
                <w:color w:val="000000"/>
                <w:spacing w:val="0"/>
                <w:sz w:val="24"/>
                <w:szCs w:val="24"/>
                <w:highlight w:val="none"/>
                <w:shd w:val="clear" w:color="auto" w:fill="auto"/>
              </w:rPr>
              <w:t xml:space="preserve">等同或者优于</w:t>
            </w:r>
            <w:r>
              <w:rPr>
                <w:rFonts w:hint="eastAsia" w:ascii="宋体" w:hAnsi="宋体" w:eastAsia="宋体" w:cs="宋体"/>
                <w:bCs/>
                <w:color w:val="000000"/>
                <w:sz w:val="24"/>
                <w:szCs w:val="24"/>
                <w:highlight w:val="none"/>
                <w:lang w:val="en-US" w:eastAsia="zh-CN"/>
              </w:rPr>
              <w:t xml:space="preserve">30Hz~60Hz；具备千兆网口≥2：支持云台控制，支持 TSL协议TALLY互通；</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9.场景功能：支持最多保存20 个场景，包含图层和音频参数，支持快速切换不同场景。</w:t>
            </w:r>
            <w:r>
              <w:rPr>
                <w:rFonts w:hint="eastAsia" w:ascii="宋体" w:hAnsi="宋体" w:eastAsia="宋体" w:cs="宋体"/>
                <w:bCs/>
                <w:color w:val="000000"/>
                <w:sz w:val="24"/>
                <w:szCs w:val="24"/>
                <w:highlight w:val="none"/>
                <w:lang w:val="en-US" w:eastAsia="zh-CN"/>
              </w:rPr>
            </w:r>
            <w:r/>
          </w:p>
        </w:tc>
      </w:tr>
      <w:tr>
        <w:trPr>
          <w:trHeight w:val="2431"/>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媒体控制器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1.时间线管理：可任意添加时间线；各时间线可任意添加图层，无数量限制；图层中可添加素材、片段、播控指令，同时可为素材添加各种效果；支持无极缩放时间线；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节目管理：可任意添加节目管理页，节目管理中可无限添加节目窗口，窗口大小无限制，可在节目中添加素材、时间线、控制指令、特效、标签等多种内容；时间线及节目管理配合使用，可同时播放多个素材，轻松编辑复杂的节目流程；</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多种素材：可导入视频、音频、图片，支持采集画面，可将采集卡采集到的画面添加为素材并播放；支持NDI网络屏幕，可获取局域网内其他设备发送的NDI采集画面；可添加计时器，可添加时钟；可添加文本并编辑多种字幕效果；支持以图片模式或动画模式播放PPT，并可以使用翻页器或快捷键对PPT进行控制。支持导入整个文件夹；可在素材列表中对素材进行快捷转码；支持添加网络图片；支持添加网络流；支持添加网页；支持添加媒体合集；支持添加纯色素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表面：在显示管理中可添加矩形表面与多边形表面，支持快速批量添加表面，可根据大屏实际箱体尺寸创建表面，让异形屏效果编辑变得简单便捷。表面可对画面进行任意截取，截取内容可编辑各种缩放、旋转、变形效果，并传输给屏幕呈现画面，实现摄像拼接、特写、直播截取、异形屏播放等多种需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5.映射布局：在屏幕中可添加切片，通过输入切片和输出切片快速实现媒体一对多映射，减少窗口数量，并更自由地编排媒体画面的显示位置；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6.声光电一体控制：软件包含输入控制、输出控制、时间码功能，可接收、发送各种控制指令，控制投影机、各类机械设备，对接MIDI、DMX512等各种控台，实现声光电一体化控制；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7.输入控制：包含普通控制、DMX512、MIDI控制器、传感器输入等控制模式，可接收DMX512、MIDI、网络、串口等各种协议的控制信号，可接收对应控制，实现通过控台实时编辑节目等效果；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8.输出控制：可发送协议指令、DMX512指令、控台切换、MIDI等输出控制指令，对投影机、机械设备、控台、服务器等进行集中控制；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9.时间码：软件可生成、接收、发送MTC与LTC，实现多设备间的同步；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10.多声卡输出：支持多声卡音频输出，通过虚拟声卡功能，能够将多个声卡设备组合，实现音频同时从多个声卡设备输出的效果；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11.声道映射：支持5.1声道、7.1声道等多种声道映射模式，可设置不同声道输出，使声音效果更立体；在软件中通过素材属性，可快捷设定素材的发生客户端、输出声道。声道映射对应关系可快速复用，高效编辑；</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12.导出节目单：导出节目单功能，可以将节目管理中的内容生成为Excel节目单， 能够直观看到节目播放安排；</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13.可支持HVC编码格式，单个视频分辨率上限16384x16384，支持透明通道，YUV 420/422/444，支持无损压缩，预览服务器支持不低于8路7680 x 4320@60Hz的实时全帧率预览，播放服务器支持不低于2路7680 x 4320@60Hz的输出，节目切换/画面跳转响应时间&lt;50毫秒。同时支持H.264、H.265编码格式的视频硬解码，H.264编码格式单个视频分辨率上限4096x4096，H.265编码格式单个视频分辨率上限8192x8192；</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14.硬盘空间：不低于1TB M2固态；</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15.内存：不低于32GB DDR4；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16.不少于4路DP输出，单通道最大分辨率不低于7680*4320@60Hz；不少于2路Hdmi+2路DVI输入。</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切换台</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1.主机部分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▲（1）采用FPGA架构，具备动态划像、特效、键转换、动态图形处理等常用功能（签订合同时提供白皮书、彩页、手册、网站截图、第三方检测报告等至少一种证明材料）；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（2）不少于1M/E超高清制作，可在4K超高清/高清模式下进行节目制作；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（3）支持不小于12路12G-SDI输入和12路3G-SDI输入，6路12G-SDI输出和6路3G-SDI输出；主机具备可扩展插槽，可通过选装不同的板卡增加输入输出接口或增加其他功能；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（4）4K工作模式下支持4K HDR信号输入输出，格式为3840×2160/50p，BT.2020；HD工作模式下支持HD SDR信号输入输出，格式为1920×1080/50i，BT.709；</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（5）4K多画面分割≥1路；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（6）4K模式下标配4个全功能键；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（7）通过IP连接的方式可以连接2个操作面板；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（8）具备快拍、事件、宏存储功能；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（9）采用双电源供电；</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（10）具有TALLY接口，GPI输入输出，数量满足系统规模。</w:t>
            </w:r>
            <w:r>
              <w:rPr>
                <w:rFonts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2.面板部分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（1）不少于1M/E切换台控制面板，不少于16个直切键，有翻页功能，可对视频信号进行选择；每个直切键具备显示交叉点编号、源显示名称和宏名称功能；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（2）控制面板每M/E能够快速访问划像图案、事件记忆等功能；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（3）具有OLED提示窗, 支持DME、Resizer控制、设备控制、关键帧控制等；</w:t>
            </w:r>
            <w:r>
              <w:rPr>
                <w:rFonts w:hint="eastAsia" w:ascii="宋体" w:hAnsi="宋体" w:eastAsia="宋体" w:cs="宋体"/>
                <w:bCs/>
                <w:color w:val="000000"/>
                <w:sz w:val="24"/>
                <w:szCs w:val="24"/>
                <w:highlight w:val="none"/>
                <w:lang w:val="en-US" w:eastAsia="zh-CN"/>
              </w:rPr>
            </w:r>
            <w:r/>
          </w:p>
          <w:p>
            <w:pPr>
              <w:pStyle w:val="877"/>
              <w:jc w:val="left"/>
              <w:spacing w:line="264"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（4）源名显示支持字符OLED显示, 可显示双重源名, 具有独立彩色提示灯和彩色交叉点双重提示, 彩色交叉点按键，支持源名分组。</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Times New Roman"/>
                <w:bCs w:val="0"/>
                <w:color w:val="000000"/>
                <w:sz w:val="24"/>
                <w:szCs w:val="24"/>
                <w:highlight w:val="none"/>
              </w:rPr>
              <w:t xml:space="preserve">投标人所投切换台实现全部技术参数所需的主机、操作面板、I/O 板卡、特技处理板、电源模块、软件许可授权等全部原厂配件均应包含在投标配置中</w:t>
            </w:r>
            <w:r>
              <w:rPr>
                <w:rFonts w:hint="eastAsia" w:cs="Times New Roman"/>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tc>
      </w:tr>
      <w:tr>
        <w:trPr>
          <w:trHeight w:val="323"/>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在线包装字幕机</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1.字幕机功能：可快速给视频添加一个文本说明或滚动字幕，内置标题与字幕模板；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2.网络流获取功能：支持NDI\SRT TMP TSP；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3.录制功能：支持本地录制MP4文件；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4.简易虚拟制作功能：内置色键器，支持1路色键抠像；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5.支持创建自定义静态标题和动画代码；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6.支持创建自定义动画标题并从Photoshop导入图层；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7.字幕转场支持Cut、Fade、Zoom、Wipe、Slide、Fly、CrossZoom、FlyRotate、Cube、CubeZoom、Vertical Wipe、Vertical Slide 和 Merge 等；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8.内置不低于100个字幕模板；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9.支持不低于4层下游键；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10.支持3D简单的三维文本对象处理，可以通过更改填充设置来应用纹理；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11.可利用Excel表格批量管理字幕条；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12.支持导入TGA\PNG等通道文件；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13.接口不低于4个12G-SDI，可定义输出或输入；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14.内置板卡具备色键功能。</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12G数字视频帧同步模块</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1.插卡式，与周边机箱配套使用；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2.含12G帧同步器功能，1路12-SDI输入；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3.1路模拟同步参考输入；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4.4路HD/SD-SDI输出；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5.具备OSD菜单显示，相位可调；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6.可在SD、HD和2160p60的Ultra HD格式间自动切换。</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12G分配模块</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1.插卡式，与周边机箱配套使用；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2.12G-SDI视频分配器，可设定为1分8或双1分4；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3.带输入输出均衡；</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4.对于非视频格式，可设置为旁通；</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5.支持有源电子元器件均支持带电热插拔，并配有各自独立的接口备板；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6.可在SD、HD和最高可达2160p60的Ultra HD格式间自动切换。</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交叉变换器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1.可实时处理SD、HD和Ultra HD的广播级格式转换器，可提供无缝转换；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2.提供≥1089种具备10bit高品质SD、HD和Ultra HD上、下、格式转换；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3.可获得高质量去隔行处理、降噪功能、下拉变换自动检测、移除以及编辑后素材的校正；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4.可调画幅尺寸设定和宽高比变换；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5.所有处理全面支持时间码以及多通道音频转换；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6.机架式。</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通话主站</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1.内通通话基站支持≥4个通道；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2.需内置扬声器；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3.具有可编程按键，可使所有话筒静音、发送催场广播或触发逻辑输出等功能操作；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4.内置≥4口千兆交换机，其中2口支持PoE+供电，每端口30W；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5.具备GPI输入和输出接口；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6.具备≥2个模拟输入和2个模拟输出接口；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7.拥有在线和离线配置软件；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8.防护等级 IP54；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9.彩色显示屏不低于3个；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10.2个公共广播输出，2个节目信号输入；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11.耳机输出阻抗：不高于27Ohm ，输出电平不低于 + 18.5dBu（max）；</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12.机架式；</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13.拥有在线和离线配置软件。</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有线通话腰包</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1.即插即用、支持PoE或XLR基站供电；</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2.支持以菊花链方式连接腰包；</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3.支持无主站设计；</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4.支持行业标准耳机（4 针）；</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5.适用于任何网络交换机；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6.2个可配置的通道。</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四线混合分配器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1.模块化的4线接口可将摄像通话，双向无线电，光纤线路和其他4线设备同标准通话系统连接；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2.1-RU机箱最多可容纳4个独立的接口，每一个都有自己的4线接线端子和XLR - 3M接口通话系统连接。</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鹅颈话筒</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1.鹅颈话筒（配套通话主站）；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2.换能方式：电容式；</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3.指向特性：心型指向，减少周围环境噪音干扰；</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4.频率响应： 50Hz-16KHz；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5.灵敏度：不低于- 47dB@1KHz；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6.供电方式：支持幻象电源供电。</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专业监视器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1.23.8寸LCD屏， 3840×2160 UHD分辨率；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2.1000nits高亮LED背光；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3.4x12G-SDI，支持8K监看，HDMI2.0；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4.HLG/PQ/S-log3 HDR监看；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5.12GSDI / HDMI混合四画面监看；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6.四链路4K/8K支持SQD四画分模式及2SI交织模式；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7.一路信号复制多窗口同时显示HDR/SDR；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8.支持色域图显示；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9.支持矢量图/直方图；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10.支持伪彩色/斑马纹功能；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w:t>
            </w:r>
            <w:r>
              <w:rPr>
                <w:rFonts w:ascii="宋体" w:hAnsi="宋体" w:eastAsia="宋体" w:cs="宋体"/>
                <w:color w:val="000000"/>
                <w:sz w:val="24"/>
                <w:szCs w:val="24"/>
                <w:highlight w:val="none"/>
              </w:rPr>
              <w:t xml:space="preserve">内置3DLUT校色，支持全自动校色</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12.内置多款摄像机Delog SDR/HDR表；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ascii="宋体" w:hAnsi="宋体" w:eastAsia="宋体" w:cs="宋体"/>
                <w:color w:val="000000"/>
                <w:sz w:val="24"/>
                <w:szCs w:val="24"/>
                <w:highlight w:val="none"/>
              </w:rPr>
              <w:t xml:space="preserve">SFP插槽，支持选配光模块实现光纤传输12GSDI输入；</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w:t>
            </w:r>
            <w:r>
              <w:rPr>
                <w:rFonts w:ascii="宋体" w:hAnsi="宋体" w:eastAsia="宋体" w:cs="宋体"/>
                <w:color w:val="000000"/>
                <w:sz w:val="24"/>
                <w:szCs w:val="24"/>
                <w:highlight w:val="none"/>
              </w:rPr>
              <w:t xml:space="preserve">SFP插槽，支持选配光模块实现ST2110 IP输入</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15.支持IP Webserver网页控制。 </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编码器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1.桌面便携型，9-13英寸触摸屏，提供WEB和APP全功能管理操控；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2.视频输入不少于3路HDMI和3路SDI，输入端口格式自适应；不少于1路UVC输入，支持摄像头/ 电脑画面；设备能通过网络拉流输入；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3.具备 PGM 主输出：HDMI+SDI双路同时输出；PVW 预监：≥1 路 HDMI；多画面分割输出，支持画中画、多画面分割、LOGO 字幕叠加、多种转场特效；</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4.可独立控制，调整每路输入视频源的音频跟随与混音；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5.切换方式：具备物理按键（不低于12个）、CUT硬切、AUTO TAKE淡入淡出、T-Bar推杆；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6.网络：至少一个RJ45口（千兆）、一路无线双频Wi Fi（有设置为热点功能）和一路5G全网通插槽，支持有线/无线网络聚合；支持聚合路由功能，能通过2个网口和wifi对外提供稳定聚合网络，可以指定所链接到任意5G/4G和聚合网络分享为Wi-Fi热点；</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7.音频输入：卡农接口输入不低于2路；音频输出：3.5mm耳机口不低于2路、内嵌 SDI/HDMI 音频；内置扬音器；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8.编码格式：视频压缩格式：H.264、H.265（HEVC）双编码；音频压缩标准：AAC；录像视频格式：MP4；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9.网络协议支持 RTMP/RTMPS、SRT、RTSP、HLS，编码推流≧ 2 路多平台并发推流，使用H.264/H.265，帧率可调，码率500kbps–12Mbps可调，支持 TF卡录制，最大支持2TB容量，格式 MP4；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10.支持延迟30S-30分钟延迟播出，现场有事故情况下可以切换垫片和现场画面覆盖事故内容。</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TALLY控制系统</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1.适合任何提供并口Tally输出的切换台、播控台和矩阵系列，兼容USB Tally；</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2.Tally输入提供双备份功能；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3.支持继电器闭合开关输出，可实现切换台到监视器、画分及CCU的电平转换功能；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4.内置二选一面板；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5.输出端可以设置多种模式，包括正向或反向输出；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6.并口输入转串口TSL3.1输出及串口TSL3.1输入转并口输出协议转换；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7.具备Tally源加密；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8.支持GPI输入再分配，支持并联输出CCU，不低于2个GPI定义，支持PGM\PVW红黄（绿）定义；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9.支持网线串联叠加扩展；</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10.通过电脑设置修改TSL地址及显示字符；</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11.配置外置充电Tally灯6个，铝合金外壳，物理ID旋钮，可换编号 Tally 灯罩，Type-c充电接口；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12.能与切换台（产品清单10）、专业监视器（产品清单19）、编码器（产品清单20）搭配使用。</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HDMI转3G-SDI</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1.3G/HD/SD 上/下/交叉转换；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2.Audio/HDMI/SDI/VGA 输入；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3.3G/HD/SD SDI 和 HDMI 输出；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4.支持音频输入：Analog Audio L/R，stereo audio；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5.支持标清和高清相互转换；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6.广电级稳定性，金属外壳便携设计。</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12G光通联设备</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1.自动识别12G-SDI/6G-SDI/3G-SDI/HD-SDI/SDI/ASI输入，无须手动选择；</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2.双开关电源设计，电压范围宽，电源系统长久可靠工作；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3.自动适应SDI 143M，177M，270M，360M，540M，1483.5M，1485M，2970M，5940M，11.88Gbps速率；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4.符合SMPTE ST 2082-1(12G UHD-SDI)，ST 2081-1(6G UHD-SDI)，SMPTE424M，SMPTE292M，SMPTE259M，SMPTE297M，SMPTE305M，SMPTE310M标准、符合DVB-ASI(EN50083-9)标准 ；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5.双向传输1路速率为11.88GMbps 12G-SDI，5940Mbps 6G-SDI超高清视频信号，并向下兼容143M，177M，270M，360M，540M，1483.5M，1485M，2970Mbps速率的SDI高清视频信号，并完全兼容DVB-ASI数字码流信号；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6.含光通联控制及监测软件；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7.机架式；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8.支持时钟恢复，与导播台、矩阵等设备的帧同步功能；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9.画面延时不高于10ms。</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多格式输入输出矩阵</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1.配备至少16路输入输出；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2.并支持几乎所有SD、HD和Ultra HD视频格式；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3.在一台矩阵上同时实现多格式支持；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4.在多个相同格式的视频之间进行切换时，可在匹配同步帧率的多个格式之间进行切换；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5.矩阵的前面板以金属设计；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6.可通过按钮和旋钮实现矩阵控制；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7.LCD用于显示矩阵控制和提供视频监看；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8.可通过以太网实现远程控制；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9.支持12G-SDI，4K50P制作。</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16键单母线控制面板</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1.配有16个可指派按钮，带滚轮控制；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2.可快速选择源设备和目标设备；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3.断电保护；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4.电源重新连接后可立即恢复之前保留的按钮配置及矩阵各路连接；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5.按钮配置还可保存用于以后调用；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6.与多格式输入输出矩阵配套使用。</w:t>
            </w:r>
            <w:r>
              <w:rPr>
                <w:rFonts w:hint="eastAsia" w:ascii="宋体" w:hAnsi="宋体" w:eastAsia="宋体" w:cs="宋体"/>
                <w:bCs/>
                <w:color w:val="000000"/>
                <w:sz w:val="24"/>
                <w:szCs w:val="24"/>
                <w:highlight w:val="none"/>
                <w:lang w:val="en-US" w:eastAsia="zh-CN"/>
              </w:rPr>
            </w:r>
            <w:r/>
          </w:p>
        </w:tc>
      </w:tr>
      <w:tr>
        <w:trPr>
          <w:trHeight w:val="90"/>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机架式双通道硬盘录像机</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★1.自带≥2个热插拔的SSD槽位，支持录制到SSD中，支持交替方式不间断录制，需配置4块配套4T SSD专用硬盘（签订合同时提供白皮书、彩页、手册、网站截图、第三方检测报告等至少一种证明材料）；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▲2.支持SSD+NAS双写的4K硬盘录像机，采用嵌入式系统+FPGA架构(非采用PC机+Windows+采集卡架构)，稳定性高，防病毒能力强（签订合同时提供白皮书、彩页、手册、网站截图、第三方检测报告等至少一种证明材料）；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3.设备具备万兆网口（配置SFP+模块），可外接NAS，支持直接录制文件到NAS中或直接播放NAS中的文件；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4.单机支持≥2个4K录制通道或≥4个高清HD录制通道；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5.支持4K ProRes、HD ProRes格式的文件录制和回放；</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6.具有≥2个12G-SDI输入接口，≥4个3G-SDI输入接口，≥2个12G-SDI输出接口和≥1个HDMI输入接口；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7.具有模拟（平衡）音频≥4入4出。≥AES/EBU（非平衡）音频4入4出。≥2声道耳机监听、≥1路REF输入和输出、≥1路LTC输入和输出；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8.录制时支持双写，即一份文件同时录制到SSD+NAS中，互为备份；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9.具备断电保护功能，录制过程中，设备断电，已录制内容仍可正常播放；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10.支持将输入的嵌入、模拟、AES音频加嵌到任意输入视频中进行录制，每个录制通道最多录制16声道音频；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11.主机前面板具有物理控制按键，主机前面板具有液晶屏；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12.冗余电源，双路输入；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13.支持远程通过网络使用电脑控制软件对设备进行配置和控制操作；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14.机架式安装。</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主扩声线阵列扬声器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▲1.最大声压级≥HF：133dB、LF：134dB（签订合同时提供白皮书、彩页、手册、网站截图、第三方检测报告等至少一种证明材料）；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2.频率响应：70Hz~19kHz；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3.灵敏度（1W/1m）：HF：≥110dB/LF：≥104dB；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4.额定功率（AES）：≥HF：75W/LF：300W；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5.低音单元：≥1×10寸；高音单元：≥1×3寸；</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6.覆盖角度（H×V）：≥100º×10º；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7.连接件：</w:t>
            </w:r>
            <w:r>
              <w:rPr>
                <w:rFonts w:ascii="宋体" w:hAnsi="宋体" w:eastAsia="宋体" w:cs="宋体"/>
                <w:color w:val="000000"/>
                <w:sz w:val="24"/>
                <w:szCs w:val="24"/>
                <w:highlight w:val="none"/>
              </w:rPr>
              <w:t xml:space="preserve">2只专业音响面板音箱插座，四芯speakON标准接口</w:t>
            </w:r>
            <w:r>
              <w:rPr>
                <w:rFonts w:hint="eastAsia" w:ascii="宋体" w:hAnsi="宋体" w:eastAsia="宋体" w:cs="宋体"/>
                <w:bCs/>
                <w:color w:val="000000"/>
                <w:sz w:val="24"/>
                <w:szCs w:val="24"/>
                <w:highlight w:val="none"/>
                <w:lang w:val="en-US" w:eastAsia="zh-CN"/>
              </w:rPr>
              <w:t xml:space="preserve">，HF：2+2-/LF：1+1-。</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主扩声线阵次低频扬声器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1.频率响应：30Hz-300Hz；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2.灵敏度（1W/1m）：≤98dB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3.额定功率：≥900W；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4.低音单元：≥18寸；</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5.最大声压级（连续/峰值）：≥132dB；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6.连接件：</w:t>
            </w:r>
            <w:r>
              <w:rPr>
                <w:rFonts w:ascii="宋体" w:hAnsi="宋体" w:eastAsia="宋体" w:cs="宋体"/>
                <w:color w:val="000000"/>
                <w:sz w:val="24"/>
                <w:szCs w:val="24"/>
                <w:highlight w:val="none"/>
              </w:rPr>
              <w:t xml:space="preserve">2只专业音响面板音箱插座，四芯speakON标准接口</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r>
      <w:tr>
        <w:trPr>
          <w:trHeight w:val="164"/>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返听同轴全频扬声器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1.频率响应：75Hz~20kHz；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2.灵敏度（1W/1m）：≥94dB；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3.额定功率（AES）：≥200W；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4.低音单元：≥1×8寸；高音单元：≥1×2寸；</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5.覆盖角度（H×V）：≥80º×80º；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6.最大声压级：≥123dB；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7.连接件：</w:t>
            </w:r>
            <w:r>
              <w:rPr>
                <w:rFonts w:ascii="宋体" w:hAnsi="宋体" w:eastAsia="宋体" w:cs="宋体"/>
                <w:color w:val="000000"/>
                <w:sz w:val="24"/>
                <w:szCs w:val="24"/>
                <w:highlight w:val="none"/>
              </w:rPr>
              <w:t xml:space="preserve">2只专业音响面板音箱插座，四芯speakON标准接口</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超低频扬声器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1.频率响应：30Hz~350Hz；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2.灵敏度（1W/1m）：≤103dB；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3.标称阻抗：4Ω；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4.额定功率（AES）：≥1800W；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5.低音单元：≥2×18〞（4〞音圈）；</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6.最大声压级：≥141dB；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7.连接件：</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只专业音响面板音箱插座，四芯speakON标准接口</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手持无线发射器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1.无线手持发射器；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2.发射功率不少于三挡可调，最大发射功率不低于20mW；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3.具备AES-256加密功能；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4.可兼容AA电池或专用锂电池；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5.超心形电容话筒，频率响应：50Hz-20KHz，灵敏度 (mV/Pa): 2 mV/Pa。</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腰包发射器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1.腰包发射机；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2.发射功率不少于三挡可调，最大发射功率不低于20mW；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3.具备AES-256加密功能；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4.可兼容AA电池或专用锂电池；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5.具备可拆卸天线。</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领夹咪</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1.全指向性褐色领夹话筒，双振膜、预极化电容；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2.具有高耐用性以及防汗水功能；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3.灵敏度（1kHz时）：</w:t>
            </w:r>
            <w:bookmarkStart w:id="62" w:name="OLE_LINK5"/>
            <w:r>
              <w:rPr>
                <w:rFonts w:hint="eastAsia" w:ascii="宋体" w:hAnsi="宋体" w:eastAsia="宋体" w:cs="宋体"/>
                <w:bCs/>
                <w:i w:val="0"/>
                <w:iCs w:val="0"/>
                <w:caps w:val="0"/>
                <w:color w:val="000000"/>
                <w:spacing w:val="0"/>
                <w:sz w:val="24"/>
                <w:szCs w:val="24"/>
                <w:highlight w:val="none"/>
                <w:shd w:val="clear" w:color="auto" w:fill="auto"/>
              </w:rPr>
              <w:t xml:space="preserve">≥</w:t>
            </w:r>
            <w:bookmarkEnd w:id="62"/>
            <w:r>
              <w:rPr>
                <w:rFonts w:hint="eastAsia" w:ascii="宋体" w:hAnsi="宋体" w:eastAsia="宋体" w:cs="宋体"/>
                <w:bCs/>
                <w:color w:val="000000"/>
                <w:sz w:val="24"/>
                <w:szCs w:val="24"/>
                <w:highlight w:val="none"/>
                <w:lang w:val="en-US" w:eastAsia="zh-CN"/>
              </w:rPr>
              <w:t xml:space="preserve">-45.0 dBV (5.62 mV)；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4.频率响应：20Hz-20kHz；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5.与腰包发射器配套使用。</w:t>
            </w:r>
            <w:r>
              <w:rPr>
                <w:rFonts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头戴话筒</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1.不小于IP57防护等级，防水、防汗、防潮湿、防灰尘和防脏污性能；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2.近肤色、全指向性话筒；</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3.灵敏度：</w:t>
            </w:r>
            <w:r>
              <w:rPr>
                <w:rFonts w:hint="eastAsia" w:ascii="宋体" w:hAnsi="宋体" w:eastAsia="宋体" w:cs="宋体"/>
                <w:bCs/>
                <w:i w:val="0"/>
                <w:iCs w:val="0"/>
                <w:caps w:val="0"/>
                <w:color w:val="000000"/>
                <w:spacing w:val="0"/>
                <w:sz w:val="24"/>
                <w:szCs w:val="24"/>
                <w:highlight w:val="none"/>
                <w:shd w:val="clear" w:color="auto" w:fill="auto"/>
              </w:rPr>
              <w:t xml:space="preserve">≥</w:t>
            </w:r>
            <w:r>
              <w:rPr>
                <w:rFonts w:hint="eastAsia" w:ascii="宋体" w:hAnsi="宋体" w:eastAsia="宋体" w:cs="宋体"/>
                <w:bCs/>
                <w:color w:val="000000"/>
                <w:sz w:val="24"/>
                <w:szCs w:val="24"/>
                <w:highlight w:val="none"/>
                <w:lang w:val="en-US" w:eastAsia="zh-CN"/>
              </w:rPr>
              <w:t xml:space="preserve">-42.5 dBV at 1 kHz；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4.频率响应：20Hz-20kHz；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5.与腰包发射器配套使用。</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无线会议底座</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1.具备AES-256加密功能；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2.具备静音按钮，并且可定义按键行为；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3.具备高通滤波、电源锁定设置；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4.延时</w:t>
            </w:r>
            <w:r>
              <w:rPr>
                <w:rFonts w:hint="eastAsia" w:ascii="宋体" w:hAnsi="宋体" w:eastAsia="宋体" w:cs="宋体"/>
                <w:bCs/>
                <w:i w:val="0"/>
                <w:iCs w:val="0"/>
                <w:caps w:val="0"/>
                <w:color w:val="000000"/>
                <w:spacing w:val="0"/>
                <w:sz w:val="24"/>
                <w:szCs w:val="24"/>
                <w:highlight w:val="none"/>
                <w:shd w:val="clear" w:color="auto" w:fill="auto"/>
              </w:rPr>
              <w:t xml:space="preserve">≤</w:t>
            </w:r>
            <w:r>
              <w:rPr>
                <w:rFonts w:hint="eastAsia" w:ascii="宋体" w:hAnsi="宋体" w:eastAsia="宋体" w:cs="宋体"/>
                <w:bCs/>
                <w:color w:val="000000"/>
                <w:sz w:val="24"/>
                <w:szCs w:val="24"/>
                <w:highlight w:val="none"/>
                <w:lang w:val="en-US" w:eastAsia="zh-CN"/>
              </w:rPr>
              <w:t xml:space="preserve">3ms；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5.发射功率不少于3档可调，最大功率不低于20mW；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6.双曲折鹅颈话筒。</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指向性天线</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1.阻抗：50欧；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2.频率范围：≥470-900MHz；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3.与无线话筒自动增益控制天线分配器配套使用。</w:t>
            </w:r>
            <w:r>
              <w:rPr>
                <w:rFonts w:hint="eastAsia" w:ascii="宋体" w:hAnsi="宋体" w:eastAsia="宋体" w:cs="宋体"/>
                <w:bCs/>
                <w:color w:val="000000"/>
                <w:sz w:val="24"/>
                <w:szCs w:val="24"/>
                <w:highlight w:val="none"/>
                <w:lang w:val="en-US" w:eastAsia="zh-CN"/>
              </w:rPr>
            </w:r>
            <w:r/>
          </w:p>
        </w:tc>
      </w:tr>
      <w:tr>
        <w:trPr>
          <w:trHeight w:val="328"/>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话筒接收机</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1.四通道数字无线接收机，1RU尺寸，机架式安装；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2.调谐范围不低于70MHz；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3.自带音频合并功能，可将两个或更多音频通道分别路由至多个接收机输出端；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4.具备模拟接口、以太网联网接口；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5.具备DANTE数字网络音频输出接口；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6.具有射频级联接口，可进行射频级联；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7.具备AES-256加密功能。</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无线话筒自动增益控制天线分配器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1.不少于4个可选频率范围；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2.标配前置式天线安装件，架置式安装件，内部电源供应；</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3.与话筒接收机配套使用。</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主扩功率放大器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1.8Ω立体声功率：不小于650W×4；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2.4Ω立体声功率：不小于1100W×4；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3.模拟输入接口：不小于4×XLR卡侬插座；</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4.数字输入接口：不小于2×RJ45（Dante主/备和控制）；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5.输出接口：不小于</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只专业音响面板音箱插座，</w:t>
            </w:r>
            <w:r>
              <w:rPr>
                <w:rFonts w:hint="eastAsia" w:ascii="宋体" w:hAnsi="宋体" w:eastAsia="宋体" w:cs="宋体"/>
                <w:bCs/>
                <w:color w:val="000000"/>
                <w:sz w:val="24"/>
                <w:szCs w:val="24"/>
                <w:highlight w:val="none"/>
                <w:lang w:val="en-US" w:eastAsia="zh-CN"/>
              </w:rPr>
              <w:t xml:space="preserve">Powercon</w:t>
            </w:r>
            <w:r>
              <w:rPr>
                <w:rFonts w:ascii="宋体" w:hAnsi="宋体" w:eastAsia="宋体" w:cs="宋体"/>
                <w:color w:val="000000"/>
                <w:sz w:val="24"/>
                <w:szCs w:val="24"/>
                <w:highlight w:val="none"/>
              </w:rPr>
              <w:t xml:space="preserve">标准接口</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6.信号备份：具备Dante数字信号与模拟信号自动切换沉余备份；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7.工作模式：可选定阻模式（2~16Ω）、定压模式（70V）输出；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8.数字信号通道：不小于4进4出DANTE数字信号；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9.DSP处理：不小于4进4出，带信号混音、FIR滤波器、相位、参量均衡、动态均衡、压限功能；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10.远程监控：通过控制软件可远程监控设备温度、电压、电流、保护功能状态；</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11.功放保护：电源欠压保护、功放输出直流保护、过热保护、温度功率控制、过载功率控制。</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主扩次低频功率放大器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1.8Ω立体声功率：不小于2000W×4；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2.4Ω立体声功率：不小于3400W×4；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3.模拟输入接口：不小于4×XLR卡侬插座；</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4.数字输入接口：不小于2×RJ45（Dante主/备和控制）；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5.输出接口：不小于</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只专业音响面板音箱插座，</w:t>
            </w:r>
            <w:r>
              <w:rPr>
                <w:rFonts w:hint="eastAsia" w:ascii="宋体" w:hAnsi="宋体" w:eastAsia="宋体" w:cs="宋体"/>
                <w:bCs/>
                <w:color w:val="000000"/>
                <w:sz w:val="24"/>
                <w:szCs w:val="24"/>
                <w:highlight w:val="none"/>
                <w:lang w:val="en-US" w:eastAsia="zh-CN"/>
              </w:rPr>
              <w:t xml:space="preserve">Powercon</w:t>
            </w:r>
            <w:r>
              <w:rPr>
                <w:rFonts w:ascii="宋体" w:hAnsi="宋体" w:eastAsia="宋体" w:cs="宋体"/>
                <w:color w:val="000000"/>
                <w:sz w:val="24"/>
                <w:szCs w:val="24"/>
                <w:highlight w:val="none"/>
              </w:rPr>
              <w:t xml:space="preserve">标准接口</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6.信号备份：具备Dante数字信号与模拟信号自动切换沉余备份；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7.工作模式：可选定阻模式（2~16Ω）、定压模式（100V或70V）输出；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8.数字信号通道：不小于4进4出DANTE数字信号；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9.DSP处理：不小于4进4出，带信号混音、FIR滤波器、相位、参量均衡、动态均衡、压限功能；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10.远程监控：通过控制软件可远程监控设备温度、电压、电流、保护功能状态；</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11.功放保护：电源欠压保护、功放输出直流保护、过热保护、温度功率控制、过载功率控制。</w:t>
            </w:r>
            <w:r>
              <w:rPr>
                <w:rFonts w:hint="eastAsia" w:ascii="宋体" w:hAnsi="宋体" w:eastAsia="宋体" w:cs="宋体"/>
                <w:bCs/>
                <w:color w:val="000000"/>
                <w:sz w:val="24"/>
                <w:szCs w:val="24"/>
                <w:highlight w:val="none"/>
                <w:lang w:val="en-US" w:eastAsia="zh-CN"/>
              </w:rPr>
            </w:r>
            <w:r/>
          </w:p>
        </w:tc>
      </w:tr>
      <w:tr>
        <w:trPr>
          <w:trHeight w:val="329"/>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返听功率放大器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1.8Ω立体声功率：不小于650W×4；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2.4Ω立体声功率：不小于1100W×4；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3.模拟输入接口：不小于4×XLR卡侬插座；</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4.数字输入接口：不小于2×RJ45（Dante主/备和控制）；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5.输出接口：不小于</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只专业音响面板音箱插座，</w:t>
            </w:r>
            <w:r>
              <w:rPr>
                <w:rFonts w:hint="eastAsia" w:ascii="宋体" w:hAnsi="宋体" w:eastAsia="宋体" w:cs="宋体"/>
                <w:bCs/>
                <w:color w:val="000000"/>
                <w:sz w:val="24"/>
                <w:szCs w:val="24"/>
                <w:highlight w:val="none"/>
                <w:lang w:val="en-US" w:eastAsia="zh-CN"/>
              </w:rPr>
              <w:t xml:space="preserve">Powercon</w:t>
            </w:r>
            <w:r>
              <w:rPr>
                <w:rFonts w:ascii="宋体" w:hAnsi="宋体" w:eastAsia="宋体" w:cs="宋体"/>
                <w:color w:val="000000"/>
                <w:sz w:val="24"/>
                <w:szCs w:val="24"/>
                <w:highlight w:val="none"/>
              </w:rPr>
              <w:t xml:space="preserve">标准接口</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6.信号备份：具备Dante数字信号与模拟信号自动切换沉余备份；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7.工作模式：可选定阻模式（2~16Ω）、定压模式（70V）输出；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8.数字信号通道：不小于4进4出DANTE数字信号；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9.DSP处理：不小于4进4出，带信号混音、FIR滤波器、相位、参量均衡、动态均衡、压限功能；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10.远程监控：通过控制软件可远程监控设备温度、电压、电流、保护功能状态；</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11.功放保护：电源欠压保护、功放输出直流保护、过热保护、温度功率控制、过载功率控制。</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超低频扬声器功率放大器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1.8Ω立体声功率：不小于2000W×2；</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2.4Ω立体声功率：不小于3400W×2；</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3.模拟输入接口：不小于2×XLR卡侬插座；</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4.数字输入接口：不小于2×RJ45（Dante主/备和控制）；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5.输出接口：不小于</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只专业音响面板音箱插座，</w:t>
            </w:r>
            <w:r>
              <w:rPr>
                <w:rFonts w:hint="eastAsia" w:ascii="宋体" w:hAnsi="宋体" w:eastAsia="宋体" w:cs="宋体"/>
                <w:bCs/>
                <w:color w:val="000000"/>
                <w:sz w:val="24"/>
                <w:szCs w:val="24"/>
                <w:highlight w:val="none"/>
                <w:lang w:val="en-US" w:eastAsia="zh-CN"/>
              </w:rPr>
              <w:t xml:space="preserve">Powercon</w:t>
            </w:r>
            <w:r>
              <w:rPr>
                <w:rFonts w:ascii="宋体" w:hAnsi="宋体" w:eastAsia="宋体" w:cs="宋体"/>
                <w:color w:val="000000"/>
                <w:sz w:val="24"/>
                <w:szCs w:val="24"/>
                <w:highlight w:val="none"/>
              </w:rPr>
              <w:t xml:space="preserve">标准接口</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6.信号备份：具备Dante数字信号与模拟信号自动切换沉余备份；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7.工作模式：可选定阻模式（2~16Ω）、定压模式（100V或70V）输出；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8.数字信号通道：不小于2进2出DANTE数字信号；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9.DSP处理：不小于2进2出，带信号混音、FIR滤波器、相位、参量均衡、动态均衡、压限功能；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10.远程监控：通过控制软件可远程监控设备温度、电压、电流、保护功能状态；</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11.功放保护：电源欠压保护、功放输出直流保护、过热保护、温度功率控制、过载功率控制。</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数字调音台1</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1.输入处理通道≥48路，≥32路本地话筒输入；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2.母线支持通道≥36路；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3.≥16路可分配的本地输出；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4.AES3输出≥1组；</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5.电动推子≥28个；</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6.效果器处理≥8个；</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7.触摸屏≥1块；</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8.数字网络音频扩展接口(MADI或DANTE 或AVB等)≥1个；</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9.采样率不低于96kHz；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10.输入处理：前置放大器、高通滤波器、噪声门、参量均衡器、 压缩器、延时；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11.混音输出处理：参量均衡器、图示均衡器、压缩器、延时；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12.每个混音输出带图示均衡器（不使用FX）；</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13.内置自动话筒混音。</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数字调音台2</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1.数字调音台:模拟输入/输出≥16/12路，AES输出≥1组；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2.电动推子≥17个；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3.效果器处理≥8个；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4.触摸屏≥1块，不少于7英寸；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5.数字网络音频扩展接口(MADI或DANTE 或AVB等)≥1个(每个接口可64进x64 出通道，96/48kHz可切换)；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6.采样率不低于96kHz；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7.带USB录音与重放；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8.系统延迟&lt;0.7ms。</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Dante扩展卡</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1.不少于64×64通道音频和网络控制；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2.96kHz或48kHz切换；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3.利用Dante虚拟声卡进行多通道录音/播放；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4.两个冗余接口可无缝切换；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5.内置控制网络桥接；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6.兼容AES67；</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7.与数字调音台1配套使用。</w:t>
            </w:r>
            <w:r>
              <w:rPr>
                <w:rFonts w:hint="eastAsia" w:ascii="宋体" w:hAnsi="宋体" w:eastAsia="宋体" w:cs="宋体"/>
                <w:bCs/>
                <w:color w:val="000000"/>
                <w:sz w:val="24"/>
                <w:szCs w:val="24"/>
                <w:highlight w:val="none"/>
                <w:lang w:val="en-US" w:eastAsia="zh-CN"/>
              </w:rPr>
            </w:r>
            <w:r/>
          </w:p>
        </w:tc>
      </w:tr>
      <w:tr>
        <w:trPr>
          <w:trHeight w:val="591"/>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舞台接口箱</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1.不少于48路话筒/线路XLR输入，不少于16路XLR线路输出；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2.96kHz采样频率。</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3.每路输入带单独可配置+48V幻象电源；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4.兼容长达100m的CAT5e（或更高版本的）网线；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5.传输即插即拨——不需要设置IP地址；</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6.与数字调音台1配套使用。</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音频延时器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1.具有高精度音频延迟和回放功能的数字音频延迟器，适用于音视频制作领域；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2.音频输入接口≥2XLR，≥2RCA；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3.音频输出接口≥2XLR，≥2RCA,≥1个3.5mm；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4.音频显示界面≥1.77英寸OLED屏幕；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5.音频延迟≥3秒；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6.19英寸机架安装。</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监听耳机</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1.声学类型：封闭式；</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2.应用场景：录音、混音、母带制作（监听）；</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3.单元大小：40mm；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4.频响范围：5Hz - 80000Hz；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5.灵敏度：102dB/mW；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6.阻抗（1kHz）：50Ω；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7.线材：2.5m/1.2m（3.5 - 3.5），线材可更换；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8.配件：3.5mm/6.35mm转接头。</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数字音频处理器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1.不少于12路平衡式话筒/线路输入，不少于12路平衡式输出；不少于12路网络数字信号输入，不少于12路网络数字信号输出；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2.功能模块：噪声门、31段图示均衡器、压宿器、自动增益、反馈消除器、回声消除器(AEC)、噪声消除器、自动混音器、矩阵路由器；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3.输入处理功能：100Hz低切、哑音、相位、幻像供电、粉红噪声、白噪声、正弦波发生器；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4.输出处理功能：10段参量均衡器、分频器、延时器、限幅器、信号指示表器等；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5.具有GPIO可编程控制接口，支持8通道自定义输入输出，支持外部电平、可实现消防联动等功能；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6.场景预设：具有99个场景保存位置，断电自动保护记忆功能；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7.具有1个数字Dante主接口、1个数字Dante备份接口(RJ45网口)；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8.具有1个RJ45网络控制接口，可连接电脑或网络中控主机（UDP协议）实时控制；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9.具有1个带USB接口(支持录音及播放功能)；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10.设备内置网页控制功能，在Windows、Android、iOS等平台上操作，登录预置IP网页可以实现通道控制、场景调用、安装软件下载；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11.前面板具有每个输入通道和输出通道信号状态监测指示灯和信号过载监测指示灯、电源指示灯和工作状态指示灯；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12.最大输出电平：≥17dBu；</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13.频率响应：20Hz～20kHz（+/-0.5dB）；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14.总谐波失真: ≤0.009%；</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15.信噪比：≥109dB。</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12G数字音频加嵌模块</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1.12G音频加嵌处理器，1路HD/SD-SDI输入；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2.2路模拟立体声音频输入；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3.4路经过时钟恢复的HD/SD-SDI输出；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4.其中两路可选OSD菜单显示；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5.音频延时可调，调整范围75帧；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6.插卡式，与周边机箱配套使用。</w:t>
            </w:r>
            <w:r>
              <w:rPr>
                <w:rFonts w:hint="eastAsia" w:ascii="宋体" w:hAnsi="宋体" w:eastAsia="宋体" w:cs="宋体"/>
                <w:bCs/>
                <w:color w:val="000000"/>
                <w:sz w:val="24"/>
                <w:szCs w:val="24"/>
                <w:highlight w:val="none"/>
                <w:lang w:val="en-US" w:eastAsia="zh-CN"/>
              </w:rPr>
            </w:r>
            <w:r/>
          </w:p>
        </w:tc>
      </w:tr>
      <w:tr>
        <w:trPr>
          <w:trHeight w:val="642"/>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12G数字音频解嵌模块</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1.12G音频解嵌处理器；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2.1路12G输入；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3.2路模拟立体声音频输出；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4.4路经过时钟恢复的HD/SD-SDI输出；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5.其中两路可选OSD菜单显示；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6.音频延时可调，调整范围75帧；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7.插卡式，与周边机箱配套使用。</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室内LED显示屏</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★1.主屏采用全彩表贴P2小间距显示屏；主屏尺寸不小于10.24m（长）*4.32m（高）=44.237㎡；必须采用金线封</w:t>
            </w:r>
            <w:r>
              <w:rPr>
                <w:rFonts w:hint="eastAsia" w:ascii="宋体" w:hAnsi="宋体" w:eastAsia="宋体" w:cs="宋体"/>
                <w:bCs/>
                <w:color w:val="000000"/>
                <w:sz w:val="24"/>
                <w:szCs w:val="24"/>
                <w:highlight w:val="none"/>
                <w:lang w:val="en-US" w:eastAsia="zh-CN"/>
              </w:rPr>
              <w:t xml:space="preserve">装，压铸铝箱体；辅屏采用全彩表贴P2小间距显示屏；辅屏两块，尺寸不小于1.92m（长）*4.32m（高）*2（数量）=16.589㎡；必须采用金线封装，压铸铝箱体；总面积为44.237㎡+16.589㎡=60.826㎡。白平衡亮度：≥600cd/㎡；视角：≥160°；刷新频率：≥3840Hz；对比度≥3500：1；换帧频率：≥60 Hz；灰度等级≥16bit；功耗≤800W/㎡；单点校正功能：具有单个发光管亮度校正与颜色的校正（签订合同时提供白皮书、彩页、手册、网站截图、第三方检测报告等至少一种证明材料）；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★2.显示屏符合GB/T 26572-2011中电子电气产品六种限用物质（铅、汞、镉、六价铬、多溴联苯、多溴二苯醚）的要求； </w:t>
            </w:r>
            <w:r>
              <w:rPr>
                <w:rFonts w:hint="eastAsia"/>
                <w:color w:val="000000"/>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箱体满足：抗压试验（施加11KN的力压箱体，箱体表面未发生变形）、抗拉试验（施加10.2KN的力拉箱体，箱体未发生变形）、可靠性试验（平均无故障时间MTBFm1）大于10万小时（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为保护眼睛视力不受伤害，要求显示屏通过蓝光辐射危害测试，要同时满足①无380nm-400nm波长的辐射，②波长460nm蓝光辐射亮度（光强度）1.78E-02W/(㎡.sr.nm)（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5.安装平整度：≤0.5mm；显示效果：多种显示画面应无同亮，暗亮（鬼影和拖尾）的现象，显示画面应无动态影像失真，能有效防止几何和非线性失真；</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6.LED显示屏安装满足消防排烟通风要求；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7.保证长时间观看不疲劳，LED 显示屏通过 TIRT-GK-JS-55-2020 显示设备显示性能和视觉健康认证；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散热采用智能主动散热方式（强制风冷，屏两侧和顶部排风），风扇应具备智能调速功能，根据内置温度传感器实时反馈自动调节转速，兼顾散热效率与静音需求，确保显示屏在长期连续运行下，屏体背板区域最高温度不高于50℃，且整屏温度均匀性良好（温差＜10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为避免潮湿气候环境对显示屏设备正常使用的影响，LED显示单元应有可靠的除湿手段，可在任意时刻来进行除湿（非定时自动除湿），通过屏体控制软件，可以进行一键启动或一键终止全部LED模组的自动除湿功能，任意显示单元应具备一键显示单元、一键全屏启动和终止自动除湿的按钮功能；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10.维护方式：具有前拆技术，支架远离印制板一侧设有旋转座，旋转座支撑有轴件，充分利用杠杆原理，实现小间距前拆式安装与维护；</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11.接收控制卡嵌入式软件：可以支持多个显示区域分屏播出视频，图片，文字，动画等；进行LED屏幕显示布局的创建和修改，支持256通道的设置和显示，通道可以任意的叠加并调整顺序；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12.具备智能功率调节、开机电路保护功能；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13.LED输入输出控制与视频处理功能由室内LED显示屏控制台（产品清单8）实现。</w:t>
            </w:r>
            <w:r>
              <w:rPr>
                <w:rFonts w:ascii="宋体" w:hAnsi="宋体" w:eastAsia="宋体" w:cs="宋体"/>
                <w:bCs/>
                <w:color w:val="000000"/>
                <w:sz w:val="24"/>
                <w:szCs w:val="24"/>
                <w:highlight w:val="none"/>
                <w:lang w:val="en-US" w:eastAsia="zh-CN"/>
              </w:rPr>
            </w:r>
            <w:r/>
          </w:p>
        </w:tc>
      </w:tr>
      <w:tr>
        <w:trPr>
          <w:trHeight w:val="403"/>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商业显示器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1.屏幕尺寸：55英寸；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2.屏幕比例：16:9；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color w:val="000000"/>
                <w:sz w:val="24"/>
                <w:szCs w:val="24"/>
                <w:highlight w:val="none"/>
              </w:rPr>
              <w:t xml:space="preserve">支持4096×2160p、3840×2160p，兼容24/25/30/50/60Hz；向下兼容 1080p、1080i对应主流帧率</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4.面板类型：IPS；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5.输入端口：</w:t>
            </w:r>
            <w:r>
              <w:rPr>
                <w:rFonts w:ascii="宋体" w:hAnsi="宋体" w:eastAsia="宋体" w:cs="宋体"/>
                <w:color w:val="000000"/>
                <w:sz w:val="24"/>
                <w:szCs w:val="24"/>
                <w:highlight w:val="none"/>
              </w:rPr>
              <w:t xml:space="preserve">≥3×HDMI，具备复合视频（CVBS）输入或可通过标配适配器实现复合视频输入</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6.亮度不低于700nit；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7.色彩空间支持DCI-P3 92%；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ascii="宋体" w:hAnsi="宋体" w:eastAsia="宋体" w:cs="宋体"/>
                <w:color w:val="000000"/>
                <w:sz w:val="24"/>
                <w:szCs w:val="24"/>
                <w:highlight w:val="none"/>
              </w:rPr>
              <w:t xml:space="preserve">面板具备防眩光低反射涂层</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9.支持4K图像处理技术以及对比度增强技术；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10.具备专业模式设置，具备防篡改功能，具备场景一键式设置等商业环境应用功能，节能模式设置；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11.支持 7×24 小时长时间运行；</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12.防尘设计；</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13.HDR兼容性：兼容HDR10、HLG；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w:t>
            </w:r>
            <w:r>
              <w:rPr>
                <w:rFonts w:ascii="宋体" w:hAnsi="宋体" w:eastAsia="宋体" w:cs="宋体"/>
                <w:color w:val="000000"/>
                <w:sz w:val="24"/>
                <w:szCs w:val="24"/>
                <w:highlight w:val="none"/>
              </w:rPr>
              <w:t xml:space="preserve">成套标配微型广播级12G</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SDI转HDMI转换器，具备</w:t>
            </w:r>
            <w:r>
              <w:rPr>
                <w:rStyle w:val="949"/>
                <w:rFonts w:ascii="宋体" w:hAnsi="宋体" w:eastAsia="宋体" w:cs="宋体"/>
                <w:b w:val="0"/>
                <w:bCs w:val="0"/>
                <w:color w:val="000000"/>
                <w:sz w:val="24"/>
                <w:szCs w:val="24"/>
                <w:highlight w:val="none"/>
              </w:rPr>
              <w:t xml:space="preserve">不低于33点3D LUT</w:t>
            </w:r>
            <w:r>
              <w:rPr>
                <w:rFonts w:ascii="宋体" w:hAnsi="宋体" w:eastAsia="宋体" w:cs="宋体"/>
                <w:color w:val="000000"/>
                <w:sz w:val="24"/>
                <w:szCs w:val="24"/>
                <w:highlight w:val="none"/>
              </w:rPr>
              <w:t xml:space="preserve">高精度色彩校准能力</w:t>
            </w:r>
            <w:r>
              <w:rPr>
                <w:rFonts w:hint="eastAsia"/>
                <w:color w:val="000000"/>
                <w:highlight w:val="none"/>
                <w:lang w:eastAsia="zh-CN"/>
              </w:rPr>
              <w:t xml:space="preserve">；</w:t>
            </w:r>
            <w:r>
              <w:rPr>
                <w:rFonts w:ascii="宋体" w:hAnsi="宋体" w:eastAsia="宋体" w:cs="宋体"/>
                <w:color w:val="000000"/>
                <w:sz w:val="24"/>
                <w:szCs w:val="24"/>
                <w:highlight w:val="none"/>
              </w:rPr>
              <w:t xml:space="preserve">标配标准HDMI及12G</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SDI接口，支持SDI LOOP环出级联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15.含壁挂支架。</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主扩声线阵吊挂架</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1.最大承重为250KG（安全系数7:1）；</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2.材质:铁，表面做喷防锈涂层；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3.与线阵扬声器配套使用。</w:t>
            </w:r>
            <w:r>
              <w:rPr>
                <w:rFonts w:hint="eastAsia" w:ascii="宋体" w:hAnsi="宋体" w:eastAsia="宋体" w:cs="宋体"/>
                <w:bCs/>
                <w:color w:val="000000"/>
                <w:sz w:val="24"/>
                <w:szCs w:val="24"/>
                <w:highlight w:val="none"/>
                <w:lang w:val="en-US" w:eastAsia="zh-CN"/>
              </w:rPr>
            </w:r>
            <w:r/>
          </w:p>
        </w:tc>
      </w:tr>
      <w:tr>
        <w:trPr>
          <w:trHeight w:val="432"/>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bookmarkStart w:id="63" w:name="OLE_LINK9"/>
            <w:r>
              <w:rPr>
                <w:rFonts w:hint="eastAsia" w:ascii="宋体" w:hAnsi="宋体" w:eastAsia="宋体" w:cs="宋体"/>
                <w:bCs/>
                <w:color w:val="000000"/>
                <w:sz w:val="24"/>
                <w:szCs w:val="24"/>
                <w:highlight w:val="none"/>
                <w:lang w:val="en-US" w:eastAsia="zh-CN"/>
              </w:rPr>
              <w:t xml:space="preserve">55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吊杆电动卷扬机1</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1.盘式舞台吊杆机，大直径圆盘分独立绳槽，一槽一绳，有序缠绕，防止乱绳、跳绳；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2.电机：双制动电机，380V交流异步电动机，效率指标符合国家标准；功率：≥3KW；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3.减速机：斜齿-齿轮硬齿面减速机，效率≥95%，噪音≤60dB（空载）；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4.编码器：高精度绝对值编码器，定位精度±1mm，吊点（转角）滑轮的节圆直径，均不小于绳索直径的20倍，吊点滑轮组件须配置过线轮；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5.行程：10m；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6.速度：0.02-0.2m/s；</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7.有效荷载：600kg，静态制动扭矩≥3倍额定扭矩；</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8.吊杆规格：12m、材料为Ф48圆管，结构：H型双层吊杆。插座配置：敷设16A防尘防溅插座8个；敷设DMX512信号插座2个；</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9.滑轮没有影响使用性能和损坏外观的缺陷，如气孔、裂纹、疏松、夹渣等；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10.选用的钢丝绳抗拉强度不低于1670Mpa,不高于1970Mpa，钢丝绳结构：6×19股带有纤维芯的软钢丝绳，钢丝绳绳夹数量不小于3个，并设有调节长度装置；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11.抱箍：采用双夹式设计，上口两眼穿孔，下口一眼穿孔，配套M12螺栓使用，吊挂杆体紧固件；平垫圈的设置能有效减少上抱箍与下抱箍之间的摩擦力，防止松脱，增强其附着力；</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12.每一根缠绕在卷筒上的钢丝绳应至少有两圈安全圈；</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13.制动器与电动机电源应连锁、受控，制动器只能在电动机电源接通时才能松开，并保持或控制载荷；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14.具备手动控制功能（手动释放装置）；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15.温度：满负荷运行≥20分钟或满负荷运行≥10次，电机表面温度≤100℃；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16.系统包含：电动机、减速机、双制动器、滑轮组件、钢丝绳、收线框等所有安装配件。</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吊杆电动卷扬机2</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1.盘式舞台吊杆机，大直径圆盘分独立绳槽，一槽一绳，有序缠绕，防止乱绳、跳绳；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2.电机：双制动电机，380V交流异步电动机，效率指标符合国家标准；功率：≥3KW；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3.减速机：斜齿-齿轮硬齿面减速机，效率≥95%，噪音≤60dB（空载）；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4.编码器：高精度绝对值编码器，定位精度±1mm，吊点（转角）滑轮的节圆直径，均不小于绳索直径的20倍，吊点滑轮组件须配置过线轮；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5.行程：10m；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6.速度：0.02-0.2m/s；</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7.有效荷载：600kg，静态制动扭矩≥3倍额定扭矩；</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8.吊杆规格：8m、材料为Ф48圆管，结构：H型双层吊杆。插座配置：敷设16A防尘防溅插座8个；敷设DMX512信号插座2个；</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9.滑轮没有影响使用性能和损坏外观的缺陷，如气孔、裂纹、疏松、夹渣等；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10.选用的钢丝绳抗拉强度不低于1670Mpa,不高于1970Mpa，钢丝绳结构：6×19股带有纤维芯的软钢丝绳，钢丝绳绳夹数量不小于3个，并设有调节长度装置；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11.抱箍：采用双夹式设计，上口两眼穿孔，下口一眼穿孔，配套M12螺栓使用，吊挂杆体紧固件；平垫圈的设置能有效减少上抱箍与下抱箍之间的摩擦力，防止松脱，增强其附着力；</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12.每一根缠绕在卷筒上的钢丝绳应至少有两圈安全圈；</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13.制动器与电动机电源应连锁、受控，制动器只能在电动机电源接通时才能松开，并保持或控制载荷；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14.具备手动控制功能（手动释放装置）；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15.温度：满负荷运行≥20分钟或满负荷运行≥10次，电机表面温度≤100℃；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16.系统包含：电动机、减速机、双制动器、滑轮组件、钢丝绳、收线框等所有安装配件。</w:t>
            </w:r>
            <w:r>
              <w:rPr>
                <w:rFonts w:hint="eastAsia" w:ascii="宋体" w:hAnsi="宋体" w:eastAsia="宋体" w:cs="宋体"/>
                <w:bCs/>
                <w:color w:val="000000"/>
                <w:sz w:val="24"/>
                <w:szCs w:val="24"/>
                <w:highlight w:val="none"/>
                <w:lang w:val="en-US" w:eastAsia="zh-CN"/>
              </w:rPr>
            </w:r>
            <w:r/>
          </w:p>
        </w:tc>
      </w:tr>
      <w:tr>
        <w:trPr>
          <w:trHeight w:val="0"/>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吊杆电动卷扬机3</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1.盘式舞台吊杆机，大直径圆盘分独立绳槽，一槽一绳，有序缠绕，防止乱绳、跳绳；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2.电机：双制动电机，380V交流异步电动机，效率指标符合国家标准；功率：≥2.2KW；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3.减速机：斜齿 - 齿轮硬齿面减速机，效率≥95%，噪音≤60dB（空载）；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4.编码器：高精度绝对值编码器，定位精度±1mm，吊点（转角）滑轮的节圆直径，均不小于绳索直径的20倍，吊点滑轮组件须配置过线轮；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5.行程：10m；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6.速度：0.02-0.2m/s；</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7.有效荷载：250kg，静态制动扭矩≥3倍额定扭矩</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8.滑轮没有影响使用性能和损坏外观的缺陷，如气孔、裂纹、疏松、夹渣等；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9.选用的钢丝绳抗拉强度不低于1670Mpa,不高于1970Mpa，钢丝绳结构：6×19股带有纤维芯的软钢丝绳，钢丝绳绳夹数量不小于3个；</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10.钢丝绳绕进或绕出滑轮槽时偏斜的最大角度不超过3°；</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11.制动器与电动机电源应连锁、受控，制动器只能在电动机电源接通时才能松开，并保持或控制载荷；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12.具备手动控制功能（手动释放装置）；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13.系统包含：电动机、减速机、双制动器、滑轮组件、钢丝绳、收线框等所有安装配件。</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舞台机械控制系统</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1.主控制系统由PLC、工控系统、工业以太网络和冗余工业现场总线、紧急停机系统及控制软件等组成。含行程检测模块（含编码器等），速度检测模块（含编码器等），安全保护模块（含断路器、继电器等）；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2.系统具备电磁隔离功能,不干扰其它灯光设备；</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3.采用变频器切换控制，通过矩阵切换控制器进行切换；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4.主操作台至少包括一个19”触摸屏和两组手动介入操作装置；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5.抗干扰性强，控制稳定，可方便、直观地对每根吊杆或一组吊杆进行控制，显示吊杆状态（如限位等），报警功能能在操作台上明确反映；</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6.主控制系统提供正常情况下的全功能控制与操作，包括单体设备的控制、设备联锁、设备状态监视、预选择设备、设定运动参数、编组运行、场景记忆、场景序列、故障诊断、系统维护等；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7.当设定参数值超出设计参数值时，设备禁止运行；</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8.具有过载保护、短路保护功能，当设备的线路发生碰壳时，控制系统可以及时切断供电；</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9.具有过流保护功能、相序保护功能、漏电保护功能、紧急停止功能、电锁功能；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10.可实现单个吊杆控制，也可实现已编组吊杆一键控制；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11.可对每根吊杆或一组吊杆进行控制，显示吊杆状态；</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12.预留上位机接口及Modbus TCP/DMX512接口为可能的系统集成服务；</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13.性能参数：</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（1）采用高集成SoC单芯片架构，控制器需集成多轴运动控制硬件，可同时采集多路编码器位置信号；支持至少 4 轴伺服脉冲定位控制，具备直线插补、运动动态跟随功能；可快速响应外部限位、编码器高速信号采集；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（2）程序存储容量≥20KB；基础指令平均执行时间≤0.33μs；硬件高速计数最高频率≥920KHz；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（3）高速 PWM 输出分辨率不低于 1/1000 级，具备多级精细调速调节能力；</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（4）扩展 I/O 能力：系统整体可扩展数字量输入输出总点数 ≥512 点 ，模拟量输入输出总点数 ≥128 点。</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14.PLC输入输出点数：最大可支持数字输入（DI）256 点，数字输出（DO）256 点；</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15.PLC多重安全保护功能：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（1）过载保护：PLC 通过接入热继电器、电流互感器等设备，实时采集电机电流等数据。例如：当电机电流超过额定值的1.2倍（根据设备参数设定），PLC 判定为“过载预警”，先发出报警并降低运行速度；</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（2）限位保护：PLC 接入限位开关（如行程开关、编码器），设置 “软限位”和“硬限位”双重保护；</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（3）软限位：通过软件设定安全运动范围（如舞台吊杆行程15米、最低 1.0 米），当设备接近该范围（如14.5米），PLC发出减速指令，降低运行速度；</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（4）硬限位：在机械结构的物理终点（如16米处）安装强制停止开关，若软限位失效（如编码器故障），设备触发硬限位时，PLC 立即切断动力，强制停机；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（5）短路保护：PLC 通过接入空气开关（MCB）、熔断器等硬件保护装置的状态信号（如开关跳闸反馈），当检测到短路导致的电源切断信号时，立即锁定相关设备，并禁止再次启动（需排查故障后手动复位）。</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16.CPU扫描周期：0.02ms；</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17.存储器容量：用户程序容量1MB、数据通讯容量100MB。</w:t>
            </w:r>
            <w:r>
              <w:rPr>
                <w:rFonts w:hint="eastAsia" w:ascii="宋体" w:hAnsi="宋体" w:eastAsia="宋体" w:cs="宋体"/>
                <w:bCs/>
                <w:color w:val="000000"/>
                <w:sz w:val="24"/>
                <w:szCs w:val="24"/>
                <w:highlight w:val="none"/>
                <w:lang w:val="en-US" w:eastAsia="zh-CN"/>
              </w:rPr>
            </w:r>
            <w:r/>
          </w:p>
        </w:tc>
      </w:tr>
      <w:tr>
        <w:trPr>
          <w:trHeight w:val="43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LED变焦静音聚光灯</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1.显色指数：Ra≥95；色温：3200K-5600K（连续可调）；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2.光源：≥300W LED光源；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3.光源寿命：≥50000小时；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4.出光角度：≤15°，≥50°；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5.调焦：电动调节；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6.调光：0-100%线性调光；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7.噪音控制：无风机设计，完全静音；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8.控制协议：RDM协议、DMX512控制协议、自走、自定义程序；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9.远程控制：自带RDM远程智能控制，可通过控制系统修改灯具参数；</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10.满足4K拍摄无频闪，工作频率≥25kHz。</w:t>
            </w:r>
            <w:r>
              <w:rPr>
                <w:rFonts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LED平板柔光灯</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1.显色指数：Ra≥95；色温：3200K-5600K（连续可调）；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2.光源：≥200W LED光源；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3.光源寿命：≥50000小时；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4.出光角度：≥100°；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5.调光：0-100%线性调光；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6.噪音控制：无风机设计，完全静音。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7.控制协议：RDM协议、DMX512控制协议、自走、自定义程序；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8.远程控制：自带RDM远程智能控制，可通过控制系统修改灯具参数；</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9.满足4K拍摄无频闪，工作频率≥25kHz。</w:t>
            </w:r>
            <w:r>
              <w:rPr>
                <w:rFonts w:hint="eastAsia" w:ascii="宋体" w:hAnsi="宋体" w:eastAsia="宋体" w:cs="宋体"/>
                <w:bCs/>
                <w:color w:val="000000"/>
                <w:sz w:val="24"/>
                <w:szCs w:val="24"/>
                <w:highlight w:val="none"/>
                <w:lang w:val="en-US" w:eastAsia="zh-CN"/>
              </w:rPr>
            </w:r>
            <w:r/>
          </w:p>
        </w:tc>
      </w:tr>
      <w:tr>
        <w:trPr>
          <w:trHeight w:val="261"/>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61</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LED定焦帕灯</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1.光源：单颗≥10W，不少于18颗RGBW四合一灯珠；</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2.光源寿命：≥50000小时；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3.出光角度：15°/25°/45°/60°（定焦可选）；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4.调光：四通道独立调光，红、绿、蓝、白 0–100% 线性独立调节；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5.频闪：1-25Hz，无级可调，支持脉冲、随机、同步频闪；</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6.防护等级：IP65，全密封防水防尘；</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7.噪音控制：无风机被动散热，加厚一体压铸铝大面积散热，整机零噪音；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8.光通量：≥4000Lm；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9.重量：≤10Kg；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10.控制协议：标准DMX512，带RDM远程管理；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11.满足4K拍摄无频闪，工作频率≥25kHz。</w:t>
            </w:r>
            <w:r>
              <w:rPr>
                <w:rFonts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HID三合一灯</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1.光源：≥380W光源；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2.出光角度：≤3°—≥36°；</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3.颜色系统：1个颜色轮不少于14个颜色选择；</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4.图案系统：1个旋转图案盘不少于10个旋转图案片，1个固定图案轮不少于10个固定图案；</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5.雾化：独立雾化效果；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6.棱镜：具备可重叠可双向旋转的双重棱镜；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7.噪音控制：智能温控静音风机，1米距离噪音≤45dB；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8.光通量：≥11000Lm；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9.重量：≤20Kg；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10.旋转角度：水平540°、垂直270°；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11.控制协议：标准DMX512，带RDM远程管理；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12.满足4K拍摄无频闪，工作频率≥25kHz。</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LED四合一灯</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▲1.颜色：独立CMY无极线性混色+独立 CTO 线性色温调节（3200K-6500K连续可调），独立色轮：≥7片纯色滤光片，支持双向彩虹效果、半色叠加（签订合同时提供白皮书、彩页、手册、网站截图、第三方检测报告等至少一种证明材料）；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切割：具备图形切割系统，四叶片独立图形切割机构，单叶片可单独闭光、裁切任意多边形，切割模组可360°无极旋转，切边锐利无模糊毛边（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3.光源：≥1000W LED光源；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4.光源寿命：≥20000小时；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5.显色指数：Ra≥95；</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6.出光角度：≤6°—≥54°；</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7.图案：1个旋转图案盘不少于7个旋转图案片；</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8.具备动感效果轮；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9.棱镜：具备可重叠可双向旋转的双重棱镜；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10.雾化：具备双重雾化；</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11.噪音控制：选用静音风机散热，1米距离噪音≤45dB；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12.光通量：≥32000Lm；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13.重量：≤36Kg；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14.旋转角度：水平 540°、垂直 270°，16bit 高精度定位，低速无抖动、无共振；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15.控制协议：标准DMX512，带RDM远程管理；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16.满足4K拍摄无频闪，工作频率≥25kHz。</w:t>
            </w:r>
            <w:r>
              <w:rPr>
                <w:rFonts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LED电脑切割灯</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1.光源：≥1200W LED光源；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2.光源寿命：≥20000小时；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3.显色指数：Ra≥95；</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4.出光角度：≤5°—≥55°；</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5.颜色：独立CMY无极线性混色+独立 CTO 线性色温调节（3200K-6500K连续可调），独立色轮：≥7片纯色滤光片，支持双向彩虹效果、半色叠加；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6.图案：1个旋转图案盘不少于6个旋转图案片+1个固定图案盘不少于8个图案；</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7.具备动感效果轮；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8.切割：具备图形切割系统，四叶片独立图形切割机构，单叶片可单独闭光、裁切任意多边形，切割模组可360°无极旋转，切边锐利无模糊毛边；</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9.棱镜：具备棱镜效果；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10.雾化：具备雾化效果；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11.噪音控制：选用静音风机散热，1米距离噪音≤45dB；</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12.光通量：≥38000Lm；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13.重量：≤45Kg；</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14.旋转角度：水平 540°、垂直 270°，16bit 高精度定位，低速无抖动、无共振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15.控制协议：标准DMX512，带RDM远程管理；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16.满足4K拍摄无频闪，工作频率≥25kHz。</w:t>
            </w:r>
            <w:r>
              <w:rPr>
                <w:rFonts w:ascii="宋体" w:hAnsi="宋体" w:eastAsia="宋体" w:cs="宋体"/>
                <w:bCs/>
                <w:color w:val="000000"/>
                <w:sz w:val="24"/>
                <w:szCs w:val="24"/>
                <w:highlight w:val="none"/>
                <w:lang w:val="en-US" w:eastAsia="zh-CN"/>
              </w:rPr>
            </w:r>
            <w:r/>
          </w:p>
        </w:tc>
      </w:tr>
      <w:tr>
        <w:trPr>
          <w:trHeight w:val="3334"/>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灯光控制台</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1.不少于6个DMX输出，不少于1个DMX输入，可扩展至不少于65536个通道参数；</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2.内置2个电动可调宽视角不小于15.4英寸触摸屏，1个不小于9英寸高亮度多点触摸屏，最多可外置2个触摸屏；</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3.不少于15个高精度电动推杆（60mm）；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4.不少于2个AB场电动推杆(100mm)；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5.不少于1个主控电动推杆；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6.不少于6个光学编码器（带PUSH功能）；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7.不少于1个高灵敏轨迹球；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8.不少于2个千兆以太网口；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9.支持舞台3D效果模拟，实时现场模拟；</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10.内置不间断电源（UPS）。</w:t>
            </w:r>
            <w:r>
              <w:rPr>
                <w:rFonts w:hint="eastAsia" w:ascii="宋体" w:hAnsi="宋体" w:eastAsia="宋体" w:cs="宋体"/>
                <w:bCs/>
                <w:color w:val="000000"/>
                <w:sz w:val="24"/>
                <w:szCs w:val="24"/>
                <w:highlight w:val="none"/>
                <w:lang w:val="en-US" w:eastAsia="zh-CN"/>
              </w:rPr>
            </w:r>
            <w:r/>
          </w:p>
        </w:tc>
      </w:tr>
      <w:tr>
        <w:trPr>
          <w:trHeight w:val="348"/>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网络扩展器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1.在</w:t>
            </w:r>
            <w:r>
              <w:rPr>
                <w:rFonts w:hint="eastAsia" w:ascii="宋体" w:hAnsi="宋体" w:eastAsia="宋体" w:cs="宋体"/>
                <w:bCs/>
                <w:color w:val="000000"/>
                <w:sz w:val="24"/>
                <w:szCs w:val="24"/>
                <w:highlight w:val="none"/>
              </w:rPr>
              <w:t xml:space="preserve">分布式</w:t>
            </w:r>
            <w:r>
              <w:rPr>
                <w:rFonts w:hint="eastAsia" w:ascii="宋体" w:hAnsi="宋体" w:eastAsia="宋体" w:cs="宋体"/>
                <w:bCs/>
                <w:color w:val="000000"/>
                <w:sz w:val="24"/>
                <w:szCs w:val="24"/>
                <w:highlight w:val="none"/>
                <w:lang w:val="en-US" w:eastAsia="zh-CN"/>
              </w:rPr>
              <w:t xml:space="preserve">网络</w:t>
            </w:r>
            <w:r>
              <w:rPr>
                <w:rFonts w:hint="eastAsia" w:ascii="宋体" w:hAnsi="宋体" w:eastAsia="宋体" w:cs="宋体"/>
                <w:bCs/>
                <w:color w:val="000000"/>
                <w:sz w:val="24"/>
                <w:szCs w:val="24"/>
                <w:highlight w:val="none"/>
              </w:rPr>
              <w:t xml:space="preserve">灯光控制</w:t>
            </w:r>
            <w:r>
              <w:rPr>
                <w:rFonts w:hint="eastAsia" w:ascii="宋体" w:hAnsi="宋体" w:eastAsia="宋体" w:cs="宋体"/>
                <w:bCs/>
                <w:color w:val="000000"/>
                <w:sz w:val="24"/>
                <w:szCs w:val="24"/>
                <w:highlight w:val="none"/>
                <w:lang w:val="en-US" w:eastAsia="zh-CN"/>
              </w:rPr>
              <w:t xml:space="preserve">模式下，可控制多达65536个参数；</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2.8个DMX输出，4096 HTP / LTP参数；</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3.内置7寸触摸屏；</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4.1个以太网连接器；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5.4个USB2.0接口；</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信号中继柜</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1.42U机柜；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2.24口理线架；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3.24口配线架；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4.3个4路E/D转换器；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5.2个8口PDU电源插排；</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6.10台二进八出信号放大器。</w:t>
            </w:r>
            <w:r>
              <w:rPr>
                <w:rFonts w:hint="eastAsia" w:ascii="宋体" w:hAnsi="宋体" w:eastAsia="宋体" w:cs="宋体"/>
                <w:bCs/>
                <w:color w:val="000000"/>
                <w:sz w:val="24"/>
                <w:szCs w:val="24"/>
                <w:highlight w:val="none"/>
                <w:lang w:val="en-US" w:eastAsia="zh-CN"/>
              </w:rPr>
            </w:r>
            <w:r/>
          </w:p>
        </w:tc>
      </w:tr>
      <w:tr>
        <w:trPr>
          <w:trHeight w:val="4454"/>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电动伸缩活动看台</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1.产品要求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（1）93位带扶手，看台层宽950±5mm，看台层高450±5mm，座深（外包）650±5mm，座椅安装间距：500mm；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（2）看台的结构强度≥5000N/㎡的均布静载荷；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（3）观众安全防护栏≥2000N/m的均布静载荷。</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2.系统材料说明</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▲（1）力学性能：依据QB</w:t>
            </w:r>
            <w:r>
              <w:rPr>
                <w:rFonts w:hint="eastAsia" w:ascii="宋体" w:hAnsi="宋体" w:eastAsia="宋体" w:cs="宋体"/>
                <w:bCs/>
                <w:color w:val="000000"/>
                <w:sz w:val="24"/>
                <w:szCs w:val="24"/>
                <w:highlight w:val="none"/>
                <w:lang w:val="en-US" w:eastAsia="zh-CN"/>
              </w:rPr>
              <w:t xml:space="preserve">/T2601-2013《体育场馆公共座椅》标准，座椅静载荷2000N，30次，椅背静载荷800N，30次，座椅平衡载荷2000N；座椅耐久性：椅面载荷960N，30万次，椅背载荷360N，30万次，椅面冲击高度360mm，30次，椅背冲击高度630mm，30次；座椅翻转频率10次/min～15次/min,30万次，座椅翻转噪声≤30dB（A），座椅零部件无断裂或豁裂现象，加载部位无明显变形，座椅结构无松动，翻转机构翻转灵活自如（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（2）脚轮：宽幅PU轮；内层双滚珠轴承，中间为尼龙层，再覆以高韧性耐磨聚氨酯层；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（3）驱动轮有多条加强筋PU结构；</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（4）伸缩脚：每排数量根据场地及要求设置。每只伸缩脚下装有4个脚轮；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（5）骨架：组合件结构，主、副梁结构材料厚度≥2mm合金钢通过高强度定拉型材冷拉而成，高强螺栓连接，支撑件作为所有木支撑臂以及行走表面的结束元件；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（6）踏板：18mm厚黑色防水防滑层压板，台面防滑系数≥R11级；</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（7）床架前沿及踏步采用铝钛合金包边，表面附防滑线条,角封头将边角包覆；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（8）同步伸缩装置：双层导向设计，上端同步导向轮机构，下端导轨机构。看台支脚型材精密模压设计，通过锁扣式导向滑槽与导轨连接；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（9）看台座椅：软包翻板座椅，曲面弧度结构，经纬织法面料，阻燃性能满足国家标准，防静电、防蛀处理。布料耐水色牢度≥5级，耐磨性＞50000次，甲醛≤0.02mg/m³。具体面料颜色中标后需经采购人确认；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椅背、椅垫：布料、金属结构件和高回弹聚氨酯泡棉一次成型。靠背海绵密度不低于40-50kg/m³。座垫海绵密度不低于50-55kg/m³。压缩75%时，永久变形量≤8%，回弹性能≥50%。内装有钢管和板材经冷作焊接成形用于固定弹簧；</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（11）座椅弹性机构：碳素钢板冲压、焊接，通过弹簧运动保证机构运动安全可靠，外侧采用铝钛合金装饰型材；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（12）看台过道：每层设2个箱形踏步（工艺与看台台面制作相同），并设排号标牌；</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（13）看台安全护栏：采用钢性圆管，焊接拼装，表面喷涂颜色同活动看台本色；</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（14）侧围布：看台两侧采用遮光布遮挡。遮光布密度≥200g/m³，抗撕裂强度≥0.25kn；</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（15）喷塑：静电粉末喷塑（环氧树脂），保证5年内无粉化、起泡、开裂、剥落等异常现象。</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3.动力和电源系统说明</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（1）电动系统采用电动控制式，具备红外线遥控和有线手控两项功能；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（2）小型减速马达带动齿轮传动，宽幅PU摩擦轮推动；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（3）防漏电设计，安全性能符合国家相关要求。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4.空床架：2位，结构、材质同看台一致，上方不安装座椅；</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5.固定看台：1组，结构、材质同看台一致，固定在地面不伸缩；尺寸：16340*2300*2500mm±5mm；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6.固定步梯架：1组，结构、材质同看台一致，固定在地面不伸缩；尺寸：4750*1500*2500mm±5mm；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7.步梯：1梯，结构、材质同走道一致；尺寸：2300*960*800mm±5mm。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8.摄像平台：3组，材质：结构上与座椅相配套，材质与踏板相同，按图施工；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9.灯带:内嵌；</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10.排号灯：按结构定制，不锈钢；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11.定制不锈钢扶手及玻璃护栏：扶手包含两个可开启栏杆门，304不锈钢型材，款式以效果款式定制。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12.半隔断制作：Q235B标准40mm*40mm，3mm壁厚镀锌方管框架，与地面钢结构焊接固定；15mm厚防火阻燃板+3mm厚密度板面，水性漆；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13.块毯：高密度pp丙纶绒面，防火等级满足B1，2.5厚卷毯；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14.5-13项详见图纸要求（见附件）。</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演播室固定舞台</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1.长12m±5mm，宽2m±5mm，高0.5m+5mm；看台外立面附25mm厚胶合板包裹，表面材质同活动看台；</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2.看台支撑结构为桁架结构，看台计算荷载7200N/㎡(均布荷载)，支撑系统安全系数&gt;1.3；</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3.主要钢材为Q235材质型材，支撑横纵大梁为60mmX60mmX3mm方管和40mmX40mmX2mm方管焊接，横撑为C型钢60mmX40mmX3mm;不同部件采用螺栓连接；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4.钢材构件表面热镀锌处理：标准件采用热镀锌处理；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5.固定舞台与地面采用膨胀螺栓连接；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6.LED屏要在固定舞台荷载范围内(&lt;7200N/㎡(均布荷载)，若为集中荷载需集中力施加在主桁架(接地桁架))；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7.台面采用高密度pp丙纶绒面，具有抗菌、防螨、十年光照及大气污染五年的环境下无褪色以及防火等级满足B1等级的2.5mm厚卷毯（图案定制）；</w:t>
            </w:r>
            <w:r>
              <w:rPr>
                <w:rFonts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8.详见图纸要求（见附件）。</w:t>
            </w:r>
            <w:r>
              <w:rPr>
                <w:rFonts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演播室移动舞台</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1.移动舞台单元：由24个单元组合</w:t>
            </w:r>
            <w:r>
              <w:rPr>
                <w:rFonts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（1）单元尺寸:2000mmx1000mm±5mm；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（2）单元高度:500mm；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（3）单元承载能力:静载500kg/㎡；</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（4）单元主框架采用铝合金制作，外形美观坚固；舞台台板采用多层板。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2.折叠步梯:4个</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（1）结构:与移动舞台匹配，可调节升级；</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（2）尺寸:长1300mmX宽1040mm士5mm。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3.移动舞台表面采用高密度pp丙纶绒面，具有抗菌、防螨、十年光照及大气污染五年的环境下无褪色以及防火等级满足B1等级的5mm厚卷毯（图案定制）；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4.定制舞台裙边加厚金丝绒布，颜色可选，由采购人在实施前与供应商确认。</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71</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中控主机</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1.6个支持软件握手的双向 RS-232 串行端口；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2.2个支持硬件和软件握手的双向 RS-232/RS-422/RS-485 串行端口；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3.8个红外/串行端口；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4.4个 Flex 输入/输出端口；</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5.8个继电器，用于控制房间功能；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6.含触摸屏移动控制终端：尺寸≥7英寸；支持POE供电；支持墙面放置；支持状态指示灯反馈；支持UI完全自定义；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7.能自行创建触摸屏界面，提供广泛的形状、图形和字体选择，可用于模板页面和弹出页面的设计，并提供视频播放控制、多态按键、3D 效果、视频窗口和动态文本等；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8.软件具备可用的设计模板和资源套件，设计元素可完全定制，可实现对系统内所有的输入信号源、显示设备控制和周边设备的设置，并包括完整、详细的文档资料。</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72</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录制交换机</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1.1U，12口光交换机：≥12x10Gb SFP+，≥2x千兆RJ45；</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2.交换容量≥670Gbps，整机包转发率≥240Mpps；</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3.支持ARP、LACP、VRRP、静态路由、RIP、DHCP服务器等；</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4.支持802.1X、RADIUS、TACACS+、AAA、ACL和QoS安全功能；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5.支持WEB/CLI/SNMP/SSH/RPC-API，灵活操作；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6.支持DHCP服务器、L2组播功能；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7.配万兆原产光模块≥8个。</w:t>
            </w:r>
            <w:r>
              <w:rPr>
                <w:rFonts w:hint="eastAsia" w:ascii="宋体" w:hAnsi="宋体" w:eastAsia="宋体" w:cs="宋体"/>
                <w:bCs/>
                <w:color w:val="000000"/>
                <w:sz w:val="24"/>
                <w:szCs w:val="24"/>
                <w:highlight w:val="none"/>
                <w:lang w:val="en-US" w:eastAsia="zh-CN"/>
              </w:rPr>
            </w:r>
            <w:r/>
          </w:p>
        </w:tc>
      </w:tr>
      <w:tr>
        <w:trPr>
          <w:trHeight w:val="302"/>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73</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交换机1</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1.1U，无阻塞全线速架构，交换容量≥336Gbps，包转发率≥108Mpps（均以官网最小值为准），整机提供≥24个10/100/1000BASE-T电口，4个1G/10G BASE-X SFP+端口（满配4个自适应1G/10G光模块）；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2.支持静态路由协议，支持RIPv1/v2，RIPng，支持OSPF，支持BGP4，BGP4+ for IPv6，支持等价路由，策略路由；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3.支持设备虚拟化堆叠技术，可将多台交换机虚拟为一台逻辑设备，统一管理、跨设备链路聚合、毫秒级主备切换、配置自动同步；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4.QoS策略；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5.支持管理接口。</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74</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交换机2</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1.1U，交换容量≥670Gbps，包转发率≥150Mpps（均以官网最小值为准），整机提供≥24个10/100/1000Base-T自适应以太网端口，≥4个1/10GE SFP+口（满配4个自适应1G/10G光模块）；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2.支持PoE(802.3af)/POE+(802.3at)供电标准，单端口最大输出30W。支持Fast PoE，支持Perpetual PoE；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3.支持IPv4/IPv6静态路由，支持双栈，支持RIPv1/v2，RIPng、IS-IS、BGP、等价路由、策略路由；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4.支持G.8032以太网环保护协议ERPS，切换时间≤50ms，可兼容其他支持该协议的产品；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5.支持设备虚拟化堆叠技术，可将多台交换机虚拟为一台逻辑设备，统一管理、跨设备链路聚合、毫秒级主备切换、配置自动同步；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6.支持 Telemetry 技术，实时采集设备数据并上送至网络分析组件平台，实现流量可视化。</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交换机3</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1.1U，交换容量≥1.2Tbps，包转发率≥190Mpps，24 个万兆 SFP 光口；包含 24 支同规格万兆 SFP光模块；支持热插拔，端口独立硬件转发，单端口故障不影响整机及其他端口正常运行；</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2.支持完整三层路由协议（OSPF、BGP、IS-IS）、VXLAN/EVPN 数据中心虚拟化；支持完整虚拟化堆叠及ISSU设备平滑升级；支持STP/RSTP/MSTP 生成树协议，支持 802.1Q 标准 VLAN；</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3.支持端口 MAC 绑定、802.1X 端口认证、ACL 二层访问控制列表、端口环路检测；</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4.支持 ITU-T G.8032 ERPS 多环相交保护，故障切换≤50ms；支持标准Telemetry 流式遥测及硬件随流检测，实时采集全维度流量数据上送分析平台。</w:t>
            </w:r>
            <w:r>
              <w:rPr>
                <w:rFonts w:hint="eastAsia" w:ascii="宋体" w:hAnsi="宋体" w:eastAsia="宋体" w:cs="宋体"/>
                <w:bCs/>
                <w:color w:val="000000"/>
                <w:sz w:val="24"/>
                <w:szCs w:val="24"/>
                <w:highlight w:val="none"/>
                <w:lang w:val="en-US" w:eastAsia="zh-CN"/>
              </w:rPr>
            </w:r>
            <w:r/>
          </w:p>
        </w:tc>
      </w:tr>
      <w:tr>
        <w:trPr>
          <w:trHeight w:val="0"/>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配电箱及运行控制设备</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1.60KW项目所需所有配套，具备远程上电功能，PLC功能，继电器、空气开关元器件；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2.额定工作电压Ue=380V/220V、额定绝缘电压Ui=500V、频率:50HZ；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3.无明显导电灰尘及对金属、绝缘物有害的腐性、易燃、易爆的危险物品；</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4.具备手动控制和自动控制功能，可手动按钮控制设备的启/停，也可通过PLC控制设备的启停功能;多组输出，每组可独立控制，支持多种外部控制方式，具备分步延时启动功能；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5.具有电源状态指示、工作状态指示，可远程监控设备运行状态；</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6.配电柜成套设备的防护等级达到IP30。   </w:t>
            </w:r>
            <w:r>
              <w:rPr>
                <w:rFonts w:hint="eastAsia" w:ascii="宋体" w:hAnsi="宋体" w:eastAsia="宋体" w:cs="宋体"/>
                <w:bCs/>
                <w:color w:val="000000"/>
                <w:sz w:val="24"/>
                <w:szCs w:val="24"/>
                <w:highlight w:val="none"/>
                <w:lang w:val="en-US" w:eastAsia="zh-CN"/>
              </w:rPr>
            </w:r>
            <w:r/>
          </w:p>
        </w:tc>
      </w:tr>
      <w:tr>
        <w:trPr>
          <w:trHeight w:val="110"/>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77</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周边机箱</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平台机箱，双电源，单个电源额定功率不少于200W，10个槽位，内建Xio-Bus,带同步接口。</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78</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数字电源直通柜</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1.输出：60路，每路功率≥2.5KW；</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2.抽屉式继电器数字单元模组，可以互换，接插件采用圆形环抱全面积接触技术；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3.每个模组具有独立的处理器，允许热插拔工作；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4.安全备份：具有双电子处理器、双电源供电、双存储、热备份；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5.当信号中断，可瞬间保持最后一场信息；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6.不少于1个光纤接口、1以太网RJ45 接口、2个DMX512信号接口、支持双向RDM协议、TCP/IP 协议、ARNET 协议、sACN、RS232协议、RS485协议；</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7.具备火线裸露防触电功能：人体触摸火线无触电感、不伤人。漏电保护开关不跳闸，设备正常工作；</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具备火线裸露浸水防触电功能：输出回路电缆裸露带电浸泡水中，人体接触水无触电感觉。漏电保护开关不跳闸，设备正常工作。（签订合同时提供白皮书、彩页、手册、网站截图、第三方检测报告等至少一种证明材料）。</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79</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机柜1</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1.外形尺寸：600mm（宽）×900mm（深）×2000mm（高）；</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2.主体框架：SPCC 冷轧钢板，焊接 + 螺栓加固；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3.前门：单开高密度六角网孔门，通风率≥75%，配旋转把手锁，开启角≥120°；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4.后门：双开波浪形网孔门，通风率≥75%，配连杆锁，开启角≥120°；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5.侧门：左右可拆卸全钢侧门，快开锁扣，方便维护；</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6.接地：前后门 / 侧门均配接地螺栓，保证等电位连接；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7.顶部：可拆卸网孔顶盖，预留 4×120mm 风扇安装位；</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8.底部：可拆卸底盖，带大尺寸走线孔（可加毛刷防尘）；</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9.侧面：两侧预留走线槽，后部标配理线架/理线板；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10.通风路径：前后网门→内部设备→顶部/底部散热；</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11.6位PDU，不少于10个。</w:t>
            </w:r>
            <w:r>
              <w:rPr>
                <w:rFonts w:hint="eastAsia" w:ascii="宋体" w:hAnsi="宋体" w:eastAsia="宋体" w:cs="宋体"/>
                <w:bCs/>
                <w:color w:val="000000"/>
                <w:sz w:val="24"/>
                <w:szCs w:val="24"/>
                <w:highlight w:val="none"/>
                <w:lang w:val="en-US" w:eastAsia="zh-CN"/>
              </w:rPr>
            </w:r>
            <w:r/>
          </w:p>
        </w:tc>
      </w:tr>
      <w:tr>
        <w:trPr>
          <w:trHeight w:val="0"/>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机柜2</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1.外形尺寸：600mm（宽）×800mm（深）×2000mm（高）；</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2.主体框架：SPCC 冷轧钢板，焊接 + 螺栓加固；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3.前门：单开高密度六角网孔门，通风率≥75%，配旋转把手锁，开启角≥120°；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4.后门：双开波浪形网孔门，通风率≥75%，配连杆锁，开启角≥120°；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5.侧门：左右可拆卸全钢侧门，快开锁扣，方便维护；</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6.接地：前后门 / 侧门均配接地螺栓，保证等电位连接；</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7.顶部：可拆卸网孔顶盖，预留 4×120mm 风扇安装位；</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8.底部：可拆卸底盖，带大尺寸走线孔（可加毛刷防尘）；</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9.侧面：两侧预留走线槽，后部标配理线架/理线板；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10.通风路径：前后网门→内部设备→顶部/底部散热；</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11.6位PDU，不少于2个。</w:t>
            </w:r>
            <w:r>
              <w:rPr>
                <w:rFonts w:hint="eastAsia" w:ascii="宋体" w:hAnsi="宋体" w:eastAsia="宋体" w:cs="宋体"/>
                <w:bCs/>
                <w:color w:val="000000"/>
                <w:sz w:val="24"/>
                <w:szCs w:val="24"/>
                <w:highlight w:val="none"/>
                <w:lang w:val="en-US" w:eastAsia="zh-CN"/>
              </w:rPr>
            </w:r>
            <w:r/>
          </w:p>
        </w:tc>
      </w:tr>
      <w:tr>
        <w:trPr>
          <w:trHeight w:val="409"/>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81</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干燥柜</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1.除湿容积：不小于160L；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2.推拉托盘：5个（可调节高度）；</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3.湿度控制方式：机械式湿度控制器（无级段调节）；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4.除湿机芯：形状记忆合金技术，无需频繁更换吸湿材料。</w:t>
            </w:r>
            <w:r>
              <w:rPr>
                <w:rFonts w:ascii="宋体" w:hAnsi="宋体" w:eastAsia="宋体" w:cs="宋体"/>
                <w:bCs/>
                <w:color w:val="000000"/>
                <w:sz w:val="24"/>
                <w:szCs w:val="24"/>
                <w:highlight w:val="none"/>
                <w:lang w:val="en-US" w:eastAsia="zh-CN"/>
              </w:rPr>
            </w:r>
            <w:r/>
          </w:p>
        </w:tc>
      </w:tr>
      <w:tr>
        <w:trPr>
          <w:trHeight w:val="90"/>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82</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电源时序器</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1.8路电源时序控制器（带数字电压显示表）；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2.控制接口：有RS232与RS485两种方式。</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83</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UPS</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1.安装方式：机架式；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2.拓扑结构：双变换在线式；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3.供电制式：单进单出；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4.后备时间：大于15分钟；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5.功率：大于等于3000W。</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84</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控制台</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1.主要承重材料采用铝合金型材搭建、配合冷轧钢板材料厚度≥2.0mm。其余材料厚度≥1.2mm等。表面静电喷塑；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2.按照底柜配置，底柜箱体采用铝合金型材搭建、前后部采用钢板加工开门形式封闭。下箱采用铝合金型材搭建，底柜前后门为转轴式，平面台上可嵌入式安装各类设备。下箱12U高度；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3.每单元可配置6个多功能PDU插孔的电源插座1根；设备安装角铁；装饰U板；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4.侧方采用木制品制作，外喷聚酯漆，操作台平面台采用防火板贴面，防火板：选用高密度板为基材，表面采用防火板贴面，采用塑料或金属油漆封边；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5.金属结构件与机房接地环接通，接地电阻&lt;1Ω，绝缘电阻应&gt;1000MΩ；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6.表面处理工艺：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（1）金属部分: 产品成形--去油去锈--加温热磷化--静电喷塑，内部镀锌件均为采用热镀锌钝彩工艺；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（2）木质部分:防火底漆,采用五底三面工艺,聚脂面漆。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7.灯箱及灯槽深度100 mm内部涂装白色涂料；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8.边缘发光灯带封3mm厚乳白色亚克力，内置B5050规格灯带、每米功率不小于12w；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9.尺寸：550mm长*1000mm深*750mm高为一个标准工位。详见图纸要求（见附件）</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操作台</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1.主要承重材料采用铝合金型材搭建、配合冷轧钢板材料厚度≥2.0mm；其余材料厚度≥1.2mm等；表面静电喷塑；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2.按照底柜配置，底柜箱体采用铝合金型材搭建、前后部采用钢板加工开门形式封闭。下箱采用铝合金型材搭建，底柜前后门为转轴式，平面台上需可嵌入式安装4U高度各类设备，下箱12U高度；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3.每单元可配置6个多功能PDU插孔的电源插座1根；设备安装角铁；装饰U板；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4.侧方采用木制品制作，外喷聚酯漆，操作台平面台采用防火板贴面，防火板：选用高密度板为基材，表面采用防火板贴面，采用塑料或金属油漆封边；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5.金属结构件与机房接地环接通，接地电阻&lt;1Ω，绝缘电阻应&gt;1000MΩ；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6.表面处理工艺：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（1）金属部分: 产品成形--去油去锈--加温热磷化--静电喷塑，漆膜富有现代感，内部镀锌件均为采用热镀锌钝彩工艺；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（2）木质部分:防火底漆,采用五底三面工艺,聚脂面漆。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7.灯箱及灯槽深度100 内部涂装白色涂料；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8.边缘发光灯带封3mm厚乳白色亚克力，内置B5050规格灯带、每米功率不小于12w；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9.每个单元具备可调节监视器支架；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10.尺寸：550mm*1000mm*750mm。</w:t>
            </w:r>
            <w:r>
              <w:rPr>
                <w:rFonts w:hint="eastAsia" w:ascii="宋体" w:hAnsi="宋体" w:eastAsia="宋体" w:cs="宋体"/>
                <w:bCs/>
                <w:color w:val="000000"/>
                <w:sz w:val="24"/>
                <w:szCs w:val="24"/>
                <w:highlight w:val="none"/>
                <w:lang w:val="en-US" w:eastAsia="zh-CN"/>
              </w:rPr>
            </w:r>
            <w:r/>
          </w:p>
        </w:tc>
      </w:tr>
      <w:tr>
        <w:trPr>
          <w:trHeight w:val="65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办公椅</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1.饰面：椅背椅座采用透气网布面料；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2.海绵：回弹海绵；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3.固定扶手；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4.气压棒：防爆等级≥Class 4；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5.五星脚：材料压铸而成，精抛处理；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6.椅轮：合成尼龙纤维树脂材料制成，活动自如，耐磨性及其它理化性能均达到国家标准测试。</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87</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沙发</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1.尺寸：单人位：650mm宽×550mm深。</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2.框架：实木方料+多层板加固，含水率8%–12%，防虫防腐或简金属框架；承重≥200kg，稳固不变形；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3.海绵</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（1）座垫：高密度冷泡海绵，密度≥30kg/m³，回弹≥35%，压缩永久变形≤10%；</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（2）靠背：中高密度海绵，柔软支撑，久坐不变形。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4.面料</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仿皮：厚度≥1.0mm，耐磨、耐刮、易清洁；摩擦色牢度干/湿擦≥4级，耐老化、不龟裂。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5.五金与脚架：金属结构腿或铝合金四星固定脚；承重强、防锈；连接件防锈防腐。</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88</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茶几</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1.尺寸（误差≤3mm）：800mm×600mm×550mm。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2.基材: E0级环保中纤板/实木框架，厚度≥25mm；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3.台面：采用环保中密板，经防潮、防虫、防腐处理；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4.封边/包边：PVC封边≥2mm或不锈钢包边，牢固平整，无毛刺；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5.五金与脚架：实木脚/金属脚，防锈防腐；结构稳固，承重≥50kg。</w:t>
            </w:r>
            <w:r>
              <w:rPr>
                <w:rFonts w:hint="eastAsia" w:ascii="宋体" w:hAnsi="宋体" w:eastAsia="宋体" w:cs="宋体"/>
                <w:bCs/>
                <w:color w:val="000000"/>
                <w:sz w:val="24"/>
                <w:szCs w:val="24"/>
                <w:highlight w:val="none"/>
                <w:lang w:val="en-US" w:eastAsia="zh-CN"/>
              </w:rPr>
            </w:r>
            <w:r/>
          </w:p>
        </w:tc>
      </w:tr>
      <w:tr>
        <w:trPr>
          <w:trHeight w:val="500"/>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89</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制作系统安装调试</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制作系统的安装调试；包含安装所需的配套线材辅材，投标人根据现场及产品清单自行估算所需线辅材数量，保证系统稳定运行所需，后期采购人不再追加额外费用。以下为部分主要线材规格要求：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 网线：带宽达到250MHz，8根芯线单股软铜线，符合ANSI/TIA-568.2-D、ISO/IEC 11801、EN50173-1：2001六类规范；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 专业音箱电缆:2*2.5mm²护套音响线或2*4.0mm²护套音响线，按需配备，满足设备集成需求；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 信号线：四芯编织双绞线屏蔽话筒线或单晶铜材质2芯话筒线；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 同轴线：50Ω同轴电缆，铝箔和镀锡铜编织屏蔽；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 电源线：RVV3*2.5mm²电线，阻燃，国标；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 公母卡侬头：3芯电缆连接器，镀黑外壳，镀金触点；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 跳线：音箱跳线、音频信号跳线、网络跳线以及HDMI线等，按需配备，满足设备集成需求；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 电源接插件：10A，黑色，IP44防护等级，阻燃；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 信号接插件：3芯电缆连接器，外壳电泳黑，触点镀金；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10.12G视频专用-5同轴线：数字视音频同用，12G-SDI传输≥102米，外径≥7.7mm，屏蔽结构，衰减≤39.1dB/100m（@6GHz）；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11.12G视频专用-3同轴线：数字视音频同用，12G-SDI传输≥58米，外径≥5.5mm，屏蔽结构，衰减≤68.5dB/100m（@6GHz）；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12.12G视频专用-5冷压接头：适用于7.7mm线径12G-SDI信号，高回波损耗设计，压接式BNC插头；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13.12G视频专用-3冷压接头：适用于5.5mm线径12G-SDI信号，高回波损耗设计，压接式BNC插头；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14.通联光缆铺设：8芯1310nm单模光缆，用于通联系统，铺设至汇聚间；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15.采用符合SMPTE304M标准的推拉自锁混合光纤连接器预埋线材：≥30米SMPTE 311M复合缆，带连接器头，防水耐腐蚀，抗拉强度≥5000N，适用于光电接口箱预埋；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16.采用符合SMPTE304M标准的推拉自锁混合光纤连接器母座：广播级光纤插座，插损≤0.5dB，回波损耗≥45dB，结构耐腐蚀，配绝缘保护附件；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17.讯道音频电缆：两芯屏蔽音频线，外径≥5mm，柔韧易布线，适用于机柜内部安装；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18.音频连接器：三芯镀银XLR卡侬头/母，镀银接点，抗干扰，适配专业音频系统；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19.12G视频连接器：压接设计确保快速牢固的安装；镀金“弹簧锁”中心触针，外导体采用铍铜合金；满足国家标准的连接器；12G SDI/3G-SDI 传输；含12G视频电缆；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20.辅材：含穿线管材、桥架、线鼻、扎带、胶布及缠绕管等。</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90</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吊挂机械系统安装调试</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舞台机械的安装调试是确保设备安全、精准、稳定运行的核心依据，其覆盖机械性能、电气控制、安全防护、运行精度等多个维度。所有卷扬机、吊杆、滑轮、钢丝绳、收线框等设备的现场安装；机械系统精度校准、限位调试；控制系统接线、编程、联调；空载 / 满载 / 超载试运行（125% 额定荷载）；</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2.调试工作包括功能完整性、精度重复性、稳定性测试、安全性能测试、噪声实测。操作人员培训与竣工资料交付；</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3.包含安装所需的配套线材辅材，投标人根据现场及产品清单自行估算所需线辅材数量，保证系统稳定运行所需，后期采购人不再追加额外费用；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4.配件要求：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电源线：ZR-RVV4x2.5线缆；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制动线：ZR-RVV4x1线缆；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限位线：ZR-RVV6x0.75线缆；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编码器线：ZR-RVVP6x0.75线缆；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网线：带宽达到250MHz，8根芯线单股软铜线，符合ANSI/TIA-568.2-D、ISO/IEC 11801、EN50173-1：2001六类规范；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电源接插件：16A，黑色，IP44防护等级，阻燃；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信号接插件：3芯电缆连接器，外壳电泳黑，触点镀金；</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桥架：100*100镀锌桥架、200*100镀锌桥架以及50*50镀锌桥架；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滑轮（单槽、双槽、三槽、四槽）：Φ150，材质为高强度尼龙，槽径匹配 Φ6 钢丝绳，槽面光滑无毛刺，重载深沟球轴承；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钢丝绳：Φ6，结构为 6X19+NF，抗拉强度≥1770MPa，破断拉力≥22kN，热镀锌防腐；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舞台专用旋转齿轮限位开关：传功比可调范围广、承载能力强；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有效可用圈数:17.5-48，齿轮传动比:18.367-49.573，传动比系数:1-2.689，行星传动比:8.570，最大驱动速度r/min:1600吊杆水平调节器：荷载：每个荷载 300kg，静态荷载安全系数≥5，调节范围：水平调节 ±50mm，角度调节 ±5°，表面镀锌防腐，结构：丝杆调节 + 锁紧装置，调节后无滑移，适配Φ48吊杆，可现场微调；                                   </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收线框：尺寸：1200mm×900mm×220mm，表面喷黑处理，收纳灯光线缆，带线缆固定卡扣。</w:t>
            </w:r>
            <w:r>
              <w:rPr>
                <w:rFonts w:hint="eastAsia" w:ascii="宋体" w:hAnsi="宋体" w:eastAsia="宋体" w:cs="宋体"/>
                <w:bCs/>
                <w:color w:val="000000"/>
                <w:sz w:val="24"/>
                <w:szCs w:val="24"/>
                <w:highlight w:val="none"/>
                <w:lang w:val="en-US" w:eastAsia="zh-CN"/>
              </w:rPr>
            </w:r>
            <w:r/>
          </w:p>
        </w:tc>
      </w:tr>
      <w:tr>
        <w:trPr>
          <w:trHeight w:val="1253"/>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91</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灯光系统安装调试</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安装灯具，确保其布局合理，稳固牢靠，无安全隐患；安装信号传输设备，要求信号传输稳定；控制设备的安装，需注重操作的便捷性和功能的完备性；辅助设备的安装，要保证其性能优越且使用安全；每盏灯需安装1个灯号牌，每盏灯调节范围＞2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2.调试工作包括调整灯光的覆盖，检测信号传输设备的信号质量，设置控制设备的参数，以及测试辅助设备的使用性能，满足使用需求；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3.包含安装所需的配套线材辅材，投标人根据现场及产品清单自行估算所需线辅材数量，保证系统稳定运行所需，后期采购人不再追加额外费用；</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以下为部分主要线材规格要求：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网线：带宽达到250MHz，8根芯线单股软铜线，符合ANSI/TIA-568.2-D、ISO/IEC 11801、EN50173-1：2001六类规范；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专业电缆:ZR-RVV3x2.5阻燃线缆，ZR-RVV4*50²+1*25²阻燃线缆按需配备，满足设备集成需求；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扁平电缆：满足每杆4路电源回路，2路DMX512信号回路，1路以太网回路,阻燃；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跳线：DMX512信号条线，按需配备，满足设备集成需求；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舞台灯光信号线：高纯度无氣铜细铜线经复合绞制，发泡聚烯烃作为绝缘材料，护套采用聚氣乙弹性体材料,具有编织屏蔽层合铝塑带；</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电源接插件：16A，黑色，IP44防护等级，阻燃；</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信号接插件：3芯电缆连接器，外壳电泳黑，触点镀金；</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辅材：含穿线管材、桥架、线鼻、扎带、胶布及缠绕管等。</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设备层实施</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strike w:val="0"/>
                <w:color w:val="000000"/>
                <w:sz w:val="24"/>
                <w:szCs w:val="24"/>
                <w:highlight w:val="none"/>
                <w:lang w:val="en-US" w:eastAsia="zh-CN"/>
              </w:rPr>
              <w:t xml:space="preserve">设备层钢架</w:t>
            </w:r>
            <w:r>
              <w:rPr>
                <w:rFonts w:hint="eastAsia" w:ascii="宋体" w:hAnsi="宋体" w:eastAsia="宋体" w:cs="宋体"/>
                <w:bCs/>
                <w:color w:val="000000"/>
                <w:sz w:val="24"/>
                <w:szCs w:val="24"/>
                <w:highlight w:val="none"/>
                <w:lang w:val="en-US" w:eastAsia="zh-CN"/>
              </w:rPr>
              <w:t xml:space="preserve">现场定制，设置在屋盖下弦合理的位置；需设置兜底防坠落安全网。所有钢结构在制作前需经过除锈处理刷防锈漆一遍，待钢结构主体安装制作完再补一遍防锈漆，最后再补一遍防火涂层油漆。供应商按图实施，实施前经采购人确认。</w:t>
            </w:r>
            <w:r>
              <w:rPr>
                <w:rFonts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93</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声学处理</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1.定制扩散体600*600*70mm共计12个，松木水性漆工艺；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2.定制扩散体1500*900*70mm共计6个，松木水性漆工艺；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3.定制扩散体1500*600*70mm共计6个，松木水性漆工艺；</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4.原有免漆木门吸音软包处理，密封条处理三樘，尺寸为：1.7*2.1mm，1.5*2.1mm，面积约10.29平方米。</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94</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显示屏安装框架结构及装饰</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安装框架采用Q235B标准镀锌方管，平整度好，高精度连接校准；屏体主结构框架采用镀锌钢管制作，防腐防锈处理，亚光黑色304不锈钢包边,包边左、右、上宽度3至6公分，包边下宽度20公分至30公分。主框架满足产品安装和安全要求。屏体加钢结构支架不超过25公分厚度。 </w:t>
            </w:r>
            <w:r>
              <w:rPr>
                <w:rFonts w:hint="eastAsia" w:ascii="宋体" w:hAnsi="宋体" w:eastAsia="宋体" w:cs="宋体"/>
                <w:bCs/>
                <w:color w:val="000000"/>
                <w:sz w:val="24"/>
                <w:szCs w:val="24"/>
                <w:highlight w:val="none"/>
                <w:lang w:val="en-US" w:eastAsia="zh-CN"/>
              </w:rPr>
            </w:r>
            <w:r/>
          </w:p>
        </w:tc>
      </w:tr>
      <w:tr>
        <w:trPr>
          <w:trHeight w:val="976"/>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95</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综合演播室舞美置景</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根据功能需求定制，满足置景需求。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1.顶面：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（1）基础安装：15mm厚防火阻燃板+3mm厚密度板异形发光灯槽造型制作，甲醛释放量≤0.05mg/m³，5号钢丝绳吊装固定，含五金配件；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（2）发光工艺：内置LED可调光发光LED（12V白光/蓝光/RGB），灯带安装和固定调试灯带光源光满足摄像机拍摄分辨率及频谱要求；</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（3）发光工艺配件：12V\24V变压器、放大器、DMX512调光解码器接入舞美安装。</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2.墙面：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（1）基础安装：采用Q235B标准40mm*40mm，3mm壁厚镀锌方管制作框架，焊接并与墙面原始结构固定</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（2）基础安装：定制Q235B标准直径48mm，壁厚5mm异形舞台帷幕轨道；</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（3）基础安装：15mm厚防火阻燃板+3mm厚密度板异形发光灯槽\灯箱造型制作及安装；</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（4）基础安装：15mm厚高密度吸音板机床不规则冲孔板敷面；</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（5）发光工艺：内置LED可调光发光LED（12V白光/蓝光/RGB），灯带安装和固定调试灯带光源光满足4K拍摄分辨率及频谱要求，工作频率≥2500MHz；</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（6）发光工艺配件：12V\24V变压器、放大器、DMX512调光解码器接入舞美安装；</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（7）饰面装饰：3mm厚发光软膜含金属龙骨卡条配件安装；</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（8）饰面装饰：工厂油漆喷涂/烤漆工坊；</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（9）饰面装饰：定制阻燃型星空幕布五金配件。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3.配套电气系统安装(参见广播电视技术工艺），包含但不仅限于配套所需用材：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（1）含系统所需配电箱改造：大屏电箱改造、专业灯光电箱改造、电动座椅电箱安装、市电照明、插座电箱改造、设备；</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（2）所有对应的含200mm*100mm，壁厚1.2mm镀锌桥架约167米，100mm*100mm,壁厚1.2mm镀锌桥架约123米；直径32mmjdg线管约110米；直径20mmjdg线管约480米；固定桥架的支吊架约55KG；</w:t>
            </w:r>
            <w:r>
              <w:rPr>
                <w:rFonts w:hint="eastAsia" w:ascii="宋体" w:hAnsi="宋体" w:eastAsia="宋体" w:cs="宋体"/>
                <w:bCs/>
                <w:color w:val="000000"/>
                <w:sz w:val="24"/>
                <w:szCs w:val="24"/>
                <w:highlight w:val="none"/>
                <w:lang w:val="en-US" w:eastAsia="zh-CN"/>
              </w:rPr>
            </w:r>
            <w:r/>
          </w:p>
          <w:p>
            <w:pPr>
              <w:pStyle w:val="877"/>
              <w:jc w:val="both"/>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（3）2.5mm</w:t>
            </w:r>
            <w:r>
              <w:rPr>
                <w:rFonts w:hint="eastAsia" w:ascii="宋体" w:hAnsi="宋体" w:eastAsia="宋体" w:cs="宋体"/>
                <w:bCs/>
                <w:color w:val="000000"/>
                <w:sz w:val="24"/>
                <w:szCs w:val="24"/>
                <w:highlight w:val="none"/>
                <w:vertAlign w:val="superscript"/>
                <w:lang w:val="en-US" w:eastAsia="zh-CN"/>
              </w:rPr>
              <w:t xml:space="preserve">2</w:t>
            </w:r>
            <w:r>
              <w:rPr>
                <w:rFonts w:hint="eastAsia" w:ascii="宋体" w:hAnsi="宋体" w:eastAsia="宋体" w:cs="宋体"/>
                <w:bCs/>
                <w:color w:val="000000"/>
                <w:sz w:val="24"/>
                <w:szCs w:val="24"/>
                <w:highlight w:val="none"/>
                <w:lang w:val="en-US" w:eastAsia="zh-CN"/>
              </w:rPr>
              <w:t xml:space="preserve">的无卤低烟阻燃绝缘电线约800米，4mm</w:t>
            </w:r>
            <w:r>
              <w:rPr>
                <w:rFonts w:hint="eastAsia" w:ascii="宋体" w:hAnsi="宋体" w:eastAsia="宋体" w:cs="宋体"/>
                <w:bCs/>
                <w:color w:val="000000"/>
                <w:sz w:val="24"/>
                <w:szCs w:val="24"/>
                <w:highlight w:val="none"/>
                <w:vertAlign w:val="superscript"/>
                <w:lang w:val="en-US" w:eastAsia="zh-CN"/>
              </w:rPr>
              <w:t xml:space="preserve">2</w:t>
            </w:r>
            <w:r>
              <w:rPr>
                <w:rFonts w:hint="eastAsia" w:ascii="宋体" w:hAnsi="宋体" w:eastAsia="宋体" w:cs="宋体"/>
                <w:bCs/>
                <w:color w:val="000000"/>
                <w:sz w:val="24"/>
                <w:szCs w:val="24"/>
                <w:highlight w:val="none"/>
                <w:lang w:val="en-US" w:eastAsia="zh-CN"/>
              </w:rPr>
              <w:t xml:space="preserve">的无卤低烟阻燃绝缘电线约400米，灯带DMX512控制线约200米，六类网线约550米；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（4）照明灯具射灯5个、12V灯带500米以及相关配套件；</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（5）设备专用插座16个。</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4.定制电动升降讲台一张，金属材质，台面可放置电脑、话筒，内走线。</w:t>
            </w:r>
            <w:r>
              <w:rPr>
                <w:rFonts w:ascii="宋体" w:hAnsi="宋体" w:eastAsia="宋体" w:cs="宋体"/>
                <w:bCs/>
                <w:color w:val="000000"/>
                <w:sz w:val="24"/>
                <w:szCs w:val="24"/>
                <w:highlight w:val="none"/>
                <w:lang w:val="en-US" w:eastAsia="zh-CN"/>
              </w:rPr>
            </w:r>
            <w:r/>
          </w:p>
        </w:tc>
      </w:tr>
      <w:tr>
        <w:trPr>
          <w:trHeight w:val="4024"/>
        </w:trPr>
        <w:tc>
          <w:tcPr>
            <w:tcW w:w="660"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96</w:t>
            </w:r>
            <w:r>
              <w:rPr>
                <w:rFonts w:ascii="宋体" w:hAnsi="宋体" w:eastAsia="宋体" w:cs="宋体"/>
                <w:bCs/>
                <w:color w:val="000000"/>
                <w:sz w:val="24"/>
                <w:szCs w:val="24"/>
                <w:highlight w:val="none"/>
                <w:lang w:val="en-US" w:eastAsia="zh-CN"/>
              </w:rPr>
            </w:r>
            <w:r/>
          </w:p>
        </w:tc>
        <w:tc>
          <w:tcPr>
            <w:tcW w:w="1354"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综合演播室控制室置景</w:t>
            </w:r>
            <w:r>
              <w:rPr>
                <w:rFonts w:hint="eastAsia" w:ascii="宋体" w:hAnsi="宋体" w:eastAsia="宋体" w:cs="宋体"/>
                <w:bCs/>
                <w:color w:val="000000"/>
                <w:sz w:val="24"/>
                <w:szCs w:val="24"/>
                <w:highlight w:val="none"/>
                <w:lang w:val="en-US" w:eastAsia="zh-CN"/>
              </w:rPr>
            </w:r>
            <w:r/>
          </w:p>
        </w:tc>
        <w:tc>
          <w:tcPr>
            <w:tcW w:w="779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1.墙面舞美制景，根据使用功能定制，可参见对应尺寸图。墙面展开面积约72平方米：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（1）采用Q235B标准≥40mm*40mm，2mm壁厚镀锌方管制作框架，焊接并与墙面原始结构固定；</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（2）2.5mm厚木纹转印铝单板；</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（3）100mm高1.2mm厚 304成品拉丝不锈钢踢脚；</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2.地面舞美制景，根据使用功能定制，可参见对应尺寸图。正面投影面积约35平方米</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（1）地坪整体无尘化处理；</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（2）500mm*500mm*25mm OA静电活动地板，含加强化立杆高度可调整100mm~200mm；</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（3）面500mm*500mm*3.5mm艺术块毯；</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3.配套系统安装(参见广播电视技术工艺），包含但不仅限于配套所需用材：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（1）横截面2.5mm²电线约50米，JDGφ16等辅材；</w:t>
            </w:r>
            <w:r>
              <w:rPr>
                <w:rFonts w:hint="eastAsia" w:ascii="宋体" w:hAnsi="宋体" w:eastAsia="宋体" w:cs="宋体"/>
                <w:bCs/>
                <w:color w:val="000000"/>
                <w:sz w:val="24"/>
                <w:szCs w:val="24"/>
                <w:highlight w:val="none"/>
                <w:lang w:val="en-US" w:eastAsia="zh-CN"/>
              </w:rPr>
            </w:r>
            <w:r/>
          </w:p>
          <w:p>
            <w:pPr>
              <w:pStyle w:val="877"/>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（2）设备专用插座2个含辅材。</w:t>
            </w:r>
            <w:r>
              <w:rPr>
                <w:rFonts w:hint="eastAsia" w:ascii="宋体" w:hAnsi="宋体" w:eastAsia="宋体" w:cs="宋体"/>
                <w:bCs/>
                <w:color w:val="000000"/>
                <w:sz w:val="24"/>
                <w:szCs w:val="24"/>
                <w:highlight w:val="none"/>
                <w:lang w:val="en-US" w:eastAsia="zh-CN"/>
              </w:rPr>
            </w:r>
            <w:r/>
          </w:p>
        </w:tc>
      </w:tr>
    </w:tbl>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End w:id="63"/>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2.其他技术要求 </w:t>
      </w:r>
      <w:r>
        <w:rPr>
          <w:rFonts w:hint="eastAsia" w:ascii="宋体" w:hAnsi="宋体" w:eastAsia="宋体" w:cs="宋体"/>
          <w:bCs/>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（1）本项目产品清单中标记为节能产品的，签订合同时须提供国家确定的认证机构出具的、处于有效期之内的节能产品认证证书。</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（2）设备配置要求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投标人应按照采购人提供的《专业场所设备配置明细》（格式见本章附件）进行系统深化设计及设备安装集成。</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（3）设备系统集成要求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①总体要求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声学要求。</w:t>
      </w:r>
      <w:r>
        <w:rPr>
          <w:rFonts w:hint="eastAsia" w:ascii="宋体" w:hAnsi="宋体" w:cs="Times New Roman"/>
          <w:color w:val="000000"/>
          <w:sz w:val="24"/>
          <w:szCs w:val="24"/>
          <w:highlight w:val="none"/>
          <w:lang w:val="en-US" w:eastAsia="zh-CN"/>
        </w:rPr>
        <w:t xml:space="preserve">综合</w:t>
      </w:r>
      <w:r>
        <w:rPr>
          <w:rFonts w:hint="eastAsia" w:ascii="宋体" w:hAnsi="宋体" w:eastAsia="宋体" w:cs="Times New Roman"/>
          <w:color w:val="000000"/>
          <w:sz w:val="24"/>
          <w:szCs w:val="24"/>
          <w:highlight w:val="none"/>
          <w:lang w:val="en-US" w:eastAsia="zh-CN"/>
        </w:rPr>
        <w:t xml:space="preserve">演播室等相关专业场所需具备良好的声学特性，包括混响时间：中频（500Hz）1.0±0.1秒；低频（125Hz）允许比中频长10%~20%，高频（4kHz）可略短，整体曲线需平直。背景噪声控制：≤NR-35曲线。声场均匀度：全场声压级差≤8dB（±4dB）。语音传输指数（STI）≥0.75，须避免回声、声聚焦等缺陷。实际建设中须结合结构隔声、吸声材料配置、空调降噪等综合措施，确保语言清晰度与节目制作质量。</w:t>
      </w:r>
      <w:r>
        <w:rPr>
          <w:rFonts w:hint="eastAsia" w:ascii="宋体" w:hAnsi="宋体" w:eastAsia="宋体" w:cs="Times New Roman"/>
          <w:color w:val="000000"/>
          <w:sz w:val="24"/>
          <w:szCs w:val="24"/>
          <w:highlight w:val="none"/>
          <w:lang w:val="en-US" w:eastAsia="zh-CN"/>
        </w:rPr>
      </w:r>
      <w:r/>
    </w:p>
    <w:p>
      <w:pPr>
        <w:pStyle w:val="877"/>
        <w:numPr>
          <w:ilvl w:val="0"/>
          <w:numId w:val="0"/>
        </w:numPr>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灯光系统。调光台具备每盏灯的亮度调节、色温调节、焦距调节（</w:t>
      </w:r>
      <w:r>
        <w:rPr>
          <w:rFonts w:hint="eastAsia" w:ascii="宋体" w:hAnsi="宋体" w:cs="Times New Roman"/>
          <w:color w:val="000000"/>
          <w:sz w:val="24"/>
          <w:szCs w:val="24"/>
          <w:highlight w:val="none"/>
          <w:lang w:val="en-US" w:eastAsia="zh-CN"/>
        </w:rPr>
        <w:t xml:space="preserve">平板柔光灯、定焦帕灯除外</w:t>
      </w:r>
      <w:r>
        <w:rPr>
          <w:rFonts w:hint="eastAsia" w:ascii="宋体" w:hAnsi="宋体" w:eastAsia="宋体" w:cs="Times New Roman"/>
          <w:color w:val="000000"/>
          <w:sz w:val="24"/>
          <w:szCs w:val="24"/>
          <w:highlight w:val="none"/>
          <w:lang w:val="en-US" w:eastAsia="zh-CN"/>
        </w:rPr>
        <w:t xml:space="preserve">）。舞台区域照度需达到1500lx。</w:t>
      </w:r>
      <w:r>
        <w:rPr>
          <w:rFonts w:ascii="宋体" w:hAnsi="宋体" w:eastAsia="宋体" w:cs="宋体"/>
          <w:color w:val="000000"/>
          <w:sz w:val="24"/>
          <w:szCs w:val="24"/>
          <w:highlight w:val="none"/>
        </w:rPr>
        <w:t xml:space="preserve">灯光供电配套系统</w:t>
      </w:r>
      <w:r>
        <w:rPr>
          <w:rFonts w:hint="eastAsia" w:ascii="宋体" w:hAnsi="宋体" w:eastAsia="宋体" w:cs="宋体"/>
          <w:color w:val="000000"/>
          <w:sz w:val="24"/>
          <w:szCs w:val="24"/>
          <w:highlight w:val="none"/>
          <w:lang w:val="en-US" w:eastAsia="zh-CN"/>
        </w:rPr>
        <w:t xml:space="preserve">需</w:t>
      </w:r>
      <w:r>
        <w:rPr>
          <w:rFonts w:ascii="宋体" w:hAnsi="宋体" w:eastAsia="宋体" w:cs="宋体"/>
          <w:color w:val="000000"/>
          <w:sz w:val="24"/>
          <w:szCs w:val="24"/>
          <w:highlight w:val="none"/>
        </w:rPr>
        <w:t xml:space="preserve">装设漏电保护装置；配套电缆桥架、金属线管，强弱电管线物理分隔敷设；整套系统设置等电位联结接地及专用防雷接地装置，满足安全用电、防雷防触电规范要求。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音频系统。无线话筒、数字调音台</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、数字调音台</w:t>
      </w:r>
      <w:r>
        <w:rPr>
          <w:rFonts w:hint="eastAsia" w:ascii="宋体" w:hAnsi="宋体" w:cs="Times New Roman"/>
          <w:color w:val="000000"/>
          <w:sz w:val="24"/>
          <w:szCs w:val="24"/>
          <w:highlight w:val="none"/>
          <w:lang w:val="en-US" w:eastAsia="zh-CN"/>
        </w:rPr>
        <w:t xml:space="preserve">2、数字音频处理器和</w:t>
      </w:r>
      <w:r>
        <w:rPr>
          <w:rFonts w:hint="eastAsia" w:ascii="宋体" w:hAnsi="宋体" w:eastAsia="宋体" w:cs="Times New Roman"/>
          <w:color w:val="000000"/>
          <w:sz w:val="24"/>
          <w:szCs w:val="24"/>
          <w:highlight w:val="none"/>
          <w:lang w:val="en-US" w:eastAsia="zh-CN"/>
        </w:rPr>
        <w:t xml:space="preserve">线阵音箱</w:t>
      </w:r>
      <w:r>
        <w:rPr>
          <w:rFonts w:hint="eastAsia" w:ascii="宋体" w:hAnsi="宋体" w:cs="Times New Roman"/>
          <w:color w:val="000000"/>
          <w:sz w:val="24"/>
          <w:szCs w:val="24"/>
          <w:highlight w:val="none"/>
          <w:lang w:val="en-US" w:eastAsia="zh-CN"/>
        </w:rPr>
        <w:t xml:space="preserve">组成全数字链路。</w:t>
      </w:r>
      <w:r>
        <w:rPr>
          <w:rFonts w:hint="eastAsia" w:ascii="宋体" w:hAnsi="宋体" w:eastAsia="宋体" w:cs="Times New Roman"/>
          <w:color w:val="000000"/>
          <w:sz w:val="24"/>
          <w:szCs w:val="24"/>
          <w:highlight w:val="none"/>
          <w:lang w:val="en-US" w:eastAsia="zh-CN"/>
        </w:rPr>
        <w:t xml:space="preserve">安装完成后具备良好的声学特性。无线话筒传输延迟≤3ms且具备远程监看扫频遥控功能。投标人所投手持无线发射器（产品清单31）、腰包发射器（产品清单32）、领夹咪（产品清单33）、头戴话筒（产品清单34）、无线会议底座（产品清单35）、指向性天线（产品清单36）、话筒接收机（产品清单37）、无线话筒自动增益控制天线分配器（产品清单38）产品须</w:t>
      </w:r>
      <w:r>
        <w:rPr>
          <w:rFonts w:hint="eastAsia" w:ascii="宋体" w:hAnsi="宋体" w:cs="Times New Roman"/>
          <w:color w:val="000000"/>
          <w:sz w:val="24"/>
          <w:szCs w:val="24"/>
          <w:highlight w:val="none"/>
          <w:lang w:val="en-US" w:eastAsia="zh-CN"/>
        </w:rPr>
        <w:t xml:space="preserve">与现有系统</w:t>
      </w:r>
      <w:r>
        <w:rPr>
          <w:rFonts w:hint="eastAsia" w:ascii="宋体" w:hAnsi="宋体" w:eastAsia="宋体" w:cs="Times New Roman"/>
          <w:color w:val="000000"/>
          <w:sz w:val="24"/>
          <w:szCs w:val="24"/>
          <w:highlight w:val="none"/>
          <w:lang w:val="en-US" w:eastAsia="zh-CN"/>
        </w:rPr>
        <w:t xml:space="preserve">灵活</w:t>
      </w:r>
      <w:r>
        <w:rPr>
          <w:rFonts w:hint="eastAsia" w:ascii="宋体" w:hAnsi="宋体" w:cs="Times New Roman"/>
          <w:color w:val="000000"/>
          <w:sz w:val="24"/>
          <w:szCs w:val="24"/>
          <w:highlight w:val="none"/>
          <w:lang w:val="en-US" w:eastAsia="zh-CN"/>
        </w:rPr>
        <w:t xml:space="preserve">调配</w:t>
      </w:r>
      <w:r>
        <w:rPr>
          <w:rFonts w:hint="eastAsia" w:ascii="宋体" w:hAnsi="宋体" w:eastAsia="宋体" w:cs="Times New Roman"/>
          <w:color w:val="000000"/>
          <w:sz w:val="24"/>
          <w:szCs w:val="24"/>
          <w:highlight w:val="none"/>
          <w:lang w:val="en-US" w:eastAsia="zh-CN"/>
        </w:rPr>
        <w:t xml:space="preserve">使用。</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LED大屏显示系统。刷新频率等技术参数满足4K拍摄需求。LED大屏控台满足4K视频源切换，开窗等应用场景。</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摄录像系统。综合</w:t>
      </w:r>
      <w:r>
        <w:rPr>
          <w:rFonts w:hint="eastAsia" w:ascii="宋体" w:hAnsi="宋体" w:cs="Times New Roman"/>
          <w:color w:val="000000"/>
          <w:sz w:val="24"/>
          <w:szCs w:val="24"/>
          <w:highlight w:val="none"/>
          <w:lang w:val="en-US" w:eastAsia="zh-CN"/>
        </w:rPr>
        <w:t xml:space="preserve">演播室</w:t>
      </w:r>
      <w:r>
        <w:rPr>
          <w:rFonts w:hint="eastAsia" w:ascii="宋体" w:hAnsi="宋体" w:eastAsia="宋体" w:cs="Times New Roman"/>
          <w:color w:val="000000"/>
          <w:sz w:val="24"/>
          <w:szCs w:val="24"/>
          <w:highlight w:val="none"/>
          <w:lang w:val="en-US" w:eastAsia="zh-CN"/>
        </w:rPr>
        <w:t xml:space="preserve">采用4台</w:t>
      </w:r>
      <w:r>
        <w:rPr>
          <w:rFonts w:hint="eastAsia" w:ascii="宋体" w:hAnsi="宋体" w:cs="Times New Roman"/>
          <w:color w:val="000000"/>
          <w:sz w:val="24"/>
          <w:szCs w:val="24"/>
          <w:highlight w:val="none"/>
          <w:lang w:val="en-US" w:eastAsia="zh-CN"/>
        </w:rPr>
        <w:t xml:space="preserve">演播室系统</w:t>
      </w:r>
      <w:r>
        <w:rPr>
          <w:rFonts w:hint="eastAsia" w:ascii="宋体" w:hAnsi="宋体" w:eastAsia="宋体" w:cs="Times New Roman"/>
          <w:color w:val="000000"/>
          <w:sz w:val="24"/>
          <w:szCs w:val="24"/>
          <w:highlight w:val="none"/>
          <w:lang w:val="en-US" w:eastAsia="zh-CN"/>
        </w:rPr>
        <w:t xml:space="preserve">摄像机，能够输出4K12G信号给导播台，</w:t>
      </w:r>
      <w:r>
        <w:rPr>
          <w:rFonts w:hint="eastAsia" w:ascii="宋体" w:hAnsi="宋体" w:cs="Times New Roman"/>
          <w:color w:val="000000"/>
          <w:sz w:val="24"/>
          <w:szCs w:val="24"/>
          <w:highlight w:val="none"/>
          <w:lang w:val="en-US" w:eastAsia="zh-CN"/>
        </w:rPr>
        <w:t xml:space="preserve">可在控制室内</w:t>
      </w:r>
      <w:r>
        <w:rPr>
          <w:rFonts w:hint="eastAsia" w:ascii="宋体" w:hAnsi="宋体" w:eastAsia="宋体" w:cs="Times New Roman"/>
          <w:color w:val="000000"/>
          <w:sz w:val="24"/>
          <w:szCs w:val="24"/>
          <w:highlight w:val="none"/>
          <w:lang w:val="en-US" w:eastAsia="zh-CN"/>
        </w:rPr>
        <w:t xml:space="preserve">远程遥控和设置</w:t>
      </w:r>
      <w:r>
        <w:rPr>
          <w:rFonts w:hint="eastAsia" w:ascii="宋体" w:hAnsi="宋体" w:cs="Times New Roman"/>
          <w:color w:val="000000"/>
          <w:sz w:val="24"/>
          <w:szCs w:val="24"/>
          <w:highlight w:val="none"/>
          <w:lang w:val="en-US" w:eastAsia="zh-CN"/>
        </w:rPr>
        <w:t xml:space="preserve">参数</w:t>
      </w:r>
      <w:r>
        <w:rPr>
          <w:rFonts w:hint="eastAsia" w:ascii="宋体" w:hAnsi="宋体" w:eastAsia="宋体" w:cs="Times New Roman"/>
          <w:color w:val="000000"/>
          <w:sz w:val="24"/>
          <w:szCs w:val="24"/>
          <w:highlight w:val="none"/>
          <w:lang w:val="en-US" w:eastAsia="zh-CN"/>
        </w:rPr>
        <w:t xml:space="preserve">。导播台具备4K下变换功能。机架式双通道硬盘录像机具备4K本地（存储卡）和网络录制远程调用素材功能。</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互通互联要求。</w:t>
      </w:r>
      <w:r>
        <w:rPr>
          <w:rFonts w:hint="eastAsia" w:ascii="宋体" w:hAnsi="宋体" w:cs="Times New Roman"/>
          <w:color w:val="000000"/>
          <w:sz w:val="24"/>
          <w:szCs w:val="24"/>
          <w:highlight w:val="none"/>
          <w:lang w:val="en-US" w:eastAsia="zh-CN"/>
        </w:rPr>
        <w:t xml:space="preserve">综合演播室可与现有</w:t>
      </w:r>
      <w:r>
        <w:rPr>
          <w:rFonts w:hint="eastAsia" w:ascii="宋体" w:hAnsi="宋体" w:eastAsia="宋体" w:cs="Times New Roman"/>
          <w:color w:val="000000"/>
          <w:sz w:val="24"/>
          <w:szCs w:val="24"/>
          <w:highlight w:val="none"/>
          <w:lang w:val="en-US" w:eastAsia="zh-CN"/>
        </w:rPr>
        <w:t xml:space="preserve">多功能报告厅、融媒体演播室、融媒体直播相关专业场所的视音频信号实现互联互通。</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配电系统及智能化。</w:t>
      </w:r>
      <w:r>
        <w:rPr>
          <w:rFonts w:hint="eastAsia" w:ascii="宋体" w:hAnsi="宋体" w:cs="Times New Roman"/>
          <w:color w:val="000000"/>
          <w:sz w:val="24"/>
          <w:szCs w:val="24"/>
          <w:highlight w:val="none"/>
          <w:lang w:val="en-US" w:eastAsia="zh-CN"/>
        </w:rPr>
        <w:t xml:space="preserve">综合演播室等</w:t>
      </w:r>
      <w:r>
        <w:rPr>
          <w:rFonts w:hint="eastAsia" w:ascii="宋体" w:hAnsi="宋体" w:eastAsia="宋体" w:cs="Times New Roman"/>
          <w:color w:val="000000"/>
          <w:sz w:val="24"/>
          <w:szCs w:val="24"/>
          <w:highlight w:val="none"/>
          <w:lang w:val="en-US" w:eastAsia="zh-CN"/>
        </w:rPr>
        <w:t xml:space="preserve">专业场所的配电系统须设立灯光系统、音频系统、LED大屏系统、摄录像系统独立回路，确保三相平衡和电源净化。对于切换台、录像机等具备软件的设备需配备不间断电源。综合演播室须具备系统集中控制功能，包括但不限于舞台机械系统、灯光系统、音频系统、LED大屏系统、摄录像系统等，功能满足采购人需求。供应商应综合考虑终控系统端口开发成本，采购人不额外追加。</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舞美置景。相关置景部分须按图实施，供应商在实施前须提供具体实施方案并经采购人认可。</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专业操作台、桌椅及家具。根据图纸和设备清单配备专业操作台、观众座椅、舞台等，确保装饰风格与现场环境一致美观。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②辅材要求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专业设备和系统集成所需的辅材接插件须满足国家相关行业标准。</w:t>
      </w:r>
      <w:r>
        <w:rPr>
          <w:rFonts w:hint="eastAsia" w:ascii="宋体" w:hAnsi="宋体" w:eastAsia="宋体" w:cs="Times New Roman"/>
          <w:color w:val="000000"/>
          <w:sz w:val="24"/>
          <w:szCs w:val="24"/>
          <w:highlight w:val="none"/>
          <w:lang w:val="en-US" w:eastAsia="zh-CN"/>
        </w:rPr>
      </w:r>
      <w:r/>
    </w:p>
    <w:p>
      <w:pPr>
        <w:pStyle w:val="877"/>
        <w:ind w:firstLine="480"/>
        <w:jc w:val="left"/>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电缆敷设需符合《低压配电设计规范》（GB 50054-2011），采用阻燃铜芯电缆（3C认证）。</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电缆阻燃等级：燃烧性能分级需符合《电缆及光缆燃烧性能分级》（GB 31247-2014），B1级（难燃）。</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装修材料防火等级：需符合《建筑内部装修设计防火规范》（GB 50222-2017），演播室顶棚/墙面需采用A级材料（不燃），地面≥B1级（难燃）。</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置景采用板材与装修材料须符合国家E0级标准，符合《民用建筑工程室内环境污染控制标准》。</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目为“交钥匙工程”。以采购人功能实现为目标，对于设备清单中未列出的，为实现系统功能所必需的其他各项设备及附件、各种连接件及辅材等均包含在投标报价中不再增加预算。对于招标文件未列出的，为实现系统功能所必需的各项深化</w:t>
      </w:r>
      <w:r>
        <w:rPr>
          <w:rFonts w:hint="eastAsia" w:ascii="宋体" w:hAnsi="宋体" w:eastAsia="宋体" w:cs="Times New Roman"/>
          <w:strike w:val="0"/>
          <w:color w:val="000000"/>
          <w:sz w:val="24"/>
          <w:szCs w:val="24"/>
          <w:highlight w:val="none"/>
          <w:lang w:val="en-US" w:eastAsia="zh-CN"/>
        </w:rPr>
        <w:t xml:space="preserve">设计费</w:t>
      </w:r>
      <w:r>
        <w:rPr>
          <w:rFonts w:hint="eastAsia" w:ascii="宋体" w:hAnsi="宋体" w:eastAsia="宋体" w:cs="Times New Roman"/>
          <w:strike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安装调试费、系统集成费、检测费、服务费均包含在投标报价中不再增加预算，供应商应评估由此产生的成本。</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（2）质量要求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en-US" w:eastAsia="zh-CN"/>
        </w:rPr>
        <w:t xml:space="preserve">中标后应提供主要设备完整的质量证明文件，确保可追溯性，包括但不限于：合格证明（出厂合格证、质量检验报告、原厂质保书）、技术文件（包括产品说明书、安装指南、维护手册、安全警示标识）、检测报告（第三方机构出具的检测报告）等；</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（3）验收要求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采购人有权委托依法取得检测、认证资质的机构进行检测、认证；采购人有权委托第三方监理负责或协助采购人全程参与验收过程，对</w:t>
      </w:r>
      <w:r>
        <w:rPr>
          <w:rFonts w:hint="eastAsia" w:ascii="宋体" w:hAnsi="宋体" w:eastAsia="宋体" w:cs="Times New Roman"/>
          <w:color w:val="000000"/>
          <w:sz w:val="24"/>
          <w:szCs w:val="24"/>
          <w:highlight w:val="none"/>
          <w:lang w:val="en-US" w:eastAsia="zh-CN"/>
        </w:rPr>
        <w:t xml:space="preserve">中标人</w:t>
      </w:r>
      <w:r>
        <w:rPr>
          <w:rFonts w:hint="eastAsia" w:ascii="宋体" w:hAnsi="宋体" w:eastAsia="宋体" w:cs="Times New Roman"/>
          <w:color w:val="000000"/>
          <w:sz w:val="24"/>
          <w:szCs w:val="24"/>
          <w:highlight w:val="none"/>
          <w:lang w:val="en-US" w:eastAsia="zh-CN"/>
        </w:rPr>
        <w:t xml:space="preserve">实施过程和实施结果进行专业验收；采购人有权邀请参与竞标的其他供应商参与验收。</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①验收标准</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符合国家标准、行业标准或本文件约定的技术参数。</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②验收内容</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货物验收：到货后核对数量、外观、规格、包装完整性及随附文件（以本文件产品技术指标为准）。</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安装调试及系统集成验收：需安装调试的设备或系统集成服务，在试运行后测试功能及性能指标（以本文件设备系统集成要求为准）。</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采购人（或监理）有权根据实际情况在关键节点作过程性验收，有权在实施环节随机提取货物（如LED模组、辅材等）与投标送检样品、检测报告等进行一致性校验。</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③验收结果​​</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合格确认：在全面评估履约效果，确保符合所有技术和服务要求，验收通过后签署《验收报告》，作为付款依据（如合同设备在考核中达到或视为达到技术性能考核指标，则采购人与供应商双方应在考核完成后7日内或专用合同条款另行约定的时间内签署合同设备验收证书一式二份，双方各持一份）。</w:t>
      </w:r>
      <w:r>
        <w:rPr>
          <w:rFonts w:hint="eastAsia" w:ascii="宋体" w:hAnsi="宋体" w:eastAsia="宋体" w:cs="Times New Roman"/>
          <w:color w:val="000000"/>
          <w:sz w:val="24"/>
          <w:szCs w:val="24"/>
          <w:highlight w:val="none"/>
          <w:lang w:val="en-US" w:eastAsia="zh-CN"/>
        </w:rPr>
      </w:r>
      <w:r/>
    </w:p>
    <w:p>
      <w:pPr>
        <w:pStyle w:val="877"/>
        <w:ind w:left="479" w:firstLine="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不合格处理：供应商须限期整改，在7–15日内修复问题并重新验收。</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违约责任：整改后仍不合格的，采购人可要求降价、换货、解除合同或索赔（合同总额15%–20%的违约金）并要求</w:t>
      </w:r>
      <w:r>
        <w:rPr>
          <w:rFonts w:hint="eastAsia" w:ascii="宋体" w:hAnsi="宋体" w:eastAsia="宋体" w:cs="Times New Roman"/>
          <w:color w:val="000000"/>
          <w:sz w:val="24"/>
          <w:szCs w:val="24"/>
          <w:highlight w:val="none"/>
          <w:lang w:val="en-US" w:eastAsia="zh-CN"/>
        </w:rPr>
        <w:t xml:space="preserve">中标人</w:t>
      </w:r>
      <w:r>
        <w:rPr>
          <w:rFonts w:hint="eastAsia" w:ascii="宋体" w:hAnsi="宋体" w:eastAsia="宋体" w:cs="Times New Roman"/>
          <w:color w:val="000000"/>
          <w:sz w:val="24"/>
          <w:szCs w:val="24"/>
          <w:highlight w:val="none"/>
          <w:lang w:val="en-US" w:eastAsia="zh-CN"/>
        </w:rPr>
        <w:t xml:space="preserve">承担采购人的一切损失。​</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（4）质保（维保）及售后要求</w:t>
      </w:r>
      <w:r>
        <w:rPr>
          <w:rFonts w:hint="eastAsia" w:ascii="宋体" w:hAnsi="宋体" w:eastAsia="宋体" w:cs="Times New Roman"/>
          <w:color w:val="000000"/>
          <w:sz w:val="24"/>
          <w:szCs w:val="24"/>
          <w:highlight w:val="none"/>
          <w:lang w:val="en-US" w:eastAsia="zh-CN"/>
        </w:rPr>
      </w:r>
      <w:r/>
    </w:p>
    <w:p>
      <w:pPr>
        <w:pStyle w:val="877"/>
        <w:numPr>
          <w:ilvl w:val="0"/>
          <w:numId w:val="0"/>
        </w:numPr>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①本项目所供设备、材料及安装的质量保证期三年,</w:t>
      </w:r>
      <w:r>
        <w:rPr>
          <w:rFonts w:ascii="宋体" w:hAnsi="宋体" w:eastAsia="宋体" w:cs="宋体"/>
          <w:color w:val="000000"/>
          <w:sz w:val="24"/>
          <w:szCs w:val="24"/>
          <w:highlight w:val="none"/>
        </w:rPr>
        <w:t xml:space="preserve">平台承重主体钢结构</w:t>
      </w:r>
      <w:r>
        <w:rPr>
          <w:rFonts w:hint="eastAsia" w:ascii="宋体" w:hAnsi="宋体" w:eastAsia="宋体" w:cs="宋体"/>
          <w:color w:val="000000"/>
          <w:sz w:val="24"/>
          <w:szCs w:val="24"/>
          <w:highlight w:val="none"/>
          <w:lang w:val="en-US" w:eastAsia="zh-CN"/>
        </w:rPr>
        <w:t xml:space="preserve">质保期限不少于5年</w:t>
      </w:r>
      <w:r>
        <w:rPr>
          <w:rFonts w:hint="eastAsia" w:ascii="宋体" w:hAnsi="宋体" w:eastAsia="宋体" w:cs="Times New Roman"/>
          <w:color w:val="000000"/>
          <w:sz w:val="24"/>
          <w:szCs w:val="24"/>
          <w:highlight w:val="none"/>
          <w:lang w:val="en-US" w:eastAsia="zh-CN"/>
        </w:rPr>
        <w:t xml:space="preserve">（自验收合格日起，开始进入质保期）。</w:t>
      </w:r>
      <w:r>
        <w:rPr>
          <w:rFonts w:ascii="宋体" w:hAnsi="宋体" w:eastAsia="宋体" w:cs="宋体"/>
          <w:color w:val="000000"/>
          <w:sz w:val="24"/>
          <w:szCs w:val="24"/>
          <w:highlight w:val="none"/>
        </w:rPr>
        <w:t xml:space="preserve">质保期内因制造、焊接</w:t>
      </w:r>
      <w:r>
        <w:rPr>
          <w:rFonts w:hint="eastAsia" w:ascii="宋体" w:hAnsi="宋体" w:eastAsia="宋体" w:cs="宋体"/>
          <w:color w:val="000000"/>
          <w:sz w:val="24"/>
          <w:szCs w:val="24"/>
          <w:highlight w:val="none"/>
          <w:lang w:val="en-US" w:eastAsia="zh-CN"/>
        </w:rPr>
        <w:t xml:space="preserve">等</w:t>
      </w:r>
      <w:r>
        <w:rPr>
          <w:rFonts w:ascii="宋体" w:hAnsi="宋体" w:eastAsia="宋体" w:cs="宋体"/>
          <w:color w:val="000000"/>
          <w:sz w:val="24"/>
          <w:szCs w:val="24"/>
          <w:highlight w:val="none"/>
        </w:rPr>
        <w:t xml:space="preserve">质量问题免费更换维修；人为超载、磕碰磨损等消耗情况仅收取配件成本；7×24小时售后响应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质保期内每半年上门巡检一次，</w:t>
      </w:r>
      <w:r>
        <w:rPr>
          <w:rFonts w:ascii="宋体" w:hAnsi="宋体" w:eastAsia="宋体" w:cs="宋体"/>
          <w:color w:val="000000"/>
          <w:sz w:val="24"/>
          <w:szCs w:val="24"/>
          <w:highlight w:val="none"/>
        </w:rPr>
        <w:t xml:space="preserve">检查格栅平整度、焊缝、连接紧固</w:t>
      </w:r>
      <w:r>
        <w:rPr>
          <w:rFonts w:hint="eastAsia" w:ascii="宋体" w:hAnsi="宋体" w:eastAsia="宋体" w:cs="宋体"/>
          <w:color w:val="000000"/>
          <w:sz w:val="24"/>
          <w:szCs w:val="24"/>
          <w:highlight w:val="none"/>
          <w:lang w:val="en-US" w:eastAsia="zh-CN"/>
        </w:rPr>
        <w:t xml:space="preserve">等</w:t>
      </w:r>
      <w:r>
        <w:rPr>
          <w:rFonts w:ascii="宋体" w:hAnsi="宋体" w:eastAsia="宋体" w:cs="宋体"/>
          <w:color w:val="000000"/>
          <w:sz w:val="24"/>
          <w:szCs w:val="24"/>
          <w:highlight w:val="none"/>
        </w:rPr>
        <w:t xml:space="preserve">情况，出具巡检记录。质保期满终身成本价维保。</w:t>
      </w:r>
      <w:r>
        <w:rPr>
          <w:rFonts w:hint="eastAsia" w:ascii="宋体" w:hAnsi="宋体" w:eastAsia="宋体" w:cs="宋体"/>
          <w:color w:val="000000"/>
          <w:sz w:val="24"/>
          <w:szCs w:val="24"/>
          <w:highlight w:val="none"/>
          <w:lang w:val="en-US" w:eastAsia="zh-CN"/>
        </w:rPr>
      </w:r>
      <w:r/>
    </w:p>
    <w:p>
      <w:pPr>
        <w:pStyle w:val="877"/>
        <w:ind w:firstLine="480"/>
        <w:jc w:val="left"/>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②中标后提供详细的售后服务承诺书，包括质保期、质量问题处理方法。</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③质保期内，每年维护保养1次，维护保养及更换损坏件的费用包含在投标总价中。</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④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核心产品（产品清单52）应额外提供2个显示模组，随供货进度同步交付，以备应急替换使用。</w:t>
      </w:r>
      <w:r>
        <w:rPr>
          <w:rFonts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⑤质保期内维修（人为因素除外）费用包含在投标总价中，质保期外提供不高于市场价格的终身维护,保证零配件的供给。</w:t>
      </w:r>
      <w:r>
        <w:rPr>
          <w:rFonts w:ascii="宋体" w:hAnsi="宋体" w:eastAsia="宋体" w:cs="Times New Roman"/>
          <w:color w:val="000000"/>
          <w:sz w:val="24"/>
          <w:szCs w:val="24"/>
          <w:highlight w:val="none"/>
          <w:lang w:val="en-US" w:eastAsia="zh-CN"/>
        </w:rPr>
      </w:r>
      <w:r/>
    </w:p>
    <w:p>
      <w:pPr>
        <w:pStyle w:val="877"/>
        <w:ind w:firstLine="480"/>
        <w:jc w:val="left"/>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⑥供应商须提供为期3年大型活动技术支持保障，每年4次。</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   （5）</w:t>
      </w:r>
      <w:bookmarkStart w:id="64" w:name="OLE_LINK4"/>
      <w:r>
        <w:rPr>
          <w:rFonts w:hint="eastAsia" w:ascii="宋体" w:hAnsi="宋体" w:eastAsia="宋体" w:cs="Times New Roman"/>
          <w:color w:val="000000"/>
          <w:sz w:val="24"/>
          <w:szCs w:val="24"/>
          <w:highlight w:val="none"/>
          <w:lang w:val="en-US" w:eastAsia="zh-CN"/>
        </w:rPr>
        <w:t xml:space="preserve">设备层及舞台机械系统施工要求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供应商承担设备层结构深化设计+供货+安装施工+系统调试+检测全流程工作。该部分涉及建筑内部设备承重钢结构，需要严格按照《建筑法》、《建设工程质量管理条例》、住建资质标准、现行强制性国标实施：</w:t>
      </w:r>
      <w:r>
        <w:rPr>
          <w:rFonts w:hint="eastAsia" w:ascii="宋体" w:hAnsi="宋体" w:eastAsia="宋体" w:cs="Times New Roman"/>
          <w:color w:val="000000"/>
          <w:sz w:val="24"/>
          <w:szCs w:val="24"/>
          <w:highlight w:val="none"/>
          <w:lang w:val="en-US" w:eastAsia="zh-CN"/>
        </w:rPr>
      </w:r>
      <w:r/>
    </w:p>
    <w:p>
      <w:pPr>
        <w:pStyle w:val="877"/>
        <w:numPr>
          <w:ilvl w:val="0"/>
          <w:numId w:val="5"/>
        </w:numPr>
        <w:ind w:left="0"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设计阶段：</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需完成舞台设备层、栅顶钢架、吊挂系统、卷扬设备、灯光音响吊杆、点位荷载、预埋件、安全防护等全套专项深化设计，确保所有吊挂设备可安全、规范、完整安装、调试及后期运维。  </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深化设计必须满足建筑结构安全、舞台工艺功能、消防规范、电气安全及检修要求，不得降低原结构安全标准、不得随意取消原有结构构件、不得擅自加大荷载。</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供应商应出具完整设计图纸、结构计算书、荷载验算报告等。上述图纸须由具备轻型钢结构工程设计专项乙级及以上资质，或工程设计建筑行业（建筑工程）乙级及以上资质</w:t>
      </w:r>
      <w:r>
        <w:rPr>
          <w:rFonts w:hint="eastAsia" w:ascii="宋体" w:hAnsi="宋体" w:cs="Times New Roman"/>
          <w:color w:val="000000"/>
          <w:sz w:val="24"/>
          <w:szCs w:val="24"/>
          <w:highlight w:val="none"/>
          <w:lang w:val="en-US" w:eastAsia="zh-CN"/>
        </w:rPr>
        <w:t xml:space="preserve">的设计</w:t>
      </w:r>
      <w:r>
        <w:rPr>
          <w:rFonts w:hint="eastAsia" w:ascii="宋体" w:hAnsi="宋体" w:eastAsia="宋体" w:cs="Times New Roman"/>
          <w:color w:val="000000"/>
          <w:sz w:val="24"/>
          <w:szCs w:val="24"/>
          <w:highlight w:val="none"/>
          <w:lang w:val="en-US" w:eastAsia="zh-CN"/>
        </w:rPr>
        <w:t xml:space="preserve">单位盖章认可，并经在册一级注册结构工程师签字盖章。</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采购人有权邀请原建设单位、监理单位协助审核。</w:t>
      </w:r>
      <w:r>
        <w:rPr>
          <w:rFonts w:ascii="宋体" w:hAnsi="宋体" w:eastAsia="宋体" w:cs="Times New Roman"/>
          <w:color w:val="000000"/>
          <w:sz w:val="24"/>
          <w:szCs w:val="24"/>
          <w:highlight w:val="none"/>
          <w:lang w:val="en-US" w:eastAsia="zh-CN"/>
        </w:rPr>
      </w:r>
      <w:r/>
    </w:p>
    <w:p>
      <w:pPr>
        <w:pStyle w:val="877"/>
        <w:numPr>
          <w:ilvl w:val="0"/>
          <w:numId w:val="5"/>
        </w:numPr>
        <w:ind w:left="0"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实施阶段：</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该阶段需具备符合本项目特定资格要求的单位负责实施。</w:t>
      </w:r>
      <w:r>
        <w:rPr>
          <w:rFonts w:ascii="宋体" w:hAnsi="宋体" w:eastAsia="宋体" w:cs="Times New Roman"/>
          <w:color w:val="000000"/>
          <w:sz w:val="24"/>
          <w:szCs w:val="24"/>
          <w:highlight w:val="none"/>
          <w:lang w:val="en-US" w:eastAsia="zh-CN"/>
        </w:rPr>
      </w:r>
      <w:r/>
    </w:p>
    <w:p>
      <w:pPr>
        <w:pStyle w:val="877"/>
        <w:numPr>
          <w:ilvl w:val="0"/>
          <w:numId w:val="5"/>
        </w:numPr>
        <w:ind w:left="0"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strike w:val="0"/>
          <w:color w:val="000000"/>
          <w:sz w:val="24"/>
          <w:szCs w:val="24"/>
          <w:highlight w:val="none"/>
          <w:lang w:val="en-US" w:eastAsia="zh-CN"/>
        </w:rPr>
        <w:t xml:space="preserve">检测</w:t>
      </w:r>
      <w:r>
        <w:rPr>
          <w:rFonts w:hint="eastAsia" w:ascii="宋体" w:hAnsi="宋体" w:eastAsia="宋体" w:cs="Times New Roman"/>
          <w:color w:val="000000"/>
          <w:sz w:val="24"/>
          <w:szCs w:val="24"/>
          <w:highlight w:val="none"/>
          <w:lang w:val="en-US" w:eastAsia="zh-CN"/>
        </w:rPr>
        <w:t xml:space="preserve">阶段：</w:t>
      </w:r>
      <w:r>
        <w:rPr>
          <w:rFonts w:hint="eastAsia" w:ascii="宋体" w:hAnsi="宋体" w:eastAsia="宋体" w:cs="Times New Roman"/>
          <w:color w:val="000000"/>
          <w:sz w:val="24"/>
          <w:szCs w:val="24"/>
          <w:highlight w:val="none"/>
          <w:lang w:val="en-US" w:eastAsia="zh-CN"/>
        </w:rPr>
      </w:r>
      <w:r/>
    </w:p>
    <w:p>
      <w:pPr>
        <w:pStyle w:val="877"/>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该阶段，</w:t>
      </w:r>
      <w:r>
        <w:rPr>
          <w:rFonts w:hint="eastAsia" w:ascii="宋体" w:hAnsi="宋体" w:eastAsia="宋体" w:cs="Times New Roman"/>
          <w:color w:val="000000"/>
          <w:sz w:val="24"/>
          <w:szCs w:val="24"/>
          <w:highlight w:val="none"/>
        </w:rPr>
        <w:t xml:space="preserve">供应商应依据现行国家强制性标准组织第三方检测，</w:t>
      </w:r>
      <w:r>
        <w:rPr>
          <w:rFonts w:hint="eastAsia" w:ascii="宋体" w:hAnsi="宋体" w:eastAsia="宋体" w:cs="Times New Roman"/>
          <w:strike w:val="0"/>
          <w:color w:val="000000"/>
          <w:sz w:val="24"/>
          <w:szCs w:val="24"/>
          <w:highlight w:val="none"/>
        </w:rPr>
        <w:t xml:space="preserve">提供正式检测报告。</w:t>
      </w:r>
      <w:r>
        <w:rPr>
          <w:rFonts w:hint="eastAsia" w:ascii="宋体" w:hAnsi="宋体" w:eastAsia="宋体" w:cs="Times New Roman"/>
          <w:color w:val="000000"/>
          <w:sz w:val="24"/>
          <w:szCs w:val="24"/>
          <w:highlight w:val="none"/>
          <w:lang w:val="en-US" w:eastAsia="zh-CN"/>
        </w:rPr>
        <w:t xml:space="preserve">包括但不限于</w:t>
      </w:r>
      <w:r>
        <w:rPr>
          <w:rFonts w:hint="eastAsia" w:ascii="宋体" w:hAnsi="宋体" w:eastAsia="宋体" w:cs="Times New Roman"/>
          <w:color w:val="000000"/>
          <w:sz w:val="24"/>
          <w:szCs w:val="24"/>
          <w:highlight w:val="none"/>
        </w:rPr>
        <w:t xml:space="preserve">原材料及构配件进场复验</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钢结构焊缝无损检测、涂层检测、安装偏差等工程实体检测，由具备</w:t>
      </w:r>
      <w:r>
        <w:rPr>
          <w:rFonts w:hint="eastAsia" w:ascii="宋体" w:hAnsi="宋体" w:eastAsia="宋体" w:cs="Times New Roman"/>
          <w:b w:val="0"/>
          <w:bCs w:val="0"/>
          <w:color w:val="000000"/>
          <w:sz w:val="24"/>
          <w:szCs w:val="24"/>
          <w:highlight w:val="none"/>
        </w:rPr>
        <w:t xml:space="preserve">钢结构工程检测专项资质</w:t>
      </w:r>
      <w:r>
        <w:rPr>
          <w:rFonts w:hint="eastAsia" w:ascii="宋体" w:hAnsi="宋体" w:eastAsia="宋体" w:cs="Times New Roman"/>
          <w:color w:val="000000"/>
          <w:sz w:val="24"/>
          <w:szCs w:val="24"/>
          <w:highlight w:val="none"/>
        </w:rPr>
        <w:t xml:space="preserve">的检测机构出具正式检测报告。所有检测满足 GB 50205规范要求，同时配套提供构件合格证、焊接工艺评定、隐蔽验收记录、焊工证书等全套竣工验收资料。</w:t>
      </w:r>
      <w:r>
        <w:rPr>
          <w:rFonts w:hint="eastAsia" w:ascii="宋体" w:hAnsi="宋体" w:eastAsia="宋体" w:cs="Times New Roman"/>
          <w:color w:val="000000"/>
          <w:sz w:val="24"/>
          <w:szCs w:val="24"/>
          <w:highlight w:val="none"/>
        </w:rPr>
      </w:r>
      <w:r/>
    </w:p>
    <w:p>
      <w:pPr>
        <w:pStyle w:val="877"/>
        <w:numPr>
          <w:ilvl w:val="0"/>
          <w:numId w:val="5"/>
        </w:numPr>
        <w:ind w:left="0"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运行维护：</w:t>
      </w:r>
      <w:r>
        <w:rPr>
          <w:rFonts w:hint="eastAsia" w:ascii="宋体" w:hAnsi="宋体" w:eastAsia="宋体" w:cs="Times New Roman"/>
          <w:color w:val="000000"/>
          <w:sz w:val="24"/>
          <w:szCs w:val="24"/>
          <w:highlight w:val="none"/>
          <w:lang w:val="en-US" w:eastAsia="zh-CN"/>
        </w:rPr>
      </w:r>
      <w:r/>
    </w:p>
    <w:p>
      <w:pPr>
        <w:pStyle w:val="877"/>
        <w:numPr>
          <w:ilvl w:val="0"/>
          <w:numId w:val="0"/>
        </w:numPr>
        <w:ind w:firstLine="48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所有设备安装精度、结构偏差、运行参数必须满足国家及行业舞台工程验收标准，确保系统安全稳定、可长期运维。</w:t>
      </w:r>
      <w:r>
        <w:rPr>
          <w:rFonts w:ascii="宋体" w:hAnsi="宋体" w:eastAsia="宋体" w:cs="宋体"/>
          <w:color w:val="000000"/>
          <w:sz w:val="24"/>
          <w:szCs w:val="24"/>
          <w:highlight w:val="none"/>
        </w:rPr>
        <w:t xml:space="preserve">平台承重主体钢结构遵循建筑法规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因</w:t>
      </w:r>
      <w:r>
        <w:rPr>
          <w:rFonts w:hint="eastAsia" w:ascii="宋体" w:hAnsi="宋体" w:eastAsia="宋体" w:cs="Times New Roman"/>
          <w:color w:val="000000"/>
          <w:sz w:val="24"/>
          <w:szCs w:val="24"/>
          <w:highlight w:val="none"/>
          <w:lang w:val="en-US" w:eastAsia="zh-CN"/>
        </w:rPr>
        <w:t xml:space="preserve">深化设计疏漏、</w:t>
      </w:r>
      <w:r>
        <w:rPr>
          <w:rFonts w:hint="eastAsia" w:ascii="宋体" w:hAnsi="宋体" w:eastAsia="宋体" w:cs="宋体"/>
          <w:color w:val="000000"/>
          <w:sz w:val="24"/>
          <w:szCs w:val="24"/>
          <w:highlight w:val="none"/>
          <w:lang w:val="en-US" w:eastAsia="zh-CN"/>
        </w:rPr>
        <w:t xml:space="preserve">施工、安装或调试不当造成结构隐患、设备无法使用，所有整改费用、工期延误由供应商自行承担。</w:t>
      </w:r>
      <w:r>
        <w:rPr>
          <w:rFonts w:ascii="宋体" w:hAnsi="宋体" w:eastAsia="宋体" w:cs="宋体"/>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bookmarkEnd w:id="64"/>
      <w:r>
        <w:rPr>
          <w:rFonts w:hint="eastAsia" w:ascii="宋体" w:hAnsi="宋体" w:eastAsia="宋体" w:cs="Times New Roman"/>
          <w:color w:val="000000"/>
          <w:sz w:val="24"/>
          <w:szCs w:val="24"/>
          <w:highlight w:val="none"/>
          <w:lang w:val="en-US" w:eastAsia="zh-CN"/>
        </w:rPr>
        <w:t xml:space="preserve">（6）安全要求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该项目在实施过程中，供应商须指派足够的、专业的人员进行专业作业，且服从采购人的管理，同时签订《安全责任书》。采购人（或监理）有权对现场安全状况进行全程监督检查，供应商必须无条件配合、提供便利，并立即整改发现的安全隐患。 </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②应急响应预案：供应商中标后，应在采购人（或监理）的指导下，制定针对可能的事故（火灾、触电、高处坠落、物体打击、设备损坏等）的应急处置流程、联系人、急救措施和疏散路线等应急预案。 </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作业许可制度：特种作业人员（电工、焊工、架子工、高空作业人员、起重机械操作人员等）必须持有有效的特种作业操作证，并在有效期内，且人证相符。对于高风险作业（动火、动电、高处、吊装、密闭空间、设备核心区操作等），必须严格执行作业许可制度，提前申请，经采购人（或监理）审批后方可作业，作业时监护人到位。 </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设备设施保护：采用可靠的物理隔离（防撞护栏、保护罩）、防尘覆盖等。禁止在未采取保护措施的设备附近进行高风险操作（如打磨、切割、焊接等）。涉及管线（电源、信号、光纤、气管）时，必须由双方共同确认位置、状态后才可实施。严禁私自触碰、移动、断开任何采购人设备管线。 </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清洁文明实施：落实“工完场清”，每日清理垃圾、废料，保持通道畅通。物料堆放整齐、稳固，不得阻塞消防通道和设备检修通道。严格控制粉尘、噪音、污水排放，减少对演播室等专业场所内部环境和他人的影响。 </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临时用电管理：严格遵守电气安全操作规程。严禁私拉乱接。所有临时配电设施符合标准（防雨、绝缘、接地、漏保）。带电维修作业由持证电工操作，监护到位。下班或作业暂停时，断开电源（特别是临时照明、电动工具）。 </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⑦危险作业管控：高处作业必须100%系挂安全带。动火作业监护人和消防措施必须到位。起重吊装区域设警戒线，非操作人员禁入。 </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⑧事故报告与处理：发生任何安全事故（包括未遂事故、设备损坏事故）、发现重大隐患，供应商必须立即口头报告采购人，并按规定时间提交书面报告，全力配合调查处理，承担相应责任。 </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⑨由于供应商疏忽导致的人员伤亡、第三方损害及采购人设备财产损失，供应商承担一切责任。</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（7）测试要求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签订合同后，采购人有权对所供产品进行功能性测试，当测试结果与投标文件响应内容所述有所偏差时，</w:t>
      </w:r>
      <w:r>
        <w:rPr>
          <w:rFonts w:hint="eastAsia" w:ascii="宋体" w:hAnsi="宋体" w:eastAsia="宋体" w:cs="Times New Roman"/>
          <w:color w:val="000000"/>
          <w:sz w:val="24"/>
          <w:szCs w:val="24"/>
          <w:highlight w:val="none"/>
          <w:lang w:val="en-US" w:eastAsia="zh-CN"/>
        </w:rPr>
        <w:t xml:space="preserve">采购人有权要求供应商</w:t>
      </w:r>
      <w:r>
        <w:rPr>
          <w:rFonts w:ascii="宋体" w:hAnsi="宋体" w:eastAsia="宋体" w:cs="宋体"/>
          <w:color w:val="000000"/>
          <w:sz w:val="24"/>
          <w:szCs w:val="24"/>
          <w:highlight w:val="none"/>
        </w:rPr>
        <w:t xml:space="preserve">限期整改、调试或无偿更换产品，确保产品指标符合投标文件承诺</w:t>
      </w:r>
      <w:r>
        <w:rPr>
          <w:rFonts w:hint="eastAsia" w:ascii="宋体" w:hAnsi="宋体" w:eastAsia="宋体" w:cs="Times New Roman"/>
          <w:color w:val="000000"/>
          <w:sz w:val="24"/>
          <w:szCs w:val="24"/>
          <w:highlight w:val="none"/>
          <w:lang w:val="en-US" w:eastAsia="zh-CN"/>
        </w:rPr>
        <w:t xml:space="preserve">，同时供应商应承担相关认证测试费用，一切损失由供应商自负；</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（8）人员要求</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①供应商投入本项目的项目组成员不少于5人，其中项目经理1人；</w:t>
      </w:r>
      <w:r>
        <w:rPr>
          <w:rFonts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②项目实施中供应商要保证项目经理稳定，如遇项目经理变更，供应商要递交变更报告，且继任项目经理职称水平不低于原项目经理。</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③为确保设备和系统运行正常，</w:t>
      </w:r>
      <w:r>
        <w:rPr>
          <w:rFonts w:hint="eastAsia" w:ascii="宋体" w:hAnsi="宋体" w:eastAsia="宋体" w:cs="Times New Roman"/>
          <w:color w:val="000000"/>
          <w:sz w:val="24"/>
          <w:szCs w:val="24"/>
          <w:highlight w:val="none"/>
          <w:lang w:val="en-US" w:eastAsia="zh-CN"/>
        </w:rPr>
        <w:t xml:space="preserve">自项目验收合格之日起，</w:t>
      </w:r>
      <w:r>
        <w:rPr>
          <w:rFonts w:hint="eastAsia" w:ascii="宋体" w:hAnsi="宋体" w:eastAsia="宋体" w:cs="Times New Roman"/>
          <w:color w:val="000000"/>
          <w:sz w:val="24"/>
          <w:szCs w:val="24"/>
          <w:highlight w:val="none"/>
          <w:lang w:val="en-US" w:eastAsia="zh-CN"/>
        </w:rPr>
        <w:t xml:space="preserve">供应商须安排至少1名专业人员提供驻场服务半年（工作日，每天8小时）。</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（9）培训要求</w:t>
      </w:r>
      <w:r>
        <w:rPr>
          <w:rFonts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w:t>
      </w:r>
      <w:r>
        <w:rPr>
          <w:rFonts w:ascii="宋体" w:hAnsi="宋体" w:eastAsia="宋体" w:cs="Times New Roman"/>
          <w:color w:val="000000"/>
          <w:sz w:val="24"/>
          <w:szCs w:val="24"/>
          <w:highlight w:val="none"/>
          <w:lang w:val="en-US" w:eastAsia="zh-CN"/>
        </w:rPr>
        <w:t xml:space="preserve">应制定详细培训方案，培训费用包含在投标报价中。培训目标为使采购人全面掌握演播室、控制室、设备机房等系统设备的组成架构、功能特点、操作使用、运行维护及故障处理方法，具备独立操作和日常维护能力。培训对象包括系统管理员、技术保障人员、设备维护人员及业务操作人员等。培训内容包括系统架构介绍、设备功能及操作流程、节目制作与录播应用、系统配置管理、日常巡检维护、故障诊断处理、数据备份恢复及安全管理等。培训应采取理论讲解与现场实操相结合方式开展，提供培训教材及相关技术资料。项目验收前应至少组织</w:t>
      </w: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lang w:val="en-US" w:eastAsia="zh-CN"/>
        </w:rPr>
        <w:t xml:space="preserve">次培训，并根据采购人需求在质保期内提供不少于2次技术培训或技术指导服务。</w:t>
      </w:r>
      <w:r>
        <w:rPr>
          <w:rFonts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7"/>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（1）交付时间：</w:t>
      </w:r>
      <w:r>
        <w:rPr>
          <w:rFonts w:hint="eastAsia" w:ascii="宋体" w:hAnsi="宋体" w:eastAsia="宋体" w:cs="Times New Roman"/>
          <w:color w:val="000000"/>
          <w:sz w:val="24"/>
          <w:szCs w:val="24"/>
          <w:highlight w:val="none"/>
          <w:lang w:val="en-US" w:eastAsia="zh-CN"/>
        </w:rPr>
        <w:t xml:space="preserve">合同签订后240天内完成安装调试、系统集成及验收等相关工作（60天内完成货物交付）。</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val="en-US" w:eastAsia="zh-CN"/>
        </w:rPr>
        <w:t xml:space="preserve">（2）交付地点：</w:t>
      </w:r>
      <w:r>
        <w:rPr>
          <w:rFonts w:hint="eastAsia" w:ascii="宋体" w:hAnsi="宋体" w:eastAsia="宋体" w:cs="宋体"/>
          <w:color w:val="000000"/>
          <w:sz w:val="24"/>
          <w:szCs w:val="24"/>
          <w:highlight w:val="none"/>
          <w:lang w:val="en-US" w:eastAsia="zh-CN"/>
        </w:rPr>
        <w:t xml:space="preserve">采购人指定地点（南京市电化教育馆，南京市鼓楼区慈悲社5号）。供应商负责将货物运到上述地点并办理运输和装卸等，货物安全和由此产生的费用由供应商负责。</w:t>
      </w:r>
      <w:r>
        <w:rPr>
          <w:rFonts w:hint="eastAsia" w:ascii="宋体" w:hAnsi="宋体" w:eastAsia="宋体" w:cs="宋体"/>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65"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65"/>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7"/>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7"/>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7"/>
        <w:ind w:firstLine="482"/>
        <w:jc w:val="left"/>
        <w:keepLines w:val="0"/>
        <w:keepNext w:val="0"/>
        <w:pageBreakBefore w:val="0"/>
        <w:spacing w:line="264" w:lineRule="auto"/>
        <w:widowControl w:val="off"/>
        <w:rPr>
          <w:rFonts w:hint="eastAsia" w:ascii="宋体" w:hAnsi="宋体" w:eastAsia="宋体" w:cs="宋体"/>
          <w:b/>
          <w:bCs/>
          <w:color w:val="000000"/>
          <w:sz w:val="22"/>
          <w:szCs w:val="22"/>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t xml:space="preserve">1.</w:t>
      </w:r>
      <w:r>
        <w:rPr>
          <w:rFonts w:hint="eastAsia" w:ascii="宋体" w:hAnsi="宋体" w:eastAsia="宋体" w:cs="宋体"/>
          <w:b/>
          <w:bCs/>
          <w:color w:val="000000"/>
          <w:sz w:val="22"/>
          <w:szCs w:val="22"/>
          <w:highlight w:val="none"/>
          <w:u w:val="none"/>
          <w:lang w:val="en-US" w:eastAsia="zh-CN"/>
        </w:rPr>
        <w:t xml:space="preserve">专业场所设备配置明细</w:t>
      </w:r>
      <w:r>
        <w:rPr>
          <w:rFonts w:hint="eastAsia" w:ascii="宋体" w:hAnsi="宋体" w:eastAsia="宋体" w:cs="宋体"/>
          <w:b/>
          <w:bCs/>
          <w:color w:val="000000"/>
          <w:sz w:val="22"/>
          <w:szCs w:val="22"/>
          <w:highlight w:val="none"/>
          <w:u w:val="none"/>
          <w:lang w:val="en-US" w:eastAsia="zh-CN"/>
        </w:rPr>
      </w:r>
      <w:r/>
    </w:p>
    <w:tbl>
      <w:tblPr>
        <w:tblW w:w="4996" w:type="pct"/>
        <w:tblInd w:w="-216" w:type="dxa"/>
        <w:tblLayout w:type="fixed"/>
        <w:tblCellMar>
          <w:left w:w="108" w:type="dxa"/>
          <w:top w:w="0" w:type="dxa"/>
          <w:right w:w="108" w:type="dxa"/>
          <w:bottom w:w="0" w:type="dxa"/>
        </w:tblCellMar>
        <w:tblLook w:val="04A0" w:firstRow="1" w:lastRow="0" w:firstColumn="1" w:lastColumn="0" w:noHBand="0" w:noVBand="1"/>
      </w:tblPr>
      <w:tblGrid>
        <w:gridCol w:w="490"/>
        <w:gridCol w:w="4655"/>
        <w:gridCol w:w="1437"/>
        <w:gridCol w:w="3374"/>
      </w:tblGrid>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产品名称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单位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4F综合演播室</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演播室摄像机系统</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便携式标准镜头1</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便携式标准镜头2</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bidi="ar"/>
              </w:rPr>
              <w:t xml:space="preserve">套</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bookmarkStart w:id="66" w:name="OLE_LINK10"/>
            <w:r>
              <w:rPr>
                <w:rFonts w:hint="eastAsia" w:ascii="宋体" w:hAnsi="宋体" w:eastAsia="宋体" w:cs="宋体"/>
                <w:i w:val="0"/>
                <w:iCs w:val="0"/>
                <w:color w:val="000000"/>
                <w:sz w:val="21"/>
                <w:szCs w:val="21"/>
                <w:highlight w:val="none"/>
                <w:u w:val="none"/>
                <w:lang w:val="en-US" w:eastAsia="zh-CN" w:bidi="ar"/>
              </w:rPr>
              <w:t xml:space="preserve">摄像机光缆</w:t>
            </w:r>
            <w:bookmarkEnd w:id="66"/>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摄像机承托设备</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bidi="ar"/>
              </w:rPr>
              <w:t xml:space="preserve">套</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脚轮</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专业监视器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广电专业接口箱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主扩声线阵列扬声器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37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主扩声线阵次低频扬声器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返听同轴全频扬声器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超低</w:t>
            </w:r>
            <w:r>
              <w:rPr>
                <w:rFonts w:hint="eastAsia" w:ascii="宋体" w:hAnsi="宋体" w:eastAsia="宋体" w:cs="宋体"/>
                <w:color w:val="000000"/>
                <w:sz w:val="21"/>
                <w:szCs w:val="21"/>
                <w:highlight w:val="none"/>
                <w:lang w:val="en-US" w:eastAsia="zh-CN" w:bidi="ar"/>
              </w:rPr>
              <w:t xml:space="preserve">频</w:t>
            </w:r>
            <w:r>
              <w:rPr>
                <w:rFonts w:hint="eastAsia" w:ascii="宋体" w:hAnsi="宋体" w:eastAsia="宋体" w:cs="宋体"/>
                <w:color w:val="000000"/>
                <w:sz w:val="21"/>
                <w:szCs w:val="21"/>
                <w:highlight w:val="none"/>
                <w:lang w:bidi="ar"/>
              </w:rPr>
              <w:t xml:space="preserve">扬声器</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手持无线发射器</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 腰包发射器</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领夹咪</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头戴话筒</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无线会议底座</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指向性天线</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数字调音台1</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Dante扩展卡</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舞台接口箱</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主扩声线阵吊挂架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套</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吊杆电动卷扬机1</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套</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吊杆电动卷扬机2</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套</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吊杆电动卷扬机3</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套</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舞台机械控制系统</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LED变焦静音聚光灯</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LED平板柔光灯</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24</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LED定焦帕灯</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36</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HID三合一灯</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38</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LED四合一灯</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LED电脑切割灯</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灯光控制台</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网络扩展器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信号中继柜</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交换机3</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UPS</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室内LED显示屏</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室内LED显示屏控制台</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媒体控制器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配电箱及运行控制设备</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套</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演播室固定舞台</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演播室移动舞台</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1"/>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电动伸缩活动看台</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控制台</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 xml:space="preserve">工</w:t>
            </w:r>
            <w:r>
              <w:rPr>
                <w:rFonts w:hint="eastAsia" w:ascii="宋体" w:hAnsi="宋体" w:eastAsia="宋体" w:cs="宋体"/>
                <w:color w:val="000000"/>
                <w:sz w:val="21"/>
                <w:szCs w:val="21"/>
                <w:highlight w:val="none"/>
                <w:lang w:bidi="ar"/>
              </w:rPr>
              <w:t xml:space="preserve">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办公椅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47</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吊挂机械系统安装调试</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48</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灯光系统安装调试</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49</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设备层实施</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显示屏安装框架结构及装饰</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项</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51</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综合演播室舞美置景</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52</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声学处理</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4F综合演播室侯播间</w:t>
            </w:r>
            <w:r>
              <w:rPr>
                <w:rFonts w:hint="eastAsia" w:ascii="宋体" w:hAnsi="宋体" w:eastAsia="宋体" w:cs="宋体"/>
                <w:color w:val="000000"/>
                <w:sz w:val="21"/>
                <w:szCs w:val="21"/>
                <w:highlight w:val="none"/>
                <w:lang w:val="en-US" w:eastAsia="zh-CN"/>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沙发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 xml:space="preserve">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茶几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rPr>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9956"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5F综合演播室控制室</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切换台</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在线包装字幕机</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音频延时器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多格式输入输出矩阵</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16键单母线控制面板</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12G数字音频加嵌模块</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12G数字音频解嵌模块</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12G数字视频帧同步模块</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12G分配模块</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周边机箱</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交叉变换器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通话主站</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有线通话腰包</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四线混合分配器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鹅颈话筒</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机架式双通道硬盘录像机</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套</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机柜1</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专业监视器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编码器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TALLY控制系统</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21</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HDMI转3G-SDI</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数字调音台2</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23</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Dante扩展卡</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24</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监听耳机</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12G光通联设备</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套</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26</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商业显示器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27</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录制交换机</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28</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29</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干燥柜</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UPS</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31</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单元</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32</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办公椅</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33</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制作系统安装调试</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34</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综合演播室控制室置景</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w:t>
            </w:r>
            <w:r>
              <w:rPr>
                <w:rFonts w:hint="eastAsia" w:ascii="宋体" w:hAnsi="宋体" w:eastAsia="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9956"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5F综合演播室控制室设备机房</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主扩功率放大器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主扩次低频功率放大器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返听功率放大器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超低频扬声器功率放大器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话筒接收机</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无线话筒自动增益控制天线分配器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数字音频处理器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交换机1</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数字电源直通柜</w:t>
            </w:r>
            <w:r>
              <w:rPr>
                <w:rFonts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中控主机</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交换机2</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台</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pStyle w:val="87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机柜2</w:t>
            </w:r>
            <w:r>
              <w:rPr>
                <w:rFonts w:hint="eastAsia" w:ascii="宋体" w:hAnsi="宋体" w:eastAsia="宋体" w:cs="宋体"/>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pStyle w:val="877"/>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74" w:type="dxa"/>
            <w:vAlign w:val="center"/>
            <w:textDirection w:val="lrTb"/>
            <w:noWrap w:val="false"/>
          </w:tcPr>
          <w:p>
            <w:pPr>
              <w:pStyle w:val="87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r>
    </w:tbl>
    <w:p>
      <w:pPr>
        <w:pStyle w:val="889"/>
        <w:numPr>
          <w:ilvl w:val="0"/>
          <w:numId w:val="6"/>
        </w:numPr>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图纸</w:t>
      </w:r>
      <w:r>
        <w:rPr>
          <w:rFonts w:hint="eastAsia" w:ascii="宋体" w:hAnsi="宋体" w:eastAsia="宋体" w:cs="宋体"/>
          <w:b/>
          <w:bCs/>
          <w:color w:val="000000"/>
          <w:sz w:val="24"/>
          <w:szCs w:val="24"/>
          <w:highlight w:val="none"/>
          <w:lang w:val="en-US" w:eastAsia="zh-CN"/>
        </w:rPr>
      </w:r>
      <w:r/>
    </w:p>
    <w:p>
      <w:pPr>
        <w:pStyle w:val="889"/>
        <w:numPr>
          <w:ilvl w:val="0"/>
          <w:numId w:val="0"/>
        </w:numPr>
        <w:ind w:firstLine="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bookmarkStart w:id="67" w:name="_Toc120614281"/>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7"/>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联合体评审说明</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评审因素</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val="en-US" w:eastAsia="zh-CN"/>
        </w:rPr>
        <w:t xml:space="preserve">“2.3检测报告”“2.4产品兼容”“2.5视频演示”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3.3原厂质保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3.4延保承诺</w:t>
      </w:r>
      <w:r>
        <w:rPr>
          <w:rFonts w:hint="eastAsia" w:ascii="宋体" w:hAnsi="宋体" w:eastAsia="宋体" w:cs="宋体"/>
          <w:color w:val="000000"/>
          <w:sz w:val="24"/>
          <w:szCs w:val="24"/>
          <w:highlight w:val="none"/>
          <w:lang w:eastAsia="zh-CN"/>
        </w:rPr>
        <w:t xml:space="preserve">”“履约能力 5.1”“</w:t>
      </w: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pacing w:val="0"/>
          <w:sz w:val="24"/>
          <w:szCs w:val="24"/>
          <w:highlight w:val="none"/>
          <w:lang w:val="en-US" w:eastAsia="zh-CN"/>
        </w:rPr>
        <w:t xml:space="preserve">节能产品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pacing w:val="0"/>
          <w:sz w:val="24"/>
          <w:szCs w:val="24"/>
          <w:highlight w:val="none"/>
          <w:lang w:val="en-US" w:eastAsia="zh-CN"/>
        </w:rPr>
        <w:t xml:space="preserve">环境标志产品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en-US" w:eastAsia="zh-CN"/>
        </w:rPr>
        <w:t xml:space="preserve">联合体牵头单位提供的材料认定</w:t>
      </w:r>
      <w:r>
        <w:rPr>
          <w:rFonts w:hint="eastAsia" w:ascii="宋体" w:hAnsi="宋体" w:eastAsia="宋体" w:cs="宋体"/>
          <w:color w:val="000000"/>
          <w:sz w:val="24"/>
          <w:szCs w:val="24"/>
          <w:highlight w:val="none"/>
          <w:lang w:eastAsia="zh-CN"/>
        </w:rPr>
        <w:t xml:space="preserve">，“投标人业绩 4.1”“履约能力</w:t>
      </w:r>
      <w:r>
        <w:rPr>
          <w:rFonts w:hint="eastAsia" w:ascii="宋体" w:hAnsi="宋体" w:eastAsia="宋体" w:cs="宋体"/>
          <w:color w:val="000000"/>
          <w:sz w:val="24"/>
          <w:szCs w:val="24"/>
          <w:highlight w:val="none"/>
          <w:lang w:val="en-US" w:eastAsia="zh-CN"/>
        </w:rPr>
        <w:t xml:space="preserve">5.2”项评分</w:t>
      </w:r>
      <w:r>
        <w:rPr>
          <w:rFonts w:hint="eastAsia" w:ascii="宋体" w:hAnsi="宋体" w:eastAsia="宋体" w:cs="宋体"/>
          <w:color w:val="000000"/>
          <w:sz w:val="24"/>
          <w:szCs w:val="24"/>
          <w:highlight w:val="none"/>
        </w:rPr>
        <w:t xml:space="preserve">按照联合体各方</w:t>
      </w:r>
      <w:r>
        <w:rPr>
          <w:rFonts w:hint="eastAsia" w:ascii="宋体" w:hAnsi="宋体" w:eastAsia="宋体" w:cs="宋体"/>
          <w:color w:val="000000"/>
          <w:sz w:val="24"/>
          <w:szCs w:val="24"/>
          <w:highlight w:val="none"/>
          <w:lang w:val="en-US" w:eastAsia="zh-CN"/>
        </w:rPr>
        <w:t xml:space="preserve">提供的材料汇总认定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评审细则另有规定的，从其规定。</w:t>
      </w:r>
      <w:r>
        <w:rPr>
          <w:rFonts w:hint="eastAsia" w:ascii="宋体" w:hAnsi="宋体" w:eastAsia="宋体" w:cs="宋体"/>
          <w:color w:val="000000"/>
          <w:sz w:val="24"/>
          <w:szCs w:val="24"/>
          <w:highlight w:val="none"/>
        </w:rPr>
      </w:r>
      <w:r/>
    </w:p>
    <w:p>
      <w:pPr>
        <w:pStyle w:val="877"/>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7"/>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7"/>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7"/>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ind w:firstLine="420"/>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en-US" w:eastAsia="zh-CN"/>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lang w:val="en-US" w:eastAsia="zh-CN"/>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lang w:val="en-US" w:eastAsia="zh-CN"/>
        </w:rPr>
      </w:r>
      <w:r/>
    </w:p>
    <w:p>
      <w:pPr>
        <w:pStyle w:val="877"/>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7"/>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四、联合体或分包价格扣除</w:t>
      </w:r>
      <w:r>
        <w:rPr>
          <w:rFonts w:hint="eastAsia" w:ascii="黑体" w:hAnsi="黑体" w:eastAsia="黑体" w:cs="黑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4%</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877"/>
        <w:ind w:firstLine="480"/>
        <w:keepLines w:val="0"/>
        <w:keepNext w:val="0"/>
        <w:pageBreakBefore w:val="0"/>
        <w:spacing w:line="264" w:lineRule="auto"/>
        <w:widowControl w:val="off"/>
        <w:rPr>
          <w:rFonts w:hint="eastAsia"/>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1030"/>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采用低价优先</w:t>
            </w:r>
            <w:r>
              <w:rPr>
                <w:rFonts w:hint="eastAsia" w:ascii="宋体" w:hAnsi="宋体" w:eastAsia="宋体" w:cs="宋体"/>
                <w:color w:val="000000"/>
                <w:sz w:val="21"/>
                <w:szCs w:val="21"/>
                <w:highlight w:val="none"/>
                <w:lang w:val="en-US" w:eastAsia="zh-CN" w:bidi="ar-SA"/>
              </w:rPr>
              <w:t xml:space="preserve">法计算</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即满足招标文件要求且投标价格最低的投标</w:t>
            </w:r>
            <w:r>
              <w:rPr>
                <w:rFonts w:hint="eastAsia" w:ascii="宋体" w:hAnsi="宋体" w:eastAsia="宋体" w:cs="宋体"/>
                <w:color w:val="000000"/>
                <w:sz w:val="21"/>
                <w:szCs w:val="21"/>
                <w:highlight w:val="none"/>
                <w:lang w:val="en-US" w:eastAsia="zh-CN" w:bidi="ar-SA"/>
              </w:rPr>
              <w:t xml:space="preserve">报价为评标基准</w:t>
            </w:r>
            <w:r>
              <w:rPr>
                <w:rFonts w:hint="eastAsia" w:ascii="宋体" w:hAnsi="宋体" w:eastAsia="宋体" w:cs="宋体"/>
                <w:color w:val="000000"/>
                <w:sz w:val="21"/>
                <w:szCs w:val="21"/>
                <w:highlight w:val="none"/>
                <w:lang w:val="en-US" w:eastAsia="zh-CN" w:bidi="ar-SA"/>
              </w:rPr>
              <w:t xml:space="preserve">价</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其价格分为满分。其他投标人的价格分统一按</w:t>
            </w:r>
            <w:r>
              <w:rPr>
                <w:rFonts w:hint="eastAsia" w:ascii="宋体" w:hAnsi="宋体" w:eastAsia="宋体" w:cs="宋体"/>
                <w:color w:val="000000"/>
                <w:sz w:val="21"/>
                <w:szCs w:val="21"/>
                <w:highlight w:val="none"/>
                <w:lang w:val="en-US" w:eastAsia="zh-CN" w:bidi="ar-SA"/>
              </w:rPr>
              <w:t xml:space="preserve">照下列公</w:t>
            </w:r>
            <w:r>
              <w:rPr>
                <w:rFonts w:hint="eastAsia" w:ascii="宋体" w:hAnsi="宋体" w:eastAsia="宋体" w:cs="宋体"/>
                <w:color w:val="000000"/>
                <w:sz w:val="21"/>
                <w:szCs w:val="21"/>
                <w:highlight w:val="none"/>
                <w:lang w:val="en-US" w:eastAsia="zh-CN" w:bidi="ar-SA"/>
              </w:rPr>
              <w:t xml:space="preserve">式计算：投标报价得分=(评标基准价/投标报价)×</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产品技术参数全部满足招标要求的得满分，打★指标为必须满足项，如有负偏离将作为无效投标，打▲指标为重要指标，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bidi="ar-SA"/>
              </w:rPr>
              <w:t xml:space="preserve">有1项负偏离扣0.82分，其余指标有1项负偏离扣0.02分。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深化设计</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根据本项目采购需求</w:t>
            </w:r>
            <w:r>
              <w:rPr>
                <w:rFonts w:hint="eastAsia" w:ascii="宋体" w:hAnsi="宋体" w:eastAsia="宋体" w:cs="宋体"/>
                <w:color w:val="000000"/>
                <w:sz w:val="21"/>
                <w:szCs w:val="21"/>
                <w:highlight w:val="none"/>
                <w:lang w:val="en-US" w:eastAsia="zh-CN" w:bidi="ar-SA"/>
              </w:rPr>
              <w:t xml:space="preserve">及相关</w:t>
            </w:r>
            <w:r>
              <w:rPr>
                <w:rFonts w:hint="eastAsia" w:ascii="宋体" w:hAnsi="宋体" w:eastAsia="宋体" w:cs="宋体"/>
                <w:color w:val="000000"/>
                <w:sz w:val="21"/>
                <w:szCs w:val="21"/>
                <w:highlight w:val="none"/>
                <w:lang w:val="en-US" w:eastAsia="zh-CN" w:bidi="ar-SA"/>
              </w:rPr>
              <w:t xml:space="preserve">要求编制方案，内容包含：</w:t>
            </w:r>
            <w:r>
              <w:rPr>
                <w:rFonts w:hint="eastAsia" w:ascii="宋体" w:hAnsi="宋体" w:eastAsia="宋体" w:cs="宋体"/>
                <w:color w:val="000000"/>
                <w:sz w:val="21"/>
                <w:szCs w:val="21"/>
                <w:highlight w:val="none"/>
                <w:lang w:val="en-US" w:eastAsia="zh-CN" w:bidi="ar-SA"/>
              </w:rPr>
              <w:t xml:space="preserve">1.演播室制作系统(包括演播室系统摄像机、切换台、双通道录像机、在线包装字幕机、</w:t>
            </w:r>
            <w:r>
              <w:rPr>
                <w:rFonts w:hint="eastAsia" w:ascii="宋体" w:hAnsi="宋体" w:eastAsia="宋体" w:cs="宋体"/>
                <w:color w:val="000000"/>
                <w:sz w:val="21"/>
                <w:szCs w:val="21"/>
                <w:highlight w:val="none"/>
                <w:lang w:val="en-US" w:eastAsia="zh-CN" w:bidi="ar-SA"/>
              </w:rPr>
              <w:t xml:space="preserve">TALLY控制系统</w:t>
            </w:r>
            <w:r>
              <w:rPr>
                <w:rFonts w:hint="eastAsia" w:ascii="宋体" w:hAnsi="宋体" w:eastAsia="宋体" w:cs="宋体"/>
                <w:color w:val="000000"/>
                <w:sz w:val="21"/>
                <w:szCs w:val="21"/>
                <w:highlight w:val="none"/>
                <w:lang w:val="en-US" w:eastAsia="zh-CN" w:bidi="ar-SA"/>
              </w:rPr>
              <w:t xml:space="preserve">等相</w:t>
            </w:r>
            <w:r>
              <w:rPr>
                <w:rFonts w:hint="eastAsia" w:ascii="宋体" w:hAnsi="宋体" w:eastAsia="宋体" w:cs="宋体"/>
                <w:color w:val="000000"/>
                <w:sz w:val="21"/>
                <w:szCs w:val="21"/>
                <w:highlight w:val="none"/>
                <w:lang w:val="en-US" w:eastAsia="zh-CN" w:bidi="ar-SA"/>
              </w:rPr>
              <w:t xml:space="preserve">关产品）；2.音频及大屏显示系统（包括话筒</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调音台</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线阵音箱组成的全数字音频系统、</w:t>
            </w:r>
            <w:r>
              <w:rPr>
                <w:rFonts w:hint="eastAsia" w:ascii="宋体" w:hAnsi="宋体" w:eastAsia="宋体" w:cs="宋体"/>
                <w:color w:val="000000"/>
                <w:sz w:val="21"/>
                <w:szCs w:val="21"/>
                <w:highlight w:val="none"/>
                <w:lang w:val="en-US" w:eastAsia="zh-CN" w:bidi="ar-SA"/>
              </w:rPr>
              <w:t xml:space="preserve">室内</w:t>
            </w:r>
            <w:r>
              <w:rPr>
                <w:rFonts w:hint="eastAsia" w:ascii="宋体" w:hAnsi="宋体" w:eastAsia="宋体" w:cs="宋体"/>
                <w:color w:val="000000"/>
                <w:sz w:val="21"/>
                <w:szCs w:val="21"/>
                <w:highlight w:val="none"/>
                <w:lang w:val="en-US" w:eastAsia="zh-CN" w:bidi="ar-SA"/>
              </w:rPr>
              <w:t xml:space="preserve">LED大屏、</w:t>
            </w:r>
            <w:r>
              <w:rPr>
                <w:rFonts w:hint="eastAsia" w:ascii="宋体" w:hAnsi="宋体" w:eastAsia="宋体" w:cs="宋体"/>
                <w:color w:val="000000"/>
                <w:sz w:val="21"/>
                <w:szCs w:val="21"/>
                <w:highlight w:val="none"/>
                <w:lang w:val="en-US" w:eastAsia="zh-CN" w:bidi="ar-SA"/>
              </w:rPr>
              <w:t xml:space="preserve">媒体控制器</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室内LED显示屏控制台</w:t>
            </w:r>
            <w:r>
              <w:rPr>
                <w:rFonts w:hint="eastAsia" w:ascii="宋体" w:hAnsi="宋体" w:eastAsia="宋体" w:cs="宋体"/>
                <w:color w:val="000000"/>
                <w:sz w:val="21"/>
                <w:szCs w:val="21"/>
                <w:highlight w:val="none"/>
                <w:lang w:val="en-US" w:eastAsia="zh-CN" w:bidi="ar-SA"/>
              </w:rPr>
              <w:t xml:space="preserve">组成的大屏显示系统）；3.舞台机械及灯光系统(包括设备层、吊挂系统、专业灯光、调光台、固定舞台、移动舞台、</w:t>
            </w:r>
            <w:r>
              <w:rPr>
                <w:rFonts w:hint="eastAsia" w:ascii="宋体" w:hAnsi="宋体" w:eastAsia="宋体" w:cs="宋体"/>
                <w:color w:val="000000"/>
                <w:sz w:val="21"/>
                <w:szCs w:val="21"/>
                <w:highlight w:val="none"/>
                <w:lang w:val="en-US" w:eastAsia="zh-CN" w:bidi="ar-SA"/>
              </w:rPr>
              <w:t xml:space="preserve">电动伸缩活动看台</w:t>
            </w:r>
            <w:r>
              <w:rPr>
                <w:rFonts w:hint="eastAsia" w:ascii="宋体" w:hAnsi="宋体" w:eastAsia="宋体" w:cs="宋体"/>
                <w:color w:val="000000"/>
                <w:sz w:val="21"/>
                <w:szCs w:val="21"/>
                <w:highlight w:val="none"/>
                <w:lang w:val="en-US" w:eastAsia="zh-CN" w:bidi="ar-SA"/>
              </w:rPr>
              <w:t xml:space="preserve">、舞美置景等产品）。</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tabs>
                <w:tab w:val="clear" w:pos="312" w:leader="none"/>
              </w:tabs>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演播室制作系统(包括演播室系统摄像机、切换台、双通道录像机、在线包装字幕机、</w:t>
            </w:r>
            <w:r>
              <w:rPr>
                <w:rFonts w:hint="eastAsia" w:ascii="宋体" w:hAnsi="宋体" w:eastAsia="宋体" w:cs="宋体"/>
                <w:color w:val="000000"/>
                <w:sz w:val="21"/>
                <w:szCs w:val="21"/>
                <w:highlight w:val="none"/>
                <w:lang w:val="en-US" w:eastAsia="zh-CN" w:bidi="ar-SA"/>
              </w:rPr>
              <w:t xml:space="preserve">TALLY控制系统</w:t>
            </w:r>
            <w:r>
              <w:rPr>
                <w:rFonts w:hint="eastAsia" w:ascii="宋体" w:hAnsi="宋体" w:eastAsia="宋体" w:cs="宋体"/>
                <w:color w:val="000000"/>
                <w:sz w:val="21"/>
                <w:szCs w:val="21"/>
                <w:highlight w:val="none"/>
                <w:lang w:val="en-US" w:eastAsia="zh-CN" w:bidi="ar-SA"/>
              </w:rPr>
              <w:t xml:space="preserve">等相</w:t>
            </w:r>
            <w:r>
              <w:rPr>
                <w:rFonts w:hint="eastAsia" w:ascii="宋体" w:hAnsi="宋体" w:eastAsia="宋体" w:cs="宋体"/>
                <w:color w:val="000000"/>
                <w:sz w:val="21"/>
                <w:szCs w:val="21"/>
                <w:highlight w:val="none"/>
                <w:lang w:val="en-US" w:eastAsia="zh-CN" w:bidi="ar-SA"/>
              </w:rPr>
              <w:t xml:space="preserve">关产品）</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能够清晰展示完整的制作系统集成，设计规范、逻辑严谨、表述详细，具有创新性和前瞻性。制作系统原理图、系统图、设备安装图层次分明、图元清晰</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视为符合；方案内容</w:t>
            </w:r>
            <w:r>
              <w:rPr>
                <w:rFonts w:hint="eastAsia" w:ascii="宋体" w:hAnsi="宋体" w:eastAsia="宋体" w:cs="宋体"/>
                <w:color w:val="000000"/>
                <w:sz w:val="21"/>
                <w:szCs w:val="21"/>
                <w:highlight w:val="none"/>
                <w:lang w:val="en-US" w:eastAsia="zh-CN" w:bidi="ar-SA"/>
              </w:rPr>
              <w:t xml:space="preserve">能够展示基本的系统集成方案、设备安装流程，内容完整但缺乏深入的技术分析或创新</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视为部分符合；</w:t>
            </w:r>
            <w:r>
              <w:rPr>
                <w:rFonts w:hint="eastAsia"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展示内容不完全，系统集成方案、设备安装流程未能充分展现，技术细节不清晰、有遗漏或错误</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tabs>
                <w:tab w:val="clear" w:pos="312" w:leader="none"/>
              </w:tabs>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音频及大屏显示系统（包括话筒</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调音台</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线阵音箱组成的全数字音频系统、</w:t>
            </w:r>
            <w:r>
              <w:rPr>
                <w:rFonts w:hint="eastAsia" w:ascii="宋体" w:hAnsi="宋体" w:eastAsia="宋体" w:cs="宋体"/>
                <w:color w:val="000000"/>
                <w:sz w:val="21"/>
                <w:szCs w:val="21"/>
                <w:highlight w:val="none"/>
                <w:lang w:val="en-US" w:eastAsia="zh-CN" w:bidi="ar-SA"/>
              </w:rPr>
              <w:t xml:space="preserve">室内</w:t>
            </w:r>
            <w:r>
              <w:rPr>
                <w:rFonts w:hint="eastAsia" w:ascii="宋体" w:hAnsi="宋体" w:eastAsia="宋体" w:cs="宋体"/>
                <w:color w:val="000000"/>
                <w:sz w:val="21"/>
                <w:szCs w:val="21"/>
                <w:highlight w:val="none"/>
                <w:lang w:val="en-US" w:eastAsia="zh-CN" w:bidi="ar-SA"/>
              </w:rPr>
              <w:t xml:space="preserve">LED大屏、</w:t>
            </w:r>
            <w:r>
              <w:rPr>
                <w:rFonts w:hint="eastAsia" w:ascii="宋体" w:hAnsi="宋体" w:eastAsia="宋体" w:cs="宋体"/>
                <w:color w:val="000000"/>
                <w:sz w:val="21"/>
                <w:szCs w:val="21"/>
                <w:highlight w:val="none"/>
                <w:lang w:val="en-US" w:eastAsia="zh-CN" w:bidi="ar-SA"/>
              </w:rPr>
              <w:t xml:space="preserve">媒体控制器</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室内LED显示屏控制台</w:t>
            </w:r>
            <w:r>
              <w:rPr>
                <w:rFonts w:hint="eastAsia" w:ascii="宋体" w:hAnsi="宋体" w:eastAsia="宋体" w:cs="宋体"/>
                <w:color w:val="000000"/>
                <w:sz w:val="21"/>
                <w:szCs w:val="21"/>
                <w:highlight w:val="none"/>
                <w:lang w:val="en-US" w:eastAsia="zh-CN" w:bidi="ar-SA"/>
              </w:rPr>
              <w:t xml:space="preserve">组成的大屏显示系统）</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能够清晰展示完整的系统集成，设计规范、逻辑严谨、表述详细，具有创新性和前瞻性。数字音频和LED大屏显示原理图、系统图、设备安装图层次分明，图元清晰</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视为符合；方案内容</w:t>
            </w:r>
            <w:r>
              <w:rPr>
                <w:rFonts w:hint="eastAsia" w:ascii="宋体" w:hAnsi="宋体" w:eastAsia="宋体" w:cs="宋体"/>
                <w:color w:val="000000"/>
                <w:sz w:val="21"/>
                <w:szCs w:val="21"/>
                <w:highlight w:val="none"/>
                <w:lang w:val="en-US" w:eastAsia="zh-CN" w:bidi="ar-SA"/>
              </w:rPr>
              <w:t xml:space="preserve">能够展示基本的系统集成方案、设备安装流程，内容完整但缺乏深入的技术分析或创新</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视为部分符合；</w:t>
            </w:r>
            <w:r>
              <w:rPr>
                <w:rFonts w:hint="eastAsia"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展示内容不完全，系统集成方案、设备安装流程未能充分展现，技术细节不清晰、有遗漏或错误</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3.舞台机械及灯光系统(包括设备层、吊挂系统、专业灯光、调光台、固定舞台、移动舞台、</w:t>
            </w:r>
            <w:r>
              <w:rPr>
                <w:rFonts w:hint="eastAsia" w:ascii="宋体" w:hAnsi="宋体" w:eastAsia="宋体" w:cs="宋体"/>
                <w:color w:val="000000"/>
                <w:sz w:val="21"/>
                <w:szCs w:val="21"/>
                <w:highlight w:val="none"/>
                <w:lang w:val="en-US" w:eastAsia="zh-CN" w:bidi="ar-SA"/>
              </w:rPr>
              <w:t xml:space="preserve">电动伸缩活动看台</w:t>
            </w:r>
            <w:r>
              <w:rPr>
                <w:rFonts w:hint="eastAsia" w:ascii="宋体" w:hAnsi="宋体" w:eastAsia="宋体" w:cs="宋体"/>
                <w:color w:val="000000"/>
                <w:sz w:val="21"/>
                <w:szCs w:val="21"/>
                <w:highlight w:val="none"/>
                <w:lang w:val="en-US" w:eastAsia="zh-CN" w:bidi="ar-SA"/>
              </w:rPr>
              <w:t xml:space="preserve">、舞美置景等产品）。</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能够清晰展示完整的系统集成，设计规范、逻辑严谨、表述详细，具有创新性和前瞻性。舞台机械和灯光</w:t>
            </w:r>
            <w:r>
              <w:rPr>
                <w:rFonts w:hint="eastAsia" w:ascii="宋体" w:hAnsi="宋体" w:eastAsia="宋体" w:cs="宋体"/>
                <w:color w:val="000000"/>
                <w:sz w:val="21"/>
                <w:szCs w:val="21"/>
                <w:highlight w:val="none"/>
                <w:lang w:val="en-US" w:eastAsia="zh-CN" w:bidi="ar-SA"/>
              </w:rPr>
              <w:t xml:space="preserve">系统</w:t>
            </w:r>
            <w:r>
              <w:rPr>
                <w:rFonts w:hint="eastAsia" w:ascii="宋体" w:hAnsi="宋体" w:eastAsia="宋体" w:cs="宋体"/>
                <w:color w:val="000000"/>
                <w:sz w:val="21"/>
                <w:szCs w:val="21"/>
                <w:highlight w:val="none"/>
                <w:lang w:val="en-US" w:eastAsia="zh-CN" w:bidi="ar-SA"/>
              </w:rPr>
              <w:t xml:space="preserve">原理图、系统图、设备安装图、效果图层次分明，图元清晰</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安全措施保障到位</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视为符合；</w:t>
            </w: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能够展示基本的系统集成、设备安装流程，安全措施内容完整但缺乏深入的技术分析或创新</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视为部分符合；</w:t>
            </w:r>
            <w:r>
              <w:rPr>
                <w:rFonts w:hint="eastAsia"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展示内容不完全，系统集成方案、设备安装流程未能充分展现，</w:t>
            </w:r>
            <w:r>
              <w:rPr>
                <w:rFonts w:hint="eastAsia" w:ascii="宋体" w:hAnsi="宋体" w:eastAsia="宋体" w:cs="宋体"/>
                <w:color w:val="000000"/>
                <w:sz w:val="21"/>
                <w:szCs w:val="21"/>
                <w:highlight w:val="none"/>
                <w:lang w:val="en-US" w:eastAsia="zh-CN" w:bidi="ar-SA"/>
              </w:rPr>
              <w:t xml:space="preserve">安全措施内容不完整或缺失，</w:t>
            </w:r>
            <w:r>
              <w:rPr>
                <w:rFonts w:hint="eastAsia" w:ascii="宋体" w:hAnsi="宋体" w:eastAsia="宋体" w:cs="宋体"/>
                <w:color w:val="000000"/>
                <w:sz w:val="21"/>
                <w:szCs w:val="21"/>
                <w:highlight w:val="none"/>
                <w:lang w:val="en-US" w:eastAsia="zh-CN" w:bidi="ar-SA"/>
              </w:rPr>
              <w:t xml:space="preserve">技术细节不清晰、有遗漏或错误</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上述每项内容</w:t>
            </w:r>
            <w:r>
              <w:rPr>
                <w:rFonts w:hint="eastAsia" w:ascii="宋体" w:hAnsi="宋体" w:eastAsia="宋体" w:cs="宋体"/>
                <w:color w:val="000000"/>
                <w:sz w:val="21"/>
                <w:szCs w:val="21"/>
                <w:highlight w:val="none"/>
                <w:lang w:val="en-US" w:eastAsia="zh-CN" w:bidi="ar-SA"/>
              </w:rPr>
              <w:t xml:space="preserve">符合得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184"/>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检测报告</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投标人提供以下产品第三方检测报告，检测内容如下：</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所投</w:t>
            </w:r>
            <w:r>
              <w:rPr>
                <w:rFonts w:hint="eastAsia" w:ascii="宋体" w:hAnsi="宋体" w:eastAsia="宋体" w:cs="宋体"/>
                <w:color w:val="000000"/>
                <w:sz w:val="21"/>
                <w:szCs w:val="21"/>
                <w:highlight w:val="none"/>
                <w:lang w:val="en-US" w:eastAsia="zh-CN" w:bidi="ar-SA"/>
              </w:rPr>
              <w:t xml:space="preserve">演播室摄像机</w:t>
            </w:r>
            <w:r>
              <w:rPr>
                <w:rFonts w:hint="eastAsia" w:ascii="宋体" w:hAnsi="宋体" w:eastAsia="宋体" w:cs="宋体"/>
                <w:color w:val="000000"/>
                <w:sz w:val="21"/>
                <w:szCs w:val="21"/>
                <w:highlight w:val="none"/>
                <w:lang w:val="en-US" w:eastAsia="zh-CN" w:bidi="ar-SA"/>
              </w:rPr>
              <w:t xml:space="preserve">系统（产品清单1）</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提供</w:t>
            </w:r>
            <w:r>
              <w:rPr>
                <w:rFonts w:hint="eastAsia" w:ascii="宋体" w:hAnsi="宋体" w:eastAsia="宋体" w:cs="宋体"/>
                <w:color w:val="000000"/>
                <w:sz w:val="21"/>
                <w:szCs w:val="21"/>
                <w:highlight w:val="none"/>
                <w:lang w:val="en-US" w:eastAsia="zh-CN" w:bidi="ar-SA"/>
              </w:rPr>
              <w:t xml:space="preserve">光电性能</w:t>
            </w:r>
            <w:r>
              <w:rPr>
                <w:rFonts w:hint="eastAsia" w:ascii="宋体" w:hAnsi="宋体" w:eastAsia="宋体" w:cs="宋体"/>
                <w:color w:val="000000"/>
                <w:sz w:val="21"/>
                <w:szCs w:val="21"/>
                <w:highlight w:val="none"/>
                <w:lang w:val="en-US" w:eastAsia="zh-CN" w:bidi="ar-SA"/>
              </w:rPr>
              <w:t xml:space="preserve">检测报告：</w:t>
            </w:r>
            <w:r>
              <w:rPr>
                <w:rFonts w:hint="eastAsia" w:ascii="宋体" w:hAnsi="宋体" w:eastAsia="宋体" w:cs="宋体"/>
                <w:color w:val="000000"/>
                <w:sz w:val="21"/>
                <w:szCs w:val="21"/>
                <w:highlight w:val="none"/>
                <w:lang w:val="en-US" w:eastAsia="zh-CN" w:bidi="ar-SA"/>
              </w:rPr>
              <w:t xml:space="preserve">视频输出格式设为4K 3840×2160/50P</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HLG</w:t>
            </w:r>
            <w:r>
              <w:rPr>
                <w:rFonts w:hint="eastAsia" w:ascii="宋体" w:hAnsi="宋体" w:eastAsia="宋体" w:cs="宋体"/>
                <w:color w:val="000000"/>
                <w:sz w:val="21"/>
                <w:szCs w:val="21"/>
                <w:highlight w:val="none"/>
                <w:lang w:val="en-US" w:eastAsia="zh-CN" w:bidi="ar-SA"/>
              </w:rPr>
              <w:t xml:space="preserve">条件</w:t>
            </w:r>
            <w:r>
              <w:rPr>
                <w:rFonts w:hint="eastAsia" w:ascii="宋体" w:hAnsi="宋体" w:eastAsia="宋体" w:cs="宋体"/>
                <w:color w:val="000000"/>
                <w:sz w:val="21"/>
                <w:szCs w:val="21"/>
                <w:highlight w:val="none"/>
                <w:lang w:val="en-US" w:eastAsia="zh-CN" w:bidi="ar-SA"/>
              </w:rPr>
              <w:t xml:space="preserve">下</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灵敏度</w:t>
            </w:r>
            <w:r>
              <w:rPr>
                <w:rFonts w:hint="eastAsia" w:ascii="宋体" w:hAnsi="宋体" w:eastAsia="宋体" w:cs="宋体"/>
                <w:color w:val="000000"/>
                <w:sz w:val="21"/>
                <w:szCs w:val="21"/>
                <w:highlight w:val="none"/>
                <w:lang w:val="en-US" w:eastAsia="zh-CN" w:bidi="ar-SA"/>
              </w:rPr>
              <w:t xml:space="preserve">≥F8</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动态范围</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13级</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检测依据</w:t>
            </w:r>
            <w:r>
              <w:rPr>
                <w:rFonts w:hint="eastAsia" w:ascii="宋体" w:hAnsi="宋体" w:eastAsia="宋体" w:cs="宋体"/>
                <w:color w:val="000000"/>
                <w:sz w:val="21"/>
                <w:szCs w:val="21"/>
                <w:highlight w:val="none"/>
                <w:lang w:val="en-US" w:eastAsia="zh-CN" w:bidi="ar-SA"/>
              </w:rPr>
              <w:t xml:space="preserve">GY/T425-2025</w:t>
            </w:r>
            <w:r>
              <w:rPr>
                <w:rFonts w:hint="eastAsia" w:ascii="宋体" w:hAnsi="宋体" w:eastAsia="宋体" w:cs="宋体"/>
                <w:color w:val="000000"/>
                <w:sz w:val="21"/>
                <w:szCs w:val="21"/>
                <w:highlight w:val="none"/>
                <w:lang w:val="en-US" w:eastAsia="zh-CN" w:bidi="ar-SA"/>
              </w:rPr>
              <w:t xml:space="preserve">《广播级超高清摄像机技术要求和测量方法》</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满足全部要求得1分，缺项或未提供不得分。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所投</w:t>
            </w:r>
            <w:r>
              <w:rPr>
                <w:rFonts w:hint="eastAsia" w:ascii="宋体" w:hAnsi="宋体" w:eastAsia="宋体" w:cs="宋体"/>
                <w:color w:val="000000"/>
                <w:sz w:val="21"/>
                <w:szCs w:val="21"/>
                <w:highlight w:val="none"/>
                <w:lang w:val="en-US" w:eastAsia="zh-CN" w:bidi="ar-SA"/>
              </w:rPr>
              <w:t xml:space="preserve">主扩次低频功率放大器</w:t>
            </w:r>
            <w:r>
              <w:rPr>
                <w:rFonts w:hint="eastAsia" w:ascii="宋体" w:hAnsi="宋体" w:eastAsia="宋体" w:cs="宋体"/>
                <w:color w:val="000000"/>
                <w:sz w:val="21"/>
                <w:szCs w:val="21"/>
                <w:highlight w:val="none"/>
                <w:lang w:val="en-US" w:eastAsia="zh-CN" w:bidi="ar-SA"/>
              </w:rPr>
              <w:t xml:space="preserve">（产品清单40）</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增益限制的有效频率范围（</w:t>
            </w:r>
            <w:r>
              <w:rPr>
                <w:rFonts w:hint="eastAsia" w:ascii="宋体" w:hAnsi="宋体" w:eastAsia="宋体" w:cs="宋体"/>
                <w:color w:val="000000"/>
                <w:sz w:val="21"/>
                <w:szCs w:val="21"/>
                <w:highlight w:val="none"/>
                <w:lang w:val="en-US" w:eastAsia="zh-CN" w:bidi="ar-SA"/>
              </w:rPr>
              <w:t xml:space="preserve">频率响应</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：20Hz-20kHz(±0.5dB)；总谐</w:t>
            </w:r>
            <w:r>
              <w:rPr>
                <w:rFonts w:hint="eastAsia" w:ascii="宋体" w:hAnsi="宋体" w:eastAsia="宋体" w:cs="宋体"/>
                <w:color w:val="000000"/>
                <w:sz w:val="21"/>
                <w:szCs w:val="21"/>
                <w:highlight w:val="none"/>
                <w:lang w:val="en-US" w:eastAsia="zh-CN" w:bidi="ar-SA"/>
              </w:rPr>
              <w:t xml:space="preserve">波</w:t>
            </w:r>
            <w:r>
              <w:rPr>
                <w:rFonts w:hint="eastAsia" w:ascii="宋体" w:hAnsi="宋体" w:eastAsia="宋体" w:cs="宋体"/>
                <w:color w:val="000000"/>
                <w:sz w:val="21"/>
                <w:szCs w:val="21"/>
                <w:highlight w:val="none"/>
                <w:lang w:val="en-US" w:eastAsia="zh-CN" w:bidi="ar-SA"/>
              </w:rPr>
              <w:t xml:space="preserve">失真：</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0.</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检测依据SJ/T10406-2016《声频功率放大器通用规范》</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满足全部要求得1分，缺项或未提供不得分。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所投室内LED显示屏（产品清单52）</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平均无故障运行MTBF≥</w:t>
            </w: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t xml:space="preserve">万小时</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检测依据GB/T6587-2012《电子测量仪器通用规范》</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满足全部要求得1分，缺项或未提供不得分。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4.所投室内LED四合一灯（产品清单63）</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通过（1）防触电保护（2）耐久性试验和热试验（3）防尘、防固体异物和防水（4）绝缘电阻、电气强度、接触电流和保护导体电流（5）耐热、耐火和耐起痕的标准要求。（检测依据GB/T7000.217-2023《灯具第2-17部分:特殊要求舞台灯光､电视､电影及摄影场所(室内外)用灯具》）</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满足全部要求得1分，缺项或未提供不得分。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8"/>
        </w:trPr>
        <w:tc>
          <w:tcPr>
            <w:tcW w:w="51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产品兼容</w:t>
            </w:r>
            <w:r>
              <w:rPr>
                <w:rFonts w:ascii="宋体" w:hAnsi="宋体" w:eastAsia="宋体" w:cs="宋体"/>
                <w:color w:val="000000"/>
                <w:spacing w:val="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1.投标人所投演播室摄像机系统（产品清单1）与切换台（产品清单10）为同一品牌的得1分，不满足不得分。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2.投标人所投主扩声线阵列扬声器（产品清单27）或主扩功率放大器（产品清单39）与数字音频处理器（产品清单49）为同一品牌的，每满足一项得0.5分，最高得1分，不满足不得分。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3.投标人所投数字调音台2（产品清单44）或Dante扩展卡（产品清单45）与数字调音台1（产品清单43）为同一品牌，每满足一项得0.5分，最高得1分，不满足不得分。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4.投标人所投LED变焦静音聚光灯（产品清单59）或LED平板柔光灯（产品清单60）或LED定焦帕灯（产品清单61）或HID三合一灯（产品清单62）与LED四合一灯（产品清单63）为同一品牌，每满足一项得0.5分，最高得2分，不满足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以上提供相关证明材料或承诺书（承诺书格式自拟）。</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Cs w:val="21"/>
                <w:highlight w:val="none"/>
                <w:lang w:val="en-US" w:eastAsia="zh-CN"/>
              </w:rPr>
              <w:t xml:space="preserve">2.5</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视频演示</w:t>
            </w:r>
            <w:r>
              <w:rPr>
                <w:rFonts w:hint="eastAsia" w:ascii="宋体" w:hAnsi="宋体" w:eastAsia="宋体" w:cs="宋体"/>
                <w:color w:val="000000"/>
                <w:spacing w:val="-2"/>
                <w:sz w:val="21"/>
                <w:szCs w:val="21"/>
                <w:highlight w:val="none"/>
                <w:lang w:val="en-US" w:eastAsia="zh-CN" w:bidi="ar-SA"/>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评委根据投标人提供的以下产品演示内容评分（每位投标人视频时长总计不超过12分钟）：</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演播室摄制系统功能演示。含投标人提供所投演播室摄像机系统（产品清单1）、便携式标准镜头（产品清单2）、切换台（产品清单10）、在线包装字幕机（产品清单11）、机架式双通道硬盘录像机（产品清单26）（3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（1）所投演播室摄像机，以3840*2160 50P格式接入切换台，完整输出4K信号、4K摄像机遥控面板可直接显示光缆信号质量、控制光圈无延迟、可远程控制摄像机Zoom、Focus操作。成功演示全部内容得1分，</w:t>
            </w:r>
            <w:r>
              <w:rPr>
                <w:rFonts w:hint="eastAsia" w:ascii="宋体" w:hAnsi="宋体" w:eastAsia="宋体" w:cs="宋体"/>
                <w:color w:val="000000"/>
                <w:sz w:val="21"/>
                <w:szCs w:val="21"/>
                <w:highlight w:val="none"/>
                <w:lang w:val="en-US" w:eastAsia="zh-CN" w:bidi="ar-SA"/>
              </w:rPr>
              <w:t xml:space="preserve">未提供或演示内容缺项不得分。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通过在线包装字幕机输出1路KEY信号（12G-SDI）、1路填充信号（12G-SDI），完整展示信号路由，接入导播台下游键（DSK），并能在摄像机画面上叠加一路动态游走字幕。成功演示全部内容得1分，演示内容缺项或不满足要求的不得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（3）通过切换台（产品清单10）输出两路信号至机架式双通道硬盘录像机（产品清单26），信号1：带字幕的PGM，信号2：clean PGM，两路信号均为3840*2160 50P格式，在进行导播切换期间，可一键录制两路4K信号，且时码一致无错位，两路画面稳定无抖动。成功演示全部内容得1分，</w:t>
            </w:r>
            <w:r>
              <w:rPr>
                <w:rFonts w:hint="eastAsia" w:ascii="宋体" w:hAnsi="宋体" w:eastAsia="宋体" w:cs="宋体"/>
                <w:color w:val="000000"/>
                <w:sz w:val="21"/>
                <w:szCs w:val="21"/>
                <w:highlight w:val="none"/>
                <w:lang w:val="en-US" w:eastAsia="zh-CN" w:bidi="ar-SA"/>
              </w:rPr>
              <w:t xml:space="preserve">未提供或演示内容缺项不得分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2.室内LED显示屏功能演示。含投标人提供所投室内LED显示屏控制台（产品清单8）、媒体控制器（产品清单9）、切换台（产品清单10）、室内LED显示屏（产品清单52）（2分）：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（1）室内LED显示屏控制台（屏控台）产品功能演示。屏控台通过光纤接口输出信号至室内LED显示屏。屏控台输入2路3840*2160 50P格式12G SDI视频源，备份功能演示：当其中一路输入信号切断后，在无手动操作的情况下可无缝自动切换至另一路输入信号，室内LED显示屏显示画面无卡顿、无黑屏、无闪烁。同屏播放功能演示：调用预存的4路4K背景图片，通过屏控台实现6路4K图层同屏播放。成功演示全部内容得1分，</w:t>
            </w:r>
            <w:r>
              <w:rPr>
                <w:rFonts w:hint="eastAsia" w:ascii="宋体" w:hAnsi="宋体" w:eastAsia="宋体" w:cs="宋体"/>
                <w:color w:val="000000"/>
                <w:sz w:val="21"/>
                <w:szCs w:val="21"/>
                <w:highlight w:val="none"/>
                <w:lang w:val="en-US" w:eastAsia="zh-CN" w:bidi="ar-SA"/>
              </w:rPr>
              <w:t xml:space="preserve">未提供或演示内容缺项不得分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媒体控制器产品功能演示。媒体控制器预存1个PPT,1个4K视频，组成播单，输出4K信号至LED显示屏控制台，LED显示屏控制台输出4K信号至切换台，同步方式为切换台主动输出同步信号（BB黑场或三电平方式）同步锁相屏控台，室内LED显示屏和切换台PGM信号同步显示，图像无延迟无抖动。成功演示全部内容得1分，</w:t>
            </w:r>
            <w:r>
              <w:rPr>
                <w:rFonts w:hint="eastAsia" w:ascii="宋体" w:hAnsi="宋体" w:eastAsia="宋体" w:cs="宋体"/>
                <w:color w:val="000000"/>
                <w:sz w:val="21"/>
                <w:szCs w:val="21"/>
                <w:highlight w:val="none"/>
                <w:lang w:val="en-US" w:eastAsia="zh-CN" w:bidi="ar-SA"/>
              </w:rPr>
              <w:t xml:space="preserve">未提供或演示内容缺项不得分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3.数字音频产品功能演示。含投标人提供所投主扩声线阵扬声器（产品清单27）、主扩功率放大器（产品清单39）、数字调音台1（产品清单43）、数字音频处理器（产品清单49）（2分）：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远程监控功能演示。完整展示Dante信号连接路由，通过控制软件可查看完整网络拓扑图，呈现数字调音台、数字音频处理器、功率放大器之间的信号路由分配；并可通过控制软件远程监控功率放大器的温度、电压、电流、保护功能状态。成功演示全部内容得1分，</w:t>
            </w:r>
            <w:r>
              <w:rPr>
                <w:rFonts w:hint="eastAsia" w:ascii="宋体" w:hAnsi="宋体" w:eastAsia="宋体" w:cs="宋体"/>
                <w:color w:val="000000"/>
                <w:sz w:val="21"/>
                <w:szCs w:val="21"/>
                <w:highlight w:val="none"/>
                <w:lang w:val="en-US" w:eastAsia="zh-CN" w:bidi="ar-SA"/>
              </w:rPr>
              <w:t xml:space="preserve">未提供或演示内容缺项不得分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（2）信号备份功能演示。模拟拔掉Dante通讯主网线，展示断线后音频信号实现无缝切换，且音频信号无中断、无爆音。成功演示全部内容得1分，</w:t>
            </w:r>
            <w:r>
              <w:rPr>
                <w:rFonts w:hint="eastAsia" w:ascii="宋体" w:hAnsi="宋体" w:eastAsia="宋体" w:cs="宋体"/>
                <w:color w:val="000000"/>
                <w:sz w:val="21"/>
                <w:szCs w:val="21"/>
                <w:highlight w:val="none"/>
                <w:lang w:val="en-US" w:eastAsia="zh-CN" w:bidi="ar-SA"/>
              </w:rPr>
              <w:t xml:space="preserve">未提供或演示内容缺项不得分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4.舞台机械控制产品功能演示。含投标人提供所投吊杆电动卷扬机1（产品清单55）、舞台机械控制系统（产品清单58）（2分）：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1）吊杆控制备份功能演示。舞台机械控制具备两路控制路径，支持通过触摸屏进行触摸控制吊杆升降，同时支持通过手动推杆控制吊杆升降，触摸控制屏可实时显示所有灯杆运行速度及方向。成功演示全部内容得1分，</w:t>
            </w:r>
            <w:r>
              <w:rPr>
                <w:rFonts w:hint="eastAsia" w:ascii="宋体" w:hAnsi="宋体" w:eastAsia="宋体" w:cs="宋体"/>
                <w:color w:val="000000"/>
                <w:sz w:val="21"/>
                <w:szCs w:val="21"/>
                <w:highlight w:val="none"/>
                <w:lang w:val="en-US" w:eastAsia="zh-CN" w:bidi="ar-SA"/>
              </w:rPr>
              <w:t xml:space="preserve">未提供或演示内容缺项不得分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（2）吊杆编组控制功能演示。支持现场编程同步对多道灯杆进行批量控制，可使灯杆按照不同方向不同速度同时运行；可通过触摸屏一键调用已存储场景实现多组灯杆批量控制。成功演示全部内容得1分，</w:t>
            </w:r>
            <w:r>
              <w:rPr>
                <w:rFonts w:hint="eastAsia" w:ascii="宋体" w:hAnsi="宋体" w:eastAsia="宋体" w:cs="宋体"/>
                <w:color w:val="000000"/>
                <w:sz w:val="21"/>
                <w:szCs w:val="21"/>
                <w:highlight w:val="none"/>
                <w:lang w:val="en-US" w:eastAsia="zh-CN" w:bidi="ar-SA"/>
              </w:rPr>
              <w:t xml:space="preserve">未提供或演示内容缺项不得分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5.舞台灯光产品功能演示。含投标人提供所投灯光控制台（产品清单65）、LED四合一灯（产品清单63）（1分）：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通过所投灯光控制台编程，控制多组LED四合一灯在舞台上投射出6个等宽的小长方形，单个小长方形可以360°旋转；且6个小长方形可拼接成一个等宽的光路，通过四合一灯的棱镜功能使得演示灯具单灯可实现多光束输出并演示多灯效果。成功演示全部内容得1分，</w:t>
            </w:r>
            <w:r>
              <w:rPr>
                <w:rFonts w:hint="eastAsia" w:ascii="宋体" w:hAnsi="宋体" w:eastAsia="宋体" w:cs="宋体"/>
                <w:color w:val="000000"/>
                <w:sz w:val="21"/>
                <w:szCs w:val="21"/>
                <w:highlight w:val="none"/>
                <w:lang w:val="en-US" w:eastAsia="zh-CN" w:bidi="ar-SA"/>
              </w:rPr>
              <w:t xml:space="preserve">未提供或演示内容缺项不得分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投标人未提供视频文件或因投标人自身原因视频文件无法打开或视频画面不清晰无法辨认的不得分。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Cs w:val="21"/>
                <w:highlight w:val="none"/>
                <w:lang w:val="en-US" w:eastAsia="zh-CN"/>
              </w:rPr>
              <w:t xml:space="preserve">客</w:t>
            </w:r>
            <w:r>
              <w:rPr>
                <w:rFonts w:hint="eastAsia" w:ascii="宋体" w:hAnsi="宋体" w:eastAsia="宋体" w:cs="宋体"/>
                <w:color w:val="000000"/>
                <w:spacing w:val="-6"/>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7"/>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20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根据本项目采购需求</w:t>
            </w:r>
            <w:r>
              <w:rPr>
                <w:rFonts w:hint="eastAsia" w:ascii="宋体" w:hAnsi="宋体" w:eastAsia="宋体" w:cs="宋体"/>
                <w:color w:val="000000"/>
                <w:sz w:val="21"/>
                <w:szCs w:val="21"/>
                <w:highlight w:val="none"/>
                <w:lang w:val="en-US" w:eastAsia="zh-CN" w:bidi="ar-SA"/>
              </w:rPr>
              <w:t xml:space="preserve">及相关要求</w:t>
            </w:r>
            <w:r>
              <w:rPr>
                <w:rFonts w:hint="eastAsia" w:ascii="宋体" w:hAnsi="宋体" w:eastAsia="宋体" w:cs="宋体"/>
                <w:color w:val="000000"/>
                <w:sz w:val="21"/>
                <w:szCs w:val="21"/>
                <w:highlight w:val="none"/>
                <w:lang w:val="en-US" w:eastAsia="zh-CN" w:bidi="ar-SA"/>
              </w:rPr>
              <w:t xml:space="preserve">编制方案，内容</w:t>
            </w:r>
            <w:r>
              <w:rPr>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1.供货进度保证措施及协调配合措施；2.质量保证措施及应急措施；</w:t>
            </w:r>
            <w:r>
              <w:rPr>
                <w:rFonts w:hint="eastAsia" w:ascii="宋体" w:hAnsi="宋体" w:eastAsia="宋体" w:cs="宋体"/>
                <w:color w:val="000000"/>
                <w:sz w:val="21"/>
                <w:szCs w:val="21"/>
                <w:highlight w:val="none"/>
                <w:lang w:val="en-US" w:eastAsia="zh-CN" w:bidi="ar-SA"/>
              </w:rPr>
              <w:t xml:space="preserve">3.安全生产</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完整详细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科学合理，</w:t>
            </w:r>
            <w:r>
              <w:rPr>
                <w:rFonts w:hint="eastAsia" w:ascii="宋体" w:hAnsi="宋体" w:eastAsia="宋体" w:cs="宋体"/>
                <w:color w:val="000000"/>
                <w:sz w:val="21"/>
                <w:szCs w:val="21"/>
                <w:highlight w:val="none"/>
                <w:lang w:val="en-US" w:eastAsia="zh-CN" w:bidi="ar-SA"/>
              </w:rPr>
              <w:t xml:space="preserve">且</w:t>
            </w:r>
            <w:r>
              <w:rPr>
                <w:rFonts w:hint="eastAsia" w:ascii="宋体" w:hAnsi="宋体" w:eastAsia="宋体" w:cs="宋体"/>
                <w:color w:val="000000"/>
                <w:sz w:val="21"/>
                <w:szCs w:val="21"/>
                <w:highlight w:val="none"/>
                <w:lang w:val="en-US" w:eastAsia="zh-CN" w:bidi="ar-SA"/>
              </w:rPr>
              <w:t xml:space="preserve">专门针对本项目，</w:t>
            </w:r>
            <w:r>
              <w:rPr>
                <w:rFonts w:hint="eastAsia" w:ascii="宋体" w:hAnsi="宋体" w:eastAsia="宋体" w:cs="宋体"/>
                <w:color w:val="000000"/>
                <w:sz w:val="21"/>
                <w:szCs w:val="21"/>
                <w:highlight w:val="none"/>
                <w:lang w:val="en-US" w:eastAsia="zh-CN" w:bidi="ar-SA"/>
              </w:rPr>
              <w:t xml:space="preserve">契合</w:t>
            </w:r>
            <w:r>
              <w:rPr>
                <w:rFonts w:hint="eastAsia" w:ascii="宋体" w:hAnsi="宋体" w:eastAsia="宋体" w:cs="宋体"/>
                <w:color w:val="000000"/>
                <w:sz w:val="21"/>
                <w:szCs w:val="21"/>
                <w:highlight w:val="none"/>
                <w:lang w:val="en-US" w:eastAsia="zh-CN" w:bidi="ar-SA"/>
              </w:rPr>
              <w:t xml:space="preserve">采购需求视为符合；方案内容属于通用类，非专门针对本项目，部分</w:t>
            </w:r>
            <w:r>
              <w:rPr>
                <w:rFonts w:hint="eastAsia" w:ascii="宋体" w:hAnsi="宋体" w:eastAsia="宋体" w:cs="宋体"/>
                <w:color w:val="000000"/>
                <w:sz w:val="21"/>
                <w:szCs w:val="21"/>
                <w:highlight w:val="none"/>
                <w:lang w:val="en-US" w:eastAsia="zh-CN" w:bidi="ar-SA"/>
              </w:rPr>
              <w:t xml:space="preserve">契合采购需求</w:t>
            </w:r>
            <w:r>
              <w:rPr>
                <w:rFonts w:hint="eastAsia" w:ascii="宋体" w:hAnsi="宋体" w:eastAsia="宋体" w:cs="宋体"/>
                <w:color w:val="000000"/>
                <w:sz w:val="21"/>
                <w:szCs w:val="21"/>
                <w:highlight w:val="none"/>
                <w:lang w:val="en-US" w:eastAsia="zh-CN" w:bidi="ar-SA"/>
              </w:rPr>
              <w:t xml:space="preserve">视为部分符合；方案内容非专门针对本项目</w:t>
            </w:r>
            <w:r>
              <w:rPr>
                <w:rFonts w:hint="eastAsia" w:ascii="宋体" w:hAnsi="宋体" w:eastAsia="宋体" w:cs="宋体"/>
                <w:color w:val="000000"/>
                <w:sz w:val="21"/>
                <w:szCs w:val="21"/>
                <w:highlight w:val="none"/>
                <w:lang w:val="en-US" w:eastAsia="zh-CN" w:bidi="ar-SA"/>
              </w:rPr>
              <w:t xml:space="preserve">，脱离</w:t>
            </w:r>
            <w:r>
              <w:rPr>
                <w:rFonts w:hint="eastAsia" w:ascii="宋体" w:hAnsi="宋体" w:eastAsia="宋体" w:cs="宋体"/>
                <w:color w:val="000000"/>
                <w:sz w:val="21"/>
                <w:szCs w:val="21"/>
                <w:highlight w:val="none"/>
                <w:lang w:val="en-US" w:eastAsia="zh-CN" w:bidi="ar-SA"/>
              </w:rPr>
              <w:t xml:space="preserve">采购需求视为不符合。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上述每项内容</w:t>
            </w:r>
            <w:r>
              <w:rPr>
                <w:rFonts w:hint="eastAsia" w:ascii="宋体" w:hAnsi="宋体" w:eastAsia="宋体" w:cs="宋体"/>
                <w:color w:val="000000"/>
                <w:sz w:val="21"/>
                <w:szCs w:val="21"/>
                <w:highlight w:val="none"/>
                <w:lang w:val="en-US" w:eastAsia="zh-CN" w:bidi="ar-SA"/>
              </w:rPr>
              <w:t xml:space="preserve">符合得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分；不符合或不提供不得分。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bidi="ar-SA"/>
              </w:rPr>
            </w:pPr>
            <w:r>
              <w:rPr>
                <w:rFonts w:hint="eastAsia" w:ascii="Times New Roman" w:hAnsi="Times New Roman" w:eastAsia="宋体" w:cs="Times New Roman"/>
                <w:color w:val="000000"/>
                <w:spacing w:val="0"/>
                <w:highlight w:val="none"/>
                <w:lang w:val="en-US" w:eastAsia="zh-CN"/>
              </w:rPr>
              <w:t xml:space="preserve">售后服务方案</w:t>
            </w:r>
            <w:r>
              <w:rPr>
                <w:rFonts w:hint="eastAsia" w:ascii="Times New Roman" w:hAnsi="Times New Roman" w:eastAsia="宋体" w:cs="Times New Roman"/>
                <w:color w:val="000000"/>
                <w:spacing w:val="0"/>
                <w:sz w:val="21"/>
                <w:szCs w:val="21"/>
                <w:highlight w:val="none"/>
                <w:lang w:val="en-US" w:eastAsia="zh-CN" w:bidi="ar-SA"/>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根据本项目采购需求</w:t>
            </w:r>
            <w:r>
              <w:rPr>
                <w:rFonts w:hint="eastAsia" w:ascii="宋体" w:hAnsi="宋体" w:eastAsia="宋体" w:cs="宋体"/>
                <w:color w:val="000000"/>
                <w:sz w:val="21"/>
                <w:szCs w:val="21"/>
                <w:highlight w:val="none"/>
                <w:lang w:val="en-US" w:eastAsia="zh-CN" w:bidi="ar-SA"/>
              </w:rPr>
              <w:t xml:space="preserve">及相关要求</w:t>
            </w:r>
            <w:r>
              <w:rPr>
                <w:rFonts w:hint="eastAsia" w:ascii="宋体" w:hAnsi="宋体" w:eastAsia="宋体" w:cs="宋体"/>
                <w:color w:val="000000"/>
                <w:sz w:val="21"/>
                <w:szCs w:val="21"/>
                <w:highlight w:val="none"/>
                <w:lang w:val="en-US" w:eastAsia="zh-CN" w:bidi="ar-SA"/>
              </w:rPr>
              <w:t xml:space="preserve">编制方案，内容</w:t>
            </w:r>
            <w:r>
              <w:rPr>
                <w:rFonts w:hint="eastAsia" w:ascii="宋体" w:hAnsi="宋体" w:eastAsia="宋体" w:cs="宋体"/>
                <w:color w:val="000000"/>
                <w:sz w:val="21"/>
                <w:szCs w:val="21"/>
                <w:highlight w:val="none"/>
                <w:lang w:val="en-US" w:eastAsia="zh-CN" w:bidi="ar-SA"/>
              </w:rPr>
              <w:t xml:space="preserve">包括</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1.售后服务内容及售后服务体系；2.故障解决方案，故障响应时间；3.现场活动技术保障方案和专业技术人员保障；4.各系统各产品培训方案。</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en-US" w:eastAsia="zh-CN" w:bidi="ar-SA"/>
              </w:rPr>
              <w:t xml:space="preserve">完整、合理</w:t>
            </w:r>
            <w:r>
              <w:rPr>
                <w:rFonts w:hint="eastAsia" w:ascii="宋体" w:hAnsi="宋体" w:eastAsia="宋体" w:cs="宋体"/>
                <w:color w:val="000000"/>
                <w:sz w:val="21"/>
                <w:szCs w:val="21"/>
                <w:highlight w:val="none"/>
                <w:lang w:val="en-US" w:eastAsia="zh-CN" w:bidi="ar-SA"/>
              </w:rPr>
              <w:t xml:space="preserve">，且</w:t>
            </w:r>
            <w:r>
              <w:rPr>
                <w:rFonts w:hint="eastAsia" w:ascii="宋体" w:hAnsi="宋体" w:eastAsia="宋体" w:cs="宋体"/>
                <w:color w:val="000000"/>
                <w:sz w:val="21"/>
                <w:szCs w:val="21"/>
                <w:highlight w:val="none"/>
                <w:lang w:val="en-US" w:eastAsia="zh-CN" w:bidi="ar-SA"/>
              </w:rPr>
              <w:t xml:space="preserve">专门针对本项目，</w:t>
            </w:r>
            <w:r>
              <w:rPr>
                <w:rFonts w:hint="eastAsia" w:ascii="宋体" w:hAnsi="宋体" w:eastAsia="宋体" w:cs="宋体"/>
                <w:color w:val="000000"/>
                <w:sz w:val="21"/>
                <w:szCs w:val="21"/>
                <w:highlight w:val="none"/>
                <w:lang w:val="en-US" w:eastAsia="zh-CN" w:bidi="ar-SA"/>
              </w:rPr>
              <w:t xml:space="preserve">契合</w:t>
            </w:r>
            <w:r>
              <w:rPr>
                <w:rFonts w:hint="eastAsia" w:ascii="宋体" w:hAnsi="宋体" w:eastAsia="宋体" w:cs="宋体"/>
                <w:color w:val="000000"/>
                <w:sz w:val="21"/>
                <w:szCs w:val="21"/>
                <w:highlight w:val="none"/>
                <w:lang w:val="en-US" w:eastAsia="zh-CN" w:bidi="ar-SA"/>
              </w:rPr>
              <w:t xml:space="preserve">采购需求视为符合；方案内容属于通用类，非专</w:t>
            </w:r>
            <w:r>
              <w:rPr>
                <w:rFonts w:hint="eastAsia" w:ascii="宋体" w:hAnsi="宋体" w:eastAsia="宋体" w:cs="宋体"/>
                <w:color w:val="000000"/>
                <w:sz w:val="21"/>
                <w:szCs w:val="21"/>
                <w:highlight w:val="none"/>
                <w:lang w:val="en-US" w:eastAsia="zh-CN" w:bidi="ar-SA"/>
              </w:rPr>
              <w:t xml:space="preserve">门针对本项目，部分</w:t>
            </w:r>
            <w:r>
              <w:rPr>
                <w:rFonts w:hint="eastAsia" w:ascii="宋体" w:hAnsi="宋体" w:eastAsia="宋体" w:cs="宋体"/>
                <w:color w:val="000000"/>
                <w:sz w:val="21"/>
                <w:szCs w:val="21"/>
                <w:highlight w:val="none"/>
                <w:lang w:val="en-US" w:eastAsia="zh-CN" w:bidi="ar-SA"/>
              </w:rPr>
              <w:t xml:space="preserve">契合采购需求</w:t>
            </w:r>
            <w:r>
              <w:rPr>
                <w:rFonts w:hint="eastAsia" w:ascii="宋体" w:hAnsi="宋体" w:eastAsia="宋体" w:cs="宋体"/>
                <w:color w:val="000000"/>
                <w:sz w:val="21"/>
                <w:szCs w:val="21"/>
                <w:highlight w:val="none"/>
                <w:lang w:val="en-US" w:eastAsia="zh-CN" w:bidi="ar-SA"/>
              </w:rPr>
              <w:t xml:space="preserve">视为部分符合；方案内容</w:t>
            </w:r>
            <w:r>
              <w:rPr>
                <w:rFonts w:hint="eastAsia" w:ascii="宋体" w:hAnsi="宋体" w:eastAsia="宋体" w:cs="宋体"/>
                <w:color w:val="000000"/>
                <w:sz w:val="21"/>
                <w:szCs w:val="21"/>
                <w:highlight w:val="none"/>
                <w:lang w:val="en-US" w:eastAsia="zh-CN" w:bidi="ar-SA"/>
              </w:rPr>
              <w:t xml:space="preserve">非专门针对本项目</w:t>
            </w:r>
            <w:r>
              <w:rPr>
                <w:rFonts w:hint="eastAsia" w:ascii="宋体" w:hAnsi="宋体" w:eastAsia="宋体" w:cs="宋体"/>
                <w:color w:val="000000"/>
                <w:sz w:val="21"/>
                <w:szCs w:val="21"/>
                <w:highlight w:val="none"/>
                <w:lang w:val="en-US" w:eastAsia="zh-CN" w:bidi="ar-SA"/>
              </w:rPr>
              <w:t xml:space="preserve">，脱离</w:t>
            </w:r>
            <w:r>
              <w:rPr>
                <w:rFonts w:hint="eastAsia" w:ascii="宋体" w:hAnsi="宋体" w:eastAsia="宋体" w:cs="宋体"/>
                <w:color w:val="000000"/>
                <w:sz w:val="21"/>
                <w:szCs w:val="21"/>
                <w:highlight w:val="none"/>
                <w:lang w:val="en-US" w:eastAsia="zh-CN" w:bidi="ar-SA"/>
              </w:rPr>
              <w:t xml:space="preserve">采购需求视为不符合。</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上述每项内容</w:t>
            </w:r>
            <w:r>
              <w:rPr>
                <w:rFonts w:hint="eastAsia" w:ascii="宋体" w:hAnsi="宋体" w:eastAsia="宋体" w:cs="宋体"/>
                <w:color w:val="000000"/>
                <w:sz w:val="21"/>
                <w:szCs w:val="21"/>
                <w:highlight w:val="none"/>
                <w:lang w:val="en-US" w:eastAsia="zh-CN" w:bidi="ar-SA"/>
              </w:rPr>
              <w:t xml:space="preserve">符合得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分；部分符合得</w:t>
            </w:r>
            <w:r>
              <w:rPr>
                <w:rFonts w:hint="eastAsia" w:ascii="宋体" w:hAnsi="宋体" w:eastAsia="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分；不符合或不提供</w:t>
            </w:r>
            <w:r>
              <w:rPr>
                <w:rFonts w:hint="eastAsia" w:ascii="宋体" w:hAnsi="宋体" w:eastAsia="宋体" w:cs="宋体"/>
                <w:color w:val="000000"/>
                <w:sz w:val="21"/>
                <w:szCs w:val="21"/>
                <w:highlight w:val="none"/>
                <w:lang w:val="en-US" w:eastAsia="zh-CN" w:bidi="ar-SA"/>
              </w:rPr>
              <w:t xml:space="preserve">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356"/>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97"/>
              <w:jc w:val="left"/>
              <w:spacing w:line="264" w:lineRule="auto"/>
              <w:widowControl w:val="off"/>
              <w:rPr>
                <w:rFonts w:hint="eastAsia" w:ascii="宋体" w:hAnsi="宋体" w:eastAsia="宋体" w:cs="宋体"/>
                <w:color w:val="000000"/>
                <w:spacing w:val="0"/>
                <w:sz w:val="22"/>
                <w:szCs w:val="22"/>
                <w:highlight w:val="none"/>
                <w:lang w:val="en-US" w:eastAsia="zh-CN" w:bidi="zh-CN"/>
              </w:rPr>
            </w:pPr>
            <w:r>
              <w:rPr>
                <w:rFonts w:hint="eastAsia" w:ascii="宋体" w:hAnsi="宋体" w:eastAsia="宋体" w:cs="宋体"/>
                <w:color w:val="000000"/>
                <w:sz w:val="21"/>
                <w:szCs w:val="21"/>
                <w:highlight w:val="none"/>
                <w:lang w:val="en-US" w:eastAsia="zh-CN" w:bidi="ar-SA"/>
              </w:rPr>
              <w:t xml:space="preserve">原厂质保</w:t>
            </w:r>
            <w:r>
              <w:rPr>
                <w:rFonts w:hint="eastAsia" w:ascii="宋体" w:hAnsi="宋体" w:eastAsia="宋体" w:cs="宋体"/>
                <w:color w:val="000000"/>
                <w:spacing w:val="0"/>
                <w:sz w:val="22"/>
                <w:szCs w:val="22"/>
                <w:highlight w:val="none"/>
                <w:lang w:val="en-US" w:eastAsia="zh-CN" w:bidi="zh-CN"/>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投标人承诺所投室内LED显示屏（产品清单52）、吊杆电动卷扬机1（产品清单55）、吊杆电动卷扬机2（产品清单56）、吊杆电动卷扬机3（产品清单57）、舞台机械控制系统（产品清单58）在质保三年的基础上，每延长一年原厂质保（含维修及配件）得0.5分，最多得1分； </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（以上提供承诺函，格式自拟）。</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2"/>
                <w:highlight w:val="none"/>
                <w:lang w:val="en-US" w:eastAsia="zh-CN" w:bidi="ar-SA"/>
              </w:rPr>
            </w:r>
            <w:r/>
          </w:p>
        </w:tc>
      </w:tr>
      <w:tr>
        <w:trPr>
          <w:trHeight w:val="356"/>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3.4</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997"/>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延保承诺</w:t>
            </w:r>
            <w:r>
              <w:rPr>
                <w:rFonts w:hint="eastAsia" w:ascii="宋体" w:hAnsi="宋体" w:eastAsia="宋体" w:cs="宋体"/>
                <w:color w:val="000000"/>
                <w:sz w:val="21"/>
                <w:szCs w:val="21"/>
                <w:highlight w:val="none"/>
                <w:lang w:val="en-US" w:eastAsia="zh-CN" w:bidi="ar-SA"/>
              </w:rPr>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投标人承诺整体项目在质保三年的基础上，每延长一年质保得0.5分，最多得1分。（若投标人已按3.3项要求承诺了原厂质保，则3.3项中所涉及产品除外）</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（以上提供承诺函，格式自拟）。</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both"/>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szCs w:val="21"/>
                <w:highlight w:val="none"/>
                <w:lang w:val="en-US" w:eastAsia="zh-CN"/>
              </w:rPr>
              <w:t xml:space="preserve">客观分</w:t>
            </w:r>
            <w:r>
              <w:rPr>
                <w:rFonts w:hint="eastAsia" w:ascii="宋体" w:hAnsi="宋体" w:eastAsia="宋体" w:cs="宋体"/>
                <w:color w:val="000000"/>
                <w:spacing w:val="-6"/>
                <w:sz w:val="21"/>
                <w:szCs w:val="22"/>
                <w:highlight w:val="none"/>
                <w:lang w:val="en-US" w:eastAsia="zh-CN" w:bidi="ar-SA"/>
              </w:rPr>
            </w:r>
            <w:r/>
          </w:p>
        </w:tc>
      </w:tr>
      <w:tr>
        <w:trPr>
          <w:trHeight w:val="455"/>
        </w:trPr>
        <w:tc>
          <w:tcPr>
            <w:gridSpan w:val="5"/>
            <w:tcW w:w="9575" w:type="dxa"/>
            <w:vAlign w:val="center"/>
            <w:textDirection w:val="lrTb"/>
            <w:noWrap w:val="false"/>
          </w:tcPr>
          <w:p>
            <w:pPr>
              <w:pStyle w:val="877"/>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7"/>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eastAsia="zh-CN"/>
              </w:rPr>
              <w:t xml:space="preserve">投标人</w:t>
            </w:r>
            <w:r>
              <w:rPr>
                <w:rFonts w:hint="eastAsia" w:ascii="宋体" w:hAnsi="宋体" w:eastAsia="宋体" w:cs="宋体"/>
                <w:color w:val="000000"/>
                <w:spacing w:val="-1"/>
                <w:szCs w:val="21"/>
                <w:highlight w:val="none"/>
              </w:rPr>
              <w:t xml:space="preserve">业绩</w:t>
            </w:r>
            <w:r>
              <w:rPr>
                <w:rFonts w:hint="eastAsia" w:eastAsia="宋体"/>
                <w:color w:val="000000"/>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 w:val="21"/>
                <w:szCs w:val="21"/>
                <w:highlight w:val="none"/>
                <w:lang w:val="en-US" w:eastAsia="zh-CN" w:bidi="ar-SA"/>
              </w:rPr>
              <w:t xml:space="preserve">2023年1月1日</w:t>
            </w:r>
            <w:r>
              <w:rPr>
                <w:rFonts w:hint="eastAsia" w:ascii="宋体" w:hAnsi="宋体" w:eastAsia="宋体" w:cs="宋体"/>
                <w:color w:val="000000"/>
                <w:sz w:val="21"/>
                <w:szCs w:val="21"/>
                <w:highlight w:val="none"/>
                <w:lang w:val="en-US" w:eastAsia="zh-CN" w:bidi="ar-SA"/>
              </w:rPr>
              <w:t xml:space="preserve">（含）以来类似项目业绩（</w:t>
            </w:r>
            <w:r>
              <w:rPr>
                <w:rFonts w:hint="eastAsia" w:ascii="宋体" w:hAnsi="宋体" w:eastAsia="宋体" w:cs="宋体"/>
                <w:color w:val="000000"/>
                <w:sz w:val="21"/>
                <w:szCs w:val="21"/>
                <w:highlight w:val="none"/>
                <w:lang w:val="en-US" w:eastAsia="zh-CN" w:bidi="ar-SA"/>
              </w:rPr>
              <w:t xml:space="preserve">至少包含LED显示屏、演播室摄像机系统、设备层、灯光吊挂系统、电动伸缩看台任意一项</w:t>
            </w:r>
            <w:r>
              <w:rPr>
                <w:rFonts w:hint="eastAsia" w:ascii="宋体" w:hAnsi="宋体" w:eastAsia="宋体" w:cs="宋体"/>
                <w:color w:val="000000"/>
                <w:sz w:val="21"/>
                <w:szCs w:val="21"/>
                <w:highlight w:val="none"/>
                <w:lang w:val="en-US" w:eastAsia="zh-CN" w:bidi="ar-SA"/>
              </w:rPr>
              <w:t xml:space="preserve">），每提供1个得1分，最多得3分。（时间以合同签订时间为准，提供有效合同和甲方验收报告，合同页须清晰可见相应内容，证明材料缺项不得分）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77"/>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387"/>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1</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投标人拟投入本项目的项目经理：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具备高级工程师（机械与电气工程类‌或电子信息与通信类）或以上职称证书，得1分；</w:t>
            </w:r>
            <w:r>
              <w:rPr>
                <w:rFonts w:hint="eastAsia" w:ascii="宋体" w:hAnsi="宋体" w:eastAsia="宋体" w:cs="宋体"/>
                <w:color w:val="000000"/>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（提供人员证书及投标人为其缴纳的2026年1月以来任意一个月的社保证明</w:t>
            </w:r>
            <w:r>
              <w:rPr>
                <w:rFonts w:hint="eastAsia" w:ascii="宋体" w:hAnsi="宋体" w:eastAsia="宋体" w:cs="宋体"/>
                <w:color w:val="000000"/>
                <w:sz w:val="21"/>
                <w:szCs w:val="21"/>
                <w:highlight w:val="none"/>
                <w:lang w:val="en-US" w:eastAsia="zh-CN" w:bidi="ar-SA"/>
              </w:rPr>
              <w:t xml:space="preserve">材料，缺一不可</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38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2</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投标人拟投入本项目的项目组成员（不含项目经理）：</w:t>
            </w:r>
            <w:r>
              <w:rPr>
                <w:rFonts w:hint="eastAsia" w:ascii="宋体" w:hAnsi="宋体" w:eastAsia="宋体" w:cs="宋体"/>
                <w:color w:val="000000"/>
                <w:sz w:val="21"/>
                <w:szCs w:val="21"/>
                <w:highlight w:val="none"/>
                <w:lang w:val="en-US" w:eastAsia="zh-CN" w:bidi="ar-SA"/>
              </w:rPr>
            </w:r>
            <w:r/>
          </w:p>
          <w:p>
            <w:p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具备工程师（机械与电气工程类‌或电子信息与通信类）或以上职称证书，每提供一个证书得0.5分，最多得2分。 </w:t>
            </w:r>
            <w:r>
              <w:rPr>
                <w:rFonts w:hint="eastAsia" w:ascii="宋体" w:hAnsi="宋体" w:eastAsia="宋体" w:cs="宋体"/>
                <w:color w:val="000000"/>
                <w:sz w:val="21"/>
                <w:szCs w:val="21"/>
                <w:highlight w:val="none"/>
                <w:lang w:val="en-US" w:eastAsia="zh-CN" w:bidi="ar-SA"/>
              </w:rPr>
            </w:r>
            <w:r/>
          </w:p>
          <w:p>
            <w:p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（一人多证不重复计分，提供团队成员证书及投标人为其缴纳的2026年1月以来任意一个月的社保证明材料，缺一不可。）</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431"/>
        </w:trPr>
        <w:tc>
          <w:tcPr>
            <w:gridSpan w:val="5"/>
            <w:tcW w:w="9575" w:type="dxa"/>
            <w:vAlign w:val="center"/>
            <w:textDirection w:val="lrTb"/>
            <w:noWrap w:val="false"/>
          </w:tcPr>
          <w:p>
            <w:pPr>
              <w:pStyle w:val="877"/>
              <w:jc w:val="both"/>
              <w:keepLines w:val="0"/>
              <w:keepNext w:val="0"/>
              <w:pageBreakBefore w:val="0"/>
              <w:spacing w:before="68" w:line="264" w:lineRule="auto"/>
              <w:widowControl w:val="off"/>
              <w:rPr>
                <w:rFonts w:hint="eastAsia" w:ascii="宋体" w:hAnsi="宋体" w:eastAsia="宋体" w:cs="宋体"/>
                <w:color w:val="000000"/>
                <w:spacing w:val="-6"/>
                <w:szCs w:val="21"/>
                <w:highlight w:val="none"/>
              </w:rPr>
            </w:pPr>
            <w:r>
              <w:rPr>
                <w:rFonts w:hint="eastAsia" w:ascii="宋体" w:hAnsi="宋体" w:eastAsia="宋体" w:cs="宋体"/>
                <w:b/>
                <w:bCs/>
                <w:color w:val="000000"/>
                <w:spacing w:val="-3"/>
                <w:szCs w:val="21"/>
                <w:highlight w:val="none"/>
                <w:lang w:val="en-US" w:eastAsia="zh-CN"/>
              </w:rPr>
              <w:t xml:space="preserve">6.绿色采购</w:t>
            </w:r>
            <w:r>
              <w:rPr>
                <w:rFonts w:hint="eastAsia" w:ascii="宋体" w:hAnsi="宋体" w:eastAsia="宋体" w:cs="宋体"/>
                <w:color w:val="000000"/>
                <w:spacing w:val="-6"/>
                <w:szCs w:val="21"/>
                <w:highlight w:val="none"/>
              </w:rPr>
            </w:r>
            <w:r/>
          </w:p>
        </w:tc>
      </w:tr>
      <w:tr>
        <w:trPr>
          <w:trHeight w:val="246"/>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6.1</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val="en-US" w:eastAsia="zh-CN"/>
              </w:rPr>
              <w:t xml:space="preserve">节能产品</w:t>
            </w:r>
            <w:r>
              <w:rPr>
                <w:rFonts w:hint="eastAsia" w:ascii="宋体" w:hAnsi="宋体" w:eastAsia="宋体" w:cs="宋体"/>
                <w:color w:val="000000"/>
                <w:spacing w:val="-1"/>
                <w:sz w:val="21"/>
                <w:szCs w:val="21"/>
                <w:highlight w:val="none"/>
                <w:lang w:val="en-US" w:eastAsia="zh-CN" w:bidi="ar-SA"/>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投标产品属于财政部、国家发</w:t>
            </w:r>
            <w:r>
              <w:rPr>
                <w:rFonts w:hint="eastAsia" w:ascii="宋体" w:hAnsi="宋体" w:eastAsia="宋体" w:cs="宋体"/>
                <w:color w:val="000000"/>
                <w:sz w:val="21"/>
                <w:szCs w:val="21"/>
                <w:highlight w:val="none"/>
                <w:lang w:val="en-US" w:eastAsia="zh-CN" w:bidi="ar-SA"/>
              </w:rPr>
              <w:t xml:space="preserve">展和改革委员会</w:t>
            </w:r>
            <w:r>
              <w:rPr>
                <w:rFonts w:hint="eastAsia" w:ascii="宋体" w:hAnsi="宋体" w:eastAsia="宋体" w:cs="宋体"/>
                <w:color w:val="000000"/>
                <w:sz w:val="21"/>
                <w:szCs w:val="21"/>
                <w:highlight w:val="none"/>
                <w:lang w:val="en-US" w:eastAsia="zh-CN" w:bidi="ar-SA"/>
              </w:rPr>
              <w:t xml:space="preserve">公布的《节能产品政府采购品目清单》（财库〔2019〕19号）范围内</w:t>
            </w:r>
            <w:r>
              <w:rPr>
                <w:rFonts w:hint="eastAsia" w:ascii="宋体" w:hAnsi="宋体" w:eastAsia="宋体" w:cs="宋体"/>
                <w:color w:val="000000"/>
                <w:sz w:val="21"/>
                <w:szCs w:val="21"/>
                <w:highlight w:val="none"/>
                <w:lang w:val="en-US" w:eastAsia="zh-CN" w:bidi="ar-SA"/>
              </w:rPr>
              <w:t xml:space="preserve">（政府强制采购产品除外）</w:t>
            </w:r>
            <w:r>
              <w:rPr>
                <w:rFonts w:hint="eastAsia" w:ascii="宋体" w:hAnsi="宋体" w:eastAsia="宋体" w:cs="宋体"/>
                <w:color w:val="000000"/>
                <w:sz w:val="21"/>
                <w:szCs w:val="21"/>
                <w:highlight w:val="none"/>
                <w:lang w:val="en-US" w:eastAsia="zh-CN" w:bidi="ar-SA"/>
              </w:rPr>
              <w:t xml:space="preserve">的，投标人提供国家确定的认证机构出具的、处于有效期之内的该节能产品认证证书的，有1个得0.5分，最多得</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246"/>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6.2</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环境标志产品</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投标产品属于财政部、生态环境部公布的</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环境标志产品品目清单</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（财库〔2019〕1</w:t>
            </w: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号）范围内的，投标人提供国家确定的认证机构出具的、处于有效期内的该环境标志产品认证证书的，有1个得0.5分，最多得1分。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eastAsia="zh-CN"/>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Cs w:val="21"/>
                <w:highlight w:val="none"/>
                <w:lang w:eastAsia="zh-CN"/>
              </w:rPr>
            </w:r>
            <w:r/>
          </w:p>
        </w:tc>
      </w:tr>
      <w:tr>
        <w:trPr>
          <w:trHeight w:val="464"/>
        </w:trPr>
        <w:tc>
          <w:tcPr>
            <w:tcW w:w="51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rPr>
                <w:rFonts w:hint="eastAsia" w:ascii="宋体" w:hAnsi="宋体" w:eastAsia="宋体" w:cs="宋体"/>
                <w:color w:val="000000"/>
                <w:szCs w:val="21"/>
                <w:highlight w:val="none"/>
              </w:rPr>
            </w:r>
            <w:r/>
          </w:p>
        </w:tc>
        <w:tc>
          <w:tcPr>
            <w:gridSpan w:val="2"/>
            <w:tcW w:w="7509" w:type="dxa"/>
            <w:vAlign w:val="center"/>
            <w:textDirection w:val="lrTb"/>
            <w:noWrap w:val="false"/>
          </w:tcPr>
          <w:p>
            <w:pPr>
              <w:pStyle w:val="877"/>
              <w:ind w:left="172"/>
              <w:jc w:val="center"/>
              <w:keepLines w:val="0"/>
              <w:keepNext w:val="0"/>
              <w:pageBreakBefore w:val="0"/>
              <w:spacing w:before="123"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7"/>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7"/>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7"/>
        <w:jc w:val="center"/>
        <w:rPr>
          <w:rFonts w:hint="eastAsia" w:ascii="宋体" w:hAnsi="宋体"/>
          <w:b/>
          <w:color w:val="000000"/>
          <w:sz w:val="72"/>
          <w:szCs w:val="21"/>
          <w:highlight w:val="none"/>
        </w:rPr>
      </w:pPr>
      <w:r/>
      <w:bookmarkStart w:id="68" w:name="_Hlt26671244"/>
      <w:r/>
      <w:bookmarkEnd w:id="68"/>
      <w:r/>
      <w:bookmarkStart w:id="69" w:name="_Hlt26955039"/>
      <w:r/>
      <w:bookmarkEnd w:id="69"/>
      <w:r/>
      <w:bookmarkStart w:id="70" w:name="_Toc120614282"/>
      <w:r/>
      <w:bookmarkStart w:id="71" w:name="_Toc49090576"/>
      <w:r/>
      <w:bookmarkStart w:id="72" w:name="_Toc26554094"/>
      <w:r>
        <w:rPr>
          <w:rFonts w:hint="eastAsia" w:ascii="宋体" w:hAnsi="宋体"/>
          <w:b/>
          <w:color w:val="000000"/>
          <w:sz w:val="72"/>
          <w:szCs w:val="21"/>
          <w:highlight w:val="none"/>
        </w:rPr>
      </w:r>
      <w:r/>
    </w:p>
    <w:p>
      <w:pPr>
        <w:pStyle w:val="877"/>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7"/>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7"/>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7"/>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7"/>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7"/>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7"/>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7"/>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7"/>
        <w:spacing w:line="440" w:lineRule="exact"/>
        <w:rPr>
          <w:rFonts w:ascii="宋体" w:hAnsi="宋体"/>
          <w:color w:val="000000"/>
          <w:szCs w:val="21"/>
          <w:highlight w:val="none"/>
        </w:rPr>
      </w:pPr>
      <w:r>
        <w:rPr>
          <w:rFonts w:ascii="宋体" w:hAnsi="宋体"/>
          <w:color w:val="000000"/>
          <w:szCs w:val="21"/>
          <w:highlight w:val="none"/>
        </w:rPr>
      </w:r>
      <w:r/>
    </w:p>
    <w:p>
      <w:pPr>
        <w:pStyle w:val="877"/>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1"/>
      <w:r/>
      <w:bookmarkEnd w:id="56"/>
      <w:r/>
      <w:bookmarkEnd w:id="70"/>
      <w:r/>
      <w:bookmarkEnd w:id="71"/>
      <w:r/>
      <w:bookmarkEnd w:id="72"/>
      <w:r>
        <w:rPr>
          <w:rFonts w:hint="eastAsia" w:ascii="方正黑体_GBK" w:hAnsi="方正黑体_GBK" w:eastAsia="方正黑体_GBK" w:cs="方正黑体_GBK"/>
          <w:b w:val="0"/>
          <w:bCs w:val="0"/>
          <w:color w:val="000000"/>
          <w:sz w:val="32"/>
          <w:szCs w:val="32"/>
          <w:highlight w:val="none"/>
        </w:rPr>
      </w:r>
      <w:r/>
    </w:p>
    <w:p>
      <w:pPr>
        <w:pStyle w:val="877"/>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77"/>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77"/>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77"/>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w:t>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color w:val="000000"/>
          <w:sz w:val="28"/>
          <w:szCs w:val="28"/>
          <w:highlight w:val="none"/>
          <w:u w:val="none"/>
          <w:lang w:val="en-US" w:eastAsia="zh-CN"/>
        </w:rPr>
      </w:r>
      <w:r/>
    </w:p>
    <w:p>
      <w:pPr>
        <w:ind w:firstLine="480"/>
        <w:spacing w:line="440" w:lineRule="exact"/>
        <w:rPr>
          <w:rFonts w:ascii="宋体" w:hAnsi="宋体"/>
          <w:color w:val="000000"/>
          <w:sz w:val="24"/>
          <w:szCs w:val="24"/>
          <w:highlight w:val="none"/>
        </w:rPr>
      </w:pPr>
      <w:r>
        <w:rPr>
          <w:rFonts w:ascii="宋体" w:hAnsi="宋体"/>
          <w:color w:val="000000"/>
          <w:sz w:val="24"/>
          <w:highlight w:val="none"/>
        </w:rPr>
      </w:r>
      <w:r>
        <w:rPr>
          <w:rFonts w:ascii="宋体" w:hAnsi="宋体"/>
          <w:color w:val="000000"/>
          <w:sz w:val="24"/>
          <w:highlight w:val="none"/>
        </w:rP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p>
    <w:p>
      <w:pPr>
        <w:pStyle w:val="877"/>
        <w:ind w:firstLine="480"/>
        <w:spacing w:line="440" w:lineRule="exact"/>
        <w:rPr>
          <w:rFonts w:ascii="宋体" w:hAnsi="宋体"/>
          <w:color w:val="000000"/>
          <w:sz w:val="24"/>
          <w:szCs w:val="24"/>
          <w:highlight w:val="none"/>
        </w:rPr>
      </w:pPr>
      <w:r>
        <w:rPr>
          <w:rFonts w:ascii="宋体" w:hAnsi="宋体"/>
          <w:color w:val="000000"/>
          <w:sz w:val="24"/>
          <w:highlight w:val="none"/>
        </w:rPr>
      </w:r>
      <w:r/>
    </w:p>
    <w:p>
      <w:pPr>
        <w:pStyle w:val="877"/>
        <w:ind w:firstLine="480"/>
        <w:spacing w:line="440" w:lineRule="exact"/>
        <w:rPr>
          <w:rFonts w:ascii="宋体" w:hAnsi="宋体"/>
          <w:color w:val="000000"/>
          <w:sz w:val="24"/>
          <w:highlight w:val="none"/>
        </w:rPr>
      </w:pPr>
      <w:r>
        <w:rPr>
          <w:rFonts w:ascii="宋体" w:hAnsi="宋体"/>
          <w:color w:val="000000"/>
          <w:sz w:val="24"/>
          <w:highlight w:val="none"/>
        </w:rPr>
      </w:r>
      <w:r/>
    </w:p>
    <w:p>
      <w:pPr>
        <w:pStyle w:val="877"/>
        <w:ind w:firstLine="480"/>
        <w:spacing w:line="440" w:lineRule="exact"/>
        <w:rPr>
          <w:rFonts w:ascii="宋体" w:hAnsi="宋体"/>
          <w:color w:val="000000"/>
          <w:sz w:val="24"/>
          <w:highlight w:val="none"/>
        </w:rPr>
      </w:pPr>
      <w:r>
        <w:rPr>
          <w:rFonts w:ascii="宋体" w:hAnsi="宋体"/>
          <w:color w:val="000000"/>
          <w:sz w:val="24"/>
          <w:highlight w:val="none"/>
        </w:rPr>
      </w:r>
      <w:r/>
    </w:p>
    <w:p>
      <w:pPr>
        <w:pStyle w:val="994"/>
        <w:rPr>
          <w:rFonts w:ascii="宋体" w:hAnsi="宋体"/>
          <w:color w:val="000000"/>
          <w:sz w:val="24"/>
          <w:highlight w:val="none"/>
        </w:rPr>
      </w:pPr>
      <w:r>
        <w:rPr>
          <w:rFonts w:ascii="宋体" w:hAnsi="宋体"/>
          <w:color w:val="000000"/>
          <w:sz w:val="24"/>
          <w:highlight w:val="none"/>
        </w:rPr>
      </w:r>
      <w:r/>
    </w:p>
    <w:p>
      <w:pPr>
        <w:pStyle w:val="994"/>
        <w:rPr>
          <w:rFonts w:ascii="宋体" w:hAnsi="宋体"/>
          <w:color w:val="000000"/>
          <w:sz w:val="24"/>
          <w:highlight w:val="none"/>
        </w:rPr>
      </w:pPr>
      <w:r>
        <w:rPr>
          <w:rFonts w:ascii="宋体" w:hAnsi="宋体"/>
          <w:color w:val="000000"/>
          <w:sz w:val="24"/>
          <w:highlight w:val="none"/>
        </w:rPr>
      </w:r>
      <w:r/>
    </w:p>
    <w:p>
      <w:pPr>
        <w:pStyle w:val="994"/>
        <w:rPr>
          <w:rFonts w:ascii="宋体" w:hAnsi="宋体"/>
          <w:color w:val="000000"/>
          <w:sz w:val="24"/>
          <w:highlight w:val="none"/>
        </w:rPr>
      </w:pPr>
      <w:r>
        <w:rPr>
          <w:rFonts w:ascii="宋体" w:hAnsi="宋体"/>
          <w:color w:val="000000"/>
          <w:sz w:val="24"/>
          <w:highlight w:val="none"/>
        </w:rPr>
      </w:r>
      <w:r/>
    </w:p>
    <w:p>
      <w:pPr>
        <w:pStyle w:val="994"/>
        <w:rPr>
          <w:rFonts w:ascii="宋体" w:hAnsi="宋体"/>
          <w:color w:val="000000"/>
          <w:sz w:val="24"/>
          <w:highlight w:val="none"/>
        </w:rPr>
      </w:pPr>
      <w:r>
        <w:rPr>
          <w:rFonts w:ascii="宋体" w:hAnsi="宋体"/>
          <w:color w:val="000000"/>
          <w:sz w:val="24"/>
          <w:highlight w:val="none"/>
        </w:rPr>
      </w:r>
      <w:r/>
    </w:p>
    <w:p>
      <w:pPr>
        <w:pStyle w:val="877"/>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7"/>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7"/>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7"/>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7"/>
        <w:ind w:firstLine="492"/>
        <w:spacing w:line="460" w:lineRule="exact"/>
        <w:rPr>
          <w:color w:val="000000"/>
          <w:sz w:val="24"/>
          <w:szCs w:val="24"/>
          <w:highlight w:val="none"/>
        </w:rPr>
      </w:pPr>
      <w:r>
        <w:rPr>
          <w:color w:val="000000"/>
          <w:sz w:val="24"/>
          <w:szCs w:val="24"/>
          <w:highlight w:val="none"/>
        </w:rPr>
      </w:r>
      <w:r/>
    </w:p>
    <w:p>
      <w:pPr>
        <w:pStyle w:val="995"/>
        <w:rPr>
          <w:color w:val="000000"/>
          <w:sz w:val="24"/>
          <w:szCs w:val="24"/>
          <w:highlight w:val="none"/>
        </w:rPr>
      </w:pPr>
      <w:r>
        <w:rPr>
          <w:color w:val="000000"/>
          <w:sz w:val="24"/>
          <w:szCs w:val="24"/>
          <w:highlight w:val="none"/>
        </w:rPr>
      </w:r>
      <w:r/>
    </w:p>
    <w:p>
      <w:pPr>
        <w:pStyle w:val="87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7"/>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7"/>
        <w:rPr>
          <w:color w:val="000000"/>
          <w:sz w:val="24"/>
          <w:szCs w:val="24"/>
          <w:highlight w:val="none"/>
        </w:rPr>
      </w:pPr>
      <w:r>
        <w:rPr>
          <w:color w:val="000000"/>
          <w:sz w:val="24"/>
          <w:szCs w:val="24"/>
          <w:highlight w:val="none"/>
        </w:rPr>
      </w:r>
      <w:r/>
    </w:p>
    <w:p>
      <w:pPr>
        <w:pStyle w:val="877"/>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77"/>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5"/>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5"/>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5"/>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5"/>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5"/>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97"/>
        <w:ind w:firstLine="0"/>
        <w:rPr>
          <w:rFonts w:hint="eastAsia"/>
          <w:color w:val="000000"/>
          <w:highlight w:val="none"/>
        </w:rPr>
      </w:pPr>
      <w:r>
        <w:rPr>
          <w:rFonts w:hint="eastAsia"/>
          <w:color w:val="000000"/>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5"/>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77"/>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7"/>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967"/>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rPr>
          <w:rFonts w:hint="eastAsia" w:ascii="宋体" w:hAnsi="宋体"/>
          <w:color w:val="000000"/>
          <w:szCs w:val="21"/>
          <w:highlight w:val="none"/>
        </w:rPr>
      </w:r>
      <w:r/>
    </w:p>
    <w:p>
      <w:pPr>
        <w:pStyle w:val="877"/>
        <w:ind w:firstLine="480"/>
        <w:jc w:val="left"/>
        <w:spacing w:line="4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67"/>
        <w:spacing w:before="0" w:after="0"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r>
      <w:r>
        <w:rPr>
          <w:rFonts w:hint="eastAsia" w:ascii="宋体" w:hAnsi="宋体"/>
          <w:color w:val="000000"/>
          <w:highlight w:val="none"/>
          <w:lang w:val="en-US" w:eastAsia="zh-CN"/>
        </w:rPr>
        <w:t xml:space="preserve">8.</w:t>
      </w:r>
      <w:r>
        <w:rPr>
          <w:rFonts w:hint="eastAsia"/>
          <w:color w:val="000000"/>
          <w:sz w:val="24"/>
          <w:szCs w:val="24"/>
          <w:highlight w:val="none"/>
          <w:lang w:val="en-US" w:eastAsia="zh-CN"/>
        </w:rPr>
        <w:t xml:space="preserve">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rPr>
      </w:r>
      <w:r/>
    </w:p>
    <w:p>
      <w:pPr>
        <w:pStyle w:val="967"/>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7"/>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7"/>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7"/>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7"/>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7"/>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7"/>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7"/>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7"/>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67"/>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7"/>
        <w:rPr>
          <w:rFonts w:ascii="宋体" w:hAnsi="宋体"/>
          <w:color w:val="000000"/>
          <w:sz w:val="24"/>
          <w:szCs w:val="24"/>
          <w:highlight w:val="none"/>
        </w:rPr>
      </w:pPr>
      <w:r>
        <w:rPr>
          <w:rFonts w:ascii="宋体" w:hAnsi="宋体"/>
          <w:color w:val="000000"/>
          <w:sz w:val="24"/>
          <w:szCs w:val="24"/>
          <w:highlight w:val="none"/>
        </w:rPr>
      </w:r>
      <w:r/>
    </w:p>
    <w:p>
      <w:pPr>
        <w:pStyle w:val="877"/>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7"/>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56"/>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77"/>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7"/>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8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89"/>
        <w:rPr>
          <w:rFonts w:hint="eastAsia"/>
          <w:color w:val="000000"/>
          <w:highlight w:val="none"/>
          <w:lang w:val="en-US" w:eastAsia="zh-CN"/>
        </w:rPr>
      </w:pPr>
      <w:r>
        <w:rPr>
          <w:rFonts w:hint="eastAsia"/>
          <w:color w:val="000000"/>
          <w:highlight w:val="none"/>
          <w:lang w:val="en-US" w:eastAsia="zh-CN"/>
        </w:rPr>
      </w:r>
      <w:r/>
    </w:p>
    <w:p>
      <w:pPr>
        <w:pStyle w:val="87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rPr>
          <w:rFonts w:hint="eastAsia" w:ascii="黑体" w:hAnsi="黑体" w:eastAsia="黑体" w:cs="Times New Roman"/>
          <w:i w:val="0"/>
          <w:color w:val="000000"/>
          <w:sz w:val="32"/>
          <w:szCs w:val="32"/>
          <w:highlight w:val="none"/>
          <w:u w:val="none"/>
          <w:lang w:val="en-US" w:eastAsia="zh-CN"/>
        </w:rPr>
      </w:r>
      <w:r/>
    </w:p>
    <w:p>
      <w:pPr>
        <w:pStyle w:val="877"/>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77"/>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7"/>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7"/>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7"/>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序号</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77"/>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val="zh-CN" w:eastAsia="zh-CN"/>
              </w:rPr>
            </w:r>
            <w:r/>
          </w:p>
        </w:tc>
        <w:tc>
          <w:tcPr>
            <w:tcW w:w="2158" w:type="dxa"/>
            <w:vAlign w:val="center"/>
            <w:textDirection w:val="lrTb"/>
            <w:noWrap w:val="false"/>
          </w:tcPr>
          <w:p>
            <w:pPr>
              <w:pStyle w:val="877"/>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rPr>
                <w:rFonts w:hint="eastAsia" w:ascii="宋体" w:hAnsi="宋体" w:eastAsia="宋体" w:cs="Times New Roman"/>
                <w:color w:val="000000"/>
                <w:sz w:val="24"/>
                <w:szCs w:val="24"/>
                <w:highlight w:val="none"/>
                <w:lang w:val="zh-CN" w:eastAsia="zh-CN"/>
              </w:rPr>
            </w:r>
            <w:r/>
          </w:p>
        </w:tc>
        <w:tc>
          <w:tcPr>
            <w:tcW w:w="2391" w:type="dxa"/>
            <w:vAlign w:val="center"/>
            <w:textDirection w:val="lrTb"/>
            <w:noWrap w:val="false"/>
          </w:tcPr>
          <w:p>
            <w:pPr>
              <w:pStyle w:val="877"/>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规格或型号</w:t>
            </w:r>
            <w:r>
              <w:rPr>
                <w:rFonts w:hint="eastAsia" w:ascii="宋体" w:hAnsi="宋体" w:eastAsia="宋体" w:cs="Times New Roman"/>
                <w:color w:val="000000"/>
                <w:sz w:val="24"/>
                <w:szCs w:val="24"/>
                <w:highlight w:val="none"/>
                <w:lang w:val="zh-CN" w:eastAsia="zh-CN"/>
              </w:rPr>
            </w:r>
            <w:r/>
          </w:p>
        </w:tc>
      </w:tr>
      <w:tr>
        <w:trPr>
          <w:trHeight w:val="963"/>
        </w:trPr>
        <w:tc>
          <w:tcPr>
            <w:tcW w:w="1044" w:type="dxa"/>
            <w:vAlign w:val="center"/>
            <w:textDirection w:val="lrTb"/>
            <w:noWrap w:val="false"/>
          </w:tcPr>
          <w:p>
            <w:pPr>
              <w:pStyle w:val="87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7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87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pStyle w:val="87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877"/>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77"/>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7"/>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7"/>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895"/>
        <w:gridCol w:w="970"/>
        <w:gridCol w:w="1790"/>
        <w:gridCol w:w="1470"/>
        <w:gridCol w:w="830"/>
        <w:gridCol w:w="820"/>
        <w:gridCol w:w="826"/>
        <w:gridCol w:w="1434"/>
      </w:tblGrid>
      <w:tr>
        <w:trPr>
          <w:cantSplit/>
          <w:trHeight w:val="544"/>
        </w:trPr>
        <w:tc>
          <w:tcPr>
            <w:tcW w:w="926" w:type="dxa"/>
            <w:vAlign w:val="center"/>
            <w:vMerge w:val="restart"/>
            <w:textDirection w:val="lrTb"/>
            <w:noWrap w:val="false"/>
          </w:tcPr>
          <w:p>
            <w:pPr>
              <w:pStyle w:val="877"/>
              <w:ind w:right="180" w:firstLine="0"/>
              <w:jc w:val="right"/>
              <w:spacing w:line="360" w:lineRule="auto"/>
              <w:rPr>
                <w:rFonts w:hint="eastAsia"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序号</w:t>
            </w:r>
            <w:r>
              <w:rPr>
                <w:rFonts w:hint="eastAsia" w:ascii="宋体" w:hAnsi="宋体" w:eastAsia="宋体"/>
                <w:color w:val="000000"/>
                <w:sz w:val="24"/>
                <w:szCs w:val="24"/>
                <w:highlight w:val="none"/>
                <w:lang w:val="en-US" w:eastAsia="zh-CN"/>
              </w:rPr>
            </w:r>
            <w:r/>
          </w:p>
        </w:tc>
        <w:tc>
          <w:tcPr>
            <w:tcW w:w="895" w:type="dxa"/>
            <w:vAlign w:val="center"/>
            <w:textDirection w:val="lrTb"/>
            <w:noWrap w:val="false"/>
          </w:tcPr>
          <w:p>
            <w:pPr>
              <w:pStyle w:val="877"/>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7"/>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7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7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7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7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77"/>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77"/>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926" w:type="dxa"/>
            <w:vAlign w:val="center"/>
            <w:vMerge w:val="continue"/>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9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77"/>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77"/>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926"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89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26"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89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26"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895"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26"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035" w:type="dxa"/>
            <w:vAlign w:val="center"/>
            <w:textDirection w:val="lrTb"/>
            <w:noWrap w:val="false"/>
          </w:tcPr>
          <w:p>
            <w:pPr>
              <w:pStyle w:val="877"/>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877"/>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87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42"/>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877"/>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7"/>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7"/>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7"/>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7"/>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color w:val="000000"/>
                <w:highlight w:val="none"/>
              </w:rPr>
            </w:pPr>
            <w:r>
              <w:rPr>
                <w:color w:val="000000"/>
                <w:highlight w:val="none"/>
              </w:rPr>
            </w:r>
            <w:r/>
          </w:p>
          <w:p>
            <w:pPr>
              <w:pStyle w:val="889"/>
              <w:rPr>
                <w:rFonts w:hint="eastAsia"/>
                <w:color w:val="000000"/>
                <w:highlight w:val="none"/>
              </w:rPr>
            </w:pPr>
            <w:r>
              <w:rPr>
                <w:rFonts w:hint="eastAsia"/>
                <w:color w:val="000000"/>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7"/>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42"/>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42"/>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42"/>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ascii="宋体" w:hAnsi="宋体" w:eastAsia="宋体" w:cs="宋体"/>
          <w:color w:val="000000"/>
          <w:highlight w:val="none"/>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877"/>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7"/>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77"/>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77"/>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7"/>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color w:val="000000"/>
                <w:highlight w:val="none"/>
              </w:rPr>
            </w:pPr>
            <w:r>
              <w:rPr>
                <w:color w:val="000000"/>
                <w:highlight w:val="none"/>
              </w:rPr>
            </w:r>
            <w:r/>
          </w:p>
          <w:p>
            <w:pPr>
              <w:pStyle w:val="889"/>
              <w:rPr>
                <w:rFonts w:hint="eastAsia"/>
                <w:color w:val="000000"/>
                <w:highlight w:val="none"/>
              </w:rPr>
            </w:pPr>
            <w:r>
              <w:rPr>
                <w:rFonts w:hint="eastAsia"/>
                <w:color w:val="000000"/>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7"/>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7"/>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7"/>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877"/>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7"/>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rPr>
          <w:rFonts w:hint="eastAsia" w:ascii="宋体" w:hAnsi="宋体"/>
          <w:color w:val="000000"/>
          <w:sz w:val="24"/>
          <w:szCs w:val="24"/>
          <w:highlight w:val="none"/>
        </w:rPr>
      </w:r>
      <w:r/>
    </w:p>
    <w:p>
      <w:pPr>
        <w:pStyle w:val="877"/>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7"/>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7"/>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7"/>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7"/>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6"/>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77"/>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7"/>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7"/>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77"/>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77"/>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9"/>
      </w:pPr>
      <w:r/>
      <w:r/>
    </w:p>
    <w:p>
      <w:pPr>
        <w:pStyle w:val="877"/>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7"/>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7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6"/>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rPr>
          <w:rFonts w:hint="eastAsia"/>
          <w:color w:val="000000"/>
          <w:highlight w:val="none"/>
          <w:lang w:eastAsia="zh-CN"/>
        </w:rPr>
      </w:pPr>
      <w:r>
        <w:rPr>
          <w:rFonts w:hint="eastAsia"/>
          <w:color w:val="000000"/>
          <w:highlight w:val="none"/>
          <w:lang w:eastAsia="zh-CN"/>
        </w:rPr>
      </w:r>
      <w:r/>
    </w:p>
    <w:p>
      <w:pPr>
        <w:pStyle w:val="877"/>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7"/>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7"/>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77"/>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77"/>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十一、联合体协议</w:t>
      </w:r>
      <w:r>
        <w:rPr>
          <w:rFonts w:hint="eastAsia" w:ascii="黑体" w:hAnsi="黑体" w:eastAsia="黑体" w:cs="Times New Roman"/>
          <w:i w:val="0"/>
          <w:iCs w:val="0"/>
          <w:color w:val="000000"/>
          <w:sz w:val="32"/>
          <w:szCs w:val="32"/>
          <w:highlight w:val="none"/>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7"/>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877"/>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7"/>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877"/>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7"/>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7"/>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7"/>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7"/>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7"/>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877"/>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77"/>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7"/>
        <w:ind w:firstLine="480"/>
        <w:spacing w:line="480" w:lineRule="exact"/>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77"/>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7"/>
        <w:rPr>
          <w:rFonts w:hint="eastAsia"/>
          <w:color w:val="000000"/>
          <w:highlight w:val="none"/>
        </w:rPr>
      </w:pPr>
      <w:r>
        <w:rPr>
          <w:rFonts w:hint="eastAsia"/>
          <w:color w:val="000000"/>
          <w:highlight w:val="none"/>
        </w:rPr>
      </w:r>
      <w:r/>
    </w:p>
    <w:p>
      <w:pPr>
        <w:pStyle w:val="877"/>
        <w:ind w:firstLine="645"/>
        <w:spacing w:line="560" w:lineRule="exact"/>
        <w:rPr>
          <w:rFonts w:ascii="宋体" w:hAnsi="宋体"/>
          <w:color w:val="000000"/>
          <w:sz w:val="24"/>
          <w:highlight w:val="none"/>
        </w:rPr>
      </w:pPr>
      <w:r>
        <w:rPr>
          <w:rFonts w:ascii="宋体" w:hAnsi="宋体"/>
          <w:color w:val="000000"/>
          <w:sz w:val="24"/>
          <w:highlight w:val="none"/>
        </w:rPr>
      </w:r>
      <w:r/>
    </w:p>
    <w:p>
      <w:pPr>
        <w:pStyle w:val="877"/>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7"/>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十二、关于符合本国产品标准的声明函</w:t>
      </w:r>
      <w:r>
        <w:rPr>
          <w:rFonts w:hint="eastAsia" w:ascii="宋体" w:hAnsi="宋体" w:eastAsia="宋体" w:cs="Times New Roman"/>
          <w:color w:val="000000"/>
          <w:sz w:val="24"/>
          <w:highlight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42"/>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42"/>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52"/>
          <w:rFonts w:hint="eastAsia"/>
          <w:i w:val="0"/>
          <w:color w:val="000000"/>
          <w:highlight w:val="none"/>
          <w:u w:val="single"/>
          <w:shd w:val="clear" w:color="auto" w:fill="ffffff"/>
        </w:rPr>
        <w:t xml:space="preserve">（产品名称1）</w:t>
      </w:r>
      <w:r>
        <w:rPr>
          <w:rStyle w:val="952"/>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52"/>
          <w:rFonts w:hint="eastAsia"/>
          <w:i w:val="0"/>
          <w:color w:val="000000"/>
          <w:highlight w:val="none"/>
          <w:u w:val="single"/>
          <w:shd w:val="clear" w:color="auto" w:fill="ffffff"/>
        </w:rPr>
        <w:t xml:space="preserve">（厂名）</w:t>
      </w:r>
      <w:r>
        <w:rPr>
          <w:rStyle w:val="952"/>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52"/>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52"/>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52"/>
          <w:rFonts w:hint="eastAsia"/>
          <w:i/>
          <w:strike w:val="0"/>
          <w:color w:val="000000"/>
          <w:highlight w:val="none"/>
          <w:u w:val="single"/>
          <w:shd w:val="clear" w:color="auto" w:fill="ffffff"/>
        </w:rPr>
        <w:t xml:space="preserve">（规定比例）</w:t>
      </w:r>
      <w:r>
        <w:rPr>
          <w:rStyle w:val="952"/>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52"/>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52"/>
          <w:rFonts w:hint="eastAsia"/>
          <w:i/>
          <w:strike w:val="0"/>
          <w:color w:val="000000"/>
          <w:highlight w:val="none"/>
          <w:u w:val="single"/>
          <w:shd w:val="clear" w:color="auto" w:fill="ffffff"/>
        </w:rPr>
        <w:t xml:space="preserve">（关键组件）</w:t>
      </w:r>
      <w:r>
        <w:rPr>
          <w:rStyle w:val="952"/>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52"/>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52"/>
          <w:rFonts w:hint="eastAsia"/>
          <w:i/>
          <w:strike w:val="0"/>
          <w:color w:val="000000"/>
          <w:highlight w:val="none"/>
          <w:u w:val="single"/>
          <w:shd w:val="clear" w:color="auto" w:fill="ffffff"/>
        </w:rPr>
        <w:t xml:space="preserve">（关键工序）</w:t>
      </w:r>
      <w:r>
        <w:rPr>
          <w:rStyle w:val="952"/>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42"/>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52"/>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52"/>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52"/>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52"/>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52"/>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52"/>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52"/>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52"/>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52"/>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42"/>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42"/>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42"/>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42"/>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42"/>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42"/>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42"/>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42"/>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42"/>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42"/>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74" w:name="OLE_LINK8"/>
      <w:r>
        <w:rPr>
          <w:rFonts w:hint="eastAsia"/>
          <w:b w:val="0"/>
          <w:bCs w:val="0"/>
          <w:color w:val="000000"/>
          <w:sz w:val="21"/>
          <w:szCs w:val="21"/>
          <w:highlight w:val="none"/>
          <w:shd w:val="clear" w:color="auto" w:fill="ffffff"/>
        </w:rPr>
      </w:r>
      <w:r/>
    </w:p>
    <w:p>
      <w:pPr>
        <w:pStyle w:val="877"/>
        <w:jc w:val="left"/>
        <w:keepLines w:val="0"/>
        <w:keepNext w:val="0"/>
        <w:pageBreakBefore w:val="0"/>
        <w:spacing w:line="360" w:lineRule="auto"/>
        <w:widowControl/>
        <w:rPr>
          <w:color w:val="000000"/>
          <w:highlight w:val="none"/>
          <w:lang w:val="en-US"/>
        </w:rPr>
        <w:outlineLvl w:val="9"/>
      </w:pPr>
      <w:r/>
      <w:bookmarkEnd w:id="74"/>
      <w:r>
        <w:rPr>
          <w:rFonts w:hint="eastAsia"/>
          <w:b w:val="0"/>
          <w:bCs w:val="0"/>
          <w:color w:val="000000"/>
          <w:sz w:val="21"/>
          <w:szCs w:val="21"/>
          <w:highlight w:val="none"/>
          <w:shd w:val="clear" w:color="auto" w:fill="ffffff"/>
        </w:rPr>
        <w:br w:type="page" w:clear="all"/>
      </w:r>
      <w:r/>
    </w:p>
    <w:p>
      <w:pPr>
        <w:pStyle w:val="877"/>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7"/>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7"/>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77"/>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7"/>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４２</w:t>
    </w:r>
    <w:r>
      <w:rPr>
        <w:rFonts w:ascii="宋体" w:hAnsi="宋体"/>
      </w:rPr>
      <w:fldChar w:fldCharType="end"/>
    </w:r>
    <w:r>
      <w:rPr>
        <w:rStyle w:val="950"/>
        <w:rFonts w:ascii="宋体" w:hAnsi="宋体"/>
      </w:rPr>
    </w:r>
    <w:r/>
  </w:p>
  <w:p>
    <w:pPr>
      <w:pStyle w:val="92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9"/>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87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6"/>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7">
    <w:multiLevelType w:val="hybridMultilevel"/>
    <w:lvl w:ilvl="0">
      <w:start w:val="3"/>
      <w:numFmt w:val="decimal"/>
      <w:isLgl w:val="false"/>
      <w:suff w:val="space"/>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5"/>
  </w:num>
  <w:num w:numId="4">
    <w:abstractNumId w:val="0"/>
  </w:num>
  <w:num w:numId="5">
    <w:abstractNumId w:val="3"/>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link w:val="877"/>
    <w:qFormat/>
    <w:pPr>
      <w:jc w:val="both"/>
      <w:widowControl w:val="off"/>
    </w:pPr>
    <w:rPr>
      <w:sz w:val="21"/>
      <w:szCs w:val="22"/>
      <w:lang w:val="en-US" w:eastAsia="zh-CN" w:bidi="ar-SA"/>
    </w:rPr>
  </w:style>
  <w:style w:type="paragraph" w:styleId="878">
    <w:name w:val="标题 1"/>
    <w:basedOn w:val="877"/>
    <w:next w:val="877"/>
    <w:link w:val="894"/>
    <w:qFormat/>
    <w:pPr>
      <w:jc w:val="center"/>
      <w:keepNext/>
      <w:outlineLvl w:val="0"/>
    </w:pPr>
    <w:rPr>
      <w:rFonts w:ascii="楷体_GB2312" w:hAnsi="Times New Roman" w:eastAsia="楷体_GB2312" w:cs="Times New Roman"/>
      <w:sz w:val="28"/>
      <w:szCs w:val="28"/>
    </w:rPr>
  </w:style>
  <w:style w:type="paragraph" w:styleId="879">
    <w:name w:val="标题 2"/>
    <w:basedOn w:val="877"/>
    <w:next w:val="877"/>
    <w:link w:val="895"/>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7"/>
    <w:link w:val="89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name w:val="标题 4"/>
    <w:basedOn w:val="877"/>
    <w:next w:val="897"/>
    <w:link w:val="899"/>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7"/>
    <w:link w:val="900"/>
    <w:qFormat/>
    <w:pPr>
      <w:keepNext/>
      <w:outlineLvl w:val="4"/>
    </w:pPr>
    <w:rPr>
      <w:rFonts w:ascii="宋体" w:hAnsi="Times New Roman" w:eastAsia="宋体" w:cs="Times New Roman"/>
      <w:color w:val="000000"/>
      <w:sz w:val="28"/>
      <w:szCs w:val="28"/>
    </w:rPr>
  </w:style>
  <w:style w:type="paragraph" w:styleId="883">
    <w:name w:val="标题 6"/>
    <w:basedOn w:val="877"/>
    <w:next w:val="877"/>
    <w:link w:val="90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4">
    <w:name w:val="标题 7"/>
    <w:basedOn w:val="877"/>
    <w:next w:val="877"/>
    <w:link w:val="90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5">
    <w:name w:val="标题 8"/>
    <w:basedOn w:val="877"/>
    <w:next w:val="877"/>
    <w:link w:val="90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6">
    <w:name w:val="标题 9"/>
    <w:basedOn w:val="877"/>
    <w:next w:val="877"/>
    <w:link w:val="90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7">
    <w:name w:val="默认段落字体"/>
    <w:next w:val="887"/>
    <w:link w:val="877"/>
    <w:uiPriority w:val="1"/>
    <w:unhideWhenUsed/>
  </w:style>
  <w:style w:type="table" w:styleId="888">
    <w:name w:val="普通表格"/>
    <w:next w:val="888"/>
    <w:link w:val="87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9">
    <w:name w:val="正文首行缩进 2"/>
    <w:basedOn w:val="890"/>
    <w:next w:val="877"/>
    <w:link w:val="893"/>
    <w:pPr>
      <w:ind w:left="0" w:firstLine="420"/>
      <w:spacing w:after="0" w:line="360" w:lineRule="auto"/>
    </w:pPr>
    <w:rPr>
      <w:rFonts w:ascii="宋体" w:hAnsi="宋体" w:eastAsia="宋体" w:cs="Times New Roman"/>
      <w:szCs w:val="20"/>
    </w:rPr>
  </w:style>
  <w:style w:type="paragraph" w:styleId="890">
    <w:name w:val="正文文本缩进"/>
    <w:basedOn w:val="877"/>
    <w:next w:val="892"/>
    <w:link w:val="891"/>
    <w:unhideWhenUsed/>
    <w:pPr>
      <w:ind w:left="420"/>
      <w:spacing w:after="120"/>
    </w:pPr>
  </w:style>
  <w:style w:type="character" w:styleId="891">
    <w:name w:val="正文文本缩进 Char"/>
    <w:basedOn w:val="887"/>
    <w:next w:val="891"/>
    <w:link w:val="890"/>
    <w:uiPriority w:val="99"/>
    <w:semiHidden/>
  </w:style>
  <w:style w:type="paragraph" w:styleId="892">
    <w:name w:val="寄信人地址"/>
    <w:basedOn w:val="877"/>
    <w:next w:val="892"/>
    <w:link w:val="877"/>
    <w:qFormat/>
    <w:rPr>
      <w:rFonts w:ascii="Arial" w:hAnsi="Arial" w:eastAsia="宋体" w:cs="宋体"/>
    </w:rPr>
  </w:style>
  <w:style w:type="character" w:styleId="893">
    <w:name w:val="正文首行缩进 2 Char"/>
    <w:next w:val="893"/>
    <w:link w:val="889"/>
    <w:rPr>
      <w:rFonts w:ascii="宋体" w:hAnsi="宋体" w:eastAsia="宋体" w:cs="Times New Roman"/>
      <w:szCs w:val="20"/>
    </w:rPr>
  </w:style>
  <w:style w:type="character" w:styleId="894">
    <w:name w:val="标题 1 Char"/>
    <w:next w:val="894"/>
    <w:link w:val="878"/>
    <w:rPr>
      <w:rFonts w:ascii="楷体_GB2312" w:hAnsi="Times New Roman" w:eastAsia="楷体_GB2312" w:cs="Times New Roman"/>
      <w:sz w:val="28"/>
      <w:szCs w:val="28"/>
    </w:rPr>
  </w:style>
  <w:style w:type="character" w:styleId="895">
    <w:name w:val="标题 2 Char"/>
    <w:next w:val="895"/>
    <w:link w:val="879"/>
    <w:rPr>
      <w:rFonts w:ascii="Arial" w:hAnsi="Arial" w:eastAsia="幼圆" w:cs="Arial"/>
      <w:b/>
      <w:bCs/>
      <w:sz w:val="44"/>
      <w:szCs w:val="44"/>
    </w:rPr>
  </w:style>
  <w:style w:type="character" w:styleId="896">
    <w:name w:val="标题 3 Char"/>
    <w:next w:val="896"/>
    <w:link w:val="880"/>
    <w:rPr>
      <w:rFonts w:ascii="Times New Roman" w:hAnsi="Times New Roman" w:eastAsia="宋体" w:cs="Times New Roman"/>
      <w:b/>
      <w:bCs/>
      <w:sz w:val="32"/>
      <w:szCs w:val="32"/>
    </w:rPr>
  </w:style>
  <w:style w:type="paragraph" w:styleId="897">
    <w:name w:val="正文缩进"/>
    <w:basedOn w:val="877"/>
    <w:next w:val="897"/>
    <w:link w:val="898"/>
    <w:pPr>
      <w:ind w:firstLine="420"/>
    </w:pPr>
    <w:rPr>
      <w:szCs w:val="21"/>
    </w:rPr>
  </w:style>
  <w:style w:type="character" w:styleId="898">
    <w:name w:val="正文缩进 Char"/>
    <w:next w:val="898"/>
    <w:link w:val="897"/>
    <w:rPr>
      <w:szCs w:val="21"/>
    </w:rPr>
  </w:style>
  <w:style w:type="character" w:styleId="899">
    <w:name w:val="标题 4 Char"/>
    <w:next w:val="899"/>
    <w:link w:val="881"/>
    <w:rPr>
      <w:rFonts w:ascii="Arial" w:hAnsi="Arial" w:eastAsia="黑体" w:cs="Arial"/>
      <w:b/>
      <w:bCs/>
      <w:sz w:val="28"/>
      <w:szCs w:val="28"/>
    </w:rPr>
  </w:style>
  <w:style w:type="character" w:styleId="900">
    <w:name w:val="标题 5 Char"/>
    <w:next w:val="900"/>
    <w:link w:val="882"/>
    <w:rPr>
      <w:rFonts w:ascii="宋体" w:hAnsi="Times New Roman" w:eastAsia="宋体" w:cs="Times New Roman"/>
      <w:color w:val="000000"/>
      <w:sz w:val="28"/>
      <w:szCs w:val="28"/>
    </w:rPr>
  </w:style>
  <w:style w:type="character" w:styleId="901">
    <w:name w:val="标题 6 Char"/>
    <w:next w:val="901"/>
    <w:link w:val="883"/>
    <w:rPr>
      <w:rFonts w:ascii="Arial" w:hAnsi="Arial" w:eastAsia="黑体" w:cs="Times New Roman"/>
      <w:b/>
      <w:bCs/>
      <w:sz w:val="24"/>
      <w:szCs w:val="24"/>
    </w:rPr>
  </w:style>
  <w:style w:type="character" w:styleId="902">
    <w:name w:val="标题 7 Char"/>
    <w:next w:val="902"/>
    <w:link w:val="884"/>
    <w:rPr>
      <w:rFonts w:ascii="Times New Roman" w:hAnsi="Times New Roman" w:eastAsia="宋体" w:cs="Times New Roman"/>
      <w:b/>
      <w:bCs/>
      <w:sz w:val="24"/>
      <w:szCs w:val="24"/>
    </w:rPr>
  </w:style>
  <w:style w:type="character" w:styleId="903">
    <w:name w:val="标题 8 Char"/>
    <w:next w:val="903"/>
    <w:link w:val="885"/>
    <w:rPr>
      <w:rFonts w:ascii="Arial" w:hAnsi="Arial" w:eastAsia="黑体" w:cs="Times New Roman"/>
      <w:sz w:val="24"/>
      <w:szCs w:val="24"/>
    </w:rPr>
  </w:style>
  <w:style w:type="character" w:styleId="904">
    <w:name w:val="标题 9 Char"/>
    <w:next w:val="904"/>
    <w:link w:val="886"/>
    <w:rPr>
      <w:rFonts w:ascii="Arial" w:hAnsi="Arial" w:eastAsia="黑体" w:cs="Times New Roman"/>
      <w:szCs w:val="21"/>
    </w:rPr>
  </w:style>
  <w:style w:type="paragraph" w:styleId="905">
    <w:name w:val="列表 3"/>
    <w:basedOn w:val="877"/>
    <w:next w:val="905"/>
    <w:link w:val="877"/>
    <w:pPr>
      <w:ind w:left="100" w:hanging="200"/>
    </w:pPr>
    <w:rPr>
      <w:rFonts w:ascii="Times New Roman" w:hAnsi="Times New Roman" w:eastAsia="宋体" w:cs="Times New Roman"/>
      <w:szCs w:val="21"/>
    </w:rPr>
  </w:style>
  <w:style w:type="paragraph" w:styleId="906">
    <w:name w:val="目录 7"/>
    <w:basedOn w:val="877"/>
    <w:next w:val="877"/>
    <w:link w:val="877"/>
    <w:semiHidden/>
    <w:pPr>
      <w:ind w:left="1260"/>
      <w:jc w:val="left"/>
    </w:pPr>
    <w:rPr>
      <w:rFonts w:ascii="Times New Roman" w:hAnsi="Times New Roman" w:eastAsia="宋体" w:cs="Times New Roman"/>
      <w:szCs w:val="21"/>
    </w:rPr>
  </w:style>
  <w:style w:type="paragraph" w:styleId="907">
    <w:name w:val="文档结构图"/>
    <w:basedOn w:val="877"/>
    <w:next w:val="907"/>
    <w:link w:val="908"/>
    <w:semiHidden/>
    <w:pPr>
      <w:shd w:val="clear" w:color="auto" w:fill="000080"/>
    </w:pPr>
    <w:rPr>
      <w:rFonts w:ascii="Times New Roman" w:hAnsi="Times New Roman" w:eastAsia="宋体" w:cs="Times New Roman"/>
      <w:szCs w:val="21"/>
    </w:r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77"/>
    <w:next w:val="909"/>
    <w:link w:val="91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0">
    <w:name w:val="批注文字 Char"/>
    <w:basedOn w:val="887"/>
    <w:next w:val="910"/>
    <w:link w:val="909"/>
    <w:uiPriority w:val="99"/>
    <w:semiHidden/>
  </w:style>
  <w:style w:type="paragraph" w:styleId="911">
    <w:name w:val="正文文本 3"/>
    <w:basedOn w:val="877"/>
    <w:next w:val="911"/>
    <w:link w:val="912"/>
    <w:rPr>
      <w:rFonts w:ascii="仿宋_GB2312" w:hAnsi="Arial" w:eastAsia="仿宋_GB2312" w:cs="Times New Roman"/>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77"/>
    <w:next w:val="913"/>
    <w:link w:val="914"/>
    <w:rPr>
      <w:rFonts w:ascii="楷体_GB2312" w:hAnsi="Arial" w:eastAsia="楷体_GB2312" w:cs="Times New Roman"/>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列表 2"/>
    <w:basedOn w:val="877"/>
    <w:next w:val="915"/>
    <w:link w:val="877"/>
    <w:pPr>
      <w:ind w:left="100" w:hanging="200"/>
    </w:pPr>
    <w:rPr>
      <w:rFonts w:ascii="Times New Roman" w:hAnsi="Times New Roman" w:eastAsia="宋体" w:cs="Times New Roman"/>
      <w:szCs w:val="21"/>
    </w:rPr>
  </w:style>
  <w:style w:type="paragraph" w:styleId="916">
    <w:name w:val="目录 5"/>
    <w:basedOn w:val="877"/>
    <w:next w:val="877"/>
    <w:link w:val="877"/>
    <w:semiHidden/>
    <w:pPr>
      <w:ind w:left="840"/>
      <w:jc w:val="left"/>
    </w:pPr>
    <w:rPr>
      <w:rFonts w:ascii="Times New Roman" w:hAnsi="Times New Roman" w:eastAsia="宋体" w:cs="Times New Roman"/>
      <w:szCs w:val="21"/>
    </w:rPr>
  </w:style>
  <w:style w:type="paragraph" w:styleId="917">
    <w:name w:val="目录 3"/>
    <w:basedOn w:val="877"/>
    <w:next w:val="877"/>
    <w:link w:val="877"/>
    <w:semiHidden/>
    <w:pPr>
      <w:ind w:left="420"/>
      <w:jc w:val="left"/>
    </w:pPr>
    <w:rPr>
      <w:rFonts w:ascii="Times New Roman" w:hAnsi="Times New Roman" w:eastAsia="宋体" w:cs="Times New Roman"/>
      <w:i/>
      <w:iCs/>
      <w:szCs w:val="24"/>
    </w:rPr>
  </w:style>
  <w:style w:type="paragraph" w:styleId="918">
    <w:name w:val="纯文本"/>
    <w:basedOn w:val="877"/>
    <w:next w:val="918"/>
    <w:link w:val="919"/>
    <w:rPr>
      <w:rFonts w:ascii="宋体" w:hAnsi="Courier New" w:eastAsia="宋体" w:cs="Courier New"/>
      <w:szCs w:val="21"/>
    </w:rPr>
  </w:style>
  <w:style w:type="character" w:styleId="919">
    <w:name w:val="纯文本 Char"/>
    <w:next w:val="919"/>
    <w:link w:val="918"/>
    <w:rPr>
      <w:rFonts w:ascii="宋体" w:hAnsi="Courier New" w:eastAsia="宋体" w:cs="Courier New"/>
      <w:szCs w:val="21"/>
    </w:rPr>
  </w:style>
  <w:style w:type="paragraph" w:styleId="920">
    <w:name w:val="目录 8"/>
    <w:basedOn w:val="877"/>
    <w:next w:val="877"/>
    <w:link w:val="877"/>
    <w:semiHidden/>
    <w:pPr>
      <w:ind w:left="1470"/>
      <w:jc w:val="left"/>
    </w:pPr>
    <w:rPr>
      <w:rFonts w:ascii="Times New Roman" w:hAnsi="Times New Roman" w:eastAsia="宋体" w:cs="Times New Roman"/>
      <w:szCs w:val="21"/>
    </w:rPr>
  </w:style>
  <w:style w:type="paragraph" w:styleId="921">
    <w:name w:val="日期"/>
    <w:basedOn w:val="877"/>
    <w:next w:val="877"/>
    <w:link w:val="922"/>
    <w:rPr>
      <w:rFonts w:ascii="Times New Roman" w:hAnsi="Times New Roman" w:eastAsia="宋体" w:cs="Times New Roman"/>
      <w:sz w:val="24"/>
      <w:szCs w:val="24"/>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7"/>
    <w:next w:val="923"/>
    <w:link w:val="924"/>
    <w:pPr>
      <w:ind w:left="630" w:firstLine="645"/>
    </w:pPr>
    <w:rPr>
      <w:rFonts w:ascii="Arial" w:hAnsi="Arial" w:eastAsia="仿宋_GB2312" w:cs="Arial"/>
      <w:sz w:val="32"/>
      <w:szCs w:val="32"/>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7"/>
    <w:next w:val="925"/>
    <w:link w:val="926"/>
    <w:semiHidden/>
    <w:rPr>
      <w:rFonts w:ascii="Times New Roman" w:hAnsi="Times New Roman" w:eastAsia="宋体" w:cs="Times New Roman"/>
      <w:sz w:val="18"/>
      <w:szCs w:val="18"/>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7"/>
    <w:next w:val="927"/>
    <w:link w:val="928"/>
    <w:pPr>
      <w:jc w:val="left"/>
      <w:tabs>
        <w:tab w:val="center" w:pos="4153" w:leader="none"/>
        <w:tab w:val="right" w:pos="8306" w:leader="none"/>
      </w:tabs>
    </w:pPr>
    <w:rPr>
      <w:rFonts w:ascii="Times New Roman" w:hAnsi="Times New Roman" w:eastAsia="宋体" w:cs="Times New Roman"/>
      <w:sz w:val="18"/>
      <w:szCs w:val="18"/>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7"/>
    <w:next w:val="929"/>
    <w:link w:val="93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2">
    <w:name w:val="目录 4"/>
    <w:basedOn w:val="877"/>
    <w:next w:val="877"/>
    <w:link w:val="877"/>
    <w:semiHidden/>
    <w:pPr>
      <w:ind w:left="630"/>
      <w:jc w:val="left"/>
    </w:pPr>
    <w:rPr>
      <w:rFonts w:ascii="Times New Roman" w:hAnsi="Times New Roman" w:eastAsia="宋体" w:cs="Times New Roman"/>
      <w:szCs w:val="21"/>
    </w:rPr>
  </w:style>
  <w:style w:type="paragraph" w:styleId="933">
    <w:name w:val="列表"/>
    <w:basedOn w:val="877"/>
    <w:next w:val="933"/>
    <w:link w:val="877"/>
    <w:pPr>
      <w:ind w:left="200" w:hanging="200"/>
    </w:pPr>
    <w:rPr>
      <w:rFonts w:ascii="Times New Roman" w:hAnsi="Times New Roman" w:eastAsia="宋体" w:cs="Times New Roman"/>
      <w:szCs w:val="21"/>
    </w:rPr>
  </w:style>
  <w:style w:type="paragraph" w:styleId="934">
    <w:name w:val="目录 6"/>
    <w:basedOn w:val="877"/>
    <w:next w:val="877"/>
    <w:link w:val="877"/>
    <w:semiHidden/>
    <w:pPr>
      <w:ind w:left="1050"/>
      <w:jc w:val="left"/>
    </w:pPr>
    <w:rPr>
      <w:rFonts w:ascii="Times New Roman" w:hAnsi="Times New Roman" w:eastAsia="宋体" w:cs="Times New Roman"/>
      <w:szCs w:val="21"/>
    </w:rPr>
  </w:style>
  <w:style w:type="paragraph" w:styleId="935">
    <w:name w:val="正文文本缩进 3"/>
    <w:basedOn w:val="877"/>
    <w:next w:val="935"/>
    <w:link w:val="936"/>
    <w:pPr>
      <w:ind w:left="645" w:firstLine="645"/>
    </w:pPr>
    <w:rPr>
      <w:rFonts w:ascii="Arial" w:hAnsi="Arial" w:eastAsia="仿宋_GB2312" w:cs="Arial"/>
      <w:color w:val="ffff00"/>
      <w:sz w:val="32"/>
      <w:szCs w:val="32"/>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7"/>
    <w:next w:val="877"/>
    <w:link w:val="877"/>
    <w:semiHidden/>
    <w:pPr>
      <w:ind w:left="840" w:hanging="420"/>
    </w:pPr>
    <w:rPr>
      <w:rFonts w:ascii="Times New Roman" w:hAnsi="Times New Roman" w:eastAsia="宋体" w:cs="Times New Roman"/>
      <w:szCs w:val="21"/>
    </w:rPr>
  </w:style>
  <w:style w:type="paragraph" w:styleId="938">
    <w:name w:val="目录 2"/>
    <w:basedOn w:val="877"/>
    <w:next w:val="877"/>
    <w:link w:val="877"/>
    <w:semiHidden/>
    <w:pPr>
      <w:ind w:left="210"/>
      <w:jc w:val="left"/>
    </w:pPr>
    <w:rPr>
      <w:rFonts w:ascii="Times New Roman" w:hAnsi="Times New Roman" w:eastAsia="宋体" w:cs="Times New Roman"/>
      <w:smallCaps/>
      <w:szCs w:val="24"/>
    </w:rPr>
  </w:style>
  <w:style w:type="paragraph" w:styleId="939">
    <w:name w:val="目录 9"/>
    <w:basedOn w:val="877"/>
    <w:next w:val="877"/>
    <w:link w:val="877"/>
    <w:semiHidden/>
    <w:pPr>
      <w:ind w:left="1680"/>
      <w:jc w:val="left"/>
    </w:pPr>
    <w:rPr>
      <w:rFonts w:ascii="Times New Roman" w:hAnsi="Times New Roman" w:eastAsia="宋体" w:cs="Times New Roman"/>
      <w:szCs w:val="21"/>
    </w:rPr>
  </w:style>
  <w:style w:type="paragraph" w:styleId="940">
    <w:name w:val="正文文本 2"/>
    <w:basedOn w:val="877"/>
    <w:next w:val="940"/>
    <w:link w:val="941"/>
    <w:pPr>
      <w:jc w:val="center"/>
      <w:widowControl/>
    </w:pPr>
    <w:rPr>
      <w:rFonts w:ascii="楷体_GB2312" w:hAnsi="Times New Roman" w:eastAsia="楷体_GB2312" w:cs="Times New Roman"/>
      <w:sz w:val="28"/>
      <w:szCs w:val="28"/>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7"/>
    <w:next w:val="942"/>
    <w:link w:val="877"/>
    <w:uiPriority w:val="99"/>
    <w:pPr>
      <w:jc w:val="left"/>
      <w:spacing w:before="100" w:beforeAutospacing="1" w:after="100" w:afterAutospacing="1"/>
      <w:widowControl/>
    </w:pPr>
    <w:rPr>
      <w:rFonts w:ascii="宋体" w:hAnsi="宋体" w:eastAsia="宋体" w:cs="宋体"/>
      <w:sz w:val="24"/>
      <w:szCs w:val="24"/>
    </w:rPr>
  </w:style>
  <w:style w:type="paragraph" w:styleId="943">
    <w:name w:val="索引 1"/>
    <w:basedOn w:val="877"/>
    <w:next w:val="877"/>
    <w:link w:val="877"/>
    <w:semiHidden/>
    <w:pPr>
      <w:spacing w:line="240" w:lineRule="atLeast"/>
    </w:pPr>
    <w:rPr>
      <w:rFonts w:ascii="Times New Roman" w:hAnsi="Times New Roman" w:eastAsia="宋体" w:cs="Times New Roman"/>
      <w:b/>
      <w:bCs/>
      <w:szCs w:val="21"/>
    </w:rPr>
  </w:style>
  <w:style w:type="paragraph" w:styleId="944">
    <w:name w:val="批注主题"/>
    <w:basedOn w:val="909"/>
    <w:next w:val="909"/>
    <w:link w:val="945"/>
    <w:semiHidden/>
    <w:rPr>
      <w:rFonts w:ascii="Times New Roman" w:hAnsi="Times New Roman" w:eastAsia="宋体" w:cs="Times New Roman"/>
      <w:b/>
      <w:bCs/>
      <w:szCs w:val="21"/>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7"/>
    <w:next w:val="946"/>
    <w:link w:val="947"/>
    <w:pPr>
      <w:ind w:firstLine="200"/>
      <w:spacing w:line="360" w:lineRule="auto"/>
    </w:pPr>
    <w:rPr>
      <w:rFonts w:ascii="仿宋_GB2312" w:hAnsi="Times New Roman" w:eastAsia="仿宋_GB2312" w:cs="Times New Roman"/>
      <w:sz w:val="30"/>
      <w:szCs w:val="30"/>
    </w:rPr>
  </w:style>
  <w:style w:type="character" w:styleId="947">
    <w:name w:val="正文首行缩进 Char"/>
    <w:next w:val="947"/>
    <w:link w:val="946"/>
    <w:rPr>
      <w:rFonts w:ascii="仿宋_GB2312" w:hAnsi="Times New Roman" w:eastAsia="仿宋_GB2312" w:cs="Times New Roman"/>
      <w:sz w:val="30"/>
      <w:szCs w:val="30"/>
    </w:rPr>
  </w:style>
  <w:style w:type="table" w:styleId="948">
    <w:name w:val="网格型"/>
    <w:basedOn w:val="888"/>
    <w:next w:val="948"/>
    <w:link w:val="877"/>
    <w:pPr>
      <w:jc w:val="both"/>
      <w:widowControl w:val="off"/>
    </w:pPr>
    <w:rPr>
      <w:rFonts w:ascii="Times New Roman" w:hAnsi="Times New Roman" w:eastAsia="宋体" w:cs="Times New Roman"/>
      <w:sz w:val="20"/>
      <w:szCs w:val="20"/>
    </w:rPr>
    <w:tblPr/>
  </w:style>
  <w:style w:type="character" w:styleId="949">
    <w:name w:val="要点"/>
    <w:next w:val="949"/>
    <w:link w:val="877"/>
    <w:qFormat/>
    <w:rPr>
      <w:b/>
      <w:bCs/>
    </w:rPr>
  </w:style>
  <w:style w:type="character" w:styleId="950">
    <w:name w:val="页码"/>
    <w:next w:val="950"/>
    <w:link w:val="877"/>
  </w:style>
  <w:style w:type="character" w:styleId="951">
    <w:name w:val="已访问的超链接"/>
    <w:next w:val="951"/>
    <w:link w:val="877"/>
    <w:rPr>
      <w:color w:val="800080"/>
      <w:u w:val="single"/>
    </w:rPr>
  </w:style>
  <w:style w:type="character" w:styleId="952">
    <w:name w:val="强调"/>
    <w:next w:val="952"/>
    <w:link w:val="877"/>
    <w:qFormat/>
    <w:rPr>
      <w:i/>
    </w:rPr>
  </w:style>
  <w:style w:type="character" w:styleId="953">
    <w:name w:val="超链接"/>
    <w:next w:val="953"/>
    <w:link w:val="877"/>
    <w:rPr>
      <w:color w:val="0000ff"/>
      <w:u w:val="single"/>
    </w:rPr>
  </w:style>
  <w:style w:type="character" w:styleId="954">
    <w:name w:val="批注引用"/>
    <w:next w:val="954"/>
    <w:link w:val="877"/>
    <w:semiHidden/>
    <w:rPr>
      <w:sz w:val="21"/>
      <w:szCs w:val="21"/>
    </w:rPr>
  </w:style>
  <w:style w:type="character" w:styleId="955">
    <w:name w:val="批注文字 字符"/>
    <w:basedOn w:val="887"/>
    <w:next w:val="955"/>
    <w:link w:val="909"/>
    <w:rPr>
      <w:rFonts w:ascii="Calibri" w:hAnsi="Calibri" w:eastAsia="宋体" w:cs="Times New Roman"/>
      <w:sz w:val="21"/>
      <w:szCs w:val="24"/>
    </w:rPr>
  </w:style>
  <w:style w:type="paragraph" w:styleId="956">
    <w:name w:val="索引 41"/>
    <w:basedOn w:val="877"/>
    <w:next w:val="877"/>
    <w:link w:val="877"/>
    <w:semiHidden/>
    <w:qFormat/>
    <w:pPr>
      <w:ind w:left="1260"/>
    </w:pPr>
    <w:rPr>
      <w:rFonts w:ascii="Calibri" w:hAnsi="Calibri" w:eastAsia="Calibri" w:cs="宋体"/>
      <w:sz w:val="20"/>
      <w:lang w:val="zh-CN"/>
    </w:rPr>
  </w:style>
  <w:style w:type="character" w:styleId="957">
    <w:name w:val="font5 Char"/>
    <w:next w:val="957"/>
    <w:link w:val="877"/>
    <w:rPr>
      <w:rFonts w:ascii="宋体" w:hAnsi="宋体" w:eastAsia="宋体"/>
      <w:sz w:val="28"/>
      <w:szCs w:val="28"/>
      <w:lang w:val="en-US" w:eastAsia="zh-CN" w:bidi="ar-SA"/>
    </w:rPr>
  </w:style>
  <w:style w:type="character" w:styleId="958">
    <w:name w:val="二级目录 Char"/>
    <w:next w:val="958"/>
    <w:link w:val="959"/>
    <w:rPr>
      <w:b/>
      <w:sz w:val="30"/>
      <w:szCs w:val="28"/>
    </w:rPr>
  </w:style>
  <w:style w:type="paragraph" w:styleId="959">
    <w:name w:val="二级目录"/>
    <w:next w:val="877"/>
    <w:link w:val="958"/>
    <w:pPr>
      <w:numPr>
        <w:ilvl w:val="0"/>
        <w:numId w:val="2"/>
      </w:numPr>
      <w:tabs>
        <w:tab w:val="left" w:pos="907" w:leader="none"/>
        <w:tab w:val="left" w:pos="1145" w:leader="none"/>
      </w:tabs>
      <w:outlineLvl w:val="1"/>
    </w:pPr>
    <w:rPr>
      <w:b/>
      <w:sz w:val="30"/>
      <w:szCs w:val="28"/>
      <w:lang w:val="en-US" w:eastAsia="zh-CN" w:bidi="ar-SA"/>
    </w:rPr>
  </w:style>
  <w:style w:type="character" w:styleId="960">
    <w:name w:val="列出段落 Char,Bullet List Char,numbered Char,FooterText Char,List Paragraph1 Char,Paragraphe de liste1 Char"/>
    <w:next w:val="960"/>
    <w:link w:val="961"/>
    <w:rPr>
      <w:rFonts w:ascii="Calibri" w:hAnsi="Calibri"/>
      <w:sz w:val="24"/>
      <w:szCs w:val="24"/>
      <w:lang w:eastAsia="en-US" w:bidi="en-US"/>
    </w:rPr>
  </w:style>
  <w:style w:type="paragraph" w:styleId="961">
    <w:name w:val="列出段落1"/>
    <w:basedOn w:val="877"/>
    <w:next w:val="961"/>
    <w:link w:val="960"/>
    <w:qFormat/>
    <w:pPr>
      <w:contextualSpacing/>
      <w:ind w:left="720"/>
      <w:jc w:val="left"/>
      <w:widowControl/>
    </w:pPr>
    <w:rPr>
      <w:rFonts w:ascii="Calibri" w:hAnsi="Calibri"/>
      <w:sz w:val="24"/>
      <w:szCs w:val="24"/>
      <w:lang w:eastAsia="en-US" w:bidi="en-US"/>
    </w:rPr>
  </w:style>
  <w:style w:type="paragraph" w:styleId="962">
    <w:name w:val="Body Text(ch)"/>
    <w:basedOn w:val="877"/>
    <w:next w:val="913"/>
    <w:link w:val="877"/>
    <w:pPr>
      <w:spacing w:after="120"/>
    </w:pPr>
    <w:rPr>
      <w:rFonts w:ascii="宋体" w:hAnsi="Arial" w:eastAsia="宋体" w:cs="Times New Roman"/>
      <w:bCs/>
      <w:iCs/>
      <w:szCs w:val="24"/>
    </w:rPr>
  </w:style>
  <w:style w:type="paragraph" w:styleId="963">
    <w:name w:val="xl27"/>
    <w:basedOn w:val="877"/>
    <w:next w:val="963"/>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xl26"/>
    <w:basedOn w:val="877"/>
    <w:next w:val="964"/>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Char"/>
    <w:basedOn w:val="877"/>
    <w:next w:val="965"/>
    <w:link w:val="877"/>
    <w:pPr>
      <w:ind w:firstLine="200"/>
      <w:tabs>
        <w:tab w:val="left" w:pos="360" w:leader="none"/>
      </w:tabs>
    </w:pPr>
    <w:rPr>
      <w:rFonts w:ascii="Times New Roman" w:hAnsi="Times New Roman" w:eastAsia="宋体" w:cs="Times New Roman"/>
      <w:sz w:val="28"/>
      <w:szCs w:val="30"/>
    </w:rPr>
  </w:style>
  <w:style w:type="paragraph" w:styleId="966">
    <w:name w:val=" Char"/>
    <w:basedOn w:val="907"/>
    <w:next w:val="966"/>
    <w:link w:val="877"/>
    <w:rPr>
      <w:rFonts w:ascii="Tahoma" w:hAnsi="Tahoma"/>
      <w:sz w:val="24"/>
      <w:szCs w:val="24"/>
    </w:rPr>
  </w:style>
  <w:style w:type="paragraph" w:styleId="967">
    <w:name w:val="普通正文"/>
    <w:basedOn w:val="877"/>
    <w:next w:val="967"/>
    <w:link w:val="877"/>
    <w:pPr>
      <w:ind w:firstLine="480"/>
      <w:jc w:val="left"/>
      <w:spacing w:before="120" w:after="120" w:line="360" w:lineRule="auto"/>
    </w:pPr>
    <w:rPr>
      <w:rFonts w:ascii="Arial" w:hAnsi="Arial" w:eastAsia="宋体" w:cs="Times New Roman"/>
      <w:sz w:val="24"/>
      <w:szCs w:val="24"/>
    </w:rPr>
  </w:style>
  <w:style w:type="paragraph" w:styleId="968">
    <w:name w:val="table_lines"/>
    <w:basedOn w:val="877"/>
    <w:next w:val="968"/>
    <w:link w:val="877"/>
    <w:pPr>
      <w:jc w:val="left"/>
      <w:widowControl/>
    </w:pPr>
    <w:rPr>
      <w:rFonts w:ascii="Times New Roman" w:hAnsi="Times New Roman" w:eastAsia="宋体" w:cs="Times New Roman"/>
      <w:sz w:val="20"/>
      <w:szCs w:val="20"/>
      <w:lang w:val="de-DE" w:eastAsia="de-DE"/>
    </w:rPr>
  </w:style>
  <w:style w:type="paragraph" w:styleId="969">
    <w:name w:val="附录1"/>
    <w:next w:val="969"/>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0">
    <w:name w:val="font7"/>
    <w:basedOn w:val="877"/>
    <w:next w:val="970"/>
    <w:link w:val="877"/>
    <w:pPr>
      <w:jc w:val="left"/>
      <w:spacing w:before="100" w:beforeAutospacing="1" w:after="100" w:afterAutospacing="1"/>
      <w:widowControl/>
    </w:pPr>
    <w:rPr>
      <w:rFonts w:hint="eastAsia" w:ascii="宋体" w:hAnsi="宋体" w:eastAsia="宋体" w:cs="Times New Roman"/>
      <w:sz w:val="18"/>
      <w:szCs w:val="18"/>
    </w:rPr>
  </w:style>
  <w:style w:type="paragraph" w:styleId="971">
    <w:name w:val=" Char Char Char Char"/>
    <w:basedOn w:val="907"/>
    <w:next w:val="971"/>
    <w:link w:val="877"/>
    <w:pPr>
      <w:spacing w:line="360" w:lineRule="auto"/>
    </w:pPr>
    <w:rPr>
      <w:rFonts w:ascii="Tahoma" w:hAnsi="Tahoma"/>
      <w:sz w:val="24"/>
      <w:szCs w:val="24"/>
    </w:rPr>
  </w:style>
  <w:style w:type="paragraph" w:styleId="972">
    <w:name w:val="列出段落"/>
    <w:basedOn w:val="877"/>
    <w:next w:val="972"/>
    <w:link w:val="877"/>
    <w:qFormat/>
    <w:pPr>
      <w:contextualSpacing/>
      <w:ind w:left="720"/>
      <w:jc w:val="left"/>
      <w:widowControl/>
    </w:pPr>
    <w:rPr>
      <w:rFonts w:ascii="Calibri" w:hAnsi="Calibri" w:eastAsia="宋体" w:cs="Times New Roman"/>
      <w:sz w:val="24"/>
      <w:szCs w:val="24"/>
      <w:lang w:eastAsia="en-US" w:bidi="en-US"/>
    </w:rPr>
  </w:style>
  <w:style w:type="paragraph" w:styleId="973">
    <w:name w:val="4"/>
    <w:basedOn w:val="877"/>
    <w:next w:val="935"/>
    <w:link w:val="877"/>
    <w:pPr>
      <w:ind w:firstLine="420"/>
      <w:spacing w:line="360" w:lineRule="auto"/>
    </w:pPr>
    <w:rPr>
      <w:rFonts w:ascii="Times New Roman" w:hAnsi="Times New Roman" w:eastAsia="宋体" w:cs="Times New Roman"/>
      <w:color w:val="ff0000"/>
      <w:sz w:val="24"/>
      <w:szCs w:val="24"/>
    </w:rPr>
  </w:style>
  <w:style w:type="paragraph" w:styleId="974">
    <w:name w:val="普通 (Web)"/>
    <w:basedOn w:val="877"/>
    <w:next w:val="974"/>
    <w:link w:val="877"/>
    <w:pPr>
      <w:jc w:val="left"/>
      <w:spacing w:before="100" w:beforeAutospacing="1" w:after="100" w:afterAutospacing="1"/>
      <w:widowControl/>
    </w:pPr>
    <w:rPr>
      <w:rFonts w:ascii="宋体" w:hAnsi="宋体" w:eastAsia="宋体" w:cs="Times New Roman"/>
      <w:sz w:val="24"/>
      <w:szCs w:val="24"/>
    </w:rPr>
  </w:style>
  <w:style w:type="paragraph" w:styleId="975">
    <w:name w:val=" Char Char Char Char Char Char Char Char Char Char"/>
    <w:basedOn w:val="877"/>
    <w:next w:val="975"/>
    <w:link w:val="877"/>
    <w:pPr>
      <w:spacing w:line="360" w:lineRule="auto"/>
    </w:pPr>
    <w:rPr>
      <w:rFonts w:ascii="Times New Roman" w:hAnsi="Times New Roman" w:eastAsia="宋体" w:cs="Times New Roman"/>
      <w:sz w:val="24"/>
      <w:szCs w:val="20"/>
    </w:rPr>
  </w:style>
  <w:style w:type="paragraph" w:styleId="976">
    <w:name w:val="样式1"/>
    <w:basedOn w:val="877"/>
    <w:next w:val="976"/>
    <w:link w:val="877"/>
    <w:pPr>
      <w:numPr>
        <w:ilvl w:val="0"/>
        <w:numId w:val="3"/>
      </w:numPr>
      <w:tabs>
        <w:tab w:val="left" w:pos="709" w:leader="none"/>
      </w:tabs>
    </w:pPr>
    <w:rPr>
      <w:rFonts w:ascii="宋体" w:hAnsi="宋体" w:eastAsia="宋体" w:cs="Times New Roman"/>
      <w:szCs w:val="21"/>
    </w:rPr>
  </w:style>
  <w:style w:type="paragraph" w:styleId="977">
    <w:name w:val="font6"/>
    <w:basedOn w:val="877"/>
    <w:next w:val="977"/>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name w:val="xl25"/>
    <w:basedOn w:val="877"/>
    <w:next w:val="978"/>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0">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81">
    <w:name w:val="xl24"/>
    <w:basedOn w:val="877"/>
    <w:next w:val="981"/>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9"/>
    <w:basedOn w:val="877"/>
    <w:next w:val="982"/>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name w:val="Char Char Char Char Char Char Char Char"/>
    <w:basedOn w:val="877"/>
    <w:next w:val="983"/>
    <w:link w:val="877"/>
    <w:pPr>
      <w:jc w:val="left"/>
      <w:spacing w:after="160" w:line="240" w:lineRule="exact"/>
      <w:widowControl/>
    </w:pPr>
    <w:rPr>
      <w:rFonts w:ascii="Verdana" w:hAnsi="Verdana" w:eastAsia="宋体" w:cs="Times New Roman"/>
      <w:sz w:val="20"/>
      <w:szCs w:val="20"/>
      <w:lang w:eastAsia="en-US"/>
    </w:rPr>
  </w:style>
  <w:style w:type="paragraph" w:styleId="984">
    <w:name w:val="xl28"/>
    <w:basedOn w:val="877"/>
    <w:next w:val="984"/>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name w:val=" Char Char Char Char Char Char Char Char"/>
    <w:basedOn w:val="877"/>
    <w:next w:val="985"/>
    <w:link w:val="877"/>
    <w:pPr>
      <w:jc w:val="left"/>
      <w:spacing w:after="160" w:line="240" w:lineRule="exact"/>
      <w:widowControl/>
    </w:pPr>
    <w:rPr>
      <w:rFonts w:ascii="Verdana" w:hAnsi="Verdana" w:eastAsia="宋体" w:cs="Times New Roman"/>
      <w:sz w:val="20"/>
      <w:szCs w:val="20"/>
      <w:lang w:eastAsia="en-US"/>
    </w:rPr>
  </w:style>
  <w:style w:type="paragraph" w:styleId="986">
    <w:name w:val="xl30"/>
    <w:basedOn w:val="877"/>
    <w:next w:val="986"/>
    <w:link w:val="877"/>
    <w:pPr>
      <w:jc w:val="center"/>
      <w:spacing w:before="100" w:beforeAutospacing="1" w:after="100" w:afterAutospacing="1"/>
      <w:widowControl/>
    </w:pPr>
    <w:rPr>
      <w:rFonts w:ascii="宋体" w:hAnsi="宋体" w:eastAsia="宋体" w:cs="Times New Roman"/>
      <w:b/>
      <w:bCs/>
      <w:sz w:val="36"/>
      <w:szCs w:val="36"/>
    </w:rPr>
  </w:style>
  <w:style w:type="paragraph" w:styleId="987">
    <w:name w:val="Char Char Char Char"/>
    <w:basedOn w:val="907"/>
    <w:next w:val="987"/>
    <w:link w:val="877"/>
    <w:pPr>
      <w:spacing w:line="360" w:lineRule="auto"/>
    </w:pPr>
    <w:rPr>
      <w:rFonts w:ascii="Tahoma" w:hAnsi="Tahoma"/>
      <w:sz w:val="24"/>
      <w:szCs w:val="24"/>
    </w:rPr>
  </w:style>
  <w:style w:type="paragraph" w:styleId="988">
    <w:name w:val="table_1stline"/>
    <w:basedOn w:val="877"/>
    <w:next w:val="988"/>
    <w:link w:val="877"/>
    <w:pPr>
      <w:jc w:val="left"/>
      <w:spacing w:before="120"/>
      <w:widowControl/>
    </w:pPr>
    <w:rPr>
      <w:rFonts w:ascii="Times New Roman" w:hAnsi="Times New Roman" w:eastAsia="宋体" w:cs="Times New Roman"/>
      <w:bCs/>
      <w:sz w:val="20"/>
      <w:szCs w:val="20"/>
      <w:lang w:val="de-DE" w:eastAsia="de-DE"/>
    </w:rPr>
  </w:style>
  <w:style w:type="paragraph" w:styleId="989">
    <w:name w:val="font5"/>
    <w:basedOn w:val="877"/>
    <w:next w:val="989"/>
    <w:link w:val="877"/>
    <w:pPr>
      <w:jc w:val="left"/>
      <w:spacing w:before="100" w:beforeAutospacing="1" w:after="100" w:afterAutospacing="1"/>
      <w:widowControl/>
    </w:pPr>
    <w:rPr>
      <w:rFonts w:hint="eastAsia" w:ascii="宋体" w:hAnsi="宋体" w:eastAsia="宋体" w:cs="Times New Roman"/>
      <w:sz w:val="28"/>
      <w:szCs w:val="28"/>
    </w:rPr>
  </w:style>
  <w:style w:type="paragraph" w:styleId="990">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name w:val="修订"/>
    <w:next w:val="991"/>
    <w:link w:val="877"/>
    <w:uiPriority w:val="99"/>
    <w:semiHidden/>
    <w:rPr>
      <w:rFonts w:ascii="Times New Roman" w:hAnsi="Times New Roman"/>
      <w:sz w:val="21"/>
      <w:szCs w:val="21"/>
      <w:lang w:val="en-US" w:eastAsia="zh-CN" w:bidi="ar-SA"/>
    </w:rPr>
  </w:style>
  <w:style w:type="paragraph" w:styleId="992">
    <w:name w:val="无间隔"/>
    <w:next w:val="992"/>
    <w:link w:val="877"/>
    <w:uiPriority w:val="99"/>
    <w:qFormat/>
    <w:pPr>
      <w:jc w:val="both"/>
      <w:widowControl w:val="off"/>
    </w:pPr>
    <w:rPr>
      <w:rFonts w:ascii="Times New Roman" w:hAnsi="Times New Roman"/>
      <w:sz w:val="21"/>
      <w:szCs w:val="21"/>
      <w:lang w:val="en-US" w:eastAsia="zh-CN" w:bidi="ar-SA"/>
    </w:rPr>
  </w:style>
  <w:style w:type="table" w:styleId="993">
    <w:name w:val="Table Normal"/>
    <w:next w:val="993"/>
    <w:link w:val="877"/>
    <w:qFormat/>
    <w:tblPr/>
  </w:style>
  <w:style w:type="paragraph" w:styleId="994">
    <w:name w:val="正文文本12"/>
    <w:basedOn w:val="877"/>
    <w:next w:val="994"/>
    <w:link w:val="877"/>
    <w:uiPriority w:val="1"/>
    <w:qFormat/>
    <w:pPr>
      <w:ind w:left="120"/>
    </w:pPr>
    <w:rPr>
      <w:rFonts w:ascii="宋体" w:hAnsi="宋体" w:eastAsia="宋体" w:cs="宋体"/>
      <w:sz w:val="21"/>
      <w:szCs w:val="21"/>
      <w:lang w:val="zh-CN" w:eastAsia="zh-CN" w:bidi="zh-CN"/>
    </w:rPr>
  </w:style>
  <w:style w:type="paragraph" w:styleId="995">
    <w:name w:val="正文文本 211"/>
    <w:basedOn w:val="877"/>
    <w:next w:val="995"/>
    <w:link w:val="877"/>
    <w:uiPriority w:val="99"/>
    <w:qFormat/>
    <w:pPr>
      <w:jc w:val="center"/>
    </w:pPr>
    <w:rPr>
      <w:b/>
      <w:bCs/>
      <w:sz w:val="20"/>
      <w:szCs w:val="20"/>
    </w:rPr>
  </w:style>
  <w:style w:type="paragraph" w:styleId="996">
    <w:name w:val="正文文本1"/>
    <w:basedOn w:val="877"/>
    <w:next w:val="877"/>
    <w:link w:val="877"/>
    <w:semiHidden/>
    <w:qFormat/>
    <w:rPr>
      <w:rFonts w:ascii="Arial" w:hAnsi="Arial" w:eastAsia="Arial" w:cs="Arial"/>
      <w:sz w:val="21"/>
      <w:szCs w:val="21"/>
      <w:lang w:val="en-US" w:eastAsia="en-US" w:bidi="ar-SA"/>
    </w:rPr>
  </w:style>
  <w:style w:type="paragraph" w:styleId="997">
    <w:name w:val="Table Paragraph"/>
    <w:basedOn w:val="877"/>
    <w:next w:val="997"/>
    <w:link w:val="877"/>
    <w:uiPriority w:val="1"/>
    <w:qFormat/>
    <w:pPr>
      <w:jc w:val="left"/>
    </w:pPr>
    <w:rPr>
      <w:rFonts w:ascii="宋体" w:hAnsi="宋体" w:eastAsia="宋体" w:cs="宋体"/>
      <w:sz w:val="22"/>
      <w:szCs w:val="22"/>
      <w:lang w:val="zh-CN" w:bidi="zh-CN"/>
    </w:rPr>
  </w:style>
  <w:style w:type="table" w:styleId="998">
    <w:name w:val="网格型1"/>
    <w:basedOn w:val="999"/>
    <w:next w:val="998"/>
    <w:link w:val="877"/>
    <w:qFormat/>
    <w:pPr>
      <w:jc w:val="both"/>
      <w:widowControl w:val="off"/>
    </w:pPr>
    <w:tblPr/>
  </w:style>
  <w:style w:type="table" w:styleId="999">
    <w:name w:val="普通表格1"/>
    <w:next w:val="999"/>
    <w:link w:val="877"/>
    <w:uiPriority w:val="99"/>
    <w:unhideWhenUsed/>
    <w:qFormat/>
    <w:tblPr/>
  </w:style>
  <w:style w:type="paragraph" w:styleId="1000">
    <w:name w:val="正文文本缩进1"/>
    <w:basedOn w:val="877"/>
    <w:next w:val="1001"/>
    <w:link w:val="877"/>
    <w:unhideWhenUsed/>
    <w:qFormat/>
    <w:pPr>
      <w:ind w:left="420"/>
      <w:spacing w:after="120"/>
    </w:pPr>
  </w:style>
  <w:style w:type="paragraph" w:styleId="1001">
    <w:name w:val="正文文本首行缩进 2"/>
    <w:basedOn w:val="1000"/>
    <w:next w:val="1001"/>
    <w:link w:val="877"/>
    <w:qFormat/>
    <w:pPr>
      <w:ind w:left="0" w:firstLine="420"/>
      <w:spacing w:after="0" w:line="360" w:lineRule="auto"/>
    </w:pPr>
    <w:rPr>
      <w:rFonts w:ascii="宋体" w:hAnsi="宋体"/>
      <w:sz w:val="20"/>
      <w:szCs w:val="20"/>
      <w:lang w:val="en-US" w:eastAsia="en-US"/>
    </w:rPr>
  </w:style>
  <w:style w:type="table" w:styleId="1002">
    <w:name w:val="Table Normal_0"/>
    <w:next w:val="1002"/>
    <w:link w:val="877"/>
    <w:qFormat/>
    <w:tblPr/>
  </w:style>
  <w:style w:type="paragraph" w:styleId="1003">
    <w:name w:val="正文首行缩进 211"/>
    <w:basedOn w:val="1004"/>
    <w:next w:val="877"/>
    <w:link w:val="877"/>
    <w:qFormat/>
    <w:pPr>
      <w:ind w:left="0" w:firstLine="420"/>
      <w:spacing w:after="0" w:line="360" w:lineRule="auto"/>
    </w:pPr>
    <w:rPr>
      <w:rFonts w:ascii="宋体" w:hAnsi="宋体" w:eastAsia="宋体" w:cs="Times New Roman"/>
      <w:szCs w:val="20"/>
    </w:rPr>
  </w:style>
  <w:style w:type="paragraph" w:styleId="1004">
    <w:name w:val="正文文本缩进11"/>
    <w:basedOn w:val="877"/>
    <w:next w:val="1005"/>
    <w:link w:val="877"/>
    <w:unhideWhenUsed/>
    <w:qFormat/>
    <w:pPr>
      <w:ind w:left="420"/>
      <w:spacing w:after="120"/>
    </w:pPr>
  </w:style>
  <w:style w:type="paragraph" w:styleId="1005">
    <w:name w:val="寄信人地址1"/>
    <w:basedOn w:val="877"/>
    <w:next w:val="1005"/>
    <w:link w:val="877"/>
    <w:qFormat/>
    <w:rPr>
      <w:rFonts w:ascii="Arial" w:hAnsi="Arial" w:eastAsia="宋体" w:cs="宋体"/>
    </w:rPr>
  </w:style>
  <w:style w:type="paragraph" w:styleId="1006">
    <w:name w:val="正文1"/>
    <w:basedOn w:val="877"/>
    <w:next w:val="1006"/>
    <w:link w:val="877"/>
    <w:qFormat/>
    <w:pPr>
      <w:ind w:left="350" w:firstLine="0"/>
    </w:pPr>
    <w:rPr>
      <w:rFonts w:cs="Times New Roman"/>
      <w:sz w:val="20"/>
      <w:szCs w:val="24"/>
    </w:rPr>
  </w:style>
  <w:style w:type="character" w:styleId="1007">
    <w:name w:val="15"/>
    <w:basedOn w:val="887"/>
    <w:next w:val="1007"/>
    <w:link w:val="877"/>
    <w:rPr>
      <w:rFonts w:ascii="Times New Roman" w:hAnsi="Times New Roman" w:cs="Times New Roman"/>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2023-03-16T02:13:00Z</dcterms:created>
  <dcterms:modified xsi:type="dcterms:W3CDTF">2026-08-14T01:57:52Z</dcterms:modified>
</cp:coreProperties>
</file>