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t xml:space="preserve"> </w:t>
      </w:r>
      <w:r/>
    </w:p>
    <w:p>
      <w:pPr>
        <w:pStyle w:val="956"/>
        <w:rPr>
          <w:rFonts w:hint="eastAsia"/>
          <w:color w:val="auto"/>
        </w:rPr>
      </w:pPr>
      <w:r>
        <w:rPr>
          <w:rFonts w:hint="eastAsia"/>
          <w:color w:val="auto"/>
        </w:rPr>
      </w:r>
      <w:r/>
    </w:p>
    <w:p>
      <w:pPr>
        <w:pStyle w:val="967"/>
        <w:jc w:val="center"/>
        <w:rPr>
          <w:rFonts w:hint="eastAsia" w:eastAsia="黑体"/>
          <w:b/>
          <w:bCs/>
          <w:color w:val="auto"/>
          <w:sz w:val="84"/>
        </w:rPr>
      </w:pPr>
      <w:r>
        <w:rPr>
          <w:rFonts w:hint="eastAsia" w:eastAsia="黑体"/>
          <w:b/>
          <w:bCs/>
          <w:color w:val="auto"/>
          <w:sz w:val="84"/>
        </w:rPr>
        <w:t xml:space="preserve">招</w:t>
      </w:r>
      <w:r>
        <w:rPr>
          <w:rFonts w:hint="eastAsia" w:eastAsia="黑体"/>
          <w:b/>
          <w:bCs/>
          <w:color w:val="auto"/>
          <w:sz w:val="84"/>
        </w:rPr>
        <w:t xml:space="preserve">　标　文　件</w:t>
      </w:r>
      <w:r/>
    </w:p>
    <w:p>
      <w:pPr>
        <w:ind w:firstLine="1506"/>
        <w:rPr>
          <w:rFonts w:eastAsia="宋体"/>
          <w:b/>
          <w:color w:val="auto"/>
          <w:sz w:val="30"/>
          <w:szCs w:val="30"/>
          <w:u w:val="single"/>
          <w:lang w:val="en-US" w:eastAsia="zh-CN"/>
        </w:rPr>
      </w:pPr>
      <w:r>
        <w:rPr>
          <w:rFonts w:hint="eastAsia"/>
          <w:b/>
          <w:color w:val="auto"/>
          <w:sz w:val="30"/>
          <w:szCs w:val="30"/>
        </w:rPr>
        <w:t xml:space="preserve">项目名称：</w:t>
      </w:r>
      <w:r>
        <w:rPr>
          <w:b/>
          <w:color w:val="auto"/>
          <w:sz w:val="32"/>
          <w:szCs w:val="32"/>
        </w:rPr>
        <w:t xml:space="preserve">南京市紫金山小学</w:t>
      </w:r>
      <w:r>
        <w:rPr>
          <w:rFonts w:hint="eastAsia"/>
          <w:b/>
          <w:color w:val="auto"/>
          <w:sz w:val="32"/>
          <w:szCs w:val="32"/>
          <w:lang w:val="en-US" w:eastAsia="zh-CN"/>
        </w:rPr>
        <w:t xml:space="preserve">电梯</w:t>
      </w:r>
      <w:r/>
    </w:p>
    <w:p>
      <w:pPr>
        <w:ind w:firstLine="1506"/>
        <w:rPr>
          <w:rFonts w:hint="default" w:eastAsia="宋体"/>
          <w:b/>
          <w:color w:val="auto"/>
          <w:sz w:val="30"/>
          <w:szCs w:val="30"/>
          <w:lang w:val="en-US" w:eastAsia="zh-CN"/>
        </w:rPr>
      </w:pPr>
      <w:r>
        <w:rPr>
          <w:rFonts w:hint="eastAsia"/>
          <w:b/>
          <w:color w:val="auto"/>
          <w:sz w:val="30"/>
          <w:szCs w:val="30"/>
        </w:rPr>
        <w:t xml:space="preserve">项目编号：</w:t>
      </w:r>
      <w:r>
        <w:rPr>
          <w:rFonts w:hint="eastAsia"/>
          <w:b/>
          <w:color w:val="auto"/>
          <w:sz w:val="32"/>
          <w:szCs w:val="32"/>
        </w:rPr>
        <w:t xml:space="preserve">JSZC-320100-JZCG-G2026-</w:t>
      </w:r>
      <w:r>
        <w:rPr>
          <w:rFonts w:hint="eastAsia"/>
          <w:b/>
          <w:color w:val="auto"/>
          <w:sz w:val="32"/>
          <w:szCs w:val="32"/>
          <w:lang w:val="en-US" w:eastAsia="zh-CN"/>
        </w:rPr>
        <w:t xml:space="preserve">0323</w:t>
      </w:r>
      <w:r/>
    </w:p>
    <w:p>
      <w:pPr>
        <w:jc w:val="center"/>
        <w:rPr>
          <w:rFonts w:hint="eastAsia"/>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67"/>
        <w:ind w:firstLine="0"/>
        <w:jc w:val="center"/>
        <w:rPr>
          <w:rFonts w:hint="eastAsia"/>
          <w:b/>
          <w:bCs/>
          <w:color w:val="auto"/>
          <w:sz w:val="32"/>
        </w:rPr>
      </w:pPr>
      <w:r>
        <w:rPr>
          <w:rFonts w:hint="eastAsia"/>
          <w:b/>
          <w:bCs/>
          <w:color w:val="auto"/>
          <w:sz w:val="32"/>
        </w:rPr>
        <w:t xml:space="preserve">南京市公共资源交易中心</w:t>
      </w:r>
      <w:r/>
    </w:p>
    <w:p>
      <w:pPr>
        <w:jc w:val="center"/>
        <w:rPr>
          <w:rFonts w:hint="eastAsia"/>
          <w:b/>
          <w:color w:val="auto"/>
          <w:sz w:val="32"/>
          <w:szCs w:val="32"/>
        </w:rPr>
      </w:pPr>
      <w:r>
        <w:rPr>
          <w:rFonts w:hint="eastAsia"/>
          <w:b/>
          <w:color w:val="auto"/>
          <w:sz w:val="32"/>
          <w:szCs w:val="32"/>
        </w:rPr>
        <w:t xml:space="preserve">2026年</w:t>
      </w:r>
      <w:r>
        <w:rPr>
          <w:rFonts w:hint="eastAsia"/>
          <w:b/>
          <w:color w:val="auto"/>
          <w:sz w:val="32"/>
          <w:szCs w:val="32"/>
          <w:lang w:val="en-US" w:eastAsia="zh-CN"/>
        </w:rPr>
        <w:t xml:space="preserve">9</w:t>
      </w:r>
      <w:r>
        <w:rPr>
          <w:rFonts w:hint="eastAsia"/>
          <w:b/>
          <w:color w:val="auto"/>
          <w:sz w:val="32"/>
          <w:szCs w:val="32"/>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left"/>
        <w:spacing w:before="120" w:after="120" w:line="360" w:lineRule="auto"/>
        <w:rPr>
          <w:color w:val="auto"/>
          <w:szCs w:val="21"/>
        </w:rPr>
      </w:pPr>
      <w:r>
        <w:rPr>
          <w:color w:val="auto"/>
          <w:szCs w:val="21"/>
        </w:rPr>
      </w:r>
      <w:r/>
    </w:p>
    <w:p>
      <w:pPr>
        <w:jc w:val="center"/>
        <w:spacing w:line="480" w:lineRule="auto"/>
        <w:rPr>
          <w:rFonts w:hint="eastAsia" w:ascii="黑体" w:hAnsi="Arial" w:eastAsia="黑体"/>
          <w:b/>
          <w:color w:val="auto"/>
          <w:sz w:val="44"/>
          <w:szCs w:val="21"/>
        </w:rPr>
        <w:outlineLvl w:val="0"/>
      </w:pPr>
      <w:r>
        <w:rPr>
          <w:color w:val="auto"/>
          <w:szCs w:val="21"/>
        </w:rPr>
        <w:br w:type="page" w:clear="all"/>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黑体" w:hAnsi="Arial" w:eastAsia="黑体"/>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投标邀请…………………………………… </w:t>
      </w:r>
      <w:r>
        <w:rPr>
          <w:rFonts w:hint="eastAsia" w:ascii="黑体" w:hAnsi="宋体" w:eastAsia="黑体"/>
          <w:color w:val="auto"/>
          <w:sz w:val="36"/>
          <w:szCs w:val="21"/>
          <w:lang w:val="en-US" w:eastAsia="zh-CN"/>
        </w:rPr>
        <w:t xml:space="preserve">2</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投标人须知………………………………… </w:t>
      </w:r>
      <w:r>
        <w:rPr>
          <w:rFonts w:hint="eastAsia" w:ascii="黑体" w:hAnsi="宋体" w:eastAsia="黑体"/>
          <w:color w:val="auto"/>
          <w:sz w:val="36"/>
          <w:szCs w:val="21"/>
          <w:lang w:val="en-US" w:eastAsia="zh-CN"/>
        </w:rPr>
        <w:t xml:space="preserve">4</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合同文本……………………………………</w:t>
      </w:r>
      <w:r>
        <w:rPr>
          <w:rFonts w:hint="eastAsia" w:ascii="黑体" w:hAnsi="宋体" w:eastAsia="黑体"/>
          <w:color w:val="auto"/>
          <w:sz w:val="36"/>
          <w:szCs w:val="21"/>
          <w:lang w:val="en-US" w:eastAsia="zh-CN"/>
        </w:rPr>
        <w:t xml:space="preserve">14</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采购需求……………………………………</w:t>
      </w:r>
      <w:r>
        <w:rPr>
          <w:rFonts w:hint="eastAsia" w:ascii="黑体" w:hAnsi="宋体" w:eastAsia="黑体"/>
          <w:color w:val="auto"/>
          <w:sz w:val="36"/>
          <w:szCs w:val="21"/>
          <w:lang w:val="en-US" w:eastAsia="zh-CN"/>
        </w:rPr>
        <w:t xml:space="preserve">18</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评标方法与评标标准………………………</w:t>
      </w:r>
      <w:r>
        <w:rPr>
          <w:rFonts w:hint="eastAsia" w:ascii="黑体" w:hAnsi="宋体" w:eastAsia="黑体"/>
          <w:color w:val="auto"/>
          <w:sz w:val="36"/>
          <w:szCs w:val="21"/>
          <w:lang w:val="en-US" w:eastAsia="zh-CN"/>
        </w:rPr>
        <w:t xml:space="preserve">25</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投标文件格式………………………………</w:t>
      </w:r>
      <w:r>
        <w:rPr>
          <w:rFonts w:hint="eastAsia" w:ascii="黑体" w:hAnsi="宋体" w:eastAsia="黑体"/>
          <w:color w:val="auto"/>
          <w:sz w:val="36"/>
          <w:szCs w:val="21"/>
          <w:lang w:val="en-US" w:eastAsia="zh-CN"/>
        </w:rPr>
        <w:t xml:space="preserve">28</w:t>
      </w:r>
      <w:bookmarkEnd w:id="0"/>
      <w:r/>
      <w:r/>
    </w:p>
    <w:p>
      <w:pPr>
        <w:ind w:right="840"/>
        <w:jc w:val="cente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r>
      <w:r/>
    </w:p>
    <w:p>
      <w:pPr>
        <w:ind w:right="840"/>
        <w:jc w:val="left"/>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投标邀请</w:t>
      </w:r>
      <w:r/>
    </w:p>
    <w:p>
      <w:pPr>
        <w:ind w:firstLine="480"/>
        <w:spacing w:line="252" w:lineRule="auto"/>
        <w:rPr>
          <w:rFonts w:hint="eastAsia" w:ascii="宋体" w:hAnsi="宋体"/>
          <w:color w:val="auto"/>
          <w:sz w:val="24"/>
          <w:szCs w:val="24"/>
        </w:rPr>
      </w:pPr>
      <w:r>
        <w:rPr>
          <w:rFonts w:hint="eastAsia" w:ascii="宋体" w:hAnsi="宋体"/>
          <w:color w:val="auto"/>
          <w:sz w:val="24"/>
          <w:szCs w:val="24"/>
        </w:rPr>
      </w:r>
      <w:r/>
    </w:p>
    <w:p>
      <w:pPr>
        <w:pStyle w:val="880"/>
        <w:ind w:firstLine="465"/>
        <w:spacing w:before="145" w:after="145" w:line="252" w:lineRule="auto"/>
        <w:rPr>
          <w:rFonts w:hint="eastAsia" w:ascii="方正黑体_GBK" w:hAnsi="方正黑体_GBK" w:eastAsia="方正黑体_GBK" w:cs="方正黑体_GBK"/>
          <w:b w:val="0"/>
          <w:bCs w:val="0"/>
          <w:color w:val="auto"/>
          <w:sz w:val="30"/>
          <w:szCs w:val="30"/>
        </w:rPr>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hint="default" w:ascii="宋体" w:hAnsi="宋体" w:eastAsia="宋体"/>
          <w:color w:val="auto"/>
          <w:sz w:val="24"/>
          <w:szCs w:val="24"/>
          <w:lang w:val="en-US" w:eastAsia="zh-CN"/>
        </w:rPr>
      </w:pPr>
      <w:r/>
      <w:bookmarkStart w:id="12" w:name="_Toc28359080"/>
      <w:r/>
      <w:bookmarkStart w:id="13" w:name="_Toc35393622"/>
      <w:r/>
      <w:bookmarkStart w:id="14" w:name="_Toc35393791"/>
      <w:r/>
      <w:bookmarkStart w:id="15" w:name="_Toc28359003"/>
      <w:r/>
      <w:bookmarkStart w:id="16" w:name="_Toc38985264"/>
      <w:r>
        <w:rPr>
          <w:rFonts w:hint="eastAsia" w:ascii="宋体" w:hAnsi="宋体"/>
          <w:color w:val="auto"/>
          <w:sz w:val="24"/>
          <w:szCs w:val="24"/>
        </w:rPr>
        <w:t xml:space="preserve">1.项目编号：JSZC-3201</w:t>
      </w:r>
      <w:r>
        <w:rPr>
          <w:rFonts w:hint="eastAsia" w:ascii="宋体" w:hAnsi="宋体"/>
          <w:color w:val="auto"/>
          <w:sz w:val="24"/>
          <w:szCs w:val="24"/>
          <w:lang w:val="en-US" w:eastAsia="zh-CN"/>
        </w:rPr>
        <w:t xml:space="preserve">00</w:t>
      </w:r>
      <w:r>
        <w:rPr>
          <w:rFonts w:hint="eastAsia" w:ascii="宋体" w:hAnsi="宋体"/>
          <w:color w:val="auto"/>
          <w:sz w:val="24"/>
          <w:szCs w:val="24"/>
        </w:rPr>
        <w:t xml:space="preserve">-JZCG-G20</w:t>
      </w:r>
      <w:r>
        <w:rPr>
          <w:rFonts w:hint="eastAsia" w:ascii="宋体" w:hAnsi="宋体"/>
          <w:color w:val="auto"/>
          <w:sz w:val="24"/>
          <w:szCs w:val="24"/>
          <w:lang w:val="en-US" w:eastAsia="zh-CN"/>
        </w:rPr>
        <w:t xml:space="preserve">26</w:t>
      </w:r>
      <w:r>
        <w:rPr>
          <w:rFonts w:hint="eastAsia" w:ascii="宋体" w:hAnsi="宋体"/>
          <w:color w:val="auto"/>
          <w:sz w:val="24"/>
          <w:szCs w:val="24"/>
        </w:rPr>
        <w:t xml:space="preserve">- </w:t>
      </w:r>
      <w:r>
        <w:rPr>
          <w:rFonts w:hint="eastAsia" w:ascii="宋体" w:hAnsi="宋体"/>
          <w:color w:val="auto"/>
          <w:sz w:val="24"/>
          <w:szCs w:val="24"/>
          <w:lang w:val="en-US" w:eastAsia="zh-CN"/>
        </w:rPr>
        <w:t xml:space="preserve">0323</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2.项目名称：</w:t>
      </w:r>
      <w:r>
        <w:rPr>
          <w:rFonts w:ascii="宋体" w:hAnsi="宋体"/>
          <w:color w:val="auto"/>
          <w:sz w:val="24"/>
          <w:szCs w:val="24"/>
        </w:rPr>
        <w:t xml:space="preserve">南京市紫金山小学电梯加装项目</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3.预算金额：26万元</w:t>
      </w:r>
      <w:r/>
    </w:p>
    <w:p>
      <w:pPr>
        <w:ind w:firstLine="480"/>
        <w:spacing w:line="252" w:lineRule="auto"/>
        <w:rPr>
          <w:rFonts w:hint="eastAsia" w:ascii="宋体" w:hAnsi="宋体" w:cs="宋体"/>
          <w:color w:val="auto"/>
          <w:sz w:val="24"/>
          <w:szCs w:val="24"/>
          <w:highlight w:val="yellow"/>
        </w:rPr>
      </w:pPr>
      <w:r>
        <w:rPr>
          <w:rFonts w:hint="eastAsia" w:ascii="宋体" w:hAnsi="宋体"/>
          <w:color w:val="auto"/>
          <w:sz w:val="24"/>
          <w:szCs w:val="24"/>
        </w:rPr>
        <w:t xml:space="preserve">4.最高限价：26万元</w:t>
      </w:r>
      <w:r/>
    </w:p>
    <w:p>
      <w:pPr>
        <w:ind w:firstLine="480"/>
        <w:spacing w:line="252" w:lineRule="auto"/>
        <w:rPr>
          <w:rFonts w:ascii="宋体" w:hAnsi="宋体"/>
          <w:color w:val="auto"/>
          <w:sz w:val="24"/>
          <w:szCs w:val="24"/>
          <w:u w:val="single"/>
        </w:rPr>
      </w:pPr>
      <w:r>
        <w:rPr>
          <w:rFonts w:hint="eastAsia" w:ascii="宋体" w:hAnsi="宋体"/>
          <w:color w:val="auto"/>
          <w:sz w:val="24"/>
          <w:szCs w:val="24"/>
        </w:rPr>
        <w:t xml:space="preserve">5.采购需求（简介）：</w:t>
      </w:r>
      <w:r>
        <w:rPr>
          <w:rFonts w:ascii="宋体" w:hAnsi="宋体"/>
          <w:color w:val="auto"/>
          <w:sz w:val="24"/>
          <w:szCs w:val="24"/>
        </w:rPr>
        <w:t xml:space="preserve">南京市紫金山小学</w:t>
      </w:r>
      <w:r>
        <w:rPr>
          <w:rFonts w:hint="eastAsia" w:ascii="宋体" w:hAnsi="宋体"/>
          <w:color w:val="auto"/>
          <w:sz w:val="24"/>
          <w:szCs w:val="24"/>
        </w:rPr>
        <w:t xml:space="preserve">增设一</w:t>
      </w:r>
      <w:r>
        <w:rPr>
          <w:rFonts w:hint="eastAsia" w:ascii="宋体" w:hAnsi="宋体"/>
          <w:color w:val="auto"/>
          <w:sz w:val="24"/>
          <w:szCs w:val="24"/>
          <w:lang w:val="en-US" w:eastAsia="zh-CN"/>
        </w:rPr>
        <w:t xml:space="preserve">台</w:t>
      </w:r>
      <w:r>
        <w:rPr>
          <w:rFonts w:hint="eastAsia" w:ascii="宋体" w:hAnsi="宋体"/>
          <w:color w:val="auto"/>
          <w:sz w:val="24"/>
          <w:szCs w:val="24"/>
        </w:rPr>
        <w:t xml:space="preserve">电梯。</w:t>
      </w:r>
      <w:r>
        <w:rPr>
          <w:rFonts w:hint="eastAsia" w:ascii="宋体" w:hAnsi="宋体" w:cs="宋体"/>
          <w:color w:val="auto"/>
          <w:sz w:val="24"/>
          <w:szCs w:val="24"/>
        </w:rPr>
        <w:t xml:space="preserve">（详细内容见本招标文件第四章）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6.合同履行期限：60天</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u w:val="none"/>
          <w:lang w:val="en-US" w:eastAsia="zh-CN"/>
        </w:rPr>
        <w:t xml:space="preserve">不接受</w:t>
      </w:r>
      <w:r>
        <w:rPr>
          <w:rFonts w:hint="eastAsia" w:ascii="宋体" w:hAnsi="宋体" w:eastAsia="宋体" w:cs="Times New Roman"/>
          <w:color w:val="auto"/>
          <w:sz w:val="24"/>
          <w:szCs w:val="24"/>
          <w:highlight w:val="none"/>
          <w:lang w:val="en-US" w:eastAsia="zh-CN"/>
        </w:rPr>
        <w:t xml:space="preserve">进口产品投标。</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pStyle w:val="880"/>
        <w:ind w:firstLine="465"/>
        <w:spacing w:before="145" w:after="145"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35393792"/>
      <w:r/>
      <w:bookmarkStart w:id="18" w:name="_Toc28359081"/>
      <w:r/>
      <w:bookmarkStart w:id="19" w:name="_Toc28359004"/>
      <w:r/>
      <w:bookmarkStart w:id="20" w:name="_Toc38985265"/>
      <w:r/>
      <w:bookmarkStart w:id="21" w:name="_Toc35393623"/>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eastAsia="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en-US" w:eastAsia="zh-CN"/>
        </w:rPr>
        <w:t xml:space="preserve">2.未被</w:t>
      </w:r>
      <w:r>
        <w:rPr>
          <w:rFonts w:hint="eastAsia" w:ascii="宋体" w:hAnsi="宋体" w:eastAsia="宋体" w:cs="Times New Roman"/>
          <w:b w:val="0"/>
          <w:bCs w:val="0"/>
          <w:color w:val="auto"/>
          <w:sz w:val="24"/>
          <w:szCs w:val="24"/>
          <w:highlight w:val="none"/>
          <w:lang w:val="zh-CN"/>
        </w:rPr>
        <w:t xml:space="preserve">“信用中国”网站列入失信被执行人、重大税收违法</w:t>
      </w:r>
      <w:r>
        <w:rPr>
          <w:rFonts w:hint="eastAsia" w:ascii="宋体" w:hAnsi="宋体" w:eastAsia="宋体" w:cs="Times New Roman"/>
          <w:b w:val="0"/>
          <w:bCs w:val="0"/>
          <w:color w:val="auto"/>
          <w:sz w:val="24"/>
          <w:szCs w:val="24"/>
          <w:highlight w:val="none"/>
          <w:lang w:val="en-US" w:eastAsia="zh-CN"/>
        </w:rPr>
        <w:t xml:space="preserve">失信主体名单</w:t>
      </w:r>
      <w:r>
        <w:rPr>
          <w:rFonts w:hint="eastAsia" w:ascii="宋体" w:hAnsi="宋体" w:eastAsia="宋体" w:cs="Times New Roman"/>
          <w:b w:val="0"/>
          <w:bCs w:val="0"/>
          <w:color w:val="auto"/>
          <w:sz w:val="24"/>
          <w:szCs w:val="24"/>
          <w:highlight w:val="none"/>
          <w:lang w:val="zh-CN"/>
        </w:rPr>
        <w:t xml:space="preserve">、政府采购严重违法失信行为记录名单。（</w:t>
      </w:r>
      <w:r>
        <w:rPr>
          <w:rFonts w:hint="eastAsia" w:ascii="宋体" w:hAnsi="宋体" w:eastAsia="宋体" w:cs="Times New Roman"/>
          <w:b w:val="0"/>
          <w:bCs w:val="0"/>
          <w:color w:val="auto"/>
          <w:sz w:val="24"/>
          <w:szCs w:val="24"/>
          <w:highlight w:val="none"/>
          <w:lang w:val="en-US" w:eastAsia="zh-CN"/>
        </w:rPr>
        <w:t xml:space="preserve">资格审查环节查询，投标</w:t>
      </w:r>
      <w:r>
        <w:rPr>
          <w:rFonts w:hint="eastAsia" w:ascii="宋体" w:hAnsi="宋体" w:eastAsia="宋体" w:cs="Times New Roman"/>
          <w:b w:val="0"/>
          <w:bCs w:val="0"/>
          <w:color w:val="auto"/>
          <w:sz w:val="24"/>
          <w:szCs w:val="24"/>
          <w:highlight w:val="none"/>
          <w:lang w:val="zh-CN"/>
        </w:rPr>
        <w:t xml:space="preserve">文件中无需提供证明材料）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zh-CN"/>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s="Times New Roman"/>
          <w:b w:val="0"/>
          <w:bCs w:val="0"/>
          <w:color w:val="auto"/>
          <w:sz w:val="24"/>
          <w:szCs w:val="24"/>
          <w:highlight w:val="none"/>
          <w:lang w:val="zh-CN" w:eastAsia="zh-CN"/>
        </w:rPr>
        <w:t xml:space="preserve">无。</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en-US" w:eastAsia="zh-CN"/>
        </w:rPr>
        <w:t xml:space="preserve">三</w:t>
      </w:r>
      <w:r>
        <w:rPr>
          <w:rFonts w:hint="eastAsia" w:ascii="宋体" w:hAnsi="宋体" w:eastAsia="宋体" w:cs="Times New Roman"/>
          <w:b w:val="0"/>
          <w:bCs w:val="0"/>
          <w:color w:val="auto"/>
          <w:sz w:val="24"/>
          <w:szCs w:val="24"/>
          <w:highlight w:val="none"/>
          <w:lang w:val="zh-CN"/>
        </w:rPr>
        <w:t xml:space="preserve">）本项目特定资格要求：</w:t>
      </w:r>
      <w:r/>
    </w:p>
    <w:p>
      <w:pPr>
        <w:ind w:firstLine="480"/>
        <w:pageBreakBefore w:val="0"/>
        <w:spacing w:line="252" w:lineRule="auto"/>
        <w:widowControl w:val="off"/>
        <w:rPr>
          <w:rFonts w:hint="eastAsia" w:ascii="宋体" w:hAnsi="宋体"/>
          <w:color w:val="auto"/>
          <w:sz w:val="24"/>
          <w:szCs w:val="24"/>
          <w:u w:val="none"/>
        </w:rPr>
      </w:pPr>
      <w:r>
        <w:rPr>
          <w:rFonts w:hint="eastAsia" w:ascii="宋体" w:hAnsi="宋体" w:eastAsia="宋体" w:cs="Times New Roman"/>
          <w:b w:val="0"/>
          <w:bCs w:val="0"/>
          <w:color w:val="auto"/>
          <w:sz w:val="24"/>
          <w:szCs w:val="24"/>
          <w:highlight w:val="none"/>
          <w:lang w:val="zh-CN"/>
        </w:rPr>
        <w:t xml:space="preserve">（1）供应商如为设备制造商，则须具有有效期内的《中华人民共和国特种设备生产许可证》许可项目电梯制造</w:t>
      </w:r>
      <w:r>
        <w:rPr>
          <w:rFonts w:hint="eastAsia" w:ascii="宋体" w:hAnsi="宋体" w:eastAsia="宋体" w:cs="Times New Roman"/>
          <w:b w:val="0"/>
          <w:bCs w:val="0"/>
          <w:color w:val="auto"/>
          <w:sz w:val="24"/>
          <w:szCs w:val="24"/>
          <w:highlight w:val="none"/>
          <w:lang w:val="zh-CN" w:eastAsia="zh-CN"/>
        </w:rPr>
        <w:t xml:space="preserve">（</w:t>
      </w:r>
      <w:r>
        <w:rPr>
          <w:rFonts w:hint="eastAsia" w:ascii="宋体" w:hAnsi="宋体" w:eastAsia="宋体" w:cs="Times New Roman"/>
          <w:b w:val="0"/>
          <w:bCs w:val="0"/>
          <w:color w:val="auto"/>
          <w:sz w:val="24"/>
          <w:szCs w:val="24"/>
          <w:highlight w:val="none"/>
          <w:lang w:val="zh-CN"/>
        </w:rPr>
        <w:t xml:space="preserve">含安装、修理、改造；</w:t>
      </w:r>
      <w:r>
        <w:rPr>
          <w:rFonts w:hint="eastAsia" w:ascii="宋体" w:hAnsi="宋体"/>
          <w:color w:val="auto"/>
          <w:sz w:val="24"/>
          <w:szCs w:val="24"/>
          <w:u w:val="none"/>
        </w:rPr>
        <w:t xml:space="preserve">许可子项目曳引驱动乘客电梯</w:t>
      </w:r>
      <w:r>
        <w:rPr>
          <w:rFonts w:hint="eastAsia" w:ascii="宋体" w:hAnsi="宋体"/>
          <w:color w:val="auto"/>
          <w:sz w:val="24"/>
          <w:szCs w:val="24"/>
          <w:u w:val="none"/>
          <w:lang w:eastAsia="zh-CN"/>
        </w:rPr>
        <w:t xml:space="preserve">）</w:t>
      </w:r>
      <w:r>
        <w:rPr>
          <w:rFonts w:hint="eastAsia" w:ascii="宋体" w:hAnsi="宋体"/>
          <w:color w:val="auto"/>
          <w:sz w:val="24"/>
          <w:szCs w:val="24"/>
          <w:u w:val="none"/>
        </w:rPr>
        <w:t xml:space="preserve">（提供证书或证明文件扫描件）；</w:t>
      </w:r>
      <w:r/>
    </w:p>
    <w:p>
      <w:pPr>
        <w:ind w:firstLine="480"/>
        <w:spacing w:line="264" w:lineRule="auto"/>
        <w:rPr>
          <w:rFonts w:hint="eastAsia" w:ascii="宋体" w:hAnsi="宋体"/>
          <w:color w:val="auto"/>
          <w:sz w:val="24"/>
          <w:szCs w:val="24"/>
          <w:u w:val="none"/>
        </w:rPr>
      </w:pPr>
      <w:r>
        <w:rPr>
          <w:rFonts w:hint="eastAsia" w:ascii="宋体" w:hAnsi="宋体"/>
          <w:color w:val="auto"/>
          <w:sz w:val="24"/>
          <w:szCs w:val="24"/>
          <w:u w:val="none"/>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w:t>
      </w:r>
      <w:r>
        <w:rPr>
          <w:rFonts w:hint="eastAsia" w:ascii="宋体" w:hAnsi="宋体"/>
          <w:color w:val="auto"/>
          <w:sz w:val="24"/>
          <w:szCs w:val="24"/>
          <w:u w:val="none"/>
          <w:lang w:eastAsia="zh-CN"/>
        </w:rPr>
        <w:t xml:space="preserve">（</w:t>
      </w:r>
      <w:r>
        <w:rPr>
          <w:rFonts w:hint="eastAsia" w:ascii="宋体" w:hAnsi="宋体"/>
          <w:color w:val="auto"/>
          <w:sz w:val="24"/>
          <w:szCs w:val="24"/>
          <w:u w:val="none"/>
        </w:rPr>
        <w:t xml:space="preserve">含安装、修理、改造；许可子项目曳引驱动乘客电梯</w:t>
      </w:r>
      <w:r>
        <w:rPr>
          <w:rFonts w:hint="eastAsia" w:ascii="宋体" w:hAnsi="宋体"/>
          <w:color w:val="auto"/>
          <w:sz w:val="24"/>
          <w:szCs w:val="24"/>
          <w:u w:val="none"/>
          <w:lang w:eastAsia="zh-CN"/>
        </w:rPr>
        <w:t xml:space="preserve">）</w:t>
      </w:r>
      <w:r>
        <w:rPr>
          <w:rFonts w:hint="eastAsia" w:ascii="宋体" w:hAnsi="宋体"/>
          <w:color w:val="auto"/>
          <w:sz w:val="24"/>
          <w:szCs w:val="24"/>
          <w:u w:val="none"/>
        </w:rPr>
        <w:t xml:space="preserve">（提供证书或证明文件扫描件）。</w:t>
      </w:r>
      <w:r/>
    </w:p>
    <w:p>
      <w:pPr>
        <w:pStyle w:val="880"/>
        <w:ind w:firstLine="465"/>
        <w:spacing w:before="145" w:after="145"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auto"/>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rPr>
        <w:t xml:space="preserve">1.时间：自招标文件公告发布之日起。</w:t>
      </w:r>
      <w:r/>
    </w:p>
    <w:p>
      <w:pPr>
        <w:ind w:firstLine="480"/>
        <w:spacing w:line="252"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80"/>
        <w:ind w:firstLine="465"/>
        <w:spacing w:before="145" w:after="145"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spacing w:line="252" w:lineRule="auto"/>
        <w:rPr>
          <w:rFonts w:hint="eastAsia" w:ascii="宋体" w:hAnsi="宋体"/>
          <w:bCs/>
          <w:color w:val="auto"/>
          <w:sz w:val="24"/>
          <w:szCs w:val="24"/>
          <w:u w:val="single"/>
        </w:rPr>
      </w:pPr>
      <w:r/>
      <w:bookmarkStart w:id="27" w:name="_Toc35393625"/>
      <w:r/>
      <w:bookmarkStart w:id="28" w:name="_Toc35393794"/>
      <w:r/>
      <w:bookmarkStart w:id="29" w:name="_Toc28359084"/>
      <w:r/>
      <w:bookmarkStart w:id="30" w:name="_Toc28359007"/>
      <w:r/>
      <w:bookmarkStart w:id="31" w:name="_Toc38985267"/>
      <w:r>
        <w:rPr>
          <w:rFonts w:hint="eastAsia" w:ascii="宋体" w:hAnsi="宋体" w:cs="宋体"/>
          <w:color w:val="auto"/>
          <w:sz w:val="24"/>
          <w:szCs w:val="24"/>
        </w:rPr>
        <w:t xml:space="preserve">1.提交投标文件截止时间、开标时间</w:t>
      </w:r>
      <w:r>
        <w:rPr>
          <w:rFonts w:hint="eastAsia" w:ascii="宋体" w:hAnsi="宋体" w:cs="宋体"/>
          <w:color w:val="auto"/>
          <w:sz w:val="24"/>
          <w:szCs w:val="24"/>
        </w:rPr>
        <w:t xml:space="preserve">：</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bCs/>
          <w:color w:val="auto"/>
          <w:sz w:val="24"/>
          <w:szCs w:val="24"/>
        </w:rPr>
        <w:t xml:space="preserve">年</w:t>
      </w:r>
      <w:r>
        <w:rPr>
          <w:rFonts w:hint="eastAsia" w:ascii="宋体" w:hAnsi="宋体" w:cs="宋体"/>
          <w:color w:val="auto"/>
          <w:sz w:val="24"/>
          <w:szCs w:val="24"/>
          <w:lang w:val="en-US" w:eastAsia="zh-CN"/>
        </w:rPr>
        <w:t xml:space="preserve">9</w:t>
      </w:r>
      <w:r>
        <w:rPr>
          <w:rFonts w:hint="eastAsia" w:ascii="宋体" w:hAnsi="宋体"/>
          <w:bCs/>
          <w:color w:val="auto"/>
          <w:sz w:val="24"/>
          <w:szCs w:val="24"/>
        </w:rPr>
        <w:t xml:space="preserve">月</w:t>
      </w:r>
      <w:r>
        <w:rPr>
          <w:rFonts w:hint="eastAsia" w:ascii="宋体" w:hAnsi="宋体"/>
          <w:bCs/>
          <w:color w:val="auto"/>
          <w:sz w:val="24"/>
          <w:szCs w:val="24"/>
          <w:lang w:val="en-US" w:eastAsia="zh-CN"/>
        </w:rPr>
        <w:t xml:space="preserve"> 28 </w:t>
      </w:r>
      <w:r>
        <w:rPr>
          <w:rFonts w:hint="eastAsia" w:ascii="宋体" w:hAnsi="宋体"/>
          <w:bCs/>
          <w:color w:val="auto"/>
          <w:sz w:val="24"/>
          <w:szCs w:val="24"/>
        </w:rPr>
        <w:t xml:space="preserve">日</w:t>
      </w:r>
      <w:r>
        <w:rPr>
          <w:rFonts w:hint="eastAsia"/>
          <w:bCs/>
          <w:color w:val="auto"/>
          <w:sz w:val="24"/>
          <w:szCs w:val="24"/>
        </w:rPr>
        <w:t xml:space="preserve">14时</w:t>
      </w:r>
      <w:r>
        <w:rPr>
          <w:rFonts w:hint="eastAsia" w:ascii="宋体" w:hAnsi="宋体"/>
          <w:bCs/>
          <w:color w:val="auto"/>
          <w:sz w:val="24"/>
          <w:szCs w:val="24"/>
        </w:rPr>
        <w:t xml:space="preserve">00分（</w:t>
      </w:r>
      <w:r>
        <w:rPr>
          <w:rFonts w:hint="eastAsia" w:ascii="宋体" w:hAnsi="宋体"/>
          <w:bCs/>
          <w:color w:val="auto"/>
          <w:sz w:val="24"/>
          <w:szCs w:val="24"/>
        </w:rPr>
        <w:t xml:space="preserve">北京时间）。</w:t>
      </w:r>
      <w:r/>
    </w:p>
    <w:p>
      <w:pPr>
        <w:ind w:firstLine="480"/>
        <w:spacing w:line="252" w:lineRule="auto"/>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880"/>
        <w:ind w:firstLine="465"/>
        <w:spacing w:before="145" w:after="145"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color w:val="auto"/>
          <w:sz w:val="24"/>
          <w:szCs w:val="24"/>
        </w:rPr>
      </w:pPr>
      <w:r/>
      <w:bookmarkStart w:id="32" w:name="_Toc35393626"/>
      <w:r/>
      <w:bookmarkStart w:id="33" w:name="_Toc38985268"/>
      <w:r/>
      <w:bookmarkStart w:id="34" w:name="_Toc35393795"/>
      <w:r>
        <w:rPr>
          <w:rFonts w:hint="eastAsia" w:ascii="宋体" w:hAnsi="宋体" w:cs="宋体"/>
          <w:color w:val="auto"/>
          <w:sz w:val="24"/>
          <w:szCs w:val="24"/>
        </w:rPr>
        <w:t xml:space="preserve">公告期限为自本公告发布之日起5个工作日。</w:t>
      </w:r>
      <w:r/>
    </w:p>
    <w:p>
      <w:pPr>
        <w:pStyle w:val="880"/>
        <w:ind w:firstLine="465"/>
        <w:spacing w:before="145" w:after="145"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auto"/>
          <w:sz w:val="24"/>
          <w:szCs w:val="24"/>
        </w:rPr>
      </w:pPr>
      <w:r/>
      <w:bookmarkStart w:id="35" w:name="_Toc28359008"/>
      <w:r/>
      <w:bookmarkStart w:id="36" w:name="_Toc38985269"/>
      <w:r/>
      <w:bookmarkStart w:id="37" w:name="_Toc35393796"/>
      <w:r/>
      <w:bookmarkStart w:id="38" w:name="_Toc35393627"/>
      <w:r/>
      <w:bookmarkStart w:id="39" w:name="_Toc28359085"/>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82"/>
        <w:spacing w:line="240" w:lineRule="auto"/>
        <w:tabs>
          <w:tab w:val="left" w:pos="900" w:leader="none"/>
        </w:tabs>
        <w:rPr>
          <w:rFonts w:hint="eastAsia"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eastAsia="宋体" w:cs="Times New Roman"/>
          <w:b/>
          <w:bCs/>
          <w:color w:val="auto"/>
          <w:sz w:val="24"/>
          <w:highlight w:val="none"/>
          <w:lang w:val="en-US"/>
        </w:rPr>
        <w:t xml:space="preserve">对采购方式、采购需求、</w:t>
      </w:r>
      <w:r>
        <w:rPr>
          <w:rFonts w:hint="eastAsia" w:ascii="宋体" w:hAnsi="宋体" w:eastAsia="宋体" w:cs="Times New Roman"/>
          <w:b/>
          <w:bCs/>
          <w:color w:val="auto"/>
          <w:sz w:val="24"/>
          <w:highlight w:val="none"/>
          <w:lang w:val="en-US" w:eastAsia="zh-CN"/>
        </w:rPr>
        <w:t xml:space="preserve">投标人</w:t>
      </w:r>
      <w:r>
        <w:rPr>
          <w:rFonts w:hint="eastAsia" w:ascii="宋体" w:hAnsi="宋体" w:eastAsia="宋体" w:cs="Times New Roman"/>
          <w:b/>
          <w:bCs/>
          <w:color w:val="auto"/>
          <w:sz w:val="24"/>
          <w:highlight w:val="none"/>
          <w:lang w:val="en-US"/>
        </w:rPr>
        <w:t xml:space="preserve">资格</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en-US"/>
        </w:rPr>
        <w:t xml:space="preserve">、评标方法和评标标准、合同文本、</w:t>
      </w:r>
      <w:r>
        <w:rPr>
          <w:rFonts w:hint="eastAsia" w:ascii="宋体" w:hAnsi="宋体" w:eastAsia="宋体" w:cs="Times New Roman"/>
          <w:b/>
          <w:bCs/>
          <w:color w:val="auto"/>
          <w:sz w:val="24"/>
          <w:highlight w:val="none"/>
          <w:lang w:val="en-US" w:eastAsia="zh-CN"/>
        </w:rPr>
        <w:t xml:space="preserve">招标项目资格审查结果</w:t>
      </w:r>
      <w:r>
        <w:rPr>
          <w:rFonts w:hint="eastAsia" w:ascii="宋体" w:hAnsi="宋体" w:eastAsia="宋体" w:cs="Times New Roman"/>
          <w:b/>
          <w:bCs/>
          <w:color w:val="auto"/>
          <w:sz w:val="24"/>
          <w:highlight w:val="none"/>
          <w:lang w:val="en-US"/>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en-US"/>
        </w:rPr>
        <w:t xml:space="preserve">质疑向采购人提出，由采购人负责答复。</w:t>
      </w:r>
      <w:r>
        <w:rPr>
          <w:rFonts w:hint="eastAsia" w:ascii="宋体" w:hAnsi="宋体" w:eastAsia="宋体" w:cs="Times New Roman"/>
          <w:b/>
          <w:bCs/>
          <w:color w:val="auto"/>
          <w:sz w:val="24"/>
          <w:highlight w:val="none"/>
          <w:lang w:val="en-US" w:eastAsia="zh-CN"/>
        </w:rPr>
        <w:t xml:space="preserve">对上述事项以外</w:t>
      </w:r>
      <w:r>
        <w:rPr>
          <w:rFonts w:hint="eastAsia" w:ascii="宋体" w:hAnsi="宋体" w:eastAsia="宋体" w:cs="Times New Roman"/>
          <w:b/>
          <w:bCs/>
          <w:color w:val="auto"/>
          <w:sz w:val="24"/>
          <w:highlight w:val="none"/>
          <w:lang w:val="en-US"/>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en-US"/>
        </w:rPr>
        <w:t xml:space="preserve">质疑向交易中心提出，由交易中心负责答复。</w:t>
      </w:r>
      <w:r/>
    </w:p>
    <w:p>
      <w:pPr>
        <w:ind w:firstLine="480"/>
        <w:spacing w:line="252" w:lineRule="auto"/>
        <w:rPr>
          <w:rFonts w:ascii="宋体" w:hAnsi="宋体"/>
          <w:color w:val="auto"/>
          <w:sz w:val="24"/>
        </w:rPr>
      </w:pPr>
      <w:r>
        <w:rPr>
          <w:rFonts w:hint="eastAsia" w:ascii="宋体" w:hAnsi="宋体"/>
          <w:color w:val="auto"/>
          <w:sz w:val="24"/>
        </w:rPr>
        <w:t xml:space="preserve">采购人《质疑函》收件人：</w:t>
      </w:r>
      <w:r>
        <w:rPr>
          <w:rFonts w:hint="eastAsia" w:ascii="宋体" w:hAnsi="宋体"/>
          <w:color w:val="auto"/>
          <w:sz w:val="24"/>
          <w:szCs w:val="24"/>
        </w:rPr>
        <w:t xml:space="preserve">卢老师</w:t>
      </w:r>
      <w:r>
        <w:rPr>
          <w:rFonts w:hint="eastAsia" w:ascii="宋体" w:hAnsi="宋体"/>
          <w:color w:val="auto"/>
          <w:sz w:val="24"/>
        </w:rPr>
        <w:t xml:space="preserve">，收件地址：</w:t>
      </w:r>
      <w:r>
        <w:rPr>
          <w:rFonts w:hint="eastAsia" w:ascii="宋体" w:hAnsi="宋体"/>
          <w:color w:val="auto"/>
          <w:sz w:val="24"/>
          <w:szCs w:val="24"/>
        </w:rPr>
        <w:t xml:space="preserve">南京市玄武区顾家营路59-6号</w:t>
      </w:r>
      <w:r>
        <w:rPr>
          <w:rFonts w:hint="eastAsia" w:ascii="宋体" w:hAnsi="宋体" w:cs="宋体"/>
          <w:color w:val="auto"/>
          <w:sz w:val="24"/>
          <w:szCs w:val="24"/>
        </w:rPr>
        <w:t xml:space="preserve">，</w:t>
      </w:r>
      <w:r>
        <w:rPr>
          <w:rFonts w:hint="eastAsia" w:ascii="宋体" w:hAnsi="宋体"/>
          <w:color w:val="auto"/>
          <w:sz w:val="24"/>
        </w:rPr>
        <w:t xml:space="preserve">联系电话：</w:t>
      </w:r>
      <w:r>
        <w:rPr>
          <w:rFonts w:hint="eastAsia" w:ascii="宋体" w:hAnsi="宋体"/>
          <w:color w:val="auto"/>
          <w:sz w:val="24"/>
          <w:szCs w:val="24"/>
        </w:rPr>
        <w:t xml:space="preserve">13851553041</w:t>
      </w:r>
      <w:r/>
    </w:p>
    <w:p>
      <w:pPr>
        <w:ind w:firstLine="480"/>
        <w:spacing w:line="252" w:lineRule="auto"/>
        <w:widowControl/>
        <w:rPr>
          <w:rFonts w:hint="eastAsia" w:ascii="宋体" w:hAnsi="宋体"/>
          <w:color w:val="auto"/>
          <w:sz w:val="24"/>
          <w:lang w:val="zh-CN"/>
        </w:rPr>
      </w:pPr>
      <w:r>
        <w:rPr>
          <w:rFonts w:hint="eastAsia" w:ascii="宋体" w:hAnsi="宋体"/>
          <w:color w:val="auto"/>
          <w:sz w:val="24"/>
          <w:lang w:val="zh-CN"/>
        </w:rPr>
        <w:t xml:space="preserve">交易中心《质疑函》收件人：南京市公共资源交易中心政府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w:t>
      </w:r>
      <w:r>
        <w:rPr>
          <w:rFonts w:hint="eastAsia" w:ascii="宋体" w:hAnsi="宋体"/>
          <w:color w:val="auto"/>
          <w:sz w:val="24"/>
        </w:rPr>
        <w:t xml:space="preserve">收件</w:t>
      </w:r>
      <w:r>
        <w:rPr>
          <w:rFonts w:hint="eastAsia" w:ascii="宋体" w:hAnsi="宋体"/>
          <w:color w:val="auto"/>
          <w:sz w:val="24"/>
          <w:lang w:val="zh-CN"/>
        </w:rPr>
        <w:t xml:space="preserve">地址：南京市</w:t>
      </w:r>
      <w:r>
        <w:rPr>
          <w:rFonts w:hint="eastAsia" w:ascii="宋体" w:hAnsi="宋体"/>
          <w:color w:val="auto"/>
          <w:sz w:val="24"/>
          <w:lang w:val="en-US" w:eastAsia="zh-CN"/>
        </w:rPr>
        <w:t xml:space="preserve">建邺区</w:t>
      </w:r>
      <w:r>
        <w:rPr>
          <w:rFonts w:hint="eastAsia" w:ascii="宋体" w:hAnsi="宋体"/>
          <w:color w:val="auto"/>
          <w:sz w:val="24"/>
          <w:lang w:val="zh-CN"/>
        </w:rPr>
        <w:t xml:space="preserve">江东中路265号南京市公共资源交易中心北门，联系电话：025-68505926。</w:t>
      </w:r>
      <w:r/>
    </w:p>
    <w:p>
      <w:pPr>
        <w:pStyle w:val="880"/>
        <w:ind w:firstLine="465"/>
        <w:spacing w:before="145" w:after="145"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1.采购人</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单位名</w:t>
      </w:r>
      <w:r>
        <w:rPr>
          <w:rFonts w:hint="eastAsia" w:ascii="宋体" w:hAnsi="宋体"/>
          <w:color w:val="auto"/>
          <w:sz w:val="24"/>
          <w:szCs w:val="24"/>
        </w:rPr>
        <w:t xml:space="preserve">称：南京市紫金山小学</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单位地址：南京市玄武区顾家营路59-6号</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联系人：卢老师</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联系电话：13851553041 </w:t>
      </w:r>
      <w:bookmarkStart w:id="40" w:name="_Toc28359086"/>
      <w:r/>
      <w:bookmarkStart w:id="41" w:name="_Toc28359009"/>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2.交易中心</w:t>
      </w:r>
      <w:bookmarkEnd w:id="40"/>
      <w:r/>
      <w:bookmarkEnd w:id="41"/>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建邺</w:t>
      </w:r>
      <w:r>
        <w:rPr>
          <w:rFonts w:hint="eastAsia" w:ascii="宋体" w:hAnsi="宋体" w:cs="宋体"/>
          <w:color w:val="auto"/>
          <w:sz w:val="24"/>
          <w:szCs w:val="24"/>
        </w:rPr>
        <w:t xml:space="preserve">区江东中路265号</w:t>
      </w:r>
      <w:r>
        <w:rPr>
          <w:rFonts w:hint="eastAsia" w:ascii="宋体" w:hAnsi="宋体"/>
          <w:color w:val="auto"/>
          <w:sz w:val="24"/>
          <w:szCs w:val="24"/>
        </w:rPr>
        <w:t xml:space="preserve">    </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联系人：邹女士</w:t>
      </w:r>
      <w:r/>
    </w:p>
    <w:p>
      <w:pPr>
        <w:ind w:firstLine="480"/>
        <w:jc w:val="both"/>
        <w:spacing w:line="252" w:lineRule="auto"/>
        <w:rPr>
          <w:rFonts w:hint="eastAsia" w:ascii="宋体" w:hAnsi="宋体"/>
          <w:color w:val="auto"/>
          <w:sz w:val="24"/>
          <w:szCs w:val="24"/>
        </w:rPr>
      </w:pPr>
      <w:r>
        <w:rPr>
          <w:rFonts w:hint="eastAsia" w:ascii="宋体" w:hAnsi="宋体"/>
          <w:color w:val="auto"/>
          <w:sz w:val="24"/>
          <w:szCs w:val="24"/>
        </w:rPr>
        <w:t xml:space="preserve">联系电话：025-68505810 </w:t>
      </w:r>
      <w:r/>
    </w:p>
    <w:p>
      <w:pPr>
        <w:pStyle w:val="956"/>
        <w:ind w:left="0" w:firstLine="0"/>
        <w:jc w:val="center"/>
        <w:tabs>
          <w:tab w:val="left" w:pos="463" w:leader="none"/>
        </w:tabs>
        <w:rPr>
          <w:rFonts w:hint="eastAsia" w:ascii="方正小标宋简体" w:hAnsi="方正小标宋简体" w:eastAsia="方正小标宋简体" w:cs="方正小标宋简体"/>
          <w:color w:val="auto"/>
          <w:sz w:val="36"/>
          <w:szCs w:val="36"/>
          <w:highlight w:val="none"/>
          <w:lang w:val="en-US" w:eastAsia="zh-CN" w:bidi="ar-SA"/>
        </w:rPr>
        <w:outlineLvl w:val="0"/>
      </w:pPr>
      <w:r>
        <w:rPr>
          <w:rFonts w:ascii="宋体" w:hAnsi="宋体"/>
          <w:color w:val="auto"/>
          <w:sz w:val="24"/>
          <w:szCs w:val="24"/>
        </w:rPr>
        <w:br w:type="page" w:clear="all"/>
      </w:r>
      <w:bookmarkEnd w:id="1"/>
      <w:r/>
      <w:bookmarkEnd w:id="2"/>
      <w:r/>
      <w:bookmarkEnd w:id="3"/>
      <w:r/>
      <w:bookmarkEnd w:id="4"/>
      <w:r/>
      <w:bookmarkEnd w:id="5"/>
      <w:r/>
      <w:bookmarkStart w:id="42" w:name="_Toc120614211"/>
      <w:r/>
      <w:bookmarkStart w:id="43" w:name="_Toc120614221"/>
      <w:r/>
      <w:bookmarkStart w:id="44" w:name="_Toc20823314"/>
      <w:r/>
      <w:bookmarkStart w:id="45" w:name="_Toc479757207"/>
      <w:r/>
      <w:bookmarkStart w:id="46" w:name="_Toc513029242"/>
      <w:r/>
      <w:bookmarkStart w:id="47" w:name="_Toc16938558"/>
      <w:r>
        <w:rPr>
          <w:rFonts w:hint="eastAsia" w:ascii="方正小标宋简体" w:hAnsi="方正小标宋简体" w:eastAsia="方正小标宋简体" w:cs="方正小标宋简体"/>
          <w:color w:val="auto"/>
          <w:sz w:val="36"/>
          <w:szCs w:val="36"/>
          <w:highlight w:val="none"/>
          <w:lang w:val="en-US" w:eastAsia="zh-CN" w:bidi="ar-SA"/>
        </w:rPr>
        <w:t xml:space="preserve">第二章  投标人须知</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2</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3</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5</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6</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7.</w:t>
      </w:r>
      <w:r>
        <w:rPr>
          <w:rFonts w:hint="eastAsia" w:ascii="方正楷体_GBK" w:hAnsi="方正楷体_GBK" w:eastAsia="方正楷体_GBK" w:cs="方正楷体_GBK"/>
          <w:b/>
          <w:bCs/>
          <w:color w:val="auto"/>
          <w:sz w:val="28"/>
          <w:szCs w:val="28"/>
          <w:highlight w:val="none"/>
        </w:rPr>
        <w:t xml:space="preserve">招标文件的澄清</w:t>
      </w:r>
      <w:r>
        <w:rPr>
          <w:rFonts w:hint="eastAsia" w:ascii="方正楷体_GBK" w:hAnsi="方正楷体_GBK" w:eastAsia="方正楷体_GBK" w:cs="方正楷体_GBK"/>
          <w:b/>
          <w:bCs/>
          <w:color w:val="auto"/>
          <w:sz w:val="28"/>
          <w:szCs w:val="28"/>
          <w:highlight w:val="none"/>
          <w:lang w:val="en-US" w:eastAsia="zh-CN"/>
        </w:rPr>
        <w:t xml:space="preserve">或</w:t>
      </w:r>
      <w:r>
        <w:rPr>
          <w:rFonts w:hint="eastAsia" w:ascii="方正楷体_GBK" w:hAnsi="方正楷体_GBK" w:eastAsia="方正楷体_GBK" w:cs="方正楷体_GBK"/>
          <w:b/>
          <w:bCs/>
          <w:color w:val="auto"/>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color w:val="auto"/>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color w:val="auto"/>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8.</w:t>
      </w:r>
      <w:r>
        <w:rPr>
          <w:rFonts w:hint="eastAsia" w:ascii="方正楷体_GBK" w:hAnsi="方正楷体_GBK" w:eastAsia="方正楷体_GBK" w:cs="方正楷体_GBK"/>
          <w:b/>
          <w:bCs/>
          <w:color w:val="auto"/>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9.</w:t>
      </w:r>
      <w:r>
        <w:rPr>
          <w:rFonts w:hint="eastAsia" w:ascii="方正楷体_GBK" w:hAnsi="方正楷体_GBK" w:eastAsia="方正楷体_GBK" w:cs="方正楷体_GBK"/>
          <w:b/>
          <w:bCs/>
          <w:color w:val="auto"/>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cs="Times New Roman"/>
          <w:b/>
          <w:bCs/>
          <w:color w:val="auto"/>
          <w:sz w:val="24"/>
          <w:highlight w:val="none"/>
          <w:lang w:val="en-US" w:eastAsia="zh-CN"/>
        </w:rPr>
        <w:t xml:space="preserve">，否则作为无效投标。</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1.</w:t>
      </w:r>
      <w:r>
        <w:rPr>
          <w:rFonts w:hint="eastAsia" w:ascii="方正楷体_GBK" w:hAnsi="方正楷体_GBK" w:eastAsia="方正楷体_GBK" w:cs="方正楷体_GBK"/>
          <w:b/>
          <w:bCs/>
          <w:color w:val="auto"/>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94"/>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2.</w:t>
      </w:r>
      <w:r>
        <w:rPr>
          <w:rFonts w:hint="eastAsia" w:ascii="方正楷体_GBK" w:hAnsi="方正楷体_GBK" w:eastAsia="方正楷体_GBK" w:cs="方正楷体_GBK"/>
          <w:b/>
          <w:bCs/>
          <w:color w:val="auto"/>
          <w:sz w:val="28"/>
          <w:szCs w:val="28"/>
          <w:highlight w:val="none"/>
        </w:rPr>
        <w:t xml:space="preserve">投标函和</w:t>
      </w:r>
      <w:r>
        <w:rPr>
          <w:rFonts w:hint="eastAsia" w:ascii="方正楷体_GBK" w:hAnsi="方正楷体_GBK" w:eastAsia="方正楷体_GBK" w:cs="方正楷体_GBK"/>
          <w:b/>
          <w:bCs/>
          <w:color w:val="auto"/>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3.</w:t>
      </w:r>
      <w:r>
        <w:rPr>
          <w:rFonts w:hint="eastAsia" w:ascii="方正楷体_GBK" w:hAnsi="方正楷体_GBK" w:eastAsia="方正楷体_GBK" w:cs="方正楷体_GBK"/>
          <w:b/>
          <w:bCs/>
          <w:color w:val="auto"/>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color w:val="auto"/>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94"/>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4.</w:t>
      </w:r>
      <w:r>
        <w:rPr>
          <w:rFonts w:hint="eastAsia" w:ascii="方正楷体_GBK" w:hAnsi="方正楷体_GBK" w:eastAsia="方正楷体_GBK" w:cs="方正楷体_GBK"/>
          <w:b/>
          <w:bCs/>
          <w:color w:val="auto"/>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9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color w:val="auto"/>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6.</w:t>
      </w:r>
      <w:r>
        <w:rPr>
          <w:rFonts w:hint="eastAsia" w:ascii="方正楷体_GBK" w:hAnsi="方正楷体_GBK" w:eastAsia="方正楷体_GBK" w:cs="方正楷体_GBK"/>
          <w:b/>
          <w:bCs/>
          <w:color w:val="auto"/>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17.</w:t>
      </w:r>
      <w:r>
        <w:rPr>
          <w:rFonts w:hint="eastAsia" w:ascii="方正楷体_GBK" w:hAnsi="方正楷体_GBK" w:eastAsia="方正楷体_GBK" w:cs="方正楷体_GBK"/>
          <w:b/>
          <w:bCs/>
          <w:color w:val="auto"/>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19.</w:t>
      </w:r>
      <w:r>
        <w:rPr>
          <w:rFonts w:hint="eastAsia" w:ascii="方正楷体_GBK" w:hAnsi="方正楷体_GBK" w:eastAsia="方正楷体_GBK" w:cs="方正楷体_GBK"/>
          <w:b/>
          <w:bCs/>
          <w:color w:val="auto"/>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0.</w:t>
      </w:r>
      <w:r>
        <w:rPr>
          <w:rFonts w:hint="eastAsia" w:ascii="方正楷体_GBK" w:hAnsi="方正楷体_GBK" w:eastAsia="方正楷体_GBK" w:cs="方正楷体_GBK"/>
          <w:b/>
          <w:bCs/>
          <w:color w:val="auto"/>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1.</w:t>
      </w:r>
      <w:r>
        <w:rPr>
          <w:rFonts w:hint="eastAsia" w:ascii="方正楷体_GBK" w:hAnsi="方正楷体_GBK" w:eastAsia="方正楷体_GBK" w:cs="方正楷体_GBK"/>
          <w:b/>
          <w:bCs/>
          <w:color w:val="auto"/>
          <w:highlight w:val="none"/>
        </w:rPr>
        <w:t xml:space="preserve">投标文件的</w:t>
      </w:r>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color w:val="auto"/>
          <w:sz w:val="24"/>
          <w:highlight w:val="none"/>
          <w:lang w:val="zh-CN"/>
        </w:rPr>
        <w:t xml:space="preserve">评委会</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的投标人的投标文件进行符合性审查</w:t>
      </w:r>
      <w:r>
        <w:rPr>
          <w:rFonts w:hint="eastAsia" w:ascii="宋体" w:hAnsi="宋体"/>
          <w:color w:val="auto"/>
          <w:sz w:val="24"/>
          <w:highlight w:val="none"/>
          <w:lang w:val="zh-CN"/>
        </w:rPr>
        <w:t xml:space="preserve">，以确定</w:t>
      </w:r>
      <w:r>
        <w:rPr>
          <w:rFonts w:hint="eastAsia" w:ascii="宋体" w:hAnsi="宋体"/>
          <w:color w:val="auto"/>
          <w:sz w:val="24"/>
          <w:highlight w:val="none"/>
          <w:lang w:val="en-US" w:eastAsia="zh-CN"/>
        </w:rPr>
        <w:t xml:space="preserve">其</w:t>
      </w:r>
      <w:r>
        <w:rPr>
          <w:rFonts w:hint="eastAsia" w:ascii="宋体" w:hAnsi="宋体"/>
          <w:color w:val="auto"/>
          <w:sz w:val="24"/>
          <w:highlight w:val="none"/>
          <w:lang w:val="zh-CN"/>
        </w:rPr>
        <w:t xml:space="preserve">是否</w:t>
      </w:r>
      <w:r>
        <w:rPr>
          <w:rFonts w:hint="eastAsia" w:ascii="宋体" w:hAnsi="宋体"/>
          <w:color w:val="auto"/>
          <w:sz w:val="24"/>
          <w:highlight w:val="none"/>
          <w:lang w:val="en-US" w:eastAsia="zh-CN"/>
        </w:rPr>
        <w:t xml:space="preserve">满足</w:t>
      </w:r>
      <w:r>
        <w:rPr>
          <w:rFonts w:hint="eastAsia" w:ascii="宋体" w:hAnsi="宋体"/>
          <w:color w:val="auto"/>
          <w:sz w:val="24"/>
          <w:highlight w:val="none"/>
          <w:lang w:val="zh-CN"/>
        </w:rPr>
        <w:t xml:space="preserve">招标文件的实质性要求。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color w:val="auto"/>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color w:val="auto"/>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w:t>
      </w:r>
      <w:r>
        <w:rPr>
          <w:rFonts w:hint="eastAsia" w:ascii="宋体" w:hAnsi="宋体"/>
          <w:color w:val="auto"/>
          <w:sz w:val="24"/>
          <w:highlight w:val="none"/>
          <w:lang w:val="en-US" w:eastAsia="zh-CN"/>
        </w:rPr>
        <w:t xml:space="preserve">在</w:t>
      </w:r>
      <w:r>
        <w:rPr>
          <w:rFonts w:hint="eastAsia" w:ascii="宋体" w:hAnsi="宋体"/>
          <w:color w:val="auto"/>
          <w:sz w:val="24"/>
          <w:highlight w:val="none"/>
          <w:lang w:val="zh-CN"/>
        </w:rPr>
        <w:t xml:space="preserve">招标文件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招标文件另有约定的除外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color w:val="auto"/>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3.</w:t>
      </w:r>
      <w:r>
        <w:rPr>
          <w:rFonts w:hint="eastAsia" w:ascii="方正楷体_GBK" w:hAnsi="方正楷体_GBK" w:eastAsia="方正楷体_GBK" w:cs="方正楷体_GBK"/>
          <w:b/>
          <w:bCs/>
          <w:color w:val="auto"/>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26.</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4"/>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27</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由质疑投标人法定代表人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rPr>
        <w:t xml:space="preserve">南京市</w:t>
      </w:r>
      <w:r>
        <w:rPr>
          <w:rFonts w:hint="eastAsia" w:ascii="宋体" w:hAnsi="宋体" w:cs="Times New Roman"/>
          <w:b/>
          <w:bCs/>
          <w:i w:val="0"/>
          <w:iCs w:val="0"/>
          <w:caps w:val="0"/>
          <w:color w:val="auto"/>
          <w:spacing w:val="0"/>
          <w:sz w:val="24"/>
          <w:szCs w:val="21"/>
          <w:highlight w:val="none"/>
          <w:shd w:val="clear" w:color="auto" w:fill="auto"/>
          <w:lang w:val="en-US" w:eastAsia="zh-CN"/>
        </w:rPr>
        <w:t xml:space="preserve">玄武区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9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94"/>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auto"/>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color w:val="auto"/>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694"/>
        <w:ind w:firstLine="39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6</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.2 采购产品</w:t>
      </w:r>
      <w:r>
        <w:rPr>
          <w:rFonts w:hint="eastAsia" w:ascii="宋体" w:hAnsi="宋体"/>
          <w:color w:val="auto"/>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.3 采购产品</w:t>
      </w:r>
      <w:r>
        <w:rPr>
          <w:rFonts w:hint="eastAsia" w:ascii="宋体" w:hAnsi="宋体"/>
          <w:color w:val="auto"/>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w:t>
      </w:r>
      <w:r>
        <w:rPr>
          <w:rFonts w:hint="eastAsia" w:ascii="宋体" w:hAnsi="宋体"/>
          <w:color w:val="auto"/>
          <w:sz w:val="24"/>
          <w:highlight w:val="none"/>
          <w:lang w:val="zh-CN"/>
        </w:rPr>
        <w:t xml:space="preserve">）。</w:t>
      </w:r>
      <w:r/>
    </w:p>
    <w:p>
      <w:pPr>
        <w:pStyle w:val="694"/>
        <w:ind w:firstLine="39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37</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对</w:t>
      </w:r>
      <w:r>
        <w:rPr>
          <w:rFonts w:hint="eastAsia" w:ascii="宋体"/>
          <w:bCs/>
          <w:color w:val="auto"/>
          <w:sz w:val="24"/>
          <w:szCs w:val="24"/>
          <w:highlight w:val="none"/>
        </w:rPr>
        <w:t xml:space="preserve">商品包装和快递包装有具体要求的，政府采购合同中应当载明对</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提供产品及相关快递服务的具体包装要求和履约验收相关条款，</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.2 采购产品中涉及数据中心相关设备、运维服务的，应按照《关于印发</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绿色数据中心政府采购需求标准（试行）</w:t>
      </w:r>
      <w:r>
        <w:rPr>
          <w:rFonts w:hint="eastAsia" w:ascii="宋体" w:hAnsi="宋体"/>
          <w:color w:val="auto"/>
          <w:sz w:val="24"/>
          <w:highlight w:val="none"/>
          <w:lang w:val="en-US" w:eastAsia="zh-CN"/>
        </w:rPr>
        <w:t xml:space="preserve">&gt;</w:t>
      </w:r>
      <w:r>
        <w:rPr>
          <w:rFonts w:hint="eastAsia" w:ascii="宋体" w:hAnsi="宋体"/>
          <w:color w:val="auto"/>
          <w:sz w:val="24"/>
          <w:highlight w:val="none"/>
        </w:rPr>
        <w:t xml:space="preserve">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.3 采购产品中涉及涂料、胶黏剂、油墨、清洗剂等挥发性有机物产品的，属于强制性标准的，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应当提供符合国家和江苏省相关VOCs 含量限制标准的产品。采购产品中涉及通用类货物、家具的，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应当优先使用低挥发性原辅材料，采购人将使用低VOCs含量的涂料、胶黏剂等纳入政府采购合同条款的，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必须严格执行。</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.4 采购产品中涉及数据库、操作系统、通用服务器、工作站、一体式计算机、便携式计算机、台式计算机的，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所提供的上述产品进行验收，必要时可以委托依法取得检测、认证资质的机构进行检测、认证。</w:t>
      </w:r>
      <w:r/>
    </w:p>
    <w:p>
      <w:pPr>
        <w:pStyle w:val="694"/>
        <w:ind w:firstLine="39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38</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38</w:t>
      </w:r>
      <w:r>
        <w:rPr>
          <w:rFonts w:hint="eastAsia" w:ascii="宋体" w:hAnsi="宋体"/>
          <w:color w:val="auto"/>
          <w:sz w:val="24"/>
          <w:highlight w:val="none"/>
        </w:rPr>
        <w:t xml:space="preserve">.1 优先采购各级政府部门公开发布的有效期内的创新产品、首台套等《目录》内的创新产品。创新产品自进入《目录》起2年内视同具备相应销售业绩。</w:t>
      </w:r>
      <w:r/>
    </w:p>
    <w:p>
      <w:pPr>
        <w:pStyle w:val="694"/>
        <w:ind w:firstLine="39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39</w:t>
      </w:r>
      <w:r>
        <w:rPr>
          <w:rFonts w:hint="eastAsia" w:ascii="方正楷体_GBK" w:hAnsi="方正楷体_GBK" w:eastAsia="方正楷体_GBK" w:cs="方正楷体_GBK"/>
          <w:color w:val="auto"/>
          <w:highlight w:val="none"/>
        </w:rPr>
        <w:t xml:space="preserve">.</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.1 </w:t>
      </w:r>
      <w:r>
        <w:rPr>
          <w:rFonts w:hint="eastAsia" w:ascii="宋体" w:hAnsi="宋体"/>
          <w:color w:val="auto"/>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4"/>
        <w:ind w:firstLine="39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0</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国务院办公厅关于在政府采购中实施本国产品标准及相关政策的通知</w:t>
      </w:r>
      <w:r>
        <w:rPr>
          <w:rFonts w:hint="eastAsia" w:ascii="宋体" w:hAnsi="宋体"/>
          <w:color w:val="auto"/>
          <w:sz w:val="24"/>
          <w:highlight w:val="none"/>
          <w:lang w:val="zh-CN"/>
        </w:rPr>
        <w:t xml:space="preserve">&gt;</w:t>
      </w:r>
      <w:r>
        <w:rPr>
          <w:rFonts w:hint="eastAsia" w:ascii="宋体" w:hAnsi="宋体"/>
          <w:color w:val="auto"/>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.2</w:t>
      </w:r>
      <w:r>
        <w:rPr>
          <w:rFonts w:hint="eastAsia" w:ascii="宋体" w:hAnsi="宋体"/>
          <w:color w:val="auto"/>
          <w:sz w:val="24"/>
          <w:szCs w:val="22"/>
          <w:highlight w:val="none"/>
          <w:lang w:val="zh-CN"/>
        </w:rPr>
        <w:t xml:space="preserve">本国产品应当符合以下条件：</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（1）在中国境内生产</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（3）特定产品的关键组件、关键工序符合相关要求</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提供其他证明材料。</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color w:val="auto"/>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
    </w:p>
    <w:p>
      <w:pPr>
        <w:pStyle w:val="956"/>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rPr>
          <w:rFonts w:hint="eastAsia" w:ascii="方正小标宋简体" w:hAnsi="方正小标宋简体" w:eastAsia="方正小标宋简体" w:cs="方正小标宋简体"/>
          <w:color w:val="auto"/>
          <w:sz w:val="36"/>
          <w:szCs w:val="36"/>
          <w:lang w:val="en-US"/>
        </w:rPr>
      </w:pPr>
      <w:r>
        <w:rPr>
          <w:rFonts w:hint="eastAsia" w:ascii="方正小标宋简体" w:hAnsi="方正小标宋简体" w:eastAsia="方正小标宋简体" w:cs="方正小标宋简体"/>
          <w:color w:val="auto"/>
          <w:sz w:val="36"/>
          <w:szCs w:val="36"/>
          <w:lang w:val="en-US"/>
        </w:rPr>
      </w:r>
      <w:r/>
    </w:p>
    <w:p>
      <w:pPr>
        <w:rPr>
          <w:rFonts w:hint="eastAsia" w:ascii="方正小标宋简体" w:hAnsi="方正小标宋简体" w:eastAsia="方正小标宋简体" w:cs="方正小标宋简体"/>
          <w:color w:val="auto"/>
          <w:sz w:val="36"/>
          <w:szCs w:val="36"/>
          <w:lang w:val="en-US"/>
        </w:rPr>
      </w:pPr>
      <w:r>
        <w:rPr>
          <w:rFonts w:hint="eastAsia" w:ascii="方正小标宋简体" w:hAnsi="方正小标宋简体" w:eastAsia="方正小标宋简体" w:cs="方正小标宋简体"/>
          <w:color w:val="auto"/>
          <w:sz w:val="36"/>
          <w:szCs w:val="36"/>
          <w:lang w:val="en-US"/>
        </w:rPr>
      </w:r>
      <w:r/>
    </w:p>
    <w:p>
      <w:pPr>
        <w:pStyle w:val="956"/>
        <w:ind w:left="0"/>
        <w:jc w:val="center"/>
        <w:rPr>
          <w:rFonts w:hint="eastAsia" w:ascii="黑体" w:hAnsi="Times New Roman" w:eastAsia="黑体" w:cs="Times New Roman"/>
          <w:color w:val="auto"/>
          <w:sz w:val="44"/>
          <w:szCs w:val="44"/>
        </w:rPr>
        <w:outlineLvl w:val="0"/>
      </w:pPr>
      <w:r>
        <w:rPr>
          <w:rFonts w:hint="eastAsia" w:ascii="方正小标宋简体" w:hAnsi="方正小标宋简体" w:eastAsia="方正小标宋简体" w:cs="方正小标宋简体"/>
          <w:color w:val="auto"/>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auto"/>
          <w:sz w:val="36"/>
          <w:szCs w:val="36"/>
          <w:lang w:val="en-US"/>
        </w:rPr>
        <w:t xml:space="preserve">文本</w:t>
      </w:r>
      <w:r/>
    </w:p>
    <w:p>
      <w:pPr>
        <w:ind w:firstLine="480"/>
        <w:spacing w:line="264" w:lineRule="auto"/>
        <w:rPr>
          <w:rFonts w:hint="eastAsia" w:ascii="宋体" w:hAnsi="宋体"/>
          <w:bCs/>
          <w:color w:val="auto"/>
          <w:sz w:val="24"/>
          <w:szCs w:val="21"/>
        </w:rPr>
      </w:pPr>
      <w:r/>
      <w:bookmarkStart w:id="48" w:name="_Toc16938559"/>
      <w:r/>
      <w:bookmarkStart w:id="49" w:name="_Toc513029243"/>
      <w:r/>
      <w:bookmarkStart w:id="50" w:name="_Toc20823315"/>
      <w:r/>
      <w:bookmarkStart w:id="51" w:name="_Hlt16619350"/>
      <w:r/>
      <w:bookmarkStart w:id="52" w:name="_Toc20823346"/>
      <w:r/>
      <w:bookmarkStart w:id="53" w:name="_Toc120614244"/>
      <w:r/>
      <w:bookmarkStart w:id="54" w:name="_Toc16938590"/>
      <w:r/>
      <w:bookmarkStart w:id="55" w:name="_Toc479757211"/>
      <w:r/>
      <w:bookmarkStart w:id="56" w:name="_Toc462564139"/>
      <w:r>
        <w:rPr>
          <w:rFonts w:hint="eastAsia" w:ascii="宋体" w:hAnsi="宋体"/>
          <w:bCs/>
          <w:color w:val="auto"/>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rPr>
      </w:pPr>
      <w:r>
        <w:rPr>
          <w:rFonts w:hint="eastAsia" w:ascii="宋体" w:hAnsi="宋体"/>
          <w:b/>
          <w:color w:val="auto"/>
          <w:sz w:val="30"/>
          <w:szCs w:val="21"/>
        </w:rPr>
      </w:r>
      <w:r/>
    </w:p>
    <w:p>
      <w:pPr>
        <w:jc w:val="center"/>
        <w:spacing w:before="145" w:after="145" w:line="264" w:lineRule="auto"/>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政府采购合同（货物）</w:t>
      </w:r>
      <w:r/>
    </w:p>
    <w:p>
      <w:pPr>
        <w:jc w:val="left"/>
        <w:spacing w:before="145" w:after="145" w:line="264" w:lineRule="auto"/>
        <w:rPr>
          <w:rFonts w:ascii="宋体" w:hAnsi="宋体" w:cs="Courier New"/>
          <w:color w:val="auto"/>
          <w:sz w:val="24"/>
          <w:szCs w:val="24"/>
        </w:rPr>
      </w:pPr>
      <w:r>
        <w:rPr>
          <w:rFonts w:ascii="宋体" w:hAnsi="宋体" w:cs="Courier New"/>
          <w:color w:val="auto"/>
          <w:sz w:val="24"/>
          <w:szCs w:val="24"/>
        </w:rPr>
        <w:t xml:space="preserve">合同编号：</w:t>
      </w:r>
      <w:r/>
    </w:p>
    <w:p>
      <w:pPr>
        <w:spacing w:before="145" w:after="145" w:line="264" w:lineRule="auto"/>
        <w:rPr>
          <w:rFonts w:ascii="宋体" w:hAnsi="宋体" w:cs="Courier New"/>
          <w:color w:val="auto"/>
          <w:sz w:val="24"/>
          <w:szCs w:val="24"/>
        </w:rPr>
      </w:pPr>
      <w:r>
        <w:rPr>
          <w:rFonts w:ascii="宋体" w:hAnsi="宋体" w:cs="Courier New"/>
          <w:color w:val="auto"/>
          <w:sz w:val="24"/>
          <w:szCs w:val="24"/>
        </w:rPr>
        <w:t xml:space="preserve">项目名称：                                       项目编号：</w:t>
      </w:r>
      <w:r/>
    </w:p>
    <w:p>
      <w:pPr>
        <w:jc w:val="left"/>
        <w:spacing w:before="145" w:after="145" w:line="264" w:lineRule="auto"/>
        <w:rPr>
          <w:rFonts w:ascii="宋体" w:hAnsi="宋体" w:cs="Courier New"/>
          <w:color w:val="auto"/>
          <w:sz w:val="24"/>
          <w:szCs w:val="24"/>
        </w:rPr>
      </w:pPr>
      <w:r>
        <w:rPr>
          <w:rFonts w:ascii="宋体" w:hAnsi="宋体" w:cs="Courier New"/>
          <w:color w:val="auto"/>
          <w:sz w:val="24"/>
          <w:szCs w:val="24"/>
        </w:rPr>
        <w:t xml:space="preserve">甲方（买方）：</w:t>
      </w:r>
      <w:r/>
    </w:p>
    <w:p>
      <w:pPr>
        <w:jc w:val="left"/>
        <w:spacing w:before="145" w:after="145" w:line="264" w:lineRule="auto"/>
        <w:rPr>
          <w:rFonts w:ascii="宋体" w:hAnsi="宋体" w:cs="Courier New"/>
          <w:color w:val="auto"/>
          <w:sz w:val="24"/>
          <w:szCs w:val="24"/>
        </w:rPr>
      </w:pPr>
      <w:r>
        <w:rPr>
          <w:rFonts w:ascii="宋体" w:hAnsi="宋体" w:cs="Courier New"/>
          <w:color w:val="auto"/>
          <w:sz w:val="24"/>
          <w:szCs w:val="24"/>
        </w:rPr>
        <w:t xml:space="preserve">乙方（卖方）：</w:t>
      </w:r>
      <w:r/>
    </w:p>
    <w:p>
      <w:pPr>
        <w:spacing w:line="264" w:lineRule="auto"/>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w:t>
      </w:r>
      <w:r>
        <w:rPr>
          <w:rFonts w:hint="eastAsia" w:ascii="宋体" w:hAnsi="宋体" w:cs="Courier New"/>
          <w:color w:val="auto"/>
          <w:sz w:val="24"/>
          <w:szCs w:val="24"/>
        </w:rPr>
        <w:t xml:space="preserve">，</w:t>
      </w:r>
      <w:r>
        <w:rPr>
          <w:rFonts w:ascii="宋体" w:hAnsi="宋体" w:cs="Courier New"/>
          <w:color w:val="auto"/>
          <w:sz w:val="24"/>
          <w:szCs w:val="24"/>
        </w:rPr>
        <w:t xml:space="preserve">签署本合同。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 标的名称：</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rFonts w:hint="eastAsia"/>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16"/>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乙方应按招标文件规定的时间向甲方提供货物</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包含与货物相关的服务</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的有关技术资料。</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hint="eastAsia" w:ascii="宋体" w:hAnsi="宋体" w:cs="Courier New"/>
          <w:color w:val="auto"/>
          <w:sz w:val="24"/>
          <w:szCs w:val="24"/>
        </w:rPr>
        <w:outlineLvl w:val="3"/>
      </w:pPr>
      <w:r>
        <w:rPr>
          <w:rFonts w:hint="eastAsia" w:ascii="宋体" w:hAnsi="宋体" w:cs="Courier New"/>
          <w:color w:val="auto"/>
          <w:sz w:val="24"/>
          <w:szCs w:val="24"/>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16"/>
        <w:spacing w:line="264" w:lineRule="auto"/>
        <w:rPr>
          <w:rFonts w:hint="eastAsia" w:hAnsi="宋体"/>
          <w:color w:val="auto"/>
          <w:sz w:val="24"/>
          <w:szCs w:val="24"/>
        </w:rPr>
        <w:outlineLvl w:val="3"/>
      </w:pPr>
      <w:r>
        <w:rPr>
          <w:rFonts w:hint="eastAsia" w:hAnsi="宋体"/>
          <w:color w:val="auto"/>
          <w:sz w:val="24"/>
          <w:szCs w:val="24"/>
        </w:rPr>
        <w:t xml:space="preserve">8.1 合同款项的支付方式及时间</w:t>
      </w:r>
      <w:r/>
    </w:p>
    <w:p>
      <w:pPr>
        <w:pStyle w:val="916"/>
        <w:spacing w:line="264" w:lineRule="auto"/>
        <w:rPr>
          <w:rFonts w:hint="eastAsia" w:hAnsi="宋体"/>
          <w:color w:val="auto"/>
          <w:sz w:val="24"/>
          <w:szCs w:val="24"/>
        </w:rPr>
      </w:pPr>
      <w:r>
        <w:rPr>
          <w:rFonts w:hint="eastAsia" w:hAnsi="宋体"/>
          <w:color w:val="auto"/>
          <w:sz w:val="24"/>
          <w:szCs w:val="24"/>
        </w:rPr>
        <w:t xml:space="preserve">8.1.1 合同签订后，甲方支付合同总价款的30%作为预付款。</w:t>
      </w:r>
      <w:r/>
    </w:p>
    <w:p>
      <w:pPr>
        <w:pStyle w:val="916"/>
        <w:spacing w:line="264" w:lineRule="auto"/>
        <w:rPr>
          <w:rFonts w:hint="eastAsia" w:hAnsi="宋体"/>
          <w:color w:val="auto"/>
          <w:sz w:val="24"/>
          <w:szCs w:val="24"/>
        </w:rPr>
      </w:pPr>
      <w:r>
        <w:rPr>
          <w:rFonts w:hint="eastAsia" w:hAnsi="宋体"/>
          <w:color w:val="auto"/>
          <w:sz w:val="24"/>
          <w:szCs w:val="24"/>
        </w:rPr>
        <w:t xml:space="preserve">8.1.2 供货结束并验收合格后，甲方支付合同总价款的70%。</w:t>
      </w:r>
      <w:r/>
    </w:p>
    <w:p>
      <w:pPr>
        <w:pStyle w:val="916"/>
        <w:spacing w:line="264" w:lineRule="auto"/>
        <w:rPr>
          <w:rFonts w:hint="eastAsia" w:hAnsi="宋体"/>
          <w:color w:val="auto"/>
          <w:sz w:val="24"/>
          <w:szCs w:val="24"/>
        </w:rPr>
      </w:pPr>
      <w:r>
        <w:rPr>
          <w:rFonts w:hint="eastAsia" w:hAnsi="宋体"/>
          <w:color w:val="auto"/>
          <w:sz w:val="24"/>
          <w:szCs w:val="24"/>
        </w:rPr>
        <w:t xml:space="preserve">8.1.3 满足合同约定支付条件的，甲方收到乙方发票后10个工作日内，将资金支付到合同约定的乙方账户。 </w:t>
      </w:r>
      <w:r/>
    </w:p>
    <w:p>
      <w:pPr>
        <w:pStyle w:val="916"/>
        <w:spacing w:line="264" w:lineRule="auto"/>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pStyle w:val="916"/>
        <w:spacing w:line="264" w:lineRule="auto"/>
        <w:rPr>
          <w:rFonts w:hint="eastAsia" w:hAnsi="宋体"/>
          <w:color w:val="auto"/>
          <w:sz w:val="24"/>
          <w:szCs w:val="24"/>
        </w:rPr>
      </w:pPr>
      <w:r>
        <w:rPr>
          <w:rFonts w:hint="eastAsia" w:hAnsi="宋体"/>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10.3 如在使用过程中发生质量问题，乙方应在接到甲方通知后</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小时内到达甲方现场。</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10.5 质保期为自交货验收合格之日起</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color w:val="auto"/>
        </w:rPr>
      </w:pPr>
      <w:r>
        <w:rPr>
          <w:rFonts w:hint="eastAsia" w:ascii="宋体" w:hAnsi="宋体" w:cs="Courier New"/>
          <w:color w:val="auto"/>
          <w:sz w:val="24"/>
          <w:szCs w:val="24"/>
        </w:rPr>
        <w:t xml:space="preserve">11.7</w:t>
      </w:r>
      <w:r>
        <w:rPr>
          <w:rFonts w:hint="eastAsia" w:ascii="宋体" w:hAnsi="宋体" w:cs="Courier New"/>
          <w:color w:val="auto"/>
          <w:sz w:val="24"/>
          <w:szCs w:val="24"/>
          <w:lang w:val="zh-CN"/>
        </w:rPr>
        <w:t xml:space="preserve">网络安全、</w:t>
      </w:r>
      <w:r>
        <w:rPr>
          <w:rFonts w:hint="eastAsia" w:ascii="宋体" w:hAnsi="宋体" w:cs="Courier New"/>
          <w:color w:val="auto"/>
          <w:sz w:val="24"/>
          <w:szCs w:val="24"/>
        </w:rPr>
        <w:t xml:space="preserve">市场准入</w:t>
      </w:r>
      <w:r>
        <w:rPr>
          <w:rFonts w:hint="eastAsia" w:ascii="宋体" w:hAnsi="宋体" w:cs="Courier New"/>
          <w:color w:val="auto"/>
          <w:sz w:val="24"/>
          <w:szCs w:val="24"/>
          <w:lang w:val="zh-CN"/>
        </w:rPr>
        <w:t xml:space="preserve">要求（</w:t>
      </w:r>
      <w:r>
        <w:rPr>
          <w:rFonts w:hint="eastAsia" w:ascii="宋体" w:hAnsi="宋体" w:cs="Courier New"/>
          <w:color w:val="auto"/>
          <w:sz w:val="24"/>
          <w:szCs w:val="24"/>
        </w:rPr>
        <w:t xml:space="preserve">如有</w:t>
      </w:r>
      <w:r>
        <w:rPr>
          <w:rFonts w:hint="eastAsia" w:ascii="宋体" w:hAnsi="宋体" w:cs="Courier New"/>
          <w:color w:val="auto"/>
          <w:sz w:val="24"/>
          <w:szCs w:val="24"/>
          <w:lang w:val="zh-CN"/>
        </w:rPr>
        <w:t xml:space="preserve">）：</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12.4 货物在交付甲方前发生的风险均由乙方负责。</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13.1 甲方无正当理由拒收货物</w:t>
      </w:r>
      <w:r>
        <w:rPr>
          <w:rFonts w:hint="eastAsia" w:ascii="宋体" w:hAnsi="宋体" w:cs="Courier New"/>
          <w:color w:val="auto"/>
          <w:sz w:val="24"/>
          <w:szCs w:val="24"/>
        </w:rPr>
        <w:t xml:space="preserve">的，应向乙方偿付拒收货物总价款</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百分之五</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13.2 甲方无故逾期验收和办理货款支付手续的，应按逾期付款总额每日</w:t>
      </w:r>
      <w:r>
        <w:rPr>
          <w:rFonts w:hint="eastAsia" w:ascii="宋体" w:hAnsi="宋体" w:cs="Courier New"/>
          <w:color w:val="auto"/>
          <w:sz w:val="24"/>
          <w:szCs w:val="24"/>
          <w:u w:val="single"/>
        </w:rPr>
        <w:t xml:space="preserve">万分之五</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ascii="宋体" w:hAnsi="宋体" w:cs="Courier New"/>
          <w:color w:val="auto"/>
          <w:sz w:val="24"/>
          <w:szCs w:val="24"/>
          <w:u w:val="single"/>
        </w:rPr>
        <w:t xml:space="preserve">百分之三十</w:t>
      </w:r>
      <w:r>
        <w:rPr>
          <w:rFonts w:ascii="宋体" w:hAnsi="宋体" w:cs="宋体"/>
          <w:color w:val="auto"/>
          <w:sz w:val="24"/>
          <w:szCs w:val="24"/>
        </w:rPr>
        <w:t xml:space="preserve">。</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13.3 乙方逾期交付货物的，应按逾期交货总额每日</w:t>
      </w:r>
      <w:r>
        <w:rPr>
          <w:rFonts w:hint="eastAsia" w:ascii="宋体" w:hAnsi="宋体" w:cs="Courier New"/>
          <w:color w:val="auto"/>
          <w:sz w:val="24"/>
          <w:szCs w:val="24"/>
          <w:u w:val="single"/>
        </w:rPr>
        <w:t xml:space="preserve">万分之五</w:t>
      </w:r>
      <w:r>
        <w:rPr>
          <w:rFonts w:hint="eastAsia" w:ascii="宋体" w:hAnsi="宋体" w:cs="Courier New"/>
          <w:color w:val="auto"/>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百分之五</w:t>
      </w:r>
      <w:r>
        <w:rPr>
          <w:rFonts w:hint="eastAsia" w:ascii="宋体" w:hAnsi="宋体" w:cs="Courier New"/>
          <w:color w:val="auto"/>
          <w:sz w:val="24"/>
          <w:szCs w:val="24"/>
        </w:rPr>
        <w:t xml:space="preserve">的违约金</w:t>
      </w:r>
      <w:r>
        <w:rPr>
          <w:rFonts w:hint="eastAsia" w:ascii="宋体" w:hAnsi="宋体" w:cs="Courier New"/>
          <w:color w:val="auto"/>
          <w:sz w:val="24"/>
          <w:szCs w:val="24"/>
        </w:rPr>
        <w:t xml:space="preserve">。 </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w:t>
      </w:r>
      <w:r>
        <w:rPr>
          <w:rFonts w:hint="eastAsia" w:ascii="方正黑体_GBK" w:hAnsi="方正黑体_GBK" w:eastAsia="方正黑体_GBK" w:cs="方正黑体_GBK"/>
          <w:bCs/>
          <w:color w:val="auto"/>
          <w:sz w:val="24"/>
          <w:szCs w:val="24"/>
          <w:lang w:val="en-US" w:eastAsia="zh-CN"/>
        </w:rPr>
        <w:t xml:space="preserve">他</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48"/>
      <w:r/>
      <w:bookmarkEnd w:id="49"/>
      <w:r/>
      <w:bookmarkEnd w:id="50"/>
      <w:r/>
      <w:r/>
    </w:p>
    <w:p>
      <w:pPr>
        <w:pStyle w:val="916"/>
        <w:spacing w:before="120" w:after="120" w:line="264" w:lineRule="auto"/>
        <w:rPr>
          <w:rFonts w:hint="eastAsia" w:hAnsi="宋体"/>
          <w:color w:val="auto"/>
          <w:sz w:val="24"/>
          <w:szCs w:val="24"/>
        </w:rPr>
      </w:pPr>
      <w:r/>
      <w:bookmarkStart w:id="57" w:name="_Hlt16619369"/>
      <w:r/>
      <w:bookmarkEnd w:id="57"/>
      <w:r>
        <w:rPr>
          <w:rFonts w:hint="eastAsia" w:hAnsi="宋体"/>
          <w:color w:val="auto"/>
          <w:sz w:val="24"/>
          <w:szCs w:val="24"/>
        </w:rPr>
        <w:t xml:space="preserve">  </w:t>
      </w:r>
      <w:r/>
    </w:p>
    <w:p>
      <w:pPr>
        <w:pStyle w:val="916"/>
        <w:spacing w:before="120" w:after="120" w:line="264" w:lineRule="auto"/>
        <w:rPr>
          <w:rFonts w:hint="eastAsia" w:hAnsi="宋体"/>
          <w:color w:val="auto"/>
          <w:sz w:val="24"/>
          <w:szCs w:val="24"/>
        </w:rPr>
      </w:pPr>
      <w:r>
        <w:rPr>
          <w:rFonts w:hint="eastAsia" w:hAnsi="宋体"/>
          <w:color w:val="auto"/>
          <w:sz w:val="24"/>
          <w:szCs w:val="24"/>
        </w:rPr>
        <w:t xml:space="preserve">甲  方：（公章）                       乙  方：（公章） </w:t>
      </w:r>
      <w:r/>
    </w:p>
    <w:p>
      <w:pPr>
        <w:pStyle w:val="916"/>
        <w:spacing w:before="120" w:after="120" w:line="264" w:lineRule="auto"/>
        <w:rPr>
          <w:rFonts w:hint="eastAsia" w:hAnsi="宋体"/>
          <w:color w:val="auto"/>
          <w:sz w:val="24"/>
          <w:szCs w:val="24"/>
        </w:rPr>
      </w:pPr>
      <w:r>
        <w:rPr>
          <w:rFonts w:hint="eastAsia" w:hAnsi="宋体"/>
          <w:color w:val="auto"/>
          <w:sz w:val="24"/>
          <w:szCs w:val="24"/>
        </w:rPr>
        <w:t xml:space="preserve">地  址：                               地  址： </w:t>
      </w:r>
      <w:r/>
    </w:p>
    <w:p>
      <w:pPr>
        <w:pStyle w:val="916"/>
        <w:spacing w:before="120" w:after="120" w:line="264" w:lineRule="auto"/>
        <w:rPr>
          <w:rFonts w:hint="eastAsia" w:hAnsi="宋体"/>
          <w:color w:val="auto"/>
          <w:sz w:val="24"/>
          <w:szCs w:val="24"/>
        </w:rPr>
      </w:pPr>
      <w:r>
        <w:rPr>
          <w:rFonts w:hint="eastAsia" w:hAnsi="宋体"/>
          <w:color w:val="auto"/>
          <w:sz w:val="24"/>
          <w:szCs w:val="24"/>
        </w:rPr>
        <w:t xml:space="preserve">法定代表人或授权代表：                 法定代表人或授权代表：</w:t>
      </w:r>
      <w:r/>
    </w:p>
    <w:p>
      <w:pPr>
        <w:pStyle w:val="916"/>
        <w:spacing w:before="120" w:after="120" w:line="264" w:lineRule="auto"/>
        <w:rPr>
          <w:rFonts w:hint="eastAsia" w:hAnsi="宋体"/>
          <w:color w:val="auto"/>
          <w:sz w:val="24"/>
          <w:szCs w:val="24"/>
        </w:rPr>
      </w:pPr>
      <w:r>
        <w:rPr>
          <w:rFonts w:hint="eastAsia" w:hAnsi="宋体"/>
          <w:color w:val="auto"/>
          <w:sz w:val="24"/>
          <w:szCs w:val="24"/>
        </w:rPr>
        <w:t xml:space="preserve">联系电话：                             联系电话：          </w:t>
      </w:r>
      <w:r/>
    </w:p>
    <w:p>
      <w:pPr>
        <w:pStyle w:val="916"/>
        <w:spacing w:before="120" w:after="120" w:line="264" w:lineRule="auto"/>
        <w:rPr>
          <w:rFonts w:hint="eastAsia" w:hAnsi="宋体"/>
          <w:color w:val="auto"/>
          <w:sz w:val="24"/>
          <w:szCs w:val="24"/>
        </w:rPr>
      </w:pPr>
      <w:r>
        <w:rPr>
          <w:rFonts w:hint="eastAsia" w:hAnsi="宋体"/>
          <w:color w:val="auto"/>
          <w:sz w:val="24"/>
          <w:szCs w:val="24"/>
        </w:rPr>
        <w:t xml:space="preserve">                                          </w:t>
      </w:r>
      <w:r/>
    </w:p>
    <w:p>
      <w:pPr>
        <w:pStyle w:val="916"/>
        <w:ind w:firstLine="4800"/>
        <w:spacing w:before="120" w:after="120" w:line="264" w:lineRule="auto"/>
        <w:rPr>
          <w:rFonts w:hint="eastAsia" w:hAnsi="宋体"/>
          <w:color w:val="auto"/>
          <w:sz w:val="24"/>
          <w:szCs w:val="24"/>
        </w:rPr>
      </w:pPr>
      <w:r>
        <w:rPr>
          <w:rFonts w:hint="eastAsia" w:hAnsi="宋体"/>
          <w:color w:val="auto"/>
          <w:sz w:val="24"/>
          <w:szCs w:val="24"/>
        </w:rPr>
        <w:t xml:space="preserve">签订日期：      </w:t>
      </w:r>
      <w:r/>
    </w:p>
    <w:p>
      <w:pPr>
        <w:jc w:val="center"/>
        <w:spacing w:before="145" w:after="145" w:line="264" w:lineRule="auto"/>
        <w:rPr>
          <w:rFonts w:hint="eastAsia" w:ascii="宋体" w:hAnsi="宋体"/>
          <w:b/>
          <w:color w:val="auto"/>
          <w:sz w:val="30"/>
          <w:szCs w:val="21"/>
        </w:rPr>
      </w:pPr>
      <w:r>
        <w:rPr>
          <w:rFonts w:hint="eastAsia" w:ascii="宋体" w:hAnsi="宋体"/>
          <w:b/>
          <w:color w:val="auto"/>
          <w:sz w:val="30"/>
          <w:szCs w:val="21"/>
        </w:rPr>
      </w:r>
      <w:r/>
    </w:p>
    <w:p>
      <w:pPr>
        <w:spacing w:before="145" w:after="145" w:line="264" w:lineRule="auto"/>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r>
      <w:r/>
    </w:p>
    <w:p>
      <w:pPr>
        <w:jc w:val="center"/>
        <w:spacing w:before="145" w:after="145" w:line="264" w:lineRule="auto"/>
        <w:rPr>
          <w:rFonts w:hint="eastAsia" w:ascii="方正小标宋简体" w:hAnsi="方正小标宋简体" w:eastAsia="方正小标宋简体" w:cs="方正小标宋简体"/>
          <w:bCs/>
          <w:color w:val="auto"/>
          <w:sz w:val="32"/>
          <w:szCs w:val="32"/>
        </w:rPr>
        <w:outlineLvl w:val="1"/>
      </w:pPr>
      <w:r>
        <w:rPr>
          <w:rFonts w:hint="eastAsia" w:ascii="方正小标宋简体" w:hAnsi="方正小标宋简体" w:eastAsia="方正小标宋简体" w:cs="方正小标宋简体"/>
          <w:bCs/>
          <w:color w:val="auto"/>
          <w:sz w:val="32"/>
          <w:szCs w:val="32"/>
        </w:rPr>
        <w:t xml:space="preserve">《*******合同》补充协议（合同附件）</w:t>
      </w:r>
      <w:r/>
    </w:p>
    <w:p>
      <w:pPr>
        <w:pStyle w:val="916"/>
        <w:ind w:firstLine="480"/>
        <w:jc w:val="left"/>
        <w:spacing w:before="120" w:after="120" w:line="264" w:lineRule="auto"/>
        <w:rPr>
          <w:rFonts w:hAnsi="宋体"/>
          <w:color w:val="auto"/>
          <w:sz w:val="24"/>
          <w:szCs w:val="24"/>
        </w:rPr>
      </w:pPr>
      <w:r>
        <w:rPr>
          <w:rFonts w:hint="eastAsia" w:hAnsi="宋体"/>
          <w:color w:val="auto"/>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ascii="黑体" w:hAnsi="Courier New" w:eastAsia="黑体" w:cs="Courier New"/>
          <w:bCs/>
          <w:color w:val="auto"/>
          <w:sz w:val="44"/>
          <w:szCs w:val="21"/>
        </w:rPr>
        <w:br w:type="page" w:clear="all"/>
      </w:r>
      <w:r>
        <w:rPr>
          <w:rFonts w:hint="eastAsia" w:ascii="方正小标宋简体" w:hAnsi="方正小标宋简体" w:eastAsia="方正小标宋简体" w:cs="方正小标宋简体"/>
          <w:color w:val="auto"/>
          <w:sz w:val="36"/>
          <w:szCs w:val="36"/>
        </w:rPr>
        <w:t xml:space="preserve">第</w:t>
      </w:r>
      <w:bookmarkEnd w:id="51"/>
      <w:r>
        <w:rPr>
          <w:rFonts w:hint="eastAsia" w:ascii="方正小标宋简体" w:hAnsi="方正小标宋简体" w:eastAsia="方正小标宋简体" w:cs="方正小标宋简体"/>
          <w:color w:val="auto"/>
          <w:sz w:val="36"/>
          <w:szCs w:val="36"/>
        </w:rPr>
        <w:t xml:space="preserve">四章  采购需求</w:t>
      </w:r>
      <w:bookmarkEnd w:id="52"/>
      <w:r/>
      <w:bookmarkEnd w:id="53"/>
      <w:r/>
      <w:bookmarkEnd w:id="54"/>
      <w:r/>
      <w:r/>
    </w:p>
    <w:p>
      <w:pPr>
        <w:ind w:firstLine="480"/>
        <w:spacing w:line="264" w:lineRule="auto"/>
        <w:rPr>
          <w:rFonts w:hint="eastAsia" w:ascii="宋体" w:hAnsi="宋体"/>
          <w:color w:val="auto"/>
          <w:sz w:val="24"/>
          <w:szCs w:val="24"/>
        </w:rPr>
      </w:pPr>
      <w:r/>
      <w:bookmarkStart w:id="58" w:name="_Toc49090575"/>
      <w:r/>
      <w:bookmarkStart w:id="59" w:name="_Toc26554093"/>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货物类项目。</w:t>
      </w:r>
      <w:r/>
    </w:p>
    <w:p>
      <w:pPr>
        <w:ind w:firstLine="480"/>
        <w:spacing w:line="264" w:lineRule="auto"/>
        <w:rPr>
          <w:rFonts w:hint="eastAsia" w:ascii="黑体" w:hAnsi="黑体" w:eastAsia="黑体" w:cs="黑体"/>
          <w:color w:val="auto"/>
          <w:sz w:val="24"/>
          <w:szCs w:val="24"/>
        </w:rPr>
        <w:outlineLvl w:val="2"/>
      </w:pPr>
      <w:r>
        <w:rPr>
          <w:rFonts w:hint="eastAsia" w:ascii="黑体" w:hAnsi="黑体" w:eastAsia="黑体" w:cs="黑体"/>
          <w:color w:val="auto"/>
          <w:sz w:val="24"/>
          <w:szCs w:val="24"/>
        </w:rPr>
        <w:t xml:space="preserve">二、项目概况</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（一）项目背景</w:t>
      </w:r>
      <w:r/>
    </w:p>
    <w:p>
      <w:pPr>
        <w:ind w:firstLine="480"/>
        <w:spacing w:line="264" w:lineRule="auto"/>
        <w:rPr>
          <w:rFonts w:hint="eastAsia" w:ascii="宋体" w:hAnsi="宋体" w:eastAsia="宋体" w:cs="宋体"/>
          <w:bCs/>
          <w:color w:val="auto"/>
          <w:sz w:val="24"/>
          <w:szCs w:val="24"/>
          <w:lang w:eastAsia="zh-CN"/>
        </w:rPr>
      </w:pPr>
      <w:r>
        <w:rPr>
          <w:rFonts w:ascii="宋体" w:hAnsi="宋体" w:cs="宋体"/>
          <w:bCs/>
          <w:color w:val="auto"/>
          <w:sz w:val="24"/>
          <w:szCs w:val="24"/>
        </w:rPr>
        <w:t xml:space="preserve">南京市紫金山小学增设一部电梯</w:t>
      </w:r>
      <w:r>
        <w:rPr>
          <w:rFonts w:hint="eastAsia" w:ascii="宋体" w:hAnsi="宋体" w:cs="宋体"/>
          <w:bCs/>
          <w:color w:val="auto"/>
          <w:sz w:val="24"/>
          <w:szCs w:val="24"/>
          <w:lang w:eastAsia="zh-CN"/>
        </w:rPr>
        <w:t xml:space="preserve">。</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（二）项目建设遵循标准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所投产品满足招标文件产品标准和规范要求及《特种设备安全监察条例》、《电梯检验规则》最新的要求，同时应达到下列标准和规范最新版本的要求：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1.</w:t>
      </w:r>
      <w:r>
        <w:rPr>
          <w:rFonts w:hint="eastAsia" w:ascii="宋体" w:hAnsi="宋体" w:cs="宋体"/>
          <w:bCs/>
          <w:color w:val="auto"/>
          <w:sz w:val="24"/>
          <w:szCs w:val="24"/>
        </w:rPr>
        <w:t xml:space="preserve">GB/T7588《电梯制造与安装安全规范》</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GB/T10058《电梯技术条件》</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GB/T10059《电梯试验方法》</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GB/T10060《电梯安装验收规范》</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5.</w:t>
      </w:r>
      <w:r>
        <w:rPr>
          <w:rFonts w:hint="eastAsia" w:ascii="宋体" w:hAnsi="宋体" w:cs="宋体"/>
          <w:bCs/>
          <w:color w:val="auto"/>
          <w:sz w:val="24"/>
          <w:szCs w:val="24"/>
        </w:rPr>
        <w:t xml:space="preserve">其他与电梯相关的国家、行业和地方的法律法规、规范规程、标准、图集。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采购文件涉及标准中未标年号的一律采用最新的标准；随着标准的修订，以修订后的最新标准为依据。除上述规范标准以外，须遵循国家、行业及地方现行的规范和标准要求。</w:t>
      </w:r>
      <w:r/>
    </w:p>
    <w:p>
      <w:pPr>
        <w:ind w:firstLine="480"/>
        <w:spacing w:line="264" w:lineRule="auto"/>
        <w:rPr>
          <w:color w:val="auto"/>
        </w:rPr>
        <w:outlineLvl w:val="2"/>
      </w:pPr>
      <w:r>
        <w:rPr>
          <w:rFonts w:hint="eastAsia" w:ascii="黑体" w:hAnsi="黑体" w:eastAsia="黑体" w:cs="黑体"/>
          <w:color w:val="auto"/>
          <w:sz w:val="24"/>
          <w:szCs w:val="24"/>
        </w:rPr>
        <w:t xml:space="preserve">三、项目清单</w:t>
      </w:r>
      <w:r/>
    </w:p>
    <w:tbl>
      <w:tblPr>
        <w:tblStyle w:val="701"/>
        <w:tblW w:w="5077"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13"/>
        <w:gridCol w:w="2190"/>
        <w:gridCol w:w="704"/>
        <w:gridCol w:w="655"/>
        <w:gridCol w:w="1409"/>
        <w:gridCol w:w="1191"/>
        <w:gridCol w:w="1120"/>
        <w:gridCol w:w="1099"/>
        <w:gridCol w:w="831"/>
      </w:tblGrid>
      <w:tr>
        <w:trPr>
          <w:trHeight w:val="470"/>
        </w:trPr>
        <w:tc>
          <w:tcPr>
            <w:tcW w:w="37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W w:w="1144"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分项名称</w:t>
            </w:r>
            <w:r/>
          </w:p>
        </w:tc>
        <w:tc>
          <w:tcPr>
            <w:tcW w:w="368"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数量</w:t>
            </w:r>
            <w:r/>
          </w:p>
        </w:tc>
        <w:tc>
          <w:tcPr>
            <w:tcW w:w="342"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单位</w:t>
            </w:r>
            <w:r/>
          </w:p>
        </w:tc>
        <w:tc>
          <w:tcPr>
            <w:tcW w:w="558"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单价上限</w:t>
            </w:r>
            <w:r/>
          </w:p>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（元）</w:t>
            </w:r>
            <w:r/>
          </w:p>
        </w:tc>
        <w:tc>
          <w:tcPr>
            <w:tcW w:w="622"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产品类型</w:t>
            </w:r>
            <w:r/>
          </w:p>
        </w:tc>
        <w:tc>
          <w:tcPr>
            <w:tcW w:w="585"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所属行业</w:t>
            </w:r>
            <w:r/>
          </w:p>
        </w:tc>
        <w:tc>
          <w:tcPr>
            <w:tcW w:w="574"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属性</w:t>
            </w:r>
            <w:r/>
          </w:p>
        </w:tc>
        <w:tc>
          <w:tcPr>
            <w:tcW w:w="434"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备注</w:t>
            </w:r>
            <w:r/>
          </w:p>
        </w:tc>
      </w:tr>
      <w:tr>
        <w:trPr>
          <w:trHeight w:val="414"/>
        </w:trPr>
        <w:tc>
          <w:tcPr>
            <w:tcW w:w="373"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1144"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lang w:val="zh-CN"/>
              </w:rPr>
              <w:t xml:space="preserve">无机房客梯</w:t>
            </w:r>
            <w:r/>
          </w:p>
        </w:tc>
        <w:tc>
          <w:tcPr>
            <w:tcW w:w="368"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lang w:val="zh-CN"/>
              </w:rPr>
              <w:t xml:space="preserve">1</w:t>
            </w:r>
            <w:r/>
          </w:p>
        </w:tc>
        <w:tc>
          <w:tcPr>
            <w:tcW w:w="342"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lang w:val="zh-CN"/>
              </w:rPr>
              <w:t xml:space="preserve">台</w:t>
            </w:r>
            <w:r/>
          </w:p>
        </w:tc>
        <w:tc>
          <w:tcPr>
            <w:tcW w:w="558"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260000</w:t>
            </w:r>
            <w:r/>
          </w:p>
        </w:tc>
        <w:tc>
          <w:tcPr>
            <w:tcW w:w="622"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
                <w:color w:val="auto"/>
                <w:sz w:val="24"/>
                <w:szCs w:val="24"/>
                <w:lang w:val="zh-CN"/>
              </w:rPr>
              <w:t xml:space="preserve">核心产品</w:t>
            </w:r>
            <w:r/>
          </w:p>
        </w:tc>
        <w:tc>
          <w:tcPr>
            <w:tcW w:w="585"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lang w:val="zh-CN"/>
              </w:rPr>
              <w:t xml:space="preserve">工业</w:t>
            </w:r>
            <w:r/>
          </w:p>
        </w:tc>
        <w:tc>
          <w:tcPr>
            <w:tcW w:w="574"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lang w:val="zh-CN"/>
              </w:rPr>
              <w:t xml:space="preserve">货物</w:t>
            </w:r>
            <w:r/>
          </w:p>
        </w:tc>
        <w:tc>
          <w:tcPr>
            <w:tcW w:w="434"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r>
    </w:tbl>
    <w:p>
      <w:pPr>
        <w:ind w:firstLine="480"/>
        <w:spacing w:line="264" w:lineRule="auto"/>
        <w:rPr>
          <w:rFonts w:hint="eastAsia" w:ascii="宋体" w:hAnsi="宋体" w:cs="宋体"/>
          <w:b/>
          <w:color w:val="auto"/>
          <w:sz w:val="24"/>
          <w:szCs w:val="24"/>
        </w:rPr>
        <w:outlineLvl w:val="2"/>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（一）技术要求</w:t>
      </w:r>
      <w:r/>
    </w:p>
    <w:tbl>
      <w:tblPr>
        <w:tblStyle w:val="701"/>
        <w:tblW w:w="99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jc w:val="center"/>
          <w:trHeight w:val="90"/>
        </w:trPr>
        <w:tc>
          <w:tcPr>
            <w:shd w:val="clear" w:color="000000" w:fill="ffffff"/>
            <w:tcW w:w="1172" w:type="dxa"/>
            <w:vAlign w:val="center"/>
            <w:textDirection w:val="lrTb"/>
            <w:noWrap w:val="false"/>
          </w:tcPr>
          <w:p>
            <w:pPr>
              <w:jc w:val="center"/>
              <w:rPr>
                <w:rFonts w:hint="eastAsia" w:ascii="宋体" w:hAnsi="宋体"/>
                <w:color w:val="auto"/>
                <w:sz w:val="22"/>
                <w:szCs w:val="24"/>
                <w:lang w:val="zh-CN"/>
              </w:rPr>
            </w:pPr>
            <w:r>
              <w:rPr>
                <w:rFonts w:hint="eastAsia" w:ascii="宋体" w:hAnsi="宋体"/>
                <w:color w:val="auto"/>
                <w:szCs w:val="24"/>
                <w:lang w:val="zh-CN"/>
              </w:rPr>
              <w:t xml:space="preserve">产品名称</w:t>
            </w:r>
            <w:r/>
          </w:p>
        </w:tc>
        <w:tc>
          <w:tcPr>
            <w:shd w:val="clear" w:color="000000" w:fill="ffffff"/>
            <w:tcW w:w="1594" w:type="dxa"/>
            <w:vAlign w:val="center"/>
            <w:textDirection w:val="lrTb"/>
            <w:noWrap w:val="false"/>
          </w:tcPr>
          <w:p>
            <w:pPr>
              <w:jc w:val="center"/>
              <w:rPr>
                <w:rFonts w:hint="eastAsia" w:ascii="宋体" w:hAnsi="宋体"/>
                <w:color w:val="auto"/>
                <w:sz w:val="22"/>
                <w:szCs w:val="24"/>
                <w:lang w:val="zh-CN"/>
              </w:rPr>
            </w:pPr>
            <w:r>
              <w:rPr>
                <w:rFonts w:hint="eastAsia" w:ascii="宋体" w:hAnsi="宋体"/>
                <w:color w:val="auto"/>
                <w:szCs w:val="24"/>
                <w:lang w:val="zh-CN"/>
              </w:rPr>
              <w:t xml:space="preserve">技术品目号</w:t>
            </w:r>
            <w:r/>
          </w:p>
        </w:tc>
        <w:tc>
          <w:tcPr>
            <w:gridSpan w:val="4"/>
            <w:shd w:val="clear" w:color="000000" w:fill="ffffff"/>
            <w:tcW w:w="7175" w:type="dxa"/>
            <w:vAlign w:val="center"/>
            <w:textDirection w:val="lrTb"/>
            <w:noWrap w:val="false"/>
          </w:tcPr>
          <w:p>
            <w:pPr>
              <w:jc w:val="center"/>
              <w:rPr>
                <w:rFonts w:hint="eastAsia" w:ascii="宋体" w:hAnsi="宋体"/>
                <w:color w:val="auto"/>
                <w:sz w:val="22"/>
                <w:szCs w:val="24"/>
                <w:lang w:val="zh-CN"/>
              </w:rPr>
            </w:pPr>
            <w:r>
              <w:rPr>
                <w:rFonts w:hint="eastAsia" w:ascii="宋体" w:hAnsi="宋体" w:cs="宋体"/>
                <w:b/>
                <w:color w:val="auto"/>
                <w:sz w:val="24"/>
                <w:szCs w:val="24"/>
              </w:rPr>
              <w:t xml:space="preserve">功能、性能、配置要求不低于以下要求</w:t>
            </w:r>
            <w:r/>
          </w:p>
        </w:tc>
      </w:tr>
      <w:tr>
        <w:trPr>
          <w:jc w:val="center"/>
          <w:trHeight w:val="1"/>
        </w:trPr>
        <w:tc>
          <w:tcPr>
            <w:shd w:val="clear" w:color="000000" w:fill="ffffff"/>
            <w:tcW w:w="1172" w:type="dxa"/>
            <w:vAlign w:val="center"/>
            <w:vMerge w:val="restart"/>
            <w:textDirection w:val="lrTb"/>
            <w:noWrap w:val="false"/>
          </w:tcPr>
          <w:p>
            <w:pPr>
              <w:jc w:val="center"/>
              <w:rPr>
                <w:rFonts w:ascii="宋体" w:hAnsi="宋体"/>
                <w:color w:val="auto"/>
                <w:sz w:val="22"/>
                <w:szCs w:val="24"/>
              </w:rPr>
            </w:pPr>
            <w:r>
              <w:rPr>
                <w:rFonts w:hint="eastAsia" w:ascii="宋体" w:hAnsi="宋体"/>
                <w:color w:val="auto"/>
                <w:szCs w:val="24"/>
              </w:rPr>
              <w:t xml:space="preserve">无机房客梯</w:t>
            </w:r>
            <w:r/>
          </w:p>
        </w:tc>
        <w:tc>
          <w:tcPr>
            <w:shd w:val="clear" w:color="000000" w:fill="ffffff"/>
            <w:tcW w:w="1594" w:type="dxa"/>
            <w:vAlign w:val="center"/>
            <w:vMerge w:val="restart"/>
            <w:textDirection w:val="lrTb"/>
            <w:noWrap w:val="false"/>
          </w:tcPr>
          <w:p>
            <w:pPr>
              <w:jc w:val="center"/>
              <w:rPr>
                <w:rFonts w:hint="eastAsia" w:ascii="宋体" w:hAnsi="宋体"/>
                <w:color w:val="auto"/>
                <w:sz w:val="22"/>
                <w:szCs w:val="24"/>
                <w:lang w:val="zh-CN"/>
              </w:rPr>
            </w:pPr>
            <w:r>
              <w:rPr>
                <w:rFonts w:hint="eastAsia" w:ascii="宋体" w:hAnsi="宋体"/>
                <w:color w:val="auto"/>
                <w:szCs w:val="24"/>
                <w:lang w:val="zh-CN"/>
              </w:rPr>
              <w:t xml:space="preserve">建筑尺寸（尺寸仅供参考，待中标后勘察现场</w:t>
            </w:r>
            <w:r>
              <w:rPr>
                <w:rFonts w:hint="eastAsia" w:ascii="宋体" w:hAnsi="宋体"/>
                <w:color w:val="auto"/>
                <w:szCs w:val="24"/>
              </w:rPr>
              <w:t xml:space="preserve">确认最终尺寸</w:t>
            </w:r>
            <w:r>
              <w:rPr>
                <w:rFonts w:hint="eastAsia" w:ascii="宋体" w:hAnsi="宋体"/>
                <w:color w:val="auto"/>
                <w:szCs w:val="24"/>
                <w:lang w:val="zh-CN"/>
              </w:rPr>
              <w:t xml:space="preserve">）</w:t>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井道尺寸（宽*深mm）</w:t>
            </w:r>
            <w:r/>
          </w:p>
        </w:tc>
        <w:tc>
          <w:tcPr>
            <w:shd w:val="clear" w:color="000000" w:fill="ffffff"/>
            <w:tcW w:w="3820" w:type="dxa"/>
            <w:vAlign w:val="center"/>
            <w:textDirection w:val="lrTb"/>
            <w:noWrap w:val="false"/>
          </w:tcPr>
          <w:p>
            <w:pPr>
              <w:jc w:val="left"/>
              <w:rPr>
                <w:rFonts w:hint="eastAsia" w:ascii="宋体" w:hAnsi="宋体"/>
                <w:color w:val="auto"/>
                <w:sz w:val="22"/>
                <w:szCs w:val="24"/>
              </w:rPr>
            </w:pPr>
            <w:r>
              <w:rPr>
                <w:rFonts w:hint="eastAsia" w:ascii="宋体" w:hAnsi="宋体" w:cs="宋体"/>
                <w:color w:val="auto"/>
                <w:szCs w:val="21"/>
                <w:lang w:bidi="ar"/>
              </w:rPr>
              <w:t xml:space="preserve">2200*2250</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widowControl/>
              <w:rPr>
                <w:rFonts w:hint="eastAsia" w:ascii="宋体" w:hAnsi="宋体"/>
                <w:color w:val="auto"/>
                <w:sz w:val="22"/>
                <w:szCs w:val="24"/>
                <w:lang w:val="zh-CN"/>
              </w:rPr>
            </w:pPr>
            <w:r>
              <w:rPr>
                <w:rFonts w:hint="eastAsia" w:ascii="宋体" w:hAnsi="宋体" w:cs="宋体"/>
                <w:color w:val="auto"/>
                <w:szCs w:val="21"/>
                <w:lang w:bidi="ar"/>
              </w:rPr>
              <w:t xml:space="preserve">厅门尺寸（宽*高mm）</w:t>
            </w:r>
            <w:r/>
          </w:p>
        </w:tc>
        <w:tc>
          <w:tcPr>
            <w:shd w:val="clear" w:color="000000" w:fill="ffffff"/>
            <w:tcW w:w="3820" w:type="dxa"/>
            <w:vAlign w:val="center"/>
            <w:textDirection w:val="lrTb"/>
            <w:noWrap w:val="false"/>
          </w:tcPr>
          <w:p>
            <w:pPr>
              <w:jc w:val="left"/>
              <w:widowControl/>
              <w:rPr>
                <w:rFonts w:hint="eastAsia" w:ascii="宋体" w:hAnsi="宋体"/>
                <w:color w:val="auto"/>
                <w:sz w:val="22"/>
                <w:szCs w:val="24"/>
                <w:lang w:val="zh-CN"/>
              </w:rPr>
            </w:pPr>
            <w:r>
              <w:rPr>
                <w:rFonts w:hint="eastAsia" w:ascii="宋体" w:hAnsi="宋体" w:cs="宋体"/>
                <w:color w:val="auto"/>
                <w:szCs w:val="21"/>
                <w:lang w:bidi="ar"/>
              </w:rPr>
              <w:t xml:space="preserve">900*2100</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rPr>
                <w:rFonts w:hint="eastAsia" w:ascii="宋体" w:hAnsi="宋体"/>
                <w:color w:val="auto"/>
                <w:sz w:val="22"/>
                <w:szCs w:val="24"/>
                <w:lang w:val="zh-CN"/>
              </w:rPr>
            </w:pPr>
            <w:r>
              <w:rPr>
                <w:rFonts w:hint="eastAsia" w:ascii="宋体" w:hAnsi="宋体"/>
                <w:color w:val="auto"/>
                <w:szCs w:val="24"/>
                <w:lang w:val="zh-CN"/>
              </w:rPr>
              <w:t xml:space="preserve">轿厢尺寸（宽*深*高mm）</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1</w:t>
            </w:r>
            <w:r>
              <w:rPr>
                <w:rFonts w:hint="eastAsia" w:ascii="宋体" w:hAnsi="宋体"/>
                <w:color w:val="auto"/>
                <w:szCs w:val="24"/>
              </w:rPr>
              <w:t xml:space="preserve">5</w:t>
            </w:r>
            <w:r>
              <w:rPr>
                <w:rFonts w:hint="eastAsia" w:ascii="宋体" w:hAnsi="宋体"/>
                <w:color w:val="auto"/>
                <w:szCs w:val="24"/>
                <w:lang w:val="zh-CN"/>
              </w:rPr>
              <w:t xml:space="preserve">00*1</w:t>
            </w:r>
            <w:r>
              <w:rPr>
                <w:rFonts w:hint="eastAsia" w:ascii="宋体" w:hAnsi="宋体"/>
                <w:color w:val="auto"/>
                <w:szCs w:val="24"/>
              </w:rPr>
              <w:t xml:space="preserve">6</w:t>
            </w:r>
            <w:r>
              <w:rPr>
                <w:rFonts w:hint="eastAsia" w:ascii="宋体" w:hAnsi="宋体"/>
                <w:color w:val="auto"/>
                <w:szCs w:val="24"/>
                <w:lang w:val="zh-CN"/>
              </w:rPr>
              <w:t xml:space="preserve">00*2400</w:t>
            </w:r>
            <w:r/>
          </w:p>
        </w:tc>
      </w:tr>
      <w:tr>
        <w:trPr>
          <w:jc w:val="center"/>
          <w:trHeight w:val="244"/>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rPr>
                <w:rFonts w:hint="eastAsia" w:ascii="宋体" w:hAnsi="宋体"/>
                <w:color w:val="auto"/>
                <w:sz w:val="22"/>
                <w:szCs w:val="24"/>
                <w:lang w:val="zh-CN"/>
              </w:rPr>
            </w:pPr>
            <w:r>
              <w:rPr>
                <w:rFonts w:hint="eastAsia" w:ascii="宋体" w:hAnsi="宋体"/>
                <w:color w:val="auto"/>
                <w:szCs w:val="24"/>
                <w:lang w:val="zh-CN"/>
              </w:rPr>
              <w:t xml:space="preserve">顶层高度（mm）</w:t>
            </w:r>
            <w:r/>
          </w:p>
        </w:tc>
        <w:tc>
          <w:tcPr>
            <w:shd w:val="clear" w:color="000000" w:fill="ffffff"/>
            <w:tcW w:w="3820" w:type="dxa"/>
            <w:vAlign w:val="center"/>
            <w:textDirection w:val="lrTb"/>
            <w:noWrap w:val="false"/>
          </w:tcPr>
          <w:p>
            <w:pPr>
              <w:rPr>
                <w:rFonts w:hint="eastAsia" w:ascii="宋体" w:hAnsi="宋体"/>
                <w:color w:val="auto"/>
                <w:sz w:val="22"/>
                <w:szCs w:val="24"/>
              </w:rPr>
            </w:pPr>
            <w:r>
              <w:rPr>
                <w:rFonts w:hint="eastAsia" w:ascii="宋体" w:hAnsi="宋体"/>
                <w:color w:val="auto"/>
                <w:szCs w:val="24"/>
                <w:lang w:val="zh-CN"/>
              </w:rPr>
              <w:t xml:space="preserve">4</w:t>
            </w:r>
            <w:r>
              <w:rPr>
                <w:rFonts w:hint="eastAsia" w:ascii="宋体" w:hAnsi="宋体"/>
                <w:color w:val="auto"/>
                <w:szCs w:val="24"/>
              </w:rPr>
              <w:t xml:space="preserve">850</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底坑深度（mm）</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1</w:t>
            </w:r>
            <w:r>
              <w:rPr>
                <w:rFonts w:hint="eastAsia" w:ascii="宋体" w:hAnsi="宋体"/>
                <w:color w:val="auto"/>
                <w:szCs w:val="24"/>
              </w:rPr>
              <w:t xml:space="preserve">6</w:t>
            </w:r>
            <w:r>
              <w:rPr>
                <w:rFonts w:hint="eastAsia" w:ascii="宋体" w:hAnsi="宋体"/>
                <w:color w:val="auto"/>
                <w:szCs w:val="24"/>
                <w:lang w:val="zh-CN"/>
              </w:rPr>
              <w:t xml:space="preserve">00</w:t>
            </w:r>
            <w:r/>
          </w:p>
        </w:tc>
      </w:tr>
      <w:tr>
        <w:trPr>
          <w:jc w:val="center"/>
          <w:trHeight w:val="366"/>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提升高度（m）</w:t>
            </w:r>
            <w:r/>
          </w:p>
        </w:tc>
        <w:tc>
          <w:tcPr>
            <w:shd w:val="clear" w:color="000000" w:fill="ffffff"/>
            <w:tcW w:w="3820" w:type="dxa"/>
            <w:vAlign w:val="center"/>
            <w:textDirection w:val="lrTb"/>
            <w:noWrap w:val="false"/>
          </w:tcPr>
          <w:p>
            <w:pPr>
              <w:jc w:val="left"/>
              <w:rPr>
                <w:rFonts w:hint="eastAsia" w:ascii="宋体" w:hAnsi="宋体"/>
                <w:color w:val="auto"/>
                <w:sz w:val="22"/>
                <w:szCs w:val="24"/>
              </w:rPr>
            </w:pPr>
            <w:r>
              <w:rPr>
                <w:rFonts w:hint="eastAsia" w:ascii="宋体" w:hAnsi="宋体"/>
                <w:color w:val="auto"/>
                <w:sz w:val="22"/>
                <w:szCs w:val="24"/>
              </w:rPr>
              <w:t xml:space="preserve">12</w:t>
            </w:r>
            <w:r/>
          </w:p>
        </w:tc>
      </w:tr>
      <w:tr>
        <w:trPr>
          <w:jc w:val="center"/>
          <w:trHeight w:val="285"/>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auto"/>
                <w:sz w:val="22"/>
                <w:szCs w:val="24"/>
                <w:lang w:val="zh-CN"/>
              </w:rPr>
            </w:pPr>
            <w:r>
              <w:rPr>
                <w:rFonts w:hint="eastAsia" w:ascii="宋体" w:hAnsi="宋体"/>
                <w:color w:val="auto"/>
                <w:szCs w:val="24"/>
                <w:lang w:val="zh-CN"/>
              </w:rPr>
              <w:t xml:space="preserve">★配置要求</w:t>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载重（kg）</w:t>
            </w:r>
            <w:r/>
          </w:p>
        </w:tc>
        <w:tc>
          <w:tcPr>
            <w:shd w:val="clear" w:color="000000" w:fill="ffffff"/>
            <w:tcW w:w="3820" w:type="dxa"/>
            <w:vAlign w:val="center"/>
            <w:textDirection w:val="lrTb"/>
            <w:noWrap w:val="false"/>
          </w:tcPr>
          <w:p>
            <w:pPr>
              <w:jc w:val="left"/>
              <w:rPr>
                <w:rFonts w:hint="eastAsia" w:ascii="宋体" w:hAnsi="宋体"/>
                <w:color w:val="auto"/>
                <w:sz w:val="22"/>
                <w:szCs w:val="24"/>
              </w:rPr>
            </w:pPr>
            <w:r>
              <w:rPr>
                <w:rFonts w:hint="eastAsia" w:ascii="宋体" w:hAnsi="宋体"/>
                <w:color w:val="auto"/>
                <w:szCs w:val="24"/>
              </w:rPr>
              <w:t xml:space="preserve">1000</w:t>
            </w:r>
            <w:r/>
          </w:p>
        </w:tc>
      </w:tr>
      <w:tr>
        <w:trPr>
          <w:jc w:val="center"/>
          <w:trHeight w:val="9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速度（m/s）</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1.0</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层站门</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rPr>
              <w:t xml:space="preserve">4</w:t>
            </w:r>
            <w:r>
              <w:rPr>
                <w:rFonts w:hint="eastAsia" w:ascii="宋体" w:hAnsi="宋体"/>
                <w:color w:val="auto"/>
                <w:szCs w:val="24"/>
                <w:lang w:val="zh-CN"/>
              </w:rPr>
              <w:t xml:space="preserve">/</w:t>
            </w:r>
            <w:r>
              <w:rPr>
                <w:rFonts w:hint="eastAsia" w:ascii="宋体" w:hAnsi="宋体"/>
                <w:color w:val="auto"/>
                <w:szCs w:val="24"/>
              </w:rPr>
              <w:t xml:space="preserve">4/4</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驱动方式</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变频驱动</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传动方式</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永磁同步无齿轮曳引机</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门机系统</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rPr>
              <w:t xml:space="preserve">变频变压调速（VVVF）,要求调速平滑，运行可靠</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开门方式</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双扇自动中分门</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门保护装置</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光幕，不小于128束</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电源适应</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拖动电源：交流三相五线380V</w:t>
            </w:r>
            <w:r>
              <w:rPr>
                <w:rFonts w:hint="eastAsia" w:ascii="宋体" w:hAnsi="宋体"/>
                <w:color w:val="auto"/>
                <w:szCs w:val="24"/>
              </w:rPr>
              <w:t xml:space="preserve">±7%、50Hz；照明电源：交流单相220V±7%、50Hz</w:t>
            </w:r>
            <w:r/>
          </w:p>
        </w:tc>
      </w:tr>
      <w:tr>
        <w:trPr>
          <w:jc w:val="center"/>
          <w:trHeight w:val="285"/>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auto"/>
                <w:sz w:val="22"/>
                <w:szCs w:val="24"/>
                <w:lang w:val="zh-CN"/>
              </w:rPr>
            </w:pPr>
            <w:r>
              <w:rPr>
                <w:rFonts w:hint="eastAsia" w:ascii="宋体" w:hAnsi="宋体"/>
                <w:color w:val="auto"/>
                <w:szCs w:val="24"/>
                <w:lang w:val="zh-CN"/>
              </w:rPr>
              <w:t xml:space="preserve">性能要求</w:t>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额定速度允许误差</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符合国标</w:t>
            </w:r>
            <w:r/>
          </w:p>
        </w:tc>
      </w:tr>
      <w:tr>
        <w:trPr>
          <w:jc w:val="center"/>
          <w:trHeight w:val="9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乘客电梯轿厢运行时垂直方向和水平方向的振动加速度</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符合国标</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平层准确度</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w:t>
            </w:r>
            <w:r>
              <w:rPr>
                <w:rFonts w:hint="eastAsia" w:ascii="宋体" w:hAnsi="宋体"/>
                <w:color w:val="auto"/>
                <w:szCs w:val="24"/>
              </w:rPr>
              <w:t xml:space="preserve">±5mm</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3"/>
            <w:shd w:val="clear" w:color="000000" w:fill="ffffff"/>
            <w:tcW w:w="335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噪声</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符合国标</w:t>
            </w:r>
            <w:r/>
          </w:p>
        </w:tc>
      </w:tr>
      <w:tr>
        <w:trPr>
          <w:jc w:val="center"/>
          <w:trHeight w:val="9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auto"/>
                <w:szCs w:val="24"/>
                <w:lang w:val="zh-CN"/>
              </w:rPr>
            </w:pPr>
            <w:r>
              <w:rPr>
                <w:rFonts w:hint="eastAsia" w:ascii="宋体" w:hAnsi="宋体"/>
                <w:color w:val="auto"/>
                <w:szCs w:val="24"/>
                <w:lang w:val="zh-CN"/>
              </w:rPr>
              <w:t xml:space="preserve">内外装饰要求</w:t>
            </w:r>
            <w:r/>
          </w:p>
        </w:tc>
        <w:tc>
          <w:tcPr>
            <w:shd w:val="clear" w:color="000000" w:fill="ffffff"/>
            <w:tcW w:w="784" w:type="dxa"/>
            <w:vAlign w:val="center"/>
            <w:vMerge w:val="restart"/>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轿厢</w:t>
            </w:r>
            <w:r/>
          </w:p>
        </w:tc>
        <w:tc>
          <w:tcPr>
            <w:gridSpan w:val="2"/>
            <w:shd w:val="clear" w:color="000000" w:fill="ffffff"/>
            <w:tcW w:w="2571" w:type="dxa"/>
            <w:vAlign w:val="center"/>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轿厢顶</w:t>
            </w:r>
            <w:r/>
          </w:p>
        </w:tc>
        <w:tc>
          <w:tcPr>
            <w:shd w:val="clear" w:color="000000" w:fill="ffffff"/>
            <w:tcW w:w="3820" w:type="dxa"/>
            <w:vAlign w:val="center"/>
            <w:textDirection w:val="lrTb"/>
            <w:noWrap w:val="false"/>
          </w:tcPr>
          <w:p>
            <w:pPr>
              <w:jc w:val="left"/>
              <w:tabs>
                <w:tab w:val="left" w:pos="736" w:leader="none"/>
              </w:tabs>
              <w:rPr>
                <w:rFonts w:hint="eastAsia" w:ascii="宋体" w:hAnsi="宋体"/>
                <w:color w:val="auto"/>
                <w:szCs w:val="24"/>
                <w:lang w:val="zh-CN"/>
              </w:rPr>
            </w:pPr>
            <w:r>
              <w:rPr>
                <w:rFonts w:hint="eastAsia" w:ascii="宋体" w:hAnsi="宋体"/>
                <w:color w:val="auto"/>
                <w:szCs w:val="24"/>
                <w:lang w:val="zh-CN"/>
              </w:rPr>
              <w:t xml:space="preserve">发纹不锈钢，LED照明，简洁大气</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gridSpan w:val="2"/>
            <w:shd w:val="clear" w:color="000000" w:fill="ffffff"/>
            <w:tcW w:w="2571" w:type="dxa"/>
            <w:vAlign w:val="center"/>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★轿厢壁</w:t>
            </w:r>
            <w:r/>
          </w:p>
        </w:tc>
        <w:tc>
          <w:tcPr>
            <w:shd w:val="clear" w:color="000000" w:fill="ffffff"/>
            <w:tcW w:w="3820" w:type="dxa"/>
            <w:vAlign w:val="center"/>
            <w:textDirection w:val="lrTb"/>
            <w:noWrap w:val="false"/>
          </w:tcPr>
          <w:p>
            <w:pPr>
              <w:jc w:val="left"/>
              <w:tabs>
                <w:tab w:val="left" w:pos="736" w:leader="none"/>
              </w:tabs>
              <w:rPr>
                <w:rFonts w:hint="eastAsia" w:ascii="宋体" w:hAnsi="宋体"/>
                <w:color w:val="auto"/>
                <w:szCs w:val="24"/>
                <w:lang w:val="zh-CN"/>
              </w:rPr>
            </w:pPr>
            <w:r>
              <w:rPr>
                <w:rFonts w:hint="eastAsia" w:ascii="宋体" w:hAnsi="宋体"/>
                <w:color w:val="auto"/>
                <w:szCs w:val="24"/>
                <w:lang w:val="en-US" w:eastAsia="zh-CN"/>
              </w:rPr>
              <w:t xml:space="preserve">304发纹不锈钢材质、厚度≥1mm</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gridSpan w:val="2"/>
            <w:shd w:val="clear" w:color="000000" w:fill="ffffff"/>
            <w:tcW w:w="2571" w:type="dxa"/>
            <w:vAlign w:val="center"/>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★轿厢门</w:t>
            </w:r>
            <w:r/>
          </w:p>
        </w:tc>
        <w:tc>
          <w:tcPr>
            <w:shd w:val="clear" w:color="000000" w:fill="ffffff"/>
            <w:tcW w:w="3820" w:type="dxa"/>
            <w:vAlign w:val="center"/>
            <w:textDirection w:val="lrTb"/>
            <w:noWrap w:val="false"/>
          </w:tcPr>
          <w:p>
            <w:pPr>
              <w:jc w:val="left"/>
              <w:tabs>
                <w:tab w:val="left" w:pos="736" w:leader="none"/>
              </w:tabs>
              <w:rPr>
                <w:rFonts w:hint="eastAsia" w:ascii="宋体" w:hAnsi="宋体"/>
                <w:color w:val="auto"/>
                <w:szCs w:val="24"/>
                <w:lang w:val="zh-CN"/>
              </w:rPr>
            </w:pPr>
            <w:r>
              <w:rPr>
                <w:rFonts w:hint="eastAsia" w:ascii="宋体" w:hAnsi="宋体"/>
                <w:color w:val="auto"/>
                <w:szCs w:val="24"/>
                <w:lang w:val="en-US" w:eastAsia="zh-CN"/>
              </w:rPr>
              <w:t xml:space="preserve">304发纹不锈钢材质、厚度≥1mm</w:t>
            </w:r>
            <w:r/>
          </w:p>
        </w:tc>
      </w:tr>
      <w:tr>
        <w:trPr>
          <w:jc w:val="center"/>
          <w:trHeight w:val="34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gridSpan w:val="2"/>
            <w:shd w:val="clear" w:color="000000" w:fill="ffffff"/>
            <w:tcW w:w="2571" w:type="dxa"/>
            <w:vAlign w:val="center"/>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轿厢地面</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PVC地板</w:t>
            </w:r>
            <w:r/>
          </w:p>
        </w:tc>
      </w:tr>
      <w:tr>
        <w:trPr>
          <w:jc w:val="center"/>
          <w:trHeight w:val="285"/>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098" w:type="dxa"/>
            <w:vAlign w:val="center"/>
            <w:vMerge w:val="restart"/>
            <w:textDirection w:val="lrTb"/>
            <w:noWrap w:val="false"/>
          </w:tcPr>
          <w:p>
            <w:pPr>
              <w:jc w:val="center"/>
              <w:rPr>
                <w:rFonts w:hint="eastAsia" w:ascii="宋体" w:hAnsi="宋体"/>
                <w:color w:val="auto"/>
                <w:szCs w:val="24"/>
                <w:lang w:val="zh-CN"/>
              </w:rPr>
            </w:pPr>
            <w:r>
              <w:rPr>
                <w:rFonts w:hint="eastAsia" w:ascii="宋体" w:hAnsi="宋体"/>
                <w:color w:val="auto"/>
                <w:szCs w:val="24"/>
                <w:lang w:val="zh-CN"/>
              </w:rPr>
              <w:t xml:space="preserve">操作盘</w:t>
            </w:r>
            <w:r/>
          </w:p>
        </w:tc>
        <w:tc>
          <w:tcPr>
            <w:shd w:val="clear" w:color="000000" w:fill="ffffff"/>
            <w:tcW w:w="1473"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★面板材质</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发纹不锈钢材质</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098"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473"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显示器显示内容</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液晶显示电梯运行状态</w:t>
            </w:r>
            <w:r/>
          </w:p>
        </w:tc>
      </w:tr>
      <w:tr>
        <w:trPr>
          <w:jc w:val="center"/>
          <w:trHeight w:val="9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098"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473"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操作功能</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紧急对讲按钮及隐藏式对讲机，开关门按钮，风扇及照明自动控制</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098"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473"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标示要求</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品牌商标，禁烟标记，速度，载重量</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098"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473"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按钮要求</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圆型不锈钢按钮</w:t>
            </w:r>
            <w:r/>
          </w:p>
        </w:tc>
      </w:tr>
      <w:tr>
        <w:trPr>
          <w:jc w:val="center"/>
          <w:trHeight w:val="9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restart"/>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t xml:space="preserve">厅门及门套</w:t>
            </w:r>
            <w:r/>
          </w:p>
        </w:tc>
        <w:tc>
          <w:tcPr>
            <w:gridSpan w:val="2"/>
            <w:shd w:val="clear" w:color="000000" w:fill="ffffff"/>
            <w:tcW w:w="2571" w:type="dxa"/>
            <w:vAlign w:val="center"/>
            <w:textDirection w:val="lrTb"/>
            <w:noWrap w:val="false"/>
          </w:tcPr>
          <w:p>
            <w:pPr>
              <w:jc w:val="center"/>
              <w:rPr>
                <w:rFonts w:hint="eastAsia" w:ascii="宋体" w:hAnsi="宋体" w:eastAsia="宋体" w:cs="Times New Roman"/>
                <w:color w:val="auto"/>
                <w:sz w:val="21"/>
                <w:szCs w:val="24"/>
                <w:lang w:val="zh-CN"/>
              </w:rPr>
            </w:pPr>
            <w:r>
              <w:rPr>
                <w:rFonts w:hint="eastAsia" w:ascii="宋体" w:hAnsi="宋体" w:eastAsia="宋体" w:cs="Times New Roman"/>
                <w:color w:val="auto"/>
                <w:szCs w:val="24"/>
                <w:lang w:val="zh-CN"/>
              </w:rPr>
              <w:t xml:space="preserve">材质</w:t>
            </w:r>
            <w:r/>
          </w:p>
        </w:tc>
        <w:tc>
          <w:tcPr>
            <w:shd w:val="clear" w:color="000000" w:fill="ffffff"/>
            <w:tcW w:w="3820" w:type="dxa"/>
            <w:vAlign w:val="center"/>
            <w:textDirection w:val="lrTb"/>
            <w:noWrap w:val="false"/>
          </w:tcPr>
          <w:p>
            <w:pPr>
              <w:jc w:val="left"/>
              <w:rPr>
                <w:rFonts w:hint="eastAsia" w:ascii="宋体" w:hAnsi="宋体" w:eastAsia="宋体"/>
                <w:color w:val="auto"/>
                <w:sz w:val="22"/>
                <w:szCs w:val="24"/>
                <w:lang w:val="en-US" w:eastAsia="zh-CN"/>
              </w:rPr>
            </w:pPr>
            <w:r>
              <w:rPr>
                <w:rFonts w:hint="eastAsia" w:ascii="宋体" w:hAnsi="宋体"/>
                <w:color w:val="auto"/>
                <w:szCs w:val="24"/>
                <w:lang w:val="en-US" w:eastAsia="zh-CN"/>
              </w:rPr>
              <w:t xml:space="preserve">厅门</w:t>
            </w:r>
            <w:r>
              <w:rPr>
                <w:rFonts w:hint="eastAsia" w:ascii="宋体" w:hAnsi="宋体"/>
                <w:color w:val="auto"/>
                <w:szCs w:val="24"/>
                <w:lang w:val="zh-CN"/>
              </w:rPr>
              <w:t xml:space="preserve">发纹不锈钢材质、</w:t>
            </w:r>
            <w:r>
              <w:rPr>
                <w:rFonts w:hint="eastAsia" w:ascii="宋体" w:hAnsi="宋体"/>
                <w:color w:val="auto"/>
                <w:szCs w:val="24"/>
                <w:lang w:val="en-US" w:eastAsia="zh-CN"/>
              </w:rPr>
              <w:t xml:space="preserve">小门套</w:t>
            </w:r>
            <w:r>
              <w:rPr>
                <w:rFonts w:hint="eastAsia" w:ascii="宋体" w:hAnsi="宋体"/>
                <w:color w:val="auto"/>
                <w:szCs w:val="24"/>
                <w:lang w:val="zh-CN"/>
              </w:rPr>
              <w:t xml:space="preserve">发纹不锈钢材质</w:t>
            </w:r>
            <w:r/>
          </w:p>
        </w:tc>
      </w:tr>
      <w:tr>
        <w:trPr>
          <w:jc w:val="center"/>
          <w:trHeight w:val="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gridSpan w:val="2"/>
            <w:shd w:val="clear" w:color="000000" w:fill="ffffff"/>
            <w:tcW w:w="2571" w:type="dxa"/>
            <w:vAlign w:val="center"/>
            <w:textDirection w:val="lrTb"/>
            <w:noWrap w:val="false"/>
          </w:tcPr>
          <w:p>
            <w:pPr>
              <w:jc w:val="center"/>
              <w:rPr>
                <w:rFonts w:hint="eastAsia" w:ascii="宋体" w:hAnsi="宋体" w:eastAsia="宋体" w:cs="Times New Roman"/>
                <w:color w:val="auto"/>
                <w:szCs w:val="24"/>
                <w:lang w:val="zh-CN"/>
              </w:rPr>
            </w:pPr>
            <w:r>
              <w:rPr>
                <w:rFonts w:hint="eastAsia" w:ascii="宋体" w:hAnsi="宋体" w:cs="宋体"/>
                <w:color w:val="auto"/>
                <w:szCs w:val="21"/>
              </w:rPr>
              <w:t xml:space="preserve">▲</w:t>
            </w:r>
            <w:r>
              <w:rPr>
                <w:rFonts w:hint="eastAsia" w:ascii="宋体" w:hAnsi="宋体"/>
                <w:color w:val="auto"/>
                <w:szCs w:val="24"/>
                <w:lang w:val="zh-CN"/>
              </w:rPr>
              <w:t xml:space="preserve">厚度</w:t>
            </w:r>
            <w:r/>
          </w:p>
        </w:tc>
        <w:tc>
          <w:tcPr>
            <w:shd w:val="clear" w:color="000000" w:fill="ffffff"/>
            <w:tcW w:w="3820" w:type="dxa"/>
            <w:vAlign w:val="center"/>
            <w:textDirection w:val="lrTb"/>
            <w:noWrap w:val="false"/>
          </w:tcPr>
          <w:p>
            <w:pPr>
              <w:jc w:val="left"/>
              <w:rPr>
                <w:rFonts w:hint="eastAsia" w:ascii="宋体" w:hAnsi="宋体"/>
                <w:color w:val="auto"/>
                <w:szCs w:val="24"/>
                <w:lang w:val="zh-CN"/>
              </w:rPr>
            </w:pPr>
            <w:r>
              <w:rPr>
                <w:rFonts w:hint="eastAsia" w:ascii="宋体" w:hAnsi="宋体" w:eastAsia="宋体" w:cs="Times New Roman"/>
                <w:color w:val="auto"/>
                <w:szCs w:val="24"/>
                <w:lang w:val="zh-CN"/>
              </w:rPr>
              <w:t xml:space="preserve">≥1mm</w:t>
            </w:r>
            <w:r/>
          </w:p>
        </w:tc>
      </w:tr>
      <w:tr>
        <w:trPr>
          <w:jc w:val="center"/>
          <w:trHeight w:val="285"/>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098" w:type="dxa"/>
            <w:vAlign w:val="center"/>
            <w:vMerge w:val="restart"/>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楼层召唤</w:t>
            </w:r>
            <w:r/>
          </w:p>
        </w:tc>
        <w:tc>
          <w:tcPr>
            <w:shd w:val="clear" w:color="000000" w:fill="ffffff"/>
            <w:tcW w:w="1473"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显示内容</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液晶显示，显示楼层及运行方向，驻停，检修</w:t>
            </w:r>
            <w:r/>
          </w:p>
        </w:tc>
      </w:tr>
      <w:tr>
        <w:trPr>
          <w:jc w:val="center"/>
          <w:trHeight w:val="335"/>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1098"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473"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面板材质</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发纹不锈钢材质</w:t>
            </w:r>
            <w:r/>
          </w:p>
        </w:tc>
      </w:tr>
      <w:tr>
        <w:trPr>
          <w:jc w:val="center"/>
          <w:trHeight w:val="9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shd w:val="clear" w:color="000000" w:fill="ffffff"/>
            <w:tcW w:w="784" w:type="dxa"/>
            <w:vAlign w:val="center"/>
            <w:vMerge w:val="continue"/>
            <w:textDirection w:val="lrTb"/>
            <w:noWrap w:val="false"/>
          </w:tcPr>
          <w:p>
            <w:pPr>
              <w:jc w:val="left"/>
              <w:spacing w:line="246" w:lineRule="atLeast"/>
              <w:rPr>
                <w:rFonts w:hint="eastAsia" w:ascii="宋体" w:hAnsi="宋体"/>
                <w:color w:val="auto"/>
                <w:szCs w:val="24"/>
                <w:lang w:val="zh-CN"/>
              </w:rPr>
            </w:pPr>
            <w:r>
              <w:rPr>
                <w:rFonts w:hint="eastAsia" w:ascii="宋体" w:hAnsi="宋体"/>
                <w:color w:val="auto"/>
                <w:szCs w:val="24"/>
                <w:lang w:val="zh-CN"/>
              </w:rPr>
            </w:r>
            <w:r/>
          </w:p>
        </w:tc>
        <w:tc>
          <w:tcPr>
            <w:gridSpan w:val="2"/>
            <w:shd w:val="clear" w:color="000000" w:fill="ffffff"/>
            <w:tcW w:w="2571"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地坎</w:t>
            </w:r>
            <w:r/>
          </w:p>
        </w:tc>
        <w:tc>
          <w:tcPr>
            <w:shd w:val="clear" w:color="000000" w:fill="ffffff"/>
            <w:tcW w:w="3820"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硬质铝合金</w:t>
            </w:r>
            <w:r/>
          </w:p>
        </w:tc>
      </w:tr>
      <w:tr>
        <w:trPr>
          <w:jc w:val="center"/>
          <w:trHeight w:val="32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textDirection w:val="lrTb"/>
            <w:noWrap w:val="false"/>
          </w:tcPr>
          <w:p>
            <w:pPr>
              <w:rPr>
                <w:rFonts w:hint="eastAsia" w:ascii="宋体" w:hAnsi="宋体"/>
                <w:color w:val="auto"/>
                <w:szCs w:val="24"/>
                <w:lang w:val="zh-CN"/>
              </w:rPr>
            </w:pPr>
            <w:r>
              <w:rPr>
                <w:rFonts w:hint="eastAsia" w:ascii="宋体" w:hAnsi="宋体" w:cs="宋体"/>
                <w:color w:val="auto"/>
                <w:szCs w:val="21"/>
                <w:lang w:val="zh-CN" w:bidi="ar"/>
              </w:rPr>
              <w:t xml:space="preserve">▲</w:t>
            </w:r>
            <w:r>
              <w:rPr>
                <w:rFonts w:hint="eastAsia" w:ascii="宋体" w:hAnsi="宋体"/>
                <w:color w:val="auto"/>
                <w:szCs w:val="24"/>
                <w:lang w:val="zh-CN"/>
              </w:rPr>
              <w:t xml:space="preserve">刷卡功能</w:t>
            </w:r>
            <w:r/>
          </w:p>
        </w:tc>
        <w:tc>
          <w:tcPr>
            <w:gridSpan w:val="4"/>
            <w:shd w:val="clear" w:color="000000" w:fill="ffffff"/>
            <w:tcW w:w="7175" w:type="dxa"/>
            <w:vAlign w:val="center"/>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有（</w:t>
            </w:r>
            <w:r>
              <w:rPr>
                <w:rFonts w:hint="eastAsia" w:ascii="宋体" w:hAnsi="宋体"/>
                <w:color w:val="auto"/>
                <w:szCs w:val="24"/>
              </w:rPr>
              <w:t xml:space="preserve">人脸识别</w:t>
            </w:r>
            <w:r>
              <w:rPr>
                <w:rFonts w:hint="eastAsia" w:ascii="宋体" w:hAnsi="宋体"/>
                <w:color w:val="auto"/>
                <w:szCs w:val="24"/>
                <w:lang w:val="zh-CN"/>
              </w:rPr>
              <w:t xml:space="preserve">）</w:t>
            </w:r>
            <w:r/>
          </w:p>
        </w:tc>
      </w:tr>
      <w:tr>
        <w:trPr>
          <w:jc w:val="center"/>
          <w:trHeight w:val="9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其他要求</w:t>
            </w:r>
            <w:r/>
          </w:p>
        </w:tc>
        <w:tc>
          <w:tcPr>
            <w:gridSpan w:val="4"/>
            <w:shd w:val="clear" w:color="000000" w:fill="ffffff"/>
            <w:tcW w:w="7175" w:type="dxa"/>
            <w:vAlign w:val="center"/>
            <w:textDirection w:val="lrTb"/>
            <w:noWrap w:val="false"/>
          </w:tcPr>
          <w:p>
            <w:pPr>
              <w:jc w:val="left"/>
              <w:spacing w:line="246" w:lineRule="atLeast"/>
              <w:rPr>
                <w:rFonts w:hint="eastAsia" w:ascii="宋体" w:hAnsi="宋体"/>
                <w:color w:val="auto"/>
                <w:szCs w:val="24"/>
              </w:rPr>
            </w:pPr>
            <w:r>
              <w:rPr>
                <w:rFonts w:hint="eastAsia" w:ascii="宋体" w:hAnsi="宋体" w:cs="宋体"/>
                <w:color w:val="auto"/>
                <w:szCs w:val="21"/>
              </w:rPr>
              <w:t xml:space="preserve">▲</w:t>
            </w:r>
            <w:r>
              <w:rPr>
                <w:rFonts w:ascii="宋体" w:hAnsi="宋体"/>
                <w:color w:val="auto"/>
                <w:szCs w:val="24"/>
              </w:rPr>
              <w:t xml:space="preserve">1</w:t>
            </w:r>
            <w:r>
              <w:rPr>
                <w:rFonts w:hint="eastAsia" w:ascii="宋体" w:hAnsi="宋体"/>
                <w:color w:val="auto"/>
                <w:szCs w:val="24"/>
                <w:lang w:val="en-US" w:eastAsia="zh-CN"/>
              </w:rPr>
              <w:t xml:space="preserve">.</w:t>
            </w:r>
            <w:r>
              <w:rPr>
                <w:rFonts w:ascii="宋体" w:hAnsi="宋体"/>
                <w:color w:val="auto"/>
                <w:szCs w:val="24"/>
              </w:rPr>
              <w:t xml:space="preserve">厅门耐火完整性2小时</w:t>
            </w:r>
            <w:r/>
          </w:p>
          <w:p>
            <w:pPr>
              <w:jc w:val="left"/>
              <w:spacing w:line="246" w:lineRule="atLeast"/>
              <w:rPr>
                <w:rFonts w:hint="eastAsia" w:ascii="宋体" w:hAnsi="宋体"/>
                <w:color w:val="auto"/>
                <w:szCs w:val="24"/>
              </w:rPr>
            </w:pPr>
            <w:r>
              <w:rPr>
                <w:rFonts w:hint="eastAsia" w:ascii="宋体" w:hAnsi="宋体" w:cs="宋体"/>
                <w:color w:val="auto"/>
                <w:szCs w:val="21"/>
              </w:rPr>
              <w:t xml:space="preserve">▲</w:t>
            </w:r>
            <w:r>
              <w:rPr>
                <w:rFonts w:ascii="宋体" w:hAnsi="宋体"/>
                <w:color w:val="auto"/>
                <w:szCs w:val="24"/>
              </w:rPr>
              <w:t xml:space="preserve">2</w:t>
            </w:r>
            <w:r>
              <w:rPr>
                <w:rFonts w:hint="eastAsia" w:ascii="宋体" w:hAnsi="宋体"/>
                <w:color w:val="auto"/>
                <w:szCs w:val="24"/>
                <w:lang w:val="en-US" w:eastAsia="zh-CN"/>
              </w:rPr>
              <w:t xml:space="preserve">.</w:t>
            </w:r>
            <w:r>
              <w:rPr>
                <w:rFonts w:ascii="宋体" w:hAnsi="宋体"/>
                <w:color w:val="auto"/>
                <w:szCs w:val="24"/>
              </w:rPr>
              <w:t xml:space="preserve">轿厢单冷空调</w:t>
            </w:r>
            <w:r/>
          </w:p>
          <w:p>
            <w:pPr>
              <w:jc w:val="left"/>
              <w:spacing w:line="246" w:lineRule="atLeast"/>
              <w:rPr>
                <w:rFonts w:hint="eastAsia" w:ascii="宋体" w:hAnsi="宋体"/>
                <w:color w:val="auto"/>
                <w:szCs w:val="24"/>
              </w:rPr>
            </w:pPr>
            <w:r>
              <w:rPr>
                <w:rFonts w:ascii="宋体" w:hAnsi="宋体"/>
                <w:color w:val="auto"/>
                <w:szCs w:val="24"/>
              </w:rPr>
              <w:t xml:space="preserve">3</w:t>
            </w:r>
            <w:r>
              <w:rPr>
                <w:rFonts w:hint="eastAsia" w:ascii="宋体" w:hAnsi="宋体"/>
                <w:color w:val="auto"/>
                <w:szCs w:val="24"/>
                <w:lang w:val="en-US" w:eastAsia="zh-CN"/>
              </w:rPr>
              <w:t xml:space="preserve">.</w:t>
            </w:r>
            <w:r>
              <w:rPr>
                <w:rFonts w:hint="eastAsia" w:ascii="宋体" w:hAnsi="宋体"/>
                <w:color w:val="auto"/>
                <w:szCs w:val="24"/>
              </w:rPr>
              <w:t xml:space="preserve">配置轿顶排风扇2个</w:t>
            </w:r>
            <w:r/>
          </w:p>
          <w:p>
            <w:pPr>
              <w:jc w:val="left"/>
              <w:spacing w:line="246" w:lineRule="atLeast"/>
              <w:rPr>
                <w:color w:val="auto"/>
              </w:rPr>
            </w:pPr>
            <w:r>
              <w:rPr>
                <w:rFonts w:hint="eastAsia" w:ascii="宋体" w:hAnsi="宋体" w:cs="宋体"/>
                <w:color w:val="auto"/>
                <w:szCs w:val="21"/>
              </w:rPr>
              <w:t xml:space="preserve">▲</w:t>
            </w:r>
            <w:r>
              <w:rPr>
                <w:rFonts w:hint="eastAsia" w:ascii="宋体" w:hAnsi="宋体"/>
                <w:color w:val="auto"/>
                <w:szCs w:val="24"/>
              </w:rPr>
              <w:t xml:space="preserve">4</w:t>
            </w:r>
            <w:r>
              <w:rPr>
                <w:rFonts w:hint="eastAsia" w:ascii="宋体" w:hAnsi="宋体"/>
                <w:color w:val="auto"/>
                <w:szCs w:val="24"/>
                <w:lang w:val="en-US" w:eastAsia="zh-CN"/>
              </w:rPr>
              <w:t xml:space="preserve">.</w:t>
            </w:r>
            <w:r>
              <w:rPr>
                <w:rFonts w:ascii="宋体" w:hAnsi="宋体"/>
                <w:color w:val="auto"/>
                <w:szCs w:val="24"/>
              </w:rPr>
              <w:t xml:space="preserve">轿厢视频监控电缆预留</w:t>
            </w:r>
            <w:r/>
          </w:p>
          <w:p>
            <w:pPr>
              <w:jc w:val="left"/>
              <w:spacing w:line="246" w:lineRule="atLeast"/>
              <w:rPr>
                <w:rFonts w:hint="eastAsia"/>
                <w:color w:val="auto"/>
              </w:rPr>
            </w:pPr>
            <w:r>
              <w:rPr>
                <w:rFonts w:hint="eastAsia" w:ascii="宋体" w:hAnsi="宋体"/>
                <w:color w:val="auto"/>
                <w:szCs w:val="24"/>
              </w:rPr>
              <w:t xml:space="preserve">▲5</w:t>
            </w:r>
            <w:r>
              <w:rPr>
                <w:rFonts w:hint="eastAsia" w:ascii="宋体" w:hAnsi="宋体"/>
                <w:color w:val="auto"/>
                <w:szCs w:val="24"/>
                <w:lang w:val="en-US" w:eastAsia="zh-CN"/>
              </w:rPr>
              <w:t xml:space="preserve">.控制柜抗雷击功能，且抗雷击浪涌组合波的电压≥15KV”。</w:t>
            </w:r>
            <w:r/>
          </w:p>
        </w:tc>
      </w:tr>
      <w:tr>
        <w:trPr>
          <w:jc w:val="center"/>
          <w:trHeight w:val="285"/>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auto"/>
                <w:szCs w:val="24"/>
                <w:lang w:val="zh-CN"/>
              </w:rPr>
            </w:pPr>
            <w:r>
              <w:rPr>
                <w:rFonts w:hint="eastAsia" w:ascii="宋体" w:hAnsi="宋体"/>
                <w:color w:val="auto"/>
                <w:szCs w:val="24"/>
                <w:lang w:val="zh-CN"/>
              </w:rPr>
              <w:t xml:space="preserve">功能要求</w:t>
            </w:r>
            <w:r/>
          </w:p>
        </w:tc>
        <w:tc>
          <w:tcPr>
            <w:gridSpan w:val="4"/>
            <w:shd w:val="clear" w:color="000000" w:fill="ffffff"/>
            <w:tcW w:w="7175" w:type="dxa"/>
            <w:vAlign w:val="center"/>
            <w:textDirection w:val="lrTb"/>
            <w:noWrap w:val="false"/>
          </w:tcPr>
          <w:p>
            <w:pPr>
              <w:jc w:val="left"/>
              <w:rPr>
                <w:rFonts w:hint="eastAsia" w:ascii="宋体" w:hAnsi="宋体"/>
                <w:color w:val="auto"/>
                <w:szCs w:val="24"/>
                <w:lang w:val="zh-CN"/>
              </w:rPr>
            </w:pPr>
            <w:r>
              <w:rPr>
                <w:rFonts w:hint="eastAsia" w:ascii="宋体" w:hAnsi="宋体"/>
                <w:color w:val="auto"/>
                <w:szCs w:val="24"/>
                <w:lang w:val="zh-CN"/>
              </w:rPr>
              <w:t xml:space="preserve">集选控制</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自动返基站</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满载直驶</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反向指令自动消除</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重新初始化运行</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故障自诊断</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井道楼层间距自学习</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端站保护</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超载保护</w:t>
            </w:r>
            <w:r/>
          </w:p>
        </w:tc>
      </w:tr>
      <w:tr>
        <w:trPr>
          <w:jc w:val="center"/>
          <w:trHeight w:val="2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驱动设备过热保护</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电网异常检测功能</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速度异常检测功能</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接触器异常检测功能</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抱闸异常检测功能</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轿顶检修</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紧急电动运行</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自动泊梯</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锁梯开关</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自动返回</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开关门按钮</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光幕门保护</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关门力矩保护</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轿厢开门保护</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轿厢关门保护</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厅外重开门</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轿厢关门延时保护</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内部通话装置</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轿厢到站钟</w:t>
            </w:r>
            <w:r/>
          </w:p>
        </w:tc>
      </w:tr>
      <w:tr>
        <w:trPr>
          <w:jc w:val="center"/>
          <w:trHeight w:val="294"/>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轿厢警铃</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轿厢内应急照明</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轿内照明风扇自动控制</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轿内楼层及方向显示</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厅外楼层及方向显示</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司机直驶</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司机操作</w:t>
            </w:r>
            <w:r/>
          </w:p>
        </w:tc>
      </w:tr>
      <w:tr>
        <w:trPr>
          <w:jc w:val="center"/>
          <w:trHeight w:val="326"/>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独立操作</w:t>
            </w:r>
            <w:r/>
          </w:p>
        </w:tc>
      </w:tr>
      <w:tr>
        <w:trPr>
          <w:jc w:val="center"/>
          <w:trHeight w:val="180"/>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防捣乱保护</w:t>
            </w:r>
            <w:r/>
          </w:p>
        </w:tc>
      </w:tr>
      <w:tr>
        <w:trPr>
          <w:jc w:val="center"/>
          <w:trHeight w:val="481"/>
        </w:trPr>
        <w:tc>
          <w:tcPr>
            <w:shd w:val="clear" w:color="000000" w:fill="ffffff"/>
            <w:tcW w:w="1172"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shd w:val="clear" w:color="000000" w:fill="ffffff"/>
            <w:tcW w:w="1594" w:type="dxa"/>
            <w:vAlign w:val="center"/>
            <w:vMerge w:val="continue"/>
            <w:textDirection w:val="lrTb"/>
            <w:noWrap w:val="false"/>
          </w:tcPr>
          <w:p>
            <w:pPr>
              <w:jc w:val="left"/>
              <w:spacing w:line="246" w:lineRule="atLeast"/>
              <w:rPr>
                <w:rFonts w:hint="eastAsia" w:ascii="宋体" w:hAnsi="宋体"/>
                <w:color w:val="auto"/>
                <w:sz w:val="22"/>
                <w:szCs w:val="24"/>
                <w:lang w:val="zh-CN"/>
              </w:rPr>
            </w:pPr>
            <w:r>
              <w:rPr>
                <w:rFonts w:hint="eastAsia" w:ascii="宋体" w:hAnsi="宋体"/>
                <w:color w:val="auto"/>
                <w:sz w:val="22"/>
                <w:szCs w:val="24"/>
                <w:lang w:val="zh-CN"/>
              </w:rPr>
            </w:r>
            <w:r/>
          </w:p>
        </w:tc>
        <w:tc>
          <w:tcPr>
            <w:gridSpan w:val="4"/>
            <w:shd w:val="clear" w:color="000000" w:fill="ffffff"/>
            <w:tcW w:w="7175" w:type="dxa"/>
            <w:vAlign w:val="center"/>
            <w:textDirection w:val="lrTb"/>
            <w:noWrap w:val="false"/>
          </w:tcPr>
          <w:p>
            <w:pPr>
              <w:jc w:val="left"/>
              <w:rPr>
                <w:rFonts w:hint="eastAsia" w:ascii="宋体" w:hAnsi="宋体"/>
                <w:color w:val="auto"/>
                <w:sz w:val="22"/>
                <w:szCs w:val="24"/>
                <w:lang w:val="zh-CN"/>
              </w:rPr>
            </w:pPr>
            <w:r>
              <w:rPr>
                <w:rFonts w:hint="eastAsia" w:ascii="宋体" w:hAnsi="宋体"/>
                <w:color w:val="auto"/>
                <w:szCs w:val="24"/>
                <w:lang w:val="zh-CN"/>
              </w:rPr>
              <w:t xml:space="preserve">消防紧急迫降功能</w:t>
            </w:r>
            <w:r/>
          </w:p>
        </w:tc>
      </w:tr>
    </w:tbl>
    <w:p>
      <w:pPr>
        <w:ind w:firstLine="480"/>
        <w:spacing w:line="264" w:lineRule="auto"/>
        <w:rPr>
          <w:rFonts w:hint="eastAsia" w:ascii="宋体" w:hAnsi="宋体" w:cs="宋体"/>
          <w:bCs/>
          <w:color w:val="auto"/>
          <w:sz w:val="24"/>
          <w:szCs w:val="24"/>
        </w:rPr>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1.报价要求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（4）若合同履行期间国家税收政策发生调整，自新政生效之日起按最新法定税率执行，并据此重新计算含税总价(以原不含税金额为基准）。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）电</w:t>
      </w:r>
      <w:r>
        <w:rPr>
          <w:rFonts w:hint="eastAsia" w:ascii="宋体" w:hAnsi="宋体" w:cs="宋体"/>
          <w:color w:val="auto"/>
          <w:sz w:val="24"/>
          <w:szCs w:val="24"/>
        </w:rPr>
        <w:t xml:space="preserve">梯安装要求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供应商中标后提供施工进度计划和各阶段进度的保证措施；安装的质量保证措施；安全文明施工、电梯安装的安全保证措施及环境保护措施；包含但不限于以下要求：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1）施工组织机构：须成立健全的施工组织机构，包含项目经理、施工人员；现场安装负责人、安装班组等相关组织机构和人员。</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2）具体的项目实施方案应符合本项目实际需要，确保在规定的时间内完成。</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①供应商接到中标通知后一周内提交详细的施工图等。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设备订货合同签订后，由供应商工程师到现场勘察设计，所有尺寸以现场勘测的实际尺寸为准；若在安装过程中，由于供应商的责任导致建筑结构或其他设备被损坏，供应商需负责修理或赔偿损失。安装与调试中涉及的所有费用均应列入投标总价，而不能在执行中要求另外付费。</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3）安全保证措施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①电梯安装现场必须有技术、安全人员监护；</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②电梯安装区域设置警戒线，有明显标志，并要有专人监护，安装期间现场严禁闲杂人员进出；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③电梯安装前工作人员应对工具、附件等仔细检查，不合格者立即更换，确保正常使用；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④电梯安装过程中，所有工作人员必须听从指挥人员的统一指挥和信号；</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⑤电梯安装过程中须有专人照看电源；</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⑥电梯安装过程中所有工作人员必须戴好安全帽，上高人员必须穿防滑鞋，高空作业必须系好安全带，配挂工具包；</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⑦电梯安装过程中严禁由高空向下抛投物品；</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⑧电梯安装过程中注意建筑物周边的障碍物，若有障碍物必须排除后方可作业，防止发生意外事故；</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⑨电梯安装过程中吊笼运动时，人体及装运的物件绝对不准超出吊笼护；</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⑩电梯安装过程中每道工序完成后经专人检查认可方能进行下一道安装工序；</w:t>
      </w:r>
      <w:r/>
    </w:p>
    <w:p>
      <w:pPr>
        <w:ind w:firstLine="480"/>
        <w:spacing w:line="264" w:lineRule="auto"/>
        <w:rPr>
          <w:rFonts w:ascii="宋体" w:hAnsi="宋体" w:cs="宋体"/>
          <w:color w:val="auto"/>
          <w:sz w:val="24"/>
          <w:szCs w:val="24"/>
        </w:rPr>
      </w:pPr>
      <w:r>
        <w:rPr>
          <w:rFonts w:ascii="Cambria Math" w:hAnsi="Cambria Math" w:cs="Cambria Math"/>
          <w:color w:val="auto"/>
          <w:sz w:val="24"/>
          <w:szCs w:val="24"/>
        </w:rPr>
        <w:t xml:space="preserve">⑪</w:t>
      </w:r>
      <w:r>
        <w:rPr>
          <w:rFonts w:hint="eastAsia" w:ascii="宋体" w:hAnsi="宋体" w:cs="宋体"/>
          <w:color w:val="auto"/>
          <w:sz w:val="24"/>
          <w:szCs w:val="24"/>
        </w:rPr>
        <w:t xml:space="preserve">电梯安装过程中发现异常，应立即停止安装工作，排除故障后才能继续安装；</w:t>
      </w:r>
      <w:r/>
    </w:p>
    <w:p>
      <w:pPr>
        <w:ind w:firstLine="480"/>
        <w:spacing w:line="264" w:lineRule="auto"/>
        <w:rPr>
          <w:rFonts w:ascii="宋体" w:hAnsi="宋体" w:cs="宋体"/>
          <w:color w:val="auto"/>
          <w:sz w:val="24"/>
          <w:szCs w:val="24"/>
        </w:rPr>
      </w:pPr>
      <w:r>
        <w:rPr>
          <w:rFonts w:ascii="Cambria Math" w:hAnsi="Cambria Math" w:cs="Cambria Math"/>
          <w:color w:val="auto"/>
          <w:sz w:val="24"/>
          <w:szCs w:val="24"/>
        </w:rPr>
        <w:t xml:space="preserve">⑫</w:t>
      </w:r>
      <w:r>
        <w:rPr>
          <w:rFonts w:hint="eastAsia" w:ascii="宋体" w:hAnsi="宋体" w:cs="宋体"/>
          <w:color w:val="auto"/>
          <w:sz w:val="24"/>
          <w:szCs w:val="24"/>
        </w:rPr>
        <w:t xml:space="preserve">电梯安装过程中吊笼载荷不允许超过额定安装载重量。</w:t>
      </w:r>
      <w:r/>
    </w:p>
    <w:p>
      <w:pPr>
        <w:ind w:firstLine="480"/>
        <w:spacing w:line="264" w:lineRule="auto"/>
        <w:rPr>
          <w:rFonts w:ascii="宋体" w:hAnsi="宋体" w:cs="宋体"/>
          <w:color w:val="auto"/>
          <w:sz w:val="24"/>
          <w:szCs w:val="24"/>
        </w:rPr>
      </w:pPr>
      <w:r>
        <w:rPr>
          <w:rFonts w:ascii="Cambria Math" w:hAnsi="Cambria Math" w:cs="Cambria Math"/>
          <w:color w:val="auto"/>
          <w:sz w:val="24"/>
          <w:szCs w:val="24"/>
        </w:rPr>
        <w:t xml:space="preserve">⑬</w:t>
      </w:r>
      <w:r>
        <w:rPr>
          <w:rFonts w:hint="eastAsia" w:ascii="宋体" w:hAnsi="宋体" w:cs="宋体"/>
          <w:color w:val="auto"/>
          <w:sz w:val="24"/>
          <w:szCs w:val="24"/>
        </w:rPr>
        <w:t xml:space="preserve">电梯安装过程中吊杆进行安装工作时，吊杆的最大起重量为</w:t>
      </w:r>
      <w:r>
        <w:rPr>
          <w:rFonts w:ascii="宋体" w:hAnsi="宋体" w:cs="宋体"/>
          <w:color w:val="auto"/>
          <w:sz w:val="24"/>
          <w:szCs w:val="24"/>
        </w:rPr>
        <w:t xml:space="preserve">200kg</w:t>
      </w:r>
      <w:r>
        <w:rPr>
          <w:rFonts w:hint="eastAsia" w:ascii="宋体" w:hAnsi="宋体" w:cs="宋体"/>
          <w:color w:val="auto"/>
          <w:sz w:val="24"/>
          <w:szCs w:val="24"/>
        </w:rPr>
        <w:t xml:space="preserve">，不允许超载，吊杆有悬挂物时，不准开动吊笼；</w:t>
      </w:r>
      <w:r/>
    </w:p>
    <w:p>
      <w:pPr>
        <w:ind w:firstLine="480"/>
        <w:spacing w:line="264" w:lineRule="auto"/>
        <w:rPr>
          <w:rFonts w:ascii="宋体" w:hAnsi="宋体" w:cs="宋体"/>
          <w:color w:val="auto"/>
          <w:sz w:val="24"/>
          <w:szCs w:val="24"/>
        </w:rPr>
      </w:pPr>
      <w:r>
        <w:rPr>
          <w:rFonts w:ascii="Cambria Math" w:hAnsi="Cambria Math" w:cs="Cambria Math"/>
          <w:color w:val="auto"/>
          <w:sz w:val="24"/>
          <w:szCs w:val="24"/>
        </w:rPr>
        <w:t xml:space="preserve">⑭</w:t>
      </w:r>
      <w:r>
        <w:rPr>
          <w:rFonts w:hint="eastAsia" w:ascii="宋体" w:hAnsi="宋体" w:cs="宋体"/>
          <w:color w:val="auto"/>
          <w:sz w:val="24"/>
          <w:szCs w:val="24"/>
        </w:rPr>
        <w:t xml:space="preserve">电梯安装期间绝对不允许非安装人员使用施工升降机；</w:t>
      </w:r>
      <w:r/>
    </w:p>
    <w:p>
      <w:pPr>
        <w:ind w:firstLine="480"/>
        <w:spacing w:line="264" w:lineRule="auto"/>
        <w:rPr>
          <w:rFonts w:ascii="宋体" w:hAnsi="宋体" w:cs="宋体"/>
          <w:color w:val="auto"/>
          <w:sz w:val="24"/>
          <w:szCs w:val="24"/>
        </w:rPr>
      </w:pPr>
      <w:r>
        <w:rPr>
          <w:rFonts w:ascii="Cambria Math" w:hAnsi="Cambria Math" w:cs="Cambria Math"/>
          <w:color w:val="auto"/>
          <w:sz w:val="24"/>
          <w:szCs w:val="24"/>
        </w:rPr>
        <w:t xml:space="preserve">⑮</w:t>
      </w:r>
      <w:r>
        <w:rPr>
          <w:rFonts w:hint="eastAsia" w:ascii="宋体" w:hAnsi="宋体" w:cs="宋体"/>
          <w:color w:val="auto"/>
          <w:sz w:val="24"/>
          <w:szCs w:val="24"/>
        </w:rPr>
        <w:t xml:space="preserve">安装期间严禁饮酒、打闹；</w:t>
      </w:r>
      <w:r/>
    </w:p>
    <w:p>
      <w:pPr>
        <w:ind w:firstLine="480"/>
        <w:spacing w:line="264" w:lineRule="auto"/>
        <w:rPr>
          <w:rFonts w:ascii="宋体" w:hAnsi="宋体" w:cs="宋体"/>
          <w:color w:val="auto"/>
          <w:sz w:val="24"/>
          <w:szCs w:val="24"/>
        </w:rPr>
      </w:pPr>
      <w:r>
        <w:rPr>
          <w:rFonts w:ascii="Cambria Math" w:hAnsi="Cambria Math" w:cs="Cambria Math"/>
          <w:color w:val="auto"/>
          <w:sz w:val="24"/>
          <w:szCs w:val="24"/>
        </w:rPr>
        <w:t xml:space="preserve">⑯</w:t>
      </w:r>
      <w:r>
        <w:rPr>
          <w:rFonts w:hint="eastAsia" w:ascii="宋体" w:hAnsi="宋体" w:cs="宋体"/>
          <w:color w:val="auto"/>
          <w:sz w:val="24"/>
          <w:szCs w:val="24"/>
        </w:rPr>
        <w:t xml:space="preserve">电梯安装完成后应仔细检查施工升降机的各机构，各部位是否应处于良好状态，发现问题及时处理。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4）质量保证措施</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①严格按国家颁布的电梯安装施工工艺标准执行，并派电梯安全质量检验员进行监督，每道工序完工后由质检员检查合格后，方能进行下一道工序。</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②为保证工程顺利无事故进行，安装队必须定期组织召开安全会，检查各种安全防护用品是否牢固。要求操作者严格遵守现场的安全管理规定，确保现场安全。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③为保证在合同期内完成电梯的安装工作量，要求安装队制定详细的施工进度表，并严格按进度表完成当日的工作量。</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④在安装过程中，要求各班组必须加强自检、互检工作，并严格填写自检记录，各数据必须真实可靠，并有填写人签名，以便日后查找。</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⑤施工中文明施工，严格遵守国家法规，遵守工地规章制度，配备安全检查专职人员。</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5）其</w:t>
      </w:r>
      <w:r>
        <w:rPr>
          <w:rFonts w:hint="eastAsia" w:ascii="宋体" w:hAnsi="宋体" w:cs="宋体"/>
          <w:color w:val="auto"/>
          <w:sz w:val="24"/>
          <w:szCs w:val="24"/>
          <w:lang w:val="en-US" w:eastAsia="zh-CN"/>
        </w:rPr>
        <w:t xml:space="preserve">他</w:t>
      </w:r>
      <w:r>
        <w:rPr>
          <w:rFonts w:hint="eastAsia" w:ascii="宋体" w:hAnsi="宋体" w:cs="宋体"/>
          <w:color w:val="auto"/>
          <w:sz w:val="24"/>
          <w:szCs w:val="24"/>
        </w:rPr>
        <w:t xml:space="preserve">要求及说明</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①电梯的电源总柜内，应有安装电源电缆的足够空间与配套紧固件。</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②电梯的变频调速等应有必要的防干扰措施，阻止电梯的干扰信号经双电源线路对外传导而妨害其</w:t>
      </w:r>
      <w:r>
        <w:rPr>
          <w:rFonts w:hint="eastAsia" w:ascii="宋体" w:hAnsi="宋体" w:cs="宋体"/>
          <w:color w:val="auto"/>
          <w:sz w:val="24"/>
          <w:szCs w:val="24"/>
          <w:lang w:val="en-US" w:eastAsia="zh-CN"/>
        </w:rPr>
        <w:t xml:space="preserve">他</w:t>
      </w:r>
      <w:r>
        <w:rPr>
          <w:rFonts w:hint="eastAsia" w:ascii="宋体" w:hAnsi="宋体" w:cs="宋体"/>
          <w:color w:val="auto"/>
          <w:sz w:val="24"/>
          <w:szCs w:val="24"/>
        </w:rPr>
        <w:t xml:space="preserve">用电设备。</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④须配置井道爬梯、井道永久照明和井道间防护网并符合国标要求。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6）其</w:t>
      </w:r>
      <w:r>
        <w:rPr>
          <w:rFonts w:hint="eastAsia" w:ascii="宋体" w:hAnsi="宋体" w:cs="宋体"/>
          <w:color w:val="auto"/>
          <w:sz w:val="24"/>
          <w:szCs w:val="24"/>
          <w:lang w:val="en-US" w:eastAsia="zh-CN"/>
        </w:rPr>
        <w:t xml:space="preserve">他</w:t>
      </w:r>
      <w:r>
        <w:rPr>
          <w:rFonts w:hint="eastAsia" w:ascii="宋体" w:hAnsi="宋体" w:cs="宋体"/>
          <w:color w:val="auto"/>
          <w:sz w:val="24"/>
          <w:szCs w:val="24"/>
        </w:rPr>
        <w:t xml:space="preserve">注意事项和要求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①以现场勘查采购人确认的数据实际为准。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②供应商负责安装电梯所需的全部零件、管线（如电管、走线槽、电线、电缆等）、配件、构件、施工人员与设施，包括引至井道外与电梯有关的设备与管线。</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③如果建筑物现有共用总接地点接地电阻值不能满足响应电梯安装要求，由供应商自行解决。</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④因安装电梯所需的其</w:t>
      </w:r>
      <w:r>
        <w:rPr>
          <w:rFonts w:hint="eastAsia" w:ascii="宋体" w:hAnsi="宋体" w:cs="宋体"/>
          <w:color w:val="auto"/>
          <w:sz w:val="24"/>
          <w:szCs w:val="24"/>
          <w:lang w:val="en-US" w:eastAsia="zh-CN"/>
        </w:rPr>
        <w:t xml:space="preserve">他</w:t>
      </w:r>
      <w:r>
        <w:rPr>
          <w:rFonts w:hint="eastAsia" w:ascii="宋体" w:hAnsi="宋体" w:cs="宋体"/>
          <w:color w:val="auto"/>
          <w:sz w:val="24"/>
          <w:szCs w:val="24"/>
        </w:rPr>
        <w:t xml:space="preserve">土建整改、安装等工作，由供应商承担全部费用，采购人不承担任何增加费用。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⑤供应商应当服从采购人属地的市场监管部门的管理与督查，并按规定缴相关检测费用。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7）施工具体要求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工程承包的总体设想、组织形式、各项管理目标及控制措施、设计、施工实施计划、设计与施工的协调措施等内容。要求有全过程防护及安装的分项方案。</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搭建临时安全通道，保证人员的正常出行。</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对关键施工技术、工艺及工程项目的重点、难点提出合理解决方案。</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明确现场服务人员组织架构、人员数量及年龄架构。至少包含项目负责人与安全员。（签订合同时提供相关人员信息）</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制定施工期间的相关保护措施，施工时不得影响大楼正常使用，不得破坏原有装修、设备等。保证大楼的用电、环保、卫生、安全、防疫等方面要求。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负责保管、看护更换的电梯及附属配件。应对电梯、电梯附属配件、安装设备（工具）等进行适当的保护、包装或覆盖等处理，避免受损。</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安装调试人员应注意保护电梯邻近的设备、管线等，如造成损坏，中标供应商应负责修复及承担一切相关费用。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应及时清理安装调试期间产生的垃圾。</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在更换工作完成后须通知采购人，并将电梯更换中的有关技术资料移交给电梯维保单位及采购人。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应积极配合政府部门的检测验收，如因供应商的原因未能通过相关政府部门的检测验收，应无偿整改，且相关责任及产生的费用均由供应商承担，直至验收合格为止。</w:t>
      </w:r>
      <w:r/>
    </w:p>
    <w:p>
      <w:pPr>
        <w:ind w:firstLine="480"/>
        <w:spacing w:line="264" w:lineRule="auto"/>
        <w:rPr>
          <w:rFonts w:hint="eastAsia" w:ascii="宋体" w:hAnsi="宋体" w:cs="宋体"/>
          <w:color w:val="auto"/>
          <w:sz w:val="24"/>
          <w:szCs w:val="24"/>
          <w:highlight w:val="yellow"/>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）质量要求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①供应商保证货物是全新、未使用过的原装合格正品。</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②供应商保证提供的产品不得侵犯第三方专利权、商标权和工业设计权、版权等</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否则供应商应负全部责任，并承担由此引起的一切后果。</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③供应商提供的货物符合国家有关质量技术标准及相关法律、法规规定的要求。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④供应商保证其货物在正常使用时，其使用寿命期内应具有良好的性能。货物最终验收后，供应商对由于设计、工艺或材料的缺陷而发生的任何不足或质量问题负责，并承担由此引起的一切后果。</w:t>
      </w:r>
      <w:r/>
    </w:p>
    <w:p>
      <w:pPr>
        <w:ind w:firstLine="480"/>
        <w:spacing w:line="264" w:lineRule="auto"/>
        <w:rPr>
          <w:rFonts w:hint="eastAsia" w:ascii="宋体" w:hAnsi="宋体" w:cs="宋体"/>
          <w:color w:val="auto"/>
          <w:sz w:val="24"/>
          <w:szCs w:val="24"/>
          <w:highlight w:val="yellow"/>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）验收要求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①验收标准：供应商提供的设备必须符合我国最新颁布的与之相关的技术规范与标准。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②供应商负责电梯制作、运输、现场安装调试、向政府相关部门报验并承担相关费用。最终得到政府相关部门验收合格、取得新电梯特种设备注册登记证为止，</w:t>
      </w:r>
      <w:r>
        <w:rPr>
          <w:rFonts w:hint="eastAsia" w:ascii="宋体" w:hAnsi="宋体" w:cs="宋体"/>
          <w:color w:val="auto"/>
          <w:sz w:val="24"/>
          <w:szCs w:val="24"/>
          <w:lang w:val="en-US" w:eastAsia="zh-CN"/>
        </w:rPr>
        <w:t xml:space="preserve">即</w:t>
      </w:r>
      <w:r>
        <w:rPr>
          <w:rFonts w:hint="eastAsia" w:ascii="宋体" w:hAnsi="宋体" w:cs="宋体"/>
          <w:color w:val="auto"/>
          <w:sz w:val="24"/>
          <w:szCs w:val="24"/>
        </w:rPr>
        <w:t xml:space="preserve">为交钥匙工程。</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④所供货物因质量或安装不当导致验收不合格，应及时处理直至验收合格，期间产生的一切费用由供应商承担；若二次验收不合格，采购人有权退货。采购人在此期间保留对供应商的索赔权利。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⑤供应商授权的技术人员在最终采购人指定地点开箱、安装、调试，协同采购人一起进行验收，直至设备技术指标经验收合格，出具验收报告，经采购人同意签字才能正式交付使用。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⑥产品配置符合投标文件承诺。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⑦项目验收时间：向政府相关部门报验，最终得到政府相关部门验收合格、取得新电梯特种设备注册登记证后七个工作日内。</w:t>
      </w:r>
      <w:r/>
    </w:p>
    <w:p>
      <w:pPr>
        <w:ind w:firstLine="480"/>
        <w:spacing w:line="264" w:lineRule="auto"/>
        <w:rPr>
          <w:rFonts w:hint="eastAsia" w:ascii="宋体" w:hAnsi="宋体" w:cs="宋体"/>
          <w:color w:val="auto"/>
          <w:sz w:val="24"/>
          <w:szCs w:val="24"/>
          <w:highlight w:val="yellow"/>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）质保（维保）、售后及培训要求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1）质保要求：供应商须提供电梯质保（维保）</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签订合同时提供加盖供应商公章的质量与售后服务承诺书），本项目整体质保2年，质保期自经政府部门验收合格、并取得南京市质监部门出具的验收报告和颁发的安全验收合格运行许可证之日起算。（质保期内供应商负责电梯年检，费用包含在投标报价中；</w:t>
      </w:r>
      <w:r>
        <w:rPr>
          <w:rFonts w:ascii="Arial" w:hAnsi="Arial" w:eastAsia="Arial" w:cs="Arial"/>
          <w:color w:val="auto"/>
          <w:sz w:val="24"/>
        </w:rPr>
        <w:t xml:space="preserve">供应商不得转包本项目，未经采购人书面同意不得分包项目主体及关键维保工作</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2）售后服务要求：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①按照《电梯使用管理与维护保养规则》（TSG T5002-2017）的规定完成半月、季度、半年、年度维保项目，并做好维护保养记录。</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80"/>
        <w:spacing w:line="264" w:lineRule="auto"/>
        <w:rPr>
          <w:rFonts w:hint="eastAsia" w:ascii="宋体" w:hAnsi="宋体" w:cs="宋体"/>
          <w:color w:val="auto"/>
          <w:sz w:val="24"/>
          <w:szCs w:val="24"/>
          <w:highlight w:val="yellow"/>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）培训要求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供应商应负责对采购人相关人员进行全面培训，使受训者能够独立、熟练地完成各项操作，实现系统的目标和功能。培训应达到以下目标：操作人员能熟练使用各项电梯功能，完成日常工作;能全面了解各系统运行模式，熟知业务流程，能判断一般故障;全面掌握系统安装、设置和使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）人员要求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本项目实施人员不少于5人，其中项目经理1人。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3.付款条件</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以第三章合同文本内容为准。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4.交付时间及地点</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（1）交付时间：合同签订后60天内交付并完成安装调试及验收等相关工作。</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（2）交付地点：采购人指定地点。</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以第三章合同文本内容为准。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6.其他要求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rPr>
          <w:rFonts w:hint="eastAsia" w:ascii="方正小标宋简体" w:hAnsi="方正小标宋简体" w:eastAsia="方正小标宋简体" w:cs="方正小标宋简体"/>
          <w:color w:val="auto"/>
          <w:sz w:val="36"/>
          <w:szCs w:val="36"/>
        </w:rPr>
        <w:outlineLvl w:val="0"/>
      </w:pPr>
      <w:r/>
      <w:bookmarkStart w:id="60" w:name="_Toc120614281"/>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1.采用综合评分法，评标结果按评审后得分由</w:t>
      </w:r>
      <w:r>
        <w:rPr>
          <w:rFonts w:hint="eastAsia" w:ascii="宋体" w:hAnsi="宋体" w:cs="宋体"/>
          <w:color w:val="auto"/>
          <w:sz w:val="24"/>
          <w:szCs w:val="24"/>
        </w:rPr>
        <w:t xml:space="preserve">高到低顺序排列。得分相同的，按投标报价由低到高顺序排列。得分且投标报价相同的，按“评标标准-2.技术”得分由高到低顺序排列。在投标文件满足招标文件全部实质性要求的供应商中，按照评审得分由高到低推荐</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w:t>
      </w:r>
      <w:bookmarkStart w:id="69" w:name="_GoBack"/>
      <w:r>
        <w:rPr>
          <w:rFonts w:hint="eastAsia" w:ascii="宋体" w:hAnsi="宋体" w:eastAsia="宋体" w:cs="Times New Roman"/>
          <w:b/>
          <w:bCs/>
          <w:color w:val="auto"/>
          <w:sz w:val="24"/>
          <w:szCs w:val="24"/>
          <w:highlight w:val="none"/>
          <w:lang w:val="en-US" w:eastAsia="zh-CN"/>
        </w:rPr>
        <w:t xml:space="preserve">分项报价表</w:t>
      </w:r>
      <w:bookmarkEnd w:id="69"/>
      <w:r>
        <w:rPr>
          <w:rFonts w:hint="eastAsia" w:ascii="宋体" w:hAnsi="宋体" w:eastAsia="宋体" w:cs="Times New Roman"/>
          <w:b/>
          <w:bCs/>
          <w:color w:val="auto"/>
          <w:sz w:val="24"/>
          <w:szCs w:val="24"/>
          <w:highlight w:val="none"/>
          <w:lang w:val="en-US" w:eastAsia="zh-CN"/>
        </w:rPr>
        <w:t xml:space="preserve">》中作出承诺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auto"/>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spacing w:line="264" w:lineRule="auto"/>
        <w:rPr>
          <w:rFonts w:hint="eastAsia"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cs="宋体"/>
          <w:color w:val="auto"/>
          <w:sz w:val="24"/>
          <w:szCs w:val="24"/>
        </w:rPr>
        <w:t xml:space="preserve">的扣除，用扣除后</w:t>
      </w:r>
      <w:r>
        <w:rPr>
          <w:rFonts w:hint="eastAsia" w:ascii="宋体" w:hAnsi="宋体" w:cs="宋体"/>
          <w:color w:val="auto"/>
          <w:sz w:val="24"/>
          <w:szCs w:val="24"/>
        </w:rPr>
        <w:t xml:space="preserve">的价格参与评审。</w:t>
      </w:r>
      <w:r/>
    </w:p>
    <w:p>
      <w:pPr>
        <w:ind w:firstLine="480"/>
        <w:spacing w:line="264" w:lineRule="auto"/>
        <w:rPr>
          <w:rFonts w:hint="eastAsia" w:ascii="黑体" w:hAnsi="黑体" w:eastAsia="黑体" w:cs="黑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color w:val="auto"/>
          <w:sz w:val="24"/>
          <w:szCs w:val="24"/>
        </w:rPr>
      </w:pPr>
      <w:r>
        <w:rPr>
          <w:rFonts w:hint="eastAsia" w:ascii="黑体" w:hAnsi="黑体" w:eastAsia="黑体" w:cs="黑体"/>
          <w:color w:val="auto"/>
          <w:sz w:val="24"/>
          <w:szCs w:val="24"/>
        </w:rPr>
        <w:t xml:space="preserve">四、评标标准</w:t>
      </w:r>
      <w:r/>
    </w:p>
    <w:tbl>
      <w:tblPr>
        <w:tblStyle w:val="993"/>
        <w:tblpPr w:horzAnchor="page" w:tblpX="1173" w:vertAnchor="text" w:tblpY="300" w:leftFromText="180" w:topFromText="0" w:rightFromText="180" w:bottomFromText="0"/>
        <w:tblW w:w="957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序号</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评审因素</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评审细则</w:t>
            </w:r>
            <w:r/>
          </w:p>
        </w:tc>
        <w:tc>
          <w:tcPr>
            <w:tcW w:w="647"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分值</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类型</w:t>
            </w:r>
            <w:r/>
          </w:p>
        </w:tc>
      </w:tr>
      <w:tr>
        <w:trPr>
          <w:trHeight w:val="460"/>
        </w:trPr>
        <w:tc>
          <w:tcPr>
            <w:gridSpan w:val="5"/>
            <w:tcW w:w="9575" w:type="dxa"/>
            <w:vAlign w:val="top"/>
            <w:textDirection w:val="lrTb"/>
            <w:noWrap w:val="false"/>
          </w:tcPr>
          <w:p>
            <w:pPr>
              <w:numPr>
                <w:ilvl w:val="0"/>
                <w:numId w:val="0"/>
              </w:numPr>
              <w:rPr>
                <w:rFonts w:hint="default"/>
                <w:color w:val="auto"/>
                <w:lang w:val="en-US" w:eastAsia="zh-CN"/>
              </w:rPr>
            </w:pPr>
            <w:r>
              <w:rPr>
                <w:rFonts w:hint="default"/>
                <w:color w:val="auto"/>
                <w:lang w:val="en-US" w:eastAsia="zh-CN"/>
              </w:rPr>
              <w:t xml:space="preserve">1.价格</w:t>
            </w:r>
            <w:r/>
          </w:p>
        </w:tc>
      </w:tr>
      <w:tr>
        <w:trPr>
          <w:trHeight w:val="1030"/>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1.1</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价格分</w:t>
            </w:r>
            <w:r/>
          </w:p>
        </w:tc>
        <w:tc>
          <w:tcPr>
            <w:tcW w:w="6330" w:type="dxa"/>
            <w:vAlign w:val="center"/>
            <w:textDirection w:val="lrTb"/>
            <w:noWrap w:val="false"/>
          </w:tcPr>
          <w:p>
            <w:pPr>
              <w:numPr>
                <w:ilvl w:val="0"/>
                <w:numId w:val="0"/>
              </w:numPr>
              <w:rPr>
                <w:rFonts w:hint="default"/>
                <w:color w:val="auto"/>
                <w:highlight w:val="none"/>
                <w:lang w:val="en-US" w:eastAsia="zh-CN"/>
              </w:rPr>
            </w:pPr>
            <w:r>
              <w:rPr>
                <w:rFonts w:hint="default"/>
                <w:color w:val="auto"/>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numPr>
                <w:ilvl w:val="0"/>
                <w:numId w:val="0"/>
              </w:numPr>
              <w:rPr>
                <w:rFonts w:hint="default"/>
                <w:color w:val="auto"/>
                <w:lang w:val="en-US" w:eastAsia="zh-CN"/>
              </w:rPr>
            </w:pPr>
            <w:r>
              <w:rPr>
                <w:rFonts w:hint="default"/>
                <w:color w:val="auto"/>
                <w:highlight w:val="none"/>
                <w:lang w:val="en-US" w:eastAsia="zh-CN"/>
              </w:rPr>
              <w:t xml:space="preserve">因</w:t>
            </w:r>
            <w:r>
              <w:rPr>
                <w:rFonts w:hint="default"/>
                <w:color w:val="auto"/>
                <w:highlight w:val="none"/>
                <w:lang w:val="en-US" w:eastAsia="zh-CN"/>
              </w:rPr>
              <w:t xml:space="preserve">落实</w:t>
            </w:r>
            <w:r>
              <w:rPr>
                <w:rFonts w:hint="default"/>
                <w:color w:val="auto"/>
                <w:highlight w:val="none"/>
                <w:lang w:val="en-US" w:eastAsia="zh-CN"/>
              </w:rPr>
              <w:t xml:space="preserve">政府</w:t>
            </w:r>
            <w:r>
              <w:rPr>
                <w:rFonts w:hint="default"/>
                <w:color w:val="auto"/>
                <w:highlight w:val="none"/>
                <w:lang w:val="en-US" w:eastAsia="zh-CN"/>
              </w:rPr>
              <w:t xml:space="preserve">采购</w:t>
            </w:r>
            <w:r>
              <w:rPr>
                <w:rFonts w:hint="default"/>
                <w:color w:val="auto"/>
                <w:highlight w:val="none"/>
                <w:lang w:val="en-US" w:eastAsia="zh-CN"/>
              </w:rPr>
              <w:t xml:space="preserve">政策</w:t>
            </w:r>
            <w:r>
              <w:rPr>
                <w:rFonts w:hint="default"/>
                <w:color w:val="auto"/>
                <w:highlight w:val="none"/>
                <w:lang w:val="en-US" w:eastAsia="zh-CN"/>
              </w:rPr>
              <w:t xml:space="preserve">进行</w:t>
            </w:r>
            <w:r>
              <w:rPr>
                <w:rFonts w:hint="default"/>
                <w:color w:val="auto"/>
                <w:highlight w:val="none"/>
                <w:lang w:val="en-US" w:eastAsia="zh-CN"/>
              </w:rPr>
              <w:t xml:space="preserve">价格</w:t>
            </w:r>
            <w:r>
              <w:rPr>
                <w:rFonts w:hint="default"/>
                <w:color w:val="auto"/>
                <w:highlight w:val="none"/>
                <w:lang w:val="en-US" w:eastAsia="zh-CN"/>
              </w:rPr>
              <w:t xml:space="preserve">调整的</w:t>
            </w:r>
            <w:r>
              <w:rPr>
                <w:rFonts w:hint="default"/>
                <w:color w:val="auto"/>
                <w:highlight w:val="none"/>
                <w:lang w:val="en-US" w:eastAsia="zh-CN"/>
              </w:rPr>
              <w:t xml:space="preserve">，</w:t>
            </w:r>
            <w:r>
              <w:rPr>
                <w:rFonts w:hint="default"/>
                <w:color w:val="auto"/>
                <w:highlight w:val="none"/>
                <w:lang w:val="en-US" w:eastAsia="zh-CN"/>
              </w:rPr>
              <w:t xml:space="preserve">以</w:t>
            </w:r>
            <w:r>
              <w:rPr>
                <w:rFonts w:hint="default"/>
                <w:color w:val="auto"/>
                <w:highlight w:val="none"/>
                <w:lang w:val="en-US" w:eastAsia="zh-CN"/>
              </w:rPr>
              <w:t xml:space="preserve">调整</w:t>
            </w:r>
            <w:r>
              <w:rPr>
                <w:rFonts w:hint="default"/>
                <w:color w:val="auto"/>
                <w:highlight w:val="none"/>
                <w:lang w:val="en-US" w:eastAsia="zh-CN"/>
              </w:rPr>
              <w:t xml:space="preserve">后</w:t>
            </w:r>
            <w:r>
              <w:rPr>
                <w:rFonts w:hint="default"/>
                <w:color w:val="auto"/>
                <w:highlight w:val="none"/>
                <w:lang w:val="en-US" w:eastAsia="zh-CN"/>
              </w:rPr>
              <w:t xml:space="preserve">的</w:t>
            </w:r>
            <w:r>
              <w:rPr>
                <w:rFonts w:hint="default"/>
                <w:color w:val="auto"/>
                <w:highlight w:val="none"/>
                <w:lang w:val="en-US" w:eastAsia="zh-CN"/>
              </w:rPr>
              <w:t xml:space="preserve">价格</w:t>
            </w:r>
            <w:r>
              <w:rPr>
                <w:rFonts w:hint="default"/>
                <w:color w:val="auto"/>
                <w:highlight w:val="none"/>
                <w:lang w:val="en-US" w:eastAsia="zh-CN"/>
              </w:rPr>
              <w:t xml:space="preserve">计算</w:t>
            </w:r>
            <w:r>
              <w:rPr>
                <w:rFonts w:hint="default"/>
                <w:color w:val="auto"/>
                <w:highlight w:val="none"/>
                <w:lang w:val="en-US" w:eastAsia="zh-CN"/>
              </w:rPr>
              <w:t xml:space="preserve">评标</w:t>
            </w:r>
            <w:r>
              <w:rPr>
                <w:rFonts w:hint="default"/>
                <w:color w:val="auto"/>
                <w:highlight w:val="none"/>
                <w:lang w:val="en-US" w:eastAsia="zh-CN"/>
              </w:rPr>
              <w:t xml:space="preserve">基准价</w:t>
            </w:r>
            <w:r>
              <w:rPr>
                <w:rFonts w:hint="default"/>
                <w:color w:val="auto"/>
                <w:highlight w:val="none"/>
                <w:lang w:val="en-US" w:eastAsia="zh-CN"/>
              </w:rPr>
              <w:t xml:space="preserve">和</w:t>
            </w:r>
            <w:r>
              <w:rPr>
                <w:rFonts w:hint="default"/>
                <w:color w:val="auto"/>
                <w:highlight w:val="none"/>
                <w:lang w:val="en-US" w:eastAsia="zh-CN"/>
              </w:rPr>
              <w:t xml:space="preserve">投标</w:t>
            </w:r>
            <w:r>
              <w:rPr>
                <w:rFonts w:hint="default"/>
                <w:color w:val="auto"/>
                <w:highlight w:val="none"/>
                <w:lang w:val="en-US" w:eastAsia="zh-CN"/>
              </w:rPr>
              <w:t xml:space="preserve">报价</w:t>
            </w:r>
            <w:r>
              <w:rPr>
                <w:rFonts w:hint="default"/>
                <w:color w:val="auto"/>
                <w:highlight w:val="none"/>
                <w:lang w:val="en-US" w:eastAsia="zh-CN"/>
              </w:rPr>
              <w:t xml:space="preserve">。</w:t>
            </w:r>
            <w:r>
              <w:rPr>
                <w:rFonts w:hint="default"/>
                <w:color w:val="auto"/>
                <w:highlight w:val="none"/>
                <w:lang w:val="en-US" w:eastAsia="zh-CN"/>
              </w:rPr>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30</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价格分</w:t>
            </w:r>
            <w:r/>
          </w:p>
        </w:tc>
      </w:tr>
      <w:tr>
        <w:trPr>
          <w:trHeight w:val="460"/>
        </w:trPr>
        <w:tc>
          <w:tcPr>
            <w:gridSpan w:val="5"/>
            <w:tcW w:w="9575" w:type="dxa"/>
            <w:vAlign w:val="top"/>
            <w:textDirection w:val="lrTb"/>
            <w:noWrap w:val="false"/>
          </w:tcPr>
          <w:p>
            <w:pPr>
              <w:numPr>
                <w:ilvl w:val="0"/>
                <w:numId w:val="0"/>
              </w:numPr>
              <w:rPr>
                <w:rFonts w:hint="default"/>
                <w:color w:val="auto"/>
                <w:lang w:val="en-US" w:eastAsia="zh-CN"/>
              </w:rPr>
            </w:pPr>
            <w:r>
              <w:rPr>
                <w:rFonts w:hint="default"/>
                <w:color w:val="auto"/>
                <w:lang w:val="en-US" w:eastAsia="zh-CN"/>
              </w:rPr>
              <w:t xml:space="preserve">2.技术</w:t>
            </w:r>
            <w:r/>
          </w:p>
        </w:tc>
      </w:tr>
      <w:tr>
        <w:trPr>
          <w:trHeight w:val="891"/>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2.1</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产品技术参数</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产品技术参数全部满足招标要求的得满分，打★指标为必须满足项，如有负偏离将作为无效投标，打▲指标（共</w:t>
            </w:r>
            <w:r>
              <w:rPr>
                <w:rFonts w:hint="eastAsia"/>
                <w:color w:val="auto"/>
                <w:lang w:val="en-US" w:eastAsia="zh-CN"/>
              </w:rPr>
              <w:t xml:space="preserve">6</w:t>
            </w:r>
            <w:r>
              <w:rPr>
                <w:rFonts w:hint="default"/>
                <w:color w:val="auto"/>
                <w:lang w:val="en-US" w:eastAsia="zh-CN"/>
              </w:rPr>
              <w:t xml:space="preserve">项）为重要指标，有1项负偏离扣1分，其余指标</w:t>
            </w:r>
            <w:r>
              <w:rPr>
                <w:rFonts w:hint="eastAsia"/>
                <w:color w:val="auto"/>
                <w:lang w:val="en-US" w:eastAsia="zh-CN"/>
              </w:rPr>
              <w:t xml:space="preserve">（59项）</w:t>
            </w:r>
            <w:r>
              <w:rPr>
                <w:rFonts w:hint="default"/>
                <w:color w:val="auto"/>
                <w:lang w:val="en-US" w:eastAsia="zh-CN"/>
              </w:rPr>
              <w:t xml:space="preserve">有1项负偏离扣</w:t>
            </w:r>
            <w:r>
              <w:rPr>
                <w:rFonts w:hint="eastAsia"/>
                <w:color w:val="auto"/>
                <w:lang w:val="en-US" w:eastAsia="zh-CN"/>
              </w:rPr>
              <w:t xml:space="preserve">0.16</w:t>
            </w:r>
            <w:r>
              <w:rPr>
                <w:rFonts w:hint="default"/>
                <w:color w:val="auto"/>
                <w:lang w:val="en-US" w:eastAsia="zh-CN"/>
              </w:rPr>
              <w:t xml:space="preserve">分。</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16</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客观分</w:t>
            </w:r>
            <w:r/>
          </w:p>
        </w:tc>
      </w:tr>
      <w:tr>
        <w:trPr>
          <w:trHeight w:val="889"/>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2.2</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曳引媒介的耐用性</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根据所投电梯曳引媒介（钢丝绳或钢带）疲劳测试折弯次数进行打分，测试次数≥2500万次的得3分，2500万次＞测试次数≥2000万次的得2分，2000万次＞测试次数≥1500万次的得1分，其他不得分。</w:t>
            </w:r>
            <w:r/>
          </w:p>
          <w:p>
            <w:pPr>
              <w:numPr>
                <w:ilvl w:val="0"/>
                <w:numId w:val="0"/>
              </w:numPr>
              <w:rPr>
                <w:rFonts w:hint="default"/>
                <w:color w:val="auto"/>
                <w:lang w:val="en-US" w:eastAsia="zh-CN"/>
              </w:rPr>
            </w:pPr>
            <w:r>
              <w:rPr>
                <w:rFonts w:hint="default"/>
                <w:color w:val="auto"/>
                <w:lang w:val="en-US" w:eastAsia="zh-CN"/>
              </w:rPr>
              <w:t xml:space="preserve">（提供符合国家及行业相关管理规范要求的第三方检测机构出具的试验报告，需反映以上参数。未提供或提供不符合要求的不得分）</w:t>
            </w:r>
            <w:r/>
          </w:p>
          <w:p>
            <w:pPr>
              <w:numPr>
                <w:ilvl w:val="0"/>
                <w:numId w:val="0"/>
              </w:numPr>
              <w:rPr>
                <w:rFonts w:hint="default"/>
                <w:color w:val="auto"/>
                <w:lang w:val="en-US" w:eastAsia="zh-CN"/>
              </w:rPr>
            </w:pPr>
            <w:r>
              <w:rPr>
                <w:rFonts w:hint="default"/>
                <w:color w:val="auto"/>
                <w:lang w:val="en-US" w:eastAsia="zh-CN"/>
              </w:rPr>
              <w:t xml:space="preserve">注：</w:t>
            </w:r>
            <w:r/>
          </w:p>
          <w:p>
            <w:pPr>
              <w:numPr>
                <w:ilvl w:val="0"/>
                <w:numId w:val="0"/>
              </w:numPr>
              <w:rPr>
                <w:rFonts w:hint="default"/>
                <w:color w:val="auto"/>
                <w:lang w:val="en-US" w:eastAsia="zh-CN"/>
              </w:rPr>
            </w:pPr>
            <w:r>
              <w:rPr>
                <w:rFonts w:hint="default"/>
                <w:color w:val="auto"/>
                <w:lang w:val="en-US" w:eastAsia="zh-CN"/>
              </w:rPr>
              <w:t xml:space="preserve">所提供型式试验报告中“产品名称和检测内容”与评分细则规定不同时，应提供符合上述要求的内容（功能）说明及关键信息，否则不予认可。为方便评委评审，功能参数可用箭头、标红或下划线等进行明显标注。</w:t>
            </w:r>
            <w:r/>
          </w:p>
          <w:p>
            <w:pPr>
              <w:numPr>
                <w:ilvl w:val="0"/>
                <w:numId w:val="0"/>
              </w:numPr>
              <w:rPr>
                <w:rFonts w:hint="default"/>
                <w:color w:val="auto"/>
                <w:lang w:val="en-US" w:eastAsia="zh-CN"/>
              </w:rPr>
            </w:pPr>
            <w:r>
              <w:rPr>
                <w:rFonts w:hint="default"/>
                <w:color w:val="auto"/>
                <w:lang w:val="en-US" w:eastAsia="zh-CN"/>
              </w:rPr>
              <w:t xml:space="preserve">所提供型式试验报告一律采用最新的标准；随着标准的修订，以修订后的最新标准为依据。</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3</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客观分</w:t>
            </w:r>
            <w:r/>
          </w:p>
        </w:tc>
      </w:tr>
      <w:tr>
        <w:trPr>
          <w:trHeight w:val="889"/>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2.3</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安全部件稳定性</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1.所投电梯重要安全部件，安全钳模拟试验寿命（A值）进行评定：A＞40年，得3分；40年≥A＞35年，得2分；35年≥A＞30年，得1分；其余不得分。（提供符合国家及行业相关管理规范要求的第三方检测机构出具的检测报告，未提供或提供不符合要求的不得分）</w:t>
            </w:r>
            <w:r/>
          </w:p>
          <w:p>
            <w:pPr>
              <w:numPr>
                <w:ilvl w:val="0"/>
                <w:numId w:val="0"/>
              </w:numPr>
              <w:rPr>
                <w:rFonts w:hint="default"/>
                <w:color w:val="auto"/>
                <w:lang w:val="en-US" w:eastAsia="zh-CN"/>
              </w:rPr>
            </w:pPr>
            <w:r>
              <w:rPr>
                <w:rFonts w:hint="default"/>
                <w:color w:val="auto"/>
                <w:lang w:val="en-US" w:eastAsia="zh-CN"/>
              </w:rPr>
              <w:t xml:space="preserve">2.所投电梯重要安全部件，限速器模拟试验寿命（A值）进行评定：A＞40年，得3分；40年≥A＞35年，得2分；35年≥A＞30年，得1分；其余不得分。（提供符合国家及行业相关管理规范要求的第三方检测机构出具的检测报告，未提供或提供不符合要求的不得分）</w:t>
            </w:r>
            <w:r/>
          </w:p>
          <w:p>
            <w:pPr>
              <w:numPr>
                <w:ilvl w:val="0"/>
                <w:numId w:val="0"/>
              </w:numPr>
              <w:rPr>
                <w:rFonts w:hint="default"/>
                <w:color w:val="auto"/>
                <w:lang w:val="en-US" w:eastAsia="zh-CN"/>
              </w:rPr>
            </w:pPr>
            <w:r>
              <w:rPr>
                <w:rFonts w:hint="default"/>
                <w:color w:val="auto"/>
                <w:lang w:val="en-US" w:eastAsia="zh-CN"/>
              </w:rPr>
              <w:t xml:space="preserve">3.所投电梯重要安全部件，缓冲器模拟试验寿命（A值）进行评定：A＞40年，得3分；40年≥A＞35年，得2分；35年≥A＞30年，得1分；其余不得分。（提供符合国家及行业相关管理规范要求的第三方检测机构出具的检测报告，未提供或提供不符合要求的不得分）</w:t>
            </w:r>
            <w:r/>
          </w:p>
          <w:p>
            <w:pPr>
              <w:numPr>
                <w:ilvl w:val="0"/>
                <w:numId w:val="0"/>
              </w:numPr>
              <w:rPr>
                <w:rFonts w:hint="default"/>
                <w:color w:val="auto"/>
                <w:lang w:val="en-US" w:eastAsia="zh-CN"/>
              </w:rPr>
            </w:pPr>
            <w:r>
              <w:rPr>
                <w:rFonts w:hint="default"/>
                <w:color w:val="auto"/>
                <w:lang w:val="en-US" w:eastAsia="zh-CN"/>
              </w:rPr>
              <w:t xml:space="preserve">注：</w:t>
            </w:r>
            <w:r/>
          </w:p>
          <w:p>
            <w:pPr>
              <w:numPr>
                <w:ilvl w:val="0"/>
                <w:numId w:val="0"/>
              </w:numPr>
              <w:rPr>
                <w:rFonts w:hint="default"/>
                <w:color w:val="auto"/>
                <w:lang w:val="en-US" w:eastAsia="zh-CN"/>
              </w:rPr>
            </w:pPr>
            <w:r>
              <w:rPr>
                <w:rFonts w:hint="default"/>
                <w:color w:val="auto"/>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p>
          <w:p>
            <w:pPr>
              <w:numPr>
                <w:ilvl w:val="0"/>
                <w:numId w:val="0"/>
              </w:numPr>
              <w:rPr>
                <w:rFonts w:hint="default"/>
                <w:color w:val="auto"/>
                <w:lang w:val="en-US" w:eastAsia="zh-CN"/>
              </w:rPr>
            </w:pPr>
            <w:r>
              <w:rPr>
                <w:rFonts w:hint="default"/>
                <w:color w:val="auto"/>
                <w:lang w:val="en-US" w:eastAsia="zh-CN"/>
              </w:rPr>
              <w:t xml:space="preserve">（2）所提供检测报告一律采用最新的标准；随着标准的修订，以修订后的最新标准为依据。</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9</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客观分</w:t>
            </w:r>
            <w:r/>
          </w:p>
        </w:tc>
      </w:tr>
      <w:tr>
        <w:trPr>
          <w:trHeight w:val="90"/>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2.4</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制动器稳定性</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所投品牌电梯驱动主机制动器无故障运行寿命打分，无故障运行次数为A值：A＞2300万，得5分；2300万≥A＞2000万，得3分；2000万≥A＞1500万，得1分；其余不得分。（提供符合国家及行业相关管理规范要求的第三方检测机构出具的检测报告，未提供或提供不符合要求的不得分）</w:t>
            </w:r>
            <w:r/>
          </w:p>
          <w:p>
            <w:pPr>
              <w:numPr>
                <w:ilvl w:val="0"/>
                <w:numId w:val="0"/>
              </w:numPr>
              <w:rPr>
                <w:rFonts w:hint="default"/>
                <w:color w:val="auto"/>
                <w:lang w:val="en-US" w:eastAsia="zh-CN"/>
              </w:rPr>
            </w:pPr>
            <w:r>
              <w:rPr>
                <w:rFonts w:hint="default"/>
                <w:color w:val="auto"/>
                <w:lang w:val="en-US" w:eastAsia="zh-CN"/>
              </w:rPr>
              <w:t xml:space="preserve">注：</w:t>
            </w:r>
            <w:r/>
          </w:p>
          <w:p>
            <w:pPr>
              <w:numPr>
                <w:ilvl w:val="0"/>
                <w:numId w:val="0"/>
              </w:numPr>
              <w:rPr>
                <w:rFonts w:hint="default"/>
                <w:color w:val="auto"/>
                <w:lang w:val="en-US" w:eastAsia="zh-CN"/>
              </w:rPr>
            </w:pPr>
            <w:r>
              <w:rPr>
                <w:rFonts w:hint="default"/>
                <w:color w:val="auto"/>
                <w:lang w:val="en-US" w:eastAsia="zh-CN"/>
              </w:rPr>
              <w:t xml:space="preserve">（1）所提供检测报告中“产品名称和检测内容”与评分细则规定不同时，应提供符合上述要求的内容（功能）说明及关键信息，否则不予认可。为方便评委评审，功能参数可用箭头、标红或下划线等进行明显标注。</w:t>
            </w:r>
            <w:r/>
          </w:p>
          <w:p>
            <w:pPr>
              <w:numPr>
                <w:ilvl w:val="0"/>
                <w:numId w:val="0"/>
              </w:numPr>
              <w:rPr>
                <w:rFonts w:hint="default"/>
                <w:color w:val="auto"/>
                <w:lang w:val="en-US" w:eastAsia="zh-CN"/>
              </w:rPr>
            </w:pPr>
            <w:r>
              <w:rPr>
                <w:rFonts w:hint="default"/>
                <w:color w:val="auto"/>
                <w:lang w:val="en-US" w:eastAsia="zh-CN"/>
              </w:rPr>
              <w:t xml:space="preserve">（2）所提供检测报告一律采用最新的标准；随着标准的修订，以修订后的最新标准为依据。</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5</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客观分</w:t>
            </w:r>
            <w:r/>
          </w:p>
        </w:tc>
      </w:tr>
      <w:tr>
        <w:trPr>
          <w:trHeight w:val="889"/>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2.5</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电梯光幕的安全性</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所投电梯光幕安全性评分：</w:t>
            </w:r>
            <w:r/>
          </w:p>
          <w:p>
            <w:pPr>
              <w:numPr>
                <w:ilvl w:val="0"/>
                <w:numId w:val="0"/>
              </w:numPr>
              <w:rPr>
                <w:rFonts w:hint="default"/>
                <w:color w:val="auto"/>
                <w:lang w:val="en-US" w:eastAsia="zh-CN"/>
              </w:rPr>
            </w:pPr>
            <w:r>
              <w:rPr>
                <w:rFonts w:hint="default"/>
                <w:color w:val="auto"/>
                <w:lang w:val="en-US" w:eastAsia="zh-CN"/>
              </w:rPr>
              <w:t xml:space="preserve">以遮挡物进行遮挡试验，正常工作状态下无故障，遮挡次数＞2000万次，得</w:t>
            </w:r>
            <w:r>
              <w:rPr>
                <w:rFonts w:hint="eastAsia"/>
                <w:color w:val="auto"/>
                <w:lang w:val="en-US" w:eastAsia="zh-CN"/>
              </w:rPr>
              <w:t xml:space="preserve">2</w:t>
            </w:r>
            <w:r>
              <w:rPr>
                <w:rFonts w:hint="default"/>
                <w:color w:val="auto"/>
                <w:lang w:val="en-US" w:eastAsia="zh-CN"/>
              </w:rPr>
              <w:t xml:space="preserve">分。</w:t>
            </w:r>
            <w:r/>
          </w:p>
          <w:p>
            <w:pPr>
              <w:numPr>
                <w:ilvl w:val="0"/>
                <w:numId w:val="0"/>
              </w:numPr>
              <w:rPr>
                <w:rFonts w:hint="default"/>
                <w:color w:val="auto"/>
                <w:lang w:val="en-US" w:eastAsia="zh-CN"/>
              </w:rPr>
            </w:pPr>
            <w:r>
              <w:rPr>
                <w:rFonts w:hint="default"/>
                <w:color w:val="auto"/>
                <w:lang w:val="en-US" w:eastAsia="zh-CN"/>
              </w:rPr>
              <w:t xml:space="preserve">注：</w:t>
            </w:r>
            <w:r/>
          </w:p>
          <w:p>
            <w:pPr>
              <w:numPr>
                <w:ilvl w:val="0"/>
                <w:numId w:val="0"/>
              </w:numPr>
              <w:rPr>
                <w:rFonts w:hint="default"/>
                <w:color w:val="auto"/>
                <w:lang w:val="en-US" w:eastAsia="zh-CN"/>
              </w:rPr>
            </w:pPr>
            <w:r>
              <w:rPr>
                <w:rFonts w:hint="default"/>
                <w:color w:val="auto"/>
                <w:lang w:val="en-US" w:eastAsia="zh-CN"/>
              </w:rPr>
              <w:t xml:space="preserve">（1）以上提供符合国家及行业相关管理规范要求的第三方检测机构出具的检测报告，未提供或提供不符合要求的不得分；</w:t>
            </w:r>
            <w:r/>
          </w:p>
          <w:p>
            <w:pPr>
              <w:numPr>
                <w:ilvl w:val="0"/>
                <w:numId w:val="0"/>
              </w:numPr>
              <w:rPr>
                <w:rFonts w:hint="default"/>
                <w:color w:val="auto"/>
                <w:lang w:val="en-US" w:eastAsia="zh-CN"/>
              </w:rPr>
            </w:pPr>
            <w:r>
              <w:rPr>
                <w:rFonts w:hint="default"/>
                <w:color w:val="auto"/>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p>
          <w:p>
            <w:pPr>
              <w:numPr>
                <w:ilvl w:val="0"/>
                <w:numId w:val="0"/>
              </w:numPr>
              <w:rPr>
                <w:rFonts w:hint="default"/>
                <w:color w:val="auto"/>
                <w:lang w:val="en-US" w:eastAsia="zh-CN"/>
              </w:rPr>
            </w:pPr>
            <w:r>
              <w:rPr>
                <w:rFonts w:hint="default"/>
                <w:color w:val="auto"/>
                <w:lang w:val="en-US" w:eastAsia="zh-CN"/>
              </w:rPr>
              <w:t xml:space="preserve">（2）所提供检测报告一律采用最新的标准；随着标准的修订，以修订后的最新标准为依据。</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2</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客观分</w:t>
            </w:r>
            <w:r/>
          </w:p>
        </w:tc>
      </w:tr>
      <w:tr>
        <w:trPr>
          <w:trHeight w:val="103"/>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2.6</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产品兼容</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投电梯的主要部件（曳引机，门机，控制柜，光幕与所投电梯整梯为同一品牌，有一项满足得0</w:t>
            </w:r>
            <w:r>
              <w:rPr>
                <w:rFonts w:hint="eastAsia"/>
                <w:color w:val="auto"/>
                <w:lang w:val="en-US" w:eastAsia="zh-CN"/>
              </w:rPr>
              <w:t xml:space="preserve">.25</w:t>
            </w:r>
            <w:r>
              <w:rPr>
                <w:rFonts w:hint="default"/>
                <w:color w:val="auto"/>
                <w:lang w:val="en-US" w:eastAsia="zh-CN"/>
              </w:rPr>
              <w:t xml:space="preserve">分，共</w:t>
            </w:r>
            <w:r>
              <w:rPr>
                <w:rFonts w:hint="eastAsia"/>
                <w:color w:val="auto"/>
                <w:lang w:val="en-US" w:eastAsia="zh-CN"/>
              </w:rPr>
              <w:t xml:space="preserve">1</w:t>
            </w:r>
            <w:r>
              <w:rPr>
                <w:rFonts w:hint="default"/>
                <w:color w:val="auto"/>
                <w:lang w:val="en-US" w:eastAsia="zh-CN"/>
              </w:rPr>
              <w:t xml:space="preserve">分，未提供不得分。（提供所投梯型以上部件的第三方检测机构出具的型式试验报告。</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1</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客观分</w:t>
            </w:r>
            <w:r/>
          </w:p>
        </w:tc>
      </w:tr>
      <w:tr>
        <w:trPr>
          <w:trHeight w:val="472"/>
        </w:trPr>
        <w:tc>
          <w:tcPr>
            <w:gridSpan w:val="5"/>
            <w:tcW w:w="9575"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3.服务</w:t>
            </w:r>
            <w:r/>
          </w:p>
        </w:tc>
      </w:tr>
      <w:tr>
        <w:trPr>
          <w:trHeight w:val="1083"/>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3.1</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安装方案</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根据本项目采购需求及相关要求编制方案，内容包含：1.安装人员的配置；2安装计划流程；3.安装的进度保证措施；4.安装现场安全措施；5.安装调试和验收等内容。以上每项内容逐条阐述。</w:t>
            </w:r>
            <w:r/>
          </w:p>
          <w:p>
            <w:pPr>
              <w:numPr>
                <w:ilvl w:val="0"/>
                <w:numId w:val="0"/>
              </w:numPr>
              <w:rPr>
                <w:rFonts w:hint="default"/>
                <w:color w:val="auto"/>
                <w:lang w:val="en-US" w:eastAsia="zh-CN"/>
              </w:rPr>
            </w:pPr>
            <w:r>
              <w:rPr>
                <w:rFonts w:hint="default"/>
                <w:color w:val="auto"/>
                <w:lang w:val="en-US" w:eastAsia="zh-CN"/>
              </w:rPr>
              <w:t xml:space="preserve">方案内容完整详细，且专门针对本项目，契合采购需求视为符合；方案内容属于通用类，非专门针对本项目，部分契合采购需求视为部分符合；方案内容非专门针对本项目，脱离采购需求视为不符合。</w:t>
            </w:r>
            <w:r/>
          </w:p>
          <w:p>
            <w:pPr>
              <w:numPr>
                <w:ilvl w:val="0"/>
                <w:numId w:val="0"/>
              </w:numPr>
              <w:rPr>
                <w:rFonts w:hint="default"/>
                <w:color w:val="auto"/>
                <w:lang w:val="en-US" w:eastAsia="zh-CN"/>
              </w:rPr>
            </w:pPr>
            <w:r>
              <w:rPr>
                <w:rFonts w:hint="default"/>
                <w:color w:val="auto"/>
                <w:lang w:val="en-US" w:eastAsia="zh-CN"/>
              </w:rPr>
              <w:t xml:space="preserve">上述每项内容符合得2分；部分符合得1分；不符合或不提供不得分。</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10</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主观分</w:t>
            </w:r>
            <w:r/>
          </w:p>
        </w:tc>
      </w:tr>
      <w:tr>
        <w:trPr>
          <w:trHeight w:val="133"/>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3.2</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售后服务方案</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根据本项目采购需求及相关要求编制方案，内容包括：1.售后服务内容；2.售后服务流程；3.服务保障体系（含专业人员保障）。以上每项内容逐条阐述。 </w:t>
            </w:r>
            <w:r/>
          </w:p>
          <w:p>
            <w:pPr>
              <w:numPr>
                <w:ilvl w:val="0"/>
                <w:numId w:val="0"/>
              </w:numPr>
              <w:rPr>
                <w:rFonts w:hint="default"/>
                <w:color w:val="auto"/>
                <w:lang w:val="en-US" w:eastAsia="zh-CN"/>
              </w:rPr>
            </w:pPr>
            <w:r>
              <w:rPr>
                <w:rFonts w:hint="default"/>
                <w:color w:val="auto"/>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rPr>
                <w:rFonts w:hint="default"/>
                <w:color w:val="auto"/>
                <w:lang w:val="en-US" w:eastAsia="zh-CN"/>
              </w:rPr>
            </w:pPr>
            <w:r>
              <w:rPr>
                <w:rFonts w:hint="default"/>
                <w:color w:val="auto"/>
                <w:lang w:val="en-US" w:eastAsia="zh-CN"/>
              </w:rPr>
              <w:t xml:space="preserve">上述每项内容符合得2分；部分符合得1分；不符合或不提供不得分。</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6</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主观分</w:t>
            </w:r>
            <w:r/>
          </w:p>
        </w:tc>
      </w:tr>
      <w:tr>
        <w:trPr>
          <w:trHeight w:val="133"/>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3.3</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故障处理及应急措施方案</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根据本项目采购需求及相关要求编制方案，内容包含：1.组织指挥体系及职责；2.故障处理措施计划；3.应急措施计划。以上每项内容逐条阐述。</w:t>
            </w:r>
            <w:r/>
          </w:p>
          <w:p>
            <w:pPr>
              <w:numPr>
                <w:ilvl w:val="0"/>
                <w:numId w:val="0"/>
              </w:numPr>
              <w:rPr>
                <w:rFonts w:hint="default"/>
                <w:color w:val="auto"/>
                <w:lang w:val="en-US" w:eastAsia="zh-CN"/>
              </w:rPr>
            </w:pPr>
            <w:r>
              <w:rPr>
                <w:rFonts w:hint="default"/>
                <w:color w:val="auto"/>
                <w:lang w:val="en-US" w:eastAsia="zh-CN"/>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p>
          <w:p>
            <w:pPr>
              <w:numPr>
                <w:ilvl w:val="0"/>
                <w:numId w:val="0"/>
              </w:numPr>
              <w:rPr>
                <w:rFonts w:hint="default"/>
                <w:color w:val="auto"/>
                <w:lang w:val="en-US" w:eastAsia="zh-CN"/>
              </w:rPr>
            </w:pPr>
            <w:r>
              <w:rPr>
                <w:rFonts w:hint="default"/>
                <w:color w:val="auto"/>
                <w:lang w:val="en-US" w:eastAsia="zh-CN"/>
              </w:rPr>
              <w:t xml:space="preserve">上述每项内容符合得2分；部分符合得1分；不符合或不提供不得分。</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6</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主观分</w:t>
            </w:r>
            <w:r/>
          </w:p>
        </w:tc>
      </w:tr>
      <w:tr>
        <w:trPr>
          <w:trHeight w:val="356"/>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3.4</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培训方案</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根据本项目采购需求及相关要求编制方案，内容包括：1.培训内容及培训时长；2.培训日程安排；3.培训质量保障措施。以上每项内容逐条阐述。 </w:t>
            </w:r>
            <w:r/>
          </w:p>
          <w:p>
            <w:pPr>
              <w:numPr>
                <w:ilvl w:val="0"/>
                <w:numId w:val="0"/>
              </w:numPr>
              <w:rPr>
                <w:rFonts w:hint="default"/>
                <w:color w:val="auto"/>
                <w:lang w:val="en-US" w:eastAsia="zh-CN"/>
              </w:rPr>
            </w:pPr>
            <w:r>
              <w:rPr>
                <w:rFonts w:hint="default"/>
                <w:color w:val="auto"/>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p>
          <w:p>
            <w:pPr>
              <w:numPr>
                <w:ilvl w:val="0"/>
                <w:numId w:val="0"/>
              </w:numPr>
              <w:rPr>
                <w:rFonts w:hint="default"/>
                <w:color w:val="auto"/>
                <w:lang w:val="en-US" w:eastAsia="zh-CN"/>
              </w:rPr>
            </w:pPr>
            <w:r>
              <w:rPr>
                <w:rFonts w:hint="default"/>
                <w:color w:val="auto"/>
                <w:lang w:val="en-US" w:eastAsia="zh-CN"/>
              </w:rPr>
              <w:t xml:space="preserve">上述每项内容符合得2分；部分符合得1分；不符合或不提供不得分。</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6</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主观分</w:t>
            </w:r>
            <w:r/>
          </w:p>
        </w:tc>
      </w:tr>
      <w:tr>
        <w:trPr>
          <w:trHeight w:val="455"/>
        </w:trPr>
        <w:tc>
          <w:tcPr>
            <w:gridSpan w:val="5"/>
            <w:tcW w:w="9575"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4.业绩</w:t>
            </w:r>
            <w:r/>
          </w:p>
        </w:tc>
      </w:tr>
      <w:tr>
        <w:trPr>
          <w:trHeight w:val="1015"/>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4.1</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投标人业绩</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投标人提供2023年1月1日（含）以来承担过所投同品牌电梯项目业绩，每提供1个得1分，最多得3分。（时间以合同签订时间为准，提供合同和竣工验收证明</w:t>
            </w:r>
            <w:r>
              <w:rPr>
                <w:rFonts w:hint="eastAsia"/>
                <w:color w:val="auto"/>
                <w:lang w:val="en-US" w:eastAsia="zh-CN"/>
              </w:rPr>
              <w:t xml:space="preserve">和</w:t>
            </w:r>
            <w:r>
              <w:rPr>
                <w:rFonts w:hint="default"/>
                <w:color w:val="auto"/>
                <w:lang w:val="en-US" w:eastAsia="zh-CN"/>
              </w:rPr>
              <w:t xml:space="preserve">电梯监督检验报告，证明材料缺项或未提供不得分）</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3</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客观分</w:t>
            </w:r>
            <w:r/>
          </w:p>
        </w:tc>
      </w:tr>
      <w:tr>
        <w:trPr>
          <w:trHeight w:val="269"/>
        </w:trPr>
        <w:tc>
          <w:tcPr>
            <w:gridSpan w:val="5"/>
            <w:tcW w:w="9575" w:type="dxa"/>
            <w:vAlign w:val="top"/>
            <w:textDirection w:val="lrTb"/>
            <w:noWrap w:val="false"/>
          </w:tcPr>
          <w:p>
            <w:pPr>
              <w:numPr>
                <w:ilvl w:val="0"/>
                <w:numId w:val="0"/>
              </w:numPr>
              <w:rPr>
                <w:rFonts w:hint="default"/>
                <w:color w:val="auto"/>
                <w:lang w:val="en-US" w:eastAsia="zh-CN"/>
              </w:rPr>
            </w:pPr>
            <w:r>
              <w:rPr>
                <w:rFonts w:hint="default"/>
                <w:color w:val="auto"/>
                <w:lang w:val="en-US" w:eastAsia="zh-CN"/>
              </w:rPr>
              <w:t xml:space="preserve">5.履约能力</w:t>
            </w:r>
            <w:r/>
          </w:p>
        </w:tc>
      </w:tr>
      <w:tr>
        <w:trPr>
          <w:trHeight w:val="387"/>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5.1</w:t>
            </w:r>
            <w:r/>
          </w:p>
        </w:tc>
        <w:tc>
          <w:tcPr>
            <w:tcW w:w="117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履约能力1</w:t>
            </w:r>
            <w:r/>
          </w:p>
        </w:tc>
        <w:tc>
          <w:tcPr>
            <w:tcW w:w="633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投标人或所投产品制造商提供购买的有效期内的《公众责任保险》，累计赔偿金额≥1.4亿元得3分；1亿元≤累计赔偿金额＜1.4亿元得1.5分；其他不得分（提供在有效期限内保险凭证或承诺函，承诺函格式自拟）。</w:t>
            </w:r>
            <w:r/>
          </w:p>
        </w:tc>
        <w:tc>
          <w:tcPr>
            <w:tcW w:w="647" w:type="dxa"/>
            <w:vAlign w:val="center"/>
            <w:textDirection w:val="lrTb"/>
            <w:noWrap w:val="false"/>
          </w:tcPr>
          <w:p>
            <w:pPr>
              <w:numPr>
                <w:ilvl w:val="0"/>
                <w:numId w:val="0"/>
              </w:numPr>
              <w:ind w:firstLine="210"/>
              <w:rPr>
                <w:rFonts w:hint="default"/>
                <w:color w:val="auto"/>
                <w:lang w:val="en-US" w:eastAsia="zh-CN"/>
              </w:rPr>
            </w:pPr>
            <w:r>
              <w:rPr>
                <w:rFonts w:hint="default"/>
                <w:color w:val="auto"/>
                <w:lang w:val="en-US" w:eastAsia="zh-CN"/>
              </w:rPr>
              <w:t xml:space="preserve">3</w:t>
            </w:r>
            <w:r/>
          </w:p>
        </w:tc>
        <w:tc>
          <w:tcPr>
            <w:tcW w:w="900"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客观分</w:t>
            </w:r>
            <w:r/>
          </w:p>
        </w:tc>
      </w:tr>
      <w:tr>
        <w:trPr>
          <w:trHeight w:val="464"/>
        </w:trPr>
        <w:tc>
          <w:tcPr>
            <w:tcW w:w="51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合计</w:t>
            </w:r>
            <w:r/>
          </w:p>
        </w:tc>
        <w:tc>
          <w:tcPr>
            <w:gridSpan w:val="2"/>
            <w:tcW w:w="7509"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r>
            <w:r/>
          </w:p>
        </w:tc>
        <w:tc>
          <w:tcPr>
            <w:gridSpan w:val="2"/>
            <w:tcW w:w="1547" w:type="dxa"/>
            <w:vAlign w:val="center"/>
            <w:textDirection w:val="lrTb"/>
            <w:noWrap w:val="false"/>
          </w:tcPr>
          <w:p>
            <w:pPr>
              <w:numPr>
                <w:ilvl w:val="0"/>
                <w:numId w:val="0"/>
              </w:numPr>
              <w:rPr>
                <w:rFonts w:hint="default"/>
                <w:color w:val="auto"/>
                <w:lang w:val="en-US" w:eastAsia="zh-CN"/>
              </w:rPr>
            </w:pPr>
            <w:r>
              <w:rPr>
                <w:rFonts w:hint="default"/>
                <w:color w:val="auto"/>
                <w:lang w:val="en-US" w:eastAsia="zh-CN"/>
              </w:rPr>
              <w:t xml:space="preserve">100分</w:t>
            </w:r>
            <w:r/>
          </w:p>
        </w:tc>
      </w:tr>
    </w:tbl>
    <w:p>
      <w:pPr>
        <w:spacing w:line="264" w:lineRule="auto"/>
        <w:rPr>
          <w:rFonts w:hint="eastAsia" w:ascii="宋体" w:hAnsi="宋体" w:cs="宋体"/>
          <w:b/>
          <w:bCs/>
          <w:color w:val="auto"/>
          <w:sz w:val="24"/>
          <w:szCs w:val="24"/>
          <w:highlight w:val="yellow"/>
        </w:rPr>
      </w:pPr>
      <w:r>
        <w:rPr>
          <w:rFonts w:hint="eastAsia" w:ascii="宋体" w:hAnsi="宋体" w:cs="宋体"/>
          <w:b/>
          <w:bCs/>
          <w:color w:val="auto"/>
          <w:sz w:val="24"/>
          <w:szCs w:val="24"/>
          <w:highlight w:val="yellow"/>
        </w:rPr>
      </w:r>
      <w:r/>
    </w:p>
    <w:p>
      <w:pPr>
        <w:ind w:firstLine="482"/>
        <w:spacing w:line="264"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946"/>
        <w:rPr>
          <w:rFonts w:hint="eastAsia"/>
          <w:color w:val="auto"/>
        </w:rPr>
      </w:pPr>
      <w:r>
        <w:rPr>
          <w:rFonts w:hint="eastAsia"/>
          <w:color w:val="auto"/>
        </w:rPr>
      </w:r>
      <w:r/>
    </w:p>
    <w:p>
      <w:pPr>
        <w:ind w:firstLine="482"/>
        <w:spacing w:line="264"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946"/>
        <w:ind w:firstLine="482"/>
        <w:rPr>
          <w:rFonts w:hint="eastAsia" w:cs="宋体"/>
          <w:b/>
          <w:bCs/>
          <w:color w:val="auto"/>
          <w:sz w:val="24"/>
          <w:szCs w:val="24"/>
        </w:rPr>
      </w:pPr>
      <w:r>
        <w:rPr>
          <w:rFonts w:hint="eastAsia" w:cs="宋体"/>
          <w:b/>
          <w:bCs/>
          <w:color w:val="auto"/>
          <w:sz w:val="24"/>
          <w:szCs w:val="24"/>
        </w:rPr>
      </w:r>
      <w:r/>
    </w:p>
    <w:p>
      <w:pPr>
        <w:rPr>
          <w:rFonts w:hint="eastAsia" w:ascii="宋体" w:hAnsi="宋体" w:cs="宋体"/>
          <w:b/>
          <w:bCs/>
          <w:color w:val="auto"/>
          <w:sz w:val="24"/>
          <w:szCs w:val="24"/>
        </w:rPr>
      </w:pPr>
      <w:r>
        <w:rPr>
          <w:rFonts w:hint="eastAsia" w:ascii="宋体" w:hAnsi="宋体" w:cs="宋体"/>
          <w:b/>
          <w:bCs/>
          <w:color w:val="auto"/>
          <w:sz w:val="24"/>
          <w:szCs w:val="24"/>
        </w:rPr>
      </w:r>
      <w:r/>
    </w:p>
    <w:p>
      <w:pPr>
        <w:pStyle w:val="946"/>
        <w:ind w:firstLine="482"/>
        <w:rPr>
          <w:rFonts w:hint="eastAsia" w:cs="宋体"/>
          <w:b/>
          <w:bCs/>
          <w:color w:val="auto"/>
          <w:sz w:val="24"/>
          <w:szCs w:val="24"/>
        </w:rPr>
      </w:pPr>
      <w:r>
        <w:rPr>
          <w:rFonts w:hint="eastAsia" w:cs="宋体"/>
          <w:b/>
          <w:bCs/>
          <w:color w:val="auto"/>
          <w:sz w:val="24"/>
          <w:szCs w:val="24"/>
        </w:rPr>
      </w:r>
      <w:r/>
    </w:p>
    <w:p>
      <w:pPr>
        <w:rPr>
          <w:rFonts w:hint="eastAsia" w:ascii="宋体" w:hAnsi="宋体" w:cs="宋体"/>
          <w:b/>
          <w:bCs/>
          <w:color w:val="auto"/>
          <w:sz w:val="24"/>
          <w:szCs w:val="24"/>
        </w:rPr>
      </w:pPr>
      <w:r>
        <w:rPr>
          <w:rFonts w:hint="eastAsia" w:ascii="宋体" w:hAnsi="宋体" w:cs="宋体"/>
          <w:b/>
          <w:bCs/>
          <w:color w:val="auto"/>
          <w:sz w:val="24"/>
          <w:szCs w:val="24"/>
        </w:rPr>
      </w:r>
      <w:r/>
    </w:p>
    <w:p>
      <w:pPr>
        <w:pStyle w:val="946"/>
        <w:ind w:firstLine="482"/>
        <w:rPr>
          <w:rFonts w:hint="eastAsia" w:cs="宋体"/>
          <w:b/>
          <w:bCs/>
          <w:color w:val="auto"/>
          <w:sz w:val="24"/>
          <w:szCs w:val="24"/>
        </w:rPr>
      </w:pPr>
      <w:r>
        <w:rPr>
          <w:rFonts w:hint="eastAsia" w:cs="宋体"/>
          <w:b/>
          <w:bCs/>
          <w:color w:val="auto"/>
          <w:sz w:val="24"/>
          <w:szCs w:val="24"/>
        </w:rPr>
      </w:r>
      <w:r/>
    </w:p>
    <w:p>
      <w:pPr>
        <w:ind w:right="840"/>
        <w:jc w:val="center"/>
        <w:rPr>
          <w:rFonts w:hint="eastAsia" w:ascii="方正小标宋简体" w:hAnsi="方正小标宋简体" w:eastAsia="方正小标宋简体" w:cs="方正小标宋简体"/>
          <w:color w:val="auto"/>
          <w:sz w:val="36"/>
          <w:szCs w:val="36"/>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rPr>
          <w:rFonts w:hint="eastAsia" w:ascii="方正小标宋简体" w:hAnsi="方正小标宋简体" w:eastAsia="方正小标宋简体" w:cs="方正小标宋简体"/>
          <w:color w:val="auto"/>
          <w:sz w:val="36"/>
          <w:szCs w:val="36"/>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第六章  投标</w:t>
      </w:r>
      <w:bookmarkEnd w:id="58"/>
      <w:r/>
      <w:bookmarkEnd w:id="59"/>
      <w:r/>
      <w:bookmarkEnd w:id="60"/>
      <w:r>
        <w:rPr>
          <w:rFonts w:hint="eastAsia" w:ascii="方正小标宋简体" w:hAnsi="方正小标宋简体" w:eastAsia="方正小标宋简体" w:cs="方正小标宋简体"/>
          <w:color w:val="auto"/>
          <w:sz w:val="36"/>
          <w:szCs w:val="36"/>
        </w:rPr>
        <w:t xml:space="preserve">文件格式 </w:t>
      </w:r>
      <w:r/>
    </w:p>
    <w:p>
      <w:pPr>
        <w:jc w:val="center"/>
        <w:rPr>
          <w:rFonts w:hint="eastAsia" w:ascii="宋体" w:hAnsi="宋体"/>
          <w:b/>
          <w:color w:val="auto"/>
          <w:sz w:val="72"/>
          <w:szCs w:val="21"/>
        </w:rPr>
      </w:pPr>
      <w:r/>
      <w:bookmarkStart w:id="61" w:name="_Hlt26955039"/>
      <w:r/>
      <w:bookmarkEnd w:id="61"/>
      <w:r/>
      <w:bookmarkStart w:id="62" w:name="_Hlt26671244"/>
      <w:r/>
      <w:bookmarkEnd w:id="62"/>
      <w:r/>
      <w:bookmarkStart w:id="63" w:name="_Toc120614282"/>
      <w:r/>
      <w:bookmarkStart w:id="64" w:name="_Toc49090576"/>
      <w:r/>
      <w:bookmarkStart w:id="65" w:name="_Toc26554094"/>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ind w:firstLine="723"/>
        <w:spacing w:line="600" w:lineRule="exact"/>
        <w:rPr>
          <w:rFonts w:hint="eastAsia" w:ascii="宋体" w:hAnsi="宋体" w:cs="宋体"/>
          <w:color w:val="auto"/>
          <w:sz w:val="28"/>
          <w:szCs w:val="28"/>
          <w:highlight w:val="none"/>
        </w:rPr>
      </w:pPr>
      <w:r>
        <w:rPr>
          <w:rFonts w:ascii="宋体" w:hAnsi="宋体"/>
          <w:b/>
          <w:color w:val="auto"/>
          <w:sz w:val="36"/>
          <w:szCs w:val="21"/>
          <w:u w:val="single"/>
        </w:rPr>
        <w:br w:type="page" w:clear="all"/>
      </w:r>
      <w:bookmarkEnd w:id="55"/>
      <w:r/>
      <w:bookmarkEnd w:id="56"/>
      <w:r/>
      <w:bookmarkEnd w:id="63"/>
      <w:r/>
      <w:bookmarkEnd w:id="64"/>
      <w:r/>
      <w:bookmarkEnd w:id="65"/>
      <w:r>
        <w:rPr>
          <w:rFonts w:hint="eastAsia" w:ascii="宋体" w:hAnsi="宋体" w:cs="宋体"/>
          <w:color w:val="auto"/>
          <w:sz w:val="28"/>
          <w:szCs w:val="28"/>
          <w:highlight w:val="none"/>
        </w:rPr>
        <w:t xml:space="preserve">一、信用承诺函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十二、关于符合本国产品标准的声明函（如有）</w:t>
      </w:r>
      <w:r/>
    </w:p>
    <w:p>
      <w:pPr>
        <w:ind w:firstLine="560"/>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十三、分包情况说明及分包意向协议（如有）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pStyle w:val="994"/>
        <w:rPr>
          <w:rFonts w:ascii="宋体" w:hAnsi="宋体"/>
          <w:color w:val="auto"/>
          <w:sz w:val="24"/>
          <w:highlight w:val="none"/>
        </w:rPr>
      </w:pPr>
      <w:r>
        <w:rPr>
          <w:rFonts w:ascii="宋体" w:hAnsi="宋体"/>
          <w:color w:val="auto"/>
          <w:sz w:val="24"/>
          <w:highlight w:val="none"/>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95"/>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宋体" w:hAnsi="宋体"/>
          <w:b w:val="0"/>
          <w:bCs w:val="0"/>
          <w:color w:val="auto"/>
          <w:sz w:val="24"/>
          <w:szCs w:val="24"/>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65"/>
        <w:ind w:firstLine="480"/>
        <w:spacing w:line="420" w:lineRule="exact"/>
        <w:rPr>
          <w:rFonts w:hint="eastAsia"/>
          <w:color w:val="auto"/>
          <w:sz w:val="24"/>
          <w:szCs w:val="24"/>
          <w:highlight w:val="none"/>
        </w:rPr>
      </w:pPr>
      <w:r>
        <w:rPr>
          <w:rFonts w:hint="eastAsia"/>
          <w:color w:val="auto"/>
          <w:sz w:val="24"/>
          <w:szCs w:val="24"/>
          <w:highlight w:val="none"/>
        </w:rPr>
      </w:r>
      <w:r/>
    </w:p>
    <w:p>
      <w:pPr>
        <w:pStyle w:val="965"/>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的政府采购活动，由其代表我方办理上述项目在投标、开标、澄清确认过程中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65"/>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委托期限：自本授权委托书签署之日起至投标有效期届满之日止。</w:t>
      </w:r>
      <w:r/>
    </w:p>
    <w:p>
      <w:pPr>
        <w:pStyle w:val="965"/>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65"/>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投标人名称（加盖公章）：________________</w:t>
      </w:r>
      <w:r/>
    </w:p>
    <w:p>
      <w:pPr>
        <w:pStyle w:val="965"/>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65"/>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65"/>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65"/>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702"/>
        <w:ind w:firstLine="0"/>
        <w:rPr>
          <w:rFonts w:hint="eastAsia"/>
          <w:color w:val="auto"/>
          <w:highlight w:val="none"/>
        </w:rPr>
      </w:pPr>
      <w:r>
        <w:rPr>
          <w:rFonts w:hint="eastAsia"/>
          <w:color w:val="auto"/>
          <w:highlight w:val="none"/>
        </w:rPr>
      </w:r>
      <w:r/>
    </w:p>
    <w:p>
      <w:pPr>
        <w:pStyle w:val="965"/>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65"/>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65"/>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65"/>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65"/>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3.投标人</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65"/>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投标人应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65"/>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5.未按招标文件要求和格式提供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的，将作为无效投标处理。</w:t>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宋体" w:hAnsi="宋体"/>
          <w:b w:val="0"/>
          <w:bCs w:val="0"/>
          <w:color w:val="auto"/>
          <w:sz w:val="24"/>
          <w:szCs w:val="24"/>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投标函</w:t>
      </w:r>
      <w:r/>
    </w:p>
    <w:p>
      <w:pPr>
        <w:pStyle w:val="967"/>
        <w:ind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（采购人名称）</w:t>
      </w:r>
      <w:r/>
    </w:p>
    <w:p>
      <w:pPr>
        <w:pStyle w:val="967"/>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color w:val="auto"/>
          <w:szCs w:val="21"/>
          <w:highlight w:val="none"/>
        </w:rPr>
        <w:t xml:space="preserve">招标文件，</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1.按招标文件规定的各项要求，向贵方提供所需</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p>
    <w:p>
      <w:pPr>
        <w:pStyle w:val="9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6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67"/>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67"/>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723"/>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pStyle w:val="967"/>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967"/>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67"/>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67"/>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67"/>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67"/>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67"/>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67"/>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开标一览表</w:t>
      </w:r>
      <w:r/>
    </w:p>
    <w:p>
      <w:pPr>
        <w:ind w:firstLine="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rPr>
          <w:color w:val="auto"/>
          <w:sz w:val="24"/>
          <w:szCs w:val="24"/>
          <w:highlight w:val="none"/>
        </w:rPr>
      </w:pPr>
      <w:r>
        <w:rPr>
          <w:rFonts w:hint="eastAsia" w:ascii="宋体" w:hAnsi="宋体"/>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701"/>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67"/>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56"/>
        <w:rPr>
          <w:rFonts w:hint="eastAsia"/>
          <w:color w:val="auto"/>
          <w:highlight w:val="none"/>
        </w:rPr>
      </w:pPr>
      <w:r>
        <w:rPr>
          <w:rFonts w:hint="eastAsia"/>
          <w:color w:val="auto"/>
          <w:highlight w:val="none"/>
        </w:rPr>
      </w:r>
      <w:r/>
    </w:p>
    <w:p>
      <w:pPr>
        <w:pStyle w:val="95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pStyle w:val="723"/>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723"/>
        <w:rPr>
          <w:rFonts w:hint="eastAsia"/>
          <w:color w:val="auto"/>
          <w:highlight w:val="none"/>
          <w:lang w:val="en-US" w:eastAsia="zh-CN"/>
        </w:rPr>
      </w:pPr>
      <w:r>
        <w:rPr>
          <w:rFonts w:hint="eastAsia"/>
          <w:color w:val="auto"/>
          <w:highlight w:val="none"/>
          <w:lang w:val="en-US" w:eastAsia="zh-CN"/>
        </w:rPr>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核心产品</w:t>
      </w:r>
      <w:r>
        <w:rPr>
          <w:rFonts w:hint="eastAsia" w:ascii="方正小标宋简体" w:hAnsi="方正小标宋简体" w:eastAsia="方正小标宋简体" w:cs="方正小标宋简体"/>
          <w:color w:val="auto"/>
          <w:sz w:val="32"/>
          <w:szCs w:val="32"/>
          <w:highlight w:val="none"/>
          <w:lang w:val="en-US" w:eastAsia="zh-CN"/>
        </w:rPr>
        <w:t xml:space="preserve">品牌</w:t>
      </w:r>
      <w:r>
        <w:rPr>
          <w:rFonts w:hint="eastAsia" w:ascii="方正小标宋简体" w:hAnsi="方正小标宋简体" w:eastAsia="方正小标宋简体" w:cs="方正小标宋简体"/>
          <w:color w:val="auto"/>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spacing w:line="360" w:lineRule="auto"/>
        <w:rPr>
          <w:rFonts w:hint="eastAsia"/>
          <w:color w:val="auto"/>
          <w:highlight w:val="none"/>
          <w:lang w:val="en-US"/>
        </w:rPr>
      </w:pPr>
      <w:r>
        <w:rPr>
          <w:rFonts w:hint="eastAsia" w:ascii="宋体" w:hAnsi="宋体" w:eastAsia="宋体" w:cs="Times New Roman"/>
          <w:color w:val="auto"/>
          <w:sz w:val="24"/>
          <w:szCs w:val="24"/>
          <w:highlight w:val="none"/>
          <w:lang w:val="en-US" w:eastAsia="zh-CN"/>
        </w:rPr>
        <w:t xml:space="preserve">项目编号：                                   采购包号：</w:t>
      </w:r>
      <w:r/>
    </w:p>
    <w:tbl>
      <w:tblPr>
        <w:tblStyle w:val="701"/>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r>
    </w:tbl>
    <w:p>
      <w:pPr>
        <w:ind w:firstLine="482"/>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lang w:eastAsia="zh-CN"/>
        </w:rPr>
        <w:t xml:space="preserve">投标人</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tbl>
      <w:tblPr>
        <w:tblStyle w:val="701"/>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w:t>
            </w:r>
            <w:r>
              <w:rPr>
                <w:rFonts w:hint="eastAsia" w:ascii="宋体" w:hAnsi="宋体"/>
                <w:color w:val="auto"/>
                <w:sz w:val="24"/>
                <w:szCs w:val="24"/>
                <w:highlight w:val="none"/>
                <w:lang w:val="en-US" w:eastAsia="zh-CN"/>
              </w:rPr>
              <w:t xml:space="preserve">序</w:t>
            </w:r>
            <w:r>
              <w:rPr>
                <w:rFonts w:hint="eastAsia" w:ascii="宋体" w:hAnsi="宋体"/>
                <w:color w:val="auto"/>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72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72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72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72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b/>
          <w:bCs/>
          <w:color w:val="auto"/>
          <w:highlight w:val="none"/>
        </w:rPr>
        <w:t xml:space="preserve">《投标分项报价表》中的分项名称须与“第四章</w:t>
      </w:r>
      <w:r>
        <w:rPr>
          <w:rFonts w:hint="eastAsia"/>
          <w:b/>
          <w:bCs/>
          <w:color w:val="auto"/>
          <w:highlight w:val="none"/>
          <w:lang w:val="en-US" w:eastAsia="zh-CN"/>
        </w:rPr>
        <w:t xml:space="preserve">采购需求</w:t>
      </w:r>
      <w:r>
        <w:rPr>
          <w:rFonts w:hint="eastAsia"/>
          <w:b/>
          <w:bCs/>
          <w:color w:val="auto"/>
          <w:highlight w:val="none"/>
        </w:rPr>
        <w:t xml:space="preserve">-项目清单”中的</w:t>
      </w:r>
      <w:r>
        <w:rPr>
          <w:rFonts w:hint="eastAsia"/>
          <w:b/>
          <w:bCs/>
          <w:color w:val="auto"/>
          <w:highlight w:val="none"/>
          <w:lang w:val="en-US" w:eastAsia="zh-CN"/>
        </w:rPr>
        <w:t xml:space="preserve">分项</w:t>
      </w:r>
      <w:r>
        <w:rPr>
          <w:rFonts w:hint="eastAsia"/>
          <w:b/>
          <w:bCs/>
          <w:color w:val="auto"/>
          <w:highlight w:val="none"/>
        </w:rPr>
        <w:t xml:space="preserve">名称一一对应，如有缺项、漏项，视为无效投标。</w:t>
      </w:r>
      <w:r/>
    </w:p>
    <w:p>
      <w:pPr>
        <w:pStyle w:val="72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left"/>
        <w:spacing w:line="360" w:lineRule="auto"/>
        <w:rPr>
          <w:rFonts w:hint="eastAsia"/>
          <w:color w:val="auto"/>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color w:val="auto"/>
                <w:highlight w:val="none"/>
              </w:rPr>
            </w:pPr>
            <w:r>
              <w:rPr>
                <w:color w:val="auto"/>
                <w:highlight w:val="none"/>
              </w:rPr>
            </w:r>
            <w:r/>
          </w:p>
          <w:p>
            <w:pPr>
              <w:pStyle w:val="723"/>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721"/>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Style w:val="72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21"/>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eastAsia="zh-CN"/>
        </w:rPr>
        <w:t xml:space="preserve">投标人</w:t>
      </w:r>
      <w:r>
        <w:rPr>
          <w:rFonts w:hint="eastAsia"/>
          <w:b/>
          <w:bCs/>
          <w:color w:val="auto"/>
          <w:highlight w:val="none"/>
        </w:rPr>
        <w:t xml:space="preserve">须对招标文件技术要求中的实质性要求（打“★”内容）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出明确响应，否则视为无效投标。</w:t>
      </w:r>
      <w:r/>
    </w:p>
    <w:p>
      <w:pPr>
        <w:pStyle w:val="721"/>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color w:val="auto"/>
          <w:highlight w:val="none"/>
        </w:rPr>
        <w:t xml:space="preserve">2.技术要求中实质性要求及其他要求明确需要提供证明材料的，签订合同时中标</w:t>
      </w:r>
      <w:r>
        <w:rPr>
          <w:rFonts w:hint="eastAsia"/>
          <w:b/>
          <w:bCs/>
          <w:color w:val="auto"/>
          <w:highlight w:val="none"/>
          <w:lang w:eastAsia="zh-CN"/>
        </w:rPr>
        <w:t xml:space="preserve">人</w:t>
      </w:r>
      <w:r>
        <w:rPr>
          <w:rFonts w:hint="eastAsia"/>
          <w:b/>
          <w:bCs/>
          <w:color w:val="auto"/>
          <w:highlight w:val="none"/>
        </w:rPr>
        <w:t xml:space="preserve">应按招标文件要求和投标文件响应内容提供相应证明材料供采购人核验，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采购人将取消其中标资格。</w:t>
      </w:r>
      <w:r/>
    </w:p>
    <w:p>
      <w:pPr>
        <w:pStyle w:val="72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spacing w:line="360" w:lineRule="auto"/>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color w:val="auto"/>
                <w:highlight w:val="none"/>
              </w:rPr>
            </w:pPr>
            <w:r>
              <w:rPr>
                <w:color w:val="auto"/>
                <w:highlight w:val="none"/>
              </w:rPr>
            </w:r>
            <w:r/>
          </w:p>
          <w:p>
            <w:pPr>
              <w:pStyle w:val="723"/>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72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2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2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b/>
          <w:bCs/>
          <w:color w:val="auto"/>
          <w:sz w:val="24"/>
          <w:szCs w:val="24"/>
          <w:highlight w:val="none"/>
          <w:lang w:eastAsia="zh-CN"/>
        </w:rPr>
        <w:t xml:space="preserve">提供的货物</w:t>
      </w:r>
      <w:r>
        <w:rPr>
          <w:rFonts w:hint="eastAsia" w:ascii="宋体" w:hAnsi="宋体" w:eastAsia="宋体" w:cs="Times New Roman"/>
          <w:b/>
          <w:bCs/>
          <w:color w:val="auto"/>
          <w:sz w:val="24"/>
          <w:szCs w:val="24"/>
          <w:highlight w:val="none"/>
        </w:rPr>
        <w:t xml:space="preserve">全部由符合政策</w:t>
      </w:r>
      <w:r>
        <w:rPr>
          <w:rFonts w:hint="eastAsia" w:ascii="宋体" w:hAnsi="宋体" w:eastAsia="宋体" w:cs="Times New Roman"/>
          <w:b/>
          <w:bCs/>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w:t>
      </w:r>
      <w:r>
        <w:rPr>
          <w:rFonts w:hint="eastAsia" w:ascii="宋体" w:hAnsi="宋体"/>
          <w:color w:val="auto"/>
          <w:sz w:val="24"/>
          <w:szCs w:val="24"/>
          <w:highlight w:val="none"/>
          <w:lang w:val="en-US" w:eastAsia="zh-CN"/>
        </w:rPr>
        <w:t xml:space="preserve">分包</w:t>
      </w:r>
      <w:r>
        <w:rPr>
          <w:rFonts w:hint="eastAsia" w:ascii="宋体" w:hAnsi="宋体"/>
          <w:color w:val="auto"/>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中明确的所属行业</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pStyle w:val="956"/>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36"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货物</w:t>
      </w:r>
      <w:r>
        <w:rPr>
          <w:rFonts w:hint="eastAsia" w:ascii="宋体" w:hAnsi="宋体" w:eastAsia="宋体" w:cs="Times New Roman"/>
          <w:b/>
          <w:bCs/>
          <w:color w:val="auto"/>
          <w:sz w:val="24"/>
          <w:szCs w:val="24"/>
          <w:highlight w:val="none"/>
          <w:lang w:eastAsia="zh-CN"/>
        </w:rPr>
        <w:t xml:space="preserve">采购项目中，</w:t>
      </w:r>
      <w:r>
        <w:rPr>
          <w:rFonts w:hint="eastAsia" w:ascii="宋体" w:hAnsi="宋体" w:eastAsia="宋体" w:cs="Times New Roman"/>
          <w:b/>
          <w:bCs/>
          <w:color w:val="auto"/>
          <w:sz w:val="24"/>
          <w:szCs w:val="24"/>
          <w:highlight w:val="none"/>
          <w:lang w:val="en-US" w:eastAsia="zh-CN"/>
        </w:rPr>
        <w:t xml:space="preserve">货物全部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w:t>
      </w:r>
      <w:r>
        <w:rPr>
          <w:rFonts w:hint="eastAsia" w:ascii="宋体" w:hAnsi="宋体" w:eastAsia="宋体" w:cs="Times New Roman"/>
          <w:b/>
          <w:bCs/>
          <w:color w:val="auto"/>
          <w:sz w:val="24"/>
          <w:szCs w:val="24"/>
          <w:highlight w:val="none"/>
          <w:lang w:val="en-US" w:eastAsia="zh-CN"/>
        </w:rPr>
        <w:t xml:space="preserve">制造</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val="en-US" w:eastAsia="zh-CN"/>
        </w:rPr>
        <w:t xml:space="preserve">承接</w:t>
      </w:r>
      <w:r>
        <w:rPr>
          <w:rFonts w:hint="eastAsia" w:ascii="宋体" w:hAnsi="宋体" w:eastAsia="宋体" w:cs="Times New Roman"/>
          <w:b/>
          <w:bCs/>
          <w:color w:val="auto"/>
          <w:sz w:val="24"/>
          <w:szCs w:val="24"/>
          <w:highlight w:val="none"/>
          <w:lang w:eastAsia="zh-CN"/>
        </w:rPr>
        <w:t xml:space="preserve">商、工程的承建商作出要求</w:t>
      </w:r>
      <w:r>
        <w:rPr>
          <w:rFonts w:hint="eastAsia" w:ascii="宋体" w:hAnsi="宋体" w:eastAsia="宋体" w:cs="Times New Roman"/>
          <w:b/>
          <w:bCs/>
          <w:color w:val="auto"/>
          <w:sz w:val="24"/>
          <w:szCs w:val="24"/>
          <w:highlight w:val="none"/>
          <w:lang w:val="en-US" w:eastAsia="zh-CN"/>
        </w:rPr>
        <w:t xml:space="preserve">。招标文件第四章采购需求“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的“货物”产品需在此声明函中的“标的名称”中全部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填写制造商的具体情况</w:t>
      </w:r>
      <w:r>
        <w:rPr>
          <w:rFonts w:hint="eastAsia" w:ascii="宋体" w:hAnsi="宋体" w:eastAsia="宋体" w:cs="Times New Roman"/>
          <w:b/>
          <w:bCs/>
          <w:color w:val="auto"/>
          <w:sz w:val="24"/>
          <w:szCs w:val="24"/>
          <w:highlight w:val="none"/>
          <w:lang w:eastAsia="zh-CN"/>
        </w:rPr>
        <w:t xml:space="preserve">。</w:t>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956"/>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b/>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spacing w:line="480" w:lineRule="exact"/>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723"/>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72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727"/>
          <w:rFonts w:hint="eastAsia"/>
          <w:i w:val="0"/>
          <w:color w:val="auto"/>
          <w:highlight w:val="none"/>
          <w:u w:val="single"/>
          <w:shd w:val="clear" w:color="auto" w:fill="ffffff"/>
        </w:rPr>
        <w:t xml:space="preserve">（产品名称1）</w:t>
      </w:r>
      <w:r>
        <w:rPr>
          <w:rStyle w:val="727"/>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727"/>
          <w:rFonts w:hint="eastAsia"/>
          <w:i w:val="0"/>
          <w:color w:val="auto"/>
          <w:highlight w:val="none"/>
          <w:u w:val="single"/>
          <w:shd w:val="clear" w:color="auto" w:fill="ffffff"/>
        </w:rPr>
        <w:t xml:space="preserve">（厂名）</w:t>
      </w:r>
      <w:r>
        <w:rPr>
          <w:rStyle w:val="727"/>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727"/>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27"/>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的中国境内生产的组件成本占比≥</w:t>
      </w:r>
      <w:r>
        <w:rPr>
          <w:rStyle w:val="727"/>
          <w:rFonts w:hint="eastAsia"/>
          <w:i/>
          <w:strike w:val="0"/>
          <w:color w:val="auto"/>
          <w:highlight w:val="none"/>
          <w:u w:val="single"/>
          <w:shd w:val="clear" w:color="auto" w:fill="ffffff"/>
        </w:rPr>
        <w:t xml:space="preserve">（规定比例）</w:t>
      </w:r>
      <w:r>
        <w:rPr>
          <w:rStyle w:val="727"/>
          <w:rFonts w:hint="eastAsia"/>
          <w:i w:val="0"/>
          <w:color w:val="auto"/>
          <w:highlight w:val="none"/>
          <w:shd w:val="clear" w:color="auto" w:fill="ffffff"/>
          <w:vertAlign w:val="superscript"/>
        </w:rPr>
        <w:t xml:space="preserve">3</w:t>
      </w:r>
      <w:r>
        <w:rPr>
          <w:rFonts w:hint="eastAsia"/>
          <w:strike w:val="0"/>
          <w:color w:val="auto"/>
          <w:highlight w:val="none"/>
          <w:shd w:val="clear" w:color="auto" w:fill="ffffff"/>
        </w:rPr>
        <w:t xml:space="preserve">。</w:t>
      </w:r>
      <w:r>
        <w:rPr>
          <w:rStyle w:val="727"/>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727"/>
          <w:rFonts w:hint="eastAsia"/>
          <w:i/>
          <w:strike w:val="0"/>
          <w:color w:val="auto"/>
          <w:highlight w:val="none"/>
          <w:u w:val="single"/>
          <w:shd w:val="clear" w:color="auto" w:fill="ffffff"/>
        </w:rPr>
        <w:t xml:space="preserve">（关键组件）</w:t>
      </w:r>
      <w:r>
        <w:rPr>
          <w:rStyle w:val="727"/>
          <w:rFonts w:hint="eastAsia"/>
          <w:i w:val="0"/>
          <w:color w:val="auto"/>
          <w:highlight w:val="none"/>
          <w:shd w:val="clear" w:color="auto" w:fill="ffffff"/>
          <w:vertAlign w:val="superscript"/>
        </w:rPr>
        <w:t xml:space="preserve">4</w:t>
      </w:r>
      <w:r>
        <w:rPr>
          <w:rFonts w:hint="eastAsia"/>
          <w:strike w:val="0"/>
          <w:color w:val="auto"/>
          <w:highlight w:val="none"/>
          <w:shd w:val="clear" w:color="auto" w:fill="ffffff"/>
        </w:rPr>
        <w:t xml:space="preserve">在中国境内生产。</w:t>
      </w:r>
      <w:r>
        <w:rPr>
          <w:rStyle w:val="727"/>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727"/>
          <w:rFonts w:hint="eastAsia"/>
          <w:i/>
          <w:strike w:val="0"/>
          <w:color w:val="auto"/>
          <w:highlight w:val="none"/>
          <w:u w:val="single"/>
          <w:shd w:val="clear" w:color="auto" w:fill="ffffff"/>
        </w:rPr>
        <w:t xml:space="preserve">（关键工序）</w:t>
      </w:r>
      <w:r>
        <w:rPr>
          <w:rStyle w:val="727"/>
          <w:rFonts w:hint="eastAsia"/>
          <w:i w:val="0"/>
          <w:color w:val="auto"/>
          <w:highlight w:val="none"/>
          <w:shd w:val="clear" w:color="auto" w:fill="ffffff"/>
          <w:vertAlign w:val="superscript"/>
        </w:rPr>
        <w:t xml:space="preserve">5</w:t>
      </w:r>
      <w:r>
        <w:rPr>
          <w:rFonts w:hint="eastAsia"/>
          <w:strike w:val="0"/>
          <w:color w:val="auto"/>
          <w:highlight w:val="none"/>
          <w:shd w:val="clear" w:color="auto" w:fill="ffffff"/>
        </w:rPr>
        <w:t xml:space="preserve">在中国境内完成。</w:t>
      </w:r>
      <w:r/>
    </w:p>
    <w:p>
      <w:pPr>
        <w:pStyle w:val="721"/>
        <w:ind w:firstLine="420"/>
        <w:spacing w:before="24" w:beforeAutospacing="0" w:after="24" w:afterAutospacing="0" w:line="360" w:lineRule="auto"/>
        <w:shd w:val="clear" w:color="auto" w:fill="ffffff"/>
        <w:rPr>
          <w:rFonts w:hint="eastAsia"/>
          <w:strike w:val="0"/>
          <w:color w:val="auto"/>
          <w:highlight w:val="none"/>
        </w:rPr>
      </w:pPr>
      <w:r>
        <w:rPr>
          <w:rFonts w:hint="eastAsia"/>
          <w:color w:val="auto"/>
          <w:highlight w:val="none"/>
          <w:shd w:val="clear" w:color="auto" w:fill="ffffff"/>
        </w:rPr>
        <w:t xml:space="preserve">2.</w:t>
      </w:r>
      <w:r>
        <w:rPr>
          <w:rStyle w:val="727"/>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727"/>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727"/>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27"/>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的中国境内生产的组件成本占比≥</w:t>
      </w:r>
      <w:r>
        <w:rPr>
          <w:rStyle w:val="727"/>
          <w:rFonts w:hint="eastAsia"/>
          <w:i/>
          <w:strike w:val="0"/>
          <w:color w:val="auto"/>
          <w:highlight w:val="none"/>
          <w:u w:val="single"/>
          <w:shd w:val="clear" w:color="auto" w:fill="ffffff"/>
        </w:rPr>
        <w:t xml:space="preserve">（规定比例）</w:t>
      </w:r>
      <w:r>
        <w:rPr>
          <w:rFonts w:hint="eastAsia"/>
          <w:strike w:val="0"/>
          <w:color w:val="auto"/>
          <w:highlight w:val="none"/>
          <w:shd w:val="clear" w:color="auto" w:fill="ffffff"/>
        </w:rPr>
        <w:t xml:space="preserve">。</w:t>
      </w:r>
      <w:r>
        <w:rPr>
          <w:rStyle w:val="727"/>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727"/>
          <w:rFonts w:hint="eastAsia"/>
          <w:i/>
          <w:strike w:val="0"/>
          <w:color w:val="auto"/>
          <w:highlight w:val="none"/>
          <w:u w:val="single"/>
          <w:shd w:val="clear" w:color="auto" w:fill="ffffff"/>
        </w:rPr>
        <w:t xml:space="preserve">（关键组件）</w:t>
      </w:r>
      <w:r>
        <w:rPr>
          <w:rFonts w:hint="eastAsia"/>
          <w:strike w:val="0"/>
          <w:color w:val="auto"/>
          <w:highlight w:val="none"/>
          <w:shd w:val="clear" w:color="auto" w:fill="ffffff"/>
        </w:rPr>
        <w:t xml:space="preserve">在中国境内生产。</w:t>
      </w:r>
      <w:r>
        <w:rPr>
          <w:rStyle w:val="727"/>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727"/>
          <w:rFonts w:hint="eastAsia"/>
          <w:i/>
          <w:strike w:val="0"/>
          <w:color w:val="auto"/>
          <w:highlight w:val="none"/>
          <w:u w:val="single"/>
          <w:shd w:val="clear" w:color="auto" w:fill="ffffff"/>
        </w:rPr>
        <w:t xml:space="preserve">（关键工序）</w:t>
      </w:r>
      <w:r>
        <w:rPr>
          <w:rFonts w:hint="eastAsia"/>
          <w:strike w:val="0"/>
          <w:color w:val="auto"/>
          <w:highlight w:val="none"/>
          <w:shd w:val="clear" w:color="auto" w:fill="ffffff"/>
        </w:rPr>
        <w:t xml:space="preserve">在中国境内完成。</w:t>
      </w:r>
      <w:r/>
    </w:p>
    <w:p>
      <w:pPr>
        <w:pStyle w:val="721"/>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721"/>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21"/>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721"/>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721"/>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721"/>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21"/>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21"/>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721"/>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721"/>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color w:val="auto"/>
          <w:sz w:val="21"/>
          <w:szCs w:val="21"/>
          <w:highlight w:val="none"/>
          <w:shd w:val="clear" w:color="auto" w:fill="ffffff"/>
        </w:rPr>
        <w:t xml:space="preserve">5.该产品的关键工序要求实施前，“关键工序”栏可不填。</w:t>
      </w:r>
      <w:bookmarkStart w:id="67" w:name="OLE_LINK8"/>
      <w:r/>
      <w:bookmarkEnd w:id="67"/>
      <w:r/>
      <w:r/>
    </w:p>
    <w:p>
      <w:pPr>
        <w:jc w:val="left"/>
        <w:keepLines w:val="0"/>
        <w:keepNext w:val="0"/>
        <w:pageBreakBefore w:val="0"/>
        <w:spacing w:line="360" w:lineRule="auto"/>
        <w:widowControl/>
        <w:rPr>
          <w:rFonts w:hint="default"/>
          <w:color w:val="auto"/>
          <w:highlight w:val="none"/>
          <w:lang w:val="en-US"/>
        </w:rPr>
        <w:outlineLvl w:val="9"/>
      </w:pPr>
      <w:r>
        <w:rPr>
          <w:rFonts w:hint="eastAsia"/>
          <w:b w:val="0"/>
          <w:bCs w:val="0"/>
          <w:color w:val="auto"/>
          <w:sz w:val="21"/>
          <w:szCs w:val="21"/>
          <w:highlight w:val="none"/>
          <w:shd w:val="clear" w:color="auto" w:fill="ffffff"/>
        </w:rPr>
        <w:br w:type="page" w:clear="all"/>
      </w:r>
      <w:r>
        <w:rPr>
          <w:rFonts w:hint="eastAsia" w:ascii="黑体" w:hAnsi="黑体" w:eastAsia="黑体" w:cs="Times New Roman"/>
          <w:i w:val="0"/>
          <w:iCs/>
          <w:color w:val="auto"/>
          <w:sz w:val="32"/>
          <w:szCs w:val="32"/>
          <w:highlight w:val="none"/>
          <w:u w:val="none"/>
          <w:lang w:val="en-US" w:eastAsia="zh-CN"/>
        </w:rPr>
        <w:t xml:space="preserve">十三、分包情况说明及分包意向协议</w:t>
      </w:r>
      <w:r/>
    </w:p>
    <w:p>
      <w:pPr>
        <w:jc w:val="center"/>
        <w:keepLines w:val="0"/>
        <w:keepNext w:val="0"/>
        <w:widowControl/>
        <w:rPr>
          <w:color w:val="auto"/>
          <w:highlight w:val="none"/>
        </w:rPr>
        <w:suppressLineNumbers w:val="0"/>
      </w:pPr>
      <w:r>
        <w:rPr>
          <w:rFonts w:hint="default" w:ascii="宋体" w:hAnsi="宋体" w:eastAsia="宋体" w:cs="宋体"/>
          <w:b/>
          <w:bCs/>
          <w:color w:val="auto"/>
          <w:sz w:val="36"/>
          <w:szCs w:val="36"/>
          <w:highlight w:val="none"/>
          <w:lang w:val="en-US" w:eastAsia="zh-CN" w:bidi="ar"/>
        </w:rPr>
        <w:t xml:space="preserve">分包情况说明</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致：</w:t>
      </w:r>
      <w:r>
        <w:rPr>
          <w:rFonts w:hint="eastAsia" w:ascii="Times New Roman" w:hAnsi="Times New Roman" w:eastAsia="宋体" w:cs="Times New Roman"/>
          <w:color w:val="auto"/>
          <w:sz w:val="24"/>
          <w:szCs w:val="24"/>
          <w:highlight w:val="none"/>
          <w:u w:val="single"/>
          <w:lang w:val="en-US" w:eastAsia="zh-CN" w:bidi="ar"/>
        </w:rPr>
        <w:t xml:space="preserve">                </w:t>
      </w:r>
      <w:r>
        <w:rPr>
          <w:rFonts w:hint="default" w:ascii="宋体" w:hAnsi="宋体" w:eastAsia="宋体" w:cs="宋体"/>
          <w:b/>
          <w:bCs/>
          <w:color w:val="auto"/>
          <w:sz w:val="24"/>
          <w:szCs w:val="24"/>
          <w:highlight w:val="none"/>
          <w:lang w:val="en-US" w:eastAsia="zh-CN" w:bidi="ar"/>
        </w:rPr>
        <w:t xml:space="preserve">（采购人名称）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我单位参加项目编号为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项目（项目名称）中</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bl>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投标人名称（加盖公章）：</w:t>
      </w:r>
      <w:r>
        <w:rPr>
          <w:rFonts w:hint="default" w:ascii="Times New Roman" w:hAnsi="Times New Roman" w:eastAsia="宋体" w:cs="Times New Roman"/>
          <w:color w:val="auto"/>
          <w:sz w:val="24"/>
          <w:szCs w:val="24"/>
          <w:highlight w:val="none"/>
          <w:lang w:val="en-US" w:eastAsia="zh-CN" w:bidi="ar"/>
        </w:rPr>
        <w:t xml:space="preserve">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color w:val="auto"/>
          <w:highlight w:val="none"/>
          <w:lang w:val="en-US" w:eastAsia="zh-CN"/>
        </w:rPr>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color w:val="auto"/>
          <w:highlight w:val="none"/>
        </w:rPr>
        <w:suppressLineNumbers w:val="0"/>
      </w:pPr>
      <w:r>
        <w:rPr>
          <w:rFonts w:hint="eastAsia" w:ascii="方正小标宋简体" w:hAnsi="方正小标宋简体" w:eastAsia="方正小标宋简体" w:cs="方正小标宋简体"/>
          <w:b w:val="0"/>
          <w:bCs w:val="0"/>
          <w:color w:val="auto"/>
          <w:sz w:val="32"/>
          <w:szCs w:val="32"/>
          <w:highlight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lang w:val="en-US" w:eastAsia="zh-CN"/>
        </w:rPr>
        <w:t xml:space="preserve">分包意向协议</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甲方（投标人）：</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乙方（分包承担主体）：</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甲方承诺，一旦在项目编号为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分包内容：</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分包金额：</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，该金额占该采购包合同金额的比例为</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乙方承诺将在上述情况下与甲方签订分包合同。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rPr>
          <w:rFonts w:hint="default" w:ascii="Times New Roman" w:hAnsi="Times New Roman" w:eastAsia="宋体" w:cs="Times New Roman"/>
          <w:color w:val="auto"/>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 如本项目（</w:t>
      </w:r>
      <w:r>
        <w:rPr>
          <w:rFonts w:hint="eastAsia" w:ascii="Times New Roman" w:hAnsi="Times New Roman" w:eastAsia="宋体" w:cs="Times New Roman"/>
          <w:color w:val="auto"/>
          <w:sz w:val="24"/>
          <w:szCs w:val="24"/>
          <w:highlight w:val="none"/>
          <w:lang w:val="en-US" w:eastAsia="zh-CN" w:bidi="ar"/>
        </w:rPr>
        <w:t xml:space="preserve">采购</w:t>
      </w:r>
      <w:r>
        <w:rPr>
          <w:rFonts w:hint="default" w:ascii="Times New Roman" w:hAnsi="Times New Roman" w:eastAsia="宋体" w:cs="Times New Roman"/>
          <w:color w:val="auto"/>
          <w:sz w:val="24"/>
          <w:szCs w:val="24"/>
          <w:highlight w:val="none"/>
          <w:lang w:val="en-US" w:eastAsia="zh-CN" w:bidi="ar"/>
        </w:rPr>
        <w:t xml:space="preserve">包）允许分包，且投标人拟</w:t>
      </w:r>
      <w:r>
        <w:rPr>
          <w:rFonts w:hint="eastAsia" w:ascii="Times New Roman" w:hAnsi="Times New Roman" w:eastAsia="宋体" w:cs="Times New Roman"/>
          <w:color w:val="auto"/>
          <w:sz w:val="24"/>
          <w:szCs w:val="24"/>
          <w:highlight w:val="none"/>
          <w:lang w:val="en-US" w:eastAsia="zh-CN" w:bidi="ar"/>
        </w:rPr>
        <w:t xml:space="preserve">在中标后</w:t>
      </w:r>
      <w:r>
        <w:rPr>
          <w:rFonts w:hint="default" w:ascii="Times New Roman" w:hAnsi="Times New Roman" w:eastAsia="宋体" w:cs="Times New Roman"/>
          <w:color w:val="auto"/>
          <w:sz w:val="24"/>
          <w:szCs w:val="24"/>
          <w:highlight w:val="none"/>
          <w:lang w:val="en-US" w:eastAsia="zh-CN" w:bidi="ar"/>
        </w:rPr>
        <w:t xml:space="preserve">进行分包</w:t>
      </w:r>
      <w:r>
        <w:rPr>
          <w:rFonts w:hint="eastAsia" w:ascii="Times New Roman" w:hAnsi="Times New Roman" w:eastAsia="宋体" w:cs="Times New Roman"/>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，必须</w:t>
      </w:r>
      <w:r>
        <w:rPr>
          <w:rFonts w:hint="eastAsia" w:ascii="Times New Roman" w:hAnsi="Times New Roman" w:eastAsia="宋体" w:cs="Times New Roman"/>
          <w:color w:val="auto"/>
          <w:sz w:val="24"/>
          <w:szCs w:val="24"/>
          <w:highlight w:val="none"/>
          <w:lang w:val="en-US" w:eastAsia="zh-CN" w:bidi="ar"/>
        </w:rPr>
        <w:t xml:space="preserve">在投标文件中</w:t>
      </w:r>
      <w:r>
        <w:rPr>
          <w:rFonts w:hint="default" w:ascii="Times New Roman" w:hAnsi="Times New Roman" w:eastAsia="宋体" w:cs="Times New Roman"/>
          <w:color w:val="auto"/>
          <w:sz w:val="24"/>
          <w:szCs w:val="24"/>
          <w:highlight w:val="none"/>
          <w:lang w:val="en-US" w:eastAsia="zh-CN" w:bidi="ar"/>
        </w:rPr>
        <w:t xml:space="preserve">提供</w:t>
      </w:r>
      <w:r>
        <w:rPr>
          <w:rFonts w:hint="eastAsia" w:ascii="Times New Roman" w:hAnsi="Times New Roman" w:eastAsia="宋体" w:cs="Times New Roman"/>
          <w:color w:val="auto"/>
          <w:sz w:val="24"/>
          <w:szCs w:val="24"/>
          <w:highlight w:val="none"/>
          <w:lang w:val="en-US" w:eastAsia="zh-CN" w:bidi="ar"/>
        </w:rPr>
        <w:t xml:space="preserve">本协议</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 </w:t>
      </w:r>
      <w:r>
        <w:rPr>
          <w:rFonts w:hint="eastAsia" w:ascii="宋体" w:hAnsi="宋体" w:eastAsia="宋体" w:cs="宋体"/>
          <w:color w:val="auto"/>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auto"/>
          <w:sz w:val="24"/>
          <w:szCs w:val="24"/>
          <w:highlight w:val="none"/>
          <w:lang w:val="en-US" w:eastAsia="zh-CN" w:bidi="ar"/>
        </w:rPr>
        <w:t xml:space="preserve">2020</w:t>
      </w:r>
      <w:r>
        <w:rPr>
          <w:rFonts w:hint="eastAsia" w:ascii="宋体" w:hAnsi="宋体" w:eastAsia="宋体" w:cs="宋体"/>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46 </w:t>
      </w:r>
      <w:r>
        <w:rPr>
          <w:rFonts w:hint="eastAsia" w:ascii="宋体" w:hAnsi="宋体" w:eastAsia="宋体" w:cs="宋体"/>
          <w:color w:val="auto"/>
          <w:sz w:val="24"/>
          <w:szCs w:val="24"/>
          <w:highlight w:val="none"/>
          <w:lang w:val="en-US" w:eastAsia="zh-CN" w:bidi="ar"/>
        </w:rPr>
        <w:t xml:space="preserve">号）第九条 </w:t>
      </w:r>
      <w:r/>
    </w:p>
    <w:p>
      <w:pPr>
        <w:ind w:firstLine="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有关规定，拟享受中小企业政策优惠措施的，仍需提供本协议，否则不予认可； </w:t>
      </w:r>
      <w:r/>
    </w:p>
    <w:p>
      <w:pPr>
        <w:numPr>
          <w:ilvl w:val="0"/>
          <w:numId w:val="5"/>
        </w:numPr>
        <w:ind w:firstLine="48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投标人须按分包情况说明与所有拟分包承担主体分别签订《分包意向协议》，并在投标文件中提交。</w:t>
      </w:r>
      <w:r/>
    </w:p>
    <w:p>
      <w:pPr>
        <w:pStyle w:val="721"/>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highlight w:val="none"/>
        </w:rPr>
      </w:pPr>
      <w:r>
        <w:rPr>
          <w:color w:val="auto"/>
          <w:highlight w:val="none"/>
        </w:rPr>
      </w:r>
      <w:r/>
    </w:p>
    <w:p>
      <w:pPr>
        <w:jc w:val="left"/>
        <w:spacing w:line="360" w:lineRule="auto"/>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４２</w:t>
    </w:r>
    <w:r>
      <w:rPr>
        <w:rFonts w:ascii="宋体" w:hAnsi="宋体"/>
      </w:rPr>
      <w:fldChar w:fldCharType="end"/>
    </w:r>
    <w:r/>
  </w:p>
  <w:p>
    <w:pPr>
      <w:pStyle w:val="92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3">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0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3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702"/>
    <w:link w:val="73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702"/>
    <w:link w:val="73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5"/>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7"/>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8"/>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uiPriority w:val="0"/>
    <w:pPr>
      <w:ind w:firstLine="420"/>
    </w:pPr>
    <w:rPr>
      <w:szCs w:val="21"/>
    </w:rPr>
  </w:style>
  <w:style w:type="paragraph" w:styleId="703">
    <w:name w:val="toc 7"/>
    <w:basedOn w:val="690"/>
    <w:next w:val="690"/>
    <w:uiPriority w:val="39"/>
    <w:unhideWhenUsed/>
    <w:qFormat/>
    <w:pPr>
      <w:ind w:left="1701" w:right="0" w:firstLine="0"/>
      <w:spacing w:after="57"/>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Indent"/>
    <w:basedOn w:val="690"/>
    <w:next w:val="706"/>
    <w:uiPriority w:val="0"/>
    <w:unhideWhenUsed/>
    <w:qFormat/>
    <w:pPr>
      <w:ind w:left="420"/>
      <w:spacing w:after="120"/>
    </w:pPr>
  </w:style>
  <w:style w:type="paragraph" w:styleId="706">
    <w:name w:val="envelope return"/>
    <w:basedOn w:val="690"/>
    <w:uiPriority w:val="0"/>
    <w:qFormat/>
    <w:rPr>
      <w:rFonts w:ascii="Arial" w:hAnsi="Arial" w:eastAsia="宋体" w:cs="宋体"/>
    </w:r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6"/>
    <w:uiPriority w:val="99"/>
    <w:semiHidden/>
    <w:unhideWhenUsed/>
    <w:qFormat/>
    <w:pPr>
      <w:spacing w:after="0" w:line="240" w:lineRule="auto"/>
    </w:pPr>
    <w:rPr>
      <w:sz w:val="20"/>
    </w:rPr>
  </w:style>
  <w:style w:type="paragraph" w:styleId="711">
    <w:name w:val="Footer"/>
    <w:basedOn w:val="690"/>
    <w:link w:val="749"/>
    <w:uiPriority w:val="99"/>
    <w:unhideWhenUsed/>
    <w:qFormat/>
    <w:pPr>
      <w:spacing w:after="0" w:line="240" w:lineRule="auto"/>
      <w:tabs>
        <w:tab w:val="center" w:pos="7143" w:leader="none"/>
        <w:tab w:val="right" w:pos="14287" w:leader="none"/>
      </w:tabs>
    </w:pPr>
  </w:style>
  <w:style w:type="paragraph" w:styleId="712">
    <w:name w:val="Header"/>
    <w:basedOn w:val="690"/>
    <w:link w:val="747"/>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42"/>
    <w:uiPriority w:val="11"/>
    <w:qFormat/>
    <w:pPr>
      <w:spacing w:before="200" w:after="200"/>
    </w:pPr>
    <w:rPr>
      <w:sz w:val="24"/>
      <w:szCs w:val="24"/>
    </w:rPr>
  </w:style>
  <w:style w:type="paragraph" w:styleId="716">
    <w:name w:val="footnote text"/>
    <w:basedOn w:val="690"/>
    <w:link w:val="875"/>
    <w:uiPriority w:val="99"/>
    <w:semiHidden/>
    <w:unhideWhenUsed/>
    <w:qFormat/>
    <w:pPr>
      <w:spacing w:after="40" w:line="240" w:lineRule="auto"/>
    </w:pPr>
    <w:rPr>
      <w:sz w:val="18"/>
    </w:rPr>
  </w:style>
  <w:style w:type="paragraph" w:styleId="717">
    <w:name w:val="toc 6"/>
    <w:basedOn w:val="690"/>
    <w:next w:val="690"/>
    <w:uiPriority w:val="39"/>
    <w:unhideWhenUsed/>
    <w:qFormat/>
    <w:pPr>
      <w:ind w:left="1417" w:right="0" w:firstLine="0"/>
      <w:spacing w:after="57"/>
    </w:pPr>
  </w:style>
  <w:style w:type="paragraph" w:styleId="718">
    <w:name w:val="table of figures"/>
    <w:basedOn w:val="690"/>
    <w:next w:val="690"/>
    <w:uiPriority w:val="99"/>
    <w:unhideWhenUsed/>
    <w:qFormat/>
    <w:pPr>
      <w:spacing w:after="0" w:afterAutospacing="0"/>
    </w:pPr>
  </w:style>
  <w:style w:type="paragraph" w:styleId="719">
    <w:name w:val="toc 2"/>
    <w:basedOn w:val="690"/>
    <w:next w:val="690"/>
    <w:uiPriority w:val="39"/>
    <w:unhideWhenUsed/>
    <w:qFormat/>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Normal (Web)"/>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722">
    <w:name w:val="Title"/>
    <w:basedOn w:val="690"/>
    <w:next w:val="690"/>
    <w:link w:val="741"/>
    <w:uiPriority w:val="10"/>
    <w:qFormat/>
    <w:pPr>
      <w:contextualSpacing/>
      <w:spacing w:before="300" w:after="200"/>
    </w:pPr>
    <w:rPr>
      <w:sz w:val="48"/>
      <w:szCs w:val="48"/>
    </w:rPr>
  </w:style>
  <w:style w:type="paragraph" w:styleId="723">
    <w:name w:val="Body Text First Indent 2"/>
    <w:basedOn w:val="705"/>
    <w:next w:val="690"/>
    <w:uiPriority w:val="0"/>
    <w:qFormat/>
    <w:pPr>
      <w:ind w:left="0" w:firstLine="420"/>
      <w:spacing w:after="0" w:line="360" w:lineRule="auto"/>
    </w:pPr>
    <w:rPr>
      <w:rFonts w:ascii="宋体" w:hAnsi="宋体" w:eastAsia="宋体" w:cs="Times New Roman"/>
      <w:szCs w:val="20"/>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page number"/>
    <w:uiPriority w:val="0"/>
  </w:style>
  <w:style w:type="character" w:styleId="727">
    <w:name w:val="Emphasis"/>
    <w:uiPriority w:val="0"/>
    <w:qFormat/>
    <w:rPr>
      <w:i/>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character" w:styleId="730" w:customStyle="1">
    <w:name w:val="Heading 1 Char"/>
    <w:link w:val="691"/>
    <w:uiPriority w:val="9"/>
    <w:qFormat/>
    <w:rPr>
      <w:rFonts w:ascii="Arial" w:hAnsi="Arial" w:eastAsia="Arial" w:cs="Arial"/>
      <w:sz w:val="40"/>
      <w:szCs w:val="40"/>
    </w:rPr>
  </w:style>
  <w:style w:type="character" w:styleId="731" w:customStyle="1">
    <w:name w:val="Heading 2 Char"/>
    <w:link w:val="692"/>
    <w:uiPriority w:val="9"/>
    <w:qFormat/>
    <w:rPr>
      <w:rFonts w:ascii="Arial" w:hAnsi="Arial" w:eastAsia="Arial" w:cs="Arial"/>
      <w:sz w:val="34"/>
    </w:rPr>
  </w:style>
  <w:style w:type="character" w:styleId="732" w:customStyle="1">
    <w:name w:val="Heading 3 Char"/>
    <w:link w:val="693"/>
    <w:uiPriority w:val="9"/>
    <w:qFormat/>
    <w:rPr>
      <w:rFonts w:ascii="Arial" w:hAnsi="Arial" w:eastAsia="Arial" w:cs="Arial"/>
      <w:sz w:val="30"/>
      <w:szCs w:val="30"/>
    </w:rPr>
  </w:style>
  <w:style w:type="character" w:styleId="733" w:customStyle="1">
    <w:name w:val="Heading 4 Char"/>
    <w:link w:val="694"/>
    <w:uiPriority w:val="9"/>
    <w:qFormat/>
    <w:rPr>
      <w:rFonts w:ascii="Arial" w:hAnsi="Arial" w:eastAsia="Arial" w:cs="Arial"/>
      <w:b/>
      <w:bCs/>
      <w:sz w:val="26"/>
      <w:szCs w:val="26"/>
    </w:rPr>
  </w:style>
  <w:style w:type="character" w:styleId="734" w:customStyle="1">
    <w:name w:val="Heading 5 Char"/>
    <w:link w:val="695"/>
    <w:uiPriority w:val="9"/>
    <w:qFormat/>
    <w:rPr>
      <w:rFonts w:ascii="Arial" w:hAnsi="Arial" w:eastAsia="Arial" w:cs="Arial"/>
      <w:b/>
      <w:bCs/>
      <w:sz w:val="24"/>
      <w:szCs w:val="24"/>
    </w:rPr>
  </w:style>
  <w:style w:type="character" w:styleId="735" w:customStyle="1">
    <w:name w:val="Heading 6 Char"/>
    <w:link w:val="696"/>
    <w:uiPriority w:val="9"/>
    <w:qFormat/>
    <w:rPr>
      <w:rFonts w:ascii="Arial" w:hAnsi="Arial" w:eastAsia="Arial" w:cs="Arial"/>
      <w:b/>
      <w:bCs/>
      <w:sz w:val="22"/>
      <w:szCs w:val="22"/>
    </w:rPr>
  </w:style>
  <w:style w:type="character" w:styleId="736" w:customStyle="1">
    <w:name w:val="Heading 7 Char"/>
    <w:link w:val="697"/>
    <w:uiPriority w:val="9"/>
    <w:qFormat/>
    <w:rPr>
      <w:rFonts w:ascii="Arial" w:hAnsi="Arial" w:eastAsia="Arial" w:cs="Arial"/>
      <w:b/>
      <w:bCs/>
      <w:i/>
      <w:iCs/>
      <w:sz w:val="22"/>
      <w:szCs w:val="22"/>
    </w:rPr>
  </w:style>
  <w:style w:type="character" w:styleId="737" w:customStyle="1">
    <w:name w:val="Heading 8 Char"/>
    <w:link w:val="698"/>
    <w:uiPriority w:val="9"/>
    <w:qFormat/>
    <w:rPr>
      <w:rFonts w:ascii="Arial" w:hAnsi="Arial" w:eastAsia="Arial" w:cs="Arial"/>
      <w:i/>
      <w:iCs/>
      <w:sz w:val="22"/>
      <w:szCs w:val="22"/>
    </w:rPr>
  </w:style>
  <w:style w:type="character" w:styleId="738" w:customStyle="1">
    <w:name w:val="Heading 9 Char"/>
    <w:link w:val="699"/>
    <w:uiPriority w:val="9"/>
    <w:qFormat/>
    <w:rPr>
      <w:rFonts w:ascii="Arial" w:hAnsi="Arial" w:eastAsia="Arial" w:cs="Arial"/>
      <w:i/>
      <w:iCs/>
      <w:sz w:val="21"/>
      <w:szCs w:val="21"/>
    </w:rPr>
  </w:style>
  <w:style w:type="paragraph" w:styleId="739">
    <w:name w:val="List Paragraph"/>
    <w:basedOn w:val="690"/>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2"/>
    <w:uiPriority w:val="10"/>
    <w:qFormat/>
    <w:rPr>
      <w:sz w:val="48"/>
      <w:szCs w:val="48"/>
    </w:rPr>
  </w:style>
  <w:style w:type="character" w:styleId="742" w:customStyle="1">
    <w:name w:val="Subtitle Char"/>
    <w:link w:val="715"/>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2"/>
    <w:uiPriority w:val="99"/>
    <w:qFormat/>
  </w:style>
  <w:style w:type="character" w:styleId="748" w:customStyle="1">
    <w:name w:val="Footer Char"/>
    <w:link w:val="711"/>
    <w:uiPriority w:val="99"/>
    <w:qFormat/>
  </w:style>
  <w:style w:type="character" w:styleId="749" w:customStyle="1">
    <w:name w:val="Caption Char"/>
    <w:link w:val="711"/>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6"/>
    <w:uiPriority w:val="99"/>
    <w:qFormat/>
    <w:rPr>
      <w:sz w:val="18"/>
    </w:rPr>
  </w:style>
  <w:style w:type="character" w:styleId="876" w:customStyle="1">
    <w:name w:val="Endnote Text Char"/>
    <w:link w:val="710"/>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0"/>
    <w:next w:val="690"/>
    <w:link w:val="890"/>
    <w:uiPriority w:val="0"/>
    <w:qFormat/>
    <w:pPr>
      <w:jc w:val="center"/>
      <w:keepNext/>
      <w:outlineLvl w:val="0"/>
    </w:pPr>
    <w:rPr>
      <w:rFonts w:ascii="楷体_GB2312" w:hAnsi="Times New Roman" w:eastAsia="楷体_GB2312" w:cs="Times New Roman"/>
      <w:sz w:val="28"/>
      <w:szCs w:val="28"/>
    </w:rPr>
  </w:style>
  <w:style w:type="paragraph" w:styleId="879" w:customStyle="1">
    <w:name w:val="标题 21"/>
    <w:basedOn w:val="690"/>
    <w:next w:val="690"/>
    <w:link w:val="8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0" w:customStyle="1">
    <w:name w:val="标题 31"/>
    <w:basedOn w:val="690"/>
    <w:next w:val="881"/>
    <w:link w:val="89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customStyle="1">
    <w:name w:val="正文缩进1"/>
    <w:basedOn w:val="690"/>
    <w:link w:val="893"/>
    <w:uiPriority w:val="0"/>
    <w:qFormat/>
    <w:pPr>
      <w:ind w:firstLine="420"/>
    </w:pPr>
    <w:rPr>
      <w:szCs w:val="21"/>
    </w:rPr>
  </w:style>
  <w:style w:type="paragraph" w:styleId="882" w:customStyle="1">
    <w:name w:val="标题 41"/>
    <w:basedOn w:val="690"/>
    <w:next w:val="881"/>
    <w:link w:val="894"/>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标题 51"/>
    <w:basedOn w:val="690"/>
    <w:next w:val="881"/>
    <w:link w:val="895"/>
    <w:uiPriority w:val="0"/>
    <w:qFormat/>
    <w:pPr>
      <w:keepNext/>
      <w:outlineLvl w:val="4"/>
    </w:pPr>
    <w:rPr>
      <w:rFonts w:ascii="宋体" w:hAnsi="Times New Roman" w:eastAsia="宋体" w:cs="Times New Roman"/>
      <w:color w:val="000000"/>
      <w:sz w:val="28"/>
      <w:szCs w:val="28"/>
    </w:rPr>
  </w:style>
  <w:style w:type="paragraph" w:styleId="884" w:customStyle="1">
    <w:name w:val="标题 61"/>
    <w:basedOn w:val="690"/>
    <w:next w:val="690"/>
    <w:link w:val="89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5" w:customStyle="1">
    <w:name w:val="标题 71"/>
    <w:basedOn w:val="690"/>
    <w:next w:val="690"/>
    <w:link w:val="89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6" w:customStyle="1">
    <w:name w:val="标题 81"/>
    <w:basedOn w:val="690"/>
    <w:next w:val="690"/>
    <w:link w:val="89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7" w:customStyle="1">
    <w:name w:val="标题 91"/>
    <w:basedOn w:val="690"/>
    <w:next w:val="690"/>
    <w:link w:val="89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8" w:customStyle="1">
    <w:name w:val="默认段落字体1"/>
    <w:link w:val="690"/>
    <w:uiPriority w:val="1"/>
    <w:unhideWhenUsed/>
    <w:qFormat/>
  </w:style>
  <w:style w:type="table" w:styleId="889"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0" w:customStyle="1">
    <w:name w:val="标题 1 字符"/>
    <w:link w:val="878"/>
    <w:uiPriority w:val="0"/>
    <w:qFormat/>
    <w:rPr>
      <w:rFonts w:ascii="楷体_GB2312" w:hAnsi="Times New Roman" w:eastAsia="楷体_GB2312" w:cs="Times New Roman"/>
      <w:sz w:val="28"/>
      <w:szCs w:val="28"/>
    </w:rPr>
  </w:style>
  <w:style w:type="character" w:styleId="891" w:customStyle="1">
    <w:name w:val="标题 2 字符"/>
    <w:link w:val="879"/>
    <w:uiPriority w:val="0"/>
    <w:qFormat/>
    <w:rPr>
      <w:rFonts w:ascii="Arial" w:hAnsi="Arial" w:eastAsia="幼圆" w:cs="Arial"/>
      <w:b/>
      <w:bCs/>
      <w:sz w:val="44"/>
      <w:szCs w:val="44"/>
    </w:rPr>
  </w:style>
  <w:style w:type="character" w:styleId="892" w:customStyle="1">
    <w:name w:val="标题 3 字符"/>
    <w:link w:val="880"/>
    <w:uiPriority w:val="0"/>
    <w:qFormat/>
    <w:rPr>
      <w:rFonts w:ascii="Times New Roman" w:hAnsi="Times New Roman" w:eastAsia="宋体" w:cs="Times New Roman"/>
      <w:b/>
      <w:bCs/>
      <w:sz w:val="32"/>
      <w:szCs w:val="32"/>
    </w:rPr>
  </w:style>
  <w:style w:type="character" w:styleId="893" w:customStyle="1">
    <w:name w:val="正文缩进 字符"/>
    <w:link w:val="881"/>
    <w:uiPriority w:val="0"/>
    <w:qFormat/>
    <w:rPr>
      <w:szCs w:val="21"/>
    </w:rPr>
  </w:style>
  <w:style w:type="character" w:styleId="894" w:customStyle="1">
    <w:name w:val="标题 4 字符"/>
    <w:link w:val="882"/>
    <w:uiPriority w:val="0"/>
    <w:qFormat/>
    <w:rPr>
      <w:rFonts w:ascii="Arial" w:hAnsi="Arial" w:eastAsia="黑体" w:cs="Arial"/>
      <w:b/>
      <w:bCs/>
      <w:sz w:val="28"/>
      <w:szCs w:val="28"/>
    </w:rPr>
  </w:style>
  <w:style w:type="character" w:styleId="895" w:customStyle="1">
    <w:name w:val="标题 5 字符"/>
    <w:link w:val="883"/>
    <w:uiPriority w:val="0"/>
    <w:qFormat/>
    <w:rPr>
      <w:rFonts w:ascii="宋体" w:hAnsi="Times New Roman" w:eastAsia="宋体" w:cs="Times New Roman"/>
      <w:color w:val="000000"/>
      <w:sz w:val="28"/>
      <w:szCs w:val="28"/>
    </w:rPr>
  </w:style>
  <w:style w:type="character" w:styleId="896" w:customStyle="1">
    <w:name w:val="标题 6 字符"/>
    <w:link w:val="884"/>
    <w:uiPriority w:val="0"/>
    <w:qFormat/>
    <w:rPr>
      <w:rFonts w:ascii="Arial" w:hAnsi="Arial" w:eastAsia="黑体" w:cs="Times New Roman"/>
      <w:b/>
      <w:bCs/>
      <w:sz w:val="24"/>
      <w:szCs w:val="24"/>
    </w:rPr>
  </w:style>
  <w:style w:type="character" w:styleId="897" w:customStyle="1">
    <w:name w:val="标题 7 字符"/>
    <w:link w:val="885"/>
    <w:uiPriority w:val="0"/>
    <w:qFormat/>
    <w:rPr>
      <w:rFonts w:ascii="Times New Roman" w:hAnsi="Times New Roman" w:eastAsia="宋体" w:cs="Times New Roman"/>
      <w:b/>
      <w:bCs/>
      <w:sz w:val="24"/>
      <w:szCs w:val="24"/>
    </w:rPr>
  </w:style>
  <w:style w:type="character" w:styleId="898" w:customStyle="1">
    <w:name w:val="标题 8 字符"/>
    <w:link w:val="886"/>
    <w:uiPriority w:val="0"/>
    <w:qFormat/>
    <w:rPr>
      <w:rFonts w:ascii="Arial" w:hAnsi="Arial" w:eastAsia="黑体" w:cs="Times New Roman"/>
      <w:sz w:val="24"/>
      <w:szCs w:val="24"/>
    </w:rPr>
  </w:style>
  <w:style w:type="character" w:styleId="899" w:customStyle="1">
    <w:name w:val="标题 9 字符"/>
    <w:link w:val="887"/>
    <w:uiPriority w:val="0"/>
    <w:qFormat/>
    <w:rPr>
      <w:rFonts w:ascii="Arial" w:hAnsi="Arial" w:eastAsia="黑体" w:cs="Times New Roman"/>
      <w:szCs w:val="21"/>
    </w:rPr>
  </w:style>
  <w:style w:type="paragraph" w:styleId="900" w:customStyle="1">
    <w:name w:val="列表 31"/>
    <w:basedOn w:val="690"/>
    <w:uiPriority w:val="0"/>
    <w:qFormat/>
    <w:pPr>
      <w:ind w:left="100" w:hanging="200"/>
    </w:pPr>
    <w:rPr>
      <w:rFonts w:ascii="Times New Roman" w:hAnsi="Times New Roman" w:eastAsia="宋体" w:cs="Times New Roman"/>
      <w:szCs w:val="21"/>
    </w:rPr>
  </w:style>
  <w:style w:type="paragraph" w:styleId="901"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2" w:customStyle="1">
    <w:name w:val="文档结构图1"/>
    <w:basedOn w:val="690"/>
    <w:link w:val="903"/>
    <w:uiPriority w:val="0"/>
    <w:semiHidden/>
    <w:qFormat/>
    <w:pPr>
      <w:shd w:val="clear" w:color="auto" w:fill="000080"/>
    </w:pPr>
    <w:rPr>
      <w:rFonts w:ascii="Times New Roman" w:hAnsi="Times New Roman" w:eastAsia="宋体" w:cs="Times New Roman"/>
      <w:szCs w:val="21"/>
    </w:rPr>
  </w:style>
  <w:style w:type="character" w:styleId="903" w:customStyle="1">
    <w:name w:val="文档结构图 字符"/>
    <w:link w:val="902"/>
    <w:uiPriority w:val="0"/>
    <w:semiHidden/>
    <w:qFormat/>
    <w:rPr>
      <w:rFonts w:ascii="Times New Roman" w:hAnsi="Times New Roman" w:eastAsia="宋体" w:cs="Times New Roman"/>
      <w:szCs w:val="21"/>
      <w:shd w:val="clear" w:color="auto" w:fill="000080"/>
    </w:rPr>
  </w:style>
  <w:style w:type="paragraph" w:styleId="904" w:customStyle="1">
    <w:name w:val="批注文字1"/>
    <w:basedOn w:val="690"/>
    <w:link w:val="955"/>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5" w:customStyle="1">
    <w:name w:val="批注文字 字符"/>
    <w:link w:val="904"/>
    <w:uiPriority w:val="0"/>
    <w:qFormat/>
    <w:rPr>
      <w:rFonts w:ascii="Calibri" w:hAnsi="Calibri" w:eastAsia="宋体" w:cs="Times New Roman"/>
      <w:sz w:val="21"/>
      <w:szCs w:val="24"/>
    </w:rPr>
  </w:style>
  <w:style w:type="paragraph" w:styleId="906" w:customStyle="1">
    <w:name w:val="正文文本 31"/>
    <w:basedOn w:val="690"/>
    <w:link w:val="907"/>
    <w:uiPriority w:val="0"/>
    <w:qFormat/>
    <w:rPr>
      <w:rFonts w:ascii="仿宋_GB2312" w:hAnsi="Arial" w:eastAsia="仿宋_GB2312" w:cs="Times New Roman"/>
      <w:sz w:val="32"/>
      <w:szCs w:val="32"/>
    </w:rPr>
  </w:style>
  <w:style w:type="character" w:styleId="907" w:customStyle="1">
    <w:name w:val="正文文本 3 字符"/>
    <w:link w:val="906"/>
    <w:uiPriority w:val="0"/>
    <w:qFormat/>
    <w:rPr>
      <w:rFonts w:ascii="仿宋_GB2312" w:hAnsi="Arial" w:eastAsia="仿宋_GB2312" w:cs="Times New Roman"/>
      <w:sz w:val="32"/>
      <w:szCs w:val="32"/>
    </w:rPr>
  </w:style>
  <w:style w:type="paragraph" w:styleId="908" w:customStyle="1">
    <w:name w:val="正文文本11"/>
    <w:basedOn w:val="690"/>
    <w:link w:val="909"/>
    <w:uiPriority w:val="0"/>
    <w:qFormat/>
    <w:rPr>
      <w:rFonts w:ascii="楷体_GB2312" w:hAnsi="Arial" w:eastAsia="楷体_GB2312" w:cs="Times New Roman"/>
      <w:sz w:val="28"/>
      <w:szCs w:val="28"/>
    </w:rPr>
  </w:style>
  <w:style w:type="character" w:styleId="909" w:customStyle="1">
    <w:name w:val="正文文本 字符"/>
    <w:link w:val="908"/>
    <w:uiPriority w:val="0"/>
    <w:qFormat/>
    <w:rPr>
      <w:rFonts w:ascii="楷体_GB2312" w:hAnsi="Arial" w:eastAsia="楷体_GB2312" w:cs="Times New Roman"/>
      <w:sz w:val="28"/>
      <w:szCs w:val="28"/>
    </w:rPr>
  </w:style>
  <w:style w:type="paragraph" w:styleId="910" w:customStyle="1">
    <w:name w:val="正文文本缩进111"/>
    <w:basedOn w:val="690"/>
    <w:next w:val="911"/>
    <w:link w:val="912"/>
    <w:uiPriority w:val="0"/>
    <w:unhideWhenUsed/>
    <w:qFormat/>
    <w:pPr>
      <w:ind w:left="420"/>
      <w:spacing w:after="120"/>
    </w:pPr>
  </w:style>
  <w:style w:type="paragraph" w:styleId="911" w:customStyle="1">
    <w:name w:val="寄信人地址11"/>
    <w:basedOn w:val="690"/>
    <w:uiPriority w:val="0"/>
    <w:qFormat/>
    <w:rPr>
      <w:rFonts w:ascii="Arial" w:hAnsi="Arial" w:eastAsia="宋体" w:cs="宋体"/>
    </w:rPr>
  </w:style>
  <w:style w:type="character" w:styleId="912" w:customStyle="1">
    <w:name w:val="正文文本缩进 字符"/>
    <w:link w:val="910"/>
    <w:uiPriority w:val="99"/>
    <w:semiHidden/>
    <w:qFormat/>
  </w:style>
  <w:style w:type="paragraph" w:styleId="913" w:customStyle="1">
    <w:name w:val="列表 21"/>
    <w:basedOn w:val="690"/>
    <w:uiPriority w:val="0"/>
    <w:qFormat/>
    <w:pPr>
      <w:ind w:left="100" w:hanging="200"/>
    </w:pPr>
    <w:rPr>
      <w:rFonts w:ascii="Times New Roman" w:hAnsi="Times New Roman" w:eastAsia="宋体" w:cs="Times New Roman"/>
      <w:szCs w:val="21"/>
    </w:rPr>
  </w:style>
  <w:style w:type="paragraph" w:styleId="914"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5"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6" w:customStyle="1">
    <w:name w:val="纯文本1"/>
    <w:basedOn w:val="690"/>
    <w:link w:val="917"/>
    <w:uiPriority w:val="0"/>
    <w:qFormat/>
    <w:rPr>
      <w:rFonts w:ascii="宋体" w:hAnsi="Courier New" w:eastAsia="宋体" w:cs="Courier New"/>
      <w:szCs w:val="21"/>
    </w:rPr>
  </w:style>
  <w:style w:type="character" w:styleId="917" w:customStyle="1">
    <w:name w:val="纯文本 字符"/>
    <w:link w:val="916"/>
    <w:uiPriority w:val="0"/>
    <w:qFormat/>
    <w:rPr>
      <w:rFonts w:ascii="宋体" w:hAnsi="Courier New" w:eastAsia="宋体" w:cs="Courier New"/>
      <w:szCs w:val="21"/>
    </w:rPr>
  </w:style>
  <w:style w:type="paragraph" w:styleId="918"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9" w:customStyle="1">
    <w:name w:val="日期1"/>
    <w:basedOn w:val="690"/>
    <w:next w:val="690"/>
    <w:link w:val="920"/>
    <w:uiPriority w:val="0"/>
    <w:qFormat/>
    <w:rPr>
      <w:rFonts w:ascii="Times New Roman" w:hAnsi="Times New Roman" w:eastAsia="宋体" w:cs="Times New Roman"/>
      <w:sz w:val="24"/>
      <w:szCs w:val="24"/>
    </w:rPr>
  </w:style>
  <w:style w:type="character" w:styleId="920" w:customStyle="1">
    <w:name w:val="日期 字符"/>
    <w:link w:val="919"/>
    <w:uiPriority w:val="0"/>
    <w:qFormat/>
    <w:rPr>
      <w:rFonts w:ascii="Times New Roman" w:hAnsi="Times New Roman" w:eastAsia="宋体" w:cs="Times New Roman"/>
      <w:sz w:val="24"/>
      <w:szCs w:val="24"/>
    </w:rPr>
  </w:style>
  <w:style w:type="paragraph" w:styleId="921" w:customStyle="1">
    <w:name w:val="正文文本缩进 21"/>
    <w:basedOn w:val="690"/>
    <w:link w:val="922"/>
    <w:uiPriority w:val="0"/>
    <w:qFormat/>
    <w:pPr>
      <w:ind w:left="630" w:firstLine="645"/>
    </w:pPr>
    <w:rPr>
      <w:rFonts w:ascii="Arial" w:hAnsi="Arial" w:eastAsia="仿宋_GB2312" w:cs="Arial"/>
      <w:sz w:val="32"/>
      <w:szCs w:val="32"/>
    </w:rPr>
  </w:style>
  <w:style w:type="character" w:styleId="922" w:customStyle="1">
    <w:name w:val="正文文本缩进 2 字符"/>
    <w:link w:val="921"/>
    <w:uiPriority w:val="0"/>
    <w:qFormat/>
    <w:rPr>
      <w:rFonts w:ascii="Arial" w:hAnsi="Arial" w:eastAsia="仿宋_GB2312" w:cs="Arial"/>
      <w:sz w:val="32"/>
      <w:szCs w:val="32"/>
    </w:rPr>
  </w:style>
  <w:style w:type="paragraph" w:styleId="923" w:customStyle="1">
    <w:name w:val="批注框文本1"/>
    <w:basedOn w:val="690"/>
    <w:link w:val="924"/>
    <w:uiPriority w:val="0"/>
    <w:semiHidden/>
    <w:qFormat/>
    <w:rPr>
      <w:rFonts w:ascii="Times New Roman" w:hAnsi="Times New Roman" w:eastAsia="宋体" w:cs="Times New Roman"/>
      <w:sz w:val="18"/>
      <w:szCs w:val="18"/>
    </w:rPr>
  </w:style>
  <w:style w:type="character" w:styleId="924" w:customStyle="1">
    <w:name w:val="批注框文本 字符"/>
    <w:link w:val="923"/>
    <w:uiPriority w:val="0"/>
    <w:semiHidden/>
    <w:qFormat/>
    <w:rPr>
      <w:rFonts w:ascii="Times New Roman" w:hAnsi="Times New Roman" w:eastAsia="宋体" w:cs="Times New Roman"/>
      <w:sz w:val="18"/>
      <w:szCs w:val="18"/>
    </w:rPr>
  </w:style>
  <w:style w:type="paragraph" w:styleId="925" w:customStyle="1">
    <w:name w:val="页脚1"/>
    <w:basedOn w:val="690"/>
    <w:link w:val="92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6" w:customStyle="1">
    <w:name w:val="页脚 字符"/>
    <w:link w:val="925"/>
    <w:uiPriority w:val="0"/>
    <w:qFormat/>
    <w:rPr>
      <w:rFonts w:ascii="Times New Roman" w:hAnsi="Times New Roman" w:eastAsia="宋体" w:cs="Times New Roman"/>
      <w:sz w:val="18"/>
      <w:szCs w:val="18"/>
    </w:rPr>
  </w:style>
  <w:style w:type="paragraph" w:styleId="927" w:customStyle="1">
    <w:name w:val="页眉1"/>
    <w:basedOn w:val="690"/>
    <w:link w:val="92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customStyle="1">
    <w:name w:val="页眉 字符"/>
    <w:link w:val="927"/>
    <w:uiPriority w:val="0"/>
    <w:rPr>
      <w:rFonts w:ascii="Times New Roman" w:hAnsi="Times New Roman" w:eastAsia="宋体" w:cs="Times New Roman"/>
      <w:sz w:val="18"/>
      <w:szCs w:val="18"/>
    </w:rPr>
  </w:style>
  <w:style w:type="paragraph" w:styleId="929"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31" w:customStyle="1">
    <w:name w:val="列表1"/>
    <w:basedOn w:val="690"/>
    <w:uiPriority w:val="0"/>
    <w:qFormat/>
    <w:pPr>
      <w:ind w:left="200" w:hanging="200"/>
    </w:pPr>
    <w:rPr>
      <w:rFonts w:ascii="Times New Roman" w:hAnsi="Times New Roman" w:eastAsia="宋体" w:cs="Times New Roman"/>
      <w:szCs w:val="21"/>
    </w:rPr>
  </w:style>
  <w:style w:type="paragraph" w:styleId="932"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3" w:customStyle="1">
    <w:name w:val="正文文本缩进 31"/>
    <w:basedOn w:val="690"/>
    <w:link w:val="934"/>
    <w:uiPriority w:val="0"/>
    <w:qFormat/>
    <w:pPr>
      <w:ind w:left="645" w:firstLine="645"/>
    </w:pPr>
    <w:rPr>
      <w:rFonts w:ascii="Arial" w:hAnsi="Arial" w:eastAsia="仿宋_GB2312" w:cs="Arial"/>
      <w:color w:val="ffff00"/>
      <w:sz w:val="32"/>
      <w:szCs w:val="32"/>
    </w:rPr>
  </w:style>
  <w:style w:type="character" w:styleId="934" w:customStyle="1">
    <w:name w:val="正文文本缩进 3 字符"/>
    <w:link w:val="933"/>
    <w:uiPriority w:val="0"/>
    <w:qFormat/>
    <w:rPr>
      <w:rFonts w:ascii="Arial" w:hAnsi="Arial" w:eastAsia="仿宋_GB2312" w:cs="Arial"/>
      <w:color w:val="ffff00"/>
      <w:sz w:val="32"/>
      <w:szCs w:val="32"/>
    </w:rPr>
  </w:style>
  <w:style w:type="paragraph" w:styleId="935"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6"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7"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8" w:customStyle="1">
    <w:name w:val="正文文本 21"/>
    <w:basedOn w:val="690"/>
    <w:link w:val="939"/>
    <w:uiPriority w:val="0"/>
    <w:qFormat/>
    <w:pPr>
      <w:jc w:val="center"/>
      <w:widowControl/>
    </w:pPr>
    <w:rPr>
      <w:rFonts w:ascii="楷体_GB2312" w:hAnsi="Times New Roman" w:eastAsia="楷体_GB2312" w:cs="Times New Roman"/>
      <w:sz w:val="28"/>
      <w:szCs w:val="28"/>
    </w:rPr>
  </w:style>
  <w:style w:type="character" w:styleId="939" w:customStyle="1">
    <w:name w:val="正文文本 2 字符"/>
    <w:link w:val="938"/>
    <w:uiPriority w:val="0"/>
    <w:qFormat/>
    <w:rPr>
      <w:rFonts w:ascii="楷体_GB2312" w:hAnsi="Times New Roman" w:eastAsia="楷体_GB2312" w:cs="Times New Roman"/>
      <w:sz w:val="28"/>
      <w:szCs w:val="28"/>
    </w:rPr>
  </w:style>
  <w:style w:type="paragraph" w:styleId="940"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42" w:customStyle="1">
    <w:name w:val="批注主题1"/>
    <w:basedOn w:val="904"/>
    <w:next w:val="904"/>
    <w:link w:val="943"/>
    <w:uiPriority w:val="0"/>
    <w:semiHidden/>
    <w:qFormat/>
    <w:rPr>
      <w:rFonts w:ascii="Times New Roman" w:hAnsi="Times New Roman" w:eastAsia="宋体" w:cs="Times New Roman"/>
      <w:b/>
      <w:bCs/>
      <w:szCs w:val="21"/>
    </w:rPr>
  </w:style>
  <w:style w:type="character" w:styleId="943" w:customStyle="1">
    <w:name w:val="批注主题 字符"/>
    <w:link w:val="942"/>
    <w:uiPriority w:val="0"/>
    <w:semiHidden/>
    <w:qFormat/>
    <w:rPr>
      <w:rFonts w:ascii="Times New Roman" w:hAnsi="Times New Roman" w:eastAsia="宋体" w:cs="Times New Roman"/>
      <w:b/>
      <w:bCs/>
      <w:szCs w:val="21"/>
    </w:rPr>
  </w:style>
  <w:style w:type="paragraph" w:styleId="944" w:customStyle="1">
    <w:name w:val="正文首行缩进1"/>
    <w:basedOn w:val="690"/>
    <w:link w:val="945"/>
    <w:uiPriority w:val="0"/>
    <w:qFormat/>
    <w:pPr>
      <w:ind w:firstLine="200"/>
      <w:spacing w:line="360" w:lineRule="auto"/>
    </w:pPr>
    <w:rPr>
      <w:rFonts w:ascii="仿宋_GB2312" w:hAnsi="Times New Roman" w:eastAsia="仿宋_GB2312" w:cs="Times New Roman"/>
      <w:sz w:val="30"/>
      <w:szCs w:val="30"/>
    </w:rPr>
  </w:style>
  <w:style w:type="character" w:styleId="945" w:customStyle="1">
    <w:name w:val="正文文本首行缩进 字符"/>
    <w:link w:val="944"/>
    <w:uiPriority w:val="0"/>
    <w:qFormat/>
    <w:rPr>
      <w:rFonts w:ascii="仿宋_GB2312" w:hAnsi="Times New Roman" w:eastAsia="仿宋_GB2312" w:cs="Times New Roman"/>
      <w:sz w:val="30"/>
      <w:szCs w:val="30"/>
    </w:rPr>
  </w:style>
  <w:style w:type="paragraph" w:styleId="946" w:customStyle="1">
    <w:name w:val="正文首行缩进 2111"/>
    <w:basedOn w:val="910"/>
    <w:next w:val="690"/>
    <w:link w:val="947"/>
    <w:uiPriority w:val="0"/>
    <w:qFormat/>
    <w:pPr>
      <w:ind w:left="0" w:firstLine="420"/>
      <w:spacing w:after="0" w:line="360" w:lineRule="auto"/>
    </w:pPr>
    <w:rPr>
      <w:rFonts w:ascii="宋体" w:hAnsi="宋体" w:eastAsia="宋体" w:cs="Times New Roman"/>
      <w:szCs w:val="20"/>
    </w:rPr>
  </w:style>
  <w:style w:type="character" w:styleId="947" w:customStyle="1">
    <w:name w:val="正文文本首行缩进 2 字符"/>
    <w:link w:val="946"/>
    <w:uiPriority w:val="0"/>
    <w:qFormat/>
    <w:rPr>
      <w:rFonts w:ascii="宋体" w:hAnsi="宋体" w:eastAsia="宋体" w:cs="Times New Roman"/>
      <w:szCs w:val="20"/>
    </w:rPr>
  </w:style>
  <w:style w:type="table" w:styleId="948" w:customStyle="1">
    <w:name w:val="网格型11"/>
    <w:basedOn w:val="889"/>
    <w:uiPriority w:val="0"/>
    <w:qFormat/>
    <w:pPr>
      <w:jc w:val="both"/>
      <w:widowControl w:val="off"/>
    </w:pPr>
    <w:rPr>
      <w:rFonts w:ascii="Times New Roman" w:hAnsi="Times New Roman" w:eastAsia="宋体" w:cs="Times New Roman"/>
      <w:sz w:val="20"/>
      <w:szCs w:val="20"/>
    </w:rPr>
    <w:tblPr/>
  </w:style>
  <w:style w:type="character" w:styleId="949" w:customStyle="1">
    <w:name w:val="要点1"/>
    <w:link w:val="690"/>
    <w:uiPriority w:val="0"/>
    <w:qFormat/>
    <w:rPr>
      <w:b/>
      <w:bCs/>
    </w:rPr>
  </w:style>
  <w:style w:type="character" w:styleId="950" w:customStyle="1">
    <w:name w:val="页码1"/>
    <w:link w:val="690"/>
    <w:uiPriority w:val="0"/>
    <w:qFormat/>
  </w:style>
  <w:style w:type="character" w:styleId="951" w:customStyle="1">
    <w:name w:val="已访问的超链接1"/>
    <w:link w:val="690"/>
    <w:uiPriority w:val="0"/>
    <w:qFormat/>
    <w:rPr>
      <w:color w:val="800080"/>
      <w:u w:val="single"/>
    </w:rPr>
  </w:style>
  <w:style w:type="character" w:styleId="952" w:customStyle="1">
    <w:name w:val="强调1"/>
    <w:link w:val="690"/>
    <w:uiPriority w:val="0"/>
    <w:qFormat/>
    <w:rPr>
      <w:i/>
    </w:rPr>
  </w:style>
  <w:style w:type="character" w:styleId="953" w:customStyle="1">
    <w:name w:val="超链接1"/>
    <w:link w:val="690"/>
    <w:uiPriority w:val="0"/>
    <w:qFormat/>
    <w:rPr>
      <w:color w:val="0000ff"/>
      <w:u w:val="single"/>
    </w:rPr>
  </w:style>
  <w:style w:type="character" w:styleId="954" w:customStyle="1">
    <w:name w:val="批注引用1"/>
    <w:link w:val="690"/>
    <w:uiPriority w:val="0"/>
    <w:semiHidden/>
    <w:qFormat/>
    <w:rPr>
      <w:sz w:val="21"/>
      <w:szCs w:val="21"/>
    </w:rPr>
  </w:style>
  <w:style w:type="character" w:styleId="955" w:customStyle="1">
    <w:name w:val="批注文字 Char"/>
    <w:link w:val="904"/>
    <w:uiPriority w:val="99"/>
    <w:semiHidden/>
    <w:qFormat/>
  </w:style>
  <w:style w:type="paragraph" w:styleId="956" w:customStyle="1">
    <w:name w:val="索引 41"/>
    <w:basedOn w:val="690"/>
    <w:next w:val="690"/>
    <w:uiPriority w:val="0"/>
    <w:semiHidden/>
    <w:qFormat/>
    <w:pPr>
      <w:ind w:left="1260"/>
    </w:pPr>
    <w:rPr>
      <w:rFonts w:ascii="Calibri" w:hAnsi="Calibri" w:eastAsia="Calibri" w:cs="宋体"/>
      <w:sz w:val="20"/>
      <w:lang w:val="zh-CN"/>
    </w:rPr>
  </w:style>
  <w:style w:type="character" w:styleId="957" w:customStyle="1">
    <w:name w:val="font5 Char"/>
    <w:link w:val="690"/>
    <w:uiPriority w:val="0"/>
    <w:qFormat/>
    <w:rPr>
      <w:rFonts w:ascii="宋体" w:hAnsi="宋体" w:eastAsia="宋体"/>
      <w:sz w:val="28"/>
      <w:szCs w:val="28"/>
      <w:lang w:val="en-US" w:eastAsia="zh-CN" w:bidi="ar-SA"/>
    </w:rPr>
  </w:style>
  <w:style w:type="character" w:styleId="958" w:customStyle="1">
    <w:name w:val="二级目录 Char"/>
    <w:link w:val="959"/>
    <w:uiPriority w:val="0"/>
    <w:rPr>
      <w:b/>
      <w:sz w:val="30"/>
      <w:szCs w:val="28"/>
    </w:rPr>
  </w:style>
  <w:style w:type="paragraph" w:styleId="959" w:customStyle="1">
    <w:name w:val="二级目录"/>
    <w:next w:val="690"/>
    <w:link w:val="958"/>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690"/>
    <w:link w:val="960"/>
    <w:uiPriority w:val="0"/>
    <w:qFormat/>
    <w:pPr>
      <w:contextualSpacing/>
      <w:ind w:left="720"/>
      <w:jc w:val="left"/>
      <w:widowControl/>
    </w:pPr>
    <w:rPr>
      <w:rFonts w:ascii="Calibri" w:hAnsi="Calibri"/>
      <w:sz w:val="24"/>
      <w:szCs w:val="24"/>
      <w:lang w:eastAsia="en-US" w:bidi="en-US"/>
    </w:rPr>
  </w:style>
  <w:style w:type="paragraph" w:styleId="962" w:customStyle="1">
    <w:name w:val="Body Text(ch)"/>
    <w:basedOn w:val="690"/>
    <w:next w:val="908"/>
    <w:uiPriority w:val="0"/>
    <w:qFormat/>
    <w:pPr>
      <w:spacing w:after="120"/>
    </w:pPr>
    <w:rPr>
      <w:rFonts w:ascii="宋体" w:hAnsi="Arial" w:eastAsia="宋体" w:cs="Times New Roman"/>
      <w:bCs/>
      <w:iCs/>
      <w:szCs w:val="24"/>
    </w:rPr>
  </w:style>
  <w:style w:type="paragraph" w:styleId="96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6" w:customStyle="1">
    <w:name w:val=" Char"/>
    <w:basedOn w:val="902"/>
    <w:uiPriority w:val="0"/>
    <w:rPr>
      <w:rFonts w:ascii="Tahoma" w:hAnsi="Tahoma"/>
      <w:sz w:val="24"/>
      <w:szCs w:val="24"/>
    </w:rPr>
  </w:style>
  <w:style w:type="paragraph" w:styleId="967"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68"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1" w:customStyle="1">
    <w:name w:val=" Char Char Char Char"/>
    <w:basedOn w:val="902"/>
    <w:uiPriority w:val="0"/>
    <w:qFormat/>
    <w:pPr>
      <w:spacing w:line="360" w:lineRule="auto"/>
    </w:pPr>
    <w:rPr>
      <w:rFonts w:ascii="Tahoma" w:hAnsi="Tahoma"/>
      <w:sz w:val="24"/>
      <w:szCs w:val="24"/>
    </w:rPr>
  </w:style>
  <w:style w:type="paragraph" w:styleId="972" w:customStyle="1">
    <w:name w:val="列表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73" w:customStyle="1">
    <w:name w:val="4"/>
    <w:basedOn w:val="690"/>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5"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6" w:customStyle="1">
    <w:name w:val="样式1"/>
    <w:basedOn w:val="690"/>
    <w:uiPriority w:val="0"/>
    <w:qFormat/>
    <w:pPr>
      <w:numPr>
        <w:ilvl w:val="0"/>
        <w:numId w:val="3"/>
      </w:numPr>
    </w:pPr>
    <w:rPr>
      <w:rFonts w:ascii="宋体" w:hAnsi="宋体" w:eastAsia="宋体" w:cs="Times New Roman"/>
      <w:szCs w:val="21"/>
    </w:rPr>
  </w:style>
  <w:style w:type="paragraph" w:styleId="977"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81"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Char Char Char Char"/>
    <w:basedOn w:val="902"/>
    <w:uiPriority w:val="0"/>
    <w:qFormat/>
    <w:pPr>
      <w:spacing w:line="360" w:lineRule="auto"/>
    </w:pPr>
    <w:rPr>
      <w:rFonts w:ascii="Tahoma" w:hAnsi="Tahoma"/>
      <w:sz w:val="24"/>
      <w:szCs w:val="24"/>
    </w:rPr>
  </w:style>
  <w:style w:type="paragraph" w:styleId="988"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9"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0"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3" w:customStyle="1">
    <w:name w:val="Table Normal"/>
    <w:uiPriority w:val="0"/>
    <w:qFormat/>
    <w:rPr>
      <w:lang w:val="en-US" w:eastAsia="zh-CN" w:bidi="ar-SA"/>
    </w:rPr>
    <w:tblPr/>
  </w:style>
  <w:style w:type="paragraph" w:styleId="994"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5" w:customStyle="1">
    <w:name w:val="正文文本 211"/>
    <w:basedOn w:val="690"/>
    <w:uiPriority w:val="99"/>
    <w:qFormat/>
    <w:pPr>
      <w:jc w:val="center"/>
    </w:pPr>
    <w:rPr>
      <w:b/>
      <w:bCs/>
      <w:sz w:val="20"/>
      <w:szCs w:val="20"/>
    </w:rPr>
  </w:style>
  <w:style w:type="paragraph" w:styleId="996" w:customStyle="1">
    <w:name w:val="正文文本1"/>
    <w:basedOn w:val="690"/>
    <w:next w:val="690"/>
    <w:uiPriority w:val="0"/>
    <w:semiHidden/>
    <w:qFormat/>
    <w:rPr>
      <w:rFonts w:ascii="Arial" w:hAnsi="Arial" w:eastAsia="Arial" w:cs="Arial"/>
      <w:sz w:val="21"/>
      <w:szCs w:val="21"/>
      <w:lang w:val="en-US" w:eastAsia="en-US" w:bidi="ar-SA"/>
    </w:rPr>
  </w:style>
  <w:style w:type="paragraph" w:styleId="997" w:customStyle="1">
    <w:name w:val="Table Paragraph"/>
    <w:basedOn w:val="690"/>
    <w:uiPriority w:val="1"/>
    <w:qFormat/>
    <w:pPr>
      <w:jc w:val="left"/>
    </w:pPr>
    <w:rPr>
      <w:rFonts w:ascii="宋体" w:hAnsi="宋体" w:eastAsia="宋体" w:cs="宋体"/>
      <w:sz w:val="22"/>
      <w:szCs w:val="22"/>
      <w:lang w:val="zh-CN" w:bidi="zh-CN"/>
    </w:rPr>
  </w:style>
  <w:style w:type="table" w:styleId="998" w:customStyle="1">
    <w:name w:val="网格型1"/>
    <w:basedOn w:val="999"/>
    <w:uiPriority w:val="0"/>
    <w:qFormat/>
    <w:pPr>
      <w:jc w:val="both"/>
      <w:widowControl w:val="off"/>
    </w:pPr>
    <w:tblPr/>
  </w:style>
  <w:style w:type="table" w:styleId="999" w:customStyle="1">
    <w:name w:val="普通表格1"/>
    <w:uiPriority w:val="99"/>
    <w:unhideWhenUsed/>
    <w:qFormat/>
    <w:rPr>
      <w:lang w:val="en-US" w:eastAsia="zh-CN" w:bidi="ar-SA"/>
    </w:rPr>
    <w:tblPr/>
  </w:style>
  <w:style w:type="paragraph" w:styleId="1000" w:customStyle="1">
    <w:name w:val="正文文本缩进1"/>
    <w:basedOn w:val="690"/>
    <w:next w:val="1001"/>
    <w:uiPriority w:val="0"/>
    <w:unhideWhenUsed/>
    <w:qFormat/>
    <w:pPr>
      <w:ind w:left="420"/>
      <w:spacing w:after="120"/>
    </w:pPr>
  </w:style>
  <w:style w:type="paragraph" w:styleId="1001" w:customStyle="1">
    <w:name w:val="正文首行缩进 21"/>
    <w:basedOn w:val="1000"/>
    <w:uiPriority w:val="0"/>
    <w:qFormat/>
    <w:pPr>
      <w:ind w:left="0" w:firstLine="420"/>
      <w:spacing w:after="0" w:line="360" w:lineRule="auto"/>
    </w:pPr>
    <w:rPr>
      <w:rFonts w:ascii="宋体" w:hAnsi="宋体"/>
      <w:sz w:val="20"/>
      <w:szCs w:val="20"/>
      <w:lang w:val="en-US" w:eastAsia="en-US"/>
    </w:rPr>
  </w:style>
  <w:style w:type="table" w:styleId="1002" w:customStyle="1">
    <w:name w:val="Table Normal_0"/>
    <w:uiPriority w:val="0"/>
    <w:qFormat/>
    <w:rPr>
      <w:lang w:val="en-US" w:eastAsia="zh-CN" w:bidi="ar-SA"/>
    </w:rPr>
    <w:tblPr/>
  </w:style>
  <w:style w:type="paragraph" w:styleId="1003" w:customStyle="1">
    <w:name w:val="正文首行缩进 211"/>
    <w:basedOn w:val="1004"/>
    <w:next w:val="690"/>
    <w:uiPriority w:val="0"/>
    <w:qFormat/>
    <w:pPr>
      <w:ind w:left="0" w:firstLine="420"/>
      <w:spacing w:after="0" w:line="360" w:lineRule="auto"/>
    </w:pPr>
    <w:rPr>
      <w:rFonts w:ascii="宋体" w:hAnsi="宋体" w:eastAsia="宋体" w:cs="Times New Roman"/>
      <w:szCs w:val="20"/>
    </w:rPr>
  </w:style>
  <w:style w:type="paragraph" w:styleId="1004" w:customStyle="1">
    <w:name w:val="正文文本缩进11"/>
    <w:basedOn w:val="690"/>
    <w:next w:val="1005"/>
    <w:uiPriority w:val="0"/>
    <w:unhideWhenUsed/>
    <w:qFormat/>
    <w:pPr>
      <w:ind w:left="420"/>
      <w:spacing w:after="120"/>
    </w:pPr>
  </w:style>
  <w:style w:type="paragraph" w:styleId="1005" w:customStyle="1">
    <w:name w:val="寄信人地址1"/>
    <w:basedOn w:val="690"/>
    <w:uiPriority w:val="0"/>
    <w:qFormat/>
    <w:rPr>
      <w:rFonts w:ascii="Arial" w:hAnsi="Arial" w:eastAsia="宋体" w:cs="宋体"/>
    </w:rPr>
  </w:style>
  <w:style w:type="character" w:styleId="1006" w:customStyle="1">
    <w:name w:val="批注文字 字符1"/>
    <w:basedOn w:val="888"/>
    <w:link w:val="690"/>
    <w:uiPriority w:val="99"/>
    <w:semiHidden/>
    <w:qFormat/>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11</cp:revision>
  <dcterms:created xsi:type="dcterms:W3CDTF">2026-07-16T03:14:00Z</dcterms:created>
  <dcterms:modified xsi:type="dcterms:W3CDTF">2026-09-04T07:48:28Z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8332DB5B960A4DE6A95DEBCC3C86D870_13</vt:lpwstr>
  </property>
  <property fmtid="{D5CDD505-2E9C-101B-9397-08002B2CF9AE}" pid="4" name="KSOTemplateDocerSaveRecord">
    <vt:lpwstr>eyJoZGlkIjoiMGMxMjA4NTg1OGUyYzRlYTcxYzMxZTM5YzY1ZDdmZjgiLCJ1c2VySWQiOiIyNTM5NzI5MTQifQ==</vt:lpwstr>
  </property>
</Properties>
</file>