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9BFC4">
      <w:pPr>
        <w:spacing w:line="720" w:lineRule="exact"/>
        <w:jc w:val="center"/>
        <w:rPr>
          <w:rFonts w:hint="eastAsia"/>
          <w:b/>
          <w:bCs/>
          <w:color w:val="auto"/>
          <w:spacing w:val="80"/>
          <w:sz w:val="64"/>
          <w:highlight w:val="none"/>
          <w:lang w:val="en-US" w:eastAsia="zh-CN"/>
        </w:rPr>
      </w:pPr>
      <w:r>
        <w:rPr>
          <w:rFonts w:hint="eastAsia"/>
          <w:b/>
          <w:bCs/>
          <w:color w:val="auto"/>
          <w:spacing w:val="80"/>
          <w:sz w:val="64"/>
          <w:highlight w:val="none"/>
          <w:lang w:val="en-US" w:eastAsia="zh-CN"/>
        </w:rPr>
        <w:t xml:space="preserve">  </w:t>
      </w:r>
    </w:p>
    <w:p w14:paraId="6FE95480">
      <w:pPr>
        <w:spacing w:line="720" w:lineRule="exact"/>
        <w:jc w:val="center"/>
        <w:rPr>
          <w:rFonts w:hint="eastAsia"/>
          <w:b/>
          <w:bCs/>
          <w:color w:val="auto"/>
          <w:spacing w:val="80"/>
          <w:sz w:val="64"/>
          <w:highlight w:val="none"/>
          <w:lang w:val="en-US" w:eastAsia="zh-CN"/>
        </w:rPr>
      </w:pPr>
    </w:p>
    <w:p w14:paraId="7D7B7005">
      <w:pPr>
        <w:spacing w:line="720" w:lineRule="exact"/>
        <w:jc w:val="center"/>
        <w:rPr>
          <w:color w:val="auto"/>
          <w:sz w:val="56"/>
          <w:highlight w:val="none"/>
        </w:rPr>
      </w:pPr>
      <w:r>
        <w:rPr>
          <w:b/>
          <w:bCs/>
          <w:color w:val="auto"/>
          <w:spacing w:val="80"/>
          <w:sz w:val="64"/>
          <w:highlight w:val="none"/>
        </w:rPr>
        <w:t>连云港市政府采购</w:t>
      </w:r>
    </w:p>
    <w:p w14:paraId="1700B1BE">
      <w:pPr>
        <w:spacing w:line="720" w:lineRule="exact"/>
        <w:jc w:val="center"/>
        <w:rPr>
          <w:color w:val="auto"/>
          <w:sz w:val="52"/>
          <w:highlight w:val="none"/>
        </w:rPr>
      </w:pPr>
    </w:p>
    <w:p w14:paraId="1EE5AAFC">
      <w:pPr>
        <w:spacing w:line="360" w:lineRule="auto"/>
        <w:jc w:val="center"/>
        <w:rPr>
          <w:b/>
          <w:bCs/>
          <w:color w:val="auto"/>
          <w:spacing w:val="80"/>
          <w:sz w:val="72"/>
          <w:szCs w:val="72"/>
          <w:highlight w:val="none"/>
        </w:rPr>
      </w:pPr>
      <w:r>
        <w:rPr>
          <w:b/>
          <w:bCs/>
          <w:color w:val="auto"/>
          <w:spacing w:val="80"/>
          <w:sz w:val="72"/>
          <w:szCs w:val="72"/>
          <w:highlight w:val="none"/>
        </w:rPr>
        <w:t>招标文件</w:t>
      </w:r>
    </w:p>
    <w:p w14:paraId="4F4336D0">
      <w:pPr>
        <w:spacing w:line="720" w:lineRule="exact"/>
        <w:jc w:val="center"/>
        <w:rPr>
          <w:color w:val="auto"/>
          <w:sz w:val="72"/>
          <w:highlight w:val="none"/>
        </w:rPr>
      </w:pPr>
    </w:p>
    <w:p w14:paraId="11A428EF">
      <w:pPr>
        <w:spacing w:line="720" w:lineRule="exact"/>
        <w:jc w:val="center"/>
        <w:rPr>
          <w:color w:val="auto"/>
          <w:sz w:val="70"/>
          <w:highlight w:val="none"/>
        </w:rPr>
      </w:pPr>
    </w:p>
    <w:p w14:paraId="13C11994">
      <w:pPr>
        <w:spacing w:line="720" w:lineRule="exact"/>
        <w:jc w:val="center"/>
        <w:rPr>
          <w:color w:val="auto"/>
          <w:sz w:val="70"/>
          <w:highlight w:val="none"/>
        </w:rPr>
      </w:pPr>
    </w:p>
    <w:p w14:paraId="3A6E26AD">
      <w:pPr>
        <w:spacing w:line="720" w:lineRule="exact"/>
        <w:rPr>
          <w:color w:val="auto"/>
          <w:sz w:val="70"/>
          <w:highlight w:val="none"/>
        </w:rPr>
      </w:pPr>
    </w:p>
    <w:p w14:paraId="32E04DD6">
      <w:pPr>
        <w:ind w:left="840" w:firstLine="613"/>
        <w:rPr>
          <w:b/>
          <w:bCs/>
          <w:color w:val="auto"/>
          <w:spacing w:val="16"/>
          <w:sz w:val="32"/>
          <w:szCs w:val="32"/>
          <w:highlight w:val="none"/>
        </w:rPr>
      </w:pPr>
      <w:r>
        <w:rPr>
          <w:rFonts w:hint="eastAsia"/>
          <w:b/>
          <w:bCs/>
          <w:color w:val="auto"/>
          <w:sz w:val="32"/>
          <w:szCs w:val="32"/>
          <w:highlight w:val="none"/>
          <w:lang w:val="en-US" w:eastAsia="zh-CN"/>
        </w:rPr>
        <w:t>项目</w:t>
      </w:r>
      <w:r>
        <w:rPr>
          <w:b/>
          <w:bCs/>
          <w:color w:val="auto"/>
          <w:sz w:val="32"/>
          <w:szCs w:val="32"/>
          <w:highlight w:val="none"/>
        </w:rPr>
        <w:t>名称：连云港市长期护理保险委托商保公司</w:t>
      </w:r>
      <w:r>
        <w:rPr>
          <w:rFonts w:hint="eastAsia"/>
          <w:b/>
          <w:bCs/>
          <w:color w:val="auto"/>
          <w:sz w:val="32"/>
          <w:szCs w:val="32"/>
          <w:highlight w:val="none"/>
          <w:lang w:val="en-US" w:eastAsia="zh-CN"/>
        </w:rPr>
        <w:t>承</w:t>
      </w:r>
      <w:r>
        <w:rPr>
          <w:b/>
          <w:bCs/>
          <w:color w:val="auto"/>
          <w:sz w:val="32"/>
          <w:szCs w:val="32"/>
          <w:highlight w:val="none"/>
        </w:rPr>
        <w:t xml:space="preserve">办项目 </w:t>
      </w:r>
    </w:p>
    <w:p w14:paraId="4FDBA03D">
      <w:pPr>
        <w:ind w:firstLine="1526"/>
        <w:rPr>
          <w:b/>
          <w:bCs/>
          <w:color w:val="auto"/>
          <w:sz w:val="32"/>
          <w:szCs w:val="32"/>
          <w:highlight w:val="none"/>
        </w:rPr>
      </w:pPr>
      <w:r>
        <w:rPr>
          <w:rFonts w:hint="eastAsia"/>
          <w:b/>
          <w:bCs/>
          <w:color w:val="auto"/>
          <w:sz w:val="32"/>
          <w:szCs w:val="32"/>
          <w:highlight w:val="none"/>
          <w:lang w:val="en-US" w:eastAsia="zh-CN"/>
        </w:rPr>
        <w:t>项目</w:t>
      </w:r>
      <w:r>
        <w:rPr>
          <w:b/>
          <w:bCs/>
          <w:color w:val="auto"/>
          <w:sz w:val="32"/>
          <w:szCs w:val="32"/>
          <w:highlight w:val="none"/>
        </w:rPr>
        <w:t>编号：</w:t>
      </w:r>
      <w:r>
        <w:rPr>
          <w:rFonts w:hint="eastAsia"/>
          <w:b/>
          <w:bCs/>
          <w:color w:val="auto"/>
          <w:sz w:val="32"/>
          <w:szCs w:val="32"/>
          <w:highlight w:val="none"/>
        </w:rPr>
        <w:t>JSZC-320700-JZCG-G2026-0125</w:t>
      </w:r>
    </w:p>
    <w:p w14:paraId="405EB8BE">
      <w:pPr>
        <w:pStyle w:val="20"/>
        <w:ind w:right="-993"/>
        <w:rPr>
          <w:rFonts w:ascii="Times New Roman" w:hAnsi="Times New Roman"/>
          <w:b/>
          <w:color w:val="auto"/>
          <w:highlight w:val="none"/>
        </w:rPr>
      </w:pPr>
    </w:p>
    <w:p w14:paraId="02FE77B8">
      <w:pPr>
        <w:pStyle w:val="20"/>
        <w:ind w:right="-993"/>
        <w:rPr>
          <w:rFonts w:ascii="Times New Roman" w:hAnsi="Times New Roman"/>
          <w:b/>
          <w:color w:val="auto"/>
          <w:highlight w:val="none"/>
        </w:rPr>
      </w:pPr>
    </w:p>
    <w:p w14:paraId="4D2B3E20">
      <w:pPr>
        <w:pStyle w:val="20"/>
        <w:ind w:right="-993"/>
        <w:rPr>
          <w:rFonts w:ascii="Times New Roman" w:hAnsi="Times New Roman"/>
          <w:b/>
          <w:color w:val="auto"/>
          <w:highlight w:val="none"/>
        </w:rPr>
      </w:pPr>
    </w:p>
    <w:p w14:paraId="6CB27130">
      <w:pPr>
        <w:ind w:left="840" w:firstLine="613"/>
        <w:rPr>
          <w:rFonts w:ascii="Times New Roman" w:hAnsi="Times New Roman"/>
          <w:b/>
          <w:bCs/>
          <w:color w:val="auto"/>
          <w:spacing w:val="16"/>
          <w:sz w:val="32"/>
          <w:szCs w:val="32"/>
          <w:highlight w:val="none"/>
        </w:rPr>
      </w:pPr>
    </w:p>
    <w:p w14:paraId="03AF9FF4">
      <w:pPr>
        <w:pStyle w:val="20"/>
        <w:ind w:right="-993"/>
        <w:rPr>
          <w:rFonts w:ascii="Times New Roman" w:hAnsi="Times New Roman"/>
          <w:b/>
          <w:color w:val="auto"/>
          <w:highlight w:val="none"/>
        </w:rPr>
      </w:pPr>
    </w:p>
    <w:p w14:paraId="65F8D154">
      <w:pPr>
        <w:pStyle w:val="20"/>
        <w:ind w:right="-993"/>
        <w:rPr>
          <w:rFonts w:ascii="Times New Roman" w:hAnsi="Times New Roman"/>
          <w:b/>
          <w:color w:val="auto"/>
          <w:highlight w:val="none"/>
        </w:rPr>
      </w:pPr>
    </w:p>
    <w:p w14:paraId="3C54E30C">
      <w:pPr>
        <w:pStyle w:val="20"/>
        <w:ind w:right="-993"/>
        <w:rPr>
          <w:rFonts w:ascii="Times New Roman" w:hAnsi="Times New Roman"/>
          <w:b/>
          <w:color w:val="auto"/>
          <w:highlight w:val="none"/>
        </w:rPr>
      </w:pPr>
    </w:p>
    <w:p w14:paraId="75F192C8">
      <w:pPr>
        <w:spacing w:before="120" w:after="120" w:line="360" w:lineRule="auto"/>
        <w:ind w:firstLine="2137"/>
        <w:rPr>
          <w:b/>
          <w:bCs/>
          <w:color w:val="auto"/>
          <w:sz w:val="32"/>
          <w:szCs w:val="32"/>
          <w:highlight w:val="none"/>
        </w:rPr>
      </w:pPr>
      <w:r>
        <w:rPr>
          <w:b/>
          <w:bCs/>
          <w:color w:val="auto"/>
          <w:sz w:val="32"/>
          <w:szCs w:val="32"/>
          <w:highlight w:val="none"/>
        </w:rPr>
        <w:t>采购人：连云港市医疗保障局</w:t>
      </w:r>
    </w:p>
    <w:p w14:paraId="069E7CB9">
      <w:pPr>
        <w:spacing w:before="120" w:after="120" w:line="360" w:lineRule="auto"/>
        <w:jc w:val="center"/>
        <w:rPr>
          <w:rFonts w:ascii="Times New Roman" w:hAnsi="Times New Roman"/>
          <w:b/>
          <w:bCs/>
          <w:color w:val="auto"/>
          <w:sz w:val="32"/>
          <w:szCs w:val="24"/>
          <w:highlight w:val="none"/>
        </w:rPr>
      </w:pPr>
      <w:r>
        <w:rPr>
          <w:rFonts w:hint="eastAsia"/>
          <w:b/>
          <w:bCs/>
          <w:color w:val="auto"/>
          <w:sz w:val="32"/>
          <w:szCs w:val="32"/>
          <w:highlight w:val="none"/>
          <w:lang w:val="en-US" w:eastAsia="zh-CN"/>
        </w:rPr>
        <w:t>采购</w:t>
      </w:r>
      <w:r>
        <w:rPr>
          <w:b/>
          <w:bCs/>
          <w:color w:val="auto"/>
          <w:sz w:val="32"/>
          <w:szCs w:val="32"/>
          <w:highlight w:val="none"/>
        </w:rPr>
        <w:t>机构：</w:t>
      </w:r>
      <w:r>
        <w:rPr>
          <w:rFonts w:hint="default" w:ascii="Times New Roman" w:hAnsi="Times New Roman"/>
          <w:b/>
          <w:bCs/>
          <w:color w:val="auto"/>
          <w:sz w:val="32"/>
          <w:szCs w:val="24"/>
          <w:highlight w:val="none"/>
        </w:rPr>
        <w:t>连云港市公共资源交易中心</w:t>
      </w:r>
    </w:p>
    <w:p w14:paraId="6817EE99">
      <w:pPr>
        <w:ind w:left="840" w:firstLine="613"/>
        <w:rPr>
          <w:b/>
          <w:bCs/>
          <w:color w:val="auto"/>
          <w:sz w:val="32"/>
          <w:szCs w:val="32"/>
          <w:highlight w:val="none"/>
        </w:rPr>
      </w:pPr>
    </w:p>
    <w:p w14:paraId="10C3B204">
      <w:pPr>
        <w:pStyle w:val="190"/>
        <w:rPr>
          <w:rFonts w:ascii="Times New Roman" w:hAnsi="Times New Roman"/>
          <w:b/>
          <w:color w:val="auto"/>
          <w:highlight w:val="none"/>
        </w:rPr>
      </w:pPr>
    </w:p>
    <w:p w14:paraId="210E28A3">
      <w:pPr>
        <w:pStyle w:val="190"/>
        <w:rPr>
          <w:rFonts w:ascii="Times New Roman" w:hAnsi="Times New Roman"/>
          <w:b/>
          <w:color w:val="auto"/>
          <w:highlight w:val="none"/>
        </w:rPr>
      </w:pPr>
    </w:p>
    <w:p w14:paraId="6BCE5F48">
      <w:pPr>
        <w:pStyle w:val="190"/>
        <w:rPr>
          <w:rFonts w:ascii="Times New Roman" w:hAnsi="Times New Roman"/>
          <w:b/>
          <w:color w:val="auto"/>
          <w:highlight w:val="none"/>
        </w:rPr>
      </w:pPr>
    </w:p>
    <w:p w14:paraId="676476C1">
      <w:pPr>
        <w:pStyle w:val="190"/>
        <w:rPr>
          <w:rFonts w:ascii="Times New Roman" w:hAnsi="Times New Roman"/>
          <w:b/>
          <w:color w:val="auto"/>
          <w:highlight w:val="none"/>
        </w:rPr>
      </w:pPr>
    </w:p>
    <w:p w14:paraId="56FBE7AE">
      <w:pPr>
        <w:ind w:left="0" w:firstLine="0"/>
        <w:jc w:val="center"/>
        <w:rPr>
          <w:b/>
          <w:bCs/>
          <w:color w:val="auto"/>
          <w:sz w:val="32"/>
          <w:szCs w:val="32"/>
          <w:highlight w:val="none"/>
        </w:rPr>
      </w:pPr>
      <w:r>
        <w:rPr>
          <w:b/>
          <w:bCs/>
          <w:color w:val="auto"/>
          <w:sz w:val="32"/>
          <w:szCs w:val="32"/>
          <w:highlight w:val="none"/>
        </w:rPr>
        <w:t>202</w:t>
      </w:r>
      <w:r>
        <w:rPr>
          <w:rFonts w:hint="eastAsia"/>
          <w:b/>
          <w:bCs/>
          <w:color w:val="auto"/>
          <w:sz w:val="32"/>
          <w:szCs w:val="32"/>
          <w:highlight w:val="none"/>
          <w:lang w:val="en-US" w:eastAsia="zh-CN"/>
        </w:rPr>
        <w:t>6</w:t>
      </w:r>
      <w:r>
        <w:rPr>
          <w:b/>
          <w:bCs/>
          <w:color w:val="auto"/>
          <w:sz w:val="32"/>
          <w:szCs w:val="32"/>
          <w:highlight w:val="none"/>
        </w:rPr>
        <w:t>年</w:t>
      </w:r>
      <w:r>
        <w:rPr>
          <w:rFonts w:hint="eastAsia"/>
          <w:b/>
          <w:bCs/>
          <w:color w:val="auto"/>
          <w:sz w:val="32"/>
          <w:szCs w:val="32"/>
          <w:highlight w:val="none"/>
          <w:lang w:val="en-US" w:eastAsia="zh-CN"/>
        </w:rPr>
        <w:t xml:space="preserve"> 9</w:t>
      </w:r>
      <w:r>
        <w:rPr>
          <w:b/>
          <w:bCs/>
          <w:color w:val="auto"/>
          <w:sz w:val="32"/>
          <w:szCs w:val="32"/>
          <w:highlight w:val="none"/>
        </w:rPr>
        <w:t>月</w:t>
      </w:r>
    </w:p>
    <w:p w14:paraId="4057D2CC">
      <w:pPr>
        <w:rPr>
          <w:b/>
          <w:bCs/>
          <w:color w:val="auto"/>
          <w:sz w:val="32"/>
          <w:szCs w:val="32"/>
          <w:highlight w:val="none"/>
        </w:rPr>
        <w:sectPr>
          <w:headerReference r:id="rId3" w:type="default"/>
          <w:footerReference r:id="rId4" w:type="default"/>
          <w:pgSz w:w="11906" w:h="16838"/>
          <w:pgMar w:top="1440" w:right="1800" w:bottom="1440" w:left="1800" w:header="851" w:footer="992" w:gutter="0"/>
          <w:cols w:space="425" w:num="1"/>
          <w:docGrid w:linePitch="360" w:charSpace="0"/>
        </w:sectPr>
      </w:pPr>
    </w:p>
    <w:p w14:paraId="7E567D43">
      <w:pPr>
        <w:pStyle w:val="2"/>
        <w:keepLines/>
        <w:numPr>
          <w:ilvl w:val="0"/>
          <w:numId w:val="0"/>
        </w:numPr>
        <w:spacing w:line="360" w:lineRule="auto"/>
        <w:rPr>
          <w:rFonts w:ascii="Times New Roman" w:eastAsia="黑体"/>
          <w:color w:val="auto"/>
          <w:sz w:val="36"/>
          <w:szCs w:val="20"/>
          <w:highlight w:val="none"/>
        </w:rPr>
      </w:pPr>
      <w:bookmarkStart w:id="0" w:name="_Toc58260780"/>
      <w:r>
        <w:rPr>
          <w:rFonts w:ascii="Times New Roman" w:eastAsia="黑体"/>
          <w:color w:val="auto"/>
          <w:sz w:val="36"/>
          <w:szCs w:val="20"/>
          <w:highlight w:val="none"/>
        </w:rPr>
        <w:t>目   录</w:t>
      </w:r>
      <w:bookmarkEnd w:id="0"/>
    </w:p>
    <w:p w14:paraId="2CF75339">
      <w:pPr>
        <w:pStyle w:val="25"/>
        <w:tabs>
          <w:tab w:val="right" w:leader="dot" w:pos="9344"/>
        </w:tabs>
        <w:spacing w:before="0" w:line="360" w:lineRule="auto"/>
        <w:rPr>
          <w:rFonts w:ascii="Times New Roman" w:hAnsi="Times New Roman"/>
          <w:b w:val="0"/>
          <w:color w:val="auto"/>
          <w:sz w:val="28"/>
          <w:highlight w:val="none"/>
        </w:rPr>
      </w:pPr>
    </w:p>
    <w:p w14:paraId="10E4EE6F">
      <w:pPr>
        <w:pStyle w:val="33"/>
        <w:tabs>
          <w:tab w:val="left" w:pos="1441"/>
        </w:tabs>
        <w:spacing w:beforeAutospacing="0" w:afterAutospacing="0" w:line="480" w:lineRule="auto"/>
        <w:ind w:left="2160" w:hanging="1440"/>
        <w:jc w:val="both"/>
        <w:rPr>
          <w:color w:val="auto"/>
          <w:highlight w:val="none"/>
        </w:rPr>
      </w:pPr>
      <w:r>
        <w:rPr>
          <w:rFonts w:hint="default" w:ascii="Times New Roman" w:hAnsi="Times New Roman" w:eastAsia="黑体" w:cs="Times New Roman"/>
          <w:color w:val="auto"/>
          <w:sz w:val="36"/>
          <w:szCs w:val="36"/>
          <w:highlight w:val="none"/>
          <w:lang w:val="en-US" w:eastAsia="zh-CN"/>
        </w:rPr>
        <w:t>第一章 投</w:t>
      </w:r>
      <w:r>
        <w:rPr>
          <w:rFonts w:hint="default" w:ascii="Times New Roman" w:hAnsi="Times New Roman" w:eastAsia="黑体" w:cs="Times New Roman"/>
          <w:color w:val="auto"/>
          <w:sz w:val="36"/>
          <w:szCs w:val="36"/>
          <w:highlight w:val="none"/>
        </w:rPr>
        <w:t>标</w:t>
      </w:r>
      <w:r>
        <w:rPr>
          <w:rFonts w:hint="default" w:ascii="Times New Roman" w:hAnsi="Times New Roman" w:eastAsia="黑体" w:cs="Times New Roman"/>
          <w:color w:val="auto"/>
          <w:sz w:val="36"/>
          <w:szCs w:val="36"/>
          <w:highlight w:val="none"/>
          <w:lang w:val="en-US" w:eastAsia="zh-CN"/>
        </w:rPr>
        <w:t>邀请</w:t>
      </w:r>
      <w:r>
        <w:rPr>
          <w:rFonts w:hint="default" w:ascii="Times New Roman" w:hAnsi="Times New Roman" w:eastAsia="黑体" w:cs="Times New Roman"/>
          <w:color w:val="auto"/>
          <w:sz w:val="36"/>
          <w:szCs w:val="36"/>
          <w:highlight w:val="none"/>
        </w:rPr>
        <w:t xml:space="preserve">……………………………… </w:t>
      </w:r>
      <w:r>
        <w:rPr>
          <w:rFonts w:hint="default" w:ascii="Times New Roman" w:hAnsi="Times New Roman" w:eastAsia="黑体" w:cs="Times New Roman"/>
          <w:color w:val="auto"/>
          <w:sz w:val="36"/>
          <w:szCs w:val="36"/>
          <w:highlight w:val="none"/>
          <w:lang w:val="en-US" w:eastAsia="zh-CN"/>
        </w:rPr>
        <w:t>3</w:t>
      </w:r>
      <w:r>
        <w:rPr>
          <w:rFonts w:hint="default" w:ascii="Times New Roman" w:hAnsi="Times New Roman" w:eastAsia="黑体" w:cs="Times New Roman"/>
          <w:color w:val="auto"/>
          <w:sz w:val="36"/>
          <w:szCs w:val="36"/>
          <w:highlight w:val="none"/>
        </w:rPr>
        <w:t xml:space="preserve"> </w:t>
      </w:r>
    </w:p>
    <w:p w14:paraId="6A57507D">
      <w:pPr>
        <w:pStyle w:val="33"/>
        <w:tabs>
          <w:tab w:val="left" w:pos="1441"/>
        </w:tabs>
        <w:spacing w:beforeAutospacing="0" w:afterAutospacing="0" w:line="480" w:lineRule="auto"/>
        <w:ind w:left="2160" w:hanging="1440"/>
        <w:jc w:val="both"/>
        <w:rPr>
          <w:color w:val="auto"/>
          <w:highlight w:val="none"/>
        </w:rPr>
      </w:pPr>
      <w:r>
        <w:rPr>
          <w:rFonts w:hint="default" w:ascii="Times New Roman" w:hAnsi="Times New Roman" w:eastAsia="黑体" w:cs="Times New Roman"/>
          <w:color w:val="auto"/>
          <w:sz w:val="36"/>
          <w:szCs w:val="36"/>
          <w:highlight w:val="none"/>
          <w:lang w:val="en-US" w:eastAsia="zh-CN"/>
        </w:rPr>
        <w:t xml:space="preserve">第二章 </w:t>
      </w:r>
      <w:r>
        <w:rPr>
          <w:rFonts w:hint="default" w:ascii="Times New Roman" w:hAnsi="Times New Roman" w:eastAsia="黑体" w:cs="Times New Roman"/>
          <w:color w:val="auto"/>
          <w:sz w:val="36"/>
          <w:szCs w:val="36"/>
          <w:highlight w:val="none"/>
          <w:lang w:eastAsia="zh-CN"/>
        </w:rPr>
        <w:t>投标人</w:t>
      </w:r>
      <w:r>
        <w:rPr>
          <w:rFonts w:hint="default" w:ascii="Times New Roman" w:hAnsi="Times New Roman" w:eastAsia="黑体" w:cs="Times New Roman"/>
          <w:color w:val="auto"/>
          <w:sz w:val="36"/>
          <w:szCs w:val="36"/>
          <w:highlight w:val="none"/>
        </w:rPr>
        <w:t xml:space="preserve">须知…………………………… </w:t>
      </w:r>
      <w:r>
        <w:rPr>
          <w:rFonts w:hint="default" w:ascii="Times New Roman" w:hAnsi="Times New Roman" w:eastAsia="黑体" w:cs="Times New Roman"/>
          <w:color w:val="auto"/>
          <w:sz w:val="36"/>
          <w:szCs w:val="36"/>
          <w:highlight w:val="none"/>
          <w:lang w:val="en-US" w:eastAsia="zh-CN"/>
        </w:rPr>
        <w:t>8</w:t>
      </w:r>
      <w:r>
        <w:rPr>
          <w:rFonts w:hint="default" w:ascii="Times New Roman" w:hAnsi="Times New Roman" w:eastAsia="黑体" w:cs="Times New Roman"/>
          <w:color w:val="auto"/>
          <w:sz w:val="36"/>
          <w:szCs w:val="36"/>
          <w:highlight w:val="none"/>
        </w:rPr>
        <w:t xml:space="preserve"> </w:t>
      </w:r>
    </w:p>
    <w:p w14:paraId="21655E73">
      <w:pPr>
        <w:pStyle w:val="3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第三章 </w:t>
      </w:r>
      <w:r>
        <w:rPr>
          <w:rFonts w:hint="default" w:ascii="Times New Roman" w:hAnsi="Times New Roman" w:eastAsia="黑体" w:cs="Times New Roman"/>
          <w:color w:val="auto"/>
          <w:sz w:val="36"/>
          <w:szCs w:val="36"/>
          <w:highlight w:val="none"/>
        </w:rPr>
        <w:t xml:space="preserve">合同文本……………………………… </w:t>
      </w:r>
      <w:r>
        <w:rPr>
          <w:rFonts w:hint="default" w:ascii="Times New Roman" w:hAnsi="Times New Roman" w:eastAsia="黑体" w:cs="Times New Roman"/>
          <w:color w:val="auto"/>
          <w:sz w:val="36"/>
          <w:szCs w:val="36"/>
          <w:highlight w:val="none"/>
          <w:lang w:val="en-US" w:eastAsia="zh-CN"/>
        </w:rPr>
        <w:t>2</w:t>
      </w:r>
      <w:r>
        <w:rPr>
          <w:rFonts w:hint="eastAsia" w:eastAsia="黑体" w:cs="Times New Roman"/>
          <w:color w:val="auto"/>
          <w:sz w:val="36"/>
          <w:szCs w:val="36"/>
          <w:highlight w:val="none"/>
          <w:lang w:val="en-US" w:eastAsia="zh-CN"/>
        </w:rPr>
        <w:t>1</w:t>
      </w:r>
    </w:p>
    <w:p w14:paraId="52575E72">
      <w:pPr>
        <w:pStyle w:val="3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第四章 </w:t>
      </w:r>
      <w:r>
        <w:rPr>
          <w:rFonts w:hint="default" w:ascii="Times New Roman" w:hAnsi="Times New Roman" w:eastAsia="黑体" w:cs="Times New Roman"/>
          <w:color w:val="auto"/>
          <w:sz w:val="36"/>
          <w:szCs w:val="36"/>
          <w:highlight w:val="none"/>
        </w:rPr>
        <w:t xml:space="preserve">采购需求……………………………… </w:t>
      </w:r>
      <w:r>
        <w:rPr>
          <w:rFonts w:hint="default" w:ascii="Times New Roman" w:hAnsi="Times New Roman" w:eastAsia="黑体" w:cs="Times New Roman"/>
          <w:color w:val="auto"/>
          <w:sz w:val="36"/>
          <w:szCs w:val="36"/>
          <w:highlight w:val="none"/>
          <w:lang w:val="en-US" w:eastAsia="zh-CN"/>
        </w:rPr>
        <w:t>2</w:t>
      </w:r>
      <w:r>
        <w:rPr>
          <w:rFonts w:hint="eastAsia" w:eastAsia="黑体" w:cs="Times New Roman"/>
          <w:color w:val="auto"/>
          <w:sz w:val="36"/>
          <w:szCs w:val="36"/>
          <w:highlight w:val="none"/>
          <w:lang w:val="en-US" w:eastAsia="zh-CN"/>
        </w:rPr>
        <w:t>4</w:t>
      </w:r>
    </w:p>
    <w:p w14:paraId="6CF6C44C">
      <w:pPr>
        <w:pStyle w:val="3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第五章 </w:t>
      </w:r>
      <w:r>
        <w:rPr>
          <w:rFonts w:hint="default" w:ascii="Times New Roman" w:hAnsi="Times New Roman" w:eastAsia="黑体" w:cs="Times New Roman"/>
          <w:color w:val="auto"/>
          <w:sz w:val="36"/>
          <w:szCs w:val="36"/>
          <w:highlight w:val="none"/>
        </w:rPr>
        <w:t xml:space="preserve">评标方法与评标标准………………… </w:t>
      </w:r>
      <w:r>
        <w:rPr>
          <w:rFonts w:hint="eastAsia" w:eastAsia="黑体" w:cs="Times New Roman"/>
          <w:color w:val="auto"/>
          <w:sz w:val="36"/>
          <w:szCs w:val="36"/>
          <w:highlight w:val="none"/>
          <w:lang w:val="en-US" w:eastAsia="zh-CN"/>
        </w:rPr>
        <w:t>35</w:t>
      </w:r>
    </w:p>
    <w:p w14:paraId="53685DFC">
      <w:pPr>
        <w:pStyle w:val="3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第六章 </w:t>
      </w:r>
      <w:r>
        <w:rPr>
          <w:rFonts w:hint="default" w:ascii="Times New Roman" w:hAnsi="Times New Roman" w:eastAsia="黑体" w:cs="Times New Roman"/>
          <w:color w:val="auto"/>
          <w:sz w:val="36"/>
          <w:szCs w:val="36"/>
          <w:highlight w:val="none"/>
        </w:rPr>
        <w:t xml:space="preserve">投标文件格式………………………… </w:t>
      </w:r>
      <w:r>
        <w:rPr>
          <w:rFonts w:hint="eastAsia" w:eastAsia="黑体" w:cs="Times New Roman"/>
          <w:color w:val="auto"/>
          <w:sz w:val="36"/>
          <w:szCs w:val="36"/>
          <w:highlight w:val="none"/>
          <w:lang w:val="en-US" w:eastAsia="zh-CN"/>
        </w:rPr>
        <w:t>43</w:t>
      </w:r>
    </w:p>
    <w:p w14:paraId="5E686FEC">
      <w:pPr>
        <w:rPr>
          <w:b/>
          <w:bCs/>
          <w:color w:val="auto"/>
          <w:sz w:val="32"/>
          <w:szCs w:val="32"/>
          <w:highlight w:val="none"/>
        </w:rPr>
        <w:sectPr>
          <w:pgSz w:w="11906" w:h="16838"/>
          <w:pgMar w:top="1440" w:right="1800" w:bottom="1440" w:left="1800" w:header="851" w:footer="992" w:gutter="0"/>
          <w:cols w:space="425" w:num="1"/>
          <w:docGrid w:linePitch="360" w:charSpace="0"/>
        </w:sectPr>
      </w:pPr>
    </w:p>
    <w:p w14:paraId="47D2F361">
      <w:pPr>
        <w:pStyle w:val="2"/>
        <w:keepLines/>
        <w:numPr>
          <w:ilvl w:val="0"/>
          <w:numId w:val="0"/>
        </w:numPr>
        <w:spacing w:before="156" w:after="156" w:line="360" w:lineRule="auto"/>
        <w:jc w:val="center"/>
        <w:rPr>
          <w:rFonts w:hint="default" w:ascii="Times New Roman" w:hAnsi="Times New Roman" w:eastAsia="黑体" w:cs="Times New Roman"/>
          <w:b w:val="0"/>
          <w:bCs w:val="0"/>
          <w:color w:val="auto"/>
          <w:sz w:val="44"/>
          <w:szCs w:val="44"/>
          <w:highlight w:val="none"/>
          <w:lang w:val="en-US" w:eastAsia="zh-CN"/>
        </w:rPr>
      </w:pPr>
      <w:bookmarkStart w:id="1" w:name="_Toc58260781"/>
      <w:r>
        <w:rPr>
          <w:rFonts w:hint="default" w:ascii="Times New Roman" w:hAnsi="Times New Roman" w:eastAsia="黑体" w:cs="Times New Roman"/>
          <w:b w:val="0"/>
          <w:bCs w:val="0"/>
          <w:color w:val="auto"/>
          <w:sz w:val="44"/>
          <w:szCs w:val="44"/>
          <w:highlight w:val="none"/>
        </w:rPr>
        <w:t>第一</w:t>
      </w:r>
      <w:r>
        <w:rPr>
          <w:rFonts w:hint="default" w:ascii="Times New Roman" w:hAnsi="Times New Roman" w:eastAsia="黑体" w:cs="Times New Roman"/>
          <w:b w:val="0"/>
          <w:bCs w:val="0"/>
          <w:color w:val="auto"/>
          <w:sz w:val="44"/>
          <w:szCs w:val="44"/>
          <w:highlight w:val="none"/>
          <w:lang w:val="en-US" w:eastAsia="zh-CN"/>
        </w:rPr>
        <w:t>章</w:t>
      </w:r>
      <w:r>
        <w:rPr>
          <w:rFonts w:hint="default" w:ascii="Times New Roman" w:hAnsi="Times New Roman" w:eastAsia="黑体" w:cs="Times New Roman"/>
          <w:b w:val="0"/>
          <w:bCs w:val="0"/>
          <w:color w:val="auto"/>
          <w:sz w:val="44"/>
          <w:szCs w:val="44"/>
          <w:highlight w:val="none"/>
        </w:rPr>
        <w:t xml:space="preserve">  投标</w:t>
      </w:r>
      <w:bookmarkEnd w:id="1"/>
      <w:r>
        <w:rPr>
          <w:rFonts w:hint="default" w:ascii="Times New Roman" w:hAnsi="Times New Roman" w:eastAsia="黑体" w:cs="Times New Roman"/>
          <w:b w:val="0"/>
          <w:bCs w:val="0"/>
          <w:color w:val="auto"/>
          <w:sz w:val="44"/>
          <w:szCs w:val="44"/>
          <w:highlight w:val="none"/>
          <w:lang w:val="en-US" w:eastAsia="zh-CN"/>
        </w:rPr>
        <w:t>邀请</w:t>
      </w:r>
    </w:p>
    <w:p w14:paraId="185A3A00">
      <w:pPr>
        <w:spacing w:line="360" w:lineRule="auto"/>
        <w:ind w:firstLine="480"/>
        <w:rPr>
          <w:color w:val="auto"/>
          <w:sz w:val="24"/>
          <w:highlight w:val="none"/>
        </w:rPr>
      </w:pPr>
      <w:r>
        <w:rPr>
          <w:color w:val="auto"/>
          <w:sz w:val="24"/>
          <w:highlight w:val="none"/>
        </w:rPr>
        <w:t>受连云港市医疗保障局的委托，</w:t>
      </w:r>
      <w:r>
        <w:rPr>
          <w:rFonts w:hint="eastAsia"/>
          <w:color w:val="auto"/>
          <w:sz w:val="24"/>
          <w:szCs w:val="24"/>
          <w:highlight w:val="none"/>
        </w:rPr>
        <w:t>连云港市公共资源交易中心</w:t>
      </w:r>
      <w:r>
        <w:rPr>
          <w:color w:val="auto"/>
          <w:sz w:val="24"/>
          <w:highlight w:val="none"/>
        </w:rPr>
        <w:t>就连云港市长期护理保险委托商保公司</w:t>
      </w:r>
      <w:r>
        <w:rPr>
          <w:rFonts w:hint="eastAsia"/>
          <w:color w:val="auto"/>
          <w:sz w:val="24"/>
          <w:highlight w:val="none"/>
          <w:lang w:val="en-US" w:eastAsia="zh-CN"/>
        </w:rPr>
        <w:t>承</w:t>
      </w:r>
      <w:r>
        <w:rPr>
          <w:color w:val="auto"/>
          <w:sz w:val="24"/>
          <w:highlight w:val="none"/>
        </w:rPr>
        <w:t>办项目进行公开招标采购，欢迎符合条件的</w:t>
      </w:r>
      <w:r>
        <w:rPr>
          <w:rFonts w:hint="eastAsia"/>
          <w:color w:val="auto"/>
          <w:sz w:val="24"/>
          <w:highlight w:val="none"/>
          <w:lang w:eastAsia="zh-CN"/>
        </w:rPr>
        <w:t>投标人</w:t>
      </w:r>
      <w:r>
        <w:rPr>
          <w:color w:val="auto"/>
          <w:sz w:val="24"/>
          <w:highlight w:val="none"/>
        </w:rPr>
        <w:t>投标。</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65D1F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8440" w:type="dxa"/>
            <w:noWrap w:val="0"/>
            <w:vAlign w:val="top"/>
          </w:tcPr>
          <w:p w14:paraId="40EBFDCD">
            <w:pPr>
              <w:spacing w:line="360" w:lineRule="auto"/>
              <w:rPr>
                <w:color w:val="auto"/>
                <w:sz w:val="24"/>
                <w:highlight w:val="none"/>
              </w:rPr>
            </w:pPr>
            <w:r>
              <w:rPr>
                <w:color w:val="auto"/>
                <w:sz w:val="24"/>
                <w:highlight w:val="none"/>
              </w:rPr>
              <w:t>项目概况</w:t>
            </w:r>
          </w:p>
          <w:p w14:paraId="0E5B42C5">
            <w:pPr>
              <w:spacing w:line="360" w:lineRule="auto"/>
              <w:ind w:firstLine="480"/>
              <w:rPr>
                <w:rFonts w:hint="eastAsia" w:eastAsia="宋体"/>
                <w:color w:val="auto"/>
                <w:highlight w:val="none"/>
                <w:lang w:eastAsia="zh-CN"/>
              </w:rPr>
            </w:pPr>
            <w:r>
              <w:rPr>
                <w:color w:val="auto"/>
                <w:sz w:val="24"/>
                <w:highlight w:val="none"/>
              </w:rPr>
              <w:t>连云港市长期护理保险委托商保公司</w:t>
            </w:r>
            <w:r>
              <w:rPr>
                <w:rFonts w:hint="eastAsia"/>
                <w:color w:val="auto"/>
                <w:sz w:val="24"/>
                <w:highlight w:val="none"/>
                <w:lang w:val="en-US" w:eastAsia="zh-CN"/>
              </w:rPr>
              <w:t>承</w:t>
            </w:r>
            <w:r>
              <w:rPr>
                <w:color w:val="auto"/>
                <w:sz w:val="24"/>
                <w:highlight w:val="none"/>
              </w:rPr>
              <w:t>办</w:t>
            </w:r>
            <w:r>
              <w:rPr>
                <w:rFonts w:hint="eastAsia"/>
                <w:color w:val="auto"/>
                <w:sz w:val="24"/>
                <w:szCs w:val="24"/>
                <w:highlight w:val="none"/>
              </w:rPr>
              <w:t>招标项目的潜在</w:t>
            </w:r>
            <w:r>
              <w:rPr>
                <w:rFonts w:hint="eastAsia"/>
                <w:color w:val="auto"/>
                <w:sz w:val="24"/>
                <w:szCs w:val="24"/>
                <w:highlight w:val="none"/>
                <w:lang w:eastAsia="zh-CN"/>
              </w:rPr>
              <w:t>投标人</w:t>
            </w:r>
            <w:r>
              <w:rPr>
                <w:rFonts w:hint="eastAsia"/>
                <w:color w:val="auto"/>
                <w:sz w:val="24"/>
                <w:szCs w:val="24"/>
                <w:highlight w:val="none"/>
              </w:rPr>
              <w:t>应在江苏政府采购网自行免费下载招标文件，并于202</w:t>
            </w:r>
            <w:r>
              <w:rPr>
                <w:rFonts w:hint="eastAsia"/>
                <w:color w:val="auto"/>
                <w:sz w:val="24"/>
                <w:szCs w:val="24"/>
                <w:highlight w:val="none"/>
                <w:lang w:val="en-US" w:eastAsia="zh-CN"/>
              </w:rPr>
              <w:t>6</w:t>
            </w:r>
            <w:r>
              <w:rPr>
                <w:rFonts w:hint="eastAsia"/>
                <w:color w:val="auto"/>
                <w:sz w:val="24"/>
                <w:szCs w:val="24"/>
                <w:highlight w:val="none"/>
              </w:rPr>
              <w:t>年1</w:t>
            </w:r>
            <w:r>
              <w:rPr>
                <w:rFonts w:hint="eastAsia"/>
                <w:color w:val="auto"/>
                <w:sz w:val="24"/>
                <w:szCs w:val="24"/>
                <w:highlight w:val="none"/>
                <w:lang w:val="en-US" w:eastAsia="zh-CN"/>
              </w:rPr>
              <w:t>0</w:t>
            </w:r>
            <w:r>
              <w:rPr>
                <w:rFonts w:hint="eastAsia"/>
                <w:color w:val="auto"/>
                <w:sz w:val="24"/>
                <w:szCs w:val="24"/>
                <w:highlight w:val="none"/>
              </w:rPr>
              <w:t>月</w:t>
            </w:r>
            <w:r>
              <w:rPr>
                <w:rFonts w:hint="eastAsia"/>
                <w:color w:val="auto"/>
                <w:sz w:val="24"/>
                <w:szCs w:val="24"/>
                <w:highlight w:val="none"/>
                <w:lang w:val="en-US" w:eastAsia="zh-CN"/>
              </w:rPr>
              <w:t>21</w:t>
            </w:r>
            <w:r>
              <w:rPr>
                <w:rFonts w:hint="eastAsia"/>
                <w:color w:val="auto"/>
                <w:sz w:val="24"/>
                <w:szCs w:val="24"/>
                <w:highlight w:val="none"/>
              </w:rPr>
              <w:t>日9:00:00（北京时间）前递交（上传）投标文件。</w:t>
            </w:r>
          </w:p>
        </w:tc>
      </w:tr>
    </w:tbl>
    <w:p w14:paraId="42AA1F27">
      <w:pPr>
        <w:pStyle w:val="3"/>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一、项目基本情况</w:t>
      </w:r>
    </w:p>
    <w:p w14:paraId="653E1FF7">
      <w:pPr>
        <w:spacing w:line="360" w:lineRule="auto"/>
        <w:ind w:firstLine="480"/>
        <w:rPr>
          <w:rFonts w:hint="default" w:eastAsia="宋体"/>
          <w:color w:val="auto"/>
          <w:sz w:val="24"/>
          <w:highlight w:val="none"/>
          <w:lang w:val="en-US" w:eastAsia="zh-CN"/>
        </w:rPr>
      </w:pPr>
      <w:r>
        <w:rPr>
          <w:rFonts w:hint="eastAsia"/>
          <w:color w:val="auto"/>
          <w:sz w:val="24"/>
          <w:highlight w:val="none"/>
          <w:lang w:val="en-US" w:eastAsia="zh-CN"/>
        </w:rPr>
        <w:t>项目</w:t>
      </w:r>
      <w:r>
        <w:rPr>
          <w:color w:val="auto"/>
          <w:sz w:val="24"/>
          <w:highlight w:val="none"/>
        </w:rPr>
        <w:t>编号：</w:t>
      </w:r>
      <w:r>
        <w:rPr>
          <w:rFonts w:hint="eastAsia"/>
          <w:color w:val="auto"/>
          <w:sz w:val="24"/>
          <w:highlight w:val="none"/>
        </w:rPr>
        <w:t>JSZC-320700-JZCG-G2026-0125</w:t>
      </w:r>
    </w:p>
    <w:p w14:paraId="634B6C3B">
      <w:pPr>
        <w:spacing w:line="360" w:lineRule="auto"/>
        <w:ind w:firstLine="480"/>
        <w:rPr>
          <w:color w:val="auto"/>
          <w:sz w:val="24"/>
          <w:highlight w:val="none"/>
        </w:rPr>
      </w:pPr>
      <w:r>
        <w:rPr>
          <w:rFonts w:hint="eastAsia"/>
          <w:color w:val="auto"/>
          <w:sz w:val="24"/>
          <w:highlight w:val="none"/>
          <w:lang w:val="en-US" w:eastAsia="zh-CN"/>
        </w:rPr>
        <w:t>项目</w:t>
      </w:r>
      <w:r>
        <w:rPr>
          <w:color w:val="auto"/>
          <w:sz w:val="24"/>
          <w:highlight w:val="none"/>
        </w:rPr>
        <w:t>名称：连云港市长期护理保险委托商保公司</w:t>
      </w:r>
      <w:r>
        <w:rPr>
          <w:rFonts w:hint="eastAsia"/>
          <w:color w:val="auto"/>
          <w:sz w:val="24"/>
          <w:highlight w:val="none"/>
          <w:lang w:val="en-US" w:eastAsia="zh-CN"/>
        </w:rPr>
        <w:t>承</w:t>
      </w:r>
      <w:r>
        <w:rPr>
          <w:color w:val="auto"/>
          <w:sz w:val="24"/>
          <w:highlight w:val="none"/>
        </w:rPr>
        <w:t>办项目</w:t>
      </w:r>
    </w:p>
    <w:p w14:paraId="05EA9987">
      <w:pPr>
        <w:spacing w:line="360" w:lineRule="auto"/>
        <w:ind w:firstLine="480"/>
        <w:rPr>
          <w:rFonts w:hint="eastAsia"/>
          <w:b w:val="0"/>
          <w:bCs w:val="0"/>
          <w:color w:val="auto"/>
          <w:sz w:val="24"/>
          <w:highlight w:val="none"/>
          <w:lang w:val="en-US" w:eastAsia="zh-CN"/>
        </w:rPr>
      </w:pPr>
      <w:r>
        <w:rPr>
          <w:rFonts w:hint="eastAsia"/>
          <w:b w:val="0"/>
          <w:bCs w:val="0"/>
          <w:color w:val="auto"/>
          <w:sz w:val="24"/>
          <w:highlight w:val="none"/>
          <w:lang w:val="en-US" w:eastAsia="zh-CN"/>
        </w:rPr>
        <w:t>本项目共分为10个采购包：</w:t>
      </w:r>
    </w:p>
    <w:p w14:paraId="483E105D">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采购包1：</w:t>
      </w:r>
      <w:r>
        <w:rPr>
          <w:rFonts w:hint="default" w:ascii="Times New Roman" w:hAnsi="Times New Roman"/>
          <w:color w:val="auto"/>
          <w:sz w:val="24"/>
          <w:highlight w:val="none"/>
        </w:rPr>
        <w:t>东海县居民</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15E5DA82">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采购包2：</w:t>
      </w:r>
      <w:r>
        <w:rPr>
          <w:rFonts w:hint="default" w:ascii="Times New Roman" w:hAnsi="Times New Roman"/>
          <w:color w:val="auto"/>
          <w:sz w:val="24"/>
          <w:highlight w:val="none"/>
        </w:rPr>
        <w:t>赣榆区居民</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7697782C">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采购包3：</w:t>
      </w:r>
      <w:r>
        <w:rPr>
          <w:rFonts w:hint="default" w:ascii="Times New Roman" w:hAnsi="Times New Roman"/>
          <w:color w:val="auto"/>
          <w:sz w:val="24"/>
          <w:highlight w:val="none"/>
          <w:lang w:val="en-US" w:eastAsia="zh-CN"/>
        </w:rPr>
        <w:t>灌云县居民</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31A74AFF">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采购包4：市本级</w:t>
      </w:r>
      <w:r>
        <w:rPr>
          <w:rFonts w:hint="default" w:ascii="Times New Roman" w:hAnsi="Times New Roman"/>
          <w:color w:val="auto"/>
          <w:sz w:val="24"/>
          <w:highlight w:val="none"/>
          <w:lang w:val="en-US" w:eastAsia="zh-CN"/>
        </w:rPr>
        <w:t>职工</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678DB3A4">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采购包5：</w:t>
      </w:r>
      <w:r>
        <w:rPr>
          <w:rFonts w:hint="default" w:ascii="Times New Roman" w:hAnsi="Times New Roman"/>
          <w:color w:val="auto"/>
          <w:sz w:val="24"/>
          <w:highlight w:val="none"/>
          <w:lang w:val="en-US" w:eastAsia="zh-CN"/>
        </w:rPr>
        <w:t>灌南县</w:t>
      </w:r>
      <w:r>
        <w:rPr>
          <w:rFonts w:hint="default" w:ascii="Times New Roman" w:hAnsi="Times New Roman"/>
          <w:color w:val="auto"/>
          <w:sz w:val="24"/>
          <w:highlight w:val="none"/>
        </w:rPr>
        <w:t>居民</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767A91EF">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采购包6：</w:t>
      </w:r>
      <w:r>
        <w:rPr>
          <w:rFonts w:hint="default" w:ascii="Times New Roman" w:hAnsi="Times New Roman" w:cs="Times New Roman" w:eastAsiaTheme="majorEastAsia"/>
          <w:color w:val="auto"/>
          <w:sz w:val="24"/>
          <w:szCs w:val="24"/>
          <w:highlight w:val="none"/>
          <w:lang w:val="en-US" w:eastAsia="zh-CN" w:bidi="ar-SA"/>
        </w:rPr>
        <w:t>市本级</w:t>
      </w:r>
      <w:r>
        <w:rPr>
          <w:rFonts w:hint="default" w:ascii="Times New Roman" w:hAnsi="Times New Roman"/>
          <w:color w:val="auto"/>
          <w:sz w:val="24"/>
          <w:highlight w:val="none"/>
        </w:rPr>
        <w:t>居民</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616F64A6">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采购包7：</w:t>
      </w:r>
      <w:r>
        <w:rPr>
          <w:rFonts w:hint="default" w:ascii="Times New Roman" w:hAnsi="Times New Roman"/>
          <w:color w:val="auto"/>
          <w:sz w:val="24"/>
          <w:highlight w:val="none"/>
        </w:rPr>
        <w:t>赣榆区职工</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54B86331">
      <w:pPr>
        <w:spacing w:line="360" w:lineRule="auto"/>
        <w:ind w:firstLine="480"/>
        <w:rPr>
          <w:rFonts w:hint="default" w:ascii="Times New Roman" w:hAnsi="Times New Roman" w:cs="Times New Roman" w:eastAsiaTheme="majorEastAsia"/>
          <w:color w:val="auto"/>
          <w:sz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w:t>
      </w:r>
      <w:r>
        <w:rPr>
          <w:rFonts w:hint="default" w:ascii="Times New Roman" w:hAnsi="Times New Roman" w:cs="Times New Roman"/>
          <w:b w:val="0"/>
          <w:bCs w:val="0"/>
          <w:color w:val="auto"/>
          <w:sz w:val="24"/>
          <w:szCs w:val="24"/>
          <w:highlight w:val="none"/>
          <w:lang w:val="en-US" w:eastAsia="zh-CN"/>
        </w:rPr>
        <w:t>8</w:t>
      </w:r>
      <w:r>
        <w:rPr>
          <w:rFonts w:hint="default" w:ascii="Times New Roman" w:hAnsi="Times New Roman" w:eastAsia="宋体" w:cs="Times New Roman"/>
          <w:b w:val="0"/>
          <w:bCs w:val="0"/>
          <w:color w:val="auto"/>
          <w:sz w:val="24"/>
          <w:szCs w:val="24"/>
          <w:highlight w:val="none"/>
          <w:lang w:val="en-US" w:eastAsia="zh-CN"/>
        </w:rPr>
        <w:t>：</w:t>
      </w:r>
      <w:r>
        <w:rPr>
          <w:rFonts w:hint="default" w:ascii="Times New Roman" w:hAnsi="Times New Roman"/>
          <w:color w:val="auto"/>
          <w:sz w:val="24"/>
          <w:highlight w:val="none"/>
        </w:rPr>
        <w:t>东海县职工</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0A9084B5">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w:t>
      </w:r>
      <w:r>
        <w:rPr>
          <w:rFonts w:hint="default" w:ascii="Times New Roman" w:hAnsi="Times New Roman" w:cs="Times New Roman"/>
          <w:b w:val="0"/>
          <w:bCs w:val="0"/>
          <w:color w:val="auto"/>
          <w:sz w:val="24"/>
          <w:szCs w:val="24"/>
          <w:highlight w:val="none"/>
          <w:lang w:val="en-US" w:eastAsia="zh-CN"/>
        </w:rPr>
        <w:t>9</w:t>
      </w:r>
      <w:r>
        <w:rPr>
          <w:rFonts w:hint="default" w:ascii="Times New Roman" w:hAnsi="Times New Roman" w:eastAsia="宋体" w:cs="Times New Roman"/>
          <w:b w:val="0"/>
          <w:bCs w:val="0"/>
          <w:color w:val="auto"/>
          <w:sz w:val="24"/>
          <w:szCs w:val="24"/>
          <w:highlight w:val="none"/>
          <w:lang w:val="en-US" w:eastAsia="zh-CN"/>
        </w:rPr>
        <w:t>：</w:t>
      </w:r>
      <w:r>
        <w:rPr>
          <w:rFonts w:hint="default" w:ascii="Times New Roman" w:hAnsi="Times New Roman"/>
          <w:color w:val="auto"/>
          <w:sz w:val="24"/>
          <w:highlight w:val="none"/>
        </w:rPr>
        <w:t>灌云县职工</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2DD92813">
      <w:pPr>
        <w:spacing w:line="360" w:lineRule="auto"/>
        <w:ind w:firstLine="48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采购包</w:t>
      </w:r>
      <w:r>
        <w:rPr>
          <w:rFonts w:hint="default" w:ascii="Times New Roman" w:hAnsi="Times New Roman" w:cs="Times New Roman"/>
          <w:b w:val="0"/>
          <w:bCs w:val="0"/>
          <w:color w:val="auto"/>
          <w:sz w:val="24"/>
          <w:szCs w:val="24"/>
          <w:highlight w:val="none"/>
          <w:lang w:val="en-US" w:eastAsia="zh-CN"/>
        </w:rPr>
        <w:t>10</w:t>
      </w:r>
      <w:r>
        <w:rPr>
          <w:rFonts w:hint="default" w:ascii="Times New Roman" w:hAnsi="Times New Roman" w:eastAsia="宋体" w:cs="Times New Roman"/>
          <w:b w:val="0"/>
          <w:bCs w:val="0"/>
          <w:color w:val="auto"/>
          <w:sz w:val="24"/>
          <w:szCs w:val="24"/>
          <w:highlight w:val="none"/>
          <w:lang w:val="en-US" w:eastAsia="zh-CN"/>
        </w:rPr>
        <w:t>：</w:t>
      </w:r>
      <w:r>
        <w:rPr>
          <w:rFonts w:hint="default" w:ascii="Times New Roman" w:hAnsi="Times New Roman"/>
          <w:color w:val="auto"/>
          <w:sz w:val="24"/>
          <w:highlight w:val="none"/>
        </w:rPr>
        <w:t>灌南县职工</w:t>
      </w:r>
      <w:r>
        <w:rPr>
          <w:rFonts w:hint="default" w:ascii="Times New Roman" w:hAnsi="Times New Roman" w:eastAsia="宋体" w:cs="Times New Roman"/>
          <w:b w:val="0"/>
          <w:bCs w:val="0"/>
          <w:color w:val="auto"/>
          <w:sz w:val="24"/>
          <w:szCs w:val="24"/>
          <w:highlight w:val="none"/>
          <w:lang w:val="en-US" w:eastAsia="zh-CN"/>
        </w:rPr>
        <w:t>长期护理保险委托商保公司承办项目</w:t>
      </w:r>
    </w:p>
    <w:p w14:paraId="0E3F19B5">
      <w:pPr>
        <w:spacing w:line="360" w:lineRule="auto"/>
        <w:ind w:firstLine="480"/>
        <w:rPr>
          <w:rFonts w:hint="default" w:ascii="Times New Roman" w:hAnsi="Times New Roman" w:cs="Times New Roman" w:eastAsiaTheme="majorEastAsia"/>
          <w:color w:val="auto"/>
          <w:sz w:val="24"/>
          <w:highlight w:val="none"/>
          <w:lang w:val="en-US" w:eastAsia="zh-CN"/>
        </w:rPr>
      </w:pPr>
      <w:r>
        <w:rPr>
          <w:rFonts w:hint="default" w:ascii="Times New Roman" w:hAnsi="Times New Roman" w:cs="Times New Roman" w:eastAsiaTheme="majorEastAsia"/>
          <w:color w:val="auto"/>
          <w:sz w:val="24"/>
          <w:highlight w:val="none"/>
          <w:lang w:val="en-US" w:eastAsia="zh-CN"/>
        </w:rPr>
        <w:t>投标人10个采购包皆可投，同时参与多个包投标的，只可中一个。如投标人在参与的采购包被确定为中标人，后续采购包将不推荐为中标候选人，以此类推。同一保险集团公司的不同分（支）机构及子公司不得作为同个辖区的中标候选人</w:t>
      </w:r>
      <w:r>
        <w:rPr>
          <w:rFonts w:hint="eastAsia" w:cs="Times New Roman" w:eastAsiaTheme="majorEastAsia"/>
          <w:color w:val="auto"/>
          <w:sz w:val="24"/>
          <w:highlight w:val="none"/>
          <w:lang w:val="en-US" w:eastAsia="zh-CN"/>
        </w:rPr>
        <w:t>。</w:t>
      </w:r>
      <w:r>
        <w:rPr>
          <w:rFonts w:hint="default" w:ascii="Times New Roman" w:hAnsi="Times New Roman" w:cs="Times New Roman" w:eastAsiaTheme="majorEastAsia"/>
          <w:color w:val="auto"/>
          <w:sz w:val="24"/>
          <w:highlight w:val="none"/>
          <w:lang w:val="en-US" w:eastAsia="zh-CN"/>
        </w:rPr>
        <w:t>如出现同一保险集团公司的不同分（支）机构及子公司</w:t>
      </w:r>
      <w:r>
        <w:rPr>
          <w:rFonts w:hint="eastAsia" w:cs="Times New Roman" w:eastAsiaTheme="majorEastAsia"/>
          <w:color w:val="auto"/>
          <w:sz w:val="24"/>
          <w:highlight w:val="none"/>
          <w:lang w:val="en-US" w:eastAsia="zh-CN"/>
        </w:rPr>
        <w:t>作为</w:t>
      </w:r>
      <w:r>
        <w:rPr>
          <w:rFonts w:hint="default" w:ascii="Times New Roman" w:hAnsi="Times New Roman" w:cs="Times New Roman" w:eastAsiaTheme="majorEastAsia"/>
          <w:color w:val="auto"/>
          <w:sz w:val="24"/>
          <w:highlight w:val="none"/>
          <w:lang w:val="en-US" w:eastAsia="zh-CN"/>
        </w:rPr>
        <w:t>同个辖区的中标候选人</w:t>
      </w:r>
      <w:r>
        <w:rPr>
          <w:rFonts w:hint="eastAsia" w:cs="Times New Roman" w:eastAsiaTheme="majorEastAsia"/>
          <w:color w:val="auto"/>
          <w:sz w:val="24"/>
          <w:highlight w:val="none"/>
          <w:lang w:val="en-US" w:eastAsia="zh-CN"/>
        </w:rPr>
        <w:t>情况</w:t>
      </w:r>
      <w:r>
        <w:rPr>
          <w:rFonts w:hint="default" w:ascii="Times New Roman" w:hAnsi="Times New Roman" w:cs="Times New Roman" w:eastAsiaTheme="majorEastAsia"/>
          <w:color w:val="auto"/>
          <w:sz w:val="24"/>
          <w:highlight w:val="none"/>
          <w:lang w:val="en-US" w:eastAsia="zh-CN"/>
        </w:rPr>
        <w:t>，则按评标顺序，后评标的采购包按得分位次由其他具备中标资格的投标人作为中标候选人。</w:t>
      </w:r>
      <w:r>
        <w:rPr>
          <w:rFonts w:hint="eastAsia" w:cs="Times New Roman" w:eastAsiaTheme="majorEastAsia"/>
          <w:color w:val="auto"/>
          <w:sz w:val="24"/>
          <w:highlight w:val="none"/>
          <w:lang w:val="en-US" w:eastAsia="zh-CN"/>
        </w:rPr>
        <w:t>辖区指市本级（不含赣榆区）、赣榆区、东海县、灌云县、灌南县（下同）。</w:t>
      </w:r>
    </w:p>
    <w:p w14:paraId="4D79753D">
      <w:pPr>
        <w:spacing w:line="360" w:lineRule="auto"/>
        <w:ind w:firstLine="480"/>
        <w:rPr>
          <w:rFonts w:hint="default" w:ascii="Times New Roman" w:hAnsi="Times New Roman" w:cs="Times New Roman" w:eastAsiaTheme="majorEastAsia"/>
          <w:b w:val="0"/>
          <w:bCs w:val="0"/>
          <w:color w:val="auto"/>
          <w:sz w:val="24"/>
          <w:highlight w:val="none"/>
        </w:rPr>
      </w:pPr>
      <w:r>
        <w:rPr>
          <w:rFonts w:hint="default" w:ascii="Times New Roman" w:hAnsi="Times New Roman" w:cs="Times New Roman" w:eastAsiaTheme="majorEastAsia"/>
          <w:b w:val="0"/>
          <w:bCs w:val="0"/>
          <w:color w:val="auto"/>
          <w:sz w:val="24"/>
          <w:highlight w:val="none"/>
        </w:rPr>
        <w:t>预算金额：</w:t>
      </w:r>
      <w:r>
        <w:rPr>
          <w:rFonts w:hint="default" w:ascii="Times New Roman" w:hAnsi="Times New Roman" w:cs="Times New Roman" w:eastAsiaTheme="majorEastAsia"/>
          <w:b w:val="0"/>
          <w:bCs w:val="0"/>
          <w:color w:val="auto"/>
          <w:sz w:val="24"/>
          <w:highlight w:val="none"/>
          <w:lang w:val="en-US" w:eastAsia="zh-CN"/>
        </w:rPr>
        <w:t>本项目资金来源为长期护理保险基金</w:t>
      </w:r>
      <w:r>
        <w:rPr>
          <w:rFonts w:hint="default" w:ascii="Times New Roman" w:hAnsi="Times New Roman" w:cs="Times New Roman" w:eastAsiaTheme="majorEastAsia"/>
          <w:b w:val="0"/>
          <w:bCs w:val="0"/>
          <w:color w:val="auto"/>
          <w:sz w:val="24"/>
          <w:highlight w:val="none"/>
          <w:lang w:eastAsia="zh-CN"/>
        </w:rPr>
        <w:t>。</w:t>
      </w:r>
      <w:r>
        <w:rPr>
          <w:rFonts w:hint="default" w:ascii="Times New Roman" w:hAnsi="Times New Roman" w:cs="Times New Roman" w:eastAsiaTheme="majorEastAsia"/>
          <w:b w:val="0"/>
          <w:bCs w:val="0"/>
          <w:color w:val="auto"/>
          <w:sz w:val="24"/>
          <w:highlight w:val="none"/>
          <w:lang w:val="en-US" w:eastAsia="zh-CN"/>
        </w:rPr>
        <w:t>三年预估金额为</w:t>
      </w:r>
      <w:r>
        <w:rPr>
          <w:rFonts w:hint="default" w:ascii="Times New Roman" w:hAnsi="Times New Roman" w:cs="Times New Roman" w:eastAsiaTheme="majorEastAsia"/>
          <w:b w:val="0"/>
          <w:bCs w:val="0"/>
          <w:color w:val="auto"/>
          <w:sz w:val="24"/>
          <w:szCs w:val="24"/>
          <w:highlight w:val="none"/>
        </w:rPr>
        <w:t>人民币</w:t>
      </w:r>
      <w:r>
        <w:rPr>
          <w:rFonts w:hint="default" w:ascii="Times New Roman" w:hAnsi="Times New Roman" w:cs="Times New Roman"/>
          <w:b w:val="0"/>
          <w:bCs w:val="0"/>
          <w:color w:val="auto"/>
          <w:sz w:val="24"/>
          <w:szCs w:val="24"/>
          <w:highlight w:val="none"/>
          <w:lang w:val="en-US" w:eastAsia="zh-CN"/>
        </w:rPr>
        <w:t>34200</w:t>
      </w:r>
      <w:r>
        <w:rPr>
          <w:rFonts w:hint="default" w:ascii="Times New Roman" w:hAnsi="Times New Roman" w:cs="Times New Roman" w:eastAsiaTheme="majorEastAsia"/>
          <w:b w:val="0"/>
          <w:bCs w:val="0"/>
          <w:color w:val="auto"/>
          <w:sz w:val="24"/>
          <w:szCs w:val="24"/>
          <w:highlight w:val="none"/>
          <w:lang w:val="en-US" w:eastAsia="zh-CN"/>
        </w:rPr>
        <w:t>万元</w:t>
      </w:r>
      <w:r>
        <w:rPr>
          <w:rFonts w:hint="default" w:ascii="Times New Roman" w:hAnsi="Times New Roman" w:cs="Times New Roman" w:eastAsiaTheme="majorEastAsia"/>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采购包1：</w:t>
      </w:r>
      <w:r>
        <w:rPr>
          <w:rFonts w:hint="default" w:ascii="Times New Roman" w:hAnsi="Times New Roman" w:cs="Times New Roman"/>
          <w:b w:val="0"/>
          <w:bCs w:val="0"/>
          <w:color w:val="auto"/>
          <w:sz w:val="24"/>
          <w:szCs w:val="24"/>
          <w:highlight w:val="none"/>
          <w:lang w:val="en-US" w:eastAsia="zh-CN"/>
        </w:rPr>
        <w:t>中标比例19.01%</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金额6500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eastAsiaTheme="majorEastAsia"/>
          <w:b w:val="0"/>
          <w:bCs w:val="0"/>
          <w:color w:val="auto"/>
          <w:sz w:val="24"/>
          <w:szCs w:val="24"/>
          <w:highlight w:val="none"/>
          <w:lang w:val="en-US" w:eastAsia="zh-CN"/>
        </w:rPr>
        <w:t>；采购包2：</w:t>
      </w:r>
      <w:r>
        <w:rPr>
          <w:rFonts w:hint="default" w:ascii="Times New Roman" w:hAnsi="Times New Roman" w:cs="Times New Roman"/>
          <w:b w:val="0"/>
          <w:bCs w:val="0"/>
          <w:color w:val="auto"/>
          <w:sz w:val="24"/>
          <w:szCs w:val="24"/>
          <w:highlight w:val="none"/>
          <w:lang w:val="en-US" w:eastAsia="zh-CN"/>
        </w:rPr>
        <w:t>中标比例17.54%，</w:t>
      </w:r>
      <w:r>
        <w:rPr>
          <w:rFonts w:hint="default" w:ascii="Times New Roman" w:hAnsi="Times New Roman" w:cs="Times New Roman" w:eastAsiaTheme="majorEastAsia"/>
          <w:b w:val="0"/>
          <w:bCs w:val="0"/>
          <w:color w:val="auto"/>
          <w:sz w:val="24"/>
          <w:szCs w:val="24"/>
          <w:highlight w:val="none"/>
          <w:lang w:val="en-US" w:eastAsia="zh-CN"/>
        </w:rPr>
        <w:t>金额6000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eastAsiaTheme="majorEastAsia"/>
          <w:b w:val="0"/>
          <w:bCs w:val="0"/>
          <w:color w:val="auto"/>
          <w:sz w:val="24"/>
          <w:szCs w:val="24"/>
          <w:highlight w:val="none"/>
          <w:lang w:val="en-US" w:eastAsia="zh-CN"/>
        </w:rPr>
        <w:t>；采购包3：</w:t>
      </w:r>
      <w:r>
        <w:rPr>
          <w:rFonts w:hint="default" w:ascii="Times New Roman" w:hAnsi="Times New Roman" w:cs="Times New Roman"/>
          <w:b w:val="0"/>
          <w:bCs w:val="0"/>
          <w:color w:val="auto"/>
          <w:sz w:val="24"/>
          <w:szCs w:val="24"/>
          <w:highlight w:val="none"/>
          <w:lang w:val="en-US" w:eastAsia="zh-CN"/>
        </w:rPr>
        <w:t>中标比例16.08%</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金额5500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eastAsiaTheme="majorEastAsia"/>
          <w:b w:val="0"/>
          <w:bCs w:val="0"/>
          <w:color w:val="auto"/>
          <w:sz w:val="24"/>
          <w:szCs w:val="24"/>
          <w:highlight w:val="none"/>
          <w:lang w:val="en-US" w:eastAsia="zh-CN"/>
        </w:rPr>
        <w:t>；采购包4：</w:t>
      </w:r>
      <w:r>
        <w:rPr>
          <w:rFonts w:hint="default" w:ascii="Times New Roman" w:hAnsi="Times New Roman" w:cs="Times New Roman"/>
          <w:b w:val="0"/>
          <w:bCs w:val="0"/>
          <w:color w:val="auto"/>
          <w:sz w:val="24"/>
          <w:szCs w:val="24"/>
          <w:highlight w:val="none"/>
          <w:lang w:val="en-US" w:eastAsia="zh-CN"/>
        </w:rPr>
        <w:t>中标比例15.50%</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金额5300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eastAsiaTheme="majorEastAsia"/>
          <w:b w:val="0"/>
          <w:bCs w:val="0"/>
          <w:color w:val="auto"/>
          <w:sz w:val="24"/>
          <w:szCs w:val="24"/>
          <w:highlight w:val="none"/>
          <w:lang w:val="en-US" w:eastAsia="zh-CN"/>
        </w:rPr>
        <w:t>；采购包5：</w:t>
      </w:r>
      <w:r>
        <w:rPr>
          <w:rFonts w:hint="default" w:ascii="Times New Roman" w:hAnsi="Times New Roman" w:cs="Times New Roman"/>
          <w:b w:val="0"/>
          <w:bCs w:val="0"/>
          <w:color w:val="auto"/>
          <w:sz w:val="24"/>
          <w:szCs w:val="24"/>
          <w:highlight w:val="none"/>
          <w:lang w:val="en-US" w:eastAsia="zh-CN"/>
        </w:rPr>
        <w:t>中标比例13.16%</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金额4500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eastAsiaTheme="majorEastAsia"/>
          <w:b w:val="0"/>
          <w:bCs w:val="0"/>
          <w:color w:val="auto"/>
          <w:sz w:val="24"/>
          <w:szCs w:val="24"/>
          <w:highlight w:val="none"/>
          <w:lang w:val="en-US" w:eastAsia="zh-CN"/>
        </w:rPr>
        <w:t>；采购包6：</w:t>
      </w:r>
      <w:r>
        <w:rPr>
          <w:rFonts w:hint="default" w:ascii="Times New Roman" w:hAnsi="Times New Roman" w:cs="Times New Roman"/>
          <w:b w:val="0"/>
          <w:bCs w:val="0"/>
          <w:color w:val="auto"/>
          <w:sz w:val="24"/>
          <w:szCs w:val="24"/>
          <w:highlight w:val="none"/>
          <w:lang w:val="en-US" w:eastAsia="zh-CN"/>
        </w:rPr>
        <w:t>中标比例7.60%</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金额2600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eastAsiaTheme="majorEastAsia"/>
          <w:b w:val="0"/>
          <w:bCs w:val="0"/>
          <w:color w:val="auto"/>
          <w:sz w:val="24"/>
          <w:szCs w:val="24"/>
          <w:highlight w:val="none"/>
          <w:lang w:val="en-US" w:eastAsia="zh-CN"/>
        </w:rPr>
        <w:t>；采购包7：</w:t>
      </w:r>
      <w:r>
        <w:rPr>
          <w:rFonts w:hint="default" w:ascii="Times New Roman" w:hAnsi="Times New Roman" w:cs="Times New Roman"/>
          <w:b w:val="0"/>
          <w:bCs w:val="0"/>
          <w:color w:val="auto"/>
          <w:sz w:val="24"/>
          <w:szCs w:val="24"/>
          <w:highlight w:val="none"/>
          <w:lang w:val="en-US" w:eastAsia="zh-CN"/>
        </w:rPr>
        <w:t>中标比例3.22%</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金额1100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采购包8：</w:t>
      </w:r>
      <w:r>
        <w:rPr>
          <w:rFonts w:hint="default" w:ascii="Times New Roman" w:hAnsi="Times New Roman" w:cs="Times New Roman"/>
          <w:b w:val="0"/>
          <w:bCs w:val="0"/>
          <w:color w:val="auto"/>
          <w:sz w:val="24"/>
          <w:szCs w:val="24"/>
          <w:highlight w:val="none"/>
          <w:lang w:val="en-US" w:eastAsia="zh-CN"/>
        </w:rPr>
        <w:t>中标比例2.92%</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金额1000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采购包9：</w:t>
      </w:r>
      <w:r>
        <w:rPr>
          <w:rFonts w:hint="default" w:ascii="Times New Roman" w:hAnsi="Times New Roman" w:cs="Times New Roman"/>
          <w:b w:val="0"/>
          <w:bCs w:val="0"/>
          <w:color w:val="auto"/>
          <w:sz w:val="24"/>
          <w:szCs w:val="24"/>
          <w:highlight w:val="none"/>
          <w:lang w:val="en-US" w:eastAsia="zh-CN"/>
        </w:rPr>
        <w:t>中标比例2.63%</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金额900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采购包10：</w:t>
      </w:r>
      <w:r>
        <w:rPr>
          <w:rFonts w:hint="default" w:ascii="Times New Roman" w:hAnsi="Times New Roman" w:cs="Times New Roman"/>
          <w:b w:val="0"/>
          <w:bCs w:val="0"/>
          <w:color w:val="auto"/>
          <w:sz w:val="24"/>
          <w:szCs w:val="24"/>
          <w:highlight w:val="none"/>
          <w:lang w:val="en-US" w:eastAsia="zh-CN"/>
        </w:rPr>
        <w:t>中标比例2.34%</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ajorEastAsia"/>
          <w:b w:val="0"/>
          <w:bCs w:val="0"/>
          <w:color w:val="auto"/>
          <w:sz w:val="24"/>
          <w:szCs w:val="24"/>
          <w:highlight w:val="none"/>
          <w:lang w:val="en-US" w:eastAsia="zh-CN"/>
        </w:rPr>
        <w:t>金额800</w:t>
      </w:r>
      <w:r>
        <w:rPr>
          <w:rFonts w:hint="default" w:ascii="Times New Roman" w:hAnsi="Times New Roman" w:cs="Times New Roman" w:eastAsiaTheme="majorEastAsia"/>
          <w:b w:val="0"/>
          <w:bCs w:val="0"/>
          <w:color w:val="auto"/>
          <w:sz w:val="24"/>
          <w:szCs w:val="24"/>
          <w:highlight w:val="none"/>
        </w:rPr>
        <w:t>万元</w:t>
      </w:r>
      <w:r>
        <w:rPr>
          <w:rFonts w:hint="default" w:ascii="Times New Roman" w:hAnsi="Times New Roman" w:cs="Times New Roman" w:eastAsiaTheme="majorEastAsia"/>
          <w:b w:val="0"/>
          <w:bCs w:val="0"/>
          <w:color w:val="auto"/>
          <w:sz w:val="24"/>
          <w:szCs w:val="24"/>
          <w:highlight w:val="none"/>
          <w:lang w:eastAsia="zh-CN"/>
        </w:rPr>
        <w:t>）。</w:t>
      </w:r>
    </w:p>
    <w:p w14:paraId="14866297">
      <w:pPr>
        <w:spacing w:line="360" w:lineRule="auto"/>
        <w:ind w:firstLine="480"/>
        <w:rPr>
          <w:rFonts w:hint="default" w:ascii="Times New Roman" w:hAnsi="Times New Roman" w:cs="Times New Roman" w:eastAsiaTheme="majorEastAsia"/>
          <w:b/>
          <w:bCs/>
          <w:color w:val="auto"/>
          <w:sz w:val="28"/>
          <w:szCs w:val="28"/>
          <w:highlight w:val="none"/>
        </w:rPr>
      </w:pPr>
      <w:r>
        <w:rPr>
          <w:rFonts w:hint="default" w:ascii="Times New Roman" w:hAnsi="Times New Roman" w:cs="Times New Roman" w:eastAsiaTheme="majorEastAsia"/>
          <w:color w:val="auto"/>
          <w:sz w:val="24"/>
          <w:highlight w:val="none"/>
          <w:lang w:val="en-US" w:eastAsia="zh-CN"/>
        </w:rPr>
        <w:t>根据《关于</w:t>
      </w:r>
      <w:r>
        <w:rPr>
          <w:rFonts w:hint="default" w:ascii="Times New Roman" w:hAnsi="Times New Roman" w:cs="Times New Roman" w:eastAsiaTheme="majorEastAsia"/>
          <w:color w:val="auto"/>
          <w:sz w:val="24"/>
          <w:szCs w:val="24"/>
          <w:highlight w:val="none"/>
          <w:lang w:val="en-US" w:eastAsia="zh-CN" w:bidi="ar-SA"/>
        </w:rPr>
        <w:t>〈</w:t>
      </w:r>
      <w:r>
        <w:rPr>
          <w:rFonts w:hint="default" w:ascii="Times New Roman" w:hAnsi="Times New Roman" w:cs="Times New Roman" w:eastAsiaTheme="majorEastAsia"/>
          <w:color w:val="auto"/>
          <w:sz w:val="24"/>
          <w:highlight w:val="none"/>
          <w:lang w:val="en-US" w:eastAsia="zh-CN"/>
        </w:rPr>
        <w:t>连云港市职工长期护理保险实施细则（试行）</w:t>
      </w:r>
      <w:r>
        <w:rPr>
          <w:rFonts w:hint="default" w:ascii="Times New Roman" w:hAnsi="Times New Roman" w:cs="Times New Roman" w:eastAsiaTheme="majorEastAsia"/>
          <w:color w:val="auto"/>
          <w:sz w:val="24"/>
          <w:szCs w:val="24"/>
          <w:highlight w:val="none"/>
          <w:lang w:val="en-US" w:eastAsia="zh-CN" w:bidi="ar-SA"/>
        </w:rPr>
        <w:t>〉</w:t>
      </w:r>
      <w:r>
        <w:rPr>
          <w:rFonts w:hint="default" w:ascii="Times New Roman" w:hAnsi="Times New Roman" w:cs="Times New Roman" w:eastAsiaTheme="majorEastAsia"/>
          <w:color w:val="auto"/>
          <w:sz w:val="24"/>
          <w:highlight w:val="none"/>
          <w:lang w:val="en-US" w:eastAsia="zh-CN"/>
        </w:rPr>
        <w:t>继续施行的通知</w:t>
      </w:r>
      <w:r>
        <w:rPr>
          <w:rFonts w:hint="default" w:ascii="Times New Roman" w:hAnsi="Times New Roman" w:cs="Times New Roman" w:eastAsiaTheme="majorEastAsia"/>
          <w:color w:val="auto"/>
          <w:sz w:val="24"/>
          <w:szCs w:val="24"/>
          <w:highlight w:val="none"/>
          <w:lang w:val="en-US" w:eastAsia="zh-CN" w:bidi="ar-SA"/>
        </w:rPr>
        <w:t>》</w:t>
      </w:r>
      <w:r>
        <w:rPr>
          <w:rFonts w:hint="default" w:ascii="Times New Roman" w:hAnsi="Times New Roman" w:cs="Times New Roman" w:eastAsiaTheme="majorEastAsia"/>
          <w:color w:val="auto"/>
          <w:sz w:val="24"/>
          <w:highlight w:val="none"/>
          <w:lang w:val="en-US" w:eastAsia="zh-CN"/>
        </w:rPr>
        <w:t>（连医保〔2025〕50号）、《</w:t>
      </w:r>
      <w:r>
        <w:rPr>
          <w:rFonts w:hint="default" w:ascii="Times New Roman" w:hAnsi="Times New Roman" w:cs="Times New Roman" w:eastAsiaTheme="majorEastAsia"/>
          <w:color w:val="auto"/>
          <w:sz w:val="24"/>
          <w:highlight w:val="none"/>
        </w:rPr>
        <w:t>连云港市关于将城乡居民纳入长期护理保险制度保障范围的通知</w:t>
      </w:r>
      <w:r>
        <w:rPr>
          <w:rFonts w:hint="default" w:ascii="Times New Roman" w:hAnsi="Times New Roman" w:cs="Times New Roman" w:eastAsiaTheme="majorEastAsia"/>
          <w:color w:val="auto"/>
          <w:sz w:val="24"/>
          <w:highlight w:val="none"/>
          <w:lang w:val="en-US" w:eastAsia="zh-CN"/>
        </w:rPr>
        <w:t>》（连医保〔2026〕38号），</w:t>
      </w:r>
      <w:r>
        <w:rPr>
          <w:rFonts w:hint="default" w:ascii="Times New Roman" w:hAnsi="Times New Roman" w:cs="Times New Roman" w:eastAsiaTheme="majorEastAsia"/>
          <w:b/>
          <w:bCs/>
          <w:color w:val="auto"/>
          <w:sz w:val="28"/>
          <w:szCs w:val="28"/>
          <w:highlight w:val="none"/>
          <w:lang w:val="en-US" w:eastAsia="zh-CN"/>
        </w:rPr>
        <w:t>采购包1至采购包10均采用固定价格采购。</w:t>
      </w:r>
      <w:r>
        <w:rPr>
          <w:rFonts w:hint="default" w:ascii="Times New Roman" w:hAnsi="Times New Roman" w:cs="Times New Roman" w:eastAsiaTheme="majorEastAsia"/>
          <w:b/>
          <w:bCs/>
          <w:color w:val="auto"/>
          <w:sz w:val="28"/>
          <w:szCs w:val="28"/>
          <w:highlight w:val="none"/>
        </w:rPr>
        <w:t>承办</w:t>
      </w:r>
      <w:r>
        <w:rPr>
          <w:rFonts w:hint="default" w:ascii="Times New Roman" w:hAnsi="Times New Roman" w:cs="Times New Roman" w:eastAsiaTheme="majorEastAsia"/>
          <w:b/>
          <w:bCs/>
          <w:color w:val="auto"/>
          <w:sz w:val="28"/>
          <w:szCs w:val="28"/>
          <w:highlight w:val="none"/>
          <w:lang w:val="en-US" w:eastAsia="zh-CN"/>
        </w:rPr>
        <w:t>服务</w:t>
      </w:r>
      <w:r>
        <w:rPr>
          <w:rFonts w:hint="default" w:ascii="Times New Roman" w:hAnsi="Times New Roman" w:cs="Times New Roman" w:eastAsiaTheme="majorEastAsia"/>
          <w:b/>
          <w:bCs/>
          <w:color w:val="auto"/>
          <w:sz w:val="28"/>
          <w:szCs w:val="28"/>
          <w:highlight w:val="none"/>
        </w:rPr>
        <w:t>费</w:t>
      </w:r>
      <w:r>
        <w:rPr>
          <w:rFonts w:hint="default" w:ascii="Times New Roman" w:hAnsi="Times New Roman" w:cs="Times New Roman" w:eastAsiaTheme="majorEastAsia"/>
          <w:b/>
          <w:bCs/>
          <w:color w:val="auto"/>
          <w:sz w:val="28"/>
          <w:szCs w:val="28"/>
          <w:highlight w:val="none"/>
          <w:lang w:val="en-US" w:eastAsia="zh-CN"/>
        </w:rPr>
        <w:t>投标报价</w:t>
      </w:r>
      <w:r>
        <w:rPr>
          <w:rFonts w:hint="default" w:ascii="Times New Roman" w:hAnsi="Times New Roman" w:cs="Times New Roman" w:eastAsiaTheme="majorEastAsia"/>
          <w:b/>
          <w:bCs/>
          <w:color w:val="auto"/>
          <w:sz w:val="28"/>
          <w:szCs w:val="28"/>
          <w:highlight w:val="none"/>
        </w:rPr>
        <w:t>为当年度长护险基金的</w:t>
      </w:r>
      <w:r>
        <w:rPr>
          <w:rFonts w:hint="default" w:ascii="Times New Roman" w:hAnsi="Times New Roman" w:cs="Times New Roman" w:eastAsiaTheme="majorEastAsia"/>
          <w:b/>
          <w:bCs/>
          <w:color w:val="auto"/>
          <w:sz w:val="28"/>
          <w:szCs w:val="28"/>
          <w:highlight w:val="none"/>
          <w:lang w:eastAsia="zh-CN"/>
        </w:rPr>
        <w:t>5</w:t>
      </w:r>
      <w:r>
        <w:rPr>
          <w:rFonts w:hint="default" w:ascii="Times New Roman" w:hAnsi="Times New Roman" w:cs="Times New Roman" w:eastAsiaTheme="majorEastAsia"/>
          <w:b/>
          <w:bCs/>
          <w:color w:val="auto"/>
          <w:sz w:val="28"/>
          <w:szCs w:val="28"/>
          <w:highlight w:val="none"/>
        </w:rPr>
        <w:t>%</w:t>
      </w:r>
      <w:r>
        <w:rPr>
          <w:rFonts w:hint="default" w:ascii="Times New Roman" w:hAnsi="Times New Roman" w:cs="Times New Roman" w:eastAsiaTheme="majorEastAsia"/>
          <w:b/>
          <w:bCs/>
          <w:color w:val="auto"/>
          <w:sz w:val="28"/>
          <w:szCs w:val="28"/>
          <w:highlight w:val="none"/>
          <w:lang w:eastAsia="zh-CN"/>
        </w:rPr>
        <w:t>，</w:t>
      </w:r>
      <w:r>
        <w:rPr>
          <w:rFonts w:hint="default" w:ascii="Times New Roman" w:hAnsi="Times New Roman" w:cs="Times New Roman" w:eastAsiaTheme="majorEastAsia"/>
          <w:b/>
          <w:bCs/>
          <w:color w:val="auto"/>
          <w:sz w:val="28"/>
          <w:szCs w:val="28"/>
          <w:highlight w:val="none"/>
          <w:lang w:val="en-US" w:eastAsia="zh-CN"/>
        </w:rPr>
        <w:t>否则按无效响应处理。</w:t>
      </w:r>
    </w:p>
    <w:p w14:paraId="0A314481">
      <w:pPr>
        <w:spacing w:line="360" w:lineRule="auto"/>
        <w:ind w:firstLine="480"/>
        <w:jc w:val="left"/>
        <w:rPr>
          <w:color w:val="auto"/>
          <w:sz w:val="24"/>
          <w:szCs w:val="24"/>
          <w:highlight w:val="none"/>
        </w:rPr>
      </w:pPr>
      <w:r>
        <w:rPr>
          <w:rFonts w:hint="eastAsia"/>
          <w:color w:val="auto"/>
          <w:sz w:val="24"/>
          <w:szCs w:val="24"/>
          <w:highlight w:val="none"/>
        </w:rPr>
        <w:t>采购方式：公开招标</w:t>
      </w:r>
    </w:p>
    <w:p w14:paraId="63179231">
      <w:pPr>
        <w:spacing w:line="360" w:lineRule="auto"/>
        <w:ind w:firstLine="480"/>
        <w:rPr>
          <w:color w:val="auto"/>
          <w:highlight w:val="none"/>
        </w:rPr>
      </w:pPr>
      <w:r>
        <w:rPr>
          <w:color w:val="auto"/>
          <w:sz w:val="24"/>
          <w:highlight w:val="none"/>
        </w:rPr>
        <w:t>采购需求：连云港市医疗保障局委托商保公司</w:t>
      </w:r>
      <w:r>
        <w:rPr>
          <w:rFonts w:hint="eastAsia"/>
          <w:color w:val="auto"/>
          <w:sz w:val="24"/>
          <w:highlight w:val="none"/>
          <w:lang w:val="en-US" w:eastAsia="zh-CN"/>
        </w:rPr>
        <w:t>承</w:t>
      </w:r>
      <w:r>
        <w:rPr>
          <w:color w:val="auto"/>
          <w:sz w:val="24"/>
          <w:highlight w:val="none"/>
        </w:rPr>
        <w:t>办项目，具体详见“第四</w:t>
      </w:r>
      <w:r>
        <w:rPr>
          <w:rFonts w:hint="eastAsia"/>
          <w:color w:val="auto"/>
          <w:sz w:val="24"/>
          <w:highlight w:val="none"/>
          <w:lang w:val="en-US" w:eastAsia="zh-CN"/>
        </w:rPr>
        <w:t>章</w:t>
      </w:r>
      <w:r>
        <w:rPr>
          <w:color w:val="auto"/>
          <w:sz w:val="24"/>
          <w:highlight w:val="none"/>
        </w:rPr>
        <w:t xml:space="preserve"> </w:t>
      </w:r>
      <w:r>
        <w:rPr>
          <w:rFonts w:hint="eastAsia"/>
          <w:color w:val="auto"/>
          <w:sz w:val="24"/>
          <w:highlight w:val="none"/>
          <w:lang w:val="en-US" w:eastAsia="zh-CN"/>
        </w:rPr>
        <w:t>采购</w:t>
      </w:r>
      <w:r>
        <w:rPr>
          <w:color w:val="auto"/>
          <w:sz w:val="24"/>
          <w:highlight w:val="none"/>
        </w:rPr>
        <w:t>需求”。</w:t>
      </w:r>
    </w:p>
    <w:p w14:paraId="6360CB6D">
      <w:pPr>
        <w:spacing w:line="360" w:lineRule="auto"/>
        <w:ind w:firstLine="482"/>
        <w:jc w:val="left"/>
        <w:rPr>
          <w:b/>
          <w:bCs w:val="0"/>
          <w:color w:val="auto"/>
          <w:sz w:val="24"/>
          <w:highlight w:val="none"/>
        </w:rPr>
      </w:pPr>
      <w:r>
        <w:rPr>
          <w:rFonts w:hint="eastAsia"/>
          <w:b/>
          <w:bCs w:val="0"/>
          <w:color w:val="auto"/>
          <w:sz w:val="24"/>
          <w:szCs w:val="24"/>
          <w:highlight w:val="none"/>
        </w:rPr>
        <w:t>对本项目资格要求、采购需求、评标方法与评标标准等部分的询问、质疑请与采购人联系，由</w:t>
      </w:r>
      <w:r>
        <w:rPr>
          <w:rFonts w:hint="eastAsia"/>
          <w:b/>
          <w:bCs w:val="0"/>
          <w:color w:val="auto"/>
          <w:sz w:val="24"/>
          <w:szCs w:val="24"/>
          <w:highlight w:val="none"/>
          <w:lang w:val="en-US" w:eastAsia="zh-CN"/>
        </w:rPr>
        <w:t>采购</w:t>
      </w:r>
      <w:r>
        <w:rPr>
          <w:rFonts w:hint="eastAsia"/>
          <w:b/>
          <w:bCs w:val="0"/>
          <w:color w:val="auto"/>
          <w:sz w:val="24"/>
          <w:szCs w:val="24"/>
          <w:highlight w:val="none"/>
        </w:rPr>
        <w:t>人负责答复。</w:t>
      </w:r>
    </w:p>
    <w:p w14:paraId="2A10D256">
      <w:pPr>
        <w:spacing w:line="360" w:lineRule="auto"/>
        <w:ind w:firstLine="480"/>
        <w:rPr>
          <w:rFonts w:hint="default" w:ascii="Times New Roman" w:hAnsi="Times New Roman" w:cs="Times New Roman" w:eastAsiaTheme="majorEastAsia"/>
          <w:color w:val="auto"/>
          <w:sz w:val="24"/>
          <w:highlight w:val="none"/>
        </w:rPr>
      </w:pPr>
      <w:r>
        <w:rPr>
          <w:rFonts w:hint="default" w:ascii="Times New Roman" w:hAnsi="Times New Roman" w:cs="Times New Roman" w:eastAsiaTheme="majorEastAsia"/>
          <w:color w:val="auto"/>
          <w:sz w:val="24"/>
          <w:highlight w:val="none"/>
        </w:rPr>
        <w:t>合同履行期限（服务时间）：本项目服务期限</w:t>
      </w:r>
      <w:r>
        <w:rPr>
          <w:rFonts w:hint="default" w:ascii="Times New Roman" w:hAnsi="Times New Roman" w:cs="Times New Roman" w:eastAsiaTheme="majorEastAsia"/>
          <w:color w:val="auto"/>
          <w:sz w:val="24"/>
          <w:highlight w:val="none"/>
          <w:lang w:val="en-US" w:eastAsia="zh-CN"/>
        </w:rPr>
        <w:t>36</w:t>
      </w:r>
      <w:r>
        <w:rPr>
          <w:rFonts w:hint="default" w:ascii="Times New Roman" w:hAnsi="Times New Roman" w:cs="Times New Roman" w:eastAsiaTheme="majorEastAsia"/>
          <w:color w:val="auto"/>
          <w:sz w:val="24"/>
          <w:highlight w:val="none"/>
        </w:rPr>
        <w:t>个月，自202</w:t>
      </w:r>
      <w:r>
        <w:rPr>
          <w:rFonts w:hint="default" w:ascii="Times New Roman" w:hAnsi="Times New Roman" w:cs="Times New Roman" w:eastAsiaTheme="majorEastAsia"/>
          <w:color w:val="auto"/>
          <w:sz w:val="24"/>
          <w:highlight w:val="none"/>
          <w:lang w:val="en-US" w:eastAsia="zh-CN"/>
        </w:rPr>
        <w:t>7</w:t>
      </w:r>
      <w:r>
        <w:rPr>
          <w:rFonts w:hint="default" w:ascii="Times New Roman" w:hAnsi="Times New Roman" w:cs="Times New Roman" w:eastAsiaTheme="majorEastAsia"/>
          <w:color w:val="auto"/>
          <w:sz w:val="24"/>
          <w:highlight w:val="none"/>
        </w:rPr>
        <w:t>年</w:t>
      </w:r>
      <w:r>
        <w:rPr>
          <w:rFonts w:hint="default" w:ascii="Times New Roman" w:hAnsi="Times New Roman" w:cs="Times New Roman" w:eastAsiaTheme="majorEastAsia"/>
          <w:color w:val="auto"/>
          <w:sz w:val="24"/>
          <w:highlight w:val="none"/>
          <w:lang w:val="en-US" w:eastAsia="zh-CN"/>
        </w:rPr>
        <w:t>1</w:t>
      </w:r>
      <w:r>
        <w:rPr>
          <w:rFonts w:hint="default" w:ascii="Times New Roman" w:hAnsi="Times New Roman" w:cs="Times New Roman" w:eastAsiaTheme="majorEastAsia"/>
          <w:color w:val="auto"/>
          <w:sz w:val="24"/>
          <w:highlight w:val="none"/>
        </w:rPr>
        <w:t>月1日起至202</w:t>
      </w:r>
      <w:r>
        <w:rPr>
          <w:rFonts w:hint="default" w:ascii="Times New Roman" w:hAnsi="Times New Roman" w:cs="Times New Roman" w:eastAsiaTheme="majorEastAsia"/>
          <w:color w:val="auto"/>
          <w:sz w:val="24"/>
          <w:highlight w:val="none"/>
          <w:lang w:val="en-US" w:eastAsia="zh-CN"/>
        </w:rPr>
        <w:t>9</w:t>
      </w:r>
      <w:r>
        <w:rPr>
          <w:rFonts w:hint="default" w:ascii="Times New Roman" w:hAnsi="Times New Roman" w:cs="Times New Roman" w:eastAsiaTheme="majorEastAsia"/>
          <w:color w:val="auto"/>
          <w:sz w:val="24"/>
          <w:highlight w:val="none"/>
        </w:rPr>
        <w:t>年12月31日止，分为三个独立且连续的</w:t>
      </w:r>
      <w:r>
        <w:rPr>
          <w:rFonts w:hint="default" w:ascii="Times New Roman" w:hAnsi="Times New Roman" w:cs="Times New Roman" w:eastAsiaTheme="majorEastAsia"/>
          <w:color w:val="auto"/>
          <w:sz w:val="24"/>
          <w:highlight w:val="none"/>
          <w:lang w:val="en-US" w:eastAsia="zh-CN"/>
        </w:rPr>
        <w:t>服务</w:t>
      </w:r>
      <w:r>
        <w:rPr>
          <w:rFonts w:hint="default" w:ascii="Times New Roman" w:hAnsi="Times New Roman" w:cs="Times New Roman" w:eastAsiaTheme="majorEastAsia"/>
          <w:color w:val="auto"/>
          <w:sz w:val="24"/>
          <w:highlight w:val="none"/>
        </w:rPr>
        <w:t>周期（202</w:t>
      </w:r>
      <w:r>
        <w:rPr>
          <w:rFonts w:hint="default" w:ascii="Times New Roman" w:hAnsi="Times New Roman" w:cs="Times New Roman" w:eastAsiaTheme="majorEastAsia"/>
          <w:color w:val="auto"/>
          <w:sz w:val="24"/>
          <w:highlight w:val="none"/>
          <w:lang w:val="en-US" w:eastAsia="zh-CN"/>
        </w:rPr>
        <w:t>7</w:t>
      </w:r>
      <w:r>
        <w:rPr>
          <w:rFonts w:hint="default" w:ascii="Times New Roman" w:hAnsi="Times New Roman" w:cs="Times New Roman" w:eastAsiaTheme="majorEastAsia"/>
          <w:color w:val="auto"/>
          <w:sz w:val="24"/>
          <w:highlight w:val="none"/>
        </w:rPr>
        <w:t>年</w:t>
      </w:r>
      <w:r>
        <w:rPr>
          <w:rFonts w:hint="default" w:ascii="Times New Roman" w:hAnsi="Times New Roman" w:cs="Times New Roman" w:eastAsiaTheme="majorEastAsia"/>
          <w:color w:val="auto"/>
          <w:sz w:val="24"/>
          <w:highlight w:val="none"/>
          <w:lang w:val="en-US" w:eastAsia="zh-CN"/>
        </w:rPr>
        <w:t>1</w:t>
      </w:r>
      <w:r>
        <w:rPr>
          <w:rFonts w:hint="default" w:ascii="Times New Roman" w:hAnsi="Times New Roman" w:cs="Times New Roman" w:eastAsiaTheme="majorEastAsia"/>
          <w:color w:val="auto"/>
          <w:sz w:val="24"/>
          <w:highlight w:val="none"/>
        </w:rPr>
        <w:t>月1日至202</w:t>
      </w:r>
      <w:r>
        <w:rPr>
          <w:rFonts w:hint="default" w:ascii="Times New Roman" w:hAnsi="Times New Roman" w:cs="Times New Roman" w:eastAsiaTheme="majorEastAsia"/>
          <w:color w:val="auto"/>
          <w:sz w:val="24"/>
          <w:highlight w:val="none"/>
          <w:lang w:val="en-US" w:eastAsia="zh-CN"/>
        </w:rPr>
        <w:t>7</w:t>
      </w:r>
      <w:r>
        <w:rPr>
          <w:rFonts w:hint="default" w:ascii="Times New Roman" w:hAnsi="Times New Roman" w:cs="Times New Roman" w:eastAsiaTheme="majorEastAsia"/>
          <w:color w:val="auto"/>
          <w:sz w:val="24"/>
          <w:highlight w:val="none"/>
        </w:rPr>
        <w:t>年12月31日为第一期，202</w:t>
      </w:r>
      <w:r>
        <w:rPr>
          <w:rFonts w:hint="default" w:ascii="Times New Roman" w:hAnsi="Times New Roman" w:cs="Times New Roman" w:eastAsiaTheme="majorEastAsia"/>
          <w:color w:val="auto"/>
          <w:sz w:val="24"/>
          <w:highlight w:val="none"/>
          <w:lang w:val="en-US" w:eastAsia="zh-CN"/>
        </w:rPr>
        <w:t>8</w:t>
      </w:r>
      <w:r>
        <w:rPr>
          <w:rFonts w:hint="default" w:ascii="Times New Roman" w:hAnsi="Times New Roman" w:cs="Times New Roman" w:eastAsiaTheme="majorEastAsia"/>
          <w:color w:val="auto"/>
          <w:sz w:val="24"/>
          <w:highlight w:val="none"/>
        </w:rPr>
        <w:t>年1月1日至202</w:t>
      </w:r>
      <w:r>
        <w:rPr>
          <w:rFonts w:hint="default" w:ascii="Times New Roman" w:hAnsi="Times New Roman" w:cs="Times New Roman" w:eastAsiaTheme="majorEastAsia"/>
          <w:color w:val="auto"/>
          <w:sz w:val="24"/>
          <w:highlight w:val="none"/>
          <w:lang w:val="en-US" w:eastAsia="zh-CN"/>
        </w:rPr>
        <w:t>8</w:t>
      </w:r>
      <w:r>
        <w:rPr>
          <w:rFonts w:hint="default" w:ascii="Times New Roman" w:hAnsi="Times New Roman" w:cs="Times New Roman" w:eastAsiaTheme="majorEastAsia"/>
          <w:color w:val="auto"/>
          <w:sz w:val="24"/>
          <w:highlight w:val="none"/>
        </w:rPr>
        <w:t>年12月31日为第二期，202</w:t>
      </w:r>
      <w:r>
        <w:rPr>
          <w:rFonts w:hint="default" w:ascii="Times New Roman" w:hAnsi="Times New Roman" w:cs="Times New Roman" w:eastAsiaTheme="majorEastAsia"/>
          <w:color w:val="auto"/>
          <w:sz w:val="24"/>
          <w:highlight w:val="none"/>
          <w:lang w:val="en-US" w:eastAsia="zh-CN"/>
        </w:rPr>
        <w:t>9</w:t>
      </w:r>
      <w:r>
        <w:rPr>
          <w:rFonts w:hint="default" w:ascii="Times New Roman" w:hAnsi="Times New Roman" w:cs="Times New Roman" w:eastAsiaTheme="majorEastAsia"/>
          <w:color w:val="auto"/>
          <w:sz w:val="24"/>
          <w:highlight w:val="none"/>
        </w:rPr>
        <w:t>年1月1日至202</w:t>
      </w:r>
      <w:r>
        <w:rPr>
          <w:rFonts w:hint="default" w:ascii="Times New Roman" w:hAnsi="Times New Roman" w:cs="Times New Roman" w:eastAsiaTheme="majorEastAsia"/>
          <w:color w:val="auto"/>
          <w:sz w:val="24"/>
          <w:highlight w:val="none"/>
          <w:lang w:val="en-US" w:eastAsia="zh-CN"/>
        </w:rPr>
        <w:t>9</w:t>
      </w:r>
      <w:r>
        <w:rPr>
          <w:rFonts w:hint="default" w:ascii="Times New Roman" w:hAnsi="Times New Roman" w:cs="Times New Roman" w:eastAsiaTheme="majorEastAsia"/>
          <w:color w:val="auto"/>
          <w:sz w:val="24"/>
          <w:highlight w:val="none"/>
        </w:rPr>
        <w:t>年12月31日为第三期），合同一期一签，每期通过考核后，可续签下一期合同。</w:t>
      </w:r>
    </w:p>
    <w:p w14:paraId="4D35E121">
      <w:pPr>
        <w:spacing w:line="360" w:lineRule="auto"/>
        <w:ind w:firstLine="480"/>
        <w:rPr>
          <w:rFonts w:hint="default"/>
          <w:color w:val="auto"/>
          <w:sz w:val="24"/>
          <w:highlight w:val="none"/>
          <w:lang w:val="en-US" w:eastAsia="zh-CN"/>
        </w:rPr>
      </w:pPr>
      <w:r>
        <w:rPr>
          <w:color w:val="auto"/>
          <w:sz w:val="24"/>
          <w:highlight w:val="none"/>
        </w:rPr>
        <w:t>本项目不接受联合体投标</w:t>
      </w:r>
      <w:r>
        <w:rPr>
          <w:rFonts w:hint="eastAsia"/>
          <w:color w:val="auto"/>
          <w:sz w:val="24"/>
          <w:highlight w:val="none"/>
          <w:lang w:eastAsia="zh-CN"/>
        </w:rPr>
        <w:t>，</w:t>
      </w:r>
      <w:r>
        <w:rPr>
          <w:rFonts w:hint="eastAsia"/>
          <w:color w:val="auto"/>
          <w:sz w:val="24"/>
          <w:highlight w:val="none"/>
          <w:lang w:val="en-US" w:eastAsia="zh-CN"/>
        </w:rPr>
        <w:t>非专门面向中小企业采购；</w:t>
      </w:r>
      <w:r>
        <w:rPr>
          <w:color w:val="auto"/>
          <w:sz w:val="24"/>
          <w:highlight w:val="none"/>
        </w:rPr>
        <w:t>中标后不允许</w:t>
      </w:r>
      <w:r>
        <w:rPr>
          <w:rFonts w:hint="eastAsia"/>
          <w:color w:val="auto"/>
          <w:sz w:val="24"/>
          <w:highlight w:val="none"/>
          <w:lang w:val="en-US" w:eastAsia="zh-CN"/>
        </w:rPr>
        <w:t>分</w:t>
      </w:r>
      <w:r>
        <w:rPr>
          <w:rFonts w:hint="eastAsia"/>
          <w:color w:val="auto"/>
          <w:sz w:val="24"/>
          <w:highlight w:val="none"/>
          <w:lang w:eastAsia="zh-CN"/>
        </w:rPr>
        <w:t>包</w:t>
      </w:r>
      <w:r>
        <w:rPr>
          <w:color w:val="auto"/>
          <w:sz w:val="24"/>
          <w:highlight w:val="none"/>
        </w:rPr>
        <w:t>或转包。</w:t>
      </w:r>
    </w:p>
    <w:p w14:paraId="457F11B8">
      <w:pPr>
        <w:pStyle w:val="3"/>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二、申请人的资格要求</w:t>
      </w:r>
    </w:p>
    <w:p w14:paraId="7B2E2C32">
      <w:pPr>
        <w:spacing w:line="360" w:lineRule="auto"/>
        <w:ind w:firstLine="480"/>
        <w:jc w:val="left"/>
        <w:rPr>
          <w:color w:val="auto"/>
          <w:sz w:val="24"/>
          <w:szCs w:val="24"/>
          <w:highlight w:val="none"/>
        </w:rPr>
      </w:pPr>
      <w:r>
        <w:rPr>
          <w:rFonts w:hint="eastAsia"/>
          <w:color w:val="auto"/>
          <w:sz w:val="24"/>
          <w:szCs w:val="24"/>
          <w:highlight w:val="none"/>
        </w:rPr>
        <w:t>（一）满足《中华人民共和国政府采购法》第二十二条规定，并提供下列材料：</w:t>
      </w:r>
    </w:p>
    <w:p w14:paraId="56340CFA">
      <w:pPr>
        <w:spacing w:line="360" w:lineRule="auto"/>
        <w:ind w:firstLine="480"/>
        <w:jc w:val="left"/>
        <w:rPr>
          <w:color w:val="auto"/>
          <w:sz w:val="24"/>
          <w:szCs w:val="24"/>
          <w:highlight w:val="none"/>
        </w:rPr>
      </w:pPr>
      <w:r>
        <w:rPr>
          <w:rFonts w:hint="eastAsia"/>
          <w:color w:val="auto"/>
          <w:sz w:val="24"/>
          <w:szCs w:val="24"/>
          <w:highlight w:val="none"/>
        </w:rPr>
        <w:t>1</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法人或者其他组织的营业执照等证明文件，自然人的身份证明；</w:t>
      </w:r>
    </w:p>
    <w:p w14:paraId="79D8E52B">
      <w:pPr>
        <w:spacing w:line="360" w:lineRule="auto"/>
        <w:ind w:firstLine="480"/>
        <w:jc w:val="left"/>
        <w:rPr>
          <w:color w:val="auto"/>
          <w:sz w:val="24"/>
          <w:szCs w:val="24"/>
          <w:highlight w:val="none"/>
        </w:rPr>
      </w:pPr>
      <w:r>
        <w:rPr>
          <w:rFonts w:hint="eastAsia"/>
          <w:color w:val="auto"/>
          <w:sz w:val="24"/>
          <w:szCs w:val="24"/>
          <w:highlight w:val="none"/>
        </w:rPr>
        <w:t>2</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上一年度的财务状况报告；（成立不满一年无需提供）</w:t>
      </w:r>
    </w:p>
    <w:p w14:paraId="244F3F60">
      <w:pPr>
        <w:spacing w:line="360" w:lineRule="auto"/>
        <w:ind w:firstLine="480"/>
        <w:jc w:val="left"/>
        <w:rPr>
          <w:color w:val="auto"/>
          <w:sz w:val="24"/>
          <w:szCs w:val="24"/>
          <w:highlight w:val="none"/>
        </w:rPr>
      </w:pPr>
      <w:r>
        <w:rPr>
          <w:rFonts w:hint="eastAsia"/>
          <w:color w:val="auto"/>
          <w:sz w:val="24"/>
          <w:szCs w:val="24"/>
          <w:highlight w:val="none"/>
        </w:rPr>
        <w:t>3</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依法缴纳税收和社会保障资金的相关材料；（提供提交投标文件截止时间前一年内至少一个月依法缴纳税收及缴纳社会保障资金的证明材料，</w:t>
      </w:r>
      <w:r>
        <w:rPr>
          <w:rFonts w:hint="eastAsia"/>
          <w:color w:val="auto"/>
          <w:sz w:val="24"/>
          <w:szCs w:val="24"/>
          <w:highlight w:val="none"/>
          <w:lang w:eastAsia="zh-CN"/>
        </w:rPr>
        <w:t>投标人</w:t>
      </w:r>
      <w:r>
        <w:rPr>
          <w:rFonts w:hint="eastAsia"/>
          <w:color w:val="auto"/>
          <w:sz w:val="24"/>
          <w:szCs w:val="24"/>
          <w:highlight w:val="none"/>
        </w:rPr>
        <w:t>依法享受缓缴、免缴税收、社会保障资金的提供证明材料）</w:t>
      </w:r>
    </w:p>
    <w:p w14:paraId="6665E882">
      <w:pPr>
        <w:spacing w:line="360" w:lineRule="auto"/>
        <w:ind w:firstLine="480"/>
        <w:jc w:val="left"/>
        <w:rPr>
          <w:color w:val="auto"/>
          <w:sz w:val="24"/>
          <w:szCs w:val="24"/>
          <w:highlight w:val="none"/>
        </w:rPr>
      </w:pPr>
      <w:r>
        <w:rPr>
          <w:rFonts w:hint="eastAsia"/>
          <w:color w:val="auto"/>
          <w:sz w:val="24"/>
          <w:szCs w:val="24"/>
          <w:highlight w:val="none"/>
        </w:rPr>
        <w:t>（根据连财购〔2023〕4号文件精神，2、3项可以提供《财务状况报告及税收、社会保障资金缴纳情况承诺函》，详见第六章 投标文件格式）</w:t>
      </w:r>
    </w:p>
    <w:p w14:paraId="6ABA42F4">
      <w:pPr>
        <w:spacing w:line="360" w:lineRule="auto"/>
        <w:ind w:firstLine="480"/>
        <w:jc w:val="left"/>
        <w:rPr>
          <w:color w:val="auto"/>
          <w:sz w:val="24"/>
          <w:szCs w:val="24"/>
          <w:highlight w:val="none"/>
        </w:rPr>
      </w:pPr>
      <w:r>
        <w:rPr>
          <w:rFonts w:hint="eastAsia"/>
          <w:color w:val="auto"/>
          <w:sz w:val="24"/>
          <w:szCs w:val="24"/>
          <w:highlight w:val="none"/>
        </w:rPr>
        <w:t>4</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具备履行合同所必需的设备和专业技术能力的声明及证明材料；</w:t>
      </w:r>
    </w:p>
    <w:p w14:paraId="169D67E9">
      <w:pPr>
        <w:spacing w:line="360" w:lineRule="auto"/>
        <w:ind w:firstLine="480"/>
        <w:jc w:val="left"/>
        <w:rPr>
          <w:color w:val="auto"/>
          <w:sz w:val="24"/>
          <w:szCs w:val="24"/>
          <w:highlight w:val="none"/>
        </w:rPr>
      </w:pPr>
      <w:r>
        <w:rPr>
          <w:rFonts w:hint="eastAsia"/>
          <w:color w:val="auto"/>
          <w:sz w:val="24"/>
          <w:szCs w:val="24"/>
          <w:highlight w:val="none"/>
        </w:rPr>
        <w:t>5</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参加政府采购活动前3年内在经营活动中没有重大违法记录的书面声明；</w:t>
      </w:r>
    </w:p>
    <w:p w14:paraId="588ADB13">
      <w:pPr>
        <w:spacing w:line="360" w:lineRule="auto"/>
        <w:ind w:firstLine="480"/>
        <w:jc w:val="left"/>
        <w:rPr>
          <w:rFonts w:hint="eastAsia"/>
          <w:color w:val="auto"/>
          <w:sz w:val="24"/>
          <w:szCs w:val="24"/>
          <w:highlight w:val="none"/>
        </w:rPr>
      </w:pPr>
      <w:r>
        <w:rPr>
          <w:rFonts w:hint="eastAsia"/>
          <w:color w:val="auto"/>
          <w:sz w:val="24"/>
          <w:szCs w:val="24"/>
          <w:highlight w:val="none"/>
        </w:rPr>
        <w:t>6</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法律、行政法规规定的其他条件；</w:t>
      </w:r>
      <w:r>
        <w:rPr>
          <w:rFonts w:hint="default" w:ascii="Times New Roman" w:hAnsi="Times New Roman"/>
          <w:color w:val="auto"/>
          <w:sz w:val="24"/>
          <w:szCs w:val="24"/>
          <w:highlight w:val="none"/>
        </w:rPr>
        <w:t>（如有，请按要求提供）</w:t>
      </w:r>
    </w:p>
    <w:p w14:paraId="724F9AB4">
      <w:pPr>
        <w:spacing w:line="360" w:lineRule="auto"/>
        <w:ind w:firstLine="480"/>
        <w:rPr>
          <w:rFonts w:hint="eastAsia"/>
          <w:color w:val="auto"/>
          <w:sz w:val="24"/>
          <w:szCs w:val="24"/>
          <w:highlight w:val="none"/>
        </w:rPr>
      </w:pPr>
      <w:r>
        <w:rPr>
          <w:rFonts w:hint="eastAsia"/>
          <w:color w:val="auto"/>
          <w:sz w:val="24"/>
          <w:szCs w:val="24"/>
          <w:highlight w:val="none"/>
        </w:rPr>
        <w:t>7</w:t>
      </w:r>
      <w:r>
        <w:rPr>
          <w:rFonts w:hint="default" w:ascii="Times New Roman" w:hAnsi="Times New Roman" w:cs="Times New Roman" w:eastAsiaTheme="majorEastAsia"/>
          <w:color w:val="auto"/>
          <w:sz w:val="24"/>
          <w:szCs w:val="24"/>
          <w:highlight w:val="none"/>
          <w:lang w:val="en-US" w:eastAsia="zh-CN"/>
        </w:rPr>
        <w:t>、</w:t>
      </w:r>
      <w:r>
        <w:rPr>
          <w:rFonts w:hint="default" w:ascii="Times New Roman" w:hAnsi="Times New Roman" w:cs="Times New Roman"/>
          <w:color w:val="auto"/>
          <w:sz w:val="24"/>
          <w:szCs w:val="24"/>
          <w:highlight w:val="none"/>
        </w:rPr>
        <w:t>资格审查现场查询</w:t>
      </w:r>
      <w:r>
        <w:rPr>
          <w:rFonts w:hint="eastAsia"/>
          <w:color w:val="auto"/>
          <w:sz w:val="24"/>
          <w:szCs w:val="24"/>
          <w:highlight w:val="none"/>
        </w:rPr>
        <w:t>信用中国网站（www.creditchina.gov.cn）</w:t>
      </w:r>
      <w:r>
        <w:rPr>
          <w:rFonts w:hint="default" w:ascii="Times New Roman" w:hAnsi="Times New Roman"/>
          <w:color w:val="auto"/>
          <w:sz w:val="24"/>
          <w:szCs w:val="24"/>
          <w:highlight w:val="none"/>
        </w:rPr>
        <w:t>，</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被</w:t>
      </w:r>
      <w:r>
        <w:rPr>
          <w:rFonts w:hint="default" w:ascii="Times New Roman" w:hAnsi="Times New Roman" w:cs="Times New Roman"/>
          <w:color w:val="auto"/>
          <w:sz w:val="24"/>
          <w:szCs w:val="24"/>
          <w:highlight w:val="none"/>
        </w:rPr>
        <w:t>列入</w:t>
      </w:r>
      <w:r>
        <w:rPr>
          <w:rFonts w:hint="eastAsia"/>
          <w:color w:val="auto"/>
          <w:sz w:val="24"/>
          <w:szCs w:val="24"/>
          <w:highlight w:val="none"/>
        </w:rPr>
        <w:t>失信被执行人、重大税收违法案件当事人名单、政府采购严重违法失信行为记录名单及其他不符合《中华人民共和国政府采购法》第二十二条规定情形的</w:t>
      </w:r>
      <w:r>
        <w:rPr>
          <w:rFonts w:hint="default" w:ascii="Times New Roman" w:hAnsi="Times New Roman" w:cs="Times New Roman"/>
          <w:color w:val="auto"/>
          <w:sz w:val="24"/>
          <w:szCs w:val="24"/>
          <w:highlight w:val="none"/>
        </w:rPr>
        <w:t>，拒绝其参与政府采购活动。</w:t>
      </w:r>
      <w:r>
        <w:rPr>
          <w:rFonts w:hint="default" w:ascii="Times New Roman" w:hAnsi="Times New Roman"/>
          <w:color w:val="auto"/>
          <w:sz w:val="24"/>
          <w:szCs w:val="24"/>
          <w:highlight w:val="none"/>
        </w:rPr>
        <w:t>（投标文件中无需提供证明材料）</w:t>
      </w:r>
    </w:p>
    <w:p w14:paraId="35FAFBAF">
      <w:pPr>
        <w:spacing w:line="360" w:lineRule="auto"/>
        <w:ind w:firstLine="480"/>
        <w:jc w:val="left"/>
        <w:rPr>
          <w:color w:val="auto"/>
          <w:sz w:val="24"/>
          <w:highlight w:val="none"/>
        </w:rPr>
      </w:pPr>
      <w:r>
        <w:rPr>
          <w:rFonts w:hint="eastAsia"/>
          <w:color w:val="auto"/>
          <w:sz w:val="24"/>
          <w:szCs w:val="24"/>
          <w:highlight w:val="none"/>
        </w:rPr>
        <w:t>（二）</w:t>
      </w:r>
      <w:r>
        <w:rPr>
          <w:color w:val="auto"/>
          <w:sz w:val="24"/>
          <w:highlight w:val="none"/>
        </w:rPr>
        <w:t>落实政府采购政策需满足的资格要求：无。</w:t>
      </w:r>
    </w:p>
    <w:p w14:paraId="2187DABD">
      <w:pPr>
        <w:spacing w:line="360" w:lineRule="auto"/>
        <w:ind w:firstLine="480"/>
        <w:jc w:val="left"/>
        <w:rPr>
          <w:b w:val="0"/>
          <w:bCs w:val="0"/>
          <w:color w:val="auto"/>
          <w:sz w:val="24"/>
          <w:highlight w:val="none"/>
        </w:rPr>
      </w:pPr>
      <w:r>
        <w:rPr>
          <w:rFonts w:hint="eastAsia"/>
          <w:color w:val="auto"/>
          <w:sz w:val="24"/>
          <w:szCs w:val="24"/>
          <w:highlight w:val="none"/>
        </w:rPr>
        <w:t>（三）</w:t>
      </w:r>
      <w:r>
        <w:rPr>
          <w:b w:val="0"/>
          <w:bCs w:val="0"/>
          <w:color w:val="auto"/>
          <w:sz w:val="24"/>
          <w:highlight w:val="none"/>
        </w:rPr>
        <w:t>本项目的特定资格要求：</w:t>
      </w:r>
    </w:p>
    <w:p w14:paraId="759FBD8D">
      <w:pPr>
        <w:spacing w:line="360" w:lineRule="auto"/>
        <w:ind w:firstLine="480"/>
        <w:jc w:val="left"/>
        <w:rPr>
          <w:rFonts w:hint="eastAsia" w:eastAsia="宋体"/>
          <w:b w:val="0"/>
          <w:bCs w:val="0"/>
          <w:color w:val="auto"/>
          <w:sz w:val="24"/>
          <w:highlight w:val="none"/>
          <w:lang w:eastAsia="zh-CN"/>
        </w:rPr>
      </w:pPr>
      <w:r>
        <w:rPr>
          <w:rFonts w:hint="eastAsia"/>
          <w:b w:val="0"/>
          <w:bCs w:val="0"/>
          <w:color w:val="auto"/>
          <w:sz w:val="24"/>
          <w:highlight w:val="none"/>
          <w:lang w:val="en-US" w:eastAsia="zh-CN"/>
        </w:rPr>
        <w:t>1、</w:t>
      </w:r>
      <w:r>
        <w:rPr>
          <w:rFonts w:hint="eastAsia"/>
          <w:b w:val="0"/>
          <w:bCs w:val="0"/>
          <w:color w:val="auto"/>
          <w:sz w:val="24"/>
          <w:highlight w:val="none"/>
          <w:lang w:eastAsia="zh-CN"/>
        </w:rPr>
        <w:t>投标人</w:t>
      </w:r>
      <w:r>
        <w:rPr>
          <w:b w:val="0"/>
          <w:bCs w:val="0"/>
          <w:color w:val="auto"/>
          <w:sz w:val="24"/>
          <w:highlight w:val="none"/>
        </w:rPr>
        <w:t>需提供</w:t>
      </w:r>
      <w:r>
        <w:rPr>
          <w:rFonts w:hint="eastAsia"/>
          <w:b w:val="0"/>
          <w:bCs w:val="0"/>
          <w:color w:val="auto"/>
          <w:sz w:val="24"/>
          <w:highlight w:val="none"/>
          <w:lang w:val="en-US" w:eastAsia="zh-CN"/>
        </w:rPr>
        <w:t>国家金融监督管理机构</w:t>
      </w:r>
      <w:r>
        <w:rPr>
          <w:b w:val="0"/>
          <w:bCs w:val="0"/>
          <w:color w:val="auto"/>
          <w:sz w:val="24"/>
          <w:highlight w:val="none"/>
        </w:rPr>
        <w:t>颁发的《</w:t>
      </w:r>
      <w:r>
        <w:rPr>
          <w:rFonts w:hint="eastAsia"/>
          <w:b w:val="0"/>
          <w:bCs w:val="0"/>
          <w:color w:val="auto"/>
          <w:sz w:val="24"/>
          <w:highlight w:val="none"/>
          <w:lang w:val="en-US" w:eastAsia="zh-CN"/>
        </w:rPr>
        <w:t>中华人民共和国</w:t>
      </w:r>
      <w:r>
        <w:rPr>
          <w:b w:val="0"/>
          <w:bCs w:val="0"/>
          <w:color w:val="auto"/>
          <w:sz w:val="24"/>
          <w:highlight w:val="none"/>
        </w:rPr>
        <w:t>保险许可证》</w:t>
      </w:r>
      <w:r>
        <w:rPr>
          <w:rFonts w:hint="eastAsia"/>
          <w:b w:val="0"/>
          <w:bCs w:val="0"/>
          <w:color w:val="auto"/>
          <w:sz w:val="24"/>
          <w:highlight w:val="none"/>
          <w:lang w:val="en-US" w:eastAsia="zh-CN"/>
        </w:rPr>
        <w:t>或《中华人民共和国金融</w:t>
      </w:r>
      <w:r>
        <w:rPr>
          <w:b w:val="0"/>
          <w:bCs w:val="0"/>
          <w:color w:val="auto"/>
          <w:sz w:val="24"/>
          <w:highlight w:val="none"/>
        </w:rPr>
        <w:t>许可证</w:t>
      </w:r>
      <w:r>
        <w:rPr>
          <w:rFonts w:hint="eastAsia"/>
          <w:b w:val="0"/>
          <w:bCs w:val="0"/>
          <w:color w:val="auto"/>
          <w:sz w:val="24"/>
          <w:highlight w:val="none"/>
          <w:lang w:val="en-US" w:eastAsia="zh-CN"/>
        </w:rPr>
        <w:t>》</w:t>
      </w:r>
      <w:r>
        <w:rPr>
          <w:b w:val="0"/>
          <w:bCs w:val="0"/>
          <w:color w:val="auto"/>
          <w:sz w:val="24"/>
          <w:highlight w:val="none"/>
        </w:rPr>
        <w:t>。</w:t>
      </w:r>
      <w:r>
        <w:rPr>
          <w:rFonts w:hint="eastAsia"/>
          <w:b w:val="0"/>
          <w:bCs w:val="0"/>
          <w:color w:val="auto"/>
          <w:sz w:val="24"/>
          <w:highlight w:val="none"/>
          <w:lang w:eastAsia="zh-CN"/>
        </w:rPr>
        <w:t>（</w:t>
      </w:r>
      <w:r>
        <w:rPr>
          <w:rFonts w:hint="eastAsia"/>
          <w:b w:val="0"/>
          <w:bCs w:val="0"/>
          <w:color w:val="auto"/>
          <w:sz w:val="24"/>
          <w:highlight w:val="none"/>
          <w:lang w:val="en-US" w:eastAsia="zh-CN"/>
        </w:rPr>
        <w:t>需提供证书</w:t>
      </w:r>
      <w:r>
        <w:rPr>
          <w:rFonts w:hint="eastAsia" w:ascii="Times New Roman" w:hAnsi="Times New Roman" w:eastAsia="宋体" w:cs="Times New Roman"/>
          <w:b w:val="0"/>
          <w:bCs w:val="0"/>
          <w:color w:val="auto"/>
          <w:sz w:val="24"/>
          <w:szCs w:val="24"/>
          <w:highlight w:val="none"/>
          <w:lang w:val="en-US" w:eastAsia="zh-CN" w:bidi="ar-SA"/>
        </w:rPr>
        <w:t>复印件或扫描件或电子件加盖</w:t>
      </w:r>
      <w:r>
        <w:rPr>
          <w:rFonts w:hint="eastAsia" w:cs="Times New Roman"/>
          <w:b w:val="0"/>
          <w:bCs w:val="0"/>
          <w:color w:val="auto"/>
          <w:sz w:val="24"/>
          <w:szCs w:val="24"/>
          <w:highlight w:val="none"/>
          <w:lang w:val="en-US" w:eastAsia="zh-CN" w:bidi="ar-SA"/>
        </w:rPr>
        <w:t>投标人</w:t>
      </w:r>
      <w:r>
        <w:rPr>
          <w:rFonts w:hint="eastAsia" w:ascii="Times New Roman" w:hAnsi="Times New Roman" w:eastAsia="宋体" w:cs="Times New Roman"/>
          <w:b w:val="0"/>
          <w:bCs w:val="0"/>
          <w:color w:val="auto"/>
          <w:sz w:val="24"/>
          <w:szCs w:val="24"/>
          <w:highlight w:val="none"/>
          <w:lang w:val="en-US" w:eastAsia="zh-CN" w:bidi="ar-SA"/>
        </w:rPr>
        <w:t>公章</w:t>
      </w:r>
      <w:r>
        <w:rPr>
          <w:rFonts w:hint="eastAsia"/>
          <w:b w:val="0"/>
          <w:bCs w:val="0"/>
          <w:color w:val="auto"/>
          <w:sz w:val="24"/>
          <w:highlight w:val="none"/>
          <w:lang w:eastAsia="zh-CN"/>
        </w:rPr>
        <w:t>）</w:t>
      </w:r>
    </w:p>
    <w:p w14:paraId="104929EA">
      <w:pPr>
        <w:spacing w:line="360" w:lineRule="auto"/>
        <w:ind w:firstLine="480"/>
        <w:jc w:val="left"/>
        <w:rPr>
          <w:rFonts w:hint="eastAsia" w:eastAsia="宋体"/>
          <w:b w:val="0"/>
          <w:bCs w:val="0"/>
          <w:color w:val="auto"/>
          <w:sz w:val="24"/>
          <w:highlight w:val="none"/>
          <w:lang w:eastAsia="zh-CN"/>
        </w:rPr>
      </w:pPr>
      <w:r>
        <w:rPr>
          <w:rFonts w:hint="eastAsia"/>
          <w:b w:val="0"/>
          <w:bCs w:val="0"/>
          <w:color w:val="auto"/>
          <w:sz w:val="24"/>
          <w:highlight w:val="none"/>
          <w:lang w:val="en-US" w:eastAsia="zh-CN"/>
        </w:rPr>
        <w:t>2、</w:t>
      </w:r>
      <w:r>
        <w:rPr>
          <w:rFonts w:hint="eastAsia"/>
          <w:b w:val="0"/>
          <w:bCs w:val="0"/>
          <w:color w:val="auto"/>
          <w:sz w:val="24"/>
          <w:highlight w:val="none"/>
          <w:lang w:eastAsia="zh-CN"/>
        </w:rPr>
        <w:t>投标人</w:t>
      </w:r>
      <w:r>
        <w:rPr>
          <w:rFonts w:hint="eastAsia"/>
          <w:b w:val="0"/>
          <w:bCs w:val="0"/>
          <w:color w:val="auto"/>
          <w:sz w:val="24"/>
          <w:highlight w:val="none"/>
          <w:lang w:val="en-US" w:eastAsia="zh-CN"/>
        </w:rPr>
        <w:t>为</w:t>
      </w:r>
      <w:r>
        <w:rPr>
          <w:rFonts w:hint="eastAsia"/>
          <w:b w:val="0"/>
          <w:bCs w:val="0"/>
          <w:color w:val="auto"/>
          <w:sz w:val="24"/>
          <w:highlight w:val="none"/>
        </w:rPr>
        <w:t>分支机构</w:t>
      </w:r>
      <w:r>
        <w:rPr>
          <w:rFonts w:hint="eastAsia"/>
          <w:b w:val="0"/>
          <w:bCs w:val="0"/>
          <w:color w:val="auto"/>
          <w:sz w:val="24"/>
          <w:highlight w:val="none"/>
          <w:lang w:eastAsia="zh-CN"/>
        </w:rPr>
        <w:t>，</w:t>
      </w:r>
      <w:r>
        <w:rPr>
          <w:rFonts w:hint="eastAsia"/>
          <w:b w:val="0"/>
          <w:bCs w:val="0"/>
          <w:color w:val="auto"/>
          <w:sz w:val="24"/>
          <w:highlight w:val="none"/>
        </w:rPr>
        <w:t>需</w:t>
      </w:r>
      <w:r>
        <w:rPr>
          <w:rFonts w:hint="eastAsia"/>
          <w:b w:val="0"/>
          <w:bCs w:val="0"/>
          <w:color w:val="auto"/>
          <w:sz w:val="24"/>
          <w:highlight w:val="none"/>
          <w:lang w:val="en-US" w:eastAsia="zh-CN"/>
        </w:rPr>
        <w:t>提供</w:t>
      </w:r>
      <w:r>
        <w:rPr>
          <w:rFonts w:hint="eastAsia"/>
          <w:b w:val="0"/>
          <w:bCs w:val="0"/>
          <w:color w:val="auto"/>
          <w:sz w:val="24"/>
          <w:highlight w:val="none"/>
        </w:rPr>
        <w:t>总公司授权书</w:t>
      </w:r>
      <w:r>
        <w:rPr>
          <w:rFonts w:hint="eastAsia" w:ascii="Times New Roman" w:hAnsi="Times New Roman" w:eastAsia="宋体" w:cs="Times New Roman"/>
          <w:b w:val="0"/>
          <w:bCs w:val="0"/>
          <w:color w:val="auto"/>
          <w:sz w:val="24"/>
          <w:szCs w:val="24"/>
          <w:highlight w:val="none"/>
          <w:lang w:val="en-US" w:eastAsia="zh-CN" w:bidi="ar-SA"/>
        </w:rPr>
        <w:t>。</w:t>
      </w:r>
      <w:r>
        <w:rPr>
          <w:rFonts w:hint="eastAsia"/>
          <w:b w:val="0"/>
          <w:bCs w:val="0"/>
          <w:color w:val="auto"/>
          <w:sz w:val="24"/>
          <w:highlight w:val="none"/>
          <w:lang w:eastAsia="zh-CN"/>
        </w:rPr>
        <w:t>（</w:t>
      </w:r>
      <w:r>
        <w:rPr>
          <w:rFonts w:hint="eastAsia"/>
          <w:b w:val="0"/>
          <w:bCs w:val="0"/>
          <w:color w:val="auto"/>
          <w:sz w:val="24"/>
          <w:highlight w:val="none"/>
          <w:lang w:val="en-US" w:eastAsia="zh-CN"/>
        </w:rPr>
        <w:t>提供</w:t>
      </w:r>
      <w:r>
        <w:rPr>
          <w:rFonts w:hint="eastAsia"/>
          <w:b w:val="0"/>
          <w:bCs w:val="0"/>
          <w:color w:val="auto"/>
          <w:sz w:val="24"/>
          <w:highlight w:val="none"/>
        </w:rPr>
        <w:t>授权书</w:t>
      </w:r>
      <w:r>
        <w:rPr>
          <w:rFonts w:hint="eastAsia" w:ascii="Times New Roman" w:hAnsi="Times New Roman" w:eastAsia="宋体" w:cs="Times New Roman"/>
          <w:b w:val="0"/>
          <w:bCs w:val="0"/>
          <w:color w:val="auto"/>
          <w:sz w:val="24"/>
          <w:szCs w:val="24"/>
          <w:highlight w:val="none"/>
          <w:lang w:val="en-US" w:eastAsia="zh-CN" w:bidi="ar-SA"/>
        </w:rPr>
        <w:t>复印件或扫描件或电子件加盖</w:t>
      </w:r>
      <w:r>
        <w:rPr>
          <w:rFonts w:hint="eastAsia" w:cs="Times New Roman"/>
          <w:b w:val="0"/>
          <w:bCs w:val="0"/>
          <w:color w:val="auto"/>
          <w:sz w:val="24"/>
          <w:szCs w:val="24"/>
          <w:highlight w:val="none"/>
          <w:lang w:val="en-US" w:eastAsia="zh-CN" w:bidi="ar-SA"/>
        </w:rPr>
        <w:t>投标人</w:t>
      </w:r>
      <w:r>
        <w:rPr>
          <w:rFonts w:hint="eastAsia" w:ascii="Times New Roman" w:hAnsi="Times New Roman" w:eastAsia="宋体" w:cs="Times New Roman"/>
          <w:b w:val="0"/>
          <w:bCs w:val="0"/>
          <w:color w:val="auto"/>
          <w:sz w:val="24"/>
          <w:szCs w:val="24"/>
          <w:highlight w:val="none"/>
          <w:lang w:val="en-US" w:eastAsia="zh-CN" w:bidi="ar-SA"/>
        </w:rPr>
        <w:t>公章</w:t>
      </w:r>
      <w:r>
        <w:rPr>
          <w:rFonts w:hint="eastAsia"/>
          <w:b w:val="0"/>
          <w:bCs w:val="0"/>
          <w:color w:val="auto"/>
          <w:sz w:val="24"/>
          <w:highlight w:val="none"/>
          <w:lang w:eastAsia="zh-CN"/>
        </w:rPr>
        <w:t>）</w:t>
      </w:r>
    </w:p>
    <w:p w14:paraId="7E037921">
      <w:pPr>
        <w:numPr>
          <w:ilvl w:val="0"/>
          <w:numId w:val="0"/>
        </w:numPr>
        <w:spacing w:line="360" w:lineRule="auto"/>
        <w:ind w:firstLine="420"/>
        <w:jc w:val="left"/>
        <w:rPr>
          <w:b w:val="0"/>
          <w:bCs w:val="0"/>
          <w:color w:val="auto"/>
          <w:szCs w:val="21"/>
          <w:highlight w:val="none"/>
          <w:shd w:val="clear" w:color="auto" w:fill="FFFFFF"/>
        </w:rPr>
      </w:pPr>
      <w:r>
        <w:rPr>
          <w:rFonts w:hint="eastAsia"/>
          <w:b w:val="0"/>
          <w:bCs w:val="0"/>
          <w:color w:val="auto"/>
          <w:sz w:val="24"/>
          <w:highlight w:val="none"/>
          <w:lang w:val="en-US" w:eastAsia="zh-CN"/>
        </w:rPr>
        <w:t>3、</w:t>
      </w:r>
      <w:r>
        <w:rPr>
          <w:b w:val="0"/>
          <w:bCs w:val="0"/>
          <w:color w:val="auto"/>
          <w:sz w:val="24"/>
          <w:highlight w:val="none"/>
        </w:rPr>
        <w:t>单位负责人为同一人或者存在直接控股、管理关系的不同</w:t>
      </w:r>
      <w:r>
        <w:rPr>
          <w:rFonts w:hint="eastAsia"/>
          <w:b w:val="0"/>
          <w:bCs w:val="0"/>
          <w:color w:val="auto"/>
          <w:sz w:val="24"/>
          <w:highlight w:val="none"/>
          <w:lang w:eastAsia="zh-CN"/>
        </w:rPr>
        <w:t>投标人</w:t>
      </w:r>
      <w:r>
        <w:rPr>
          <w:b w:val="0"/>
          <w:bCs w:val="0"/>
          <w:color w:val="auto"/>
          <w:sz w:val="24"/>
          <w:highlight w:val="none"/>
        </w:rPr>
        <w:t>，不得参加同一合同项下的政府采购活动。</w:t>
      </w:r>
    </w:p>
    <w:p w14:paraId="4382BD54">
      <w:pPr>
        <w:pStyle w:val="3"/>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三、获取招标文件</w:t>
      </w:r>
    </w:p>
    <w:p w14:paraId="5C2A9905">
      <w:pPr>
        <w:spacing w:line="360" w:lineRule="auto"/>
        <w:ind w:firstLine="480"/>
        <w:jc w:val="left"/>
        <w:rPr>
          <w:rFonts w:hint="default" w:eastAsia="宋体"/>
          <w:color w:val="auto"/>
          <w:sz w:val="24"/>
          <w:highlight w:val="none"/>
          <w:lang w:val="en-US" w:eastAsia="zh-CN"/>
        </w:rPr>
      </w:pPr>
      <w:r>
        <w:rPr>
          <w:color w:val="auto"/>
          <w:sz w:val="24"/>
          <w:highlight w:val="none"/>
        </w:rPr>
        <w:t>时间：自招标公告发布之日起</w:t>
      </w:r>
      <w:r>
        <w:rPr>
          <w:rFonts w:hint="eastAsia"/>
          <w:color w:val="auto"/>
          <w:sz w:val="24"/>
          <w:highlight w:val="none"/>
          <w:lang w:val="en-US" w:eastAsia="zh-CN"/>
        </w:rPr>
        <w:t>五个工作日</w:t>
      </w:r>
    </w:p>
    <w:p w14:paraId="527450E2">
      <w:pPr>
        <w:spacing w:line="360" w:lineRule="auto"/>
        <w:ind w:firstLine="480"/>
        <w:jc w:val="left"/>
        <w:rPr>
          <w:color w:val="auto"/>
          <w:sz w:val="24"/>
          <w:szCs w:val="24"/>
          <w:highlight w:val="none"/>
        </w:rPr>
      </w:pPr>
      <w:r>
        <w:rPr>
          <w:color w:val="auto"/>
          <w:sz w:val="24"/>
          <w:highlight w:val="none"/>
        </w:rPr>
        <w:t>地点：</w:t>
      </w:r>
      <w:r>
        <w:rPr>
          <w:rFonts w:hint="eastAsia"/>
          <w:color w:val="auto"/>
          <w:sz w:val="24"/>
          <w:szCs w:val="24"/>
          <w:highlight w:val="none"/>
        </w:rPr>
        <w:t>江苏政府采购网</w:t>
      </w:r>
    </w:p>
    <w:p w14:paraId="0FE20279">
      <w:pPr>
        <w:spacing w:line="360" w:lineRule="auto"/>
        <w:ind w:firstLine="480"/>
        <w:jc w:val="left"/>
        <w:rPr>
          <w:color w:val="auto"/>
          <w:sz w:val="24"/>
          <w:szCs w:val="24"/>
          <w:highlight w:val="none"/>
        </w:rPr>
      </w:pPr>
      <w:r>
        <w:rPr>
          <w:rFonts w:hint="eastAsia"/>
          <w:color w:val="auto"/>
          <w:sz w:val="24"/>
          <w:szCs w:val="24"/>
          <w:highlight w:val="none"/>
        </w:rPr>
        <w:t>方式：</w:t>
      </w:r>
      <w:r>
        <w:rPr>
          <w:rFonts w:hint="eastAsia"/>
          <w:color w:val="auto"/>
          <w:sz w:val="24"/>
          <w:szCs w:val="24"/>
          <w:highlight w:val="none"/>
          <w:lang w:eastAsia="zh-CN"/>
        </w:rPr>
        <w:t>投标人</w:t>
      </w:r>
      <w:r>
        <w:rPr>
          <w:rFonts w:hint="eastAsia"/>
          <w:color w:val="auto"/>
          <w:sz w:val="24"/>
          <w:szCs w:val="24"/>
          <w:highlight w:val="none"/>
        </w:rPr>
        <w:t>办理江苏省政府采购交易系统CA数字证书，登录“苏采云”政府采购交易系统，自行下载。</w:t>
      </w:r>
    </w:p>
    <w:p w14:paraId="312DAA0B">
      <w:pPr>
        <w:spacing w:line="360" w:lineRule="auto"/>
        <w:ind w:firstLine="480"/>
        <w:jc w:val="left"/>
        <w:rPr>
          <w:color w:val="auto"/>
          <w:sz w:val="24"/>
          <w:szCs w:val="24"/>
          <w:highlight w:val="none"/>
        </w:rPr>
      </w:pPr>
      <w:r>
        <w:rPr>
          <w:rFonts w:hint="eastAsia"/>
          <w:color w:val="auto"/>
          <w:sz w:val="24"/>
          <w:szCs w:val="24"/>
          <w:highlight w:val="none"/>
        </w:rPr>
        <w:t>售价：0.00元</w:t>
      </w:r>
    </w:p>
    <w:p w14:paraId="784E116C">
      <w:pPr>
        <w:pStyle w:val="3"/>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cs="Times New Roman"/>
          <w:b w:val="0"/>
          <w:bCs w:val="0"/>
          <w:color w:val="auto"/>
          <w:highlight w:val="none"/>
        </w:rPr>
        <w:t>四、提交投标文件截止时间、开标时间和地点</w:t>
      </w:r>
    </w:p>
    <w:p w14:paraId="659C49B8">
      <w:pPr>
        <w:spacing w:line="360" w:lineRule="auto"/>
        <w:ind w:firstLine="480"/>
        <w:jc w:val="left"/>
        <w:rPr>
          <w:color w:val="auto"/>
          <w:sz w:val="24"/>
          <w:szCs w:val="24"/>
          <w:highlight w:val="none"/>
        </w:rPr>
      </w:pPr>
      <w:r>
        <w:rPr>
          <w:rFonts w:hint="eastAsia"/>
          <w:color w:val="auto"/>
          <w:sz w:val="24"/>
          <w:szCs w:val="24"/>
          <w:highlight w:val="none"/>
        </w:rPr>
        <w:t>提交投标文件截止时间：</w:t>
      </w:r>
      <w:r>
        <w:rPr>
          <w:rFonts w:hint="eastAsia"/>
          <w:color w:val="auto"/>
          <w:sz w:val="24"/>
          <w:szCs w:val="24"/>
          <w:highlight w:val="none"/>
          <w:lang w:eastAsia="zh-CN"/>
        </w:rPr>
        <w:t>2</w:t>
      </w:r>
      <w:r>
        <w:rPr>
          <w:rFonts w:hint="eastAsia"/>
          <w:color w:val="auto"/>
          <w:sz w:val="24"/>
          <w:szCs w:val="24"/>
          <w:highlight w:val="none"/>
          <w:lang w:val="en-US" w:eastAsia="zh-CN"/>
        </w:rPr>
        <w:t>026</w:t>
      </w:r>
      <w:r>
        <w:rPr>
          <w:rFonts w:hint="eastAsia"/>
          <w:color w:val="auto"/>
          <w:sz w:val="24"/>
          <w:szCs w:val="24"/>
          <w:highlight w:val="none"/>
        </w:rPr>
        <w:t>年1</w:t>
      </w:r>
      <w:r>
        <w:rPr>
          <w:rFonts w:hint="eastAsia"/>
          <w:color w:val="auto"/>
          <w:sz w:val="24"/>
          <w:szCs w:val="24"/>
          <w:highlight w:val="none"/>
          <w:lang w:eastAsia="zh-CN"/>
        </w:rPr>
        <w:t>0</w:t>
      </w:r>
      <w:r>
        <w:rPr>
          <w:rFonts w:hint="eastAsia"/>
          <w:color w:val="auto"/>
          <w:sz w:val="24"/>
          <w:szCs w:val="24"/>
          <w:highlight w:val="none"/>
        </w:rPr>
        <w:t>月</w:t>
      </w:r>
      <w:r>
        <w:rPr>
          <w:rFonts w:hint="eastAsia"/>
          <w:color w:val="auto"/>
          <w:sz w:val="24"/>
          <w:szCs w:val="24"/>
          <w:highlight w:val="none"/>
          <w:lang w:val="en-US" w:eastAsia="zh-CN"/>
        </w:rPr>
        <w:t>21</w:t>
      </w:r>
      <w:r>
        <w:rPr>
          <w:rFonts w:hint="eastAsia"/>
          <w:color w:val="auto"/>
          <w:sz w:val="24"/>
          <w:szCs w:val="24"/>
          <w:highlight w:val="none"/>
        </w:rPr>
        <w:t>日9:00（北京时间）</w:t>
      </w:r>
    </w:p>
    <w:p w14:paraId="7667547B">
      <w:pPr>
        <w:spacing w:line="360" w:lineRule="auto"/>
        <w:ind w:firstLine="480"/>
        <w:jc w:val="left"/>
        <w:rPr>
          <w:color w:val="auto"/>
          <w:sz w:val="24"/>
          <w:szCs w:val="24"/>
          <w:highlight w:val="none"/>
        </w:rPr>
      </w:pPr>
      <w:r>
        <w:rPr>
          <w:rFonts w:hint="eastAsia"/>
          <w:color w:val="auto"/>
          <w:sz w:val="24"/>
          <w:szCs w:val="24"/>
          <w:highlight w:val="none"/>
        </w:rPr>
        <w:t>开标时间：提交投标文件截止时间</w:t>
      </w:r>
    </w:p>
    <w:p w14:paraId="579A9B98">
      <w:pPr>
        <w:spacing w:line="360" w:lineRule="auto"/>
        <w:ind w:firstLine="480"/>
        <w:jc w:val="left"/>
        <w:rPr>
          <w:color w:val="auto"/>
          <w:highlight w:val="none"/>
        </w:rPr>
      </w:pPr>
      <w:r>
        <w:rPr>
          <w:rFonts w:hint="eastAsia"/>
          <w:color w:val="auto"/>
          <w:sz w:val="24"/>
          <w:szCs w:val="24"/>
          <w:highlight w:val="none"/>
        </w:rPr>
        <w:t>开标地点：“苏采云”政府采购交易系统网上开标大厅</w:t>
      </w:r>
    </w:p>
    <w:p w14:paraId="1CCB5532">
      <w:pPr>
        <w:pStyle w:val="3"/>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五、公告期限</w:t>
      </w:r>
    </w:p>
    <w:p w14:paraId="38D436CA">
      <w:pPr>
        <w:spacing w:line="360" w:lineRule="auto"/>
        <w:ind w:firstLine="480"/>
        <w:jc w:val="left"/>
        <w:rPr>
          <w:color w:val="auto"/>
          <w:sz w:val="24"/>
          <w:szCs w:val="24"/>
          <w:highlight w:val="none"/>
        </w:rPr>
      </w:pPr>
      <w:r>
        <w:rPr>
          <w:rFonts w:hint="eastAsia"/>
          <w:color w:val="auto"/>
          <w:sz w:val="24"/>
          <w:szCs w:val="24"/>
          <w:highlight w:val="none"/>
        </w:rPr>
        <w:t>自本公告发布之日起5个工作日。</w:t>
      </w:r>
    </w:p>
    <w:p w14:paraId="26DC1469">
      <w:pPr>
        <w:pStyle w:val="3"/>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六、其他补充事宜</w:t>
      </w:r>
    </w:p>
    <w:p w14:paraId="5773C47C">
      <w:pPr>
        <w:spacing w:line="360" w:lineRule="auto"/>
        <w:ind w:firstLine="480"/>
        <w:jc w:val="left"/>
        <w:rPr>
          <w:color w:val="auto"/>
          <w:sz w:val="24"/>
          <w:szCs w:val="24"/>
          <w:highlight w:val="none"/>
        </w:rPr>
      </w:pPr>
      <w:r>
        <w:rPr>
          <w:rFonts w:hint="eastAsia"/>
          <w:color w:val="auto"/>
          <w:sz w:val="24"/>
          <w:szCs w:val="24"/>
          <w:highlight w:val="none"/>
        </w:rPr>
        <w:t>1</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本次招标不收取投标保证金。</w:t>
      </w:r>
    </w:p>
    <w:p w14:paraId="29CF0EC9">
      <w:pPr>
        <w:spacing w:line="360" w:lineRule="auto"/>
        <w:ind w:firstLine="480"/>
        <w:jc w:val="left"/>
        <w:rPr>
          <w:color w:val="auto"/>
          <w:sz w:val="24"/>
          <w:szCs w:val="24"/>
          <w:highlight w:val="none"/>
        </w:rPr>
      </w:pPr>
      <w:r>
        <w:rPr>
          <w:rFonts w:hint="eastAsia"/>
          <w:color w:val="auto"/>
          <w:sz w:val="24"/>
          <w:szCs w:val="24"/>
          <w:highlight w:val="none"/>
        </w:rPr>
        <w:t>2</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本招标文件中斜体且有下划线部分为实质性要求和条件，由采购人根据实际情况设置，</w:t>
      </w:r>
      <w:r>
        <w:rPr>
          <w:rFonts w:hint="eastAsia"/>
          <w:color w:val="auto"/>
          <w:sz w:val="24"/>
          <w:szCs w:val="24"/>
          <w:highlight w:val="none"/>
          <w:lang w:eastAsia="zh-CN"/>
        </w:rPr>
        <w:t>投标人</w:t>
      </w:r>
      <w:r>
        <w:rPr>
          <w:rFonts w:hint="eastAsia"/>
          <w:color w:val="auto"/>
          <w:sz w:val="24"/>
          <w:szCs w:val="24"/>
          <w:highlight w:val="none"/>
        </w:rPr>
        <w:t>须逐条明确作出满足实质性要求和条件的响应，否则将按无效响应处理。</w:t>
      </w:r>
    </w:p>
    <w:p w14:paraId="2BB06B08">
      <w:pPr>
        <w:spacing w:line="360" w:lineRule="auto"/>
        <w:ind w:firstLine="480"/>
        <w:jc w:val="left"/>
        <w:rPr>
          <w:color w:val="auto"/>
          <w:sz w:val="24"/>
          <w:szCs w:val="24"/>
          <w:highlight w:val="none"/>
        </w:rPr>
      </w:pPr>
      <w:r>
        <w:rPr>
          <w:rFonts w:hint="eastAsia"/>
          <w:color w:val="auto"/>
          <w:sz w:val="24"/>
          <w:szCs w:val="24"/>
          <w:highlight w:val="none"/>
        </w:rPr>
        <w:t>3</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无论出于何种原因，采购人及其委托的采购代理机构在采购活动开始前可对招标文件进行修改、补充或者变更，其内容作为招标文件的重要组成部分，请各</w:t>
      </w:r>
      <w:r>
        <w:rPr>
          <w:rFonts w:hint="eastAsia"/>
          <w:color w:val="auto"/>
          <w:sz w:val="24"/>
          <w:szCs w:val="24"/>
          <w:highlight w:val="none"/>
          <w:lang w:eastAsia="zh-CN"/>
        </w:rPr>
        <w:t>投标人</w:t>
      </w:r>
      <w:r>
        <w:rPr>
          <w:rFonts w:hint="eastAsia"/>
          <w:color w:val="auto"/>
          <w:sz w:val="24"/>
          <w:szCs w:val="24"/>
          <w:highlight w:val="none"/>
        </w:rPr>
        <w:t>关注江苏政府采购网。若因</w:t>
      </w:r>
      <w:r>
        <w:rPr>
          <w:rFonts w:hint="eastAsia"/>
          <w:color w:val="auto"/>
          <w:sz w:val="24"/>
          <w:szCs w:val="24"/>
          <w:highlight w:val="none"/>
          <w:lang w:eastAsia="zh-CN"/>
        </w:rPr>
        <w:t>投标人</w:t>
      </w:r>
      <w:r>
        <w:rPr>
          <w:rFonts w:hint="eastAsia"/>
          <w:color w:val="auto"/>
          <w:sz w:val="24"/>
          <w:szCs w:val="24"/>
          <w:highlight w:val="none"/>
        </w:rPr>
        <w:t>自身原因未及时关注本项目有关修改、补充或者变更信息，导致投标文件编制或者提交失误，由此造成的一切损失由</w:t>
      </w:r>
      <w:r>
        <w:rPr>
          <w:rFonts w:hint="eastAsia"/>
          <w:color w:val="auto"/>
          <w:sz w:val="24"/>
          <w:szCs w:val="24"/>
          <w:highlight w:val="none"/>
          <w:lang w:eastAsia="zh-CN"/>
        </w:rPr>
        <w:t>投标人</w:t>
      </w:r>
      <w:r>
        <w:rPr>
          <w:rFonts w:hint="eastAsia"/>
          <w:color w:val="auto"/>
          <w:sz w:val="24"/>
          <w:szCs w:val="24"/>
          <w:highlight w:val="none"/>
        </w:rPr>
        <w:t>自行承担。</w:t>
      </w:r>
    </w:p>
    <w:p w14:paraId="0778C194">
      <w:pPr>
        <w:spacing w:line="360" w:lineRule="auto"/>
        <w:ind w:firstLine="480"/>
        <w:jc w:val="left"/>
        <w:rPr>
          <w:color w:val="auto"/>
          <w:sz w:val="24"/>
          <w:szCs w:val="24"/>
          <w:highlight w:val="none"/>
        </w:rPr>
      </w:pPr>
      <w:r>
        <w:rPr>
          <w:rFonts w:hint="eastAsia"/>
          <w:color w:val="auto"/>
          <w:sz w:val="24"/>
          <w:szCs w:val="24"/>
          <w:highlight w:val="none"/>
        </w:rPr>
        <w:t>4</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color w:val="auto"/>
          <w:sz w:val="24"/>
          <w:szCs w:val="24"/>
          <w:highlight w:val="none"/>
          <w:lang w:eastAsia="zh-CN"/>
        </w:rPr>
        <w:t>投标人</w:t>
      </w:r>
      <w:r>
        <w:rPr>
          <w:rFonts w:hint="eastAsia"/>
          <w:color w:val="auto"/>
          <w:sz w:val="24"/>
          <w:szCs w:val="24"/>
          <w:highlight w:val="none"/>
        </w:rPr>
        <w:t>通过“苏采云”系统参与政府采购项目，需要办理（更换）CA数字证书和电子签章。具体办理指南和操作手册见链接：</w:t>
      </w:r>
    </w:p>
    <w:p w14:paraId="2A7978E0">
      <w:pPr>
        <w:spacing w:line="360" w:lineRule="auto"/>
        <w:ind w:firstLine="480"/>
        <w:jc w:val="left"/>
        <w:rPr>
          <w:color w:val="auto"/>
          <w:sz w:val="24"/>
          <w:szCs w:val="24"/>
          <w:highlight w:val="none"/>
        </w:rPr>
      </w:pPr>
      <w:r>
        <w:rPr>
          <w:rFonts w:hint="eastAsia"/>
          <w:color w:val="auto"/>
          <w:sz w:val="24"/>
          <w:szCs w:val="24"/>
          <w:highlight w:val="none"/>
        </w:rPr>
        <w:t>http://www.ccgp-jiangsu.gov.cn/jiangsu/zlxz/ee/ee3a4bc5a3454aa2b0d9312230633ce9.html</w:t>
      </w:r>
    </w:p>
    <w:p w14:paraId="7C7CC68F">
      <w:pPr>
        <w:spacing w:line="360" w:lineRule="auto"/>
        <w:ind w:firstLine="480"/>
        <w:jc w:val="left"/>
        <w:rPr>
          <w:color w:val="auto"/>
          <w:sz w:val="24"/>
          <w:szCs w:val="24"/>
          <w:highlight w:val="none"/>
        </w:rPr>
      </w:pPr>
      <w:r>
        <w:rPr>
          <w:rFonts w:hint="eastAsia"/>
          <w:color w:val="auto"/>
          <w:sz w:val="24"/>
          <w:szCs w:val="24"/>
          <w:highlight w:val="none"/>
        </w:rPr>
        <w:t>请</w:t>
      </w:r>
      <w:r>
        <w:rPr>
          <w:rFonts w:hint="eastAsia"/>
          <w:color w:val="auto"/>
          <w:sz w:val="24"/>
          <w:szCs w:val="24"/>
          <w:highlight w:val="none"/>
          <w:lang w:eastAsia="zh-CN"/>
        </w:rPr>
        <w:t>投标人</w:t>
      </w:r>
      <w:r>
        <w:rPr>
          <w:rFonts w:hint="eastAsia"/>
          <w:color w:val="auto"/>
          <w:sz w:val="24"/>
          <w:szCs w:val="24"/>
          <w:highlight w:val="none"/>
        </w:rPr>
        <w:t>按照《操作手册》要求获取招标文件，制作、递交（上传）电子投标文件，参加开标，澄清、说明或者补正。因</w:t>
      </w:r>
      <w:r>
        <w:rPr>
          <w:rFonts w:hint="eastAsia"/>
          <w:color w:val="auto"/>
          <w:sz w:val="24"/>
          <w:szCs w:val="24"/>
          <w:highlight w:val="none"/>
          <w:lang w:eastAsia="zh-CN"/>
        </w:rPr>
        <w:t>投标人</w:t>
      </w:r>
      <w:r>
        <w:rPr>
          <w:rFonts w:hint="eastAsia"/>
          <w:color w:val="auto"/>
          <w:sz w:val="24"/>
          <w:szCs w:val="24"/>
          <w:highlight w:val="none"/>
        </w:rPr>
        <w:t>未按要求操作原因导致电子投标文件被拒绝、造成无效响应的，自行承担一切损失。</w:t>
      </w:r>
    </w:p>
    <w:p w14:paraId="46C1F027">
      <w:pPr>
        <w:pStyle w:val="3"/>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七、对本次招标提出询问，请按以下方式联系</w:t>
      </w:r>
    </w:p>
    <w:p w14:paraId="296E156D">
      <w:pPr>
        <w:spacing w:line="360" w:lineRule="auto"/>
        <w:ind w:firstLine="480"/>
        <w:jc w:val="left"/>
        <w:rPr>
          <w:color w:val="auto"/>
          <w:sz w:val="24"/>
          <w:szCs w:val="24"/>
          <w:highlight w:val="none"/>
        </w:rPr>
      </w:pPr>
      <w:r>
        <w:rPr>
          <w:rFonts w:hint="eastAsia"/>
          <w:color w:val="auto"/>
          <w:sz w:val="24"/>
          <w:szCs w:val="24"/>
          <w:highlight w:val="none"/>
        </w:rPr>
        <w:t>1</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采购人信息</w:t>
      </w:r>
    </w:p>
    <w:p w14:paraId="6D3098E4">
      <w:pPr>
        <w:spacing w:line="360" w:lineRule="auto"/>
        <w:ind w:firstLine="480"/>
        <w:jc w:val="left"/>
        <w:rPr>
          <w:rFonts w:hint="default" w:eastAsia="宋体"/>
          <w:color w:val="auto"/>
          <w:sz w:val="24"/>
          <w:szCs w:val="24"/>
          <w:highlight w:val="none"/>
          <w:lang w:val="en-US" w:eastAsia="zh-CN"/>
        </w:rPr>
      </w:pPr>
      <w:r>
        <w:rPr>
          <w:rFonts w:hint="eastAsia"/>
          <w:color w:val="auto"/>
          <w:sz w:val="24"/>
          <w:szCs w:val="24"/>
          <w:highlight w:val="none"/>
        </w:rPr>
        <w:t>名    称：</w:t>
      </w:r>
      <w:r>
        <w:rPr>
          <w:rFonts w:hint="eastAsia"/>
          <w:color w:val="auto"/>
          <w:sz w:val="24"/>
          <w:szCs w:val="24"/>
          <w:highlight w:val="none"/>
          <w:lang w:val="en-US" w:eastAsia="zh-CN"/>
        </w:rPr>
        <w:t>连云港市医疗保障局</w:t>
      </w:r>
    </w:p>
    <w:p w14:paraId="60B73CFC">
      <w:pPr>
        <w:spacing w:line="360" w:lineRule="auto"/>
        <w:ind w:firstLine="480"/>
        <w:jc w:val="left"/>
        <w:rPr>
          <w:rFonts w:hint="default" w:eastAsia="宋体"/>
          <w:color w:val="auto"/>
          <w:sz w:val="24"/>
          <w:szCs w:val="24"/>
          <w:highlight w:val="none"/>
          <w:lang w:val="en-US" w:eastAsia="zh-CN"/>
        </w:rPr>
      </w:pPr>
      <w:r>
        <w:rPr>
          <w:rFonts w:hint="eastAsia"/>
          <w:color w:val="auto"/>
          <w:sz w:val="24"/>
          <w:szCs w:val="24"/>
          <w:highlight w:val="none"/>
        </w:rPr>
        <w:t>地    址：</w:t>
      </w:r>
      <w:r>
        <w:rPr>
          <w:rFonts w:hint="eastAsia"/>
          <w:color w:val="auto"/>
          <w:sz w:val="24"/>
          <w:szCs w:val="24"/>
          <w:highlight w:val="none"/>
          <w:lang w:val="en-US" w:eastAsia="zh-CN"/>
        </w:rPr>
        <w:t>连云港市海州区苍梧路36号7号楼</w:t>
      </w:r>
    </w:p>
    <w:p w14:paraId="058FB4FD">
      <w:pPr>
        <w:spacing w:line="360" w:lineRule="auto"/>
        <w:ind w:firstLine="480"/>
        <w:jc w:val="left"/>
        <w:rPr>
          <w:color w:val="auto"/>
          <w:sz w:val="24"/>
          <w:szCs w:val="24"/>
          <w:highlight w:val="none"/>
        </w:rPr>
      </w:pPr>
      <w:r>
        <w:rPr>
          <w:rFonts w:hint="eastAsia"/>
          <w:color w:val="auto"/>
          <w:sz w:val="24"/>
          <w:szCs w:val="24"/>
          <w:highlight w:val="none"/>
        </w:rPr>
        <w:t>联 系 人：</w:t>
      </w:r>
      <w:r>
        <w:rPr>
          <w:rFonts w:hint="eastAsia"/>
          <w:color w:val="auto"/>
          <w:sz w:val="24"/>
          <w:szCs w:val="24"/>
          <w:highlight w:val="none"/>
          <w:lang w:val="en-US" w:eastAsia="zh-CN"/>
        </w:rPr>
        <w:t>杨瑞</w:t>
      </w:r>
    </w:p>
    <w:p w14:paraId="10DD16BE">
      <w:pPr>
        <w:spacing w:line="360" w:lineRule="auto"/>
        <w:ind w:firstLine="480"/>
        <w:jc w:val="left"/>
        <w:rPr>
          <w:rFonts w:hint="default"/>
          <w:color w:val="auto"/>
          <w:sz w:val="24"/>
          <w:szCs w:val="24"/>
          <w:highlight w:val="none"/>
          <w:lang w:val="en-US" w:eastAsia="zh-CN"/>
        </w:rPr>
      </w:pPr>
      <w:r>
        <w:rPr>
          <w:rFonts w:hint="eastAsia"/>
          <w:color w:val="auto"/>
          <w:sz w:val="24"/>
          <w:szCs w:val="24"/>
          <w:highlight w:val="none"/>
        </w:rPr>
        <w:t>联系电话：</w:t>
      </w:r>
      <w:r>
        <w:rPr>
          <w:rFonts w:hint="eastAsia"/>
          <w:color w:val="auto"/>
          <w:sz w:val="24"/>
          <w:szCs w:val="24"/>
          <w:highlight w:val="none"/>
          <w:lang w:val="en-US" w:eastAsia="zh-CN"/>
        </w:rPr>
        <w:t>18961369883</w:t>
      </w:r>
    </w:p>
    <w:p w14:paraId="48D57064">
      <w:pPr>
        <w:spacing w:line="360" w:lineRule="auto"/>
        <w:ind w:firstLine="480"/>
        <w:jc w:val="left"/>
        <w:rPr>
          <w:color w:val="auto"/>
          <w:sz w:val="24"/>
          <w:szCs w:val="24"/>
          <w:highlight w:val="none"/>
        </w:rPr>
      </w:pPr>
      <w:r>
        <w:rPr>
          <w:rFonts w:hint="eastAsia"/>
          <w:color w:val="auto"/>
          <w:sz w:val="24"/>
          <w:szCs w:val="24"/>
          <w:highlight w:val="none"/>
        </w:rPr>
        <w:t>2</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采购代理机构信息</w:t>
      </w:r>
    </w:p>
    <w:p w14:paraId="0325CDC5">
      <w:pPr>
        <w:spacing w:line="360" w:lineRule="auto"/>
        <w:ind w:firstLine="480"/>
        <w:jc w:val="left"/>
        <w:rPr>
          <w:color w:val="auto"/>
          <w:sz w:val="24"/>
          <w:szCs w:val="24"/>
          <w:highlight w:val="none"/>
        </w:rPr>
      </w:pPr>
      <w:r>
        <w:rPr>
          <w:rFonts w:hint="eastAsia"/>
          <w:color w:val="auto"/>
          <w:sz w:val="24"/>
          <w:szCs w:val="24"/>
          <w:highlight w:val="none"/>
        </w:rPr>
        <w:t>名    称：连云港市公共资源交易中心</w:t>
      </w:r>
    </w:p>
    <w:p w14:paraId="05375C46">
      <w:pPr>
        <w:spacing w:line="360" w:lineRule="auto"/>
        <w:ind w:firstLine="480"/>
        <w:jc w:val="left"/>
        <w:rPr>
          <w:color w:val="auto"/>
          <w:sz w:val="24"/>
          <w:szCs w:val="24"/>
          <w:highlight w:val="none"/>
        </w:rPr>
      </w:pPr>
      <w:r>
        <w:rPr>
          <w:rFonts w:hint="eastAsia"/>
          <w:color w:val="auto"/>
          <w:sz w:val="24"/>
          <w:szCs w:val="24"/>
          <w:highlight w:val="none"/>
        </w:rPr>
        <w:t>地    址：连云港市海州区凌洲东路9号2号楼</w:t>
      </w:r>
      <w:r>
        <w:rPr>
          <w:rFonts w:hint="eastAsia"/>
          <w:color w:val="auto"/>
          <w:sz w:val="24"/>
          <w:szCs w:val="24"/>
          <w:highlight w:val="none"/>
          <w:lang w:val="en-US" w:eastAsia="zh-CN"/>
        </w:rPr>
        <w:t>420</w:t>
      </w:r>
      <w:r>
        <w:rPr>
          <w:rFonts w:hint="eastAsia"/>
          <w:color w:val="auto"/>
          <w:sz w:val="24"/>
          <w:szCs w:val="24"/>
          <w:highlight w:val="none"/>
        </w:rPr>
        <w:t>室</w:t>
      </w:r>
    </w:p>
    <w:p w14:paraId="7E50017D">
      <w:pPr>
        <w:spacing w:line="360" w:lineRule="auto"/>
        <w:ind w:firstLine="480"/>
        <w:jc w:val="left"/>
        <w:rPr>
          <w:rFonts w:hint="eastAsia"/>
          <w:color w:val="auto"/>
          <w:sz w:val="24"/>
          <w:szCs w:val="24"/>
          <w:highlight w:val="none"/>
        </w:rPr>
      </w:pPr>
      <w:r>
        <w:rPr>
          <w:rFonts w:hint="eastAsia"/>
          <w:color w:val="auto"/>
          <w:sz w:val="24"/>
          <w:szCs w:val="24"/>
          <w:highlight w:val="none"/>
        </w:rPr>
        <w:t>联 系 人：</w:t>
      </w:r>
      <w:r>
        <w:rPr>
          <w:rFonts w:hint="eastAsia"/>
          <w:color w:val="auto"/>
          <w:sz w:val="24"/>
          <w:szCs w:val="24"/>
          <w:highlight w:val="none"/>
          <w:lang w:val="en-US" w:eastAsia="zh-CN"/>
        </w:rPr>
        <w:t>王明亮</w:t>
      </w:r>
    </w:p>
    <w:p w14:paraId="10F910AD">
      <w:pPr>
        <w:spacing w:line="360" w:lineRule="auto"/>
        <w:ind w:firstLine="480"/>
        <w:jc w:val="left"/>
        <w:rPr>
          <w:rFonts w:hint="eastAsia"/>
          <w:color w:val="auto"/>
          <w:sz w:val="24"/>
          <w:szCs w:val="24"/>
          <w:highlight w:val="none"/>
          <w:lang w:val="en-US" w:eastAsia="zh-CN"/>
        </w:rPr>
      </w:pPr>
      <w:r>
        <w:rPr>
          <w:rFonts w:hint="eastAsia"/>
          <w:color w:val="auto"/>
          <w:sz w:val="24"/>
          <w:szCs w:val="24"/>
          <w:highlight w:val="none"/>
        </w:rPr>
        <w:t>联系电话：</w:t>
      </w:r>
      <w:r>
        <w:rPr>
          <w:rFonts w:hint="eastAsia"/>
          <w:color w:val="auto"/>
          <w:sz w:val="24"/>
          <w:szCs w:val="24"/>
          <w:highlight w:val="none"/>
          <w:lang w:val="en-US" w:eastAsia="zh-CN"/>
        </w:rPr>
        <w:t>13611558132</w:t>
      </w:r>
    </w:p>
    <w:p w14:paraId="24D1EB30">
      <w:pPr>
        <w:spacing w:line="360" w:lineRule="auto"/>
        <w:ind w:firstLine="480"/>
        <w:jc w:val="left"/>
        <w:rPr>
          <w:color w:val="auto"/>
          <w:sz w:val="24"/>
          <w:szCs w:val="24"/>
          <w:highlight w:val="none"/>
        </w:rPr>
      </w:pPr>
      <w:r>
        <w:rPr>
          <w:rFonts w:hint="eastAsia"/>
          <w:color w:val="auto"/>
          <w:sz w:val="24"/>
          <w:szCs w:val="24"/>
          <w:highlight w:val="none"/>
        </w:rPr>
        <w:t>3</w:t>
      </w:r>
      <w:r>
        <w:rPr>
          <w:rFonts w:hint="default" w:ascii="Times New Roman" w:hAnsi="Times New Roman" w:cs="Times New Roman" w:eastAsiaTheme="majorEastAsia"/>
          <w:color w:val="auto"/>
          <w:sz w:val="24"/>
          <w:szCs w:val="24"/>
          <w:highlight w:val="none"/>
          <w:lang w:val="en-US" w:eastAsia="zh-CN"/>
        </w:rPr>
        <w:t>、</w:t>
      </w:r>
      <w:r>
        <w:rPr>
          <w:rFonts w:hint="eastAsia"/>
          <w:color w:val="auto"/>
          <w:sz w:val="24"/>
          <w:szCs w:val="24"/>
          <w:highlight w:val="none"/>
        </w:rPr>
        <w:t>项目联系方式</w:t>
      </w:r>
    </w:p>
    <w:p w14:paraId="3D5D6B96">
      <w:pPr>
        <w:spacing w:line="360" w:lineRule="auto"/>
        <w:ind w:firstLine="480"/>
        <w:jc w:val="left"/>
        <w:rPr>
          <w:color w:val="auto"/>
          <w:sz w:val="24"/>
          <w:szCs w:val="24"/>
          <w:highlight w:val="none"/>
        </w:rPr>
      </w:pPr>
      <w:r>
        <w:rPr>
          <w:rFonts w:hint="eastAsia"/>
          <w:color w:val="auto"/>
          <w:sz w:val="24"/>
          <w:szCs w:val="24"/>
          <w:highlight w:val="none"/>
        </w:rPr>
        <w:t>项目联系人：</w:t>
      </w:r>
      <w:r>
        <w:rPr>
          <w:rFonts w:hint="eastAsia"/>
          <w:color w:val="auto"/>
          <w:sz w:val="24"/>
          <w:szCs w:val="24"/>
          <w:highlight w:val="none"/>
          <w:lang w:val="en-US" w:eastAsia="zh-CN"/>
        </w:rPr>
        <w:t>杨瑞</w:t>
      </w:r>
    </w:p>
    <w:p w14:paraId="6BD7F4F4">
      <w:pPr>
        <w:spacing w:line="360" w:lineRule="auto"/>
        <w:ind w:firstLine="480"/>
        <w:jc w:val="left"/>
        <w:rPr>
          <w:rFonts w:hint="default"/>
          <w:color w:val="auto"/>
          <w:sz w:val="24"/>
          <w:szCs w:val="24"/>
          <w:highlight w:val="none"/>
          <w:lang w:val="en-US" w:eastAsia="zh-CN"/>
        </w:rPr>
        <w:sectPr>
          <w:pgSz w:w="11906" w:h="16838"/>
          <w:pgMar w:top="1440" w:right="1800" w:bottom="1440" w:left="1800" w:header="851" w:footer="992" w:gutter="0"/>
          <w:cols w:space="425" w:num="1"/>
          <w:docGrid w:linePitch="360" w:charSpace="0"/>
        </w:sectPr>
      </w:pPr>
      <w:r>
        <w:rPr>
          <w:rFonts w:hint="eastAsia"/>
          <w:color w:val="auto"/>
          <w:sz w:val="24"/>
          <w:szCs w:val="24"/>
          <w:highlight w:val="none"/>
        </w:rPr>
        <w:t>电      话：</w:t>
      </w:r>
      <w:r>
        <w:rPr>
          <w:rFonts w:hint="eastAsia"/>
          <w:color w:val="auto"/>
          <w:sz w:val="24"/>
          <w:szCs w:val="24"/>
          <w:highlight w:val="none"/>
          <w:lang w:val="en-US" w:eastAsia="zh-CN"/>
        </w:rPr>
        <w:t>18961369883</w:t>
      </w:r>
    </w:p>
    <w:p w14:paraId="662F833C">
      <w:pPr>
        <w:spacing w:line="500" w:lineRule="exact"/>
        <w:jc w:val="left"/>
        <w:rPr>
          <w:rFonts w:hint="eastAsia"/>
          <w:color w:val="auto"/>
          <w:sz w:val="24"/>
          <w:szCs w:val="24"/>
          <w:highlight w:val="none"/>
        </w:rPr>
      </w:pPr>
    </w:p>
    <w:p w14:paraId="6A35BF67">
      <w:pPr>
        <w:pStyle w:val="2"/>
        <w:keepLines/>
        <w:numPr>
          <w:ilvl w:val="0"/>
          <w:numId w:val="0"/>
        </w:numPr>
        <w:spacing w:before="156" w:after="156" w:line="360" w:lineRule="auto"/>
        <w:jc w:val="center"/>
        <w:rPr>
          <w:rFonts w:hint="default" w:ascii="Times New Roman" w:hAnsi="Times New Roman" w:eastAsia="黑体" w:cs="Times New Roman"/>
          <w:b w:val="0"/>
          <w:bCs w:val="0"/>
          <w:color w:val="auto"/>
          <w:sz w:val="44"/>
          <w:szCs w:val="44"/>
          <w:highlight w:val="none"/>
        </w:rPr>
      </w:pPr>
      <w:r>
        <w:rPr>
          <w:rFonts w:hint="default" w:ascii="Times New Roman" w:hAnsi="Times New Roman" w:eastAsia="黑体" w:cs="Times New Roman"/>
          <w:b w:val="0"/>
          <w:bCs w:val="0"/>
          <w:color w:val="auto"/>
          <w:sz w:val="44"/>
          <w:szCs w:val="44"/>
          <w:highlight w:val="none"/>
        </w:rPr>
        <w:t xml:space="preserve">第二章  </w:t>
      </w:r>
      <w:r>
        <w:rPr>
          <w:rFonts w:hint="default" w:ascii="Times New Roman" w:hAnsi="Times New Roman" w:eastAsia="黑体" w:cs="Times New Roman"/>
          <w:b w:val="0"/>
          <w:bCs w:val="0"/>
          <w:color w:val="auto"/>
          <w:sz w:val="44"/>
          <w:szCs w:val="44"/>
          <w:highlight w:val="none"/>
          <w:lang w:eastAsia="zh-CN"/>
        </w:rPr>
        <w:t>投标人</w:t>
      </w:r>
      <w:r>
        <w:rPr>
          <w:rFonts w:hint="default" w:ascii="Times New Roman" w:hAnsi="Times New Roman" w:eastAsia="黑体" w:cs="Times New Roman"/>
          <w:b w:val="0"/>
          <w:bCs w:val="0"/>
          <w:color w:val="auto"/>
          <w:sz w:val="44"/>
          <w:szCs w:val="44"/>
          <w:highlight w:val="none"/>
        </w:rPr>
        <w:t>须知</w:t>
      </w:r>
    </w:p>
    <w:p w14:paraId="6F1D7B33">
      <w:pPr>
        <w:pStyle w:val="3"/>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一、总则</w:t>
      </w:r>
    </w:p>
    <w:p w14:paraId="39CDADDB">
      <w:pPr>
        <w:pStyle w:val="4"/>
        <w:spacing w:before="0" w:after="0" w:line="360" w:lineRule="auto"/>
        <w:ind w:firstLine="562"/>
        <w:jc w:val="left"/>
        <w:rPr>
          <w:color w:val="auto"/>
          <w:sz w:val="28"/>
          <w:szCs w:val="28"/>
          <w:highlight w:val="none"/>
        </w:rPr>
      </w:pPr>
      <w:r>
        <w:rPr>
          <w:rFonts w:hint="eastAsia"/>
          <w:color w:val="auto"/>
          <w:sz w:val="28"/>
          <w:szCs w:val="28"/>
          <w:highlight w:val="none"/>
        </w:rPr>
        <w:t>1、采购方式</w:t>
      </w:r>
    </w:p>
    <w:p w14:paraId="62AC0BC1">
      <w:pPr>
        <w:spacing w:line="360" w:lineRule="auto"/>
        <w:ind w:firstLine="480"/>
        <w:jc w:val="left"/>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6F8EA739">
      <w:pPr>
        <w:pStyle w:val="4"/>
        <w:spacing w:before="0" w:after="0" w:line="360" w:lineRule="auto"/>
        <w:ind w:firstLine="562"/>
        <w:jc w:val="left"/>
        <w:rPr>
          <w:rFonts w:hint="eastAsia" w:eastAsia="宋体"/>
          <w:color w:val="auto"/>
          <w:sz w:val="28"/>
          <w:szCs w:val="28"/>
          <w:highlight w:val="none"/>
          <w:lang w:eastAsia="zh-CN"/>
        </w:rPr>
      </w:pPr>
      <w:r>
        <w:rPr>
          <w:rFonts w:hint="eastAsia"/>
          <w:color w:val="auto"/>
          <w:sz w:val="28"/>
          <w:szCs w:val="28"/>
          <w:highlight w:val="none"/>
        </w:rPr>
        <w:t>2、合格的</w:t>
      </w:r>
      <w:r>
        <w:rPr>
          <w:rFonts w:hint="eastAsia"/>
          <w:color w:val="auto"/>
          <w:sz w:val="28"/>
          <w:szCs w:val="28"/>
          <w:highlight w:val="none"/>
          <w:lang w:eastAsia="zh-CN"/>
        </w:rPr>
        <w:t>投标人</w:t>
      </w:r>
    </w:p>
    <w:p w14:paraId="34023FAD">
      <w:pPr>
        <w:spacing w:line="360" w:lineRule="auto"/>
        <w:ind w:firstLine="480"/>
        <w:jc w:val="left"/>
        <w:rPr>
          <w:color w:val="auto"/>
          <w:sz w:val="24"/>
          <w:szCs w:val="24"/>
          <w:highlight w:val="none"/>
        </w:rPr>
      </w:pPr>
      <w:r>
        <w:rPr>
          <w:rFonts w:hint="eastAsia"/>
          <w:color w:val="auto"/>
          <w:sz w:val="24"/>
          <w:szCs w:val="24"/>
          <w:highlight w:val="none"/>
        </w:rPr>
        <w:t>2.1 满足招标公告中申请人的资格要求的规定。</w:t>
      </w:r>
    </w:p>
    <w:p w14:paraId="410A81EA">
      <w:pPr>
        <w:spacing w:line="360" w:lineRule="auto"/>
        <w:ind w:firstLine="480"/>
        <w:jc w:val="left"/>
        <w:rPr>
          <w:color w:val="auto"/>
          <w:sz w:val="24"/>
          <w:szCs w:val="24"/>
          <w:highlight w:val="none"/>
        </w:rPr>
      </w:pPr>
      <w:r>
        <w:rPr>
          <w:rFonts w:hint="eastAsia"/>
          <w:color w:val="auto"/>
          <w:sz w:val="24"/>
          <w:szCs w:val="24"/>
          <w:highlight w:val="none"/>
        </w:rPr>
        <w:t>2.2 保险等特殊行业法人的分支机构（不具有独立的法人资格）参与本项目政府采购活动的，应当提供总公司出具的愿为其参与政府采购活动以及履约行为承担民事责任的承诺书（或授权书）。</w:t>
      </w:r>
    </w:p>
    <w:p w14:paraId="67EA1367">
      <w:pPr>
        <w:spacing w:line="360" w:lineRule="auto"/>
        <w:ind w:firstLine="480"/>
        <w:jc w:val="left"/>
        <w:rPr>
          <w:color w:val="auto"/>
          <w:sz w:val="24"/>
          <w:szCs w:val="24"/>
          <w:highlight w:val="none"/>
        </w:rPr>
      </w:pPr>
      <w:r>
        <w:rPr>
          <w:rFonts w:hint="eastAsia"/>
          <w:color w:val="auto"/>
          <w:sz w:val="24"/>
          <w:szCs w:val="24"/>
          <w:highlight w:val="none"/>
        </w:rPr>
        <w:t>2.3 满足本招标文件全部实质性要求和条件的规定。</w:t>
      </w:r>
    </w:p>
    <w:p w14:paraId="3835BA31">
      <w:pPr>
        <w:spacing w:line="360" w:lineRule="auto"/>
        <w:ind w:firstLine="480"/>
        <w:jc w:val="left"/>
        <w:rPr>
          <w:rFonts w:hint="eastAsia"/>
          <w:color w:val="auto"/>
          <w:sz w:val="24"/>
          <w:szCs w:val="24"/>
          <w:highlight w:val="none"/>
        </w:rPr>
      </w:pPr>
      <w:r>
        <w:rPr>
          <w:rFonts w:hint="eastAsia"/>
          <w:color w:val="auto"/>
          <w:sz w:val="24"/>
          <w:szCs w:val="24"/>
          <w:highlight w:val="none"/>
        </w:rPr>
        <w:t>2.4 符合上述条件的</w:t>
      </w:r>
      <w:r>
        <w:rPr>
          <w:rFonts w:hint="eastAsia"/>
          <w:color w:val="auto"/>
          <w:sz w:val="24"/>
          <w:szCs w:val="24"/>
          <w:highlight w:val="none"/>
          <w:lang w:eastAsia="zh-CN"/>
        </w:rPr>
        <w:t>投标人</w:t>
      </w:r>
      <w:r>
        <w:rPr>
          <w:rFonts w:hint="eastAsia"/>
          <w:color w:val="auto"/>
          <w:sz w:val="24"/>
          <w:szCs w:val="24"/>
          <w:highlight w:val="none"/>
        </w:rPr>
        <w:t>应承担投标及履约过程应承担的全部责任与义务。</w:t>
      </w:r>
    </w:p>
    <w:p w14:paraId="0BF2A687">
      <w:pPr>
        <w:spacing w:line="360" w:lineRule="auto"/>
        <w:ind w:firstLine="480"/>
        <w:jc w:val="left"/>
        <w:rPr>
          <w:rFonts w:hint="eastAsia"/>
          <w:color w:val="auto"/>
          <w:sz w:val="24"/>
          <w:szCs w:val="24"/>
          <w:highlight w:val="none"/>
        </w:rPr>
      </w:pPr>
      <w:r>
        <w:rPr>
          <w:rFonts w:hint="eastAsia"/>
          <w:color w:val="auto"/>
          <w:sz w:val="24"/>
          <w:szCs w:val="24"/>
          <w:highlight w:val="none"/>
        </w:rPr>
        <w:t>2.5 单位负责人为同一人或者存在直接控股、管理关系的不同</w:t>
      </w:r>
      <w:r>
        <w:rPr>
          <w:rFonts w:hint="eastAsia"/>
          <w:color w:val="auto"/>
          <w:sz w:val="24"/>
          <w:szCs w:val="24"/>
          <w:highlight w:val="none"/>
          <w:lang w:eastAsia="zh-CN"/>
        </w:rPr>
        <w:t>投标人</w:t>
      </w:r>
      <w:r>
        <w:rPr>
          <w:rFonts w:hint="eastAsia"/>
          <w:color w:val="auto"/>
          <w:sz w:val="24"/>
          <w:szCs w:val="24"/>
          <w:highlight w:val="none"/>
        </w:rPr>
        <w:t>，不得参加同一合同项下的政府采购活动。</w:t>
      </w:r>
    </w:p>
    <w:p w14:paraId="21B83D87">
      <w:pPr>
        <w:spacing w:line="360" w:lineRule="auto"/>
        <w:ind w:firstLine="480"/>
        <w:jc w:val="lef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2.6 </w:t>
      </w:r>
      <w:r>
        <w:rPr>
          <w:rFonts w:hint="default" w:ascii="Times New Roman" w:hAnsi="Times New Roman"/>
          <w:color w:val="auto"/>
          <w:sz w:val="24"/>
          <w:szCs w:val="24"/>
          <w:highlight w:val="none"/>
        </w:rPr>
        <w:t>除单一来源采购项目外，为采购项目提供整体设计、规范编制或者项目管理、监理、检测等服务的</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，不得再参加该采购项目的其他采购活动。</w:t>
      </w:r>
    </w:p>
    <w:p w14:paraId="6921E1EF">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3</w:t>
      </w:r>
      <w:r>
        <w:rPr>
          <w:rFonts w:hint="eastAsia"/>
          <w:color w:val="auto"/>
          <w:sz w:val="28"/>
          <w:szCs w:val="28"/>
          <w:highlight w:val="none"/>
        </w:rPr>
        <w:t>、适用法律</w:t>
      </w:r>
    </w:p>
    <w:p w14:paraId="6BC5BAC2">
      <w:pPr>
        <w:spacing w:line="360" w:lineRule="auto"/>
        <w:ind w:firstLine="480"/>
        <w:jc w:val="left"/>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.1 本次招标及由此产生的合同受中华人民共和国有关的法律法规制约和保护。</w:t>
      </w:r>
    </w:p>
    <w:p w14:paraId="511FB96A">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4</w:t>
      </w:r>
      <w:r>
        <w:rPr>
          <w:rFonts w:hint="eastAsia"/>
          <w:color w:val="auto"/>
          <w:sz w:val="28"/>
          <w:szCs w:val="28"/>
          <w:highlight w:val="none"/>
        </w:rPr>
        <w:t>、投标费用</w:t>
      </w:r>
    </w:p>
    <w:p w14:paraId="097D0E8F">
      <w:pPr>
        <w:spacing w:line="360" w:lineRule="auto"/>
        <w:ind w:firstLine="480"/>
        <w:jc w:val="left"/>
        <w:rPr>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 xml:space="preserve">.1 </w:t>
      </w:r>
      <w:r>
        <w:rPr>
          <w:rFonts w:hint="eastAsia"/>
          <w:color w:val="auto"/>
          <w:sz w:val="24"/>
          <w:szCs w:val="24"/>
          <w:highlight w:val="none"/>
          <w:lang w:eastAsia="zh-CN"/>
        </w:rPr>
        <w:t>投标人</w:t>
      </w:r>
      <w:r>
        <w:rPr>
          <w:rFonts w:hint="eastAsia"/>
          <w:color w:val="auto"/>
          <w:sz w:val="24"/>
          <w:szCs w:val="24"/>
          <w:highlight w:val="none"/>
        </w:rPr>
        <w:t>应自行承担所有与参与投标有关的费用，无论投标过程中的做法和结果如何，采购人和连云港市公共资源交易中心（以下简称交易中心）在任何情况下均无义务和责任承担这些费用。</w:t>
      </w:r>
    </w:p>
    <w:p w14:paraId="67F90D28">
      <w:pPr>
        <w:spacing w:line="360" w:lineRule="auto"/>
        <w:ind w:firstLine="480"/>
        <w:jc w:val="left"/>
        <w:rPr>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.2 本次招标采购人和交易中心不收取标书工本费与中标服务费。</w:t>
      </w:r>
    </w:p>
    <w:p w14:paraId="0DC74DAA">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5</w:t>
      </w:r>
      <w:r>
        <w:rPr>
          <w:rFonts w:hint="eastAsia"/>
          <w:color w:val="auto"/>
          <w:sz w:val="28"/>
          <w:szCs w:val="28"/>
          <w:highlight w:val="none"/>
        </w:rPr>
        <w:t>、招标文件的约束力</w:t>
      </w:r>
    </w:p>
    <w:p w14:paraId="608FE025">
      <w:pPr>
        <w:spacing w:line="360" w:lineRule="auto"/>
        <w:ind w:firstLine="480"/>
        <w:jc w:val="left"/>
        <w:rPr>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 xml:space="preserve">.1 </w:t>
      </w:r>
      <w:r>
        <w:rPr>
          <w:rFonts w:hint="eastAsia"/>
          <w:color w:val="auto"/>
          <w:sz w:val="24"/>
          <w:szCs w:val="24"/>
          <w:highlight w:val="none"/>
          <w:lang w:eastAsia="zh-CN"/>
        </w:rPr>
        <w:t>投标人</w:t>
      </w:r>
      <w:r>
        <w:rPr>
          <w:rFonts w:hint="eastAsia"/>
          <w:color w:val="auto"/>
          <w:sz w:val="24"/>
          <w:szCs w:val="24"/>
          <w:highlight w:val="none"/>
        </w:rPr>
        <w:t>一旦参与本项目采购活动，即被认为接受了本招标文件的规定和约束。</w:t>
      </w:r>
    </w:p>
    <w:p w14:paraId="339C5824">
      <w:pPr>
        <w:pStyle w:val="3"/>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二、招标文件</w:t>
      </w:r>
    </w:p>
    <w:p w14:paraId="7AA3B697">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6</w:t>
      </w:r>
      <w:r>
        <w:rPr>
          <w:rFonts w:hint="eastAsia"/>
          <w:color w:val="auto"/>
          <w:sz w:val="28"/>
          <w:szCs w:val="28"/>
          <w:highlight w:val="none"/>
        </w:rPr>
        <w:t>、招标文件的构成</w:t>
      </w:r>
    </w:p>
    <w:p w14:paraId="19F812BE">
      <w:pPr>
        <w:spacing w:line="360" w:lineRule="auto"/>
        <w:ind w:firstLine="480"/>
        <w:jc w:val="left"/>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.1 招标文件由以下部分构成：</w:t>
      </w:r>
    </w:p>
    <w:p w14:paraId="5AAAE048">
      <w:pPr>
        <w:spacing w:line="360" w:lineRule="auto"/>
        <w:ind w:firstLine="480"/>
        <w:jc w:val="left"/>
        <w:rPr>
          <w:color w:val="auto"/>
          <w:sz w:val="24"/>
          <w:szCs w:val="24"/>
          <w:highlight w:val="none"/>
        </w:rPr>
      </w:pPr>
      <w:r>
        <w:rPr>
          <w:rFonts w:hint="eastAsia"/>
          <w:color w:val="auto"/>
          <w:sz w:val="24"/>
          <w:szCs w:val="24"/>
          <w:highlight w:val="none"/>
        </w:rPr>
        <w:t>（1）投标邀请</w:t>
      </w:r>
    </w:p>
    <w:p w14:paraId="3AF81EC7">
      <w:pPr>
        <w:spacing w:line="360" w:lineRule="auto"/>
        <w:ind w:firstLine="480"/>
        <w:jc w:val="left"/>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投标人</w:t>
      </w:r>
      <w:r>
        <w:rPr>
          <w:rFonts w:hint="eastAsia"/>
          <w:color w:val="auto"/>
          <w:sz w:val="24"/>
          <w:szCs w:val="24"/>
          <w:highlight w:val="none"/>
        </w:rPr>
        <w:t>须知</w:t>
      </w:r>
    </w:p>
    <w:p w14:paraId="4BECA519">
      <w:pPr>
        <w:spacing w:line="360" w:lineRule="auto"/>
        <w:ind w:firstLine="480"/>
        <w:jc w:val="left"/>
        <w:rPr>
          <w:color w:val="auto"/>
          <w:sz w:val="24"/>
          <w:szCs w:val="24"/>
          <w:highlight w:val="none"/>
        </w:rPr>
      </w:pPr>
      <w:r>
        <w:rPr>
          <w:rFonts w:hint="eastAsia"/>
          <w:color w:val="auto"/>
          <w:sz w:val="24"/>
          <w:szCs w:val="24"/>
          <w:highlight w:val="none"/>
        </w:rPr>
        <w:t>（3）合同文本</w:t>
      </w:r>
    </w:p>
    <w:p w14:paraId="2E0479A2">
      <w:pPr>
        <w:spacing w:line="360" w:lineRule="auto"/>
        <w:ind w:firstLine="480"/>
        <w:jc w:val="left"/>
        <w:rPr>
          <w:color w:val="auto"/>
          <w:sz w:val="24"/>
          <w:szCs w:val="24"/>
          <w:highlight w:val="none"/>
        </w:rPr>
      </w:pPr>
      <w:r>
        <w:rPr>
          <w:rFonts w:hint="eastAsia"/>
          <w:color w:val="auto"/>
          <w:sz w:val="24"/>
          <w:szCs w:val="24"/>
          <w:highlight w:val="none"/>
        </w:rPr>
        <w:t>（4）采购需求</w:t>
      </w:r>
    </w:p>
    <w:p w14:paraId="7D7F2ADB">
      <w:pPr>
        <w:spacing w:line="360" w:lineRule="auto"/>
        <w:ind w:firstLine="480"/>
        <w:jc w:val="left"/>
        <w:rPr>
          <w:color w:val="auto"/>
          <w:sz w:val="24"/>
          <w:szCs w:val="24"/>
          <w:highlight w:val="none"/>
        </w:rPr>
      </w:pPr>
      <w:r>
        <w:rPr>
          <w:rFonts w:hint="eastAsia"/>
          <w:color w:val="auto"/>
          <w:sz w:val="24"/>
          <w:szCs w:val="24"/>
          <w:highlight w:val="none"/>
        </w:rPr>
        <w:t>（5）评标方法与评标标准</w:t>
      </w:r>
    </w:p>
    <w:p w14:paraId="6BE1169D">
      <w:pPr>
        <w:spacing w:line="360" w:lineRule="auto"/>
        <w:ind w:firstLine="480"/>
        <w:jc w:val="left"/>
        <w:rPr>
          <w:color w:val="auto"/>
          <w:sz w:val="24"/>
          <w:szCs w:val="24"/>
          <w:highlight w:val="none"/>
        </w:rPr>
      </w:pPr>
      <w:r>
        <w:rPr>
          <w:rFonts w:hint="eastAsia"/>
          <w:color w:val="auto"/>
          <w:sz w:val="24"/>
          <w:szCs w:val="24"/>
          <w:highlight w:val="none"/>
        </w:rPr>
        <w:t>（6）投标文件格式</w:t>
      </w:r>
    </w:p>
    <w:p w14:paraId="4BC0FE86">
      <w:pPr>
        <w:spacing w:line="360" w:lineRule="auto"/>
        <w:ind w:firstLine="480"/>
        <w:jc w:val="left"/>
        <w:rPr>
          <w:color w:val="auto"/>
          <w:sz w:val="24"/>
          <w:szCs w:val="24"/>
          <w:highlight w:val="none"/>
        </w:rPr>
      </w:pPr>
      <w:r>
        <w:rPr>
          <w:rFonts w:hint="eastAsia"/>
          <w:color w:val="auto"/>
          <w:sz w:val="24"/>
          <w:szCs w:val="24"/>
          <w:highlight w:val="none"/>
        </w:rPr>
        <w:t>请仔细检查招标文件是否齐全，如有缺漏请立即与交易中心联系解决。</w:t>
      </w:r>
    </w:p>
    <w:p w14:paraId="1E97C71A">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7</w:t>
      </w:r>
      <w:r>
        <w:rPr>
          <w:rFonts w:hint="eastAsia"/>
          <w:color w:val="auto"/>
          <w:sz w:val="28"/>
          <w:szCs w:val="28"/>
          <w:highlight w:val="none"/>
        </w:rPr>
        <w:t>、招标文件的澄清</w:t>
      </w:r>
    </w:p>
    <w:p w14:paraId="0BA26FD7">
      <w:pPr>
        <w:spacing w:line="360" w:lineRule="auto"/>
        <w:ind w:firstLine="480"/>
        <w:jc w:val="left"/>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.1 任何要求对招标文件进行澄清的</w:t>
      </w:r>
      <w:r>
        <w:rPr>
          <w:rFonts w:hint="eastAsia"/>
          <w:color w:val="auto"/>
          <w:sz w:val="24"/>
          <w:szCs w:val="24"/>
          <w:highlight w:val="none"/>
          <w:lang w:eastAsia="zh-CN"/>
        </w:rPr>
        <w:t>投标人</w:t>
      </w:r>
      <w:r>
        <w:rPr>
          <w:rFonts w:hint="eastAsia"/>
          <w:color w:val="auto"/>
          <w:sz w:val="24"/>
          <w:szCs w:val="24"/>
          <w:highlight w:val="none"/>
        </w:rPr>
        <w:t>，应在投标截止时间十日前按招标公告中的通讯地址，以书面形式通知采购人或者交易中心。</w:t>
      </w:r>
    </w:p>
    <w:p w14:paraId="0B2B6BB6">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8</w:t>
      </w:r>
      <w:r>
        <w:rPr>
          <w:rFonts w:hint="eastAsia"/>
          <w:color w:val="auto"/>
          <w:sz w:val="28"/>
          <w:szCs w:val="28"/>
          <w:highlight w:val="none"/>
        </w:rPr>
        <w:t>、招标文件的修改</w:t>
      </w:r>
    </w:p>
    <w:p w14:paraId="34BC5705">
      <w:pPr>
        <w:spacing w:line="360" w:lineRule="auto"/>
        <w:ind w:firstLine="480"/>
        <w:jc w:val="left"/>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.1 在投标截止时间前，采购人和交易中心可以对招标文件进行修改。</w:t>
      </w:r>
    </w:p>
    <w:p w14:paraId="4F3985E7">
      <w:pPr>
        <w:spacing w:line="360" w:lineRule="auto"/>
        <w:ind w:firstLine="480"/>
        <w:jc w:val="left"/>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.2 采购人和交易中心有权按照法定的要求推迟投标截止时间和开标时间。</w:t>
      </w:r>
    </w:p>
    <w:p w14:paraId="287D066F">
      <w:pPr>
        <w:spacing w:line="360" w:lineRule="auto"/>
        <w:ind w:firstLine="480"/>
        <w:jc w:val="left"/>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.3 招标文件的修改将在江苏政府采购网公布，补充文件将作为招标文件的组成部分，并对</w:t>
      </w:r>
      <w:r>
        <w:rPr>
          <w:rFonts w:hint="eastAsia"/>
          <w:color w:val="auto"/>
          <w:sz w:val="24"/>
          <w:szCs w:val="24"/>
          <w:highlight w:val="none"/>
          <w:lang w:eastAsia="zh-CN"/>
        </w:rPr>
        <w:t>投标人</w:t>
      </w:r>
      <w:r>
        <w:rPr>
          <w:rFonts w:hint="eastAsia"/>
          <w:color w:val="auto"/>
          <w:sz w:val="24"/>
          <w:szCs w:val="24"/>
          <w:highlight w:val="none"/>
        </w:rPr>
        <w:t>具有约束力。</w:t>
      </w:r>
    </w:p>
    <w:p w14:paraId="09089D37">
      <w:pPr>
        <w:pStyle w:val="3"/>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三、投标文件的编制</w:t>
      </w:r>
    </w:p>
    <w:p w14:paraId="573DD7A7">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9</w:t>
      </w:r>
      <w:r>
        <w:rPr>
          <w:rFonts w:hint="eastAsia"/>
          <w:color w:val="auto"/>
          <w:sz w:val="28"/>
          <w:szCs w:val="28"/>
          <w:highlight w:val="none"/>
        </w:rPr>
        <w:t>、投标文件编写注意事项</w:t>
      </w:r>
    </w:p>
    <w:p w14:paraId="62F0DC46">
      <w:pPr>
        <w:spacing w:line="360" w:lineRule="auto"/>
        <w:ind w:firstLine="480"/>
        <w:jc w:val="left"/>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投标人</w:t>
      </w:r>
      <w:r>
        <w:rPr>
          <w:rFonts w:hint="eastAsia"/>
          <w:color w:val="auto"/>
          <w:sz w:val="24"/>
          <w:szCs w:val="24"/>
          <w:highlight w:val="none"/>
        </w:rPr>
        <w:t>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6803F940">
      <w:pPr>
        <w:spacing w:line="360" w:lineRule="auto"/>
        <w:ind w:firstLine="480"/>
        <w:jc w:val="left"/>
        <w:rPr>
          <w:color w:val="auto"/>
          <w:sz w:val="24"/>
          <w:szCs w:val="24"/>
          <w:highlight w:val="none"/>
        </w:rPr>
      </w:pPr>
      <w:r>
        <w:rPr>
          <w:rFonts w:hint="eastAsia"/>
          <w:color w:val="auto"/>
          <w:sz w:val="24"/>
          <w:szCs w:val="24"/>
          <w:highlight w:val="none"/>
        </w:rPr>
        <w:t>9.2 对招标文件提出的实质性要求和条件作出响应是指</w:t>
      </w:r>
      <w:r>
        <w:rPr>
          <w:rFonts w:hint="eastAsia"/>
          <w:color w:val="auto"/>
          <w:sz w:val="24"/>
          <w:szCs w:val="24"/>
          <w:highlight w:val="none"/>
          <w:lang w:eastAsia="zh-CN"/>
        </w:rPr>
        <w:t>投标人</w:t>
      </w:r>
      <w:r>
        <w:rPr>
          <w:rFonts w:hint="eastAsia"/>
          <w:color w:val="auto"/>
          <w:sz w:val="24"/>
          <w:szCs w:val="24"/>
          <w:highlight w:val="none"/>
        </w:rPr>
        <w:t>必须对招标文件中标明实质性要求和条件的技术参数及性能配置、数量、价格、售后服务、合同主要条款及其它要求等内容逐条作出满足原要求和条件的响应。</w:t>
      </w:r>
    </w:p>
    <w:p w14:paraId="3575C355">
      <w:pPr>
        <w:pStyle w:val="4"/>
        <w:spacing w:before="0" w:after="0" w:line="360" w:lineRule="auto"/>
        <w:ind w:firstLine="562"/>
        <w:jc w:val="left"/>
        <w:rPr>
          <w:color w:val="auto"/>
          <w:sz w:val="28"/>
          <w:szCs w:val="28"/>
          <w:highlight w:val="none"/>
        </w:rPr>
      </w:pPr>
      <w:r>
        <w:rPr>
          <w:rFonts w:hint="eastAsia"/>
          <w:color w:val="auto"/>
          <w:sz w:val="28"/>
          <w:szCs w:val="28"/>
          <w:highlight w:val="none"/>
        </w:rPr>
        <w:t>10、投标文件的语言及度量衡单位</w:t>
      </w:r>
    </w:p>
    <w:p w14:paraId="4F5CA4F7">
      <w:pPr>
        <w:spacing w:line="360" w:lineRule="auto"/>
        <w:ind w:firstLine="480"/>
        <w:jc w:val="left"/>
        <w:rPr>
          <w:color w:val="auto"/>
          <w:sz w:val="24"/>
          <w:szCs w:val="24"/>
          <w:highlight w:val="none"/>
        </w:rPr>
      </w:pPr>
      <w:r>
        <w:rPr>
          <w:rFonts w:hint="eastAsia"/>
          <w:color w:val="auto"/>
          <w:sz w:val="24"/>
          <w:szCs w:val="24"/>
          <w:highlight w:val="none"/>
        </w:rPr>
        <w:t>10.1 除专用术语外，</w:t>
      </w:r>
      <w:r>
        <w:rPr>
          <w:rFonts w:hint="eastAsia"/>
          <w:color w:val="auto"/>
          <w:sz w:val="24"/>
          <w:szCs w:val="24"/>
          <w:highlight w:val="none"/>
          <w:lang w:eastAsia="zh-CN"/>
        </w:rPr>
        <w:t>投标人</w:t>
      </w:r>
      <w:r>
        <w:rPr>
          <w:rFonts w:hint="eastAsia"/>
          <w:color w:val="auto"/>
          <w:sz w:val="24"/>
          <w:szCs w:val="24"/>
          <w:highlight w:val="none"/>
        </w:rPr>
        <w:t>提交的投标文件以及</w:t>
      </w:r>
      <w:r>
        <w:rPr>
          <w:rFonts w:hint="eastAsia"/>
          <w:color w:val="auto"/>
          <w:sz w:val="24"/>
          <w:szCs w:val="24"/>
          <w:highlight w:val="none"/>
          <w:lang w:eastAsia="zh-CN"/>
        </w:rPr>
        <w:t>投标人</w:t>
      </w:r>
      <w:r>
        <w:rPr>
          <w:rFonts w:hint="eastAsia"/>
          <w:color w:val="auto"/>
          <w:sz w:val="24"/>
          <w:szCs w:val="24"/>
          <w:highlight w:val="none"/>
        </w:rPr>
        <w:t>与采购人和交易中心就有关投标的所有来往通知、函件和文件均应使用简体中文。必要时专用术语应附有中文解释。</w:t>
      </w:r>
      <w:r>
        <w:rPr>
          <w:rFonts w:hint="eastAsia"/>
          <w:color w:val="auto"/>
          <w:sz w:val="24"/>
          <w:szCs w:val="24"/>
          <w:highlight w:val="none"/>
          <w:lang w:eastAsia="zh-CN"/>
        </w:rPr>
        <w:t>投标人</w:t>
      </w:r>
      <w:r>
        <w:rPr>
          <w:rFonts w:hint="eastAsia"/>
          <w:color w:val="auto"/>
          <w:sz w:val="24"/>
          <w:szCs w:val="24"/>
          <w:highlight w:val="none"/>
        </w:rPr>
        <w:t>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投标人</w:t>
      </w:r>
      <w:r>
        <w:rPr>
          <w:rFonts w:hint="eastAsia"/>
          <w:color w:val="auto"/>
          <w:sz w:val="24"/>
          <w:szCs w:val="24"/>
          <w:highlight w:val="none"/>
        </w:rPr>
        <w:t>自行承担。</w:t>
      </w:r>
    </w:p>
    <w:p w14:paraId="4F8F333D">
      <w:pPr>
        <w:spacing w:line="360" w:lineRule="auto"/>
        <w:ind w:firstLine="480"/>
        <w:jc w:val="left"/>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5312E41F">
      <w:pPr>
        <w:pStyle w:val="4"/>
        <w:spacing w:before="0" w:after="0" w:line="360" w:lineRule="auto"/>
        <w:ind w:firstLine="562"/>
        <w:jc w:val="left"/>
        <w:rPr>
          <w:color w:val="auto"/>
          <w:sz w:val="28"/>
          <w:szCs w:val="28"/>
          <w:highlight w:val="none"/>
        </w:rPr>
      </w:pPr>
      <w:r>
        <w:rPr>
          <w:rFonts w:hint="eastAsia"/>
          <w:color w:val="auto"/>
          <w:sz w:val="28"/>
          <w:szCs w:val="28"/>
          <w:highlight w:val="none"/>
        </w:rPr>
        <w:t>11、投标文件的构成</w:t>
      </w:r>
    </w:p>
    <w:p w14:paraId="08D2E5B1">
      <w:pPr>
        <w:spacing w:line="360" w:lineRule="auto"/>
        <w:ind w:firstLine="480"/>
        <w:jc w:val="left"/>
        <w:rPr>
          <w:color w:val="auto"/>
          <w:sz w:val="24"/>
          <w:szCs w:val="24"/>
          <w:highlight w:val="none"/>
        </w:rPr>
      </w:pPr>
      <w:r>
        <w:rPr>
          <w:rFonts w:hint="eastAsia"/>
          <w:color w:val="auto"/>
          <w:sz w:val="24"/>
          <w:szCs w:val="24"/>
          <w:highlight w:val="none"/>
        </w:rPr>
        <w:t xml:space="preserve">11.1 </w:t>
      </w:r>
      <w:r>
        <w:rPr>
          <w:rFonts w:hint="eastAsia"/>
          <w:color w:val="auto"/>
          <w:sz w:val="24"/>
          <w:szCs w:val="24"/>
          <w:highlight w:val="none"/>
          <w:lang w:eastAsia="zh-CN"/>
        </w:rPr>
        <w:t>投标人</w:t>
      </w:r>
      <w:r>
        <w:rPr>
          <w:rFonts w:hint="eastAsia"/>
          <w:color w:val="auto"/>
          <w:sz w:val="24"/>
          <w:szCs w:val="24"/>
          <w:highlight w:val="none"/>
        </w:rPr>
        <w:t>编写的投标文件应包括资格证明文件、符合性证明文件、技术要求响应及偏离表、商务要求响应及偏离表、其他证明文件、投标函、开标一览表等部分。</w:t>
      </w:r>
    </w:p>
    <w:p w14:paraId="01C35590">
      <w:pPr>
        <w:spacing w:line="360" w:lineRule="auto"/>
        <w:ind w:firstLine="480"/>
        <w:jc w:val="left"/>
        <w:rPr>
          <w:color w:val="auto"/>
          <w:sz w:val="24"/>
          <w:szCs w:val="24"/>
          <w:highlight w:val="none"/>
        </w:rPr>
      </w:pPr>
      <w:r>
        <w:rPr>
          <w:rFonts w:hint="eastAsia"/>
          <w:color w:val="auto"/>
          <w:sz w:val="24"/>
          <w:szCs w:val="24"/>
          <w:highlight w:val="none"/>
        </w:rPr>
        <w:t>11.2 如投标文件制作工具中格式和内容与江苏政府采购网发布的招标文件不一致，请以江苏政府采购网发布的招标文件为准。</w:t>
      </w:r>
    </w:p>
    <w:p w14:paraId="3C7BDFBD">
      <w:pPr>
        <w:spacing w:line="360" w:lineRule="auto"/>
        <w:ind w:firstLine="480"/>
        <w:jc w:val="left"/>
        <w:rPr>
          <w:color w:val="auto"/>
          <w:sz w:val="24"/>
          <w:szCs w:val="24"/>
          <w:highlight w:val="none"/>
        </w:rPr>
      </w:pPr>
      <w:r>
        <w:rPr>
          <w:rFonts w:hint="eastAsia"/>
          <w:color w:val="auto"/>
          <w:sz w:val="24"/>
          <w:szCs w:val="24"/>
          <w:highlight w:val="none"/>
        </w:rPr>
        <w:t>11.3 特别提醒</w:t>
      </w:r>
      <w:r>
        <w:rPr>
          <w:rFonts w:hint="eastAsia"/>
          <w:color w:val="auto"/>
          <w:sz w:val="24"/>
          <w:szCs w:val="24"/>
          <w:highlight w:val="none"/>
          <w:lang w:eastAsia="zh-CN"/>
        </w:rPr>
        <w:t>投标人</w:t>
      </w:r>
      <w:r>
        <w:rPr>
          <w:rFonts w:hint="eastAsia"/>
          <w:color w:val="auto"/>
          <w:sz w:val="24"/>
          <w:szCs w:val="24"/>
          <w:highlight w:val="none"/>
        </w:rPr>
        <w:t>，混乱的编排导致投标文件被误读或评标委员会（以下简称评委会）查找不到有效文件是</w:t>
      </w:r>
      <w:r>
        <w:rPr>
          <w:rFonts w:hint="eastAsia"/>
          <w:color w:val="auto"/>
          <w:sz w:val="24"/>
          <w:szCs w:val="24"/>
          <w:highlight w:val="none"/>
          <w:lang w:eastAsia="zh-CN"/>
        </w:rPr>
        <w:t>投标人</w:t>
      </w:r>
      <w:r>
        <w:rPr>
          <w:rFonts w:hint="eastAsia"/>
          <w:color w:val="auto"/>
          <w:sz w:val="24"/>
          <w:szCs w:val="24"/>
          <w:highlight w:val="none"/>
        </w:rPr>
        <w:t>的风险。</w:t>
      </w:r>
    </w:p>
    <w:p w14:paraId="38C21F13">
      <w:pPr>
        <w:pStyle w:val="4"/>
        <w:spacing w:before="0" w:after="0" w:line="360" w:lineRule="auto"/>
        <w:ind w:firstLine="562"/>
        <w:jc w:val="left"/>
        <w:rPr>
          <w:color w:val="auto"/>
          <w:sz w:val="28"/>
          <w:szCs w:val="28"/>
          <w:highlight w:val="none"/>
        </w:rPr>
      </w:pPr>
      <w:r>
        <w:rPr>
          <w:rFonts w:hint="eastAsia"/>
          <w:color w:val="auto"/>
          <w:sz w:val="28"/>
          <w:szCs w:val="28"/>
          <w:highlight w:val="none"/>
        </w:rPr>
        <w:t>12、证明</w:t>
      </w:r>
      <w:r>
        <w:rPr>
          <w:rFonts w:hint="eastAsia"/>
          <w:color w:val="auto"/>
          <w:sz w:val="28"/>
          <w:szCs w:val="28"/>
          <w:highlight w:val="none"/>
          <w:lang w:eastAsia="zh-CN"/>
        </w:rPr>
        <w:t>投标人</w:t>
      </w:r>
      <w:r>
        <w:rPr>
          <w:rFonts w:hint="eastAsia"/>
          <w:color w:val="auto"/>
          <w:sz w:val="28"/>
          <w:szCs w:val="28"/>
          <w:highlight w:val="none"/>
        </w:rPr>
        <w:t>及投标标的符合招标文件规定的文件</w:t>
      </w:r>
    </w:p>
    <w:p w14:paraId="4D00C9BE">
      <w:pPr>
        <w:spacing w:line="360" w:lineRule="auto"/>
        <w:ind w:firstLine="480"/>
        <w:jc w:val="left"/>
        <w:rPr>
          <w:color w:val="auto"/>
          <w:sz w:val="24"/>
          <w:szCs w:val="24"/>
          <w:highlight w:val="none"/>
        </w:rPr>
      </w:pPr>
      <w:r>
        <w:rPr>
          <w:rFonts w:hint="eastAsia"/>
          <w:color w:val="auto"/>
          <w:sz w:val="24"/>
          <w:szCs w:val="24"/>
          <w:highlight w:val="none"/>
        </w:rPr>
        <w:t xml:space="preserve">12.1 </w:t>
      </w:r>
      <w:r>
        <w:rPr>
          <w:rFonts w:hint="eastAsia"/>
          <w:color w:val="auto"/>
          <w:sz w:val="24"/>
          <w:szCs w:val="24"/>
          <w:highlight w:val="none"/>
          <w:lang w:eastAsia="zh-CN"/>
        </w:rPr>
        <w:t>投标人</w:t>
      </w:r>
      <w:r>
        <w:rPr>
          <w:rFonts w:hint="eastAsia"/>
          <w:color w:val="auto"/>
          <w:sz w:val="24"/>
          <w:szCs w:val="24"/>
          <w:highlight w:val="none"/>
        </w:rPr>
        <w:t>应按照招标文件要求提交证明文件，证明其及投标标的符合招标文件规定。</w:t>
      </w:r>
    </w:p>
    <w:p w14:paraId="5D426EBA">
      <w:pPr>
        <w:spacing w:line="360" w:lineRule="auto"/>
        <w:ind w:firstLine="480"/>
        <w:jc w:val="left"/>
        <w:rPr>
          <w:color w:val="auto"/>
          <w:sz w:val="24"/>
          <w:szCs w:val="24"/>
          <w:highlight w:val="none"/>
        </w:rPr>
      </w:pPr>
      <w:r>
        <w:rPr>
          <w:rFonts w:hint="eastAsia"/>
          <w:color w:val="auto"/>
          <w:sz w:val="24"/>
          <w:szCs w:val="24"/>
          <w:highlight w:val="none"/>
        </w:rPr>
        <w:t>12.2 招标文件对证明文件无明确形式要求的，证明文件可以以文字资料、图纸和数据等形式提交。</w:t>
      </w:r>
    </w:p>
    <w:p w14:paraId="686A780D">
      <w:pPr>
        <w:spacing w:line="360" w:lineRule="auto"/>
        <w:ind w:firstLine="560"/>
        <w:jc w:val="left"/>
        <w:rPr>
          <w:strike w:val="0"/>
          <w:color w:val="auto"/>
          <w:highlight w:val="none"/>
        </w:rPr>
      </w:pPr>
      <w:r>
        <w:rPr>
          <w:rFonts w:hint="eastAsia"/>
          <w:strike w:val="0"/>
          <w:color w:val="auto"/>
          <w:sz w:val="28"/>
          <w:szCs w:val="28"/>
          <w:highlight w:val="none"/>
        </w:rPr>
        <w:t>13、</w:t>
      </w:r>
      <w:r>
        <w:rPr>
          <w:rFonts w:hint="eastAsia"/>
          <w:color w:val="auto"/>
          <w:sz w:val="24"/>
          <w:szCs w:val="24"/>
          <w:highlight w:val="none"/>
          <w:lang w:eastAsia="zh-CN"/>
        </w:rPr>
        <w:t>投标人</w:t>
      </w:r>
      <w:r>
        <w:rPr>
          <w:rFonts w:hint="eastAsia"/>
          <w:color w:val="auto"/>
          <w:sz w:val="24"/>
          <w:szCs w:val="24"/>
          <w:highlight w:val="none"/>
        </w:rPr>
        <w:t>委托代理时应当提交授权委托书，请按招标文件第六章给定格式及要求填写并附法定代表人（单位负责人）与委托代理人身份证明。</w:t>
      </w:r>
    </w:p>
    <w:p w14:paraId="6754B0E8">
      <w:pPr>
        <w:pStyle w:val="4"/>
        <w:spacing w:before="0" w:after="0" w:line="360" w:lineRule="auto"/>
        <w:ind w:firstLine="562"/>
        <w:jc w:val="left"/>
        <w:rPr>
          <w:color w:val="auto"/>
          <w:sz w:val="28"/>
          <w:szCs w:val="28"/>
          <w:highlight w:val="none"/>
        </w:rPr>
      </w:pPr>
      <w:r>
        <w:rPr>
          <w:rFonts w:hint="eastAsia"/>
          <w:color w:val="auto"/>
          <w:sz w:val="28"/>
          <w:szCs w:val="28"/>
          <w:highlight w:val="none"/>
        </w:rPr>
        <w:t>14、技术要求响应及偏离表、商务要求响应及偏离表</w:t>
      </w:r>
    </w:p>
    <w:p w14:paraId="11C10536">
      <w:pPr>
        <w:spacing w:line="360" w:lineRule="auto"/>
        <w:ind w:firstLine="480"/>
        <w:jc w:val="left"/>
        <w:rPr>
          <w:color w:val="auto"/>
          <w:sz w:val="24"/>
          <w:szCs w:val="24"/>
          <w:highlight w:val="none"/>
        </w:rPr>
      </w:pPr>
      <w:r>
        <w:rPr>
          <w:rFonts w:hint="eastAsia"/>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投标人</w:t>
      </w:r>
      <w:r>
        <w:rPr>
          <w:rFonts w:hint="eastAsia"/>
          <w:color w:val="auto"/>
          <w:sz w:val="24"/>
          <w:szCs w:val="24"/>
          <w:highlight w:val="none"/>
        </w:rPr>
        <w:t>应对招标文件中的技术要求与商务要求逐项作出响应或偏离。</w:t>
      </w:r>
    </w:p>
    <w:p w14:paraId="322F3945">
      <w:pPr>
        <w:spacing w:line="360" w:lineRule="auto"/>
        <w:ind w:firstLine="480"/>
        <w:jc w:val="left"/>
        <w:rPr>
          <w:color w:val="auto"/>
          <w:sz w:val="24"/>
          <w:szCs w:val="24"/>
          <w:highlight w:val="none"/>
        </w:rPr>
      </w:pPr>
      <w:r>
        <w:rPr>
          <w:rFonts w:hint="eastAsia"/>
          <w:color w:val="auto"/>
          <w:sz w:val="24"/>
          <w:szCs w:val="24"/>
          <w:highlight w:val="none"/>
        </w:rPr>
        <w:t xml:space="preserve">14.2 </w:t>
      </w:r>
      <w:r>
        <w:rPr>
          <w:rFonts w:hint="eastAsia"/>
          <w:color w:val="auto"/>
          <w:sz w:val="24"/>
          <w:szCs w:val="24"/>
          <w:highlight w:val="none"/>
          <w:lang w:eastAsia="zh-CN"/>
        </w:rPr>
        <w:t>投标人</w:t>
      </w:r>
      <w:r>
        <w:rPr>
          <w:rFonts w:hint="eastAsia"/>
          <w:color w:val="auto"/>
          <w:sz w:val="24"/>
          <w:szCs w:val="24"/>
          <w:highlight w:val="none"/>
        </w:rPr>
        <w:t>可在投标文件中提供认为需要的其他技术文件或说明。</w:t>
      </w:r>
    </w:p>
    <w:p w14:paraId="018C8675">
      <w:pPr>
        <w:pStyle w:val="4"/>
        <w:spacing w:before="0" w:after="0" w:line="360" w:lineRule="auto"/>
        <w:ind w:firstLine="562"/>
        <w:jc w:val="left"/>
        <w:rPr>
          <w:color w:val="auto"/>
          <w:sz w:val="28"/>
          <w:szCs w:val="28"/>
          <w:highlight w:val="none"/>
        </w:rPr>
      </w:pPr>
      <w:r>
        <w:rPr>
          <w:rFonts w:hint="eastAsia"/>
          <w:color w:val="auto"/>
          <w:sz w:val="28"/>
          <w:szCs w:val="28"/>
          <w:highlight w:val="none"/>
        </w:rPr>
        <w:t>15、服务承诺、培训计划、人员安排及其他</w:t>
      </w:r>
    </w:p>
    <w:p w14:paraId="1ACEC4D3">
      <w:pPr>
        <w:spacing w:line="360" w:lineRule="auto"/>
        <w:ind w:firstLine="480"/>
        <w:jc w:val="left"/>
        <w:rPr>
          <w:color w:val="auto"/>
          <w:sz w:val="24"/>
          <w:szCs w:val="24"/>
          <w:highlight w:val="none"/>
        </w:rPr>
      </w:pPr>
      <w:r>
        <w:rPr>
          <w:rFonts w:hint="eastAsia"/>
          <w:color w:val="auto"/>
          <w:sz w:val="24"/>
          <w:szCs w:val="24"/>
          <w:highlight w:val="none"/>
        </w:rPr>
        <w:t xml:space="preserve">15.1 </w:t>
      </w:r>
      <w:r>
        <w:rPr>
          <w:rFonts w:hint="eastAsia"/>
          <w:color w:val="auto"/>
          <w:sz w:val="24"/>
          <w:szCs w:val="24"/>
          <w:highlight w:val="none"/>
          <w:lang w:eastAsia="zh-CN"/>
        </w:rPr>
        <w:t>投标人</w:t>
      </w:r>
      <w:r>
        <w:rPr>
          <w:rFonts w:hint="eastAsia"/>
          <w:color w:val="auto"/>
          <w:sz w:val="24"/>
          <w:szCs w:val="24"/>
          <w:highlight w:val="none"/>
        </w:rPr>
        <w:t>应根据招标文件要求提供有关售后服务的管理制度，售后服务机构的分布情况，售后服务人员的数量、素质、技术水平及售后服务的反应能力等。</w:t>
      </w:r>
    </w:p>
    <w:p w14:paraId="35B6ADE2">
      <w:pPr>
        <w:spacing w:line="360" w:lineRule="auto"/>
        <w:ind w:firstLine="480"/>
        <w:jc w:val="left"/>
        <w:rPr>
          <w:color w:val="auto"/>
          <w:sz w:val="24"/>
          <w:szCs w:val="24"/>
          <w:highlight w:val="none"/>
        </w:rPr>
      </w:pPr>
      <w:r>
        <w:rPr>
          <w:rFonts w:hint="eastAsia"/>
          <w:color w:val="auto"/>
          <w:sz w:val="24"/>
          <w:szCs w:val="24"/>
          <w:highlight w:val="none"/>
        </w:rPr>
        <w:t xml:space="preserve">15.2 </w:t>
      </w:r>
      <w:r>
        <w:rPr>
          <w:rFonts w:hint="eastAsia"/>
          <w:color w:val="auto"/>
          <w:sz w:val="24"/>
          <w:szCs w:val="24"/>
          <w:highlight w:val="none"/>
          <w:lang w:eastAsia="zh-CN"/>
        </w:rPr>
        <w:t>投标人</w:t>
      </w:r>
      <w:r>
        <w:rPr>
          <w:rFonts w:hint="eastAsia"/>
          <w:color w:val="auto"/>
          <w:sz w:val="24"/>
          <w:szCs w:val="24"/>
          <w:highlight w:val="none"/>
        </w:rPr>
        <w:t>应根据招标文件要求提供培训计划、人员安排等。</w:t>
      </w:r>
    </w:p>
    <w:p w14:paraId="04EF84E1">
      <w:pPr>
        <w:spacing w:line="360" w:lineRule="auto"/>
        <w:ind w:firstLine="480"/>
        <w:jc w:val="left"/>
        <w:rPr>
          <w:rFonts w:hint="eastAsia"/>
          <w:color w:val="auto"/>
          <w:sz w:val="28"/>
          <w:szCs w:val="28"/>
          <w:highlight w:val="none"/>
        </w:rPr>
      </w:pPr>
      <w:r>
        <w:rPr>
          <w:rFonts w:hint="eastAsia"/>
          <w:color w:val="auto"/>
          <w:sz w:val="24"/>
          <w:szCs w:val="24"/>
          <w:highlight w:val="none"/>
        </w:rPr>
        <w:t xml:space="preserve">15.3 </w:t>
      </w:r>
      <w:r>
        <w:rPr>
          <w:rFonts w:hint="eastAsia"/>
          <w:color w:val="auto"/>
          <w:sz w:val="24"/>
          <w:szCs w:val="24"/>
          <w:highlight w:val="none"/>
          <w:lang w:eastAsia="zh-CN"/>
        </w:rPr>
        <w:t>投标人</w:t>
      </w:r>
      <w:r>
        <w:rPr>
          <w:rFonts w:hint="eastAsia"/>
          <w:color w:val="auto"/>
          <w:sz w:val="24"/>
          <w:szCs w:val="24"/>
          <w:highlight w:val="none"/>
        </w:rPr>
        <w:t>应根据招标文件要求提供所投标的的主要组成部分、功能设计、实现思路及关键技术等。</w:t>
      </w:r>
    </w:p>
    <w:p w14:paraId="734378FB">
      <w:pPr>
        <w:pStyle w:val="4"/>
        <w:spacing w:before="0" w:after="0" w:line="360" w:lineRule="auto"/>
        <w:ind w:firstLine="562"/>
        <w:jc w:val="left"/>
        <w:rPr>
          <w:color w:val="auto"/>
          <w:sz w:val="28"/>
          <w:szCs w:val="28"/>
          <w:highlight w:val="none"/>
        </w:rPr>
      </w:pPr>
      <w:r>
        <w:rPr>
          <w:rFonts w:hint="eastAsia"/>
          <w:color w:val="auto"/>
          <w:sz w:val="28"/>
          <w:szCs w:val="28"/>
          <w:highlight w:val="none"/>
        </w:rPr>
        <w:t>1</w:t>
      </w:r>
      <w:r>
        <w:rPr>
          <w:rFonts w:hint="eastAsia"/>
          <w:color w:val="auto"/>
          <w:sz w:val="28"/>
          <w:szCs w:val="28"/>
          <w:highlight w:val="none"/>
          <w:lang w:val="en-US" w:eastAsia="zh-CN"/>
        </w:rPr>
        <w:t>6</w:t>
      </w:r>
      <w:r>
        <w:rPr>
          <w:rFonts w:hint="eastAsia"/>
          <w:color w:val="auto"/>
          <w:sz w:val="28"/>
          <w:szCs w:val="28"/>
          <w:highlight w:val="none"/>
        </w:rPr>
        <w:t>、投标函和开标一览表</w:t>
      </w:r>
    </w:p>
    <w:p w14:paraId="52929FD1">
      <w:pPr>
        <w:spacing w:line="360" w:lineRule="auto"/>
        <w:ind w:firstLine="480"/>
        <w:jc w:val="left"/>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6</w:t>
      </w:r>
      <w:r>
        <w:rPr>
          <w:rFonts w:hint="eastAsia"/>
          <w:color w:val="auto"/>
          <w:sz w:val="24"/>
          <w:szCs w:val="24"/>
          <w:highlight w:val="none"/>
        </w:rPr>
        <w:t xml:space="preserve">.1 </w:t>
      </w:r>
      <w:r>
        <w:rPr>
          <w:rFonts w:hint="eastAsia"/>
          <w:color w:val="auto"/>
          <w:sz w:val="24"/>
          <w:szCs w:val="24"/>
          <w:highlight w:val="none"/>
          <w:lang w:eastAsia="zh-CN"/>
        </w:rPr>
        <w:t>投标人</w:t>
      </w:r>
      <w:r>
        <w:rPr>
          <w:rFonts w:hint="eastAsia"/>
          <w:color w:val="auto"/>
          <w:sz w:val="24"/>
          <w:szCs w:val="24"/>
          <w:highlight w:val="none"/>
        </w:rPr>
        <w:t>应按照招标文件提供的格式完整、正确填写投标函、开标一览表。</w:t>
      </w:r>
    </w:p>
    <w:p w14:paraId="181CEF5E">
      <w:pPr>
        <w:pStyle w:val="4"/>
        <w:spacing w:before="0" w:after="0" w:line="360" w:lineRule="auto"/>
        <w:ind w:firstLine="562"/>
        <w:jc w:val="left"/>
        <w:rPr>
          <w:color w:val="auto"/>
          <w:sz w:val="28"/>
          <w:szCs w:val="28"/>
          <w:highlight w:val="none"/>
        </w:rPr>
      </w:pPr>
      <w:r>
        <w:rPr>
          <w:rFonts w:hint="eastAsia"/>
          <w:color w:val="auto"/>
          <w:sz w:val="28"/>
          <w:szCs w:val="28"/>
          <w:highlight w:val="none"/>
        </w:rPr>
        <w:t>1</w:t>
      </w:r>
      <w:r>
        <w:rPr>
          <w:rFonts w:hint="eastAsia"/>
          <w:color w:val="auto"/>
          <w:sz w:val="28"/>
          <w:szCs w:val="28"/>
          <w:highlight w:val="none"/>
          <w:lang w:val="en-US" w:eastAsia="zh-CN"/>
        </w:rPr>
        <w:t>7</w:t>
      </w:r>
      <w:r>
        <w:rPr>
          <w:rFonts w:hint="eastAsia"/>
          <w:color w:val="auto"/>
          <w:sz w:val="28"/>
          <w:szCs w:val="28"/>
          <w:highlight w:val="none"/>
        </w:rPr>
        <w:t>、投标有效期</w:t>
      </w:r>
    </w:p>
    <w:p w14:paraId="7F8E38F1">
      <w:pPr>
        <w:spacing w:line="360" w:lineRule="auto"/>
        <w:ind w:firstLine="480"/>
        <w:jc w:val="left"/>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7</w:t>
      </w:r>
      <w:r>
        <w:rPr>
          <w:rFonts w:hint="eastAsia"/>
          <w:color w:val="auto"/>
          <w:sz w:val="24"/>
          <w:szCs w:val="24"/>
          <w:highlight w:val="none"/>
        </w:rPr>
        <w:t>.1 投标有效期为招标文件规定的开标之日后六十（60）天。投标有效期比规定短的将被视为未实质性响应招标文件而予以拒绝。</w:t>
      </w:r>
    </w:p>
    <w:p w14:paraId="7FFD0447">
      <w:pPr>
        <w:spacing w:line="360" w:lineRule="auto"/>
        <w:ind w:firstLine="480"/>
        <w:jc w:val="left"/>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7</w:t>
      </w:r>
      <w:r>
        <w:rPr>
          <w:rFonts w:hint="eastAsia"/>
          <w:color w:val="auto"/>
          <w:sz w:val="24"/>
          <w:szCs w:val="24"/>
          <w:highlight w:val="none"/>
        </w:rPr>
        <w:t>.2 在特殊情况下（法律法规另有规定的除外），经监管部门批准后，交易中心于原投标有效期满之前可向</w:t>
      </w:r>
      <w:r>
        <w:rPr>
          <w:rFonts w:hint="eastAsia"/>
          <w:color w:val="auto"/>
          <w:sz w:val="24"/>
          <w:szCs w:val="24"/>
          <w:highlight w:val="none"/>
          <w:lang w:eastAsia="zh-CN"/>
        </w:rPr>
        <w:t>投标人</w:t>
      </w:r>
      <w:r>
        <w:rPr>
          <w:rFonts w:hint="eastAsia"/>
          <w:color w:val="auto"/>
          <w:sz w:val="24"/>
          <w:szCs w:val="24"/>
          <w:highlight w:val="none"/>
        </w:rPr>
        <w:t>提出延长投标有效期的要求。这种要求与答复均应采用书面形式。</w:t>
      </w:r>
      <w:r>
        <w:rPr>
          <w:rFonts w:hint="eastAsia"/>
          <w:color w:val="auto"/>
          <w:sz w:val="24"/>
          <w:szCs w:val="24"/>
          <w:highlight w:val="none"/>
          <w:lang w:eastAsia="zh-CN"/>
        </w:rPr>
        <w:t>投标人</w:t>
      </w:r>
      <w:r>
        <w:rPr>
          <w:rFonts w:hint="eastAsia"/>
          <w:color w:val="auto"/>
          <w:sz w:val="24"/>
          <w:szCs w:val="24"/>
          <w:highlight w:val="none"/>
        </w:rPr>
        <w:t>可以拒绝交易中心的这一要求而放弃投标，同意延长投标有效期的</w:t>
      </w:r>
      <w:r>
        <w:rPr>
          <w:rFonts w:hint="eastAsia"/>
          <w:color w:val="auto"/>
          <w:sz w:val="24"/>
          <w:szCs w:val="24"/>
          <w:highlight w:val="none"/>
          <w:lang w:eastAsia="zh-CN"/>
        </w:rPr>
        <w:t>投标人</w:t>
      </w:r>
      <w:r>
        <w:rPr>
          <w:rFonts w:hint="eastAsia"/>
          <w:color w:val="auto"/>
          <w:sz w:val="24"/>
          <w:szCs w:val="24"/>
          <w:highlight w:val="none"/>
        </w:rPr>
        <w:t>既不能要求也不允许修改其投标文件。受投标有效期约束的所有权利与义务均延长至新的有效期。</w:t>
      </w:r>
    </w:p>
    <w:p w14:paraId="7AB2BBFA">
      <w:pPr>
        <w:pStyle w:val="3"/>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四、投标文件递交</w:t>
      </w:r>
    </w:p>
    <w:p w14:paraId="3177817B">
      <w:pPr>
        <w:pStyle w:val="4"/>
        <w:spacing w:before="0" w:after="0" w:line="360" w:lineRule="auto"/>
        <w:ind w:firstLine="562"/>
        <w:jc w:val="left"/>
        <w:rPr>
          <w:color w:val="auto"/>
          <w:sz w:val="28"/>
          <w:szCs w:val="28"/>
          <w:highlight w:val="none"/>
        </w:rPr>
      </w:pPr>
      <w:r>
        <w:rPr>
          <w:rFonts w:hint="eastAsia"/>
          <w:color w:val="auto"/>
          <w:sz w:val="28"/>
          <w:szCs w:val="28"/>
          <w:highlight w:val="none"/>
        </w:rPr>
        <w:t>1</w:t>
      </w:r>
      <w:r>
        <w:rPr>
          <w:rFonts w:hint="eastAsia"/>
          <w:color w:val="auto"/>
          <w:sz w:val="28"/>
          <w:szCs w:val="28"/>
          <w:highlight w:val="none"/>
          <w:lang w:val="en-US" w:eastAsia="zh-CN"/>
        </w:rPr>
        <w:t>8</w:t>
      </w:r>
      <w:r>
        <w:rPr>
          <w:rFonts w:hint="eastAsia"/>
          <w:color w:val="auto"/>
          <w:sz w:val="28"/>
          <w:szCs w:val="28"/>
          <w:highlight w:val="none"/>
        </w:rPr>
        <w:t>、电子投标文件的递交</w:t>
      </w:r>
    </w:p>
    <w:p w14:paraId="777B803F">
      <w:pPr>
        <w:spacing w:line="360" w:lineRule="auto"/>
        <w:ind w:firstLine="480"/>
        <w:jc w:val="left"/>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8</w:t>
      </w:r>
      <w:r>
        <w:rPr>
          <w:rFonts w:hint="eastAsia"/>
          <w:color w:val="auto"/>
          <w:sz w:val="24"/>
          <w:szCs w:val="24"/>
          <w:highlight w:val="none"/>
        </w:rPr>
        <w:t xml:space="preserve">.1 </w:t>
      </w:r>
      <w:r>
        <w:rPr>
          <w:rFonts w:hint="eastAsia"/>
          <w:color w:val="auto"/>
          <w:sz w:val="24"/>
          <w:szCs w:val="24"/>
          <w:highlight w:val="none"/>
          <w:lang w:eastAsia="zh-CN"/>
        </w:rPr>
        <w:t>投标人</w:t>
      </w:r>
      <w:r>
        <w:rPr>
          <w:rFonts w:hint="eastAsia"/>
          <w:color w:val="auto"/>
          <w:sz w:val="24"/>
          <w:szCs w:val="24"/>
          <w:highlight w:val="none"/>
        </w:rPr>
        <w:t>应当按照《操作手册》规定，在投标截止时间前制作并递交（上传）电子投标文件。</w:t>
      </w:r>
    </w:p>
    <w:p w14:paraId="12901F67">
      <w:pPr>
        <w:pStyle w:val="4"/>
        <w:spacing w:before="0" w:after="0" w:line="360" w:lineRule="auto"/>
        <w:ind w:firstLine="562"/>
        <w:jc w:val="left"/>
        <w:rPr>
          <w:color w:val="auto"/>
          <w:sz w:val="28"/>
          <w:szCs w:val="28"/>
          <w:highlight w:val="none"/>
        </w:rPr>
      </w:pPr>
      <w:r>
        <w:rPr>
          <w:rFonts w:hint="eastAsia"/>
          <w:color w:val="auto"/>
          <w:sz w:val="28"/>
          <w:szCs w:val="28"/>
          <w:highlight w:val="none"/>
        </w:rPr>
        <w:t>1</w:t>
      </w:r>
      <w:r>
        <w:rPr>
          <w:rFonts w:hint="eastAsia"/>
          <w:color w:val="auto"/>
          <w:sz w:val="28"/>
          <w:szCs w:val="28"/>
          <w:highlight w:val="none"/>
          <w:lang w:val="en-US" w:eastAsia="zh-CN"/>
        </w:rPr>
        <w:t>9</w:t>
      </w:r>
      <w:r>
        <w:rPr>
          <w:rFonts w:hint="eastAsia"/>
          <w:color w:val="auto"/>
          <w:sz w:val="28"/>
          <w:szCs w:val="28"/>
          <w:highlight w:val="none"/>
        </w:rPr>
        <w:t>、投标截止时间</w:t>
      </w:r>
    </w:p>
    <w:p w14:paraId="05BBF81C">
      <w:pPr>
        <w:spacing w:line="360" w:lineRule="auto"/>
        <w:ind w:firstLine="480"/>
        <w:jc w:val="left"/>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9</w:t>
      </w:r>
      <w:r>
        <w:rPr>
          <w:rFonts w:hint="eastAsia"/>
          <w:color w:val="auto"/>
          <w:sz w:val="24"/>
          <w:szCs w:val="24"/>
          <w:highlight w:val="none"/>
        </w:rPr>
        <w:t xml:space="preserve">.1 </w:t>
      </w:r>
      <w:r>
        <w:rPr>
          <w:rFonts w:hint="eastAsia"/>
          <w:color w:val="auto"/>
          <w:sz w:val="24"/>
          <w:szCs w:val="24"/>
          <w:highlight w:val="none"/>
          <w:lang w:eastAsia="zh-CN"/>
        </w:rPr>
        <w:t>投标人</w:t>
      </w:r>
      <w:r>
        <w:rPr>
          <w:rFonts w:hint="eastAsia"/>
          <w:color w:val="auto"/>
          <w:sz w:val="24"/>
          <w:szCs w:val="24"/>
          <w:highlight w:val="none"/>
        </w:rPr>
        <w:t>递交（上传）电子投标文件的时间不得迟于招标公告中规定的投标截止时间。</w:t>
      </w:r>
    </w:p>
    <w:p w14:paraId="4FBD65F6">
      <w:pPr>
        <w:spacing w:line="360" w:lineRule="auto"/>
        <w:ind w:firstLine="480"/>
        <w:jc w:val="left"/>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应充分考虑计算机硬件、软件及网络环境等风险因素，如因</w:t>
      </w:r>
      <w:r>
        <w:rPr>
          <w:rFonts w:hint="eastAsia"/>
          <w:color w:val="auto"/>
          <w:sz w:val="24"/>
          <w:szCs w:val="24"/>
          <w:highlight w:val="none"/>
          <w:lang w:eastAsia="zh-CN"/>
        </w:rPr>
        <w:t>投标人</w:t>
      </w:r>
      <w:r>
        <w:rPr>
          <w:rFonts w:hint="eastAsia"/>
          <w:color w:val="auto"/>
          <w:sz w:val="24"/>
          <w:szCs w:val="24"/>
          <w:highlight w:val="none"/>
        </w:rPr>
        <w:t>自身原因造成电子投标文件递交（上传）不成功的按照本招标文件第二章第27.1条规定作无效投标处理。</w:t>
      </w:r>
    </w:p>
    <w:p w14:paraId="30E6B06D">
      <w:pPr>
        <w:spacing w:line="360" w:lineRule="auto"/>
        <w:ind w:firstLine="480"/>
        <w:jc w:val="left"/>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9</w:t>
      </w:r>
      <w:r>
        <w:rPr>
          <w:rFonts w:hint="eastAsia"/>
          <w:color w:val="auto"/>
          <w:sz w:val="24"/>
          <w:szCs w:val="24"/>
          <w:highlight w:val="none"/>
        </w:rPr>
        <w:t>.2 采购人和交易中心可以按照规定，通过修改招标文件酌情延长投标截止时间，在此情况下，</w:t>
      </w:r>
      <w:r>
        <w:rPr>
          <w:rFonts w:hint="eastAsia"/>
          <w:color w:val="auto"/>
          <w:sz w:val="24"/>
          <w:szCs w:val="24"/>
          <w:highlight w:val="none"/>
          <w:lang w:eastAsia="zh-CN"/>
        </w:rPr>
        <w:t>投标人</w:t>
      </w:r>
      <w:r>
        <w:rPr>
          <w:rFonts w:hint="eastAsia"/>
          <w:color w:val="auto"/>
          <w:sz w:val="24"/>
          <w:szCs w:val="24"/>
          <w:highlight w:val="none"/>
        </w:rPr>
        <w:t>的所有权利和义务以及</w:t>
      </w:r>
      <w:r>
        <w:rPr>
          <w:rFonts w:hint="eastAsia"/>
          <w:color w:val="auto"/>
          <w:sz w:val="24"/>
          <w:szCs w:val="24"/>
          <w:highlight w:val="none"/>
          <w:lang w:eastAsia="zh-CN"/>
        </w:rPr>
        <w:t>投标人</w:t>
      </w:r>
      <w:r>
        <w:rPr>
          <w:rFonts w:hint="eastAsia"/>
          <w:color w:val="auto"/>
          <w:sz w:val="24"/>
          <w:szCs w:val="24"/>
          <w:highlight w:val="none"/>
        </w:rPr>
        <w:t>受制的截止时间均应以延长后新的截止时间为准。</w:t>
      </w:r>
    </w:p>
    <w:p w14:paraId="6F901EAA">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20</w:t>
      </w:r>
      <w:r>
        <w:rPr>
          <w:rFonts w:hint="eastAsia"/>
          <w:color w:val="auto"/>
          <w:sz w:val="28"/>
          <w:szCs w:val="28"/>
          <w:highlight w:val="none"/>
        </w:rPr>
        <w:t>、投标文件的拒收</w:t>
      </w:r>
    </w:p>
    <w:p w14:paraId="21FE0AB3">
      <w:pPr>
        <w:spacing w:line="360" w:lineRule="auto"/>
        <w:ind w:firstLine="480"/>
        <w:jc w:val="left"/>
        <w:rPr>
          <w:color w:val="auto"/>
          <w:sz w:val="24"/>
          <w:szCs w:val="24"/>
          <w:highlight w:val="none"/>
        </w:rPr>
      </w:pPr>
      <w:r>
        <w:rPr>
          <w:rFonts w:hint="eastAsia"/>
          <w:color w:val="auto"/>
          <w:sz w:val="24"/>
          <w:szCs w:val="24"/>
          <w:highlight w:val="none"/>
          <w:lang w:val="en-US" w:eastAsia="zh-CN"/>
        </w:rPr>
        <w:t>20.</w:t>
      </w:r>
      <w:r>
        <w:rPr>
          <w:rFonts w:hint="eastAsia"/>
          <w:color w:val="auto"/>
          <w:sz w:val="24"/>
          <w:szCs w:val="24"/>
          <w:highlight w:val="none"/>
        </w:rPr>
        <w:t>1 交易中心拒绝接收在招标文件规定的投标截止时间后递交（上传）的任何投标文件。</w:t>
      </w:r>
    </w:p>
    <w:p w14:paraId="2146C7F8">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21</w:t>
      </w:r>
      <w:r>
        <w:rPr>
          <w:rFonts w:hint="eastAsia"/>
          <w:color w:val="auto"/>
          <w:sz w:val="28"/>
          <w:szCs w:val="28"/>
          <w:highlight w:val="none"/>
        </w:rPr>
        <w:t>、投标文件的撤回和修改</w:t>
      </w:r>
    </w:p>
    <w:p w14:paraId="4E684DFA">
      <w:pPr>
        <w:spacing w:line="360" w:lineRule="auto"/>
        <w:ind w:firstLine="480"/>
        <w:jc w:val="left"/>
        <w:rPr>
          <w:color w:val="auto"/>
          <w:sz w:val="24"/>
          <w:szCs w:val="24"/>
          <w:highlight w:val="none"/>
        </w:rPr>
      </w:pPr>
      <w:r>
        <w:rPr>
          <w:rFonts w:hint="eastAsia"/>
          <w:color w:val="auto"/>
          <w:sz w:val="24"/>
          <w:szCs w:val="24"/>
          <w:highlight w:val="none"/>
          <w:lang w:val="en-US" w:eastAsia="zh-CN"/>
        </w:rPr>
        <w:t>21</w:t>
      </w:r>
      <w:r>
        <w:rPr>
          <w:rFonts w:hint="eastAsia"/>
          <w:color w:val="auto"/>
          <w:sz w:val="24"/>
          <w:szCs w:val="24"/>
          <w:highlight w:val="none"/>
        </w:rPr>
        <w:t xml:space="preserve">.1 </w:t>
      </w:r>
      <w:r>
        <w:rPr>
          <w:rFonts w:hint="eastAsia"/>
          <w:color w:val="auto"/>
          <w:sz w:val="24"/>
          <w:szCs w:val="24"/>
          <w:highlight w:val="none"/>
          <w:lang w:eastAsia="zh-CN"/>
        </w:rPr>
        <w:t>投标人</w:t>
      </w:r>
      <w:r>
        <w:rPr>
          <w:rFonts w:hint="eastAsia"/>
          <w:color w:val="auto"/>
          <w:sz w:val="24"/>
          <w:szCs w:val="24"/>
          <w:highlight w:val="none"/>
        </w:rPr>
        <w:t>可在投标截止时间前，撤回其电子投标文件，具体操作方法见《操作手册》。</w:t>
      </w:r>
      <w:r>
        <w:rPr>
          <w:rFonts w:hint="eastAsia"/>
          <w:color w:val="auto"/>
          <w:sz w:val="24"/>
          <w:szCs w:val="24"/>
          <w:highlight w:val="none"/>
          <w:lang w:eastAsia="zh-CN"/>
        </w:rPr>
        <w:t>投标人</w:t>
      </w:r>
      <w:r>
        <w:rPr>
          <w:rFonts w:hint="eastAsia"/>
          <w:color w:val="auto"/>
          <w:sz w:val="24"/>
          <w:szCs w:val="24"/>
          <w:highlight w:val="none"/>
        </w:rPr>
        <w:t>撤回电子投标文件的，则认为其不再参与本项目采购活动。</w:t>
      </w:r>
    </w:p>
    <w:p w14:paraId="484FB5EA">
      <w:pPr>
        <w:spacing w:line="360" w:lineRule="auto"/>
        <w:ind w:firstLine="480"/>
        <w:jc w:val="left"/>
        <w:rPr>
          <w:color w:val="auto"/>
          <w:sz w:val="24"/>
          <w:szCs w:val="24"/>
          <w:highlight w:val="none"/>
        </w:rPr>
      </w:pPr>
      <w:r>
        <w:rPr>
          <w:rFonts w:hint="eastAsia"/>
          <w:color w:val="auto"/>
          <w:sz w:val="24"/>
          <w:szCs w:val="24"/>
          <w:highlight w:val="none"/>
          <w:lang w:val="en-US" w:eastAsia="zh-CN"/>
        </w:rPr>
        <w:t>21</w:t>
      </w:r>
      <w:r>
        <w:rPr>
          <w:rFonts w:hint="eastAsia"/>
          <w:color w:val="auto"/>
          <w:sz w:val="24"/>
          <w:szCs w:val="24"/>
          <w:highlight w:val="none"/>
        </w:rPr>
        <w:t xml:space="preserve">.2 </w:t>
      </w:r>
      <w:r>
        <w:rPr>
          <w:rFonts w:hint="eastAsia"/>
          <w:color w:val="auto"/>
          <w:sz w:val="24"/>
          <w:szCs w:val="24"/>
          <w:highlight w:val="none"/>
          <w:lang w:eastAsia="zh-CN"/>
        </w:rPr>
        <w:t>投标人</w:t>
      </w:r>
      <w:r>
        <w:rPr>
          <w:rFonts w:hint="eastAsia"/>
          <w:color w:val="auto"/>
          <w:sz w:val="24"/>
          <w:szCs w:val="24"/>
          <w:highlight w:val="none"/>
        </w:rPr>
        <w:t>可在投标截止时间前，对其电子投标文件进行修改，具体操作方法见《操作手册》。在投标截止时间之后，</w:t>
      </w:r>
      <w:r>
        <w:rPr>
          <w:rFonts w:hint="eastAsia"/>
          <w:color w:val="auto"/>
          <w:sz w:val="24"/>
          <w:szCs w:val="24"/>
          <w:highlight w:val="none"/>
          <w:lang w:eastAsia="zh-CN"/>
        </w:rPr>
        <w:t>投标人</w:t>
      </w:r>
      <w:r>
        <w:rPr>
          <w:rFonts w:hint="eastAsia"/>
          <w:color w:val="auto"/>
          <w:sz w:val="24"/>
          <w:szCs w:val="24"/>
          <w:highlight w:val="none"/>
        </w:rPr>
        <w:t>不得对其电子投标文件做任何修改。</w:t>
      </w:r>
    </w:p>
    <w:p w14:paraId="7FBC7FED">
      <w:pPr>
        <w:spacing w:line="360" w:lineRule="auto"/>
        <w:ind w:firstLine="480"/>
        <w:jc w:val="left"/>
        <w:rPr>
          <w:color w:val="auto"/>
          <w:sz w:val="24"/>
          <w:szCs w:val="24"/>
          <w:highlight w:val="none"/>
        </w:rPr>
      </w:pPr>
      <w:r>
        <w:rPr>
          <w:rFonts w:hint="eastAsia"/>
          <w:color w:val="auto"/>
          <w:sz w:val="24"/>
          <w:szCs w:val="24"/>
          <w:highlight w:val="none"/>
          <w:lang w:val="en-US" w:eastAsia="zh-CN"/>
        </w:rPr>
        <w:t>21</w:t>
      </w:r>
      <w:r>
        <w:rPr>
          <w:rFonts w:hint="eastAsia"/>
          <w:color w:val="auto"/>
          <w:sz w:val="24"/>
          <w:szCs w:val="24"/>
          <w:highlight w:val="none"/>
        </w:rPr>
        <w:t>.3 在投标截止时间至招标文件规定的投标有效期满之间的这段时间内，</w:t>
      </w:r>
      <w:r>
        <w:rPr>
          <w:rFonts w:hint="eastAsia"/>
          <w:color w:val="auto"/>
          <w:sz w:val="24"/>
          <w:szCs w:val="24"/>
          <w:highlight w:val="none"/>
          <w:lang w:eastAsia="zh-CN"/>
        </w:rPr>
        <w:t>投标人</w:t>
      </w:r>
      <w:r>
        <w:rPr>
          <w:rFonts w:hint="eastAsia"/>
          <w:color w:val="auto"/>
          <w:sz w:val="24"/>
          <w:szCs w:val="24"/>
          <w:highlight w:val="none"/>
        </w:rPr>
        <w:t>不得撤回其投标。</w:t>
      </w:r>
    </w:p>
    <w:p w14:paraId="1A208C03">
      <w:pPr>
        <w:pStyle w:val="3"/>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五、开标与评标</w:t>
      </w:r>
    </w:p>
    <w:p w14:paraId="2600CA9D">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22</w:t>
      </w:r>
      <w:r>
        <w:rPr>
          <w:rFonts w:hint="eastAsia"/>
          <w:color w:val="auto"/>
          <w:sz w:val="28"/>
          <w:szCs w:val="28"/>
          <w:highlight w:val="none"/>
        </w:rPr>
        <w:t>、开标</w:t>
      </w:r>
    </w:p>
    <w:p w14:paraId="55EA0027">
      <w:pPr>
        <w:spacing w:line="360" w:lineRule="auto"/>
        <w:ind w:firstLine="480"/>
        <w:jc w:val="left"/>
        <w:rPr>
          <w:color w:val="auto"/>
          <w:sz w:val="24"/>
          <w:szCs w:val="24"/>
          <w:highlight w:val="none"/>
        </w:rPr>
      </w:pPr>
      <w:r>
        <w:rPr>
          <w:rFonts w:hint="eastAsia"/>
          <w:color w:val="auto"/>
          <w:sz w:val="24"/>
          <w:szCs w:val="24"/>
          <w:highlight w:val="none"/>
          <w:lang w:val="en-US" w:eastAsia="zh-CN"/>
        </w:rPr>
        <w:t>22</w:t>
      </w:r>
      <w:r>
        <w:rPr>
          <w:rFonts w:hint="eastAsia"/>
          <w:color w:val="auto"/>
          <w:sz w:val="24"/>
          <w:szCs w:val="24"/>
          <w:highlight w:val="none"/>
        </w:rPr>
        <w:t>.1 交易中心将在招标公告中规定的时间和地点组织公开开标。</w:t>
      </w:r>
      <w:r>
        <w:rPr>
          <w:rFonts w:hint="eastAsia"/>
          <w:color w:val="auto"/>
          <w:sz w:val="24"/>
          <w:szCs w:val="24"/>
          <w:highlight w:val="none"/>
          <w:lang w:eastAsia="zh-CN"/>
        </w:rPr>
        <w:t>投标人</w:t>
      </w:r>
      <w:r>
        <w:rPr>
          <w:rFonts w:hint="eastAsia"/>
          <w:color w:val="auto"/>
          <w:sz w:val="24"/>
          <w:szCs w:val="24"/>
          <w:highlight w:val="none"/>
        </w:rPr>
        <w:t>应当按时参加开标活动，并在“苏采云”系统规定的时间内对其投标文件进行解密。</w:t>
      </w:r>
    </w:p>
    <w:p w14:paraId="1683D023">
      <w:pPr>
        <w:spacing w:line="360" w:lineRule="auto"/>
        <w:ind w:firstLine="480"/>
        <w:jc w:val="left"/>
        <w:rPr>
          <w:color w:val="auto"/>
          <w:sz w:val="24"/>
          <w:szCs w:val="24"/>
          <w:highlight w:val="none"/>
        </w:rPr>
      </w:pPr>
      <w:r>
        <w:rPr>
          <w:rFonts w:hint="eastAsia"/>
          <w:color w:val="auto"/>
          <w:sz w:val="24"/>
          <w:szCs w:val="24"/>
          <w:highlight w:val="none"/>
          <w:lang w:val="en-US" w:eastAsia="zh-CN"/>
        </w:rPr>
        <w:t>22</w:t>
      </w:r>
      <w:r>
        <w:rPr>
          <w:rFonts w:hint="eastAsia"/>
          <w:color w:val="auto"/>
          <w:sz w:val="24"/>
          <w:szCs w:val="24"/>
          <w:highlight w:val="none"/>
        </w:rPr>
        <w:t>.2 开标仪式由交易中心组织。“苏采云”系统将自动对项目进行开标，并宣布各</w:t>
      </w:r>
      <w:r>
        <w:rPr>
          <w:rFonts w:hint="eastAsia"/>
          <w:color w:val="auto"/>
          <w:sz w:val="24"/>
          <w:szCs w:val="24"/>
          <w:highlight w:val="none"/>
          <w:lang w:eastAsia="zh-CN"/>
        </w:rPr>
        <w:t>投标人</w:t>
      </w:r>
      <w:r>
        <w:rPr>
          <w:rFonts w:hint="eastAsia"/>
          <w:color w:val="auto"/>
          <w:sz w:val="24"/>
          <w:szCs w:val="24"/>
          <w:highlight w:val="none"/>
        </w:rPr>
        <w:t>名称和投标价格。</w:t>
      </w:r>
    </w:p>
    <w:p w14:paraId="79865054">
      <w:pPr>
        <w:spacing w:line="360" w:lineRule="auto"/>
        <w:ind w:firstLine="480"/>
        <w:jc w:val="left"/>
        <w:rPr>
          <w:color w:val="auto"/>
          <w:sz w:val="24"/>
          <w:szCs w:val="24"/>
          <w:highlight w:val="none"/>
        </w:rPr>
      </w:pPr>
      <w:r>
        <w:rPr>
          <w:rFonts w:hint="eastAsia"/>
          <w:color w:val="auto"/>
          <w:sz w:val="24"/>
          <w:szCs w:val="24"/>
          <w:highlight w:val="none"/>
          <w:lang w:val="en-US" w:eastAsia="zh-CN"/>
        </w:rPr>
        <w:t>22</w:t>
      </w:r>
      <w:r>
        <w:rPr>
          <w:rFonts w:hint="eastAsia"/>
          <w:color w:val="auto"/>
          <w:sz w:val="24"/>
          <w:szCs w:val="24"/>
          <w:highlight w:val="none"/>
        </w:rPr>
        <w:t xml:space="preserve">.3 </w:t>
      </w:r>
      <w:r>
        <w:rPr>
          <w:rFonts w:hint="eastAsia"/>
          <w:color w:val="auto"/>
          <w:sz w:val="24"/>
          <w:szCs w:val="24"/>
          <w:highlight w:val="none"/>
          <w:lang w:eastAsia="zh-CN"/>
        </w:rPr>
        <w:t>投标人</w:t>
      </w:r>
      <w:r>
        <w:rPr>
          <w:rFonts w:hint="eastAsia"/>
          <w:color w:val="auto"/>
          <w:sz w:val="24"/>
          <w:szCs w:val="24"/>
          <w:highlight w:val="none"/>
        </w:rPr>
        <w:t>在开标过程中涉及到的投标文件解密、开标结果确认等工作，应当按照《操作手册》规定执行。</w:t>
      </w:r>
    </w:p>
    <w:p w14:paraId="74156A71">
      <w:pPr>
        <w:spacing w:line="360" w:lineRule="auto"/>
        <w:ind w:firstLine="480"/>
        <w:jc w:val="left"/>
        <w:rPr>
          <w:color w:val="auto"/>
          <w:sz w:val="24"/>
          <w:szCs w:val="24"/>
          <w:highlight w:val="none"/>
        </w:rPr>
      </w:pPr>
      <w:r>
        <w:rPr>
          <w:rFonts w:hint="eastAsia"/>
          <w:color w:val="auto"/>
          <w:sz w:val="24"/>
          <w:szCs w:val="24"/>
          <w:highlight w:val="none"/>
          <w:lang w:val="en-US" w:eastAsia="zh-CN"/>
        </w:rPr>
        <w:t>22</w:t>
      </w:r>
      <w:r>
        <w:rPr>
          <w:rFonts w:hint="eastAsia"/>
          <w:color w:val="auto"/>
          <w:sz w:val="24"/>
          <w:szCs w:val="24"/>
          <w:highlight w:val="none"/>
        </w:rPr>
        <w:t xml:space="preserve">.4 </w:t>
      </w:r>
      <w:r>
        <w:rPr>
          <w:rFonts w:hint="eastAsia"/>
          <w:color w:val="auto"/>
          <w:sz w:val="24"/>
          <w:szCs w:val="24"/>
          <w:highlight w:val="none"/>
          <w:lang w:eastAsia="zh-CN"/>
        </w:rPr>
        <w:t>投标人</w:t>
      </w:r>
      <w:r>
        <w:rPr>
          <w:rFonts w:hint="eastAsia"/>
          <w:color w:val="auto"/>
          <w:sz w:val="24"/>
          <w:szCs w:val="24"/>
          <w:highlight w:val="none"/>
        </w:rPr>
        <w:t>如果对开标过程和开标记录有疑义，应当按照《操作手册》规定提出，未在“苏采云”系统《开标记录表》宣布后5分钟内提出的，视同认可开标结果。</w:t>
      </w:r>
    </w:p>
    <w:p w14:paraId="21392AC5">
      <w:pPr>
        <w:spacing w:line="360" w:lineRule="auto"/>
        <w:ind w:firstLine="480"/>
        <w:jc w:val="left"/>
        <w:rPr>
          <w:color w:val="auto"/>
          <w:sz w:val="24"/>
          <w:szCs w:val="24"/>
          <w:highlight w:val="none"/>
        </w:rPr>
      </w:pPr>
      <w:r>
        <w:rPr>
          <w:rFonts w:hint="eastAsia"/>
          <w:color w:val="auto"/>
          <w:sz w:val="24"/>
          <w:szCs w:val="24"/>
          <w:highlight w:val="none"/>
          <w:lang w:val="en-US" w:eastAsia="zh-CN"/>
        </w:rPr>
        <w:t>22</w:t>
      </w:r>
      <w:r>
        <w:rPr>
          <w:rFonts w:hint="eastAsia"/>
          <w:color w:val="auto"/>
          <w:sz w:val="24"/>
          <w:szCs w:val="24"/>
          <w:highlight w:val="none"/>
        </w:rPr>
        <w:t xml:space="preserve">.5 </w:t>
      </w:r>
      <w:r>
        <w:rPr>
          <w:rFonts w:hint="eastAsia"/>
          <w:color w:val="auto"/>
          <w:sz w:val="24"/>
          <w:szCs w:val="24"/>
          <w:highlight w:val="none"/>
          <w:lang w:eastAsia="zh-CN"/>
        </w:rPr>
        <w:t>投标人</w:t>
      </w:r>
      <w:r>
        <w:rPr>
          <w:rFonts w:hint="eastAsia"/>
          <w:color w:val="auto"/>
          <w:sz w:val="24"/>
          <w:szCs w:val="24"/>
          <w:highlight w:val="none"/>
        </w:rPr>
        <w:t>未参加开标的，视同认可开标结果。</w:t>
      </w:r>
    </w:p>
    <w:p w14:paraId="71A1BB72">
      <w:pPr>
        <w:spacing w:line="360" w:lineRule="auto"/>
        <w:ind w:firstLine="480"/>
        <w:jc w:val="left"/>
        <w:rPr>
          <w:color w:val="auto"/>
          <w:sz w:val="24"/>
          <w:szCs w:val="24"/>
          <w:highlight w:val="none"/>
        </w:rPr>
      </w:pPr>
      <w:r>
        <w:rPr>
          <w:rFonts w:hint="eastAsia"/>
          <w:color w:val="auto"/>
          <w:sz w:val="24"/>
          <w:szCs w:val="24"/>
          <w:highlight w:val="none"/>
          <w:lang w:val="en-US" w:eastAsia="zh-CN"/>
        </w:rPr>
        <w:t>22</w:t>
      </w:r>
      <w:r>
        <w:rPr>
          <w:rFonts w:hint="eastAsia"/>
          <w:color w:val="auto"/>
          <w:sz w:val="24"/>
          <w:szCs w:val="24"/>
          <w:highlight w:val="none"/>
        </w:rPr>
        <w:t xml:space="preserve">.6 </w:t>
      </w:r>
      <w:r>
        <w:rPr>
          <w:rFonts w:hint="eastAsia"/>
          <w:color w:val="auto"/>
          <w:sz w:val="24"/>
          <w:szCs w:val="24"/>
          <w:highlight w:val="none"/>
          <w:lang w:eastAsia="zh-CN"/>
        </w:rPr>
        <w:t>投标人</w:t>
      </w:r>
      <w:r>
        <w:rPr>
          <w:rFonts w:hint="eastAsia"/>
          <w:color w:val="auto"/>
          <w:sz w:val="24"/>
          <w:szCs w:val="24"/>
          <w:highlight w:val="none"/>
        </w:rPr>
        <w:t>在开标、评标全过程中应保持通讯畅通，及时登录“苏采云”系统查阅、答复相关信息，并安排专人与交易中心及评委会联系。</w:t>
      </w:r>
    </w:p>
    <w:p w14:paraId="2F080790">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23</w:t>
      </w:r>
      <w:r>
        <w:rPr>
          <w:rFonts w:hint="eastAsia"/>
          <w:color w:val="auto"/>
          <w:sz w:val="28"/>
          <w:szCs w:val="28"/>
          <w:highlight w:val="none"/>
        </w:rPr>
        <w:t>、评标委员会</w:t>
      </w:r>
    </w:p>
    <w:p w14:paraId="3352DCB9">
      <w:pPr>
        <w:spacing w:line="360" w:lineRule="auto"/>
        <w:ind w:firstLine="480"/>
        <w:jc w:val="left"/>
        <w:rPr>
          <w:color w:val="auto"/>
          <w:sz w:val="24"/>
          <w:szCs w:val="24"/>
          <w:highlight w:val="none"/>
        </w:rPr>
      </w:pPr>
      <w:r>
        <w:rPr>
          <w:rFonts w:hint="eastAsia"/>
          <w:color w:val="auto"/>
          <w:sz w:val="24"/>
          <w:szCs w:val="24"/>
          <w:highlight w:val="none"/>
          <w:lang w:val="en-US" w:eastAsia="zh-CN"/>
        </w:rPr>
        <w:t>23</w:t>
      </w:r>
      <w:r>
        <w:rPr>
          <w:rFonts w:hint="eastAsia"/>
          <w:color w:val="auto"/>
          <w:sz w:val="24"/>
          <w:szCs w:val="24"/>
          <w:highlight w:val="none"/>
        </w:rPr>
        <w:t>.1 开标后，交易中心将组织评委会进行评标。</w:t>
      </w:r>
    </w:p>
    <w:p w14:paraId="0433B87E">
      <w:pPr>
        <w:spacing w:line="360" w:lineRule="auto"/>
        <w:ind w:firstLine="480"/>
        <w:jc w:val="left"/>
        <w:rPr>
          <w:color w:val="auto"/>
          <w:sz w:val="24"/>
          <w:szCs w:val="24"/>
          <w:highlight w:val="none"/>
        </w:rPr>
      </w:pPr>
      <w:r>
        <w:rPr>
          <w:rFonts w:hint="eastAsia"/>
          <w:color w:val="auto"/>
          <w:sz w:val="24"/>
          <w:szCs w:val="24"/>
          <w:highlight w:val="none"/>
          <w:lang w:val="en-US" w:eastAsia="zh-CN"/>
        </w:rPr>
        <w:t>23</w:t>
      </w:r>
      <w:r>
        <w:rPr>
          <w:rFonts w:hint="eastAsia"/>
          <w:color w:val="auto"/>
          <w:sz w:val="24"/>
          <w:szCs w:val="24"/>
          <w:highlight w:val="none"/>
        </w:rPr>
        <w:t>.2 评委会由采购人代表和有关技术、经济等方面的评审专家组成，且人员构成符合政府采购有关规定。</w:t>
      </w:r>
    </w:p>
    <w:p w14:paraId="0CE744DA">
      <w:pPr>
        <w:spacing w:line="360" w:lineRule="auto"/>
        <w:ind w:firstLine="480"/>
        <w:jc w:val="left"/>
        <w:rPr>
          <w:color w:val="auto"/>
          <w:sz w:val="24"/>
          <w:szCs w:val="24"/>
          <w:highlight w:val="none"/>
        </w:rPr>
      </w:pPr>
      <w:r>
        <w:rPr>
          <w:rFonts w:hint="eastAsia"/>
          <w:color w:val="auto"/>
          <w:sz w:val="24"/>
          <w:szCs w:val="24"/>
          <w:highlight w:val="none"/>
          <w:lang w:val="en-US" w:eastAsia="zh-CN"/>
        </w:rPr>
        <w:t>23</w:t>
      </w:r>
      <w:r>
        <w:rPr>
          <w:rFonts w:hint="eastAsia"/>
          <w:color w:val="auto"/>
          <w:sz w:val="24"/>
          <w:szCs w:val="24"/>
          <w:highlight w:val="none"/>
        </w:rPr>
        <w:t>.3 评委会按照采购文件规定的评审程序、评审方法和评审标准进行独立评审并确定中标候选人。</w:t>
      </w:r>
    </w:p>
    <w:p w14:paraId="11279B55">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24</w:t>
      </w:r>
      <w:r>
        <w:rPr>
          <w:rFonts w:hint="eastAsia"/>
          <w:color w:val="auto"/>
          <w:sz w:val="28"/>
          <w:szCs w:val="28"/>
          <w:highlight w:val="none"/>
        </w:rPr>
        <w:t>、评标过程的保密与公正</w:t>
      </w:r>
    </w:p>
    <w:p w14:paraId="2C119B77">
      <w:pPr>
        <w:spacing w:line="360" w:lineRule="auto"/>
        <w:ind w:firstLine="480"/>
        <w:jc w:val="left"/>
        <w:rPr>
          <w:color w:val="auto"/>
          <w:sz w:val="24"/>
          <w:szCs w:val="24"/>
          <w:highlight w:val="none"/>
        </w:rPr>
      </w:pPr>
      <w:r>
        <w:rPr>
          <w:rFonts w:hint="eastAsia"/>
          <w:color w:val="auto"/>
          <w:sz w:val="24"/>
          <w:szCs w:val="24"/>
          <w:highlight w:val="none"/>
          <w:lang w:val="en-US" w:eastAsia="zh-CN"/>
        </w:rPr>
        <w:t>24</w:t>
      </w:r>
      <w:r>
        <w:rPr>
          <w:rFonts w:hint="eastAsia"/>
          <w:color w:val="auto"/>
          <w:sz w:val="24"/>
          <w:szCs w:val="24"/>
          <w:highlight w:val="none"/>
        </w:rPr>
        <w:t>.1 凡是与审查、澄清、评价和比较投标的有关资料以及授标建议等，采购人、评审专家、交易中心均不得向</w:t>
      </w:r>
      <w:r>
        <w:rPr>
          <w:rFonts w:hint="eastAsia"/>
          <w:color w:val="auto"/>
          <w:sz w:val="24"/>
          <w:szCs w:val="24"/>
          <w:highlight w:val="none"/>
          <w:lang w:eastAsia="zh-CN"/>
        </w:rPr>
        <w:t>投标人</w:t>
      </w:r>
      <w:r>
        <w:rPr>
          <w:rFonts w:hint="eastAsia"/>
          <w:color w:val="auto"/>
          <w:sz w:val="24"/>
          <w:szCs w:val="24"/>
          <w:highlight w:val="none"/>
        </w:rPr>
        <w:t>或与评标无关的其他人员透露。</w:t>
      </w:r>
    </w:p>
    <w:p w14:paraId="42B2388C">
      <w:pPr>
        <w:spacing w:line="360" w:lineRule="auto"/>
        <w:ind w:firstLine="480"/>
        <w:jc w:val="left"/>
        <w:rPr>
          <w:color w:val="auto"/>
          <w:sz w:val="24"/>
          <w:szCs w:val="24"/>
          <w:highlight w:val="none"/>
        </w:rPr>
      </w:pPr>
      <w:r>
        <w:rPr>
          <w:rFonts w:hint="eastAsia"/>
          <w:color w:val="auto"/>
          <w:sz w:val="24"/>
          <w:szCs w:val="24"/>
          <w:highlight w:val="none"/>
          <w:lang w:val="en-US" w:eastAsia="zh-CN"/>
        </w:rPr>
        <w:t>24</w:t>
      </w:r>
      <w:r>
        <w:rPr>
          <w:rFonts w:hint="eastAsia"/>
          <w:color w:val="auto"/>
          <w:sz w:val="24"/>
          <w:szCs w:val="24"/>
          <w:highlight w:val="none"/>
        </w:rPr>
        <w:t>.2 在评标过程中，</w:t>
      </w:r>
      <w:r>
        <w:rPr>
          <w:rFonts w:hint="eastAsia"/>
          <w:color w:val="auto"/>
          <w:sz w:val="24"/>
          <w:szCs w:val="24"/>
          <w:highlight w:val="none"/>
          <w:lang w:eastAsia="zh-CN"/>
        </w:rPr>
        <w:t>投标人</w:t>
      </w:r>
      <w:r>
        <w:rPr>
          <w:rFonts w:hint="eastAsia"/>
          <w:color w:val="auto"/>
          <w:sz w:val="24"/>
          <w:szCs w:val="24"/>
          <w:highlight w:val="none"/>
        </w:rPr>
        <w:t>不得以任何行为影响评标过程，否则其投标文件将被作为无效投标文件。</w:t>
      </w:r>
    </w:p>
    <w:p w14:paraId="66D6807E">
      <w:pPr>
        <w:spacing w:line="360" w:lineRule="auto"/>
        <w:ind w:firstLine="480"/>
        <w:jc w:val="left"/>
        <w:rPr>
          <w:color w:val="auto"/>
          <w:sz w:val="24"/>
          <w:szCs w:val="24"/>
          <w:highlight w:val="none"/>
        </w:rPr>
      </w:pPr>
      <w:r>
        <w:rPr>
          <w:rFonts w:hint="eastAsia"/>
          <w:color w:val="auto"/>
          <w:sz w:val="24"/>
          <w:szCs w:val="24"/>
          <w:highlight w:val="none"/>
          <w:lang w:val="en-US" w:eastAsia="zh-CN"/>
        </w:rPr>
        <w:t>24</w:t>
      </w:r>
      <w:r>
        <w:rPr>
          <w:rFonts w:hint="eastAsia"/>
          <w:color w:val="auto"/>
          <w:sz w:val="24"/>
          <w:szCs w:val="24"/>
          <w:highlight w:val="none"/>
        </w:rPr>
        <w:t>.3 交易中心和评委会不向未中标的</w:t>
      </w:r>
      <w:r>
        <w:rPr>
          <w:rFonts w:hint="eastAsia"/>
          <w:color w:val="auto"/>
          <w:sz w:val="24"/>
          <w:szCs w:val="24"/>
          <w:highlight w:val="none"/>
          <w:lang w:eastAsia="zh-CN"/>
        </w:rPr>
        <w:t>投标人</w:t>
      </w:r>
      <w:r>
        <w:rPr>
          <w:rFonts w:hint="eastAsia"/>
          <w:color w:val="auto"/>
          <w:sz w:val="24"/>
          <w:szCs w:val="24"/>
          <w:highlight w:val="none"/>
        </w:rPr>
        <w:t>解释未中标原因，也不公布评标过程中的相关细节。</w:t>
      </w:r>
    </w:p>
    <w:p w14:paraId="40D0F470">
      <w:pPr>
        <w:spacing w:line="360" w:lineRule="auto"/>
        <w:ind w:firstLine="480"/>
        <w:jc w:val="left"/>
        <w:rPr>
          <w:color w:val="auto"/>
          <w:sz w:val="24"/>
          <w:szCs w:val="24"/>
          <w:highlight w:val="none"/>
        </w:rPr>
      </w:pPr>
      <w:r>
        <w:rPr>
          <w:rFonts w:hint="eastAsia"/>
          <w:color w:val="auto"/>
          <w:sz w:val="24"/>
          <w:szCs w:val="24"/>
          <w:highlight w:val="none"/>
          <w:lang w:val="en-US" w:eastAsia="zh-CN"/>
        </w:rPr>
        <w:t>24</w:t>
      </w:r>
      <w:r>
        <w:rPr>
          <w:rFonts w:hint="eastAsia"/>
          <w:color w:val="auto"/>
          <w:sz w:val="24"/>
          <w:szCs w:val="24"/>
          <w:highlight w:val="none"/>
        </w:rPr>
        <w:t>.4 采用综合评分法的项目，未中标的</w:t>
      </w:r>
      <w:r>
        <w:rPr>
          <w:rFonts w:hint="eastAsia"/>
          <w:color w:val="auto"/>
          <w:sz w:val="24"/>
          <w:szCs w:val="24"/>
          <w:highlight w:val="none"/>
          <w:lang w:eastAsia="zh-CN"/>
        </w:rPr>
        <w:t>投标人</w:t>
      </w:r>
      <w:r>
        <w:rPr>
          <w:rFonts w:hint="eastAsia"/>
          <w:color w:val="auto"/>
          <w:sz w:val="24"/>
          <w:szCs w:val="24"/>
          <w:highlight w:val="none"/>
        </w:rPr>
        <w:t>可于中标结果公告期限届满之日起通过“苏采云”系统查看自己的评审得分及排序情况。</w:t>
      </w:r>
    </w:p>
    <w:p w14:paraId="4C4AFFDC">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25</w:t>
      </w:r>
      <w:r>
        <w:rPr>
          <w:rFonts w:hint="eastAsia"/>
          <w:color w:val="auto"/>
          <w:sz w:val="28"/>
          <w:szCs w:val="28"/>
          <w:highlight w:val="none"/>
        </w:rPr>
        <w:t>、投标文件的澄清</w:t>
      </w:r>
    </w:p>
    <w:p w14:paraId="6666D4EF">
      <w:pPr>
        <w:spacing w:line="360" w:lineRule="auto"/>
        <w:ind w:firstLine="480"/>
        <w:jc w:val="left"/>
        <w:rPr>
          <w:color w:val="auto"/>
          <w:sz w:val="24"/>
          <w:szCs w:val="24"/>
          <w:highlight w:val="none"/>
        </w:rPr>
      </w:pPr>
      <w:r>
        <w:rPr>
          <w:rFonts w:hint="eastAsia"/>
          <w:color w:val="auto"/>
          <w:sz w:val="24"/>
          <w:szCs w:val="24"/>
          <w:highlight w:val="none"/>
          <w:lang w:val="en-US" w:eastAsia="zh-CN"/>
        </w:rPr>
        <w:t>25</w:t>
      </w:r>
      <w:r>
        <w:rPr>
          <w:rFonts w:hint="eastAsia"/>
          <w:color w:val="auto"/>
          <w:sz w:val="24"/>
          <w:szCs w:val="24"/>
          <w:highlight w:val="none"/>
        </w:rPr>
        <w:t>.1 评标期间，评委会对投标文件中含义不明确、同类问题表述不一致或者有明显文字和计算错误的内容，有权要求</w:t>
      </w:r>
      <w:r>
        <w:rPr>
          <w:rFonts w:hint="eastAsia"/>
          <w:color w:val="auto"/>
          <w:sz w:val="24"/>
          <w:szCs w:val="24"/>
          <w:highlight w:val="none"/>
          <w:lang w:eastAsia="zh-CN"/>
        </w:rPr>
        <w:t>投标人</w:t>
      </w:r>
      <w:r>
        <w:rPr>
          <w:rFonts w:hint="eastAsia"/>
          <w:color w:val="auto"/>
          <w:sz w:val="24"/>
          <w:szCs w:val="24"/>
          <w:highlight w:val="none"/>
        </w:rPr>
        <w:t>作出必要的澄清、说明或者补正。</w:t>
      </w:r>
    </w:p>
    <w:p w14:paraId="32E0F119">
      <w:pPr>
        <w:spacing w:line="360" w:lineRule="auto"/>
        <w:ind w:firstLine="480"/>
        <w:jc w:val="left"/>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的澄清、说明或者补正应当采用书面形式，并加盖公章，或者由法定代表人（单位负责人）或其授权的代表签字。</w:t>
      </w:r>
      <w:r>
        <w:rPr>
          <w:rFonts w:hint="eastAsia"/>
          <w:color w:val="auto"/>
          <w:sz w:val="24"/>
          <w:szCs w:val="24"/>
          <w:highlight w:val="none"/>
          <w:lang w:eastAsia="zh-CN"/>
        </w:rPr>
        <w:t>投标人</w:t>
      </w:r>
      <w:r>
        <w:rPr>
          <w:rFonts w:hint="eastAsia"/>
          <w:color w:val="auto"/>
          <w:sz w:val="24"/>
          <w:szCs w:val="24"/>
          <w:highlight w:val="none"/>
        </w:rPr>
        <w:t>的澄清、说明或者补正不得超出投标文件的范围或者改变投标文件的实质性内容。</w:t>
      </w:r>
    </w:p>
    <w:p w14:paraId="6EEFC19B">
      <w:pPr>
        <w:spacing w:line="360" w:lineRule="auto"/>
        <w:ind w:firstLine="480"/>
        <w:jc w:val="left"/>
        <w:rPr>
          <w:color w:val="auto"/>
          <w:sz w:val="24"/>
          <w:szCs w:val="24"/>
          <w:highlight w:val="none"/>
        </w:rPr>
      </w:pPr>
      <w:r>
        <w:rPr>
          <w:rFonts w:hint="eastAsia"/>
          <w:color w:val="auto"/>
          <w:sz w:val="24"/>
          <w:szCs w:val="24"/>
          <w:highlight w:val="none"/>
        </w:rPr>
        <w:t>评委会并非对每个</w:t>
      </w:r>
      <w:r>
        <w:rPr>
          <w:rFonts w:hint="eastAsia"/>
          <w:color w:val="auto"/>
          <w:sz w:val="24"/>
          <w:szCs w:val="24"/>
          <w:highlight w:val="none"/>
          <w:lang w:eastAsia="zh-CN"/>
        </w:rPr>
        <w:t>投标人</w:t>
      </w:r>
      <w:r>
        <w:rPr>
          <w:rFonts w:hint="eastAsia"/>
          <w:color w:val="auto"/>
          <w:sz w:val="24"/>
          <w:szCs w:val="24"/>
          <w:highlight w:val="none"/>
        </w:rPr>
        <w:t>都提出澄清、说明或者补正要求。</w:t>
      </w:r>
    </w:p>
    <w:p w14:paraId="70E33FF8">
      <w:pPr>
        <w:spacing w:line="360" w:lineRule="auto"/>
        <w:ind w:firstLine="480"/>
        <w:jc w:val="left"/>
        <w:rPr>
          <w:color w:val="auto"/>
          <w:sz w:val="24"/>
          <w:szCs w:val="24"/>
          <w:highlight w:val="none"/>
        </w:rPr>
      </w:pPr>
      <w:r>
        <w:rPr>
          <w:rFonts w:hint="eastAsia"/>
          <w:color w:val="auto"/>
          <w:sz w:val="24"/>
          <w:szCs w:val="24"/>
          <w:highlight w:val="none"/>
          <w:lang w:val="en-US" w:eastAsia="zh-CN"/>
        </w:rPr>
        <w:t>25</w:t>
      </w:r>
      <w:r>
        <w:rPr>
          <w:rFonts w:hint="eastAsia"/>
          <w:color w:val="auto"/>
          <w:sz w:val="24"/>
          <w:szCs w:val="24"/>
          <w:highlight w:val="none"/>
        </w:rPr>
        <w:t>.2 需要</w:t>
      </w:r>
      <w:r>
        <w:rPr>
          <w:rFonts w:hint="eastAsia"/>
          <w:color w:val="auto"/>
          <w:sz w:val="24"/>
          <w:szCs w:val="24"/>
          <w:highlight w:val="none"/>
          <w:lang w:eastAsia="zh-CN"/>
        </w:rPr>
        <w:t>投标人</w:t>
      </w:r>
      <w:r>
        <w:rPr>
          <w:rFonts w:hint="eastAsia"/>
          <w:color w:val="auto"/>
          <w:sz w:val="24"/>
          <w:szCs w:val="24"/>
          <w:highlight w:val="none"/>
        </w:rPr>
        <w:t>进行澄清、说明或者补正的，评委会将通过“苏采云”系统向</w:t>
      </w:r>
      <w:r>
        <w:rPr>
          <w:rFonts w:hint="eastAsia"/>
          <w:color w:val="auto"/>
          <w:sz w:val="24"/>
          <w:szCs w:val="24"/>
          <w:highlight w:val="none"/>
          <w:lang w:eastAsia="zh-CN"/>
        </w:rPr>
        <w:t>投标人</w:t>
      </w:r>
      <w:r>
        <w:rPr>
          <w:rFonts w:hint="eastAsia"/>
          <w:color w:val="auto"/>
          <w:sz w:val="24"/>
          <w:szCs w:val="24"/>
          <w:highlight w:val="none"/>
        </w:rPr>
        <w:t>发出“澄清要求函”，接到“澄清要求函”的</w:t>
      </w:r>
      <w:r>
        <w:rPr>
          <w:rFonts w:hint="eastAsia"/>
          <w:color w:val="auto"/>
          <w:sz w:val="24"/>
          <w:szCs w:val="24"/>
          <w:highlight w:val="none"/>
          <w:lang w:eastAsia="zh-CN"/>
        </w:rPr>
        <w:t>投标人</w:t>
      </w:r>
      <w:r>
        <w:rPr>
          <w:rFonts w:hint="eastAsia"/>
          <w:color w:val="auto"/>
          <w:sz w:val="24"/>
          <w:szCs w:val="24"/>
          <w:highlight w:val="none"/>
        </w:rPr>
        <w:t>应当按照要求在“苏采云”系统中提交“澄清响应函”，并加盖CA电子公章。澄清、说明或者补正的内容作为投标文件的补充部分，具体操作方法见《操作手册》。</w:t>
      </w:r>
    </w:p>
    <w:p w14:paraId="0959BAB8">
      <w:pPr>
        <w:spacing w:line="360" w:lineRule="auto"/>
        <w:ind w:firstLine="480"/>
        <w:jc w:val="left"/>
        <w:rPr>
          <w:color w:val="auto"/>
          <w:sz w:val="24"/>
          <w:szCs w:val="24"/>
          <w:highlight w:val="none"/>
        </w:rPr>
      </w:pPr>
      <w:r>
        <w:rPr>
          <w:rFonts w:hint="eastAsia"/>
          <w:color w:val="auto"/>
          <w:sz w:val="24"/>
          <w:szCs w:val="24"/>
          <w:highlight w:val="none"/>
          <w:lang w:val="en-US" w:eastAsia="zh-CN"/>
        </w:rPr>
        <w:t>25</w:t>
      </w:r>
      <w:r>
        <w:rPr>
          <w:rFonts w:hint="eastAsia"/>
          <w:color w:val="auto"/>
          <w:sz w:val="24"/>
          <w:szCs w:val="24"/>
          <w:highlight w:val="none"/>
        </w:rPr>
        <w:t>.3 接到评委会澄清、说明或者补正要求的</w:t>
      </w:r>
      <w:r>
        <w:rPr>
          <w:rFonts w:hint="eastAsia"/>
          <w:color w:val="auto"/>
          <w:sz w:val="24"/>
          <w:szCs w:val="24"/>
          <w:highlight w:val="none"/>
          <w:lang w:eastAsia="zh-CN"/>
        </w:rPr>
        <w:t>投标人</w:t>
      </w:r>
      <w:r>
        <w:rPr>
          <w:rFonts w:hint="eastAsia"/>
          <w:color w:val="auto"/>
          <w:sz w:val="24"/>
          <w:szCs w:val="24"/>
          <w:highlight w:val="none"/>
        </w:rPr>
        <w:t>如未按要求响应，其风险由</w:t>
      </w:r>
      <w:r>
        <w:rPr>
          <w:rFonts w:hint="eastAsia"/>
          <w:color w:val="auto"/>
          <w:sz w:val="24"/>
          <w:szCs w:val="24"/>
          <w:highlight w:val="none"/>
          <w:lang w:eastAsia="zh-CN"/>
        </w:rPr>
        <w:t>投标人</w:t>
      </w:r>
      <w:r>
        <w:rPr>
          <w:rFonts w:hint="eastAsia"/>
          <w:color w:val="auto"/>
          <w:sz w:val="24"/>
          <w:szCs w:val="24"/>
          <w:highlight w:val="none"/>
        </w:rPr>
        <w:t>自行承担。</w:t>
      </w:r>
    </w:p>
    <w:p w14:paraId="500E7AB0">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26</w:t>
      </w:r>
      <w:r>
        <w:rPr>
          <w:rFonts w:hint="eastAsia"/>
          <w:color w:val="auto"/>
          <w:sz w:val="28"/>
          <w:szCs w:val="28"/>
          <w:highlight w:val="none"/>
        </w:rPr>
        <w:t>、对投标文件的审查</w:t>
      </w:r>
    </w:p>
    <w:p w14:paraId="4790C9C5">
      <w:pPr>
        <w:spacing w:line="360" w:lineRule="auto"/>
        <w:ind w:firstLine="480"/>
        <w:jc w:val="left"/>
        <w:rPr>
          <w:color w:val="auto"/>
          <w:sz w:val="24"/>
          <w:szCs w:val="24"/>
          <w:highlight w:val="none"/>
        </w:rPr>
      </w:pPr>
      <w:r>
        <w:rPr>
          <w:rFonts w:hint="eastAsia"/>
          <w:color w:val="auto"/>
          <w:sz w:val="24"/>
          <w:szCs w:val="24"/>
          <w:highlight w:val="none"/>
          <w:lang w:val="en-US" w:eastAsia="zh-CN"/>
        </w:rPr>
        <w:t>26</w:t>
      </w:r>
      <w:r>
        <w:rPr>
          <w:rFonts w:hint="eastAsia"/>
          <w:color w:val="auto"/>
          <w:sz w:val="24"/>
          <w:szCs w:val="24"/>
          <w:highlight w:val="none"/>
        </w:rPr>
        <w:t>.1 投标文件审查分为资格审查和符合性审查。</w:t>
      </w:r>
    </w:p>
    <w:p w14:paraId="5FFB7E7F">
      <w:pPr>
        <w:pStyle w:val="33"/>
        <w:spacing w:before="0" w:beforeAutospacing="0" w:after="0" w:afterAutospacing="0" w:line="360" w:lineRule="auto"/>
        <w:ind w:firstLine="480"/>
        <w:rPr>
          <w:rFonts w:hint="eastAsia"/>
          <w:color w:val="auto"/>
          <w:szCs w:val="24"/>
          <w:highlight w:val="none"/>
        </w:rPr>
      </w:pPr>
      <w:r>
        <w:rPr>
          <w:rFonts w:hint="eastAsia"/>
          <w:color w:val="auto"/>
          <w:sz w:val="24"/>
          <w:szCs w:val="24"/>
          <w:highlight w:val="none"/>
          <w:lang w:val="en-US" w:eastAsia="zh-CN"/>
        </w:rPr>
        <w:t>26</w:t>
      </w:r>
      <w:r>
        <w:rPr>
          <w:rFonts w:hint="eastAsia"/>
          <w:color w:val="auto"/>
          <w:szCs w:val="24"/>
          <w:highlight w:val="none"/>
        </w:rPr>
        <w:t>.1.1 资格审查：采购人依据法律法规和招标文件的规定，对投标文件中的资格证明文件进行审查。资格审查的结论，采购人以书面形式向评委会进行反馈。</w:t>
      </w:r>
    </w:p>
    <w:p w14:paraId="4DF7464F">
      <w:pPr>
        <w:pStyle w:val="33"/>
        <w:spacing w:before="0" w:beforeAutospacing="0" w:after="0" w:afterAutospacing="0" w:line="360" w:lineRule="auto"/>
        <w:ind w:firstLine="480"/>
        <w:rPr>
          <w:rFonts w:hint="eastAsia"/>
          <w:color w:val="auto"/>
          <w:szCs w:val="24"/>
          <w:highlight w:val="none"/>
        </w:rPr>
      </w:pPr>
      <w:r>
        <w:rPr>
          <w:color w:val="auto"/>
          <w:szCs w:val="24"/>
          <w:highlight w:val="none"/>
        </w:rPr>
        <w:t>采购人在进行资格审查的同时，将在信用中国网站（www.creditchina.gov.cn）查询</w:t>
      </w:r>
      <w:r>
        <w:rPr>
          <w:rFonts w:hint="eastAsia"/>
          <w:color w:val="auto"/>
          <w:szCs w:val="24"/>
          <w:highlight w:val="none"/>
          <w:lang w:eastAsia="zh-CN"/>
        </w:rPr>
        <w:t>投标人</w:t>
      </w:r>
      <w:r>
        <w:rPr>
          <w:color w:val="auto"/>
          <w:szCs w:val="24"/>
          <w:highlight w:val="none"/>
        </w:rPr>
        <w:t>的信用记录，以确定</w:t>
      </w:r>
      <w:r>
        <w:rPr>
          <w:rFonts w:hint="eastAsia"/>
          <w:color w:val="auto"/>
          <w:szCs w:val="24"/>
          <w:highlight w:val="none"/>
          <w:lang w:eastAsia="zh-CN"/>
        </w:rPr>
        <w:t>投标人</w:t>
      </w:r>
      <w:r>
        <w:rPr>
          <w:color w:val="auto"/>
          <w:szCs w:val="24"/>
          <w:highlight w:val="none"/>
        </w:rPr>
        <w:t>是否具备投标资格，查询结果留存并归档。</w:t>
      </w:r>
    </w:p>
    <w:p w14:paraId="19156D7D">
      <w:pPr>
        <w:pStyle w:val="33"/>
        <w:spacing w:before="0" w:beforeAutospacing="0" w:after="0" w:afterAutospacing="0" w:line="360" w:lineRule="auto"/>
        <w:ind w:firstLine="480"/>
        <w:jc w:val="both"/>
        <w:rPr>
          <w:rFonts w:hint="eastAsia"/>
          <w:color w:val="auto"/>
          <w:szCs w:val="24"/>
          <w:highlight w:val="none"/>
        </w:rPr>
      </w:pPr>
      <w:r>
        <w:rPr>
          <w:rFonts w:hint="eastAsia"/>
          <w:color w:val="auto"/>
          <w:sz w:val="24"/>
          <w:szCs w:val="24"/>
          <w:highlight w:val="none"/>
          <w:lang w:val="en-US" w:eastAsia="zh-CN"/>
        </w:rPr>
        <w:t>26</w:t>
      </w:r>
      <w:r>
        <w:rPr>
          <w:color w:val="auto"/>
          <w:szCs w:val="24"/>
          <w:highlight w:val="none"/>
        </w:rPr>
        <w:t xml:space="preserve">.1.2 </w:t>
      </w:r>
      <w:r>
        <w:rPr>
          <w:rFonts w:hint="eastAsia"/>
          <w:color w:val="auto"/>
          <w:szCs w:val="24"/>
          <w:highlight w:val="none"/>
        </w:rPr>
        <w:t>符合性审查：依据招标文件的规定，由评委会</w:t>
      </w:r>
      <w:r>
        <w:rPr>
          <w:rFonts w:hint="eastAsia"/>
          <w:color w:val="auto"/>
          <w:szCs w:val="24"/>
          <w:highlight w:val="none"/>
          <w:lang w:val="en-US" w:eastAsia="zh-CN"/>
        </w:rPr>
        <w:t>对</w:t>
      </w:r>
      <w:r>
        <w:rPr>
          <w:rFonts w:hint="eastAsia"/>
          <w:color w:val="auto"/>
          <w:szCs w:val="24"/>
          <w:highlight w:val="none"/>
        </w:rPr>
        <w:t>投标文件的有效性、完整性和对招标文件的响应程度进行审查，以确定其是否对招标文件的实质性要求作出响应。</w:t>
      </w:r>
    </w:p>
    <w:p w14:paraId="1D969D85">
      <w:pPr>
        <w:pStyle w:val="33"/>
        <w:spacing w:before="0" w:beforeAutospacing="0" w:after="0" w:afterAutospacing="0" w:line="360" w:lineRule="auto"/>
        <w:ind w:firstLine="480"/>
        <w:jc w:val="both"/>
        <w:rPr>
          <w:rFonts w:hint="eastAsia"/>
          <w:color w:val="auto"/>
          <w:szCs w:val="24"/>
          <w:highlight w:val="none"/>
        </w:rPr>
      </w:pPr>
      <w:r>
        <w:rPr>
          <w:rFonts w:hint="eastAsia"/>
          <w:color w:val="auto"/>
          <w:szCs w:val="24"/>
          <w:highlight w:val="none"/>
        </w:rPr>
        <w:t>本招标文件中斜体且有下划线部分为实质性要求和条件，</w:t>
      </w:r>
      <w:r>
        <w:rPr>
          <w:rFonts w:hint="eastAsia"/>
          <w:color w:val="auto"/>
          <w:szCs w:val="24"/>
          <w:highlight w:val="none"/>
          <w:lang w:eastAsia="zh-CN"/>
        </w:rPr>
        <w:t>投标人</w:t>
      </w:r>
      <w:r>
        <w:rPr>
          <w:rFonts w:hint="eastAsia"/>
          <w:color w:val="auto"/>
          <w:szCs w:val="24"/>
          <w:highlight w:val="none"/>
        </w:rPr>
        <w:t>必须逐条做出满足实质性要求和条件的响应，否则将按无效响应处理。</w:t>
      </w:r>
    </w:p>
    <w:p w14:paraId="331A0DA3">
      <w:pPr>
        <w:spacing w:line="360" w:lineRule="auto"/>
        <w:ind w:firstLine="480"/>
        <w:jc w:val="left"/>
        <w:rPr>
          <w:rFonts w:hint="eastAsia"/>
          <w:color w:val="auto"/>
          <w:sz w:val="24"/>
          <w:szCs w:val="24"/>
          <w:highlight w:val="none"/>
        </w:rPr>
      </w:pPr>
      <w:r>
        <w:rPr>
          <w:rFonts w:hint="eastAsia"/>
          <w:color w:val="auto"/>
          <w:sz w:val="24"/>
          <w:szCs w:val="24"/>
          <w:highlight w:val="none"/>
          <w:lang w:val="en-US" w:eastAsia="zh-CN"/>
        </w:rPr>
        <w:t>26</w:t>
      </w:r>
      <w:r>
        <w:rPr>
          <w:color w:val="auto"/>
          <w:sz w:val="24"/>
          <w:szCs w:val="24"/>
          <w:highlight w:val="none"/>
        </w:rPr>
        <w:t>.1.</w:t>
      </w:r>
      <w:r>
        <w:rPr>
          <w:rFonts w:hint="eastAsia"/>
          <w:color w:val="auto"/>
          <w:sz w:val="24"/>
          <w:szCs w:val="24"/>
          <w:highlight w:val="none"/>
          <w:lang w:val="en-US" w:eastAsia="zh-CN"/>
        </w:rPr>
        <w:t xml:space="preserve">3 </w:t>
      </w:r>
      <w:r>
        <w:rPr>
          <w:color w:val="auto"/>
          <w:sz w:val="24"/>
          <w:szCs w:val="24"/>
          <w:highlight w:val="none"/>
        </w:rPr>
        <w:t>未通过资格审查或符合性审查的</w:t>
      </w:r>
      <w:r>
        <w:rPr>
          <w:rFonts w:hint="eastAsia"/>
          <w:color w:val="auto"/>
          <w:sz w:val="24"/>
          <w:szCs w:val="24"/>
          <w:highlight w:val="none"/>
          <w:lang w:eastAsia="zh-CN"/>
        </w:rPr>
        <w:t>投标人</w:t>
      </w:r>
      <w:r>
        <w:rPr>
          <w:color w:val="auto"/>
          <w:sz w:val="24"/>
          <w:szCs w:val="24"/>
          <w:highlight w:val="none"/>
        </w:rPr>
        <w:t>，将通过“苏采云”系统中告知其未通过的原因，评审结束后，将不再告知</w:t>
      </w:r>
      <w:r>
        <w:rPr>
          <w:rFonts w:hint="eastAsia"/>
          <w:color w:val="auto"/>
          <w:sz w:val="24"/>
          <w:szCs w:val="24"/>
          <w:highlight w:val="none"/>
        </w:rPr>
        <w:t>。</w:t>
      </w:r>
    </w:p>
    <w:p w14:paraId="521C9E9B">
      <w:pPr>
        <w:spacing w:line="360" w:lineRule="auto"/>
        <w:ind w:firstLine="480"/>
        <w:jc w:val="left"/>
        <w:rPr>
          <w:color w:val="auto"/>
          <w:sz w:val="24"/>
          <w:szCs w:val="24"/>
          <w:highlight w:val="none"/>
        </w:rPr>
      </w:pPr>
      <w:r>
        <w:rPr>
          <w:rFonts w:hint="eastAsia"/>
          <w:color w:val="auto"/>
          <w:sz w:val="24"/>
          <w:szCs w:val="24"/>
          <w:highlight w:val="none"/>
          <w:lang w:val="en-US" w:eastAsia="zh-CN"/>
        </w:rPr>
        <w:t>26</w:t>
      </w:r>
      <w:r>
        <w:rPr>
          <w:rFonts w:hint="eastAsia"/>
          <w:color w:val="auto"/>
          <w:sz w:val="24"/>
          <w:szCs w:val="24"/>
          <w:highlight w:val="none"/>
        </w:rPr>
        <w:t xml:space="preserve">.2 </w:t>
      </w:r>
      <w:r>
        <w:rPr>
          <w:rFonts w:hint="default" w:cs="Times New Roman"/>
          <w:color w:val="auto"/>
          <w:sz w:val="24"/>
          <w:szCs w:val="24"/>
          <w:highlight w:val="none"/>
        </w:rPr>
        <w:t>所谓重大偏离</w:t>
      </w:r>
      <w:r>
        <w:rPr>
          <w:rFonts w:ascii="Times New Roman" w:hAnsi="Times New Roman"/>
          <w:color w:val="auto"/>
          <w:sz w:val="24"/>
          <w:highlight w:val="none"/>
        </w:rPr>
        <w:t>是指</w:t>
      </w:r>
      <w:r>
        <w:rPr>
          <w:rFonts w:hint="default" w:cs="Times New Roman"/>
          <w:color w:val="auto"/>
          <w:sz w:val="24"/>
          <w:szCs w:val="24"/>
          <w:highlight w:val="none"/>
        </w:rPr>
        <w:t>实质上与招标文件要求不一致，而且限制了合同中买方的权利或</w:t>
      </w:r>
      <w:r>
        <w:rPr>
          <w:rFonts w:hint="default" w:cs="Times New Roman"/>
          <w:color w:val="auto"/>
          <w:sz w:val="24"/>
          <w:szCs w:val="24"/>
          <w:highlight w:val="none"/>
          <w:lang w:eastAsia="zh-CN"/>
        </w:rPr>
        <w:t>投标人</w:t>
      </w:r>
      <w:r>
        <w:rPr>
          <w:rFonts w:hint="default" w:cs="Times New Roman"/>
          <w:color w:val="auto"/>
          <w:sz w:val="24"/>
          <w:szCs w:val="24"/>
          <w:highlight w:val="none"/>
        </w:rPr>
        <w:t>的义务，纠正这些偏离将会对其他实质性响应要求的</w:t>
      </w:r>
      <w:r>
        <w:rPr>
          <w:rFonts w:hint="default" w:cs="Times New Roman"/>
          <w:color w:val="auto"/>
          <w:sz w:val="24"/>
          <w:szCs w:val="24"/>
          <w:highlight w:val="none"/>
          <w:lang w:eastAsia="zh-CN"/>
        </w:rPr>
        <w:t>投标人</w:t>
      </w:r>
      <w:r>
        <w:rPr>
          <w:rFonts w:hint="default" w:cs="Times New Roman"/>
          <w:color w:val="auto"/>
          <w:sz w:val="24"/>
          <w:szCs w:val="24"/>
          <w:highlight w:val="none"/>
        </w:rPr>
        <w:t>的竞争地位产生不公正的影响。重大偏离的认定须经过评委会以少数服从多数的原则作出结论。评委会决定投标文件的响应性只根据投标文件本身的内容，而不寻求外部的证据。</w:t>
      </w:r>
    </w:p>
    <w:p w14:paraId="15E90F22">
      <w:pPr>
        <w:spacing w:line="360" w:lineRule="auto"/>
        <w:ind w:firstLine="480"/>
        <w:jc w:val="left"/>
        <w:rPr>
          <w:color w:val="auto"/>
          <w:sz w:val="24"/>
          <w:szCs w:val="24"/>
          <w:highlight w:val="none"/>
        </w:rPr>
      </w:pPr>
      <w:r>
        <w:rPr>
          <w:rFonts w:hint="eastAsia"/>
          <w:color w:val="auto"/>
          <w:sz w:val="24"/>
          <w:szCs w:val="24"/>
          <w:highlight w:val="none"/>
          <w:lang w:val="en-US" w:eastAsia="zh-CN"/>
        </w:rPr>
        <w:t>26</w:t>
      </w:r>
      <w:r>
        <w:rPr>
          <w:rFonts w:hint="eastAsia"/>
          <w:color w:val="auto"/>
          <w:sz w:val="24"/>
          <w:szCs w:val="24"/>
          <w:highlight w:val="none"/>
        </w:rPr>
        <w:t>.3如果投标文件实质上没有响应招标文件的要求，评委会将予以拒绝，</w:t>
      </w:r>
      <w:r>
        <w:rPr>
          <w:rFonts w:hint="eastAsia"/>
          <w:color w:val="auto"/>
          <w:sz w:val="24"/>
          <w:szCs w:val="24"/>
          <w:highlight w:val="none"/>
          <w:lang w:eastAsia="zh-CN"/>
        </w:rPr>
        <w:t>投标人</w:t>
      </w:r>
      <w:r>
        <w:rPr>
          <w:rFonts w:hint="eastAsia"/>
          <w:color w:val="auto"/>
          <w:sz w:val="24"/>
          <w:szCs w:val="24"/>
          <w:highlight w:val="none"/>
        </w:rPr>
        <w:t>不得通过修改或撤销不符合要求的偏离而使其投标成为实质性响应的投标。</w:t>
      </w:r>
    </w:p>
    <w:p w14:paraId="19DBAED3">
      <w:pPr>
        <w:spacing w:line="360" w:lineRule="auto"/>
        <w:ind w:firstLine="480"/>
        <w:jc w:val="left"/>
        <w:rPr>
          <w:color w:val="auto"/>
          <w:sz w:val="24"/>
          <w:szCs w:val="24"/>
          <w:highlight w:val="none"/>
        </w:rPr>
      </w:pPr>
      <w:r>
        <w:rPr>
          <w:rFonts w:hint="eastAsia"/>
          <w:color w:val="auto"/>
          <w:sz w:val="24"/>
          <w:szCs w:val="24"/>
          <w:highlight w:val="none"/>
          <w:lang w:val="en-US" w:eastAsia="zh-CN"/>
        </w:rPr>
        <w:t>26</w:t>
      </w:r>
      <w:r>
        <w:rPr>
          <w:rFonts w:hint="eastAsia"/>
          <w:color w:val="auto"/>
          <w:sz w:val="24"/>
          <w:szCs w:val="24"/>
          <w:highlight w:val="none"/>
        </w:rPr>
        <w:t>.4 评委会将对确定为实质性响应的投标进行进一步审核，看其是否有计算上或累加上的算术错误，修正错误的原则如下：</w:t>
      </w:r>
    </w:p>
    <w:p w14:paraId="0A0C9302">
      <w:pPr>
        <w:spacing w:line="360" w:lineRule="auto"/>
        <w:ind w:firstLine="480"/>
        <w:jc w:val="left"/>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79BAD7D6">
      <w:pPr>
        <w:spacing w:line="360" w:lineRule="auto"/>
        <w:ind w:firstLine="480"/>
        <w:jc w:val="left"/>
        <w:rPr>
          <w:color w:val="auto"/>
          <w:sz w:val="24"/>
          <w:szCs w:val="24"/>
          <w:highlight w:val="none"/>
        </w:rPr>
      </w:pPr>
      <w:r>
        <w:rPr>
          <w:rFonts w:hint="eastAsia"/>
          <w:color w:val="auto"/>
          <w:sz w:val="24"/>
          <w:szCs w:val="24"/>
          <w:highlight w:val="none"/>
        </w:rPr>
        <w:t>（2）大写金额和小写金额不一致的，以大写金额为准。</w:t>
      </w:r>
    </w:p>
    <w:p w14:paraId="7AACB03E">
      <w:pPr>
        <w:spacing w:line="360" w:lineRule="auto"/>
        <w:ind w:firstLine="480"/>
        <w:jc w:val="left"/>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75A95DD8">
      <w:pPr>
        <w:spacing w:line="360" w:lineRule="auto"/>
        <w:ind w:firstLine="480"/>
        <w:jc w:val="left"/>
        <w:rPr>
          <w:color w:val="auto"/>
          <w:sz w:val="24"/>
          <w:szCs w:val="24"/>
          <w:highlight w:val="none"/>
        </w:rPr>
      </w:pPr>
      <w:r>
        <w:rPr>
          <w:rFonts w:hint="eastAsia"/>
          <w:color w:val="auto"/>
          <w:sz w:val="24"/>
          <w:szCs w:val="24"/>
          <w:highlight w:val="none"/>
        </w:rPr>
        <w:t>（4）总价金额与按单价汇总金额不一致的，以单价金额计算结果为准。</w:t>
      </w:r>
    </w:p>
    <w:p w14:paraId="0D8FB666">
      <w:pPr>
        <w:spacing w:line="360" w:lineRule="auto"/>
        <w:ind w:firstLine="480"/>
        <w:jc w:val="left"/>
        <w:rPr>
          <w:color w:val="auto"/>
          <w:sz w:val="24"/>
          <w:szCs w:val="24"/>
          <w:highlight w:val="none"/>
        </w:rPr>
      </w:pPr>
      <w:r>
        <w:rPr>
          <w:rFonts w:hint="eastAsia"/>
          <w:color w:val="auto"/>
          <w:sz w:val="24"/>
          <w:szCs w:val="24"/>
          <w:highlight w:val="none"/>
        </w:rPr>
        <w:t>同时出现两种以上错误的，按照前款规定的顺序修正。</w:t>
      </w:r>
    </w:p>
    <w:p w14:paraId="41791BC2">
      <w:pPr>
        <w:spacing w:line="360" w:lineRule="auto"/>
        <w:ind w:firstLine="480"/>
        <w:jc w:val="left"/>
        <w:rPr>
          <w:rFonts w:hint="eastAsia"/>
          <w:color w:val="auto"/>
          <w:sz w:val="24"/>
          <w:szCs w:val="24"/>
          <w:highlight w:val="none"/>
        </w:rPr>
      </w:pPr>
      <w:r>
        <w:rPr>
          <w:rFonts w:hint="eastAsia"/>
          <w:color w:val="auto"/>
          <w:sz w:val="24"/>
          <w:szCs w:val="24"/>
          <w:highlight w:val="none"/>
          <w:lang w:val="en-US" w:eastAsia="zh-CN"/>
        </w:rPr>
        <w:t>26</w:t>
      </w:r>
      <w:r>
        <w:rPr>
          <w:rFonts w:hint="eastAsia"/>
          <w:color w:val="auto"/>
          <w:sz w:val="24"/>
          <w:szCs w:val="24"/>
          <w:highlight w:val="none"/>
        </w:rPr>
        <w:t>.5 评委会将按上述修正错误的方法调整投标文件中的投标报价，并通过“苏采云”系统告知</w:t>
      </w:r>
      <w:r>
        <w:rPr>
          <w:rFonts w:hint="eastAsia"/>
          <w:color w:val="auto"/>
          <w:sz w:val="24"/>
          <w:szCs w:val="24"/>
          <w:highlight w:val="none"/>
          <w:lang w:eastAsia="zh-CN"/>
        </w:rPr>
        <w:t>投标人</w:t>
      </w:r>
      <w:r>
        <w:rPr>
          <w:rFonts w:hint="eastAsia"/>
          <w:color w:val="auto"/>
          <w:sz w:val="24"/>
          <w:szCs w:val="24"/>
          <w:highlight w:val="none"/>
        </w:rPr>
        <w:t>，调整后的价格对</w:t>
      </w:r>
      <w:r>
        <w:rPr>
          <w:rFonts w:hint="eastAsia"/>
          <w:color w:val="auto"/>
          <w:sz w:val="24"/>
          <w:szCs w:val="24"/>
          <w:highlight w:val="none"/>
          <w:lang w:eastAsia="zh-CN"/>
        </w:rPr>
        <w:t>投标人</w:t>
      </w:r>
      <w:r>
        <w:rPr>
          <w:rFonts w:hint="eastAsia"/>
          <w:color w:val="auto"/>
          <w:sz w:val="24"/>
          <w:szCs w:val="24"/>
          <w:highlight w:val="none"/>
        </w:rPr>
        <w:t>具有约束力。如果</w:t>
      </w:r>
      <w:r>
        <w:rPr>
          <w:rFonts w:hint="eastAsia"/>
          <w:color w:val="auto"/>
          <w:sz w:val="24"/>
          <w:szCs w:val="24"/>
          <w:highlight w:val="none"/>
          <w:lang w:eastAsia="zh-CN"/>
        </w:rPr>
        <w:t>投标人</w:t>
      </w:r>
      <w:r>
        <w:rPr>
          <w:rFonts w:hint="eastAsia"/>
          <w:color w:val="auto"/>
          <w:sz w:val="24"/>
          <w:szCs w:val="24"/>
          <w:highlight w:val="none"/>
        </w:rPr>
        <w:t>不接受修正后的价格，则其投标将被拒绝。</w:t>
      </w:r>
    </w:p>
    <w:p w14:paraId="53589E14">
      <w:pPr>
        <w:spacing w:line="360" w:lineRule="auto"/>
        <w:ind w:firstLine="480"/>
        <w:jc w:val="left"/>
        <w:rPr>
          <w:color w:val="auto"/>
          <w:sz w:val="24"/>
          <w:szCs w:val="24"/>
          <w:highlight w:val="none"/>
        </w:rPr>
      </w:pPr>
      <w:r>
        <w:rPr>
          <w:rFonts w:hint="eastAsia"/>
          <w:color w:val="auto"/>
          <w:sz w:val="24"/>
          <w:szCs w:val="24"/>
          <w:highlight w:val="none"/>
          <w:lang w:val="en-US" w:eastAsia="zh-CN"/>
        </w:rPr>
        <w:t>26</w:t>
      </w:r>
      <w:r>
        <w:rPr>
          <w:rFonts w:hint="eastAsia"/>
          <w:color w:val="auto"/>
          <w:sz w:val="24"/>
          <w:szCs w:val="24"/>
          <w:highlight w:val="none"/>
        </w:rPr>
        <w:t>.6 采用综合评分法的采购项目，评审得分相同的，由评委会按照招标文件规定的方式确定一个</w:t>
      </w:r>
      <w:r>
        <w:rPr>
          <w:rFonts w:hint="eastAsia"/>
          <w:color w:val="auto"/>
          <w:sz w:val="24"/>
          <w:szCs w:val="24"/>
          <w:highlight w:val="none"/>
          <w:lang w:eastAsia="zh-CN"/>
        </w:rPr>
        <w:t>投标人</w:t>
      </w:r>
      <w:r>
        <w:rPr>
          <w:rFonts w:hint="eastAsia"/>
          <w:color w:val="auto"/>
          <w:sz w:val="24"/>
          <w:szCs w:val="24"/>
          <w:highlight w:val="none"/>
        </w:rPr>
        <w:t>获得中标人推荐资格，招标文件未规定的采取随机抽取方式确定。</w:t>
      </w:r>
    </w:p>
    <w:p w14:paraId="6F8226B8">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27</w:t>
      </w:r>
      <w:r>
        <w:rPr>
          <w:rFonts w:hint="eastAsia"/>
          <w:color w:val="auto"/>
          <w:sz w:val="28"/>
          <w:szCs w:val="28"/>
          <w:highlight w:val="none"/>
        </w:rPr>
        <w:t>、无效投标条款和废标条款</w:t>
      </w:r>
    </w:p>
    <w:p w14:paraId="479D1FAD">
      <w:pPr>
        <w:spacing w:line="360" w:lineRule="auto"/>
        <w:ind w:firstLine="480"/>
        <w:jc w:val="left"/>
        <w:rPr>
          <w:color w:val="auto"/>
          <w:sz w:val="24"/>
          <w:szCs w:val="24"/>
          <w:highlight w:val="none"/>
        </w:rPr>
      </w:pPr>
      <w:r>
        <w:rPr>
          <w:rFonts w:hint="eastAsia"/>
          <w:color w:val="auto"/>
          <w:sz w:val="24"/>
          <w:szCs w:val="24"/>
          <w:highlight w:val="none"/>
          <w:lang w:val="en-US" w:eastAsia="zh-CN"/>
        </w:rPr>
        <w:t>27</w:t>
      </w:r>
      <w:r>
        <w:rPr>
          <w:rFonts w:hint="eastAsia"/>
          <w:color w:val="auto"/>
          <w:sz w:val="24"/>
          <w:szCs w:val="24"/>
          <w:highlight w:val="none"/>
        </w:rPr>
        <w:t>.1 无效投标条款：</w:t>
      </w:r>
    </w:p>
    <w:p w14:paraId="419D20F5">
      <w:pPr>
        <w:spacing w:line="360" w:lineRule="auto"/>
        <w:ind w:firstLine="480"/>
        <w:jc w:val="left"/>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投标人</w:t>
      </w:r>
      <w:r>
        <w:rPr>
          <w:rFonts w:hint="eastAsia"/>
          <w:color w:val="auto"/>
          <w:sz w:val="24"/>
          <w:szCs w:val="24"/>
          <w:highlight w:val="none"/>
        </w:rPr>
        <w:t>未按照招标文件要求递交（上传）电子投标文件的。</w:t>
      </w:r>
    </w:p>
    <w:p w14:paraId="7C81892C">
      <w:pPr>
        <w:spacing w:line="360" w:lineRule="auto"/>
        <w:ind w:firstLine="480"/>
        <w:jc w:val="left"/>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投标人</w:t>
      </w:r>
      <w:r>
        <w:rPr>
          <w:rFonts w:hint="eastAsia"/>
          <w:color w:val="auto"/>
          <w:sz w:val="24"/>
          <w:szCs w:val="24"/>
          <w:highlight w:val="none"/>
        </w:rPr>
        <w:t>在“苏采云”系统规定的时间内未成功解密电子投标文件的。</w:t>
      </w:r>
    </w:p>
    <w:p w14:paraId="09DBF8B7">
      <w:pPr>
        <w:spacing w:line="360" w:lineRule="auto"/>
        <w:ind w:firstLine="480"/>
        <w:jc w:val="left"/>
        <w:rPr>
          <w:color w:val="auto"/>
          <w:sz w:val="24"/>
          <w:szCs w:val="24"/>
          <w:highlight w:val="none"/>
        </w:rPr>
      </w:pPr>
      <w:r>
        <w:rPr>
          <w:rFonts w:hint="eastAsia"/>
          <w:color w:val="auto"/>
          <w:sz w:val="24"/>
          <w:szCs w:val="24"/>
          <w:highlight w:val="none"/>
        </w:rPr>
        <w:t>（3）</w:t>
      </w:r>
      <w:r>
        <w:rPr>
          <w:rFonts w:hint="eastAsia"/>
          <w:color w:val="auto"/>
          <w:sz w:val="24"/>
          <w:szCs w:val="24"/>
          <w:highlight w:val="none"/>
          <w:lang w:eastAsia="zh-CN"/>
        </w:rPr>
        <w:t>投标人</w:t>
      </w:r>
      <w:r>
        <w:rPr>
          <w:rFonts w:hint="eastAsia"/>
          <w:color w:val="auto"/>
          <w:sz w:val="24"/>
          <w:szCs w:val="24"/>
          <w:highlight w:val="none"/>
        </w:rPr>
        <w:t>不具备招标文件中规定的资格要求的。</w:t>
      </w:r>
    </w:p>
    <w:p w14:paraId="07C4BF23">
      <w:pPr>
        <w:spacing w:line="360" w:lineRule="auto"/>
        <w:ind w:firstLine="480"/>
        <w:jc w:val="left"/>
        <w:rPr>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投标人</w:t>
      </w:r>
      <w:r>
        <w:rPr>
          <w:rFonts w:hint="eastAsia"/>
          <w:color w:val="auto"/>
          <w:sz w:val="24"/>
          <w:szCs w:val="24"/>
          <w:highlight w:val="none"/>
        </w:rPr>
        <w:t>被信用中国网站（www.creditchina.gov.cn）列入失信被执行人、重大税收违法案件当事人名单、政府采购严重违法失信行为记录名单及其他不符合《中华人民共和国政府采购法》第二十二条规定情形的。</w:t>
      </w:r>
    </w:p>
    <w:p w14:paraId="451E101F">
      <w:pPr>
        <w:spacing w:line="360" w:lineRule="auto"/>
        <w:ind w:firstLine="480"/>
        <w:jc w:val="left"/>
        <w:rPr>
          <w:color w:val="auto"/>
          <w:sz w:val="24"/>
          <w:szCs w:val="24"/>
          <w:highlight w:val="none"/>
        </w:rPr>
      </w:pPr>
      <w:r>
        <w:rPr>
          <w:rFonts w:hint="eastAsia"/>
          <w:color w:val="auto"/>
          <w:sz w:val="24"/>
          <w:szCs w:val="24"/>
          <w:highlight w:val="none"/>
        </w:rPr>
        <w:t>（5）</w:t>
      </w:r>
      <w:r>
        <w:rPr>
          <w:rFonts w:hint="eastAsia"/>
          <w:color w:val="auto"/>
          <w:sz w:val="24"/>
          <w:szCs w:val="24"/>
          <w:highlight w:val="none"/>
          <w:lang w:eastAsia="zh-CN"/>
        </w:rPr>
        <w:t>投标人</w:t>
      </w:r>
      <w:r>
        <w:rPr>
          <w:rFonts w:hint="eastAsia"/>
          <w:color w:val="auto"/>
          <w:sz w:val="24"/>
          <w:szCs w:val="24"/>
          <w:highlight w:val="none"/>
        </w:rPr>
        <w:t>提交两个（含两个）以上不同的投标报价的。</w:t>
      </w:r>
    </w:p>
    <w:p w14:paraId="33C9154A">
      <w:pPr>
        <w:spacing w:line="360" w:lineRule="auto"/>
        <w:ind w:firstLine="480"/>
        <w:jc w:val="left"/>
        <w:rPr>
          <w:color w:val="auto"/>
          <w:sz w:val="24"/>
          <w:szCs w:val="24"/>
          <w:highlight w:val="none"/>
        </w:rPr>
      </w:pPr>
      <w:r>
        <w:rPr>
          <w:rFonts w:hint="eastAsia"/>
          <w:color w:val="auto"/>
          <w:sz w:val="24"/>
          <w:szCs w:val="24"/>
          <w:highlight w:val="none"/>
        </w:rPr>
        <w:t>（6）</w:t>
      </w:r>
      <w:r>
        <w:rPr>
          <w:rFonts w:hint="eastAsia"/>
          <w:color w:val="auto"/>
          <w:sz w:val="24"/>
          <w:szCs w:val="24"/>
          <w:highlight w:val="none"/>
          <w:lang w:eastAsia="zh-CN"/>
        </w:rPr>
        <w:t>投标人</w:t>
      </w:r>
      <w:r>
        <w:rPr>
          <w:rFonts w:hint="eastAsia"/>
          <w:color w:val="auto"/>
          <w:sz w:val="24"/>
          <w:szCs w:val="24"/>
          <w:highlight w:val="none"/>
        </w:rPr>
        <w:t>的报价超过了采购预算或者最高限价的。</w:t>
      </w:r>
    </w:p>
    <w:p w14:paraId="547BD9E5">
      <w:pPr>
        <w:spacing w:line="360" w:lineRule="auto"/>
        <w:ind w:firstLine="480"/>
        <w:jc w:val="left"/>
        <w:rPr>
          <w:color w:val="auto"/>
          <w:sz w:val="24"/>
          <w:szCs w:val="24"/>
          <w:highlight w:val="none"/>
        </w:rPr>
      </w:pPr>
      <w:r>
        <w:rPr>
          <w:rFonts w:hint="eastAsia"/>
          <w:color w:val="auto"/>
          <w:sz w:val="24"/>
          <w:szCs w:val="24"/>
          <w:highlight w:val="none"/>
        </w:rPr>
        <w:t>（7）评标委员会认为</w:t>
      </w:r>
      <w:r>
        <w:rPr>
          <w:rFonts w:hint="eastAsia"/>
          <w:color w:val="auto"/>
          <w:sz w:val="24"/>
          <w:szCs w:val="24"/>
          <w:highlight w:val="none"/>
          <w:lang w:eastAsia="zh-CN"/>
        </w:rPr>
        <w:t>投标人</w:t>
      </w:r>
      <w:r>
        <w:rPr>
          <w:rFonts w:hint="eastAsia"/>
          <w:color w:val="auto"/>
          <w:sz w:val="24"/>
          <w:szCs w:val="24"/>
          <w:highlight w:val="none"/>
        </w:rPr>
        <w:t>的报价明显低于其他通过符合性审查</w:t>
      </w:r>
      <w:r>
        <w:rPr>
          <w:rFonts w:hint="eastAsia"/>
          <w:color w:val="auto"/>
          <w:sz w:val="24"/>
          <w:szCs w:val="24"/>
          <w:highlight w:val="none"/>
          <w:lang w:eastAsia="zh-CN"/>
        </w:rPr>
        <w:t>投标人</w:t>
      </w:r>
      <w:r>
        <w:rPr>
          <w:rFonts w:hint="eastAsia"/>
          <w:color w:val="auto"/>
          <w:sz w:val="24"/>
          <w:szCs w:val="24"/>
          <w:highlight w:val="none"/>
        </w:rPr>
        <w:t>的报价，有可能影响产品质量或者不能诚信履约的，或评标委员会启动异常低价投标（响应）审查程序，</w:t>
      </w:r>
      <w:r>
        <w:rPr>
          <w:rFonts w:hint="eastAsia"/>
          <w:color w:val="auto"/>
          <w:sz w:val="24"/>
          <w:szCs w:val="24"/>
          <w:highlight w:val="none"/>
          <w:lang w:eastAsia="zh-CN"/>
        </w:rPr>
        <w:t>投标人</w:t>
      </w:r>
      <w:r>
        <w:rPr>
          <w:rFonts w:hint="eastAsia"/>
          <w:color w:val="auto"/>
          <w:sz w:val="24"/>
          <w:szCs w:val="24"/>
          <w:highlight w:val="none"/>
        </w:rPr>
        <w:t>在规定时间内未提供书面说明、证明材料，或提供的书面说明、证明材料不能证明其报价合理性的。</w:t>
      </w:r>
    </w:p>
    <w:p w14:paraId="36305E7A">
      <w:pPr>
        <w:spacing w:line="360" w:lineRule="auto"/>
        <w:ind w:firstLine="480"/>
        <w:jc w:val="left"/>
        <w:rPr>
          <w:color w:val="auto"/>
          <w:sz w:val="24"/>
          <w:szCs w:val="24"/>
          <w:highlight w:val="none"/>
        </w:rPr>
      </w:pPr>
      <w:r>
        <w:rPr>
          <w:rFonts w:hint="eastAsia"/>
          <w:color w:val="auto"/>
          <w:sz w:val="24"/>
          <w:szCs w:val="24"/>
          <w:highlight w:val="none"/>
        </w:rPr>
        <w:t>（8）不符合招标文件规定的实质性要求和条件的。（本招标文件中斜体且有下划线部分为实质性要求和条件）</w:t>
      </w:r>
    </w:p>
    <w:p w14:paraId="462ABFCB">
      <w:pPr>
        <w:spacing w:line="360" w:lineRule="auto"/>
        <w:ind w:firstLine="480"/>
        <w:jc w:val="left"/>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w:t>
      </w:r>
      <w:r>
        <w:rPr>
          <w:rFonts w:hint="eastAsia"/>
          <w:color w:val="auto"/>
          <w:sz w:val="24"/>
          <w:szCs w:val="24"/>
          <w:highlight w:val="none"/>
          <w:lang w:eastAsia="zh-CN"/>
        </w:rPr>
        <w:t>投标人</w:t>
      </w:r>
      <w:r>
        <w:rPr>
          <w:rFonts w:hint="eastAsia"/>
          <w:color w:val="auto"/>
          <w:sz w:val="24"/>
          <w:szCs w:val="24"/>
          <w:highlight w:val="none"/>
        </w:rPr>
        <w:t>投标产品不在强制采购范围内或者未按要求提供国家确定的认证机构出具的、处于有效期之内的节能产品认证证书的。</w:t>
      </w:r>
    </w:p>
    <w:p w14:paraId="7E803559">
      <w:pPr>
        <w:spacing w:line="360" w:lineRule="auto"/>
        <w:ind w:firstLine="480"/>
        <w:jc w:val="left"/>
        <w:rPr>
          <w:color w:val="auto"/>
          <w:sz w:val="24"/>
          <w:szCs w:val="24"/>
          <w:highlight w:val="none"/>
        </w:rPr>
      </w:pPr>
      <w:r>
        <w:rPr>
          <w:rFonts w:hint="eastAsia"/>
          <w:color w:val="auto"/>
          <w:sz w:val="24"/>
          <w:szCs w:val="24"/>
          <w:highlight w:val="none"/>
        </w:rPr>
        <w:t>（10）</w:t>
      </w:r>
      <w:r>
        <w:rPr>
          <w:rFonts w:hint="eastAsia"/>
          <w:color w:val="auto"/>
          <w:sz w:val="24"/>
          <w:szCs w:val="24"/>
          <w:highlight w:val="none"/>
          <w:lang w:eastAsia="zh-CN"/>
        </w:rPr>
        <w:t>投标人</w:t>
      </w:r>
      <w:r>
        <w:rPr>
          <w:rFonts w:hint="eastAsia"/>
          <w:color w:val="auto"/>
          <w:sz w:val="24"/>
          <w:szCs w:val="24"/>
          <w:highlight w:val="none"/>
        </w:rPr>
        <w:t>未通过符合性审查的。</w:t>
      </w:r>
    </w:p>
    <w:p w14:paraId="603F3389">
      <w:pPr>
        <w:spacing w:line="360" w:lineRule="auto"/>
        <w:ind w:firstLine="480"/>
        <w:jc w:val="left"/>
        <w:rPr>
          <w:color w:val="auto"/>
          <w:sz w:val="24"/>
          <w:szCs w:val="24"/>
          <w:highlight w:val="none"/>
        </w:rPr>
      </w:pPr>
      <w:r>
        <w:rPr>
          <w:rFonts w:hint="eastAsia"/>
          <w:color w:val="auto"/>
          <w:sz w:val="24"/>
          <w:szCs w:val="24"/>
          <w:highlight w:val="none"/>
        </w:rPr>
        <w:t>（11）投标文件含有采购人不能接受的附加条件的。</w:t>
      </w:r>
    </w:p>
    <w:p w14:paraId="56260DF6">
      <w:pPr>
        <w:spacing w:line="360" w:lineRule="auto"/>
        <w:ind w:firstLine="480"/>
        <w:jc w:val="left"/>
        <w:rPr>
          <w:color w:val="auto"/>
          <w:sz w:val="24"/>
          <w:szCs w:val="24"/>
          <w:highlight w:val="none"/>
        </w:rPr>
      </w:pPr>
      <w:r>
        <w:rPr>
          <w:rFonts w:hint="eastAsia"/>
          <w:color w:val="auto"/>
          <w:sz w:val="24"/>
          <w:szCs w:val="24"/>
          <w:highlight w:val="none"/>
        </w:rPr>
        <w:t>（12）投标文件未按照招标文件要求加盖公章（CA电子公章）的。</w:t>
      </w:r>
    </w:p>
    <w:p w14:paraId="43535AD9">
      <w:pPr>
        <w:spacing w:line="360" w:lineRule="auto"/>
        <w:ind w:firstLine="480"/>
        <w:jc w:val="left"/>
        <w:rPr>
          <w:color w:val="auto"/>
          <w:sz w:val="24"/>
          <w:szCs w:val="24"/>
          <w:highlight w:val="none"/>
        </w:rPr>
      </w:pPr>
      <w:r>
        <w:rPr>
          <w:rFonts w:hint="eastAsia"/>
          <w:color w:val="auto"/>
          <w:sz w:val="24"/>
          <w:szCs w:val="24"/>
          <w:highlight w:val="none"/>
        </w:rPr>
        <w:t>（13）其他法律、法规及本招标文件规定的属于无效投标的情形。</w:t>
      </w:r>
    </w:p>
    <w:p w14:paraId="6F9FDE13">
      <w:pPr>
        <w:spacing w:line="360" w:lineRule="auto"/>
        <w:ind w:firstLine="480"/>
        <w:jc w:val="left"/>
        <w:rPr>
          <w:color w:val="auto"/>
          <w:sz w:val="24"/>
          <w:szCs w:val="24"/>
          <w:highlight w:val="none"/>
        </w:rPr>
      </w:pPr>
      <w:r>
        <w:rPr>
          <w:rFonts w:hint="eastAsia"/>
          <w:color w:val="auto"/>
          <w:sz w:val="24"/>
          <w:szCs w:val="24"/>
          <w:highlight w:val="none"/>
          <w:lang w:val="en-US" w:eastAsia="zh-CN"/>
        </w:rPr>
        <w:t>27</w:t>
      </w:r>
      <w:r>
        <w:rPr>
          <w:rFonts w:hint="eastAsia"/>
          <w:color w:val="auto"/>
          <w:sz w:val="24"/>
          <w:szCs w:val="24"/>
          <w:highlight w:val="none"/>
        </w:rPr>
        <w:t>.2 有下列情形之一的，视为</w:t>
      </w:r>
      <w:r>
        <w:rPr>
          <w:rFonts w:hint="eastAsia"/>
          <w:color w:val="auto"/>
          <w:sz w:val="24"/>
          <w:szCs w:val="24"/>
          <w:highlight w:val="none"/>
          <w:lang w:eastAsia="zh-CN"/>
        </w:rPr>
        <w:t>投标人</w:t>
      </w:r>
      <w:r>
        <w:rPr>
          <w:rFonts w:hint="eastAsia"/>
          <w:color w:val="auto"/>
          <w:sz w:val="24"/>
          <w:szCs w:val="24"/>
          <w:highlight w:val="none"/>
        </w:rPr>
        <w:t>串通投标，投标无效：</w:t>
      </w:r>
    </w:p>
    <w:p w14:paraId="7929DA59">
      <w:pPr>
        <w:spacing w:line="360" w:lineRule="auto"/>
        <w:ind w:firstLine="480"/>
        <w:jc w:val="left"/>
        <w:rPr>
          <w:color w:val="auto"/>
          <w:sz w:val="24"/>
          <w:szCs w:val="24"/>
          <w:highlight w:val="none"/>
        </w:rPr>
      </w:pPr>
      <w:r>
        <w:rPr>
          <w:rFonts w:hint="eastAsia"/>
          <w:color w:val="auto"/>
          <w:sz w:val="24"/>
          <w:szCs w:val="24"/>
          <w:highlight w:val="none"/>
        </w:rPr>
        <w:t>（1）不同</w:t>
      </w:r>
      <w:r>
        <w:rPr>
          <w:rFonts w:hint="eastAsia"/>
          <w:color w:val="auto"/>
          <w:sz w:val="24"/>
          <w:szCs w:val="24"/>
          <w:highlight w:val="none"/>
          <w:lang w:eastAsia="zh-CN"/>
        </w:rPr>
        <w:t>投标人</w:t>
      </w:r>
      <w:r>
        <w:rPr>
          <w:rFonts w:hint="eastAsia"/>
          <w:color w:val="auto"/>
          <w:sz w:val="24"/>
          <w:szCs w:val="24"/>
          <w:highlight w:val="none"/>
        </w:rPr>
        <w:t>的投标文件由同一单位或者个人编制。</w:t>
      </w:r>
    </w:p>
    <w:p w14:paraId="62C9BE60">
      <w:pPr>
        <w:spacing w:line="360" w:lineRule="auto"/>
        <w:ind w:firstLine="480"/>
        <w:jc w:val="left"/>
        <w:rPr>
          <w:color w:val="auto"/>
          <w:sz w:val="24"/>
          <w:szCs w:val="24"/>
          <w:highlight w:val="none"/>
        </w:rPr>
      </w:pPr>
      <w:r>
        <w:rPr>
          <w:rFonts w:hint="eastAsia"/>
          <w:color w:val="auto"/>
          <w:sz w:val="24"/>
          <w:szCs w:val="24"/>
          <w:highlight w:val="none"/>
        </w:rPr>
        <w:t>（2）不同</w:t>
      </w:r>
      <w:r>
        <w:rPr>
          <w:rFonts w:hint="eastAsia"/>
          <w:color w:val="auto"/>
          <w:sz w:val="24"/>
          <w:szCs w:val="24"/>
          <w:highlight w:val="none"/>
          <w:lang w:eastAsia="zh-CN"/>
        </w:rPr>
        <w:t>投标人</w:t>
      </w:r>
      <w:r>
        <w:rPr>
          <w:rFonts w:hint="eastAsia"/>
          <w:color w:val="auto"/>
          <w:sz w:val="24"/>
          <w:szCs w:val="24"/>
          <w:highlight w:val="none"/>
        </w:rPr>
        <w:t>委托同一单位或者个人办理投标事宜。</w:t>
      </w:r>
    </w:p>
    <w:p w14:paraId="150CFA14">
      <w:pPr>
        <w:spacing w:line="360" w:lineRule="auto"/>
        <w:ind w:firstLine="480"/>
        <w:jc w:val="left"/>
        <w:rPr>
          <w:color w:val="auto"/>
          <w:sz w:val="24"/>
          <w:szCs w:val="24"/>
          <w:highlight w:val="none"/>
        </w:rPr>
      </w:pPr>
      <w:r>
        <w:rPr>
          <w:rFonts w:hint="eastAsia"/>
          <w:color w:val="auto"/>
          <w:sz w:val="24"/>
          <w:szCs w:val="24"/>
          <w:highlight w:val="none"/>
        </w:rPr>
        <w:t>（3）不同</w:t>
      </w:r>
      <w:r>
        <w:rPr>
          <w:rFonts w:hint="eastAsia"/>
          <w:color w:val="auto"/>
          <w:sz w:val="24"/>
          <w:szCs w:val="24"/>
          <w:highlight w:val="none"/>
          <w:lang w:eastAsia="zh-CN"/>
        </w:rPr>
        <w:t>投标人</w:t>
      </w:r>
      <w:r>
        <w:rPr>
          <w:rFonts w:hint="eastAsia"/>
          <w:color w:val="auto"/>
          <w:sz w:val="24"/>
          <w:szCs w:val="24"/>
          <w:highlight w:val="none"/>
        </w:rPr>
        <w:t>的投标文件载明的项目管理成员或者联系人员为同一人。</w:t>
      </w:r>
    </w:p>
    <w:p w14:paraId="0E0568D2">
      <w:pPr>
        <w:spacing w:line="360" w:lineRule="auto"/>
        <w:ind w:firstLine="480"/>
        <w:jc w:val="left"/>
        <w:rPr>
          <w:color w:val="auto"/>
          <w:sz w:val="24"/>
          <w:szCs w:val="24"/>
          <w:highlight w:val="none"/>
        </w:rPr>
      </w:pPr>
      <w:r>
        <w:rPr>
          <w:rFonts w:hint="eastAsia"/>
          <w:color w:val="auto"/>
          <w:sz w:val="24"/>
          <w:szCs w:val="24"/>
          <w:highlight w:val="none"/>
        </w:rPr>
        <w:t>（4）不同</w:t>
      </w:r>
      <w:r>
        <w:rPr>
          <w:rFonts w:hint="eastAsia"/>
          <w:color w:val="auto"/>
          <w:sz w:val="24"/>
          <w:szCs w:val="24"/>
          <w:highlight w:val="none"/>
          <w:lang w:eastAsia="zh-CN"/>
        </w:rPr>
        <w:t>投标人</w:t>
      </w:r>
      <w:r>
        <w:rPr>
          <w:rFonts w:hint="eastAsia"/>
          <w:color w:val="auto"/>
          <w:sz w:val="24"/>
          <w:szCs w:val="24"/>
          <w:highlight w:val="none"/>
        </w:rPr>
        <w:t>的投标文件异常一致或者投标报价呈规律性差异。</w:t>
      </w:r>
    </w:p>
    <w:p w14:paraId="4151ECBC">
      <w:pPr>
        <w:spacing w:line="360" w:lineRule="auto"/>
        <w:ind w:firstLine="480"/>
        <w:jc w:val="left"/>
        <w:rPr>
          <w:color w:val="auto"/>
          <w:sz w:val="24"/>
          <w:szCs w:val="24"/>
          <w:highlight w:val="none"/>
        </w:rPr>
      </w:pPr>
      <w:r>
        <w:rPr>
          <w:rFonts w:hint="eastAsia"/>
          <w:color w:val="auto"/>
          <w:sz w:val="24"/>
          <w:szCs w:val="24"/>
          <w:highlight w:val="none"/>
          <w:lang w:val="en-US" w:eastAsia="zh-CN"/>
        </w:rPr>
        <w:t>27</w:t>
      </w:r>
      <w:r>
        <w:rPr>
          <w:rFonts w:hint="eastAsia"/>
          <w:color w:val="auto"/>
          <w:sz w:val="24"/>
          <w:szCs w:val="24"/>
          <w:highlight w:val="none"/>
        </w:rPr>
        <w:t>.3 废标条款：</w:t>
      </w:r>
    </w:p>
    <w:p w14:paraId="5C398997">
      <w:pPr>
        <w:spacing w:line="360" w:lineRule="auto"/>
        <w:ind w:firstLine="480"/>
        <w:jc w:val="left"/>
        <w:rPr>
          <w:color w:val="auto"/>
          <w:sz w:val="24"/>
          <w:szCs w:val="24"/>
          <w:highlight w:val="none"/>
        </w:rPr>
      </w:pPr>
      <w:r>
        <w:rPr>
          <w:rFonts w:hint="eastAsia"/>
          <w:color w:val="auto"/>
          <w:sz w:val="24"/>
          <w:szCs w:val="24"/>
          <w:highlight w:val="none"/>
        </w:rPr>
        <w:t>（1）因“苏采云”系统故障原因造成开标不成功的。</w:t>
      </w:r>
    </w:p>
    <w:p w14:paraId="4FF3D641">
      <w:pPr>
        <w:spacing w:line="360" w:lineRule="auto"/>
        <w:ind w:firstLine="480"/>
        <w:jc w:val="left"/>
        <w:rPr>
          <w:color w:val="auto"/>
          <w:sz w:val="24"/>
          <w:szCs w:val="24"/>
          <w:highlight w:val="none"/>
        </w:rPr>
      </w:pPr>
      <w:r>
        <w:rPr>
          <w:rFonts w:hint="eastAsia"/>
          <w:color w:val="auto"/>
          <w:sz w:val="24"/>
          <w:szCs w:val="24"/>
          <w:highlight w:val="none"/>
        </w:rPr>
        <w:t>（2）评委会认定招标文件存在歧义、重大缺陷导致评标工作无法进行</w:t>
      </w:r>
      <w:r>
        <w:rPr>
          <w:rFonts w:hint="eastAsia"/>
          <w:color w:val="auto"/>
          <w:sz w:val="24"/>
          <w:szCs w:val="24"/>
          <w:highlight w:val="none"/>
          <w:lang w:eastAsia="zh-CN"/>
        </w:rPr>
        <w:t>的</w:t>
      </w:r>
      <w:r>
        <w:rPr>
          <w:rFonts w:hint="eastAsia"/>
          <w:color w:val="auto"/>
          <w:sz w:val="24"/>
          <w:szCs w:val="24"/>
          <w:highlight w:val="none"/>
        </w:rPr>
        <w:t>，或者招标文件内容违反国家有关强制性规定的。</w:t>
      </w:r>
    </w:p>
    <w:p w14:paraId="6EB1A458">
      <w:pPr>
        <w:spacing w:line="360" w:lineRule="auto"/>
        <w:ind w:firstLine="480"/>
        <w:jc w:val="left"/>
        <w:rPr>
          <w:color w:val="auto"/>
          <w:sz w:val="24"/>
          <w:szCs w:val="24"/>
          <w:highlight w:val="none"/>
        </w:rPr>
      </w:pPr>
      <w:r>
        <w:rPr>
          <w:rFonts w:hint="eastAsia"/>
          <w:color w:val="auto"/>
          <w:sz w:val="24"/>
          <w:szCs w:val="24"/>
          <w:highlight w:val="none"/>
        </w:rPr>
        <w:t>（3）符合专业条件的</w:t>
      </w:r>
      <w:r>
        <w:rPr>
          <w:rFonts w:hint="eastAsia"/>
          <w:color w:val="auto"/>
          <w:sz w:val="24"/>
          <w:szCs w:val="24"/>
          <w:highlight w:val="none"/>
          <w:lang w:eastAsia="zh-CN"/>
        </w:rPr>
        <w:t>投标人</w:t>
      </w:r>
      <w:r>
        <w:rPr>
          <w:rFonts w:hint="eastAsia"/>
          <w:color w:val="auto"/>
          <w:sz w:val="24"/>
          <w:szCs w:val="24"/>
          <w:highlight w:val="none"/>
        </w:rPr>
        <w:t>或者对招标文件作实质响应的</w:t>
      </w:r>
      <w:r>
        <w:rPr>
          <w:rFonts w:hint="eastAsia"/>
          <w:color w:val="auto"/>
          <w:sz w:val="24"/>
          <w:szCs w:val="24"/>
          <w:highlight w:val="none"/>
          <w:lang w:eastAsia="zh-CN"/>
        </w:rPr>
        <w:t>投标人</w:t>
      </w:r>
      <w:r>
        <w:rPr>
          <w:rFonts w:hint="eastAsia"/>
          <w:color w:val="auto"/>
          <w:sz w:val="24"/>
          <w:szCs w:val="24"/>
          <w:highlight w:val="none"/>
        </w:rPr>
        <w:t>不足三家的。</w:t>
      </w:r>
    </w:p>
    <w:p w14:paraId="48759674">
      <w:pPr>
        <w:spacing w:line="360" w:lineRule="auto"/>
        <w:ind w:firstLine="480"/>
        <w:jc w:val="left"/>
        <w:rPr>
          <w:color w:val="auto"/>
          <w:sz w:val="24"/>
          <w:szCs w:val="24"/>
          <w:highlight w:val="none"/>
        </w:rPr>
      </w:pPr>
      <w:r>
        <w:rPr>
          <w:rFonts w:hint="eastAsia"/>
          <w:color w:val="auto"/>
          <w:sz w:val="24"/>
          <w:szCs w:val="24"/>
          <w:highlight w:val="none"/>
        </w:rPr>
        <w:t>（4）出现影响采购公正的违法、违规行为的。</w:t>
      </w:r>
    </w:p>
    <w:p w14:paraId="7E813BA8">
      <w:pPr>
        <w:spacing w:line="360" w:lineRule="auto"/>
        <w:ind w:firstLine="480"/>
        <w:jc w:val="left"/>
        <w:rPr>
          <w:color w:val="auto"/>
          <w:sz w:val="24"/>
          <w:szCs w:val="24"/>
          <w:highlight w:val="none"/>
        </w:rPr>
      </w:pPr>
      <w:r>
        <w:rPr>
          <w:rFonts w:hint="eastAsia"/>
          <w:color w:val="auto"/>
          <w:sz w:val="24"/>
          <w:szCs w:val="24"/>
          <w:highlight w:val="none"/>
        </w:rPr>
        <w:t>（5）因重大变故，采购任务取消的。</w:t>
      </w:r>
    </w:p>
    <w:p w14:paraId="7B2883E1">
      <w:pPr>
        <w:spacing w:line="360" w:lineRule="auto"/>
        <w:ind w:firstLine="480"/>
        <w:jc w:val="left"/>
        <w:rPr>
          <w:color w:val="auto"/>
          <w:sz w:val="24"/>
          <w:szCs w:val="24"/>
          <w:highlight w:val="none"/>
        </w:rPr>
      </w:pPr>
      <w:r>
        <w:rPr>
          <w:rFonts w:hint="eastAsia"/>
          <w:color w:val="auto"/>
          <w:sz w:val="24"/>
          <w:szCs w:val="24"/>
          <w:highlight w:val="none"/>
          <w:lang w:val="en-US" w:eastAsia="zh-CN"/>
        </w:rPr>
        <w:t>27</w:t>
      </w:r>
      <w:r>
        <w:rPr>
          <w:rFonts w:hint="eastAsia"/>
          <w:color w:val="auto"/>
          <w:sz w:val="24"/>
          <w:szCs w:val="24"/>
          <w:highlight w:val="none"/>
        </w:rPr>
        <w:t>.4 出现投标截止时间结束后参加投标的</w:t>
      </w:r>
      <w:r>
        <w:rPr>
          <w:rFonts w:hint="eastAsia"/>
          <w:color w:val="auto"/>
          <w:sz w:val="24"/>
          <w:szCs w:val="24"/>
          <w:highlight w:val="none"/>
          <w:lang w:eastAsia="zh-CN"/>
        </w:rPr>
        <w:t>投标人</w:t>
      </w:r>
      <w:r>
        <w:rPr>
          <w:rFonts w:hint="eastAsia"/>
          <w:color w:val="auto"/>
          <w:sz w:val="24"/>
          <w:szCs w:val="24"/>
          <w:highlight w:val="none"/>
        </w:rPr>
        <w:t>或者在评标期间对招标文件做出实质响应的</w:t>
      </w:r>
      <w:r>
        <w:rPr>
          <w:rFonts w:hint="eastAsia"/>
          <w:color w:val="auto"/>
          <w:sz w:val="24"/>
          <w:szCs w:val="24"/>
          <w:highlight w:val="none"/>
          <w:lang w:eastAsia="zh-CN"/>
        </w:rPr>
        <w:t>投标人</w:t>
      </w:r>
      <w:r>
        <w:rPr>
          <w:rFonts w:hint="eastAsia"/>
          <w:color w:val="auto"/>
          <w:sz w:val="24"/>
          <w:szCs w:val="24"/>
          <w:highlight w:val="none"/>
        </w:rPr>
        <w:t>不足三家情况的，按照政府采购有关规定执行。</w:t>
      </w:r>
    </w:p>
    <w:p w14:paraId="3D156E1A">
      <w:pPr>
        <w:pStyle w:val="3"/>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六、定标</w:t>
      </w:r>
    </w:p>
    <w:p w14:paraId="6F802B96">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28</w:t>
      </w:r>
      <w:r>
        <w:rPr>
          <w:rFonts w:hint="eastAsia"/>
          <w:color w:val="auto"/>
          <w:sz w:val="28"/>
          <w:szCs w:val="28"/>
          <w:highlight w:val="none"/>
        </w:rPr>
        <w:t>、确定中标单位</w:t>
      </w:r>
    </w:p>
    <w:p w14:paraId="6324E0D6">
      <w:pPr>
        <w:spacing w:line="360" w:lineRule="auto"/>
        <w:ind w:firstLine="480"/>
        <w:jc w:val="left"/>
        <w:rPr>
          <w:color w:val="auto"/>
          <w:sz w:val="24"/>
          <w:szCs w:val="24"/>
          <w:highlight w:val="none"/>
        </w:rPr>
      </w:pPr>
      <w:r>
        <w:rPr>
          <w:rFonts w:hint="eastAsia"/>
          <w:color w:val="auto"/>
          <w:sz w:val="24"/>
          <w:szCs w:val="24"/>
          <w:highlight w:val="none"/>
          <w:lang w:val="en-US" w:eastAsia="zh-CN"/>
        </w:rPr>
        <w:t>28</w:t>
      </w:r>
      <w:r>
        <w:rPr>
          <w:rFonts w:hint="eastAsia"/>
          <w:color w:val="auto"/>
          <w:sz w:val="24"/>
          <w:szCs w:val="24"/>
          <w:highlight w:val="none"/>
        </w:rPr>
        <w:t xml:space="preserve">.1 中标候选人的选取原则和数量详见招标文件第五章规定。 </w:t>
      </w:r>
    </w:p>
    <w:p w14:paraId="3D74C1C1">
      <w:pPr>
        <w:spacing w:line="360" w:lineRule="auto"/>
        <w:ind w:firstLine="480"/>
        <w:jc w:val="left"/>
        <w:rPr>
          <w:color w:val="auto"/>
          <w:sz w:val="24"/>
          <w:szCs w:val="24"/>
          <w:highlight w:val="none"/>
        </w:rPr>
      </w:pPr>
      <w:r>
        <w:rPr>
          <w:rFonts w:hint="eastAsia"/>
          <w:color w:val="auto"/>
          <w:sz w:val="24"/>
          <w:szCs w:val="24"/>
          <w:highlight w:val="none"/>
          <w:lang w:val="en-US" w:eastAsia="zh-CN"/>
        </w:rPr>
        <w:t>28</w:t>
      </w:r>
      <w:r>
        <w:rPr>
          <w:rFonts w:hint="eastAsia"/>
          <w:color w:val="auto"/>
          <w:sz w:val="24"/>
          <w:szCs w:val="24"/>
          <w:highlight w:val="none"/>
        </w:rPr>
        <w:t>.2 采购人应根据评委会推荐的中标候选人确定中标人。</w:t>
      </w:r>
    </w:p>
    <w:p w14:paraId="01C7855C">
      <w:pPr>
        <w:spacing w:line="360" w:lineRule="auto"/>
        <w:ind w:firstLine="480"/>
        <w:jc w:val="left"/>
        <w:rPr>
          <w:color w:val="auto"/>
          <w:sz w:val="24"/>
          <w:szCs w:val="24"/>
          <w:highlight w:val="none"/>
        </w:rPr>
      </w:pPr>
      <w:r>
        <w:rPr>
          <w:rFonts w:hint="eastAsia"/>
          <w:color w:val="auto"/>
          <w:sz w:val="24"/>
          <w:szCs w:val="24"/>
          <w:highlight w:val="none"/>
          <w:lang w:val="en-US" w:eastAsia="zh-CN"/>
        </w:rPr>
        <w:t>28</w:t>
      </w:r>
      <w:r>
        <w:rPr>
          <w:rFonts w:hint="eastAsia"/>
          <w:color w:val="auto"/>
          <w:sz w:val="24"/>
          <w:szCs w:val="24"/>
          <w:highlight w:val="none"/>
        </w:rPr>
        <w:t>.3 交易中心将在江苏政府采购网发布中标公告，公告期限为1个工作日。</w:t>
      </w:r>
    </w:p>
    <w:p w14:paraId="24B45FB6">
      <w:pPr>
        <w:spacing w:line="360" w:lineRule="auto"/>
        <w:ind w:firstLine="480"/>
        <w:jc w:val="left"/>
        <w:rPr>
          <w:color w:val="auto"/>
          <w:sz w:val="24"/>
          <w:szCs w:val="24"/>
          <w:highlight w:val="none"/>
        </w:rPr>
      </w:pPr>
      <w:r>
        <w:rPr>
          <w:rFonts w:hint="eastAsia"/>
          <w:color w:val="auto"/>
          <w:sz w:val="24"/>
          <w:szCs w:val="24"/>
          <w:highlight w:val="none"/>
          <w:lang w:val="en-US" w:eastAsia="zh-CN"/>
        </w:rPr>
        <w:t>28</w:t>
      </w:r>
      <w:r>
        <w:rPr>
          <w:rFonts w:hint="eastAsia"/>
          <w:color w:val="auto"/>
          <w:sz w:val="24"/>
          <w:szCs w:val="24"/>
          <w:highlight w:val="none"/>
        </w:rPr>
        <w:t>.4 若有充分证据证明，中标人存在下列情形之一的，一经查实，将被取消中标资格：</w:t>
      </w:r>
    </w:p>
    <w:p w14:paraId="6DF4B20C">
      <w:pPr>
        <w:spacing w:line="360" w:lineRule="auto"/>
        <w:ind w:firstLine="480"/>
        <w:jc w:val="left"/>
        <w:rPr>
          <w:color w:val="auto"/>
          <w:sz w:val="24"/>
          <w:szCs w:val="24"/>
          <w:highlight w:val="none"/>
        </w:rPr>
      </w:pPr>
      <w:r>
        <w:rPr>
          <w:rFonts w:hint="eastAsia"/>
          <w:color w:val="auto"/>
          <w:sz w:val="24"/>
          <w:szCs w:val="24"/>
          <w:highlight w:val="none"/>
        </w:rPr>
        <w:t>（1）提供虚假材料谋取中标、成交的。</w:t>
      </w:r>
    </w:p>
    <w:p w14:paraId="347346F5">
      <w:pPr>
        <w:spacing w:line="360" w:lineRule="auto"/>
        <w:ind w:firstLine="480"/>
        <w:jc w:val="left"/>
        <w:rPr>
          <w:color w:val="auto"/>
          <w:sz w:val="24"/>
          <w:szCs w:val="24"/>
          <w:highlight w:val="none"/>
        </w:rPr>
      </w:pPr>
      <w:r>
        <w:rPr>
          <w:rFonts w:hint="eastAsia"/>
          <w:color w:val="auto"/>
          <w:sz w:val="24"/>
          <w:szCs w:val="24"/>
          <w:highlight w:val="none"/>
        </w:rPr>
        <w:t>（2）采取不正当手段诋毁、排挤其他</w:t>
      </w:r>
      <w:r>
        <w:rPr>
          <w:rFonts w:hint="eastAsia"/>
          <w:color w:val="auto"/>
          <w:sz w:val="24"/>
          <w:szCs w:val="24"/>
          <w:highlight w:val="none"/>
          <w:lang w:eastAsia="zh-CN"/>
        </w:rPr>
        <w:t>投标人</w:t>
      </w:r>
      <w:r>
        <w:rPr>
          <w:rFonts w:hint="eastAsia"/>
          <w:color w:val="auto"/>
          <w:sz w:val="24"/>
          <w:szCs w:val="24"/>
          <w:highlight w:val="none"/>
        </w:rPr>
        <w:t>的。</w:t>
      </w:r>
    </w:p>
    <w:p w14:paraId="05FC2EA4">
      <w:pPr>
        <w:spacing w:line="360" w:lineRule="auto"/>
        <w:ind w:firstLine="480"/>
        <w:jc w:val="left"/>
        <w:rPr>
          <w:color w:val="auto"/>
          <w:sz w:val="24"/>
          <w:szCs w:val="24"/>
          <w:highlight w:val="none"/>
        </w:rPr>
      </w:pPr>
      <w:r>
        <w:rPr>
          <w:rFonts w:hint="eastAsia"/>
          <w:color w:val="auto"/>
          <w:sz w:val="24"/>
          <w:szCs w:val="24"/>
          <w:highlight w:val="none"/>
        </w:rPr>
        <w:t>（3）与采购人、其他</w:t>
      </w:r>
      <w:r>
        <w:rPr>
          <w:rFonts w:hint="eastAsia"/>
          <w:color w:val="auto"/>
          <w:sz w:val="24"/>
          <w:szCs w:val="24"/>
          <w:highlight w:val="none"/>
          <w:lang w:eastAsia="zh-CN"/>
        </w:rPr>
        <w:t>投标人</w:t>
      </w:r>
      <w:r>
        <w:rPr>
          <w:rFonts w:hint="eastAsia"/>
          <w:color w:val="auto"/>
          <w:sz w:val="24"/>
          <w:szCs w:val="24"/>
          <w:highlight w:val="none"/>
        </w:rPr>
        <w:t>或者交易中心恶意串通的。</w:t>
      </w:r>
    </w:p>
    <w:p w14:paraId="58BAC679">
      <w:pPr>
        <w:spacing w:line="360" w:lineRule="auto"/>
        <w:ind w:firstLine="480"/>
        <w:jc w:val="left"/>
        <w:rPr>
          <w:color w:val="auto"/>
          <w:sz w:val="24"/>
          <w:szCs w:val="24"/>
          <w:highlight w:val="none"/>
        </w:rPr>
      </w:pPr>
      <w:r>
        <w:rPr>
          <w:rFonts w:hint="eastAsia"/>
          <w:color w:val="auto"/>
          <w:sz w:val="24"/>
          <w:szCs w:val="24"/>
          <w:highlight w:val="none"/>
        </w:rPr>
        <w:t>（4）向采购人、交易中心行贿或者提供其他不正当利益的。</w:t>
      </w:r>
    </w:p>
    <w:p w14:paraId="20CA3AA4">
      <w:pPr>
        <w:spacing w:line="360" w:lineRule="auto"/>
        <w:ind w:firstLine="480"/>
        <w:jc w:val="left"/>
        <w:rPr>
          <w:color w:val="auto"/>
          <w:sz w:val="24"/>
          <w:szCs w:val="24"/>
          <w:highlight w:val="none"/>
        </w:rPr>
      </w:pPr>
      <w:r>
        <w:rPr>
          <w:rFonts w:hint="eastAsia"/>
          <w:color w:val="auto"/>
          <w:sz w:val="24"/>
          <w:szCs w:val="24"/>
          <w:highlight w:val="none"/>
        </w:rPr>
        <w:t>（5）在招标采购过程中与采购人进行协商谈判的。</w:t>
      </w:r>
    </w:p>
    <w:p w14:paraId="31568A1E">
      <w:pPr>
        <w:spacing w:line="360" w:lineRule="auto"/>
        <w:ind w:firstLine="480"/>
        <w:jc w:val="left"/>
        <w:rPr>
          <w:color w:val="auto"/>
          <w:sz w:val="24"/>
          <w:szCs w:val="24"/>
          <w:highlight w:val="none"/>
        </w:rPr>
      </w:pPr>
      <w:r>
        <w:rPr>
          <w:rFonts w:hint="eastAsia"/>
          <w:color w:val="auto"/>
          <w:sz w:val="24"/>
          <w:szCs w:val="24"/>
          <w:highlight w:val="none"/>
        </w:rPr>
        <w:t>（6）属于本招标文件规定的无效情形，但在评标过程中又未被评委会发现的。</w:t>
      </w:r>
    </w:p>
    <w:p w14:paraId="7E7333F6">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29</w:t>
      </w:r>
      <w:r>
        <w:rPr>
          <w:rFonts w:hint="eastAsia"/>
          <w:color w:val="auto"/>
          <w:sz w:val="28"/>
          <w:szCs w:val="28"/>
          <w:highlight w:val="none"/>
        </w:rPr>
        <w:t>、中标通知书</w:t>
      </w:r>
    </w:p>
    <w:p w14:paraId="3B5CB6F0">
      <w:pPr>
        <w:spacing w:line="360" w:lineRule="auto"/>
        <w:ind w:firstLine="480"/>
        <w:jc w:val="left"/>
        <w:rPr>
          <w:color w:val="auto"/>
          <w:sz w:val="24"/>
          <w:szCs w:val="24"/>
          <w:highlight w:val="none"/>
        </w:rPr>
      </w:pPr>
      <w:r>
        <w:rPr>
          <w:rFonts w:hint="eastAsia"/>
          <w:color w:val="auto"/>
          <w:sz w:val="24"/>
          <w:szCs w:val="24"/>
          <w:highlight w:val="none"/>
          <w:lang w:val="en-US" w:eastAsia="zh-CN"/>
        </w:rPr>
        <w:t>29</w:t>
      </w:r>
      <w:r>
        <w:rPr>
          <w:rFonts w:hint="eastAsia"/>
          <w:color w:val="auto"/>
          <w:sz w:val="24"/>
          <w:szCs w:val="24"/>
          <w:highlight w:val="none"/>
        </w:rPr>
        <w:t>.1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0B5B1495">
      <w:pPr>
        <w:spacing w:line="360" w:lineRule="auto"/>
        <w:ind w:firstLine="480"/>
        <w:jc w:val="left"/>
        <w:rPr>
          <w:color w:val="auto"/>
          <w:sz w:val="24"/>
          <w:szCs w:val="24"/>
          <w:highlight w:val="none"/>
        </w:rPr>
      </w:pPr>
      <w:r>
        <w:rPr>
          <w:rFonts w:hint="eastAsia"/>
          <w:color w:val="auto"/>
          <w:sz w:val="24"/>
          <w:szCs w:val="24"/>
          <w:highlight w:val="none"/>
          <w:lang w:val="en-US" w:eastAsia="zh-CN"/>
        </w:rPr>
        <w:t>29</w:t>
      </w:r>
      <w:r>
        <w:rPr>
          <w:rFonts w:hint="eastAsia"/>
          <w:color w:val="auto"/>
          <w:sz w:val="24"/>
          <w:szCs w:val="24"/>
          <w:highlight w:val="none"/>
        </w:rPr>
        <w:t>.2 中标通知书将作为政府采购合同的一个组成部分。对采购人和中标人均具有法律效力。中标通知书发出后，采购人改变中标结果的，或者中标人放弃中标项目的，应当依法承担法律责任。</w:t>
      </w:r>
    </w:p>
    <w:p w14:paraId="61CDF24E">
      <w:pPr>
        <w:pStyle w:val="3"/>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七、授予合同</w:t>
      </w:r>
    </w:p>
    <w:p w14:paraId="128E3A95">
      <w:pPr>
        <w:pStyle w:val="4"/>
        <w:spacing w:before="0" w:after="0" w:line="360" w:lineRule="auto"/>
        <w:ind w:firstLine="562"/>
        <w:jc w:val="left"/>
        <w:rPr>
          <w:rFonts w:hint="eastAsia"/>
          <w:color w:val="auto"/>
          <w:sz w:val="28"/>
          <w:szCs w:val="28"/>
          <w:highlight w:val="none"/>
        </w:rPr>
      </w:pPr>
      <w:r>
        <w:rPr>
          <w:rFonts w:hint="eastAsia"/>
          <w:color w:val="auto"/>
          <w:sz w:val="28"/>
          <w:szCs w:val="28"/>
          <w:highlight w:val="none"/>
          <w:lang w:val="en-US" w:eastAsia="zh-CN"/>
        </w:rPr>
        <w:t>30</w:t>
      </w:r>
      <w:r>
        <w:rPr>
          <w:rFonts w:hint="eastAsia"/>
          <w:color w:val="auto"/>
          <w:sz w:val="28"/>
          <w:szCs w:val="28"/>
          <w:highlight w:val="none"/>
        </w:rPr>
        <w:t>、履约保证金</w:t>
      </w:r>
    </w:p>
    <w:p w14:paraId="133552FD">
      <w:pPr>
        <w:spacing w:line="360" w:lineRule="auto"/>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30.1本项目</w:t>
      </w:r>
      <w:r>
        <w:rPr>
          <w:bCs/>
          <w:color w:val="auto"/>
          <w:sz w:val="24"/>
          <w:highlight w:val="none"/>
        </w:rPr>
        <w:t>不收取</w:t>
      </w:r>
      <w:r>
        <w:rPr>
          <w:rFonts w:hint="eastAsia"/>
          <w:bCs/>
          <w:color w:val="auto"/>
          <w:sz w:val="24"/>
          <w:highlight w:val="none"/>
          <w:lang w:val="en-US" w:eastAsia="zh-CN"/>
        </w:rPr>
        <w:t>履约</w:t>
      </w:r>
      <w:r>
        <w:rPr>
          <w:bCs/>
          <w:color w:val="auto"/>
          <w:sz w:val="24"/>
          <w:highlight w:val="none"/>
        </w:rPr>
        <w:t>保证金。</w:t>
      </w:r>
    </w:p>
    <w:p w14:paraId="53AAD9B6">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31</w:t>
      </w:r>
      <w:r>
        <w:rPr>
          <w:rFonts w:hint="eastAsia"/>
          <w:color w:val="auto"/>
          <w:sz w:val="28"/>
          <w:szCs w:val="28"/>
          <w:highlight w:val="none"/>
        </w:rPr>
        <w:t>、签订合同</w:t>
      </w:r>
    </w:p>
    <w:p w14:paraId="2A18D6A1">
      <w:pPr>
        <w:spacing w:line="360" w:lineRule="auto"/>
        <w:ind w:firstLine="480"/>
        <w:jc w:val="left"/>
        <w:rPr>
          <w:color w:val="auto"/>
          <w:sz w:val="24"/>
          <w:szCs w:val="24"/>
          <w:highlight w:val="none"/>
        </w:rPr>
      </w:pPr>
      <w:r>
        <w:rPr>
          <w:rFonts w:hint="eastAsia"/>
          <w:color w:val="auto"/>
          <w:sz w:val="24"/>
          <w:szCs w:val="24"/>
          <w:highlight w:val="none"/>
          <w:lang w:val="en-US" w:eastAsia="zh-CN"/>
        </w:rPr>
        <w:t>31</w:t>
      </w:r>
      <w:r>
        <w:rPr>
          <w:rFonts w:hint="eastAsia"/>
          <w:color w:val="auto"/>
          <w:sz w:val="24"/>
          <w:szCs w:val="24"/>
          <w:highlight w:val="none"/>
        </w:rPr>
        <w:t>.1 中标人应当在中标通知书发出之日起三十日内，按照招标文件和中标人投标文件的规定，与采购人签订政府采购合同。</w:t>
      </w:r>
    </w:p>
    <w:p w14:paraId="21D7FA8E">
      <w:pPr>
        <w:spacing w:line="360" w:lineRule="auto"/>
        <w:ind w:firstLine="480"/>
        <w:jc w:val="left"/>
        <w:rPr>
          <w:color w:val="auto"/>
          <w:sz w:val="24"/>
          <w:szCs w:val="24"/>
          <w:highlight w:val="none"/>
        </w:rPr>
      </w:pPr>
      <w:r>
        <w:rPr>
          <w:rFonts w:hint="eastAsia"/>
          <w:color w:val="auto"/>
          <w:sz w:val="24"/>
          <w:szCs w:val="24"/>
          <w:highlight w:val="none"/>
          <w:lang w:val="en-US" w:eastAsia="zh-CN"/>
        </w:rPr>
        <w:t>31</w:t>
      </w:r>
      <w:r>
        <w:rPr>
          <w:rFonts w:hint="eastAsia"/>
          <w:color w:val="auto"/>
          <w:sz w:val="24"/>
          <w:szCs w:val="24"/>
          <w:highlight w:val="none"/>
        </w:rPr>
        <w:t>.2 招标文件、中标人的投标文件及招标过程中有关澄清、承诺等文件均应作为合同附件。</w:t>
      </w:r>
    </w:p>
    <w:p w14:paraId="16EECFB9">
      <w:pPr>
        <w:spacing w:line="360" w:lineRule="auto"/>
        <w:ind w:firstLine="480"/>
        <w:jc w:val="left"/>
        <w:rPr>
          <w:color w:val="auto"/>
          <w:sz w:val="24"/>
          <w:szCs w:val="24"/>
          <w:highlight w:val="none"/>
        </w:rPr>
      </w:pPr>
      <w:r>
        <w:rPr>
          <w:rFonts w:hint="eastAsia"/>
          <w:color w:val="auto"/>
          <w:sz w:val="24"/>
          <w:szCs w:val="24"/>
          <w:highlight w:val="none"/>
          <w:lang w:val="en-US" w:eastAsia="zh-CN"/>
        </w:rPr>
        <w:t>31</w:t>
      </w:r>
      <w:r>
        <w:rPr>
          <w:rFonts w:hint="eastAsia"/>
          <w:color w:val="auto"/>
          <w:sz w:val="24"/>
          <w:szCs w:val="24"/>
          <w:highlight w:val="none"/>
        </w:rPr>
        <w:t>.3 签订合同后，中标人不得将合同标的转包。未经采购人同意，中标人也不得采用</w:t>
      </w:r>
      <w:r>
        <w:rPr>
          <w:rFonts w:hint="eastAsia"/>
          <w:strike w:val="0"/>
          <w:color w:val="auto"/>
          <w:sz w:val="24"/>
          <w:szCs w:val="24"/>
          <w:highlight w:val="none"/>
          <w:lang w:val="en-US" w:eastAsia="zh-CN"/>
        </w:rPr>
        <w:t>分包</w:t>
      </w:r>
      <w:r>
        <w:rPr>
          <w:rFonts w:hint="eastAsia"/>
          <w:color w:val="auto"/>
          <w:sz w:val="24"/>
          <w:szCs w:val="24"/>
          <w:highlight w:val="none"/>
        </w:rPr>
        <w:t>的形式履行合同，否则采购人有权终止合同。转包或</w:t>
      </w:r>
      <w:r>
        <w:rPr>
          <w:rFonts w:hint="eastAsia"/>
          <w:color w:val="auto"/>
          <w:sz w:val="24"/>
          <w:szCs w:val="24"/>
          <w:highlight w:val="none"/>
          <w:lang w:val="en-US" w:eastAsia="zh-CN"/>
        </w:rPr>
        <w:t>分包</w:t>
      </w:r>
      <w:r>
        <w:rPr>
          <w:rFonts w:hint="eastAsia"/>
          <w:color w:val="auto"/>
          <w:sz w:val="24"/>
          <w:szCs w:val="24"/>
          <w:highlight w:val="none"/>
        </w:rPr>
        <w:t>造成采购人损失的，中标人应承担相应赔偿责任。</w:t>
      </w:r>
    </w:p>
    <w:p w14:paraId="6FE771A3">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32</w:t>
      </w:r>
      <w:r>
        <w:rPr>
          <w:rFonts w:hint="eastAsia"/>
          <w:color w:val="auto"/>
          <w:sz w:val="28"/>
          <w:szCs w:val="28"/>
          <w:highlight w:val="none"/>
        </w:rPr>
        <w:t>、合同标的的追加</w:t>
      </w:r>
    </w:p>
    <w:p w14:paraId="540D4928">
      <w:pPr>
        <w:spacing w:line="360" w:lineRule="auto"/>
        <w:ind w:firstLine="480"/>
        <w:jc w:val="left"/>
        <w:rPr>
          <w:color w:val="auto"/>
          <w:sz w:val="24"/>
          <w:szCs w:val="24"/>
          <w:highlight w:val="none"/>
        </w:rPr>
      </w:pPr>
      <w:r>
        <w:rPr>
          <w:rFonts w:hint="eastAsia"/>
          <w:color w:val="auto"/>
          <w:sz w:val="24"/>
          <w:szCs w:val="24"/>
          <w:highlight w:val="none"/>
          <w:lang w:val="en-US" w:eastAsia="zh-CN"/>
        </w:rPr>
        <w:t>32</w:t>
      </w:r>
      <w:r>
        <w:rPr>
          <w:rFonts w:hint="eastAsia"/>
          <w:color w:val="auto"/>
          <w:sz w:val="24"/>
          <w:szCs w:val="24"/>
          <w:highlight w:val="none"/>
        </w:rPr>
        <w:t>.1 政府采购合同履行中，采购人需追加与合同标的相同的服务的，可以按照《中华人民共和国政府采购法》第四十九条规定，与</w:t>
      </w:r>
      <w:r>
        <w:rPr>
          <w:rFonts w:hint="eastAsia"/>
          <w:color w:val="auto"/>
          <w:sz w:val="24"/>
          <w:szCs w:val="24"/>
          <w:highlight w:val="none"/>
          <w:lang w:eastAsia="zh-CN"/>
        </w:rPr>
        <w:t>投标人</w:t>
      </w:r>
      <w:r>
        <w:rPr>
          <w:rFonts w:hint="eastAsia"/>
          <w:color w:val="auto"/>
          <w:sz w:val="24"/>
          <w:szCs w:val="24"/>
          <w:highlight w:val="none"/>
        </w:rPr>
        <w:t>协商签订补充合同，但所有补充合同的采购金额不得超过原合同采购金额的百分之十。</w:t>
      </w:r>
    </w:p>
    <w:p w14:paraId="63D70627">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33</w:t>
      </w:r>
      <w:r>
        <w:rPr>
          <w:rFonts w:hint="eastAsia"/>
          <w:color w:val="auto"/>
          <w:sz w:val="28"/>
          <w:szCs w:val="28"/>
          <w:highlight w:val="none"/>
        </w:rPr>
        <w:t>、政府采购履约资金扶持政策</w:t>
      </w:r>
    </w:p>
    <w:p w14:paraId="4D3F8779">
      <w:pPr>
        <w:spacing w:line="360" w:lineRule="auto"/>
        <w:ind w:firstLine="480"/>
        <w:jc w:val="left"/>
        <w:rPr>
          <w:color w:val="auto"/>
          <w:sz w:val="24"/>
          <w:szCs w:val="24"/>
          <w:highlight w:val="none"/>
        </w:rPr>
      </w:pPr>
      <w:r>
        <w:rPr>
          <w:rFonts w:hint="eastAsia"/>
          <w:color w:val="auto"/>
          <w:sz w:val="24"/>
          <w:szCs w:val="24"/>
          <w:highlight w:val="none"/>
          <w:lang w:val="en-US" w:eastAsia="zh-CN"/>
        </w:rPr>
        <w:t>33</w:t>
      </w:r>
      <w:r>
        <w:rPr>
          <w:rFonts w:hint="eastAsia"/>
          <w:color w:val="auto"/>
          <w:sz w:val="24"/>
          <w:szCs w:val="24"/>
          <w:highlight w:val="none"/>
        </w:rPr>
        <w:t>.1 中标人可凭政府采购合同办理融资贷款，详情请见江苏政府采购网“政采贷”专栏。</w:t>
      </w:r>
    </w:p>
    <w:p w14:paraId="099C5409">
      <w:pPr>
        <w:pStyle w:val="3"/>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八、询问与质疑</w:t>
      </w:r>
    </w:p>
    <w:p w14:paraId="45EE519A">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34</w:t>
      </w:r>
      <w:r>
        <w:rPr>
          <w:rFonts w:hint="eastAsia"/>
          <w:color w:val="auto"/>
          <w:sz w:val="28"/>
          <w:szCs w:val="28"/>
          <w:highlight w:val="none"/>
        </w:rPr>
        <w:t>、询问</w:t>
      </w:r>
    </w:p>
    <w:p w14:paraId="223FFC6F">
      <w:pPr>
        <w:spacing w:line="360" w:lineRule="auto"/>
        <w:ind w:firstLine="480"/>
        <w:jc w:val="left"/>
        <w:rPr>
          <w:color w:val="auto"/>
          <w:sz w:val="24"/>
          <w:szCs w:val="24"/>
          <w:highlight w:val="none"/>
        </w:rPr>
      </w:pPr>
      <w:r>
        <w:rPr>
          <w:rFonts w:hint="eastAsia"/>
          <w:color w:val="auto"/>
          <w:sz w:val="24"/>
          <w:szCs w:val="24"/>
          <w:highlight w:val="none"/>
          <w:lang w:val="en-US" w:eastAsia="zh-CN"/>
        </w:rPr>
        <w:t>34</w:t>
      </w:r>
      <w:r>
        <w:rPr>
          <w:rFonts w:hint="eastAsia"/>
          <w:color w:val="auto"/>
          <w:sz w:val="24"/>
          <w:szCs w:val="24"/>
          <w:highlight w:val="none"/>
        </w:rPr>
        <w:t xml:space="preserve">.1 </w:t>
      </w:r>
      <w:r>
        <w:rPr>
          <w:rFonts w:hint="eastAsia"/>
          <w:color w:val="auto"/>
          <w:sz w:val="24"/>
          <w:szCs w:val="24"/>
          <w:highlight w:val="none"/>
          <w:lang w:eastAsia="zh-CN"/>
        </w:rPr>
        <w:t>投标人</w:t>
      </w:r>
      <w:r>
        <w:rPr>
          <w:rFonts w:hint="eastAsia"/>
          <w:color w:val="auto"/>
          <w:sz w:val="24"/>
          <w:szCs w:val="24"/>
          <w:highlight w:val="none"/>
        </w:rPr>
        <w:t>对政府采购活动事项有疑问的，可以提出询问，采购人或者交易中心应当在3个工作日内对</w:t>
      </w:r>
      <w:r>
        <w:rPr>
          <w:rFonts w:hint="eastAsia"/>
          <w:color w:val="auto"/>
          <w:sz w:val="24"/>
          <w:szCs w:val="24"/>
          <w:highlight w:val="none"/>
          <w:lang w:eastAsia="zh-CN"/>
        </w:rPr>
        <w:t>投标人</w:t>
      </w:r>
      <w:r>
        <w:rPr>
          <w:rFonts w:hint="eastAsia"/>
          <w:color w:val="auto"/>
          <w:sz w:val="24"/>
          <w:szCs w:val="24"/>
          <w:highlight w:val="none"/>
        </w:rPr>
        <w:t>依法提出的询问作出答复，但答复的内容不得涉及商业秘密。</w:t>
      </w:r>
      <w:r>
        <w:rPr>
          <w:rFonts w:hint="eastAsia"/>
          <w:color w:val="auto"/>
          <w:sz w:val="24"/>
          <w:szCs w:val="24"/>
          <w:highlight w:val="none"/>
          <w:lang w:eastAsia="zh-CN"/>
        </w:rPr>
        <w:t>投标人</w:t>
      </w:r>
      <w:r>
        <w:rPr>
          <w:rFonts w:hint="eastAsia"/>
          <w:color w:val="auto"/>
          <w:sz w:val="24"/>
          <w:szCs w:val="24"/>
          <w:highlight w:val="none"/>
        </w:rPr>
        <w:t>提出的询问超出采购人对交易中心委托授权范围的，交易中心应当告知其向采购人提出。</w:t>
      </w:r>
    </w:p>
    <w:p w14:paraId="128703D4">
      <w:pPr>
        <w:pStyle w:val="4"/>
        <w:spacing w:before="0" w:after="0" w:line="360" w:lineRule="auto"/>
        <w:ind w:firstLine="562"/>
        <w:jc w:val="left"/>
        <w:rPr>
          <w:color w:val="auto"/>
          <w:sz w:val="28"/>
          <w:szCs w:val="28"/>
          <w:highlight w:val="none"/>
        </w:rPr>
      </w:pPr>
      <w:r>
        <w:rPr>
          <w:rFonts w:hint="eastAsia"/>
          <w:color w:val="auto"/>
          <w:sz w:val="28"/>
          <w:szCs w:val="28"/>
          <w:highlight w:val="none"/>
          <w:lang w:val="en-US" w:eastAsia="zh-CN"/>
        </w:rPr>
        <w:t>35</w:t>
      </w:r>
      <w:r>
        <w:rPr>
          <w:rFonts w:hint="eastAsia"/>
          <w:color w:val="auto"/>
          <w:sz w:val="28"/>
          <w:szCs w:val="28"/>
          <w:highlight w:val="none"/>
        </w:rPr>
        <w:t>、质疑提出</w:t>
      </w:r>
    </w:p>
    <w:p w14:paraId="10E80D7F">
      <w:pPr>
        <w:spacing w:line="360" w:lineRule="auto"/>
        <w:ind w:firstLine="480"/>
        <w:jc w:val="left"/>
        <w:rPr>
          <w:color w:val="auto"/>
          <w:sz w:val="24"/>
          <w:szCs w:val="24"/>
          <w:highlight w:val="none"/>
        </w:rPr>
      </w:pPr>
      <w:r>
        <w:rPr>
          <w:rFonts w:hint="eastAsia"/>
          <w:color w:val="auto"/>
          <w:sz w:val="24"/>
          <w:szCs w:val="24"/>
          <w:highlight w:val="none"/>
          <w:lang w:val="en-US" w:eastAsia="zh-CN"/>
        </w:rPr>
        <w:t>35</w:t>
      </w:r>
      <w:r>
        <w:rPr>
          <w:rFonts w:hint="eastAsia"/>
          <w:color w:val="auto"/>
          <w:sz w:val="24"/>
          <w:szCs w:val="24"/>
          <w:highlight w:val="none"/>
        </w:rPr>
        <w:t>.1 提出质疑的</w:t>
      </w:r>
      <w:r>
        <w:rPr>
          <w:rFonts w:hint="eastAsia"/>
          <w:color w:val="auto"/>
          <w:sz w:val="24"/>
          <w:szCs w:val="24"/>
          <w:highlight w:val="none"/>
          <w:lang w:eastAsia="zh-CN"/>
        </w:rPr>
        <w:t>投标人</w:t>
      </w:r>
      <w:r>
        <w:rPr>
          <w:rFonts w:hint="eastAsia"/>
          <w:color w:val="auto"/>
          <w:sz w:val="24"/>
          <w:szCs w:val="24"/>
          <w:highlight w:val="none"/>
        </w:rPr>
        <w:t>应当是参与所质疑项目采购活动的</w:t>
      </w:r>
      <w:r>
        <w:rPr>
          <w:rFonts w:hint="eastAsia"/>
          <w:color w:val="auto"/>
          <w:sz w:val="24"/>
          <w:szCs w:val="24"/>
          <w:highlight w:val="none"/>
          <w:lang w:eastAsia="zh-CN"/>
        </w:rPr>
        <w:t>投标人</w:t>
      </w:r>
      <w:r>
        <w:rPr>
          <w:rFonts w:hint="eastAsia"/>
          <w:color w:val="auto"/>
          <w:sz w:val="24"/>
          <w:szCs w:val="24"/>
          <w:highlight w:val="none"/>
        </w:rPr>
        <w:t>。</w:t>
      </w:r>
    </w:p>
    <w:p w14:paraId="62126F8F">
      <w:pPr>
        <w:spacing w:line="360" w:lineRule="auto"/>
        <w:ind w:firstLine="480"/>
        <w:jc w:val="left"/>
        <w:rPr>
          <w:color w:val="auto"/>
          <w:sz w:val="24"/>
          <w:szCs w:val="24"/>
          <w:highlight w:val="none"/>
        </w:rPr>
      </w:pPr>
      <w:r>
        <w:rPr>
          <w:rFonts w:hint="eastAsia"/>
          <w:color w:val="auto"/>
          <w:sz w:val="24"/>
          <w:szCs w:val="24"/>
          <w:highlight w:val="none"/>
          <w:lang w:val="en-US" w:eastAsia="zh-CN"/>
        </w:rPr>
        <w:t>35</w:t>
      </w:r>
      <w:r>
        <w:rPr>
          <w:rFonts w:hint="eastAsia"/>
          <w:color w:val="auto"/>
          <w:sz w:val="24"/>
          <w:szCs w:val="24"/>
          <w:highlight w:val="none"/>
        </w:rPr>
        <w:t xml:space="preserve">.2 </w:t>
      </w:r>
      <w:r>
        <w:rPr>
          <w:rFonts w:hint="eastAsia"/>
          <w:color w:val="auto"/>
          <w:sz w:val="24"/>
          <w:szCs w:val="24"/>
          <w:highlight w:val="none"/>
          <w:lang w:eastAsia="zh-CN"/>
        </w:rPr>
        <w:t>投标人</w:t>
      </w:r>
      <w:r>
        <w:rPr>
          <w:rFonts w:hint="eastAsia"/>
          <w:color w:val="auto"/>
          <w:sz w:val="24"/>
          <w:szCs w:val="24"/>
          <w:highlight w:val="none"/>
        </w:rPr>
        <w:t>认为采购文件、采购过程、采购结果使自己的权益受到损害的，可以在知道或者应知其权益受到损害之日（获取采购文件之日、中标公告发布之日）起七个工作日内以书面形式向采购人、交易中心提出质疑。</w:t>
      </w:r>
    </w:p>
    <w:p w14:paraId="10537C13">
      <w:pPr>
        <w:spacing w:line="360" w:lineRule="auto"/>
        <w:ind w:firstLine="480"/>
        <w:jc w:val="left"/>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应当在法定质疑期内一次性提出针对同一采购程序环节的质疑，</w:t>
      </w:r>
      <w:r>
        <w:rPr>
          <w:rFonts w:hint="eastAsia"/>
          <w:color w:val="auto"/>
          <w:sz w:val="24"/>
          <w:szCs w:val="24"/>
          <w:highlight w:val="none"/>
          <w:lang w:eastAsia="zh-CN"/>
        </w:rPr>
        <w:t>投标人</w:t>
      </w:r>
      <w:r>
        <w:rPr>
          <w:rFonts w:hint="eastAsia"/>
          <w:color w:val="auto"/>
          <w:sz w:val="24"/>
          <w:szCs w:val="24"/>
          <w:highlight w:val="none"/>
        </w:rPr>
        <w:t>如在法定期限内对同一采购程序环节提出多次质疑的，采购人、交易中心将只对</w:t>
      </w:r>
      <w:r>
        <w:rPr>
          <w:rFonts w:hint="eastAsia"/>
          <w:color w:val="auto"/>
          <w:sz w:val="24"/>
          <w:szCs w:val="24"/>
          <w:highlight w:val="none"/>
          <w:lang w:eastAsia="zh-CN"/>
        </w:rPr>
        <w:t>投标人</w:t>
      </w:r>
      <w:r>
        <w:rPr>
          <w:rFonts w:hint="eastAsia"/>
          <w:color w:val="auto"/>
          <w:sz w:val="24"/>
          <w:szCs w:val="24"/>
          <w:highlight w:val="none"/>
        </w:rPr>
        <w:t>第一次质疑作出答复。</w:t>
      </w:r>
    </w:p>
    <w:p w14:paraId="6B9055EE">
      <w:pPr>
        <w:spacing w:line="360" w:lineRule="auto"/>
        <w:ind w:firstLine="480"/>
        <w:jc w:val="left"/>
        <w:rPr>
          <w:color w:val="auto"/>
          <w:sz w:val="24"/>
          <w:szCs w:val="24"/>
          <w:highlight w:val="none"/>
        </w:rPr>
      </w:pPr>
      <w:r>
        <w:rPr>
          <w:rFonts w:hint="eastAsia"/>
          <w:color w:val="auto"/>
          <w:sz w:val="24"/>
          <w:szCs w:val="24"/>
          <w:highlight w:val="none"/>
        </w:rPr>
        <w:t>未按照采购公告要求获取采购文件的</w:t>
      </w:r>
      <w:r>
        <w:rPr>
          <w:rFonts w:hint="eastAsia"/>
          <w:color w:val="auto"/>
          <w:sz w:val="24"/>
          <w:szCs w:val="24"/>
          <w:highlight w:val="none"/>
          <w:lang w:eastAsia="zh-CN"/>
        </w:rPr>
        <w:t>投标人</w:t>
      </w:r>
      <w:r>
        <w:rPr>
          <w:rFonts w:hint="eastAsia"/>
          <w:color w:val="auto"/>
          <w:sz w:val="24"/>
          <w:szCs w:val="24"/>
          <w:highlight w:val="none"/>
        </w:rPr>
        <w:t>，视为未参与该项目采购活动，不具备对该采购文件提出质疑的法定权利。</w:t>
      </w:r>
    </w:p>
    <w:p w14:paraId="6CB8B31A">
      <w:pPr>
        <w:spacing w:line="360" w:lineRule="auto"/>
        <w:ind w:firstLine="480"/>
        <w:jc w:val="left"/>
        <w:rPr>
          <w:color w:val="auto"/>
          <w:sz w:val="24"/>
          <w:szCs w:val="24"/>
          <w:highlight w:val="none"/>
        </w:rPr>
      </w:pPr>
      <w:r>
        <w:rPr>
          <w:rFonts w:hint="eastAsia"/>
          <w:color w:val="auto"/>
          <w:sz w:val="24"/>
          <w:szCs w:val="24"/>
          <w:highlight w:val="none"/>
          <w:lang w:val="en-US" w:eastAsia="zh-CN"/>
        </w:rPr>
        <w:t>35</w:t>
      </w:r>
      <w:r>
        <w:rPr>
          <w:rFonts w:hint="eastAsia"/>
          <w:color w:val="auto"/>
          <w:sz w:val="24"/>
          <w:szCs w:val="24"/>
          <w:highlight w:val="none"/>
        </w:rPr>
        <w:t>.3 提出质疑时，必须坚持“实事求是”的原则，不能臆测。属于须由法定部门调查、侦查或先行作出相关认定的事项，质疑</w:t>
      </w:r>
      <w:r>
        <w:rPr>
          <w:rFonts w:hint="eastAsia"/>
          <w:color w:val="auto"/>
          <w:sz w:val="24"/>
          <w:szCs w:val="24"/>
          <w:highlight w:val="none"/>
          <w:lang w:eastAsia="zh-CN"/>
        </w:rPr>
        <w:t>投标人</w:t>
      </w:r>
      <w:r>
        <w:rPr>
          <w:rFonts w:hint="eastAsia"/>
          <w:color w:val="auto"/>
          <w:sz w:val="24"/>
          <w:szCs w:val="24"/>
          <w:highlight w:val="none"/>
        </w:rPr>
        <w:t>应当依法申请具有法定职权的部门查清、认定，并将相关结果提供给采购人、交易中心。采购人、交易中心不具有法定调查、认定权限。</w:t>
      </w:r>
    </w:p>
    <w:p w14:paraId="78B253C9">
      <w:pPr>
        <w:spacing w:line="360" w:lineRule="auto"/>
        <w:ind w:firstLine="480"/>
        <w:jc w:val="left"/>
        <w:rPr>
          <w:color w:val="auto"/>
          <w:sz w:val="24"/>
          <w:szCs w:val="24"/>
          <w:highlight w:val="none"/>
        </w:rPr>
      </w:pPr>
      <w:r>
        <w:rPr>
          <w:rFonts w:hint="eastAsia"/>
          <w:color w:val="auto"/>
          <w:sz w:val="24"/>
          <w:szCs w:val="24"/>
          <w:highlight w:val="none"/>
          <w:lang w:val="en-US" w:eastAsia="zh-CN"/>
        </w:rPr>
        <w:t>35</w:t>
      </w:r>
      <w:r>
        <w:rPr>
          <w:rFonts w:hint="eastAsia"/>
          <w:color w:val="auto"/>
          <w:sz w:val="24"/>
          <w:szCs w:val="24"/>
          <w:highlight w:val="none"/>
        </w:rPr>
        <w:t>.4 质疑函的接收方式为</w:t>
      </w:r>
      <w:r>
        <w:rPr>
          <w:rFonts w:hint="eastAsia"/>
          <w:color w:val="auto"/>
          <w:sz w:val="24"/>
          <w:szCs w:val="24"/>
          <w:highlight w:val="none"/>
          <w:lang w:eastAsia="zh-CN"/>
        </w:rPr>
        <w:t>投标人</w:t>
      </w:r>
      <w:r>
        <w:rPr>
          <w:rFonts w:hint="eastAsia"/>
          <w:color w:val="auto"/>
          <w:sz w:val="24"/>
          <w:szCs w:val="24"/>
          <w:highlight w:val="none"/>
        </w:rPr>
        <w:t>书面原件提交。联系部门、联系电话和通讯地址详见招标文件第一章。质疑实行实名制，不得进行虚假、恶意质疑。</w:t>
      </w:r>
    </w:p>
    <w:p w14:paraId="1801E214">
      <w:pPr>
        <w:spacing w:line="360" w:lineRule="auto"/>
        <w:ind w:firstLine="480"/>
        <w:jc w:val="left"/>
        <w:rPr>
          <w:color w:val="auto"/>
          <w:sz w:val="24"/>
          <w:szCs w:val="24"/>
          <w:highlight w:val="none"/>
        </w:rPr>
      </w:pPr>
      <w:r>
        <w:rPr>
          <w:rFonts w:hint="eastAsia"/>
          <w:color w:val="auto"/>
          <w:sz w:val="24"/>
          <w:szCs w:val="24"/>
          <w:highlight w:val="none"/>
          <w:lang w:val="en-US" w:eastAsia="zh-CN"/>
        </w:rPr>
        <w:t>35</w:t>
      </w:r>
      <w:r>
        <w:rPr>
          <w:rFonts w:hint="eastAsia"/>
          <w:color w:val="auto"/>
          <w:sz w:val="24"/>
          <w:szCs w:val="24"/>
          <w:highlight w:val="none"/>
        </w:rPr>
        <w:t>.5 质疑函应当使用范本，详见招标文件第六章。</w:t>
      </w:r>
      <w:r>
        <w:rPr>
          <w:rFonts w:hint="eastAsia"/>
          <w:color w:val="auto"/>
          <w:sz w:val="24"/>
          <w:szCs w:val="24"/>
          <w:highlight w:val="none"/>
          <w:lang w:eastAsia="zh-CN"/>
        </w:rPr>
        <w:t>投标人</w:t>
      </w:r>
      <w:r>
        <w:rPr>
          <w:rFonts w:hint="eastAsia"/>
          <w:color w:val="auto"/>
          <w:sz w:val="24"/>
          <w:szCs w:val="24"/>
          <w:highlight w:val="none"/>
        </w:rPr>
        <w:t>提出质疑应当提交质疑函和必要的证明材料，应当包括下列内容：</w:t>
      </w:r>
    </w:p>
    <w:p w14:paraId="300A858A">
      <w:pPr>
        <w:spacing w:line="360" w:lineRule="auto"/>
        <w:ind w:firstLine="480"/>
        <w:jc w:val="left"/>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投标人</w:t>
      </w:r>
      <w:r>
        <w:rPr>
          <w:rFonts w:hint="eastAsia"/>
          <w:color w:val="auto"/>
          <w:sz w:val="24"/>
          <w:szCs w:val="24"/>
          <w:highlight w:val="none"/>
        </w:rPr>
        <w:t>的姓名或者名称、地址、邮编、联系人及联系电话；</w:t>
      </w:r>
    </w:p>
    <w:p w14:paraId="0B3BF5A5">
      <w:pPr>
        <w:spacing w:line="360" w:lineRule="auto"/>
        <w:ind w:firstLine="480"/>
        <w:jc w:val="left"/>
        <w:rPr>
          <w:color w:val="auto"/>
          <w:sz w:val="24"/>
          <w:szCs w:val="24"/>
          <w:highlight w:val="none"/>
        </w:rPr>
      </w:pPr>
      <w:r>
        <w:rPr>
          <w:rFonts w:hint="eastAsia"/>
          <w:color w:val="auto"/>
          <w:sz w:val="24"/>
          <w:szCs w:val="24"/>
          <w:highlight w:val="none"/>
        </w:rPr>
        <w:t>（2）质疑项目的名称、编号；</w:t>
      </w:r>
    </w:p>
    <w:p w14:paraId="4D5B1429">
      <w:pPr>
        <w:spacing w:line="360" w:lineRule="auto"/>
        <w:ind w:firstLine="480"/>
        <w:jc w:val="left"/>
        <w:rPr>
          <w:color w:val="auto"/>
          <w:sz w:val="24"/>
          <w:szCs w:val="24"/>
          <w:highlight w:val="none"/>
        </w:rPr>
      </w:pPr>
      <w:r>
        <w:rPr>
          <w:rFonts w:hint="eastAsia"/>
          <w:color w:val="auto"/>
          <w:sz w:val="24"/>
          <w:szCs w:val="24"/>
          <w:highlight w:val="none"/>
        </w:rPr>
        <w:t>（3）具体、明确的质疑事项和与质疑事项相关的请求；</w:t>
      </w:r>
    </w:p>
    <w:p w14:paraId="497A44B2">
      <w:pPr>
        <w:spacing w:line="360" w:lineRule="auto"/>
        <w:ind w:firstLine="480"/>
        <w:jc w:val="left"/>
        <w:rPr>
          <w:color w:val="auto"/>
          <w:sz w:val="24"/>
          <w:szCs w:val="24"/>
          <w:highlight w:val="none"/>
        </w:rPr>
      </w:pPr>
      <w:r>
        <w:rPr>
          <w:rFonts w:hint="eastAsia"/>
          <w:color w:val="auto"/>
          <w:sz w:val="24"/>
          <w:szCs w:val="24"/>
          <w:highlight w:val="none"/>
        </w:rPr>
        <w:t>（4）事实依据；</w:t>
      </w:r>
    </w:p>
    <w:p w14:paraId="6C4E7E60">
      <w:pPr>
        <w:spacing w:line="360" w:lineRule="auto"/>
        <w:ind w:firstLine="480"/>
        <w:jc w:val="left"/>
        <w:rPr>
          <w:color w:val="auto"/>
          <w:sz w:val="24"/>
          <w:szCs w:val="24"/>
          <w:highlight w:val="none"/>
        </w:rPr>
      </w:pPr>
      <w:r>
        <w:rPr>
          <w:rFonts w:hint="eastAsia"/>
          <w:color w:val="auto"/>
          <w:sz w:val="24"/>
          <w:szCs w:val="24"/>
          <w:highlight w:val="none"/>
        </w:rPr>
        <w:t>（5）必要的法律依据；</w:t>
      </w:r>
    </w:p>
    <w:p w14:paraId="78C17414">
      <w:pPr>
        <w:spacing w:line="360" w:lineRule="auto"/>
        <w:ind w:firstLine="480"/>
        <w:jc w:val="left"/>
        <w:rPr>
          <w:color w:val="auto"/>
          <w:sz w:val="24"/>
          <w:szCs w:val="24"/>
          <w:highlight w:val="none"/>
        </w:rPr>
      </w:pPr>
      <w:r>
        <w:rPr>
          <w:rFonts w:hint="eastAsia"/>
          <w:color w:val="auto"/>
          <w:sz w:val="24"/>
          <w:szCs w:val="24"/>
          <w:highlight w:val="none"/>
        </w:rPr>
        <w:t>（6）提出质疑的日期；</w:t>
      </w:r>
    </w:p>
    <w:p w14:paraId="037F8BEA">
      <w:pPr>
        <w:spacing w:line="360" w:lineRule="auto"/>
        <w:ind w:firstLine="480"/>
        <w:jc w:val="left"/>
        <w:rPr>
          <w:color w:val="auto"/>
          <w:sz w:val="24"/>
          <w:szCs w:val="24"/>
          <w:highlight w:val="none"/>
        </w:rPr>
      </w:pPr>
      <w:r>
        <w:rPr>
          <w:rFonts w:hint="eastAsia"/>
          <w:color w:val="auto"/>
          <w:sz w:val="24"/>
          <w:szCs w:val="24"/>
          <w:highlight w:val="none"/>
        </w:rPr>
        <w:t>（7）必要的证明材料；</w:t>
      </w:r>
    </w:p>
    <w:p w14:paraId="043F835F">
      <w:pPr>
        <w:spacing w:line="360" w:lineRule="auto"/>
        <w:ind w:firstLine="480"/>
        <w:jc w:val="left"/>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7391A211">
      <w:pPr>
        <w:spacing w:line="360" w:lineRule="auto"/>
        <w:ind w:firstLine="480"/>
        <w:jc w:val="left"/>
        <w:rPr>
          <w:rFonts w:hint="eastAsia"/>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为自然人的，应当由本人签字；</w:t>
      </w:r>
      <w:r>
        <w:rPr>
          <w:rFonts w:hint="eastAsia"/>
          <w:color w:val="auto"/>
          <w:sz w:val="24"/>
          <w:szCs w:val="24"/>
          <w:highlight w:val="none"/>
          <w:lang w:eastAsia="zh-CN"/>
        </w:rPr>
        <w:t>投标人</w:t>
      </w:r>
      <w:r>
        <w:rPr>
          <w:rFonts w:hint="eastAsia"/>
          <w:color w:val="auto"/>
          <w:sz w:val="24"/>
          <w:szCs w:val="24"/>
          <w:highlight w:val="none"/>
        </w:rPr>
        <w:t>为法人或者其他组织的，应当由法定代表人、主要负责人，或者其委托代理人签字或者盖章，并加盖单位公章。</w:t>
      </w:r>
    </w:p>
    <w:p w14:paraId="71619A0C">
      <w:pPr>
        <w:widowControl/>
        <w:spacing w:line="360" w:lineRule="auto"/>
        <w:ind w:firstLine="480"/>
        <w:jc w:val="left"/>
        <w:rPr>
          <w:rFonts w:hint="eastAsia"/>
          <w:color w:val="auto"/>
          <w:sz w:val="24"/>
          <w:szCs w:val="24"/>
          <w:highlight w:val="none"/>
        </w:rPr>
      </w:pP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插入CA证书登陆“苏采云”系统后选择具体项目，点击“我要参与”并签章提交《</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确认函》，提交《</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确认函》日期视同为依法获取采购文件日期。</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须打印、保留《</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确认函》，质疑时《</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确认函》与质疑函一并提交；未依照采购公告要求提交《</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确认函》的</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，视为未参与该项政府采购活动，不具备对该政府采购项目提出质疑的法定权利，但因</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资格条件或获取采购文件时间设定不符合有关法律法规规定等原因使</w:t>
      </w:r>
      <w:r>
        <w:rPr>
          <w:rFonts w:hint="default" w:ascii="Times New Roman" w:hAnsi="Times New Roman"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权益受损的除外。</w:t>
      </w:r>
    </w:p>
    <w:p w14:paraId="4DB6C53B">
      <w:pPr>
        <w:pStyle w:val="4"/>
        <w:spacing w:before="0" w:after="0" w:line="360" w:lineRule="auto"/>
        <w:ind w:firstLine="562"/>
        <w:jc w:val="left"/>
        <w:rPr>
          <w:color w:val="auto"/>
          <w:sz w:val="24"/>
          <w:szCs w:val="24"/>
          <w:highlight w:val="none"/>
        </w:rPr>
      </w:pPr>
      <w:r>
        <w:rPr>
          <w:rFonts w:hint="eastAsia"/>
          <w:color w:val="auto"/>
          <w:sz w:val="28"/>
          <w:szCs w:val="28"/>
          <w:highlight w:val="none"/>
          <w:lang w:val="en-US" w:eastAsia="zh-CN"/>
        </w:rPr>
        <w:t>36</w:t>
      </w:r>
      <w:r>
        <w:rPr>
          <w:rFonts w:hint="eastAsia"/>
          <w:color w:val="auto"/>
          <w:sz w:val="28"/>
          <w:szCs w:val="28"/>
          <w:highlight w:val="none"/>
        </w:rPr>
        <w:t>、质疑函的受理和答复</w:t>
      </w:r>
    </w:p>
    <w:p w14:paraId="4B719376">
      <w:pPr>
        <w:spacing w:line="360" w:lineRule="auto"/>
        <w:ind w:firstLine="480"/>
        <w:jc w:val="left"/>
        <w:rPr>
          <w:color w:val="auto"/>
          <w:sz w:val="24"/>
          <w:szCs w:val="24"/>
          <w:highlight w:val="none"/>
        </w:rPr>
      </w:pPr>
      <w:r>
        <w:rPr>
          <w:rFonts w:hint="eastAsia"/>
          <w:color w:val="auto"/>
          <w:sz w:val="24"/>
          <w:szCs w:val="24"/>
          <w:highlight w:val="none"/>
          <w:lang w:val="en-US" w:eastAsia="zh-CN"/>
        </w:rPr>
        <w:t>36</w:t>
      </w:r>
      <w:r>
        <w:rPr>
          <w:rFonts w:hint="eastAsia"/>
          <w:color w:val="auto"/>
          <w:sz w:val="24"/>
          <w:szCs w:val="24"/>
          <w:highlight w:val="none"/>
        </w:rPr>
        <w:t>.1 质疑</w:t>
      </w:r>
      <w:r>
        <w:rPr>
          <w:rFonts w:hint="eastAsia"/>
          <w:color w:val="auto"/>
          <w:sz w:val="24"/>
          <w:szCs w:val="24"/>
          <w:highlight w:val="none"/>
          <w:lang w:eastAsia="zh-CN"/>
        </w:rPr>
        <w:t>投标人</w:t>
      </w:r>
      <w:r>
        <w:rPr>
          <w:rFonts w:hint="eastAsia"/>
          <w:color w:val="auto"/>
          <w:sz w:val="24"/>
          <w:szCs w:val="24"/>
          <w:highlight w:val="none"/>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69F17F18">
      <w:pPr>
        <w:spacing w:line="360" w:lineRule="auto"/>
        <w:ind w:firstLine="480"/>
        <w:jc w:val="left"/>
        <w:rPr>
          <w:color w:val="auto"/>
          <w:sz w:val="24"/>
          <w:szCs w:val="24"/>
          <w:highlight w:val="none"/>
        </w:rPr>
      </w:pPr>
      <w:r>
        <w:rPr>
          <w:rFonts w:hint="eastAsia"/>
          <w:color w:val="auto"/>
          <w:sz w:val="24"/>
          <w:szCs w:val="24"/>
          <w:highlight w:val="none"/>
          <w:lang w:val="en-US" w:eastAsia="zh-CN"/>
        </w:rPr>
        <w:t>36</w:t>
      </w:r>
      <w:r>
        <w:rPr>
          <w:rFonts w:hint="eastAsia"/>
          <w:color w:val="auto"/>
          <w:sz w:val="24"/>
          <w:szCs w:val="24"/>
          <w:highlight w:val="none"/>
        </w:rPr>
        <w:t>.2 对符合法定要求的质疑，采购人、交易中心接收并登记《质疑函登记表》。在处理过程中，发现需要质疑</w:t>
      </w:r>
      <w:r>
        <w:rPr>
          <w:rFonts w:hint="eastAsia"/>
          <w:color w:val="auto"/>
          <w:sz w:val="24"/>
          <w:szCs w:val="24"/>
          <w:highlight w:val="none"/>
          <w:lang w:eastAsia="zh-CN"/>
        </w:rPr>
        <w:t>投标人</w:t>
      </w:r>
      <w:r>
        <w:rPr>
          <w:rFonts w:hint="eastAsia"/>
          <w:color w:val="auto"/>
          <w:sz w:val="24"/>
          <w:szCs w:val="24"/>
          <w:highlight w:val="none"/>
        </w:rPr>
        <w:t>进一步补充必要的证明材料的，质疑</w:t>
      </w:r>
      <w:r>
        <w:rPr>
          <w:rFonts w:hint="eastAsia"/>
          <w:color w:val="auto"/>
          <w:sz w:val="24"/>
          <w:szCs w:val="24"/>
          <w:highlight w:val="none"/>
          <w:lang w:eastAsia="zh-CN"/>
        </w:rPr>
        <w:t>投标人</w:t>
      </w:r>
      <w:r>
        <w:rPr>
          <w:rFonts w:hint="eastAsia"/>
          <w:color w:val="auto"/>
          <w:sz w:val="24"/>
          <w:szCs w:val="24"/>
          <w:highlight w:val="none"/>
        </w:rPr>
        <w:t>应在法定的时间内提供，质疑答复时间相应顺延。质疑</w:t>
      </w:r>
      <w:r>
        <w:rPr>
          <w:rFonts w:hint="eastAsia"/>
          <w:color w:val="auto"/>
          <w:sz w:val="24"/>
          <w:szCs w:val="24"/>
          <w:highlight w:val="none"/>
          <w:lang w:eastAsia="zh-CN"/>
        </w:rPr>
        <w:t>投标人</w:t>
      </w:r>
      <w:r>
        <w:rPr>
          <w:rFonts w:hint="eastAsia"/>
          <w:color w:val="auto"/>
          <w:sz w:val="24"/>
          <w:szCs w:val="24"/>
          <w:highlight w:val="none"/>
        </w:rPr>
        <w:t>不能按时提供必要的证明材料的，不利后果由质疑</w:t>
      </w:r>
      <w:r>
        <w:rPr>
          <w:rFonts w:hint="eastAsia"/>
          <w:color w:val="auto"/>
          <w:sz w:val="24"/>
          <w:szCs w:val="24"/>
          <w:highlight w:val="none"/>
          <w:lang w:eastAsia="zh-CN"/>
        </w:rPr>
        <w:t>投标人</w:t>
      </w:r>
      <w:r>
        <w:rPr>
          <w:rFonts w:hint="eastAsia"/>
          <w:color w:val="auto"/>
          <w:sz w:val="24"/>
          <w:szCs w:val="24"/>
          <w:highlight w:val="none"/>
        </w:rPr>
        <w:t>自行承担。</w:t>
      </w:r>
    </w:p>
    <w:p w14:paraId="6DA57343">
      <w:pPr>
        <w:spacing w:line="360" w:lineRule="auto"/>
        <w:ind w:firstLine="480"/>
        <w:jc w:val="left"/>
        <w:rPr>
          <w:color w:val="auto"/>
          <w:sz w:val="24"/>
          <w:szCs w:val="24"/>
          <w:highlight w:val="none"/>
        </w:rPr>
      </w:pPr>
      <w:r>
        <w:rPr>
          <w:rFonts w:hint="eastAsia"/>
          <w:color w:val="auto"/>
          <w:sz w:val="24"/>
          <w:szCs w:val="24"/>
          <w:highlight w:val="none"/>
          <w:lang w:val="en-US" w:eastAsia="zh-CN"/>
        </w:rPr>
        <w:t>36</w:t>
      </w:r>
      <w:r>
        <w:rPr>
          <w:rFonts w:hint="eastAsia"/>
          <w:color w:val="auto"/>
          <w:sz w:val="24"/>
          <w:szCs w:val="24"/>
          <w:highlight w:val="none"/>
        </w:rPr>
        <w:t>.3 对不符合质疑要求的，采购人、交易中心有权要求其补充必要的证明材料，质疑</w:t>
      </w:r>
      <w:r>
        <w:rPr>
          <w:rFonts w:hint="eastAsia"/>
          <w:color w:val="auto"/>
          <w:sz w:val="24"/>
          <w:szCs w:val="24"/>
          <w:highlight w:val="none"/>
          <w:lang w:eastAsia="zh-CN"/>
        </w:rPr>
        <w:t>投标人</w:t>
      </w:r>
      <w:r>
        <w:rPr>
          <w:rFonts w:hint="eastAsia"/>
          <w:color w:val="auto"/>
          <w:sz w:val="24"/>
          <w:szCs w:val="24"/>
          <w:highlight w:val="none"/>
        </w:rPr>
        <w:t>未在法定时间内补充必要的证明材料的，不利后果由质疑</w:t>
      </w:r>
      <w:r>
        <w:rPr>
          <w:rFonts w:hint="eastAsia"/>
          <w:color w:val="auto"/>
          <w:sz w:val="24"/>
          <w:szCs w:val="24"/>
          <w:highlight w:val="none"/>
          <w:lang w:eastAsia="zh-CN"/>
        </w:rPr>
        <w:t>投标人</w:t>
      </w:r>
      <w:r>
        <w:rPr>
          <w:rFonts w:hint="eastAsia"/>
          <w:color w:val="auto"/>
          <w:sz w:val="24"/>
          <w:szCs w:val="24"/>
          <w:highlight w:val="none"/>
        </w:rPr>
        <w:t>自行承担。</w:t>
      </w:r>
    </w:p>
    <w:p w14:paraId="697A2048">
      <w:pPr>
        <w:spacing w:line="360" w:lineRule="auto"/>
        <w:ind w:firstLine="480"/>
        <w:jc w:val="left"/>
        <w:rPr>
          <w:color w:val="auto"/>
          <w:sz w:val="24"/>
          <w:szCs w:val="24"/>
          <w:highlight w:val="none"/>
        </w:rPr>
      </w:pPr>
      <w:r>
        <w:rPr>
          <w:rFonts w:hint="eastAsia"/>
          <w:color w:val="auto"/>
          <w:sz w:val="24"/>
          <w:szCs w:val="24"/>
          <w:highlight w:val="none"/>
          <w:lang w:val="en-US" w:eastAsia="zh-CN"/>
        </w:rPr>
        <w:t>36</w:t>
      </w:r>
      <w:r>
        <w:rPr>
          <w:rFonts w:hint="eastAsia"/>
          <w:color w:val="auto"/>
          <w:sz w:val="24"/>
          <w:szCs w:val="24"/>
          <w:highlight w:val="none"/>
        </w:rPr>
        <w:t>.4 以下情形的质疑依法不予受理：</w:t>
      </w:r>
    </w:p>
    <w:p w14:paraId="06DF68FA">
      <w:pPr>
        <w:spacing w:line="360" w:lineRule="auto"/>
        <w:ind w:firstLine="480"/>
        <w:jc w:val="left"/>
        <w:rPr>
          <w:color w:val="auto"/>
          <w:sz w:val="24"/>
          <w:szCs w:val="24"/>
          <w:highlight w:val="none"/>
        </w:rPr>
      </w:pPr>
      <w:r>
        <w:rPr>
          <w:rFonts w:hint="eastAsia"/>
          <w:color w:val="auto"/>
          <w:sz w:val="24"/>
          <w:szCs w:val="24"/>
          <w:highlight w:val="none"/>
        </w:rPr>
        <w:t>（1）内容不符合《政府采购质疑和投诉办法》第十二条规定的质疑。</w:t>
      </w:r>
    </w:p>
    <w:p w14:paraId="3C0DFFCD">
      <w:pPr>
        <w:spacing w:line="360" w:lineRule="auto"/>
        <w:ind w:firstLine="480"/>
        <w:jc w:val="left"/>
        <w:rPr>
          <w:color w:val="auto"/>
          <w:sz w:val="24"/>
          <w:szCs w:val="24"/>
          <w:highlight w:val="none"/>
        </w:rPr>
      </w:pPr>
      <w:r>
        <w:rPr>
          <w:rFonts w:hint="eastAsia"/>
          <w:color w:val="auto"/>
          <w:sz w:val="24"/>
          <w:szCs w:val="24"/>
          <w:highlight w:val="none"/>
        </w:rPr>
        <w:t>（2）超出政府采购法定期限的质疑。</w:t>
      </w:r>
    </w:p>
    <w:p w14:paraId="69981EC6">
      <w:pPr>
        <w:spacing w:line="360" w:lineRule="auto"/>
        <w:ind w:firstLine="480"/>
        <w:jc w:val="left"/>
        <w:rPr>
          <w:color w:val="auto"/>
          <w:sz w:val="24"/>
          <w:szCs w:val="24"/>
          <w:highlight w:val="none"/>
        </w:rPr>
      </w:pPr>
      <w:r>
        <w:rPr>
          <w:rFonts w:hint="eastAsia"/>
          <w:color w:val="auto"/>
          <w:sz w:val="24"/>
          <w:szCs w:val="24"/>
          <w:highlight w:val="none"/>
        </w:rPr>
        <w:t>（3）以传真、电子邮件等方式递交的非原件形式的质疑。</w:t>
      </w:r>
    </w:p>
    <w:p w14:paraId="1A94F9E2">
      <w:pPr>
        <w:spacing w:line="360" w:lineRule="auto"/>
        <w:ind w:firstLine="480"/>
        <w:jc w:val="left"/>
        <w:rPr>
          <w:color w:val="auto"/>
          <w:sz w:val="24"/>
          <w:szCs w:val="24"/>
          <w:highlight w:val="none"/>
        </w:rPr>
      </w:pPr>
      <w:r>
        <w:rPr>
          <w:rFonts w:hint="eastAsia"/>
          <w:color w:val="auto"/>
          <w:sz w:val="24"/>
          <w:szCs w:val="24"/>
          <w:highlight w:val="none"/>
        </w:rPr>
        <w:t>（4）未参与采购活动或在采购活动中自身权益未受到损害的</w:t>
      </w:r>
      <w:r>
        <w:rPr>
          <w:rFonts w:hint="eastAsia"/>
          <w:color w:val="auto"/>
          <w:sz w:val="24"/>
          <w:szCs w:val="24"/>
          <w:highlight w:val="none"/>
          <w:lang w:eastAsia="zh-CN"/>
        </w:rPr>
        <w:t>投标人</w:t>
      </w:r>
      <w:r>
        <w:rPr>
          <w:rFonts w:hint="eastAsia"/>
          <w:color w:val="auto"/>
          <w:sz w:val="24"/>
          <w:szCs w:val="24"/>
          <w:highlight w:val="none"/>
        </w:rPr>
        <w:t>提出的质疑。</w:t>
      </w:r>
    </w:p>
    <w:p w14:paraId="3D0AF01F">
      <w:pPr>
        <w:spacing w:line="360" w:lineRule="auto"/>
        <w:ind w:firstLine="480"/>
        <w:jc w:val="left"/>
        <w:rPr>
          <w:color w:val="auto"/>
          <w:sz w:val="24"/>
          <w:szCs w:val="24"/>
          <w:highlight w:val="none"/>
        </w:rPr>
      </w:pPr>
      <w:r>
        <w:rPr>
          <w:rFonts w:hint="eastAsia"/>
          <w:color w:val="auto"/>
          <w:sz w:val="24"/>
          <w:szCs w:val="24"/>
          <w:highlight w:val="none"/>
          <w:lang w:val="en-US" w:eastAsia="zh-CN"/>
        </w:rPr>
        <w:t>36</w:t>
      </w:r>
      <w:r>
        <w:rPr>
          <w:rFonts w:hint="eastAsia"/>
          <w:color w:val="auto"/>
          <w:sz w:val="24"/>
          <w:szCs w:val="24"/>
          <w:highlight w:val="none"/>
        </w:rPr>
        <w:t>.5 采购人、交易中心依法受理的质疑，将按照政府采购有关规定，在法定期限内作出答复。</w:t>
      </w:r>
    </w:p>
    <w:p w14:paraId="6D6531CB">
      <w:pPr>
        <w:spacing w:line="360" w:lineRule="auto"/>
        <w:ind w:firstLine="480"/>
        <w:jc w:val="left"/>
        <w:rPr>
          <w:rFonts w:hint="eastAsia"/>
          <w:color w:val="auto"/>
          <w:sz w:val="24"/>
          <w:szCs w:val="24"/>
          <w:highlight w:val="none"/>
        </w:rPr>
      </w:pPr>
      <w:r>
        <w:rPr>
          <w:rFonts w:hint="eastAsia"/>
          <w:color w:val="auto"/>
          <w:sz w:val="24"/>
          <w:szCs w:val="24"/>
          <w:highlight w:val="none"/>
          <w:lang w:val="en-US" w:eastAsia="zh-CN"/>
        </w:rPr>
        <w:t>36</w:t>
      </w:r>
      <w:r>
        <w:rPr>
          <w:rFonts w:hint="eastAsia"/>
          <w:color w:val="auto"/>
          <w:sz w:val="24"/>
          <w:szCs w:val="24"/>
          <w:highlight w:val="none"/>
        </w:rPr>
        <w:t>.6 因质疑</w:t>
      </w:r>
      <w:r>
        <w:rPr>
          <w:rFonts w:hint="eastAsia"/>
          <w:color w:val="auto"/>
          <w:sz w:val="24"/>
          <w:szCs w:val="24"/>
          <w:highlight w:val="none"/>
          <w:lang w:eastAsia="zh-CN"/>
        </w:rPr>
        <w:t>投标人</w:t>
      </w:r>
      <w:r>
        <w:rPr>
          <w:rFonts w:hint="eastAsia"/>
          <w:color w:val="auto"/>
          <w:sz w:val="24"/>
          <w:szCs w:val="24"/>
          <w:highlight w:val="none"/>
        </w:rPr>
        <w:t>所留联系方式无效，或者无故不接收，导致质疑答复结果无法送达的，视为质疑</w:t>
      </w:r>
      <w:r>
        <w:rPr>
          <w:rFonts w:hint="eastAsia"/>
          <w:color w:val="auto"/>
          <w:sz w:val="24"/>
          <w:szCs w:val="24"/>
          <w:highlight w:val="none"/>
          <w:lang w:eastAsia="zh-CN"/>
        </w:rPr>
        <w:t>投标人</w:t>
      </w:r>
      <w:r>
        <w:rPr>
          <w:rFonts w:hint="eastAsia"/>
          <w:color w:val="auto"/>
          <w:sz w:val="24"/>
          <w:szCs w:val="24"/>
          <w:highlight w:val="none"/>
        </w:rPr>
        <w:t>主动放弃知晓质疑答复结果的权利。</w:t>
      </w:r>
    </w:p>
    <w:p w14:paraId="08225C57">
      <w:pPr>
        <w:pStyle w:val="3"/>
        <w:numPr>
          <w:ilvl w:val="0"/>
          <w:numId w:val="0"/>
        </w:numPr>
        <w:spacing w:before="0" w:after="0" w:line="360" w:lineRule="auto"/>
        <w:rPr>
          <w:rFonts w:hint="eastAsia" w:ascii="Times New Roman" w:hAnsi="Times New Roman" w:eastAsia="黑体"/>
          <w:b w:val="0"/>
          <w:color w:val="auto"/>
          <w:highlight w:val="none"/>
        </w:rPr>
      </w:pPr>
      <w:r>
        <w:rPr>
          <w:rFonts w:hint="eastAsia" w:ascii="Times New Roman" w:hAnsi="Times New Roman"/>
          <w:b w:val="0"/>
          <w:color w:val="auto"/>
          <w:highlight w:val="none"/>
          <w:lang w:val="en-US" w:eastAsia="zh-CN"/>
        </w:rPr>
        <w:t>九、</w:t>
      </w:r>
      <w:r>
        <w:rPr>
          <w:rFonts w:hint="eastAsia" w:ascii="Times New Roman" w:hAnsi="Times New Roman" w:eastAsia="黑体"/>
          <w:b w:val="0"/>
          <w:color w:val="auto"/>
          <w:highlight w:val="none"/>
        </w:rPr>
        <w:t>未尽事宜，依照有关法律、法规执行。</w:t>
      </w:r>
    </w:p>
    <w:p w14:paraId="14F11802">
      <w:pPr>
        <w:spacing w:line="360" w:lineRule="auto"/>
        <w:rPr>
          <w:rFonts w:hint="default" w:ascii="Times New Roman" w:hAnsi="Times New Roman" w:eastAsia="黑体"/>
          <w:color w:val="auto"/>
          <w:sz w:val="44"/>
          <w:szCs w:val="44"/>
          <w:highlight w:val="none"/>
          <w:lang w:val="en-US" w:eastAsia="zh-CN"/>
        </w:rPr>
        <w:sectPr>
          <w:pgSz w:w="11906" w:h="16838"/>
          <w:pgMar w:top="1440" w:right="1800" w:bottom="1440" w:left="1800" w:header="851" w:footer="992" w:gutter="0"/>
          <w:cols w:space="425" w:num="1"/>
          <w:docGrid w:linePitch="360" w:charSpace="0"/>
        </w:sectPr>
      </w:pPr>
    </w:p>
    <w:p w14:paraId="086C27BD">
      <w:pPr>
        <w:pStyle w:val="2"/>
        <w:keepLines/>
        <w:numPr>
          <w:ilvl w:val="0"/>
          <w:numId w:val="0"/>
        </w:numPr>
        <w:spacing w:before="156" w:after="156" w:line="360" w:lineRule="auto"/>
        <w:ind w:left="0" w:firstLine="2200"/>
        <w:jc w:val="both"/>
        <w:rPr>
          <w:rFonts w:ascii="Times New Roman"/>
          <w:color w:val="auto"/>
          <w:sz w:val="24"/>
          <w:szCs w:val="24"/>
          <w:highlight w:val="none"/>
        </w:rPr>
      </w:pPr>
      <w:r>
        <w:rPr>
          <w:rFonts w:hint="default" w:ascii="Times New Roman" w:hAnsi="Times New Roman" w:eastAsia="黑体" w:cs="Times New Roman"/>
          <w:b w:val="0"/>
          <w:bCs w:val="0"/>
          <w:color w:val="auto"/>
          <w:sz w:val="44"/>
          <w:szCs w:val="44"/>
          <w:highlight w:val="none"/>
          <w:lang w:val="en-US" w:eastAsia="zh-CN" w:bidi="ar-SA"/>
        </w:rPr>
        <w:t>第三章</w:t>
      </w:r>
      <w:r>
        <w:rPr>
          <w:rFonts w:hint="default" w:ascii="Times New Roman" w:hAnsi="Times New Roman" w:eastAsia="黑体"/>
          <w:color w:val="auto"/>
          <w:sz w:val="44"/>
          <w:szCs w:val="44"/>
          <w:highlight w:val="none"/>
          <w:lang w:val="en-US" w:eastAsia="zh-CN"/>
        </w:rPr>
        <w:t xml:space="preserve">  </w:t>
      </w:r>
      <w:r>
        <w:rPr>
          <w:rFonts w:hint="default" w:ascii="Times New Roman" w:hAnsi="Times New Roman" w:eastAsia="黑体" w:cs="Times New Roman"/>
          <w:b w:val="0"/>
          <w:bCs w:val="0"/>
          <w:color w:val="auto"/>
          <w:sz w:val="44"/>
          <w:szCs w:val="44"/>
          <w:highlight w:val="none"/>
        </w:rPr>
        <w:t>合同文本</w:t>
      </w:r>
    </w:p>
    <w:p w14:paraId="578890FD">
      <w:pPr>
        <w:spacing w:line="500" w:lineRule="exact"/>
        <w:ind w:firstLine="480"/>
        <w:jc w:val="left"/>
        <w:rPr>
          <w:color w:val="auto"/>
          <w:sz w:val="24"/>
          <w:szCs w:val="24"/>
          <w:highlight w:val="none"/>
        </w:rPr>
      </w:pPr>
    </w:p>
    <w:p w14:paraId="5F9C5C09">
      <w:pPr>
        <w:spacing w:line="500" w:lineRule="exact"/>
        <w:jc w:val="center"/>
        <w:rPr>
          <w:rFonts w:ascii="Times New Roman" w:hAnsi="Times New Roman" w:eastAsia="黑体"/>
          <w:color w:val="auto"/>
          <w:sz w:val="32"/>
          <w:szCs w:val="24"/>
          <w:highlight w:val="none"/>
        </w:rPr>
      </w:pPr>
      <w:r>
        <w:rPr>
          <w:rFonts w:hint="default" w:ascii="Times New Roman" w:hAnsi="Times New Roman" w:eastAsia="黑体"/>
          <w:color w:val="auto"/>
          <w:sz w:val="32"/>
          <w:szCs w:val="24"/>
          <w:highlight w:val="none"/>
        </w:rPr>
        <w:t>连云港市政府采购合同（服务）</w:t>
      </w:r>
    </w:p>
    <w:p w14:paraId="184167EA">
      <w:pPr>
        <w:spacing w:line="500" w:lineRule="exact"/>
        <w:jc w:val="center"/>
        <w:rPr>
          <w:rFonts w:ascii="Times New Roman" w:hAnsi="Times New Roman" w:eastAsia="黑体"/>
          <w:color w:val="auto"/>
          <w:sz w:val="28"/>
          <w:szCs w:val="24"/>
          <w:highlight w:val="none"/>
        </w:rPr>
      </w:pPr>
      <w:r>
        <w:rPr>
          <w:rFonts w:hint="default" w:ascii="Times New Roman" w:hAnsi="Times New Roman" w:eastAsia="黑体"/>
          <w:color w:val="auto"/>
          <w:sz w:val="28"/>
          <w:szCs w:val="24"/>
          <w:highlight w:val="none"/>
        </w:rPr>
        <w:t>（合同编号：***）</w:t>
      </w:r>
    </w:p>
    <w:p w14:paraId="6C09F156">
      <w:pPr>
        <w:spacing w:line="360" w:lineRule="auto"/>
        <w:jc w:val="left"/>
        <w:rPr>
          <w:color w:val="auto"/>
          <w:sz w:val="24"/>
          <w:szCs w:val="24"/>
          <w:highlight w:val="none"/>
        </w:rPr>
      </w:pPr>
      <w:r>
        <w:rPr>
          <w:rFonts w:hint="eastAsia"/>
          <w:color w:val="auto"/>
          <w:sz w:val="24"/>
          <w:szCs w:val="24"/>
          <w:highlight w:val="none"/>
        </w:rPr>
        <w:t>甲方：（买方）_________</w:t>
      </w:r>
    </w:p>
    <w:p w14:paraId="1D3328AB">
      <w:pPr>
        <w:spacing w:line="360" w:lineRule="auto"/>
        <w:jc w:val="left"/>
        <w:rPr>
          <w:color w:val="auto"/>
          <w:sz w:val="24"/>
          <w:szCs w:val="24"/>
          <w:highlight w:val="none"/>
        </w:rPr>
      </w:pPr>
      <w:r>
        <w:rPr>
          <w:rFonts w:hint="eastAsia"/>
          <w:color w:val="auto"/>
          <w:sz w:val="24"/>
          <w:szCs w:val="24"/>
          <w:highlight w:val="none"/>
        </w:rPr>
        <w:t>乙方：（卖方）_________</w:t>
      </w:r>
    </w:p>
    <w:p w14:paraId="2B7B7000">
      <w:pPr>
        <w:spacing w:line="360" w:lineRule="auto"/>
        <w:ind w:firstLine="480"/>
        <w:jc w:val="left"/>
        <w:rPr>
          <w:color w:val="auto"/>
          <w:sz w:val="24"/>
          <w:szCs w:val="24"/>
          <w:highlight w:val="none"/>
        </w:rPr>
      </w:pPr>
      <w:r>
        <w:rPr>
          <w:rFonts w:hint="eastAsia"/>
          <w:color w:val="auto"/>
          <w:sz w:val="24"/>
          <w:szCs w:val="24"/>
          <w:highlight w:val="none"/>
        </w:rPr>
        <w:t>甲、乙双方根据</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年</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月</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日</w:t>
      </w:r>
      <w:r>
        <w:rPr>
          <w:rFonts w:hint="eastAsia"/>
          <w:color w:val="auto"/>
          <w:sz w:val="24"/>
          <w:szCs w:val="24"/>
          <w:highlight w:val="none"/>
          <w:u w:val="single"/>
        </w:rPr>
        <w:t xml:space="preserve">         </w:t>
      </w:r>
      <w:r>
        <w:rPr>
          <w:rFonts w:hint="eastAsia"/>
          <w:color w:val="auto"/>
          <w:sz w:val="24"/>
          <w:szCs w:val="24"/>
          <w:highlight w:val="none"/>
        </w:rPr>
        <w:t>项目（项目编号：</w:t>
      </w:r>
      <w:r>
        <w:rPr>
          <w:rFonts w:hint="eastAsia"/>
          <w:color w:val="auto"/>
          <w:sz w:val="24"/>
          <w:szCs w:val="24"/>
          <w:highlight w:val="none"/>
          <w:u w:val="single"/>
        </w:rPr>
        <w:t xml:space="preserve">         </w:t>
      </w:r>
      <w:r>
        <w:rPr>
          <w:rFonts w:hint="eastAsia"/>
          <w:color w:val="auto"/>
          <w:sz w:val="24"/>
          <w:szCs w:val="24"/>
          <w:highlight w:val="none"/>
        </w:rPr>
        <w:t>）公开招标的结果，签订本合同。</w:t>
      </w:r>
    </w:p>
    <w:p w14:paraId="25E82182">
      <w:pPr>
        <w:spacing w:line="360" w:lineRule="auto"/>
        <w:ind w:firstLine="482"/>
        <w:rPr>
          <w:rFonts w:hint="eastAsia" w:eastAsia="宋体"/>
          <w:b/>
          <w:bCs/>
          <w:color w:val="auto"/>
          <w:sz w:val="24"/>
          <w:highlight w:val="none"/>
          <w:lang w:val="en-US" w:eastAsia="zh-CN"/>
        </w:rPr>
      </w:pPr>
      <w:r>
        <w:rPr>
          <w:rFonts w:hint="default" w:ascii="Times New Roman" w:hAnsi="Times New Roman" w:eastAsia="宋体" w:cs="Times New Roman"/>
          <w:b/>
          <w:bCs/>
          <w:color w:val="auto"/>
          <w:sz w:val="24"/>
          <w:highlight w:val="none"/>
        </w:rPr>
        <w:t>一、</w:t>
      </w:r>
      <w:r>
        <w:rPr>
          <w:b/>
          <w:bCs/>
          <w:color w:val="auto"/>
          <w:sz w:val="24"/>
          <w:highlight w:val="none"/>
        </w:rPr>
        <w:t>服务</w:t>
      </w:r>
      <w:r>
        <w:rPr>
          <w:rFonts w:hint="eastAsia"/>
          <w:b/>
          <w:bCs/>
          <w:color w:val="auto"/>
          <w:sz w:val="24"/>
          <w:highlight w:val="none"/>
          <w:lang w:val="en-US" w:eastAsia="zh-CN"/>
        </w:rPr>
        <w:t>内容</w:t>
      </w:r>
    </w:p>
    <w:p w14:paraId="2AFECE7C">
      <w:pPr>
        <w:spacing w:line="360" w:lineRule="auto"/>
        <w:ind w:firstLine="480"/>
        <w:rPr>
          <w:rFonts w:hint="eastAsia" w:eastAsia="宋体"/>
          <w:color w:val="auto"/>
          <w:sz w:val="24"/>
          <w:highlight w:val="none"/>
          <w:lang w:val="en-US" w:eastAsia="zh-CN"/>
        </w:rPr>
      </w:pPr>
      <w:r>
        <w:rPr>
          <w:color w:val="auto"/>
          <w:sz w:val="24"/>
          <w:highlight w:val="none"/>
        </w:rPr>
        <w:t>按连云港市长护险政策规定和合同约定为参保人员提供经办管理服务，在医保经办机构的指导和监督下，负责承办长护险的具体事务。</w:t>
      </w:r>
    </w:p>
    <w:p w14:paraId="4002D641">
      <w:pPr>
        <w:spacing w:line="360" w:lineRule="auto"/>
        <w:ind w:firstLine="482"/>
        <w:rPr>
          <w:b/>
          <w:bCs/>
          <w:color w:val="auto"/>
          <w:sz w:val="24"/>
          <w:highlight w:val="none"/>
        </w:rPr>
      </w:pPr>
      <w:r>
        <w:rPr>
          <w:rFonts w:hint="eastAsia"/>
          <w:b/>
          <w:bCs/>
          <w:color w:val="auto"/>
          <w:sz w:val="24"/>
          <w:highlight w:val="none"/>
          <w:lang w:val="en-US" w:eastAsia="zh-CN"/>
        </w:rPr>
        <w:t>二、</w:t>
      </w:r>
      <w:r>
        <w:rPr>
          <w:b/>
          <w:bCs/>
          <w:color w:val="auto"/>
          <w:sz w:val="24"/>
          <w:highlight w:val="none"/>
        </w:rPr>
        <w:t>服务期限</w:t>
      </w:r>
    </w:p>
    <w:p w14:paraId="614FB646">
      <w:pPr>
        <w:spacing w:line="360" w:lineRule="auto"/>
        <w:ind w:firstLine="480"/>
        <w:rPr>
          <w:color w:val="auto"/>
          <w:sz w:val="24"/>
          <w:highlight w:val="none"/>
        </w:rPr>
      </w:pPr>
      <w:r>
        <w:rPr>
          <w:color w:val="auto"/>
          <w:sz w:val="24"/>
          <w:highlight w:val="none"/>
        </w:rPr>
        <w:t>本项目服务期限</w:t>
      </w:r>
      <w:r>
        <w:rPr>
          <w:rFonts w:hint="eastAsia"/>
          <w:color w:val="auto"/>
          <w:sz w:val="24"/>
          <w:highlight w:val="none"/>
          <w:lang w:val="en-US" w:eastAsia="zh-CN"/>
        </w:rPr>
        <w:t>36</w:t>
      </w:r>
      <w:r>
        <w:rPr>
          <w:color w:val="auto"/>
          <w:sz w:val="24"/>
          <w:highlight w:val="none"/>
        </w:rPr>
        <w:t>个月，自</w:t>
      </w:r>
      <w:r>
        <w:rPr>
          <w:rFonts w:hint="eastAsia"/>
          <w:color w:val="auto"/>
          <w:sz w:val="24"/>
          <w:highlight w:val="none"/>
          <w:lang w:val="en-US" w:eastAsia="zh-CN"/>
        </w:rPr>
        <w:t>2027</w:t>
      </w:r>
      <w:r>
        <w:rPr>
          <w:color w:val="auto"/>
          <w:sz w:val="24"/>
          <w:highlight w:val="none"/>
        </w:rPr>
        <w:t>年</w:t>
      </w:r>
      <w:r>
        <w:rPr>
          <w:rFonts w:hint="eastAsia"/>
          <w:color w:val="auto"/>
          <w:sz w:val="24"/>
          <w:highlight w:val="none"/>
          <w:lang w:val="en-US" w:eastAsia="zh-CN"/>
        </w:rPr>
        <w:t>1</w:t>
      </w:r>
      <w:r>
        <w:rPr>
          <w:color w:val="auto"/>
          <w:sz w:val="24"/>
          <w:highlight w:val="none"/>
        </w:rPr>
        <w:t>月1日起至</w:t>
      </w:r>
      <w:r>
        <w:rPr>
          <w:rFonts w:hint="eastAsia"/>
          <w:color w:val="auto"/>
          <w:sz w:val="24"/>
          <w:highlight w:val="none"/>
          <w:lang w:val="en-US" w:eastAsia="zh-CN"/>
        </w:rPr>
        <w:t>2029</w:t>
      </w:r>
      <w:r>
        <w:rPr>
          <w:color w:val="auto"/>
          <w:sz w:val="24"/>
          <w:highlight w:val="none"/>
        </w:rPr>
        <w:t>年12月31日止，分为三个独立且连续的</w:t>
      </w:r>
      <w:r>
        <w:rPr>
          <w:rFonts w:hint="eastAsia"/>
          <w:color w:val="auto"/>
          <w:sz w:val="24"/>
          <w:highlight w:val="none"/>
          <w:lang w:val="en-US" w:eastAsia="zh-CN"/>
        </w:rPr>
        <w:t>服务</w:t>
      </w:r>
      <w:r>
        <w:rPr>
          <w:color w:val="auto"/>
          <w:sz w:val="24"/>
          <w:highlight w:val="none"/>
        </w:rPr>
        <w:t>周期，（</w:t>
      </w:r>
      <w:r>
        <w:rPr>
          <w:rFonts w:hint="eastAsia"/>
          <w:color w:val="auto"/>
          <w:sz w:val="24"/>
          <w:highlight w:val="none"/>
          <w:lang w:val="en-US" w:eastAsia="zh-CN"/>
        </w:rPr>
        <w:t>2027</w:t>
      </w:r>
      <w:r>
        <w:rPr>
          <w:color w:val="auto"/>
          <w:sz w:val="24"/>
          <w:highlight w:val="none"/>
        </w:rPr>
        <w:t>年</w:t>
      </w:r>
      <w:r>
        <w:rPr>
          <w:rFonts w:hint="eastAsia"/>
          <w:color w:val="auto"/>
          <w:sz w:val="24"/>
          <w:highlight w:val="none"/>
          <w:lang w:val="en-US" w:eastAsia="zh-CN"/>
        </w:rPr>
        <w:t>1</w:t>
      </w:r>
      <w:r>
        <w:rPr>
          <w:color w:val="auto"/>
          <w:sz w:val="24"/>
          <w:highlight w:val="none"/>
        </w:rPr>
        <w:t>月1日至</w:t>
      </w:r>
      <w:r>
        <w:rPr>
          <w:rFonts w:hint="eastAsia"/>
          <w:color w:val="auto"/>
          <w:sz w:val="24"/>
          <w:highlight w:val="none"/>
          <w:lang w:val="en-US" w:eastAsia="zh-CN"/>
        </w:rPr>
        <w:t>2027</w:t>
      </w:r>
      <w:r>
        <w:rPr>
          <w:color w:val="auto"/>
          <w:sz w:val="24"/>
          <w:highlight w:val="none"/>
        </w:rPr>
        <w:t>年12月31日为第一期，</w:t>
      </w:r>
      <w:r>
        <w:rPr>
          <w:rFonts w:hint="eastAsia"/>
          <w:color w:val="auto"/>
          <w:sz w:val="24"/>
          <w:highlight w:val="none"/>
          <w:lang w:val="en-US" w:eastAsia="zh-CN"/>
        </w:rPr>
        <w:t>2028</w:t>
      </w:r>
      <w:r>
        <w:rPr>
          <w:color w:val="auto"/>
          <w:sz w:val="24"/>
          <w:highlight w:val="none"/>
        </w:rPr>
        <w:t>年1月1日至</w:t>
      </w:r>
      <w:r>
        <w:rPr>
          <w:rFonts w:hint="eastAsia"/>
          <w:color w:val="auto"/>
          <w:sz w:val="24"/>
          <w:highlight w:val="none"/>
          <w:lang w:val="en-US" w:eastAsia="zh-CN"/>
        </w:rPr>
        <w:t>2028</w:t>
      </w:r>
      <w:r>
        <w:rPr>
          <w:color w:val="auto"/>
          <w:sz w:val="24"/>
          <w:highlight w:val="none"/>
        </w:rPr>
        <w:t>年12月31日为第二期，</w:t>
      </w:r>
      <w:r>
        <w:rPr>
          <w:rFonts w:hint="eastAsia"/>
          <w:color w:val="auto"/>
          <w:sz w:val="24"/>
          <w:highlight w:val="none"/>
          <w:lang w:val="en-US" w:eastAsia="zh-CN"/>
        </w:rPr>
        <w:t>2029</w:t>
      </w:r>
      <w:r>
        <w:rPr>
          <w:color w:val="auto"/>
          <w:sz w:val="24"/>
          <w:highlight w:val="none"/>
        </w:rPr>
        <w:t>年1月1日至</w:t>
      </w:r>
      <w:r>
        <w:rPr>
          <w:rFonts w:hint="eastAsia"/>
          <w:color w:val="auto"/>
          <w:sz w:val="24"/>
          <w:highlight w:val="none"/>
          <w:lang w:val="en-US" w:eastAsia="zh-CN"/>
        </w:rPr>
        <w:t>2029</w:t>
      </w:r>
      <w:r>
        <w:rPr>
          <w:color w:val="auto"/>
          <w:sz w:val="24"/>
          <w:highlight w:val="none"/>
        </w:rPr>
        <w:t>年12月31日为第三期）</w:t>
      </w:r>
      <w:r>
        <w:rPr>
          <w:rFonts w:hint="eastAsia"/>
          <w:color w:val="auto"/>
          <w:sz w:val="24"/>
          <w:highlight w:val="none"/>
          <w:lang w:eastAsia="zh-CN"/>
        </w:rPr>
        <w:t>，</w:t>
      </w:r>
      <w:r>
        <w:rPr>
          <w:color w:val="auto"/>
          <w:sz w:val="24"/>
          <w:highlight w:val="none"/>
        </w:rPr>
        <w:t>合同一期一签，每期通过考核后，可续签下一期合同。</w:t>
      </w:r>
      <w:r>
        <w:rPr>
          <w:rFonts w:hint="eastAsia"/>
          <w:color w:val="auto"/>
          <w:sz w:val="24"/>
          <w:highlight w:val="none"/>
          <w:lang w:val="en-US" w:eastAsia="zh-CN"/>
        </w:rPr>
        <w:t>合同期内，</w:t>
      </w:r>
      <w:r>
        <w:rPr>
          <w:color w:val="auto"/>
          <w:sz w:val="24"/>
          <w:highlight w:val="none"/>
        </w:rPr>
        <w:t>因考核不合格、经办管理模式发生重大变化</w:t>
      </w:r>
      <w:r>
        <w:rPr>
          <w:rFonts w:hint="eastAsia"/>
          <w:color w:val="auto"/>
          <w:sz w:val="24"/>
          <w:highlight w:val="none"/>
          <w:lang w:val="en-US" w:eastAsia="zh-CN"/>
        </w:rPr>
        <w:t>或因国家、省、市重大政策调整等相关内容产生显著变化</w:t>
      </w:r>
      <w:r>
        <w:rPr>
          <w:color w:val="auto"/>
          <w:sz w:val="24"/>
          <w:highlight w:val="none"/>
        </w:rPr>
        <w:t>等原因，采购人有权单方面</w:t>
      </w:r>
      <w:r>
        <w:rPr>
          <w:b/>
          <w:bCs/>
          <w:color w:val="auto"/>
          <w:sz w:val="24"/>
          <w:highlight w:val="none"/>
        </w:rPr>
        <w:t>终止服务</w:t>
      </w:r>
      <w:r>
        <w:rPr>
          <w:rFonts w:hint="eastAsia"/>
          <w:b/>
          <w:bCs/>
          <w:color w:val="auto"/>
          <w:sz w:val="24"/>
          <w:highlight w:val="none"/>
          <w:lang w:val="en-US" w:eastAsia="zh-CN"/>
        </w:rPr>
        <w:t>合同</w:t>
      </w:r>
      <w:r>
        <w:rPr>
          <w:color w:val="auto"/>
          <w:sz w:val="24"/>
          <w:highlight w:val="none"/>
        </w:rPr>
        <w:t>或</w:t>
      </w:r>
      <w:r>
        <w:rPr>
          <w:b/>
          <w:bCs/>
          <w:color w:val="auto"/>
          <w:sz w:val="24"/>
          <w:highlight w:val="none"/>
        </w:rPr>
        <w:t>停止续签服务合同</w:t>
      </w:r>
      <w:r>
        <w:rPr>
          <w:color w:val="auto"/>
          <w:sz w:val="24"/>
          <w:highlight w:val="none"/>
        </w:rPr>
        <w:t>，中标人应无条件服从。服务协议期满，采购人根据政府采购的相关规定，另行组织招标采购。</w:t>
      </w:r>
    </w:p>
    <w:p w14:paraId="20C0182C">
      <w:pPr>
        <w:spacing w:line="360" w:lineRule="auto"/>
        <w:ind w:firstLine="482"/>
        <w:rPr>
          <w:b/>
          <w:bCs/>
          <w:color w:val="auto"/>
          <w:sz w:val="24"/>
          <w:highlight w:val="none"/>
        </w:rPr>
      </w:pPr>
      <w:r>
        <w:rPr>
          <w:rFonts w:hint="eastAsia"/>
          <w:b/>
          <w:bCs/>
          <w:color w:val="auto"/>
          <w:sz w:val="24"/>
          <w:highlight w:val="none"/>
          <w:lang w:val="en-US" w:eastAsia="zh-CN"/>
        </w:rPr>
        <w:t>三、</w:t>
      </w:r>
      <w:r>
        <w:rPr>
          <w:b/>
          <w:bCs/>
          <w:color w:val="auto"/>
          <w:sz w:val="24"/>
          <w:highlight w:val="none"/>
        </w:rPr>
        <w:t>筹资标准</w:t>
      </w:r>
    </w:p>
    <w:p w14:paraId="0E9F1961">
      <w:pPr>
        <w:pStyle w:val="33"/>
        <w:spacing w:beforeAutospacing="0" w:afterAutospacing="0" w:line="360" w:lineRule="auto"/>
        <w:ind w:firstLine="480"/>
        <w:jc w:val="both"/>
        <w:rPr>
          <w:rFonts w:hint="default" w:ascii="Times New Roman" w:hAnsi="Times New Roman" w:eastAsia="宋体" w:cs="Times New Roman"/>
          <w:color w:val="auto"/>
          <w:highlight w:val="none"/>
          <w:lang w:eastAsia="zh-CN"/>
        </w:rPr>
      </w:pPr>
      <w:r>
        <w:rPr>
          <w:color w:val="auto"/>
          <w:sz w:val="24"/>
          <w:highlight w:val="none"/>
        </w:rPr>
        <w:t>长护险筹资标准：</w:t>
      </w:r>
      <w:r>
        <w:rPr>
          <w:rFonts w:hint="eastAsia"/>
          <w:color w:val="auto"/>
          <w:sz w:val="24"/>
          <w:highlight w:val="none"/>
          <w:lang w:val="en-US" w:eastAsia="zh-CN"/>
        </w:rPr>
        <w:t>1.职工长护险筹资</w:t>
      </w:r>
      <w:r>
        <w:rPr>
          <w:color w:val="auto"/>
          <w:sz w:val="24"/>
          <w:highlight w:val="none"/>
        </w:rPr>
        <w:t>由个人缴费、财政补助、职工基本医保统筹基金划拨三部分组成，其中个人缴费标准为每人每年30元、财政补助标准为每人每年20元、职工医保统筹基金每年按上年度职工基本医保统筹基金收入的2%划拨。企事业单位、慈善机构等社会团体和个人给予捐助的资金，纳入长护险基金管理。</w:t>
      </w:r>
      <w:r>
        <w:rPr>
          <w:rFonts w:hint="eastAsia"/>
          <w:color w:val="auto"/>
          <w:sz w:val="24"/>
          <w:highlight w:val="none"/>
          <w:lang w:val="en-US" w:eastAsia="zh-CN"/>
        </w:rPr>
        <w:t>2.城乡居民长护险筹资由个人和政府合理分担，其中个人缴费每人每年20元，政府补助每人每年20元。参加城乡居民基本医疗保险的在校学生及18周岁以下参保人员暂不单独筹资。困难人员参加本市长护险的个人缴费部分参照本市医疗救助对象分类资助参保政策进行资助。</w:t>
      </w:r>
      <w:r>
        <w:rPr>
          <w:rFonts w:hint="default" w:ascii="Times New Roman" w:hAnsi="Times New Roman" w:eastAsia="宋体" w:cs="Times New Roman"/>
          <w:color w:val="auto"/>
          <w:highlight w:val="none"/>
        </w:rPr>
        <w:t>今后，可根据经济社会发展水平和医疗保障实际需要，由市医疗保障局会同市财政局适时调整筹资标准。如国家、省、市调整参保筹资政策，按新政策执行。</w:t>
      </w:r>
    </w:p>
    <w:p w14:paraId="13F91CB7">
      <w:pPr>
        <w:spacing w:line="360" w:lineRule="auto"/>
        <w:ind w:firstLine="482"/>
        <w:rPr>
          <w:b/>
          <w:bCs/>
          <w:color w:val="auto"/>
          <w:sz w:val="24"/>
          <w:highlight w:val="none"/>
        </w:rPr>
      </w:pPr>
      <w:r>
        <w:rPr>
          <w:rFonts w:hint="eastAsia"/>
          <w:b/>
          <w:bCs/>
          <w:color w:val="auto"/>
          <w:sz w:val="24"/>
          <w:highlight w:val="none"/>
          <w:lang w:val="en-US" w:eastAsia="zh-CN"/>
        </w:rPr>
        <w:t>四、</w:t>
      </w:r>
      <w:r>
        <w:rPr>
          <w:b/>
          <w:bCs/>
          <w:color w:val="auto"/>
          <w:sz w:val="24"/>
          <w:highlight w:val="none"/>
        </w:rPr>
        <w:t>合同金额和支付方式</w:t>
      </w:r>
    </w:p>
    <w:p w14:paraId="513E2CF8">
      <w:pPr>
        <w:spacing w:line="500" w:lineRule="exact"/>
        <w:ind w:firstLine="482"/>
        <w:rPr>
          <w:b/>
          <w:bCs/>
          <w:color w:val="auto"/>
          <w:sz w:val="24"/>
          <w:highlight w:val="none"/>
        </w:rPr>
      </w:pPr>
    </w:p>
    <w:p w14:paraId="71972F10">
      <w:pPr>
        <w:pStyle w:val="33"/>
        <w:spacing w:before="0" w:beforeAutospacing="0" w:after="0" w:afterAutospacing="0" w:line="500" w:lineRule="exact"/>
        <w:ind w:firstLine="482"/>
        <w:jc w:val="both"/>
        <w:rPr>
          <w:rFonts w:ascii="Times New Roman" w:hAnsi="Times New Roman" w:cs="Times New Roman" w:eastAsiaTheme="majorEastAsia"/>
          <w:b/>
          <w:color w:val="auto"/>
          <w:sz w:val="24"/>
          <w:szCs w:val="24"/>
          <w:highlight w:val="none"/>
        </w:rPr>
      </w:pPr>
      <w:r>
        <w:rPr>
          <w:rFonts w:hint="eastAsia" w:ascii="Times New Roman" w:hAnsi="Times New Roman" w:cs="Times New Roman" w:eastAsiaTheme="majorEastAsia"/>
          <w:b/>
          <w:color w:val="auto"/>
          <w:sz w:val="24"/>
          <w:szCs w:val="24"/>
          <w:highlight w:val="none"/>
          <w:lang w:val="en-US" w:eastAsia="zh-CN"/>
        </w:rPr>
        <w:t>五、</w:t>
      </w:r>
      <w:r>
        <w:rPr>
          <w:rFonts w:ascii="Times New Roman" w:hAnsi="Times New Roman" w:cs="Times New Roman" w:eastAsiaTheme="majorEastAsia"/>
          <w:b/>
          <w:color w:val="auto"/>
          <w:sz w:val="24"/>
          <w:szCs w:val="24"/>
          <w:highlight w:val="none"/>
        </w:rPr>
        <w:t>长护险基金利息约定</w:t>
      </w:r>
    </w:p>
    <w:p w14:paraId="5B2DC55B">
      <w:pPr>
        <w:pStyle w:val="33"/>
        <w:spacing w:before="0" w:beforeAutospacing="0" w:after="0" w:afterAutospacing="0" w:line="500" w:lineRule="exact"/>
        <w:ind w:firstLine="482"/>
        <w:jc w:val="both"/>
        <w:rPr>
          <w:rFonts w:ascii="Times New Roman" w:hAnsi="Times New Roman" w:cs="Times New Roman" w:eastAsiaTheme="majorEastAsia"/>
          <w:b/>
          <w:color w:val="auto"/>
          <w:sz w:val="24"/>
          <w:szCs w:val="24"/>
          <w:highlight w:val="none"/>
        </w:rPr>
      </w:pPr>
    </w:p>
    <w:p w14:paraId="4FBF5C1C">
      <w:pPr>
        <w:spacing w:line="500" w:lineRule="exact"/>
        <w:ind w:firstLine="482"/>
        <w:rPr>
          <w:b/>
          <w:bCs/>
          <w:color w:val="auto"/>
          <w:sz w:val="24"/>
          <w:highlight w:val="none"/>
        </w:rPr>
      </w:pPr>
      <w:r>
        <w:rPr>
          <w:rFonts w:hint="eastAsia"/>
          <w:b/>
          <w:bCs/>
          <w:color w:val="auto"/>
          <w:sz w:val="24"/>
          <w:highlight w:val="none"/>
          <w:lang w:val="en-US" w:eastAsia="zh-CN"/>
        </w:rPr>
        <w:t>六、</w:t>
      </w:r>
      <w:r>
        <w:rPr>
          <w:b/>
          <w:bCs/>
          <w:color w:val="auto"/>
          <w:sz w:val="24"/>
          <w:highlight w:val="none"/>
        </w:rPr>
        <w:t>甲</w:t>
      </w:r>
      <w:r>
        <w:rPr>
          <w:rFonts w:hint="eastAsia"/>
          <w:b/>
          <w:bCs/>
          <w:color w:val="auto"/>
          <w:sz w:val="24"/>
          <w:highlight w:val="none"/>
          <w:lang w:val="en-US" w:eastAsia="zh-CN"/>
        </w:rPr>
        <w:t>乙</w:t>
      </w:r>
      <w:r>
        <w:rPr>
          <w:b/>
          <w:bCs/>
          <w:color w:val="auto"/>
          <w:sz w:val="24"/>
          <w:highlight w:val="none"/>
        </w:rPr>
        <w:t>方责任</w:t>
      </w:r>
    </w:p>
    <w:p w14:paraId="4AB3B41E">
      <w:pPr>
        <w:spacing w:line="500" w:lineRule="exact"/>
        <w:ind w:firstLine="482"/>
        <w:rPr>
          <w:b/>
          <w:bCs/>
          <w:color w:val="auto"/>
          <w:sz w:val="24"/>
          <w:highlight w:val="none"/>
        </w:rPr>
      </w:pPr>
    </w:p>
    <w:p w14:paraId="5F6E2E91">
      <w:pPr>
        <w:spacing w:line="500" w:lineRule="exact"/>
        <w:ind w:firstLine="482"/>
        <w:rPr>
          <w:b/>
          <w:bCs/>
          <w:color w:val="auto"/>
          <w:sz w:val="24"/>
          <w:highlight w:val="none"/>
        </w:rPr>
      </w:pPr>
      <w:r>
        <w:rPr>
          <w:rFonts w:hint="eastAsia"/>
          <w:b/>
          <w:bCs/>
          <w:color w:val="auto"/>
          <w:sz w:val="24"/>
          <w:highlight w:val="none"/>
          <w:lang w:val="en-US" w:eastAsia="zh-CN"/>
        </w:rPr>
        <w:t>七</w:t>
      </w:r>
      <w:r>
        <w:rPr>
          <w:rFonts w:hint="eastAsia"/>
          <w:b/>
          <w:bCs/>
          <w:color w:val="auto"/>
          <w:sz w:val="24"/>
          <w:highlight w:val="none"/>
          <w:lang w:eastAsia="zh-CN"/>
        </w:rPr>
        <w:t>、</w:t>
      </w:r>
      <w:r>
        <w:rPr>
          <w:b/>
          <w:bCs/>
          <w:color w:val="auto"/>
          <w:sz w:val="24"/>
          <w:highlight w:val="none"/>
        </w:rPr>
        <w:t>考核与管理</w:t>
      </w:r>
    </w:p>
    <w:p w14:paraId="54C35BBE">
      <w:pPr>
        <w:spacing w:line="500" w:lineRule="exact"/>
        <w:ind w:firstLine="482"/>
        <w:rPr>
          <w:b/>
          <w:bCs/>
          <w:color w:val="auto"/>
          <w:sz w:val="24"/>
          <w:highlight w:val="none"/>
        </w:rPr>
      </w:pPr>
    </w:p>
    <w:p w14:paraId="278DD40C">
      <w:pPr>
        <w:spacing w:line="360" w:lineRule="auto"/>
        <w:ind w:firstLine="482"/>
        <w:rPr>
          <w:b/>
          <w:bCs/>
          <w:color w:val="auto"/>
          <w:sz w:val="24"/>
          <w:highlight w:val="none"/>
        </w:rPr>
      </w:pPr>
      <w:r>
        <w:rPr>
          <w:rFonts w:hint="eastAsia"/>
          <w:b/>
          <w:bCs/>
          <w:color w:val="auto"/>
          <w:sz w:val="24"/>
          <w:highlight w:val="none"/>
          <w:lang w:val="en-US" w:eastAsia="zh-CN"/>
        </w:rPr>
        <w:t>八</w:t>
      </w:r>
      <w:r>
        <w:rPr>
          <w:rFonts w:hint="eastAsia"/>
          <w:b/>
          <w:bCs/>
          <w:color w:val="auto"/>
          <w:sz w:val="24"/>
          <w:highlight w:val="none"/>
          <w:lang w:eastAsia="zh-CN"/>
        </w:rPr>
        <w:t>、</w:t>
      </w:r>
      <w:r>
        <w:rPr>
          <w:b/>
          <w:bCs/>
          <w:color w:val="auto"/>
          <w:sz w:val="24"/>
          <w:highlight w:val="none"/>
        </w:rPr>
        <w:t>违约责任</w:t>
      </w:r>
    </w:p>
    <w:p w14:paraId="43475E55">
      <w:pPr>
        <w:spacing w:line="360" w:lineRule="auto"/>
        <w:ind w:firstLine="480"/>
        <w:rPr>
          <w:color w:val="auto"/>
          <w:sz w:val="24"/>
          <w:highlight w:val="none"/>
        </w:rPr>
      </w:pPr>
      <w:r>
        <w:rPr>
          <w:color w:val="auto"/>
          <w:sz w:val="24"/>
          <w:highlight w:val="none"/>
        </w:rPr>
        <w:t>甲乙双方因违反合同约定，或发生其他严重损害参保人权益的情况，合同双方可以提前终止或解除合作，并就违约情况提请有关部门依法追究责任。</w:t>
      </w:r>
    </w:p>
    <w:p w14:paraId="3480DC0B">
      <w:pPr>
        <w:spacing w:line="360" w:lineRule="auto"/>
        <w:ind w:firstLine="480"/>
        <w:rPr>
          <w:color w:val="auto"/>
          <w:sz w:val="24"/>
          <w:highlight w:val="none"/>
        </w:rPr>
      </w:pPr>
      <w:r>
        <w:rPr>
          <w:color w:val="auto"/>
          <w:sz w:val="24"/>
          <w:highlight w:val="none"/>
        </w:rPr>
        <w:t>乙方利用专业技术和行业信息优势之便，故意隐瞒和掩盖自身过失，违背投标承诺和未尽义务，甲方均可追究乙方的违约责任并索取赔偿，且不受合同时效的限制。</w:t>
      </w:r>
    </w:p>
    <w:p w14:paraId="42D29AE6">
      <w:pPr>
        <w:spacing w:line="360" w:lineRule="auto"/>
        <w:ind w:firstLine="480"/>
        <w:rPr>
          <w:color w:val="auto"/>
          <w:sz w:val="24"/>
          <w:highlight w:val="none"/>
        </w:rPr>
      </w:pPr>
      <w:r>
        <w:rPr>
          <w:color w:val="auto"/>
          <w:sz w:val="24"/>
          <w:highlight w:val="none"/>
        </w:rPr>
        <w:t>甲方有权按照规定对乙方进行考核，并按照考核办法的规定要求乙方承担相应责任。</w:t>
      </w:r>
    </w:p>
    <w:p w14:paraId="2C15144C">
      <w:pPr>
        <w:spacing w:line="360" w:lineRule="auto"/>
        <w:ind w:firstLine="480"/>
        <w:rPr>
          <w:color w:val="auto"/>
          <w:sz w:val="24"/>
          <w:highlight w:val="none"/>
        </w:rPr>
      </w:pPr>
      <w:r>
        <w:rPr>
          <w:color w:val="auto"/>
          <w:sz w:val="24"/>
          <w:highlight w:val="none"/>
        </w:rPr>
        <w:t>乙方履行合同不符合合同要求的，甲方有权责令乙方立即改正，乙方拒不改正或已经造成不良社会影响的，甲方有权要求乙方承担责任。</w:t>
      </w:r>
    </w:p>
    <w:p w14:paraId="349FBC67">
      <w:pPr>
        <w:spacing w:line="360" w:lineRule="auto"/>
        <w:ind w:firstLine="480"/>
        <w:contextualSpacing/>
        <w:rPr>
          <w:color w:val="auto"/>
          <w:sz w:val="24"/>
          <w:highlight w:val="none"/>
        </w:rPr>
      </w:pPr>
      <w:r>
        <w:rPr>
          <w:color w:val="auto"/>
          <w:sz w:val="24"/>
          <w:highlight w:val="none"/>
        </w:rPr>
        <w:t>在实施长护险工作中，因乙方对评估机构、定点护理机构、服务人员和参保人员监管不严造成长护险基金流失的，由</w:t>
      </w:r>
      <w:r>
        <w:rPr>
          <w:rFonts w:hint="eastAsia"/>
          <w:color w:val="auto"/>
          <w:sz w:val="24"/>
          <w:highlight w:val="none"/>
          <w:lang w:val="en-US" w:eastAsia="zh-CN"/>
        </w:rPr>
        <w:t>乙方</w:t>
      </w:r>
      <w:r>
        <w:rPr>
          <w:color w:val="auto"/>
          <w:sz w:val="24"/>
          <w:highlight w:val="none"/>
        </w:rPr>
        <w:t>负责追回相关费用，确实无法追回的，由乙方全额承担。</w:t>
      </w:r>
    </w:p>
    <w:p w14:paraId="00F73023">
      <w:pPr>
        <w:pStyle w:val="33"/>
        <w:spacing w:before="0" w:beforeAutospacing="0" w:after="0" w:afterAutospacing="0" w:line="360" w:lineRule="auto"/>
        <w:ind w:firstLine="482"/>
        <w:jc w:val="both"/>
        <w:rPr>
          <w:b/>
          <w:bCs/>
          <w:color w:val="auto"/>
          <w:highlight w:val="none"/>
        </w:rPr>
      </w:pPr>
      <w:r>
        <w:rPr>
          <w:rFonts w:hint="eastAsia"/>
          <w:b/>
          <w:bCs/>
          <w:color w:val="auto"/>
          <w:highlight w:val="none"/>
          <w:lang w:val="en-US" w:eastAsia="zh-CN"/>
        </w:rPr>
        <w:t>九、</w:t>
      </w:r>
      <w:r>
        <w:rPr>
          <w:b/>
          <w:bCs/>
          <w:color w:val="auto"/>
          <w:highlight w:val="none"/>
        </w:rPr>
        <w:t>风险调节</w:t>
      </w:r>
    </w:p>
    <w:p w14:paraId="46B21A3F">
      <w:pPr>
        <w:spacing w:line="360" w:lineRule="auto"/>
        <w:ind w:firstLine="482"/>
        <w:rPr>
          <w:b/>
          <w:bCs/>
          <w:color w:val="auto"/>
          <w:sz w:val="24"/>
          <w:highlight w:val="none"/>
        </w:rPr>
      </w:pPr>
      <w:r>
        <w:rPr>
          <w:b/>
          <w:bCs/>
          <w:color w:val="auto"/>
          <w:sz w:val="24"/>
          <w:highlight w:val="none"/>
        </w:rPr>
        <w:t>十</w:t>
      </w:r>
      <w:r>
        <w:rPr>
          <w:rFonts w:hint="eastAsia"/>
          <w:b/>
          <w:bCs/>
          <w:color w:val="auto"/>
          <w:sz w:val="24"/>
          <w:highlight w:val="none"/>
          <w:lang w:val="en-US" w:eastAsia="zh-CN"/>
        </w:rPr>
        <w:t>、</w:t>
      </w:r>
      <w:r>
        <w:rPr>
          <w:b/>
          <w:bCs/>
          <w:color w:val="auto"/>
          <w:sz w:val="24"/>
          <w:highlight w:val="none"/>
        </w:rPr>
        <w:t>争议解决</w:t>
      </w:r>
    </w:p>
    <w:p w14:paraId="2107F13F">
      <w:pPr>
        <w:spacing w:line="360" w:lineRule="auto"/>
        <w:ind w:firstLine="480"/>
        <w:rPr>
          <w:color w:val="auto"/>
          <w:sz w:val="24"/>
          <w:highlight w:val="none"/>
        </w:rPr>
      </w:pPr>
      <w:r>
        <w:rPr>
          <w:color w:val="auto"/>
          <w:sz w:val="24"/>
          <w:highlight w:val="none"/>
        </w:rPr>
        <w:t>甲乙双方发生有关长护险争议时，可通过协商解决；协商不成甲乙双方一致同意提交甲方所在地人民法院管辖。</w:t>
      </w:r>
    </w:p>
    <w:p w14:paraId="3F6BBAF5">
      <w:pPr>
        <w:spacing w:line="360" w:lineRule="auto"/>
        <w:ind w:firstLine="482"/>
        <w:rPr>
          <w:b/>
          <w:bCs/>
          <w:color w:val="auto"/>
          <w:sz w:val="24"/>
          <w:highlight w:val="none"/>
        </w:rPr>
      </w:pPr>
      <w:r>
        <w:rPr>
          <w:b/>
          <w:bCs/>
          <w:color w:val="auto"/>
          <w:sz w:val="24"/>
          <w:highlight w:val="none"/>
        </w:rPr>
        <w:t>十</w:t>
      </w:r>
      <w:r>
        <w:rPr>
          <w:rFonts w:hint="eastAsia"/>
          <w:b/>
          <w:bCs/>
          <w:color w:val="auto"/>
          <w:sz w:val="24"/>
          <w:highlight w:val="none"/>
          <w:lang w:val="en-US" w:eastAsia="zh-CN"/>
        </w:rPr>
        <w:t>一、</w:t>
      </w:r>
      <w:r>
        <w:rPr>
          <w:b/>
          <w:bCs/>
          <w:color w:val="auto"/>
          <w:sz w:val="24"/>
          <w:highlight w:val="none"/>
        </w:rPr>
        <w:t>不可抗力</w:t>
      </w:r>
    </w:p>
    <w:p w14:paraId="2F610119">
      <w:pPr>
        <w:spacing w:line="360" w:lineRule="auto"/>
        <w:ind w:firstLine="480"/>
        <w:rPr>
          <w:color w:val="auto"/>
          <w:sz w:val="24"/>
          <w:highlight w:val="none"/>
        </w:rPr>
      </w:pPr>
      <w:r>
        <w:rPr>
          <w:color w:val="auto"/>
          <w:sz w:val="24"/>
          <w:highlight w:val="none"/>
        </w:rPr>
        <w:t>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p>
    <w:p w14:paraId="34D65946">
      <w:pPr>
        <w:spacing w:line="360" w:lineRule="auto"/>
        <w:ind w:firstLine="482"/>
        <w:rPr>
          <w:b/>
          <w:bCs/>
          <w:color w:val="auto"/>
          <w:sz w:val="24"/>
          <w:highlight w:val="none"/>
        </w:rPr>
      </w:pPr>
      <w:r>
        <w:rPr>
          <w:b/>
          <w:bCs/>
          <w:color w:val="auto"/>
          <w:sz w:val="24"/>
          <w:highlight w:val="none"/>
        </w:rPr>
        <w:t>十</w:t>
      </w:r>
      <w:r>
        <w:rPr>
          <w:rFonts w:hint="eastAsia"/>
          <w:b/>
          <w:bCs/>
          <w:color w:val="auto"/>
          <w:sz w:val="24"/>
          <w:highlight w:val="none"/>
          <w:lang w:val="en-US" w:eastAsia="zh-CN"/>
        </w:rPr>
        <w:t>二、</w:t>
      </w:r>
      <w:r>
        <w:rPr>
          <w:b/>
          <w:bCs/>
          <w:color w:val="auto"/>
          <w:sz w:val="24"/>
          <w:highlight w:val="none"/>
        </w:rPr>
        <w:t>特殊情况处理</w:t>
      </w:r>
    </w:p>
    <w:p w14:paraId="56C408CC">
      <w:pPr>
        <w:spacing w:line="360" w:lineRule="auto"/>
        <w:ind w:firstLine="480"/>
        <w:rPr>
          <w:color w:val="auto"/>
          <w:sz w:val="24"/>
          <w:highlight w:val="none"/>
        </w:rPr>
      </w:pPr>
      <w:r>
        <w:rPr>
          <w:color w:val="auto"/>
          <w:sz w:val="24"/>
          <w:highlight w:val="none"/>
        </w:rPr>
        <w:t>如因乙方不能履行合同，影响了参保人权益，甲方按政策规定履行职能，并报相关部门追究其责任。</w:t>
      </w:r>
    </w:p>
    <w:p w14:paraId="4EDAA0CA">
      <w:pPr>
        <w:spacing w:line="360" w:lineRule="auto"/>
        <w:ind w:firstLine="480"/>
        <w:rPr>
          <w:rFonts w:hint="eastAsia"/>
          <w:b/>
          <w:bCs/>
          <w:color w:val="auto"/>
          <w:sz w:val="24"/>
          <w:highlight w:val="none"/>
          <w:lang w:val="en-US" w:eastAsia="zh-CN"/>
        </w:rPr>
      </w:pPr>
      <w:r>
        <w:rPr>
          <w:rFonts w:hint="eastAsia"/>
          <w:color w:val="auto"/>
          <w:sz w:val="24"/>
          <w:highlight w:val="none"/>
          <w:lang w:val="en-US" w:eastAsia="zh-CN"/>
        </w:rPr>
        <w:t>合同期内，</w:t>
      </w:r>
      <w:r>
        <w:rPr>
          <w:color w:val="auto"/>
          <w:sz w:val="24"/>
          <w:highlight w:val="none"/>
        </w:rPr>
        <w:t>因考核不合格、经办管理模式发生重大变化</w:t>
      </w:r>
      <w:r>
        <w:rPr>
          <w:rFonts w:hint="eastAsia"/>
          <w:color w:val="auto"/>
          <w:sz w:val="24"/>
          <w:highlight w:val="none"/>
          <w:lang w:val="en-US" w:eastAsia="zh-CN"/>
        </w:rPr>
        <w:t>或因国家、省、市重大政策调整</w:t>
      </w:r>
      <w:r>
        <w:rPr>
          <w:color w:val="auto"/>
          <w:sz w:val="24"/>
          <w:highlight w:val="none"/>
        </w:rPr>
        <w:t>等原因，</w:t>
      </w:r>
      <w:r>
        <w:rPr>
          <w:rFonts w:hint="eastAsia"/>
          <w:color w:val="auto"/>
          <w:sz w:val="24"/>
          <w:highlight w:val="none"/>
          <w:lang w:val="en-US" w:eastAsia="zh-CN"/>
        </w:rPr>
        <w:t>甲方</w:t>
      </w:r>
      <w:r>
        <w:rPr>
          <w:color w:val="auto"/>
          <w:sz w:val="24"/>
          <w:highlight w:val="none"/>
        </w:rPr>
        <w:t>有权单方面</w:t>
      </w:r>
      <w:r>
        <w:rPr>
          <w:b/>
          <w:bCs/>
          <w:color w:val="auto"/>
          <w:sz w:val="24"/>
          <w:highlight w:val="none"/>
        </w:rPr>
        <w:t>终止服务</w:t>
      </w:r>
      <w:r>
        <w:rPr>
          <w:rFonts w:hint="eastAsia"/>
          <w:b/>
          <w:bCs/>
          <w:color w:val="auto"/>
          <w:sz w:val="24"/>
          <w:highlight w:val="none"/>
          <w:lang w:val="en-US" w:eastAsia="zh-CN"/>
        </w:rPr>
        <w:t>合同</w:t>
      </w:r>
      <w:r>
        <w:rPr>
          <w:color w:val="auto"/>
          <w:sz w:val="24"/>
          <w:highlight w:val="none"/>
        </w:rPr>
        <w:t>或</w:t>
      </w:r>
      <w:r>
        <w:rPr>
          <w:b/>
          <w:bCs/>
          <w:color w:val="auto"/>
          <w:sz w:val="24"/>
          <w:highlight w:val="none"/>
        </w:rPr>
        <w:t>停止续签服务合同</w:t>
      </w:r>
      <w:r>
        <w:rPr>
          <w:rFonts w:hint="eastAsia"/>
          <w:b/>
          <w:bCs/>
          <w:color w:val="auto"/>
          <w:sz w:val="24"/>
          <w:highlight w:val="none"/>
          <w:lang w:eastAsia="zh-CN"/>
        </w:rPr>
        <w:t>。</w:t>
      </w:r>
    </w:p>
    <w:p w14:paraId="02B71B33">
      <w:pPr>
        <w:spacing w:line="360" w:lineRule="auto"/>
        <w:ind w:firstLine="482"/>
        <w:rPr>
          <w:b/>
          <w:bCs/>
          <w:color w:val="auto"/>
          <w:sz w:val="24"/>
          <w:highlight w:val="none"/>
        </w:rPr>
      </w:pPr>
      <w:r>
        <w:rPr>
          <w:b/>
          <w:bCs/>
          <w:color w:val="auto"/>
          <w:sz w:val="24"/>
          <w:highlight w:val="none"/>
        </w:rPr>
        <w:t>十</w:t>
      </w:r>
      <w:r>
        <w:rPr>
          <w:rFonts w:hint="eastAsia"/>
          <w:b/>
          <w:bCs/>
          <w:color w:val="auto"/>
          <w:sz w:val="24"/>
          <w:highlight w:val="none"/>
          <w:lang w:val="en-US" w:eastAsia="zh-CN"/>
        </w:rPr>
        <w:t>三、</w:t>
      </w:r>
      <w:r>
        <w:rPr>
          <w:b/>
          <w:bCs/>
          <w:color w:val="auto"/>
          <w:sz w:val="24"/>
          <w:highlight w:val="none"/>
        </w:rPr>
        <w:t>其它约定</w:t>
      </w:r>
    </w:p>
    <w:p w14:paraId="1741C680">
      <w:pPr>
        <w:spacing w:line="360" w:lineRule="auto"/>
        <w:ind w:firstLine="480"/>
        <w:rPr>
          <w:color w:val="auto"/>
          <w:sz w:val="24"/>
          <w:highlight w:val="none"/>
        </w:rPr>
      </w:pPr>
      <w:r>
        <w:rPr>
          <w:color w:val="auto"/>
          <w:sz w:val="24"/>
          <w:highlight w:val="none"/>
        </w:rPr>
        <w:t>所有经双方签署确认的文件（包括会议纪要、补充协议、往来信函）、采购文件、要约文件和响应承诺文件、合同附件及《中标通知书》均为本合同不可分割的有效组成部分，与本合同具有同等的法律效力和履约义务，其生效日期为有效签署或盖章确认之日期。</w:t>
      </w:r>
    </w:p>
    <w:p w14:paraId="67B7A98D">
      <w:pPr>
        <w:spacing w:line="360" w:lineRule="auto"/>
        <w:ind w:firstLine="482"/>
        <w:rPr>
          <w:b/>
          <w:bCs/>
          <w:color w:val="auto"/>
          <w:sz w:val="24"/>
          <w:highlight w:val="none"/>
        </w:rPr>
      </w:pPr>
      <w:r>
        <w:rPr>
          <w:b/>
          <w:bCs/>
          <w:color w:val="auto"/>
          <w:sz w:val="24"/>
          <w:highlight w:val="none"/>
        </w:rPr>
        <w:t>十</w:t>
      </w:r>
      <w:r>
        <w:rPr>
          <w:rFonts w:hint="eastAsia"/>
          <w:b/>
          <w:bCs/>
          <w:color w:val="auto"/>
          <w:sz w:val="24"/>
          <w:highlight w:val="none"/>
          <w:lang w:val="en-US" w:eastAsia="zh-CN"/>
        </w:rPr>
        <w:t>四、</w:t>
      </w:r>
      <w:r>
        <w:rPr>
          <w:b/>
          <w:bCs/>
          <w:color w:val="auto"/>
          <w:sz w:val="24"/>
          <w:highlight w:val="none"/>
        </w:rPr>
        <w:t>合同生效</w:t>
      </w:r>
    </w:p>
    <w:p w14:paraId="6A932EDF">
      <w:pPr>
        <w:spacing w:line="360" w:lineRule="auto"/>
        <w:ind w:firstLine="480"/>
        <w:jc w:val="left"/>
        <w:rPr>
          <w:color w:val="auto"/>
          <w:sz w:val="24"/>
          <w:highlight w:val="none"/>
        </w:rPr>
      </w:pPr>
      <w:r>
        <w:rPr>
          <w:color w:val="auto"/>
          <w:sz w:val="24"/>
          <w:highlight w:val="none"/>
        </w:rPr>
        <w:t>本合同在甲乙双方法定代表人或其授权代表签字盖章后生效。本合同一式五份，具有同等法律效力。甲乙双方各执壹份，甲乙双方主管部门各备案壹份，</w:t>
      </w:r>
      <w:r>
        <w:rPr>
          <w:rFonts w:hint="eastAsia"/>
          <w:color w:val="auto"/>
          <w:sz w:val="24"/>
          <w:szCs w:val="24"/>
          <w:highlight w:val="none"/>
        </w:rPr>
        <w:t>甲方报一份至政府采购监督管理部门。</w:t>
      </w:r>
      <w:r>
        <w:rPr>
          <w:color w:val="auto"/>
          <w:sz w:val="24"/>
          <w:highlight w:val="none"/>
        </w:rPr>
        <w:t xml:space="preserve">  </w:t>
      </w:r>
    </w:p>
    <w:p w14:paraId="47FD52E7">
      <w:pPr>
        <w:spacing w:line="500" w:lineRule="exact"/>
        <w:ind w:firstLine="480"/>
        <w:jc w:val="left"/>
        <w:rPr>
          <w:color w:val="auto"/>
          <w:sz w:val="24"/>
          <w:highlight w:val="none"/>
        </w:rPr>
      </w:pPr>
    </w:p>
    <w:p w14:paraId="52544FA0">
      <w:pPr>
        <w:spacing w:line="500" w:lineRule="exact"/>
        <w:ind w:firstLine="480"/>
        <w:rPr>
          <w:color w:val="auto"/>
          <w:sz w:val="24"/>
          <w:highlight w:val="none"/>
          <w:lang w:val="zh-CN"/>
        </w:rPr>
      </w:pPr>
      <w:r>
        <w:rPr>
          <w:color w:val="auto"/>
          <w:sz w:val="24"/>
          <w:highlight w:val="none"/>
          <w:lang w:val="zh-CN"/>
        </w:rPr>
        <w:t xml:space="preserve">甲方：                                   乙方： </w:t>
      </w:r>
    </w:p>
    <w:p w14:paraId="6A68983B">
      <w:pPr>
        <w:spacing w:line="500" w:lineRule="exact"/>
        <w:ind w:firstLine="480"/>
        <w:rPr>
          <w:color w:val="auto"/>
          <w:sz w:val="24"/>
          <w:highlight w:val="none"/>
          <w:lang w:val="zh-CN"/>
        </w:rPr>
      </w:pPr>
      <w:r>
        <w:rPr>
          <w:color w:val="auto"/>
          <w:sz w:val="24"/>
          <w:highlight w:val="none"/>
          <w:lang w:val="zh-CN"/>
        </w:rPr>
        <w:t xml:space="preserve">地址：                                   地址： </w:t>
      </w:r>
    </w:p>
    <w:p w14:paraId="008E5032">
      <w:pPr>
        <w:spacing w:line="500" w:lineRule="exact"/>
        <w:ind w:firstLine="480"/>
        <w:rPr>
          <w:color w:val="auto"/>
          <w:sz w:val="24"/>
          <w:highlight w:val="none"/>
          <w:lang w:val="zh-CN"/>
        </w:rPr>
      </w:pPr>
      <w:r>
        <w:rPr>
          <w:color w:val="auto"/>
          <w:sz w:val="24"/>
          <w:highlight w:val="none"/>
          <w:lang w:val="zh-CN"/>
        </w:rPr>
        <w:t xml:space="preserve">法定代表人或授权代表：              </w:t>
      </w:r>
      <w:r>
        <w:rPr>
          <w:color w:val="auto"/>
          <w:sz w:val="24"/>
          <w:highlight w:val="none"/>
        </w:rPr>
        <w:t xml:space="preserve">   </w:t>
      </w:r>
      <w:r>
        <w:rPr>
          <w:color w:val="auto"/>
          <w:sz w:val="24"/>
          <w:highlight w:val="none"/>
          <w:lang w:val="zh-CN"/>
        </w:rPr>
        <w:t xml:space="preserve">  法定代表人或授权代表：</w:t>
      </w:r>
    </w:p>
    <w:p w14:paraId="739BE684">
      <w:pPr>
        <w:spacing w:line="500" w:lineRule="exact"/>
        <w:ind w:firstLine="480"/>
        <w:rPr>
          <w:color w:val="auto"/>
          <w:sz w:val="24"/>
          <w:highlight w:val="none"/>
          <w:lang w:val="zh-CN"/>
        </w:rPr>
      </w:pPr>
      <w:r>
        <w:rPr>
          <w:color w:val="auto"/>
          <w:sz w:val="24"/>
          <w:highlight w:val="none"/>
          <w:lang w:val="zh-CN"/>
        </w:rPr>
        <w:t xml:space="preserve">联系电话：                               联系电话：   </w:t>
      </w:r>
    </w:p>
    <w:p w14:paraId="422ACB3F">
      <w:pPr>
        <w:pStyle w:val="35"/>
        <w:spacing w:line="500" w:lineRule="exact"/>
        <w:ind w:firstLine="48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                                     </w:t>
      </w:r>
    </w:p>
    <w:p w14:paraId="15A26265">
      <w:pPr>
        <w:pStyle w:val="35"/>
        <w:spacing w:line="500" w:lineRule="exact"/>
        <w:ind w:firstLine="4320"/>
        <w:rPr>
          <w:rFonts w:hint="default" w:ascii="Times New Roman" w:hAnsi="Times New Roman"/>
          <w:color w:val="auto"/>
          <w:sz w:val="24"/>
          <w:szCs w:val="24"/>
          <w:highlight w:val="none"/>
        </w:rPr>
        <w:sectPr>
          <w:pgSz w:w="11906" w:h="16838"/>
          <w:pgMar w:top="1440" w:right="1800" w:bottom="1440" w:left="1800" w:header="851" w:footer="992" w:gutter="0"/>
          <w:cols w:space="425" w:num="1"/>
          <w:docGrid w:linePitch="360" w:charSpace="0"/>
        </w:sectPr>
      </w:pPr>
      <w:r>
        <w:rPr>
          <w:rFonts w:hint="eastAsia" w:ascii="Times New Roman" w:hAnsi="Times New Roman" w:eastAsia="宋体"/>
          <w:color w:val="auto"/>
          <w:sz w:val="24"/>
          <w:szCs w:val="24"/>
          <w:highlight w:val="none"/>
          <w:lang w:val="en-US" w:eastAsia="zh-CN"/>
        </w:rPr>
        <w:t>签订</w:t>
      </w:r>
      <w:r>
        <w:rPr>
          <w:rFonts w:ascii="Times New Roman" w:hAnsi="Times New Roman" w:eastAsia="宋体"/>
          <w:color w:val="auto"/>
          <w:sz w:val="24"/>
          <w:szCs w:val="24"/>
          <w:highlight w:val="none"/>
          <w:lang w:val="zh-CN"/>
        </w:rPr>
        <w:t xml:space="preserve">日期：    年    月     日 </w:t>
      </w:r>
    </w:p>
    <w:p w14:paraId="7269EBF4">
      <w:pPr>
        <w:pStyle w:val="2"/>
        <w:keepLines/>
        <w:numPr>
          <w:ilvl w:val="0"/>
          <w:numId w:val="0"/>
        </w:numPr>
        <w:spacing w:before="156" w:after="156" w:line="360" w:lineRule="auto"/>
        <w:jc w:val="center"/>
        <w:rPr>
          <w:rFonts w:hint="default" w:ascii="Times New Roman" w:hAnsi="Times New Roman" w:eastAsia="黑体" w:cs="Times New Roman"/>
          <w:b w:val="0"/>
          <w:bCs w:val="0"/>
          <w:color w:val="auto"/>
          <w:sz w:val="44"/>
          <w:szCs w:val="44"/>
          <w:highlight w:val="none"/>
        </w:rPr>
      </w:pPr>
      <w:r>
        <w:rPr>
          <w:rFonts w:hint="default" w:ascii="Times New Roman" w:hAnsi="Times New Roman" w:eastAsia="黑体" w:cs="Times New Roman"/>
          <w:b w:val="0"/>
          <w:bCs w:val="0"/>
          <w:color w:val="auto"/>
          <w:sz w:val="44"/>
          <w:szCs w:val="44"/>
          <w:highlight w:val="none"/>
          <w:lang w:val="en-US" w:eastAsia="zh-CN"/>
        </w:rPr>
        <w:t>第四章</w:t>
      </w:r>
      <w:r>
        <w:rPr>
          <w:rFonts w:hint="default" w:ascii="Times New Roman" w:hAnsi="Times New Roman" w:eastAsia="黑体" w:cs="Times New Roman"/>
          <w:b w:val="0"/>
          <w:bCs w:val="0"/>
          <w:color w:val="auto"/>
          <w:sz w:val="44"/>
          <w:szCs w:val="44"/>
          <w:highlight w:val="none"/>
        </w:rPr>
        <w:t xml:space="preserve"> </w:t>
      </w:r>
      <w:r>
        <w:rPr>
          <w:rFonts w:hint="default" w:ascii="Times New Roman" w:hAnsi="Times New Roman" w:eastAsia="黑体" w:cs="Times New Roman"/>
          <w:b w:val="0"/>
          <w:bCs w:val="0"/>
          <w:color w:val="auto"/>
          <w:sz w:val="44"/>
          <w:szCs w:val="44"/>
          <w:highlight w:val="none"/>
          <w:lang w:val="en-US" w:eastAsia="zh-CN"/>
        </w:rPr>
        <w:t>采购</w:t>
      </w:r>
      <w:r>
        <w:rPr>
          <w:rFonts w:hint="default" w:ascii="Times New Roman" w:hAnsi="Times New Roman" w:eastAsia="黑体" w:cs="Times New Roman"/>
          <w:b w:val="0"/>
          <w:bCs w:val="0"/>
          <w:color w:val="auto"/>
          <w:sz w:val="44"/>
          <w:szCs w:val="44"/>
          <w:highlight w:val="none"/>
        </w:rPr>
        <w:t>需求</w:t>
      </w:r>
    </w:p>
    <w:p w14:paraId="704F6405">
      <w:pPr>
        <w:spacing w:line="360" w:lineRule="auto"/>
        <w:ind w:firstLine="482"/>
        <w:rPr>
          <w:rFonts w:hint="default" w:ascii="Times New Roman" w:hAnsi="Times New Roman"/>
          <w:b/>
          <w:color w:val="auto"/>
          <w:sz w:val="24"/>
          <w:highlight w:val="none"/>
        </w:rPr>
      </w:pPr>
      <w:r>
        <w:rPr>
          <w:rFonts w:hint="default" w:ascii="Times New Roman" w:hAnsi="Times New Roman"/>
          <w:b/>
          <w:color w:val="auto"/>
          <w:sz w:val="24"/>
          <w:highlight w:val="none"/>
        </w:rPr>
        <w:t>说明：本项目采购方式为公开招标，项目属性为服务，采购标的对应的中小企业划分标准所属行业为</w:t>
      </w:r>
      <w:r>
        <w:rPr>
          <w:rFonts w:hint="default" w:ascii="Times New Roman" w:hAnsi="Times New Roman"/>
          <w:b/>
          <w:color w:val="auto"/>
          <w:sz w:val="24"/>
          <w:highlight w:val="none"/>
          <w:lang w:eastAsia="zh-CN"/>
        </w:rPr>
        <w:t>：</w:t>
      </w:r>
      <w:r>
        <w:rPr>
          <w:rFonts w:hint="default" w:ascii="Times New Roman" w:hAnsi="Times New Roman" w:eastAsia="宋体" w:cs="Times New Roman"/>
          <w:b/>
          <w:color w:val="auto"/>
          <w:sz w:val="24"/>
          <w:highlight w:val="none"/>
          <w:u w:val="single"/>
          <w:lang w:val="en-US" w:eastAsia="zh-CN"/>
        </w:rPr>
        <w:t>其他未列明行业</w:t>
      </w:r>
      <w:r>
        <w:rPr>
          <w:rFonts w:hint="default" w:ascii="Times New Roman" w:hAnsi="Times New Roman" w:eastAsia="宋体" w:cs="Times New Roman"/>
          <w:b/>
          <w:color w:val="auto"/>
          <w:sz w:val="24"/>
          <w:highlight w:val="none"/>
        </w:rPr>
        <w:t>。</w:t>
      </w:r>
    </w:p>
    <w:p w14:paraId="73CF695F">
      <w:pPr>
        <w:spacing w:line="360" w:lineRule="auto"/>
        <w:ind w:firstLine="480"/>
        <w:jc w:val="left"/>
        <w:rPr>
          <w:rFonts w:hint="default" w:ascii="Times New Roman" w:hAnsi="Times New Roman"/>
          <w:color w:val="auto"/>
          <w:sz w:val="24"/>
          <w:highlight w:val="none"/>
        </w:rPr>
      </w:pPr>
      <w:r>
        <w:rPr>
          <w:rFonts w:hint="default" w:ascii="Times New Roman" w:hAnsi="Times New Roman"/>
          <w:color w:val="auto"/>
          <w:sz w:val="24"/>
          <w:highlight w:val="none"/>
        </w:rPr>
        <w:t>1、根据《政府采购需求管理办法》等有关规定，采购人确定采购需求。</w:t>
      </w:r>
    </w:p>
    <w:p w14:paraId="58046357">
      <w:pPr>
        <w:spacing w:line="360" w:lineRule="auto"/>
        <w:ind w:firstLine="482"/>
        <w:jc w:val="left"/>
        <w:rPr>
          <w:rFonts w:hint="eastAsia" w:ascii="Times New Roman" w:hAnsi="Times New Roman"/>
          <w:color w:val="auto"/>
          <w:highlight w:val="none"/>
          <w:lang w:eastAsia="zh-CN"/>
        </w:rPr>
      </w:pPr>
      <w:r>
        <w:rPr>
          <w:rFonts w:hint="default" w:ascii="Times New Roman" w:hAnsi="Times New Roman"/>
          <w:b/>
          <w:color w:val="auto"/>
          <w:sz w:val="24"/>
          <w:highlight w:val="none"/>
        </w:rPr>
        <w:t>2、</w:t>
      </w:r>
      <w:r>
        <w:rPr>
          <w:rFonts w:hint="eastAsia"/>
          <w:b/>
          <w:color w:val="auto"/>
          <w:sz w:val="24"/>
          <w:szCs w:val="24"/>
          <w:highlight w:val="none"/>
        </w:rPr>
        <w:t>本招标文件中</w:t>
      </w:r>
      <w:r>
        <w:rPr>
          <w:rFonts w:hint="eastAsia"/>
          <w:b/>
          <w:i/>
          <w:color w:val="auto"/>
          <w:sz w:val="24"/>
          <w:szCs w:val="24"/>
          <w:highlight w:val="none"/>
          <w:u w:val="single"/>
        </w:rPr>
        <w:t>斜体且有下划线部分</w:t>
      </w:r>
      <w:r>
        <w:rPr>
          <w:rFonts w:hint="eastAsia"/>
          <w:b/>
          <w:color w:val="auto"/>
          <w:sz w:val="24"/>
          <w:szCs w:val="24"/>
          <w:highlight w:val="none"/>
        </w:rPr>
        <w:t>为实质性要求和条件</w:t>
      </w:r>
      <w:r>
        <w:rPr>
          <w:rFonts w:hint="eastAsia"/>
          <w:color w:val="auto"/>
          <w:sz w:val="24"/>
          <w:szCs w:val="24"/>
          <w:highlight w:val="none"/>
        </w:rPr>
        <w:t>，由采购人根据实际情况设置，</w:t>
      </w:r>
      <w:r>
        <w:rPr>
          <w:rFonts w:hint="eastAsia"/>
          <w:color w:val="auto"/>
          <w:sz w:val="24"/>
          <w:szCs w:val="24"/>
          <w:highlight w:val="none"/>
          <w:lang w:eastAsia="zh-CN"/>
        </w:rPr>
        <w:t>投标人</w:t>
      </w:r>
      <w:r>
        <w:rPr>
          <w:rFonts w:hint="eastAsia"/>
          <w:color w:val="auto"/>
          <w:sz w:val="24"/>
          <w:szCs w:val="24"/>
          <w:highlight w:val="none"/>
        </w:rPr>
        <w:t>须逐条明确作出满足实质性要求和条件的响应，否则将按无效响应处理。</w:t>
      </w:r>
    </w:p>
    <w:p w14:paraId="584505D0">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一、项目概述</w:t>
      </w:r>
    </w:p>
    <w:p w14:paraId="40AF8546">
      <w:pPr>
        <w:spacing w:line="360" w:lineRule="auto"/>
        <w:ind w:firstLine="48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连云港市长期护理保险（以下简称“长护险”），是为解决失能人员基本生活照料的一项基本保障制度。通过实施长护险制度，积极应对人口老龄化，促进“医养融合”新型养老服务模式发展，解决失能人员的护理和日常照料难题，建立健全多层次医疗保障体系，减轻因年老、疾病、伤残、失智等导致失能人员家庭照护的事务性及经济负担，提高参保人员的生活质量和人文关怀水平，共享连云港经济社会发展成果。</w:t>
      </w:r>
    </w:p>
    <w:p w14:paraId="080C198E">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二、</w:t>
      </w:r>
      <w:r>
        <w:rPr>
          <w:rFonts w:hint="default" w:ascii="Times New Roman" w:hAnsi="Times New Roman" w:eastAsia="宋体" w:cs="Times New Roman"/>
          <w:b/>
          <w:bCs/>
          <w:color w:val="auto"/>
          <w:sz w:val="24"/>
          <w:highlight w:val="none"/>
        </w:rPr>
        <w:t>基本原则</w:t>
      </w:r>
    </w:p>
    <w:p w14:paraId="036B2F2D">
      <w:pPr>
        <w:pStyle w:val="195"/>
        <w:spacing w:before="0" w:after="0" w:line="360" w:lineRule="auto"/>
        <w:jc w:val="both"/>
        <w:rPr>
          <w:rFonts w:ascii="Times New Roman" w:hAnsi="Times New Roman"/>
          <w:color w:val="auto"/>
          <w:highlight w:val="none"/>
        </w:rPr>
      </w:pPr>
      <w:r>
        <w:rPr>
          <w:rFonts w:ascii="Times New Roman" w:hAnsi="Times New Roman"/>
          <w:color w:val="auto"/>
          <w:highlight w:val="none"/>
        </w:rPr>
        <w:t>坚持以人为本，重点解决</w:t>
      </w:r>
      <w:r>
        <w:rPr>
          <w:rFonts w:hint="eastAsia" w:ascii="Times New Roman" w:hAnsi="Times New Roman"/>
          <w:strike w:val="0"/>
          <w:color w:val="auto"/>
          <w:highlight w:val="none"/>
          <w:lang w:val="en-US" w:eastAsia="zh-CN"/>
        </w:rPr>
        <w:t>连云港</w:t>
      </w:r>
      <w:r>
        <w:rPr>
          <w:rFonts w:ascii="Times New Roman" w:hAnsi="Times New Roman"/>
          <w:color w:val="auto"/>
          <w:highlight w:val="none"/>
        </w:rPr>
        <w:t>市失能人员长期护理保障问题。坚持独立运行，建立独立险种，独立设计，统筹推进。坚持适度保障，根据</w:t>
      </w:r>
      <w:r>
        <w:rPr>
          <w:rFonts w:hint="eastAsia" w:ascii="Times New Roman" w:hAnsi="Times New Roman"/>
          <w:strike w:val="0"/>
          <w:color w:val="auto"/>
          <w:highlight w:val="none"/>
          <w:lang w:val="en-US" w:eastAsia="zh-CN"/>
        </w:rPr>
        <w:t>连云港</w:t>
      </w:r>
      <w:r>
        <w:rPr>
          <w:rFonts w:ascii="Times New Roman" w:hAnsi="Times New Roman"/>
          <w:color w:val="auto"/>
          <w:highlight w:val="none"/>
        </w:rPr>
        <w:t>市经济发展水平合理确定保障范围和待遇标准。坚持责任共担，多渠道筹资，合理划分筹资责任和保障责任。坚持整体设计，分步实施，逐步完善制度体系。坚持统筹协调，实现各类险种功能衔接，协同推进养老和健康产业发展。</w:t>
      </w:r>
    </w:p>
    <w:p w14:paraId="00D2E5E7">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三、筹资标准</w:t>
      </w:r>
    </w:p>
    <w:p w14:paraId="52AF7014">
      <w:pPr>
        <w:pStyle w:val="33"/>
        <w:spacing w:beforeAutospacing="0" w:afterAutospacing="0" w:line="360" w:lineRule="auto"/>
        <w:ind w:firstLine="480"/>
        <w:jc w:val="both"/>
        <w:rPr>
          <w:rFonts w:ascii="Times New Roman" w:hAnsi="Times New Roman" w:eastAsia="宋体" w:cs="Times New Roman"/>
          <w:color w:val="auto"/>
          <w:sz w:val="24"/>
          <w:szCs w:val="24"/>
          <w:highlight w:val="none"/>
          <w:lang w:val="en-US" w:eastAsia="zh-CN" w:bidi="ar-SA"/>
        </w:rPr>
      </w:pPr>
      <w:r>
        <w:rPr>
          <w:color w:val="auto"/>
          <w:sz w:val="24"/>
          <w:highlight w:val="none"/>
        </w:rPr>
        <w:t>长护险筹资标准：</w:t>
      </w:r>
      <w:r>
        <w:rPr>
          <w:rFonts w:hint="eastAsia"/>
          <w:color w:val="auto"/>
          <w:sz w:val="24"/>
          <w:highlight w:val="none"/>
          <w:lang w:val="en-US" w:eastAsia="zh-CN"/>
        </w:rPr>
        <w:t>1.职工长护险筹资</w:t>
      </w:r>
      <w:r>
        <w:rPr>
          <w:color w:val="auto"/>
          <w:sz w:val="24"/>
          <w:highlight w:val="none"/>
        </w:rPr>
        <w:t>由个人缴费、财政补助、职工基本医保统筹基金划拨三部分组成，其中个人缴费标准为每人每年30元、财政补助标准为每人每年20元、职工医保统筹基金每年按上年度职工基本医保统筹基金收入的2%划拨。企事业单位、慈善机构等社会团体和个人给予捐助的资金，纳入长护险基金管理。</w:t>
      </w:r>
      <w:r>
        <w:rPr>
          <w:rFonts w:hint="eastAsia"/>
          <w:color w:val="auto"/>
          <w:sz w:val="24"/>
          <w:highlight w:val="none"/>
          <w:lang w:val="en-US" w:eastAsia="zh-CN"/>
        </w:rPr>
        <w:t>2.城乡居民长护险筹资由个人和政府合理分担，其中个人缴费每人每年20元，政府补助每人每年20元。参加城乡居民基本医疗保险的在校学生及18周岁以下参保人员暂不单独筹资。困难人员参加本市长护险的个人缴费部分参照本市医疗救助对象分类资助参保政策进行资助。</w:t>
      </w:r>
    </w:p>
    <w:p w14:paraId="74101744">
      <w:pPr>
        <w:pStyle w:val="33"/>
        <w:spacing w:beforeAutospacing="0" w:afterAutospacing="0" w:line="360" w:lineRule="auto"/>
        <w:ind w:firstLine="480"/>
        <w:jc w:val="both"/>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今后，可根据经济社会发展水平和医疗保障实际需要，由市</w:t>
      </w:r>
      <w:r>
        <w:rPr>
          <w:rFonts w:hint="eastAsia" w:cs="Times New Roman"/>
          <w:color w:val="auto"/>
          <w:sz w:val="24"/>
          <w:szCs w:val="24"/>
          <w:highlight w:val="none"/>
          <w:lang w:val="en-US" w:eastAsia="zh-CN" w:bidi="ar-SA"/>
        </w:rPr>
        <w:t>医保部门</w:t>
      </w:r>
      <w:r>
        <w:rPr>
          <w:rFonts w:hint="eastAsia" w:ascii="Times New Roman" w:hAnsi="Times New Roman" w:eastAsia="宋体" w:cs="Times New Roman"/>
          <w:color w:val="auto"/>
          <w:sz w:val="24"/>
          <w:szCs w:val="24"/>
          <w:highlight w:val="none"/>
          <w:lang w:val="en-US" w:eastAsia="zh-CN" w:bidi="ar-SA"/>
        </w:rPr>
        <w:t>会同市财政</w:t>
      </w:r>
      <w:r>
        <w:rPr>
          <w:rFonts w:hint="eastAsia" w:cs="Times New Roman"/>
          <w:color w:val="auto"/>
          <w:sz w:val="24"/>
          <w:szCs w:val="24"/>
          <w:highlight w:val="none"/>
          <w:lang w:val="en-US" w:eastAsia="zh-CN" w:bidi="ar-SA"/>
        </w:rPr>
        <w:t>等部门</w:t>
      </w:r>
      <w:r>
        <w:rPr>
          <w:rFonts w:hint="eastAsia" w:ascii="Times New Roman" w:hAnsi="Times New Roman" w:eastAsia="宋体" w:cs="Times New Roman"/>
          <w:color w:val="auto"/>
          <w:sz w:val="24"/>
          <w:szCs w:val="24"/>
          <w:highlight w:val="none"/>
          <w:lang w:val="en-US" w:eastAsia="zh-CN" w:bidi="ar-SA"/>
        </w:rPr>
        <w:t>适时调整筹资标准。如国家、省、市调整参保筹资政策，按新政策执行。</w:t>
      </w:r>
    </w:p>
    <w:p w14:paraId="43787993">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四、服务期限</w:t>
      </w:r>
    </w:p>
    <w:p w14:paraId="5660C584">
      <w:pPr>
        <w:spacing w:line="360" w:lineRule="auto"/>
        <w:ind w:firstLine="480"/>
        <w:rPr>
          <w:color w:val="auto"/>
          <w:sz w:val="24"/>
          <w:highlight w:val="none"/>
        </w:rPr>
      </w:pPr>
      <w:r>
        <w:rPr>
          <w:color w:val="auto"/>
          <w:sz w:val="24"/>
          <w:highlight w:val="none"/>
        </w:rPr>
        <w:t>本项目服务期限</w:t>
      </w:r>
      <w:r>
        <w:rPr>
          <w:rFonts w:hint="eastAsia"/>
          <w:color w:val="auto"/>
          <w:sz w:val="24"/>
          <w:highlight w:val="none"/>
          <w:lang w:val="en-US" w:eastAsia="zh-CN"/>
        </w:rPr>
        <w:t>36</w:t>
      </w:r>
      <w:r>
        <w:rPr>
          <w:color w:val="auto"/>
          <w:sz w:val="24"/>
          <w:highlight w:val="none"/>
        </w:rPr>
        <w:t>个月，自</w:t>
      </w:r>
      <w:r>
        <w:rPr>
          <w:rFonts w:hint="eastAsia"/>
          <w:color w:val="auto"/>
          <w:sz w:val="24"/>
          <w:highlight w:val="none"/>
          <w:lang w:val="en-US" w:eastAsia="zh-CN"/>
        </w:rPr>
        <w:t>2027</w:t>
      </w:r>
      <w:r>
        <w:rPr>
          <w:color w:val="auto"/>
          <w:sz w:val="24"/>
          <w:highlight w:val="none"/>
        </w:rPr>
        <w:t>年</w:t>
      </w:r>
      <w:r>
        <w:rPr>
          <w:rFonts w:hint="eastAsia"/>
          <w:color w:val="auto"/>
          <w:sz w:val="24"/>
          <w:highlight w:val="none"/>
          <w:lang w:val="en-US" w:eastAsia="zh-CN"/>
        </w:rPr>
        <w:t>1</w:t>
      </w:r>
      <w:r>
        <w:rPr>
          <w:color w:val="auto"/>
          <w:sz w:val="24"/>
          <w:highlight w:val="none"/>
        </w:rPr>
        <w:t>月1日起至</w:t>
      </w:r>
      <w:r>
        <w:rPr>
          <w:rFonts w:hint="eastAsia"/>
          <w:color w:val="auto"/>
          <w:sz w:val="24"/>
          <w:highlight w:val="none"/>
          <w:lang w:val="en-US" w:eastAsia="zh-CN"/>
        </w:rPr>
        <w:t>2029</w:t>
      </w:r>
      <w:r>
        <w:rPr>
          <w:color w:val="auto"/>
          <w:sz w:val="24"/>
          <w:highlight w:val="none"/>
        </w:rPr>
        <w:t>年12月31日止，分为三个独立且连续的</w:t>
      </w:r>
      <w:r>
        <w:rPr>
          <w:rFonts w:hint="eastAsia"/>
          <w:color w:val="auto"/>
          <w:sz w:val="24"/>
          <w:highlight w:val="none"/>
          <w:lang w:val="en-US" w:eastAsia="zh-CN"/>
        </w:rPr>
        <w:t>服务</w:t>
      </w:r>
      <w:r>
        <w:rPr>
          <w:color w:val="auto"/>
          <w:sz w:val="24"/>
          <w:highlight w:val="none"/>
        </w:rPr>
        <w:t>周期，（</w:t>
      </w:r>
      <w:r>
        <w:rPr>
          <w:rFonts w:hint="eastAsia"/>
          <w:color w:val="auto"/>
          <w:sz w:val="24"/>
          <w:highlight w:val="none"/>
          <w:lang w:val="en-US" w:eastAsia="zh-CN"/>
        </w:rPr>
        <w:t>2027</w:t>
      </w:r>
      <w:r>
        <w:rPr>
          <w:color w:val="auto"/>
          <w:sz w:val="24"/>
          <w:highlight w:val="none"/>
        </w:rPr>
        <w:t>年</w:t>
      </w:r>
      <w:r>
        <w:rPr>
          <w:rFonts w:hint="eastAsia"/>
          <w:color w:val="auto"/>
          <w:sz w:val="24"/>
          <w:highlight w:val="none"/>
          <w:lang w:val="en-US" w:eastAsia="zh-CN"/>
        </w:rPr>
        <w:t>1</w:t>
      </w:r>
      <w:r>
        <w:rPr>
          <w:color w:val="auto"/>
          <w:sz w:val="24"/>
          <w:highlight w:val="none"/>
        </w:rPr>
        <w:t>月1日至</w:t>
      </w:r>
      <w:r>
        <w:rPr>
          <w:rFonts w:hint="eastAsia"/>
          <w:color w:val="auto"/>
          <w:sz w:val="24"/>
          <w:highlight w:val="none"/>
          <w:lang w:val="en-US" w:eastAsia="zh-CN"/>
        </w:rPr>
        <w:t>2027</w:t>
      </w:r>
      <w:r>
        <w:rPr>
          <w:color w:val="auto"/>
          <w:sz w:val="24"/>
          <w:highlight w:val="none"/>
        </w:rPr>
        <w:t>年12月31日为第一期，</w:t>
      </w:r>
      <w:r>
        <w:rPr>
          <w:rFonts w:hint="eastAsia"/>
          <w:color w:val="auto"/>
          <w:sz w:val="24"/>
          <w:highlight w:val="none"/>
          <w:lang w:val="en-US" w:eastAsia="zh-CN"/>
        </w:rPr>
        <w:t>2028</w:t>
      </w:r>
      <w:r>
        <w:rPr>
          <w:color w:val="auto"/>
          <w:sz w:val="24"/>
          <w:highlight w:val="none"/>
        </w:rPr>
        <w:t>年1月1日至</w:t>
      </w:r>
      <w:r>
        <w:rPr>
          <w:rFonts w:hint="eastAsia"/>
          <w:color w:val="auto"/>
          <w:sz w:val="24"/>
          <w:highlight w:val="none"/>
          <w:lang w:val="en-US" w:eastAsia="zh-CN"/>
        </w:rPr>
        <w:t>2028</w:t>
      </w:r>
      <w:r>
        <w:rPr>
          <w:color w:val="auto"/>
          <w:sz w:val="24"/>
          <w:highlight w:val="none"/>
        </w:rPr>
        <w:t>年12月31日为第二期，</w:t>
      </w:r>
      <w:r>
        <w:rPr>
          <w:rFonts w:hint="eastAsia"/>
          <w:color w:val="auto"/>
          <w:sz w:val="24"/>
          <w:highlight w:val="none"/>
          <w:lang w:val="en-US" w:eastAsia="zh-CN"/>
        </w:rPr>
        <w:t>2029</w:t>
      </w:r>
      <w:r>
        <w:rPr>
          <w:color w:val="auto"/>
          <w:sz w:val="24"/>
          <w:highlight w:val="none"/>
        </w:rPr>
        <w:t>年1月1日至</w:t>
      </w:r>
      <w:r>
        <w:rPr>
          <w:rFonts w:hint="eastAsia"/>
          <w:color w:val="auto"/>
          <w:sz w:val="24"/>
          <w:highlight w:val="none"/>
          <w:lang w:val="en-US" w:eastAsia="zh-CN"/>
        </w:rPr>
        <w:t>2029</w:t>
      </w:r>
      <w:r>
        <w:rPr>
          <w:color w:val="auto"/>
          <w:sz w:val="24"/>
          <w:highlight w:val="none"/>
        </w:rPr>
        <w:t>年12月31日为第三期），合同一期一签，每期通过考核后，可续签下一期合同。</w:t>
      </w:r>
      <w:r>
        <w:rPr>
          <w:rFonts w:hint="eastAsia"/>
          <w:color w:val="auto"/>
          <w:sz w:val="24"/>
          <w:highlight w:val="none"/>
          <w:lang w:val="en-US" w:eastAsia="zh-CN"/>
        </w:rPr>
        <w:t xml:space="preserve"> 中标人与中标辖区医保部门签订长护险采购合同。 </w:t>
      </w:r>
    </w:p>
    <w:p w14:paraId="58330BCE">
      <w:pPr>
        <w:spacing w:line="360" w:lineRule="auto"/>
        <w:ind w:firstLine="480"/>
        <w:rPr>
          <w:color w:val="auto"/>
          <w:sz w:val="24"/>
          <w:highlight w:val="none"/>
        </w:rPr>
      </w:pPr>
      <w:r>
        <w:rPr>
          <w:rFonts w:hint="eastAsia"/>
          <w:color w:val="auto"/>
          <w:sz w:val="24"/>
          <w:highlight w:val="none"/>
          <w:lang w:val="en-US" w:eastAsia="zh-CN"/>
        </w:rPr>
        <w:t>合同期内，</w:t>
      </w:r>
      <w:r>
        <w:rPr>
          <w:color w:val="auto"/>
          <w:sz w:val="24"/>
          <w:highlight w:val="none"/>
        </w:rPr>
        <w:t>因考核不合格、经办管理模式发生重大变化</w:t>
      </w:r>
      <w:r>
        <w:rPr>
          <w:rFonts w:hint="eastAsia"/>
          <w:color w:val="auto"/>
          <w:sz w:val="24"/>
          <w:highlight w:val="none"/>
          <w:lang w:val="en-US" w:eastAsia="zh-CN"/>
        </w:rPr>
        <w:t>或因国家、省、市重大政策调整</w:t>
      </w:r>
      <w:r>
        <w:rPr>
          <w:color w:val="auto"/>
          <w:sz w:val="24"/>
          <w:highlight w:val="none"/>
        </w:rPr>
        <w:t>等原因，采购人有权单方面终止服务</w:t>
      </w:r>
      <w:r>
        <w:rPr>
          <w:rFonts w:hint="eastAsia"/>
          <w:color w:val="auto"/>
          <w:sz w:val="24"/>
          <w:highlight w:val="none"/>
          <w:lang w:val="en-US" w:eastAsia="zh-CN"/>
        </w:rPr>
        <w:t>合同</w:t>
      </w:r>
      <w:r>
        <w:rPr>
          <w:color w:val="auto"/>
          <w:sz w:val="24"/>
          <w:highlight w:val="none"/>
        </w:rPr>
        <w:t>或停止续签服务合同，中标人应无条件服从。</w:t>
      </w:r>
    </w:p>
    <w:p w14:paraId="23CE3F3E">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五、服务内容和要求</w:t>
      </w:r>
    </w:p>
    <w:p w14:paraId="5761505C">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（一）总体要求</w:t>
      </w:r>
    </w:p>
    <w:p w14:paraId="592337FB">
      <w:pPr>
        <w:widowControl/>
        <w:spacing w:line="360" w:lineRule="auto"/>
        <w:ind w:firstLine="480"/>
        <w:jc w:val="left"/>
        <w:rPr>
          <w:rFonts w:hint="default"/>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承办机构</w:t>
      </w:r>
      <w:r>
        <w:rPr>
          <w:color w:val="auto"/>
          <w:sz w:val="24"/>
          <w:highlight w:val="none"/>
        </w:rPr>
        <w:t>按《连云港市人民政府关于建立长期护理保险制度的意见》（连政发〔2023〕26号）及相关的配套政策文件要求，在</w:t>
      </w:r>
      <w:r>
        <w:rPr>
          <w:rFonts w:hint="eastAsia"/>
          <w:color w:val="auto"/>
          <w:sz w:val="24"/>
          <w:highlight w:val="none"/>
          <w:lang w:val="en-US" w:eastAsia="zh-CN"/>
        </w:rPr>
        <w:t>各辖区</w:t>
      </w:r>
      <w:r>
        <w:rPr>
          <w:color w:val="auto"/>
          <w:sz w:val="24"/>
          <w:highlight w:val="none"/>
        </w:rPr>
        <w:t>长护险经办管理机构（以下简称“医保经办机构”）指导下提供连云港市长护险经办服务，并接受</w:t>
      </w:r>
      <w:r>
        <w:rPr>
          <w:rFonts w:hint="eastAsia"/>
          <w:color w:val="auto"/>
          <w:sz w:val="24"/>
          <w:highlight w:val="none"/>
          <w:lang w:val="en-US" w:eastAsia="zh-CN"/>
        </w:rPr>
        <w:t>各辖区</w:t>
      </w:r>
      <w:r>
        <w:rPr>
          <w:color w:val="auto"/>
          <w:sz w:val="24"/>
          <w:highlight w:val="none"/>
        </w:rPr>
        <w:t>医保经办机构考核管理、服务群众监督。</w:t>
      </w:r>
      <w:r>
        <w:rPr>
          <w:rFonts w:hint="eastAsia"/>
          <w:color w:val="auto"/>
          <w:sz w:val="24"/>
          <w:highlight w:val="none"/>
          <w:lang w:val="en-US" w:eastAsia="zh-CN"/>
        </w:rPr>
        <w:t>各辖区中标金额高的承办机构作为该辖区的主承办机构，各辖区中标金额低的承办机构作为该辖区的次承办机构，并根据辖区预算金额确定辖区内的中标比例。</w:t>
      </w:r>
    </w:p>
    <w:p w14:paraId="1A813243">
      <w:pPr>
        <w:widowControl/>
        <w:spacing w:line="360" w:lineRule="auto"/>
        <w:ind w:firstLine="480"/>
        <w:jc w:val="left"/>
        <w:rPr>
          <w:rFonts w:hint="eastAsia"/>
          <w:color w:val="auto"/>
          <w:sz w:val="24"/>
          <w:highlight w:val="none"/>
          <w:lang w:val="en-US" w:eastAsia="zh-CN"/>
        </w:rPr>
      </w:pPr>
      <w:r>
        <w:rPr>
          <w:rFonts w:hint="eastAsia"/>
          <w:color w:val="auto"/>
          <w:sz w:val="24"/>
          <w:highlight w:val="none"/>
          <w:lang w:val="en-US" w:eastAsia="zh-CN"/>
        </w:rPr>
        <w:t>各辖区内中标比例如下：</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3"/>
        <w:gridCol w:w="2328"/>
        <w:gridCol w:w="2648"/>
      </w:tblGrid>
      <w:tr w14:paraId="408E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Align w:val="center"/>
          </w:tcPr>
          <w:p w14:paraId="3787C847">
            <w:pPr>
              <w:widowControl/>
              <w:spacing w:after="0" w:line="490" w:lineRule="exact"/>
              <w:jc w:val="center"/>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辖区</w:t>
            </w:r>
          </w:p>
        </w:tc>
        <w:tc>
          <w:tcPr>
            <w:tcW w:w="1366" w:type="pct"/>
            <w:vAlign w:val="center"/>
          </w:tcPr>
          <w:p w14:paraId="62D50F09">
            <w:pPr>
              <w:widowControl/>
              <w:spacing w:after="0" w:line="490" w:lineRule="exact"/>
              <w:jc w:val="center"/>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采购包</w:t>
            </w:r>
          </w:p>
        </w:tc>
        <w:tc>
          <w:tcPr>
            <w:tcW w:w="1553" w:type="pct"/>
            <w:vAlign w:val="center"/>
          </w:tcPr>
          <w:p w14:paraId="18E830D7">
            <w:pPr>
              <w:widowControl/>
              <w:spacing w:after="0" w:line="490" w:lineRule="exact"/>
              <w:jc w:val="center"/>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辖区比例</w:t>
            </w:r>
          </w:p>
        </w:tc>
      </w:tr>
      <w:tr w14:paraId="7D24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restart"/>
            <w:vAlign w:val="center"/>
          </w:tcPr>
          <w:p w14:paraId="05060BA5">
            <w:pPr>
              <w:widowControl/>
              <w:spacing w:after="0" w:line="490" w:lineRule="exact"/>
              <w:jc w:val="center"/>
              <w:rPr>
                <w:rFonts w:hint="default"/>
                <w:color w:val="auto"/>
                <w:sz w:val="24"/>
                <w:highlight w:val="none"/>
                <w:vertAlign w:val="baseline"/>
                <w:lang w:val="en-US" w:eastAsia="zh-CN"/>
              </w:rPr>
            </w:pPr>
            <w:r>
              <w:rPr>
                <w:rFonts w:hint="default" w:ascii="Times New Roman" w:hAnsi="Times New Roman" w:cs="Times New Roman" w:eastAsiaTheme="majorEastAsia"/>
                <w:color w:val="auto"/>
                <w:sz w:val="24"/>
                <w:szCs w:val="24"/>
                <w:highlight w:val="none"/>
                <w:lang w:val="en-US" w:eastAsia="zh-CN" w:bidi="ar-SA"/>
              </w:rPr>
              <w:t>市本级（不含赣榆区）</w:t>
            </w:r>
          </w:p>
        </w:tc>
        <w:tc>
          <w:tcPr>
            <w:tcW w:w="1366" w:type="pct"/>
            <w:vAlign w:val="center"/>
          </w:tcPr>
          <w:p w14:paraId="0671B3D5">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采购包4</w:t>
            </w:r>
          </w:p>
        </w:tc>
        <w:tc>
          <w:tcPr>
            <w:tcW w:w="1553" w:type="pct"/>
            <w:vAlign w:val="center"/>
          </w:tcPr>
          <w:p w14:paraId="3E34CD7A">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67%</w:t>
            </w:r>
          </w:p>
        </w:tc>
      </w:tr>
      <w:tr w14:paraId="11C32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continue"/>
            <w:vAlign w:val="center"/>
          </w:tcPr>
          <w:p w14:paraId="5895FA78">
            <w:pPr>
              <w:widowControl/>
              <w:spacing w:after="0" w:line="490" w:lineRule="exact"/>
              <w:jc w:val="center"/>
              <w:rPr>
                <w:rFonts w:hint="eastAsia"/>
                <w:color w:val="auto"/>
                <w:sz w:val="24"/>
                <w:highlight w:val="none"/>
                <w:vertAlign w:val="baseline"/>
                <w:lang w:val="en-US" w:eastAsia="zh-CN"/>
              </w:rPr>
            </w:pPr>
          </w:p>
        </w:tc>
        <w:tc>
          <w:tcPr>
            <w:tcW w:w="1366" w:type="pct"/>
            <w:shd w:val="clear" w:color="auto" w:fill="auto"/>
            <w:vAlign w:val="center"/>
          </w:tcPr>
          <w:p w14:paraId="38C3B1C1">
            <w:pPr>
              <w:widowControl/>
              <w:spacing w:after="0" w:line="490" w:lineRule="exact"/>
              <w:ind w:firstLine="0" w:firstLineChars="0"/>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采购包6</w:t>
            </w:r>
          </w:p>
        </w:tc>
        <w:tc>
          <w:tcPr>
            <w:tcW w:w="1553" w:type="pct"/>
            <w:shd w:val="clear" w:color="auto" w:fill="auto"/>
            <w:vAlign w:val="center"/>
          </w:tcPr>
          <w:p w14:paraId="4AE4A5E0">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33%</w:t>
            </w:r>
          </w:p>
        </w:tc>
      </w:tr>
      <w:tr w14:paraId="10DE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restart"/>
            <w:vAlign w:val="center"/>
          </w:tcPr>
          <w:p w14:paraId="2E47CB23">
            <w:pPr>
              <w:widowControl/>
              <w:spacing w:after="0" w:line="490" w:lineRule="exact"/>
              <w:ind w:firstLine="0" w:firstLineChars="0"/>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赣榆区</w:t>
            </w:r>
          </w:p>
        </w:tc>
        <w:tc>
          <w:tcPr>
            <w:tcW w:w="1366" w:type="pct"/>
            <w:vAlign w:val="center"/>
          </w:tcPr>
          <w:p w14:paraId="58A44F4D">
            <w:pPr>
              <w:widowControl/>
              <w:spacing w:after="0" w:line="490" w:lineRule="exact"/>
              <w:jc w:val="center"/>
              <w:rPr>
                <w:rFonts w:hint="eastAsia"/>
                <w:color w:val="auto"/>
                <w:sz w:val="24"/>
                <w:highlight w:val="none"/>
                <w:vertAlign w:val="baseline"/>
                <w:lang w:val="en-US" w:eastAsia="zh-CN"/>
              </w:rPr>
            </w:pPr>
            <w:r>
              <w:rPr>
                <w:rFonts w:hint="eastAsia"/>
                <w:color w:val="auto"/>
                <w:sz w:val="24"/>
                <w:highlight w:val="none"/>
                <w:vertAlign w:val="baseline"/>
                <w:lang w:val="en-US" w:eastAsia="zh-CN"/>
              </w:rPr>
              <w:t>采购包2</w:t>
            </w:r>
          </w:p>
        </w:tc>
        <w:tc>
          <w:tcPr>
            <w:tcW w:w="1553" w:type="pct"/>
            <w:vAlign w:val="center"/>
          </w:tcPr>
          <w:p w14:paraId="5D8D9888">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85%</w:t>
            </w:r>
          </w:p>
        </w:tc>
      </w:tr>
      <w:tr w14:paraId="365E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continue"/>
            <w:vAlign w:val="center"/>
          </w:tcPr>
          <w:p w14:paraId="4BC17F92">
            <w:pPr>
              <w:widowControl/>
              <w:spacing w:after="0" w:line="490" w:lineRule="exact"/>
              <w:ind w:firstLine="537" w:firstLineChars="224"/>
              <w:jc w:val="center"/>
              <w:rPr>
                <w:rFonts w:hint="eastAsia"/>
                <w:color w:val="auto"/>
                <w:sz w:val="24"/>
                <w:highlight w:val="none"/>
                <w:vertAlign w:val="baseline"/>
                <w:lang w:val="en-US" w:eastAsia="zh-CN"/>
              </w:rPr>
            </w:pPr>
          </w:p>
        </w:tc>
        <w:tc>
          <w:tcPr>
            <w:tcW w:w="1366" w:type="pct"/>
            <w:shd w:val="clear" w:color="auto" w:fill="auto"/>
            <w:vAlign w:val="center"/>
          </w:tcPr>
          <w:p w14:paraId="196F54F5">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采购包7</w:t>
            </w:r>
          </w:p>
        </w:tc>
        <w:tc>
          <w:tcPr>
            <w:tcW w:w="1553" w:type="pct"/>
            <w:shd w:val="clear" w:color="auto" w:fill="auto"/>
            <w:vAlign w:val="center"/>
          </w:tcPr>
          <w:p w14:paraId="026B42D5">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15%</w:t>
            </w:r>
          </w:p>
        </w:tc>
      </w:tr>
      <w:tr w14:paraId="7D7E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restart"/>
            <w:vAlign w:val="center"/>
          </w:tcPr>
          <w:p w14:paraId="1969444C">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东海县</w:t>
            </w:r>
          </w:p>
        </w:tc>
        <w:tc>
          <w:tcPr>
            <w:tcW w:w="1366" w:type="pct"/>
            <w:vAlign w:val="center"/>
          </w:tcPr>
          <w:p w14:paraId="33492503">
            <w:pPr>
              <w:widowControl/>
              <w:spacing w:after="0" w:line="490" w:lineRule="exact"/>
              <w:jc w:val="center"/>
              <w:rPr>
                <w:rFonts w:hint="eastAsia"/>
                <w:color w:val="auto"/>
                <w:sz w:val="24"/>
                <w:highlight w:val="none"/>
                <w:vertAlign w:val="baseline"/>
                <w:lang w:val="en-US" w:eastAsia="zh-CN"/>
              </w:rPr>
            </w:pPr>
            <w:r>
              <w:rPr>
                <w:rFonts w:hint="eastAsia"/>
                <w:color w:val="auto"/>
                <w:sz w:val="24"/>
                <w:highlight w:val="none"/>
                <w:vertAlign w:val="baseline"/>
                <w:lang w:val="en-US" w:eastAsia="zh-CN"/>
              </w:rPr>
              <w:t>采购包1</w:t>
            </w:r>
          </w:p>
        </w:tc>
        <w:tc>
          <w:tcPr>
            <w:tcW w:w="1553" w:type="pct"/>
            <w:vAlign w:val="center"/>
          </w:tcPr>
          <w:p w14:paraId="381BA5EE">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87%</w:t>
            </w:r>
          </w:p>
        </w:tc>
      </w:tr>
      <w:tr w14:paraId="0780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continue"/>
            <w:vAlign w:val="center"/>
          </w:tcPr>
          <w:p w14:paraId="01B35B11">
            <w:pPr>
              <w:widowControl/>
              <w:spacing w:after="0" w:line="490" w:lineRule="exact"/>
              <w:jc w:val="center"/>
              <w:rPr>
                <w:rFonts w:hint="eastAsia"/>
                <w:color w:val="auto"/>
                <w:sz w:val="24"/>
                <w:highlight w:val="none"/>
                <w:vertAlign w:val="baseline"/>
                <w:lang w:val="en-US" w:eastAsia="zh-CN"/>
              </w:rPr>
            </w:pPr>
          </w:p>
        </w:tc>
        <w:tc>
          <w:tcPr>
            <w:tcW w:w="1366" w:type="pct"/>
            <w:shd w:val="clear" w:color="auto" w:fill="auto"/>
            <w:vAlign w:val="center"/>
          </w:tcPr>
          <w:p w14:paraId="437030F8">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采购包8</w:t>
            </w:r>
          </w:p>
        </w:tc>
        <w:tc>
          <w:tcPr>
            <w:tcW w:w="1553" w:type="pct"/>
            <w:shd w:val="clear" w:color="auto" w:fill="auto"/>
            <w:vAlign w:val="center"/>
          </w:tcPr>
          <w:p w14:paraId="549E3B20">
            <w:pPr>
              <w:widowControl/>
              <w:spacing w:after="0" w:line="490" w:lineRule="exact"/>
              <w:ind w:firstLine="0" w:firstLineChars="0"/>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13%</w:t>
            </w:r>
          </w:p>
        </w:tc>
      </w:tr>
      <w:tr w14:paraId="0943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restart"/>
            <w:vAlign w:val="center"/>
          </w:tcPr>
          <w:p w14:paraId="1F6B57C6">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灌云县</w:t>
            </w:r>
          </w:p>
        </w:tc>
        <w:tc>
          <w:tcPr>
            <w:tcW w:w="1366" w:type="pct"/>
            <w:vAlign w:val="center"/>
          </w:tcPr>
          <w:p w14:paraId="3DFC07E0">
            <w:pPr>
              <w:widowControl/>
              <w:spacing w:after="0" w:line="490" w:lineRule="exact"/>
              <w:jc w:val="center"/>
              <w:rPr>
                <w:rFonts w:hint="eastAsia"/>
                <w:color w:val="auto"/>
                <w:sz w:val="24"/>
                <w:highlight w:val="none"/>
                <w:vertAlign w:val="baseline"/>
                <w:lang w:val="en-US" w:eastAsia="zh-CN"/>
              </w:rPr>
            </w:pPr>
            <w:r>
              <w:rPr>
                <w:rFonts w:hint="eastAsia"/>
                <w:color w:val="auto"/>
                <w:sz w:val="24"/>
                <w:highlight w:val="none"/>
                <w:vertAlign w:val="baseline"/>
                <w:lang w:val="en-US" w:eastAsia="zh-CN"/>
              </w:rPr>
              <w:t>采购包3</w:t>
            </w:r>
          </w:p>
        </w:tc>
        <w:tc>
          <w:tcPr>
            <w:tcW w:w="1553" w:type="pct"/>
            <w:vAlign w:val="center"/>
          </w:tcPr>
          <w:p w14:paraId="5DFF334A">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86%</w:t>
            </w:r>
          </w:p>
        </w:tc>
      </w:tr>
      <w:tr w14:paraId="72DF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continue"/>
            <w:vAlign w:val="center"/>
          </w:tcPr>
          <w:p w14:paraId="5E8C428E">
            <w:pPr>
              <w:widowControl/>
              <w:spacing w:after="0" w:line="490" w:lineRule="exact"/>
              <w:jc w:val="center"/>
              <w:rPr>
                <w:rFonts w:hint="eastAsia"/>
                <w:color w:val="auto"/>
                <w:sz w:val="24"/>
                <w:highlight w:val="none"/>
                <w:vertAlign w:val="baseline"/>
                <w:lang w:val="en-US" w:eastAsia="zh-CN"/>
              </w:rPr>
            </w:pPr>
          </w:p>
        </w:tc>
        <w:tc>
          <w:tcPr>
            <w:tcW w:w="1366" w:type="pct"/>
            <w:shd w:val="clear" w:color="auto" w:fill="auto"/>
            <w:vAlign w:val="center"/>
          </w:tcPr>
          <w:p w14:paraId="431BE1FB">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采购包9</w:t>
            </w:r>
          </w:p>
        </w:tc>
        <w:tc>
          <w:tcPr>
            <w:tcW w:w="1553" w:type="pct"/>
            <w:shd w:val="clear" w:color="auto" w:fill="auto"/>
            <w:vAlign w:val="center"/>
          </w:tcPr>
          <w:p w14:paraId="0643799B">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14%</w:t>
            </w:r>
          </w:p>
        </w:tc>
      </w:tr>
      <w:tr w14:paraId="6B9E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079" w:type="pct"/>
            <w:vMerge w:val="restart"/>
            <w:vAlign w:val="center"/>
          </w:tcPr>
          <w:p w14:paraId="29B577C6">
            <w:pPr>
              <w:widowControl/>
              <w:spacing w:after="0" w:line="490" w:lineRule="exact"/>
              <w:jc w:val="center"/>
              <w:rPr>
                <w:rFonts w:hint="default"/>
                <w:color w:val="auto"/>
                <w:sz w:val="24"/>
                <w:highlight w:val="none"/>
                <w:vertAlign w:val="baseline"/>
                <w:lang w:val="en-US" w:eastAsia="zh-CN"/>
              </w:rPr>
            </w:pPr>
            <w:r>
              <w:rPr>
                <w:rFonts w:hint="eastAsia"/>
                <w:color w:val="auto"/>
                <w:sz w:val="24"/>
                <w:highlight w:val="none"/>
                <w:vertAlign w:val="baseline"/>
                <w:lang w:val="en-US" w:eastAsia="zh-CN"/>
              </w:rPr>
              <w:t>灌南县</w:t>
            </w:r>
          </w:p>
        </w:tc>
        <w:tc>
          <w:tcPr>
            <w:tcW w:w="1366" w:type="pct"/>
            <w:shd w:val="clear" w:color="auto" w:fill="auto"/>
            <w:vAlign w:val="center"/>
          </w:tcPr>
          <w:p w14:paraId="4BE33BCA">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采购包5</w:t>
            </w:r>
          </w:p>
        </w:tc>
        <w:tc>
          <w:tcPr>
            <w:tcW w:w="1553" w:type="pct"/>
            <w:shd w:val="clear" w:color="auto" w:fill="auto"/>
            <w:vAlign w:val="center"/>
          </w:tcPr>
          <w:p w14:paraId="512F25AD">
            <w:pPr>
              <w:widowControl/>
              <w:spacing w:after="0" w:line="490" w:lineRule="exact"/>
              <w:jc w:val="center"/>
              <w:rPr>
                <w:rFonts w:hint="default" w:ascii="Times New Roman" w:hAnsi="Times New Roman" w:eastAsia="宋体" w:cs="Times New Roman"/>
                <w:color w:val="auto"/>
                <w:sz w:val="24"/>
                <w:szCs w:val="24"/>
                <w:highlight w:val="none"/>
                <w:vertAlign w:val="baseline"/>
                <w:lang w:val="en-US" w:eastAsia="zh-CN" w:bidi="ar-SA"/>
              </w:rPr>
            </w:pPr>
            <w:r>
              <w:rPr>
                <w:rFonts w:hint="eastAsia" w:cs="Times New Roman"/>
                <w:color w:val="auto"/>
                <w:sz w:val="24"/>
                <w:szCs w:val="24"/>
                <w:highlight w:val="none"/>
                <w:vertAlign w:val="baseline"/>
                <w:lang w:val="en-US" w:eastAsia="zh-CN" w:bidi="ar-SA"/>
              </w:rPr>
              <w:t>85%</w:t>
            </w:r>
          </w:p>
        </w:tc>
      </w:tr>
      <w:tr w14:paraId="5ACB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079" w:type="pct"/>
            <w:vMerge w:val="continue"/>
            <w:vAlign w:val="center"/>
          </w:tcPr>
          <w:p w14:paraId="7B3B0EAC">
            <w:pPr>
              <w:widowControl/>
              <w:spacing w:after="0" w:line="490" w:lineRule="exact"/>
              <w:jc w:val="center"/>
              <w:rPr>
                <w:rFonts w:hint="eastAsia"/>
                <w:color w:val="auto"/>
                <w:sz w:val="24"/>
                <w:highlight w:val="none"/>
                <w:vertAlign w:val="baseline"/>
                <w:lang w:val="en-US" w:eastAsia="zh-CN"/>
              </w:rPr>
            </w:pPr>
          </w:p>
        </w:tc>
        <w:tc>
          <w:tcPr>
            <w:tcW w:w="1366" w:type="pct"/>
            <w:shd w:val="clear" w:color="auto" w:fill="auto"/>
            <w:vAlign w:val="center"/>
          </w:tcPr>
          <w:p w14:paraId="7251BA13">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采购包10</w:t>
            </w:r>
          </w:p>
        </w:tc>
        <w:tc>
          <w:tcPr>
            <w:tcW w:w="1553" w:type="pct"/>
            <w:shd w:val="clear" w:color="auto" w:fill="auto"/>
            <w:vAlign w:val="center"/>
          </w:tcPr>
          <w:p w14:paraId="0D6EA3F1">
            <w:pPr>
              <w:widowControl/>
              <w:spacing w:after="0" w:line="490" w:lineRule="exact"/>
              <w:jc w:val="center"/>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15%</w:t>
            </w:r>
          </w:p>
        </w:tc>
      </w:tr>
    </w:tbl>
    <w:p w14:paraId="11CD7F1A">
      <w:pPr>
        <w:widowControl/>
        <w:spacing w:line="490" w:lineRule="exact"/>
        <w:ind w:firstLine="480"/>
        <w:jc w:val="left"/>
        <w:rPr>
          <w:rFonts w:hint="eastAsia"/>
          <w:color w:val="auto"/>
          <w:sz w:val="24"/>
          <w:highlight w:val="none"/>
          <w:lang w:val="en-US" w:eastAsia="zh-CN"/>
        </w:rPr>
      </w:pPr>
    </w:p>
    <w:p w14:paraId="3B3CDA6A">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（二）服务内容</w:t>
      </w:r>
    </w:p>
    <w:p w14:paraId="4574CC66">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各辖区主承办机构主要负责长护险具体经办业务，次承办机构主要负责长护险稽核业务。具体服务内容包括：</w:t>
      </w:r>
    </w:p>
    <w:p w14:paraId="0E490BFA">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1、协助医保经办机构做好辖区内长护险定点护理机构、长护险定点评估机构相关协议管理工作；</w:t>
      </w:r>
    </w:p>
    <w:p w14:paraId="4BAFB885">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2、长护险政策宣传、公众号运维、咨询回复、投诉处理工作；</w:t>
      </w:r>
    </w:p>
    <w:p w14:paraId="711A5028">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3、辖区内长护险待遇申请的受理、审核、评定结果公示等工作；</w:t>
      </w:r>
    </w:p>
    <w:p w14:paraId="2D69D4F1">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4、组织评估机构开展辖区内失能等级评估及争议、纠纷处理等工作；</w:t>
      </w:r>
    </w:p>
    <w:p w14:paraId="077B7A53">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5、辖区内长护险待遇享受人员服务派单；</w:t>
      </w:r>
    </w:p>
    <w:p w14:paraId="303A23DC">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6、辖区内定点护理机构、评估机构长护险费用、个人待遇费用的审核、申报、对账；</w:t>
      </w:r>
    </w:p>
    <w:p w14:paraId="103C1399">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7、对辖区内评估机构及评估人员的评估行为、定点护理机构的服务行为进行监管；</w:t>
      </w:r>
    </w:p>
    <w:p w14:paraId="52BC859C">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8、辖区内长护险待遇享受人员跟踪回访、核查工作；</w:t>
      </w:r>
    </w:p>
    <w:p w14:paraId="53229584">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9、建立长护险业务档案管理制度，指定专（兼）职档案管理人员，确保档案资料的完整和准确，并督促定点护理机构、评估机构做好档案管理工作，失能评估和护理服务档案资料按照一人一档进行管理，做好登记、备案、相关资料的归档工作；</w:t>
      </w:r>
    </w:p>
    <w:p w14:paraId="24136858">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10、做好长护险从业人员的政策业务培训工作；</w:t>
      </w:r>
    </w:p>
    <w:p w14:paraId="65AD5304">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11、辖区内长护险基金运行监测分析，按月编报长护险运行分析报告；</w:t>
      </w:r>
    </w:p>
    <w:p w14:paraId="3F89FC1B">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12、协助做好长护险政策调整工作；</w:t>
      </w:r>
    </w:p>
    <w:p w14:paraId="1E308F3D">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13、医保经办机构安排的其他工作。</w:t>
      </w:r>
    </w:p>
    <w:p w14:paraId="4DD2EF71">
      <w:pPr>
        <w:widowControl/>
        <w:spacing w:line="360" w:lineRule="auto"/>
        <w:ind w:firstLine="482"/>
        <w:rPr>
          <w:rFonts w:hint="default" w:ascii="Times New Roman" w:hAnsi="Times New Roman" w:eastAsia="宋体" w:cs="Times New Roman"/>
          <w:b/>
          <w:bCs/>
          <w:color w:val="auto"/>
          <w:sz w:val="24"/>
          <w:highlight w:val="none"/>
          <w:lang w:val="en-US"/>
        </w:rPr>
      </w:pPr>
      <w:r>
        <w:rPr>
          <w:rFonts w:hint="default" w:ascii="Times New Roman" w:hAnsi="Times New Roman" w:eastAsia="宋体" w:cs="Times New Roman"/>
          <w:b/>
          <w:bCs/>
          <w:color w:val="auto"/>
          <w:sz w:val="24"/>
          <w:highlight w:val="none"/>
          <w:lang w:val="en-US" w:eastAsia="zh-CN"/>
        </w:rPr>
        <w:t>（三）</w:t>
      </w:r>
      <w:r>
        <w:rPr>
          <w:rFonts w:hint="default" w:ascii="Times New Roman" w:hAnsi="Times New Roman" w:eastAsia="宋体" w:cs="Times New Roman"/>
          <w:b/>
          <w:bCs/>
          <w:color w:val="auto"/>
          <w:sz w:val="24"/>
          <w:highlight w:val="none"/>
          <w:lang w:val="en-US"/>
        </w:rPr>
        <w:t>服务方案</w:t>
      </w:r>
    </w:p>
    <w:p w14:paraId="44B853AD">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1、制定</w:t>
      </w:r>
      <w:r>
        <w:rPr>
          <w:color w:val="auto"/>
          <w:sz w:val="24"/>
          <w:highlight w:val="none"/>
        </w:rPr>
        <w:t>失能评估工作</w:t>
      </w:r>
      <w:r>
        <w:rPr>
          <w:rFonts w:hint="default" w:ascii="Times New Roman" w:hAnsi="Times New Roman" w:cs="Times New Roman" w:eastAsiaTheme="majorEastAsia"/>
          <w:color w:val="auto"/>
          <w:sz w:val="24"/>
          <w:szCs w:val="24"/>
          <w:highlight w:val="none"/>
          <w:lang w:val="en-US" w:eastAsia="zh-CN" w:bidi="ar-SA"/>
        </w:rPr>
        <w:t>方案（包括选择评估机构、评估流程、档案管理、管理方案等）</w:t>
      </w:r>
      <w:r>
        <w:rPr>
          <w:rFonts w:hint="default" w:ascii="Times New Roman" w:hAnsi="Times New Roman" w:cs="Times New Roman" w:eastAsiaTheme="majorEastAsia"/>
          <w:color w:val="auto"/>
          <w:sz w:val="24"/>
          <w:szCs w:val="24"/>
          <w:highlight w:val="none"/>
          <w:lang w:val="en-US" w:eastAsia="zh-CN"/>
        </w:rPr>
        <w:t>。</w:t>
      </w:r>
    </w:p>
    <w:p w14:paraId="044533BF">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2、制定针对本项目的定点护理机构管理方案</w:t>
      </w:r>
      <w:r>
        <w:rPr>
          <w:rFonts w:hint="default" w:ascii="Times New Roman" w:hAnsi="Times New Roman" w:cs="Times New Roman" w:eastAsiaTheme="majorEastAsia"/>
          <w:color w:val="auto"/>
          <w:sz w:val="24"/>
          <w:szCs w:val="24"/>
          <w:highlight w:val="none"/>
          <w:lang w:val="en-US" w:eastAsia="zh-CN" w:bidi="ar-SA"/>
        </w:rPr>
        <w:t>（包括定点护理机构管理、服务质量管理、档案管理、现场核查方案等）</w:t>
      </w:r>
      <w:r>
        <w:rPr>
          <w:rFonts w:hint="default" w:ascii="Times New Roman" w:hAnsi="Times New Roman" w:cs="Times New Roman" w:eastAsiaTheme="majorEastAsia"/>
          <w:color w:val="auto"/>
          <w:sz w:val="24"/>
          <w:szCs w:val="24"/>
          <w:highlight w:val="none"/>
          <w:lang w:val="en-US" w:eastAsia="zh-CN"/>
        </w:rPr>
        <w:t>。</w:t>
      </w:r>
    </w:p>
    <w:p w14:paraId="6243EAA5">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3、制定基金管理方案（包括待遇审核、基金风险管理、基金运行情况分析等）。</w:t>
      </w:r>
    </w:p>
    <w:p w14:paraId="5B617491">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4、制定核</w:t>
      </w:r>
      <w:r>
        <w:rPr>
          <w:rFonts w:hint="default" w:ascii="Times New Roman" w:hAnsi="Times New Roman" w:cs="Times New Roman" w:eastAsiaTheme="majorEastAsia"/>
          <w:color w:val="auto"/>
          <w:sz w:val="24"/>
          <w:szCs w:val="24"/>
          <w:highlight w:val="none"/>
          <w:lang w:val="en-US" w:eastAsia="zh-CN" w:bidi="ar-SA"/>
        </w:rPr>
        <w:t>查监管工作方案（包括对评估机构、评估人员、定点护理机构进行监管；对失能人员状态核查、待遇支付核查工作等）</w:t>
      </w:r>
      <w:r>
        <w:rPr>
          <w:rFonts w:hint="default" w:ascii="Times New Roman" w:hAnsi="Times New Roman" w:cs="Times New Roman" w:eastAsiaTheme="majorEastAsia"/>
          <w:color w:val="auto"/>
          <w:sz w:val="24"/>
          <w:szCs w:val="24"/>
          <w:highlight w:val="none"/>
          <w:lang w:val="en-US" w:eastAsia="zh-CN"/>
        </w:rPr>
        <w:t>。</w:t>
      </w:r>
    </w:p>
    <w:p w14:paraId="35AB9D16">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5、制定</w:t>
      </w:r>
      <w:r>
        <w:rPr>
          <w:rFonts w:hint="default" w:ascii="Times New Roman" w:hAnsi="Times New Roman" w:cs="Times New Roman" w:eastAsiaTheme="majorEastAsia"/>
          <w:color w:val="auto"/>
          <w:sz w:val="24"/>
          <w:szCs w:val="24"/>
          <w:highlight w:val="none"/>
          <w:lang w:val="en-US" w:eastAsia="zh-CN" w:bidi="ar-SA"/>
        </w:rPr>
        <w:t>信息系统管理方案（包括实现长护险申请、评估、经办、服务、结算和管理全流程的信息化等）</w:t>
      </w:r>
      <w:r>
        <w:rPr>
          <w:rFonts w:hint="default" w:ascii="Times New Roman" w:hAnsi="Times New Roman" w:cs="Times New Roman" w:eastAsiaTheme="majorEastAsia"/>
          <w:color w:val="auto"/>
          <w:sz w:val="24"/>
          <w:szCs w:val="24"/>
          <w:highlight w:val="none"/>
          <w:lang w:val="en-US" w:eastAsia="zh-CN"/>
        </w:rPr>
        <w:t>。</w:t>
      </w:r>
    </w:p>
    <w:p w14:paraId="463D5A60">
      <w:pPr>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rPr>
        <w:t>6、制定</w:t>
      </w:r>
      <w:r>
        <w:rPr>
          <w:rFonts w:hint="default" w:ascii="Times New Roman" w:hAnsi="Times New Roman" w:cs="Times New Roman" w:eastAsiaTheme="majorEastAsia"/>
          <w:color w:val="auto"/>
          <w:sz w:val="24"/>
          <w:szCs w:val="24"/>
          <w:highlight w:val="none"/>
          <w:lang w:val="en-US" w:eastAsia="zh-CN" w:bidi="ar-SA"/>
        </w:rPr>
        <w:t>内部控制管理（合规管理）方案（包括团队管理方案、财务管理方案、风险管控方案、业务数据保密方案、档案管理方案等）。</w:t>
      </w:r>
    </w:p>
    <w:p w14:paraId="46CDE9A7">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7、制定长护险业务相关</w:t>
      </w:r>
      <w:r>
        <w:rPr>
          <w:rFonts w:hint="default" w:ascii="Times New Roman" w:hAnsi="Times New Roman" w:cs="Times New Roman" w:eastAsiaTheme="majorEastAsia"/>
          <w:color w:val="auto"/>
          <w:sz w:val="24"/>
          <w:szCs w:val="24"/>
          <w:highlight w:val="none"/>
          <w:lang w:val="en-US" w:eastAsia="zh-CN" w:bidi="ar-SA"/>
        </w:rPr>
        <w:t>宣传工作方案（包括宣传方向、宣传方式、宣传渠道、宣传频率等）</w:t>
      </w:r>
      <w:r>
        <w:rPr>
          <w:rFonts w:hint="default" w:ascii="Times New Roman" w:hAnsi="Times New Roman" w:cs="Times New Roman" w:eastAsiaTheme="majorEastAsia"/>
          <w:color w:val="auto"/>
          <w:sz w:val="24"/>
          <w:szCs w:val="24"/>
          <w:highlight w:val="none"/>
          <w:lang w:val="en-US" w:eastAsia="zh-CN"/>
        </w:rPr>
        <w:t>。</w:t>
      </w:r>
    </w:p>
    <w:p w14:paraId="282BD65E">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8、制定</w:t>
      </w:r>
      <w:r>
        <w:rPr>
          <w:rFonts w:hint="default" w:ascii="Times New Roman" w:hAnsi="Times New Roman" w:cs="Times New Roman" w:eastAsiaTheme="majorEastAsia"/>
          <w:color w:val="auto"/>
          <w:sz w:val="24"/>
          <w:szCs w:val="24"/>
          <w:highlight w:val="none"/>
          <w:lang w:val="en-US" w:eastAsia="zh-CN" w:bidi="ar-SA"/>
        </w:rPr>
        <w:t>培训方案（包括经办人员、长护险护理机构、护理人员、长护险评估机构、评估人员培训等）</w:t>
      </w:r>
      <w:r>
        <w:rPr>
          <w:rFonts w:hint="default" w:ascii="Times New Roman" w:hAnsi="Times New Roman" w:cs="Times New Roman" w:eastAsiaTheme="majorEastAsia"/>
          <w:color w:val="auto"/>
          <w:sz w:val="24"/>
          <w:szCs w:val="24"/>
          <w:highlight w:val="none"/>
          <w:lang w:val="en-US" w:eastAsia="zh-CN"/>
        </w:rPr>
        <w:t>。</w:t>
      </w:r>
    </w:p>
    <w:p w14:paraId="54FD672F">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9、制定</w:t>
      </w:r>
      <w:r>
        <w:rPr>
          <w:rFonts w:hint="default" w:ascii="Times New Roman" w:hAnsi="Times New Roman" w:cs="Times New Roman" w:eastAsiaTheme="majorEastAsia"/>
          <w:color w:val="auto"/>
          <w:sz w:val="24"/>
          <w:szCs w:val="24"/>
          <w:highlight w:val="none"/>
          <w:lang w:val="en-US" w:eastAsia="zh-CN" w:bidi="ar-SA"/>
        </w:rPr>
        <w:t>创新服务方案（包括对评估机构和护理机构人员培训、服务队伍建设、服务质量跟踪监管、待遇享受人员跟踪回访、协助做好对定点机构和评估机构的协议管理、利用互联网、大数据等先进技术等方面的应用及总体情况等）。</w:t>
      </w:r>
    </w:p>
    <w:p w14:paraId="17BEC409">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（四）服务</w:t>
      </w:r>
      <w:r>
        <w:rPr>
          <w:rFonts w:hint="eastAsia" w:cs="Times New Roman"/>
          <w:b/>
          <w:bCs/>
          <w:color w:val="auto"/>
          <w:sz w:val="24"/>
          <w:highlight w:val="none"/>
          <w:lang w:val="en-US" w:eastAsia="zh-CN"/>
        </w:rPr>
        <w:t>场所</w:t>
      </w:r>
      <w:r>
        <w:rPr>
          <w:rFonts w:hint="default" w:ascii="Times New Roman" w:hAnsi="Times New Roman" w:eastAsia="宋体" w:cs="Times New Roman"/>
          <w:b/>
          <w:bCs/>
          <w:color w:val="auto"/>
          <w:sz w:val="24"/>
          <w:highlight w:val="none"/>
          <w:lang w:val="en-US" w:eastAsia="zh-CN"/>
        </w:rPr>
        <w:t>要求</w:t>
      </w:r>
    </w:p>
    <w:p w14:paraId="5AF99DCE">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承办机构</w:t>
      </w:r>
      <w:r>
        <w:rPr>
          <w:rFonts w:hint="eastAsia" w:cs="Times New Roman" w:eastAsiaTheme="majorEastAsia"/>
          <w:color w:val="auto"/>
          <w:sz w:val="24"/>
          <w:szCs w:val="24"/>
          <w:highlight w:val="none"/>
          <w:lang w:val="en-US" w:eastAsia="zh-CN"/>
        </w:rPr>
        <w:t>应</w:t>
      </w:r>
      <w:r>
        <w:rPr>
          <w:rFonts w:hint="default" w:ascii="Times New Roman" w:hAnsi="Times New Roman" w:cs="Times New Roman" w:eastAsiaTheme="majorEastAsia"/>
          <w:color w:val="auto"/>
          <w:sz w:val="24"/>
          <w:szCs w:val="24"/>
          <w:highlight w:val="none"/>
          <w:lang w:val="en-US" w:eastAsia="zh-CN"/>
        </w:rPr>
        <w:t>在</w:t>
      </w:r>
      <w:r>
        <w:rPr>
          <w:rFonts w:hint="eastAsia" w:cs="Times New Roman" w:eastAsiaTheme="majorEastAsia"/>
          <w:color w:val="auto"/>
          <w:sz w:val="24"/>
          <w:szCs w:val="24"/>
          <w:highlight w:val="none"/>
          <w:lang w:val="en-US" w:eastAsia="zh-CN"/>
        </w:rPr>
        <w:t>连云港市</w:t>
      </w:r>
      <w:r>
        <w:rPr>
          <w:rFonts w:hint="default" w:ascii="Times New Roman" w:hAnsi="Times New Roman" w:cs="Times New Roman" w:eastAsiaTheme="majorEastAsia"/>
          <w:color w:val="auto"/>
          <w:sz w:val="24"/>
          <w:szCs w:val="24"/>
          <w:highlight w:val="none"/>
          <w:lang w:val="en-US" w:eastAsia="zh-CN"/>
        </w:rPr>
        <w:t>辖区内设置合理的办公服务场所，用于开展长护险经办服务及内部综合管理等工作。</w:t>
      </w:r>
    </w:p>
    <w:p w14:paraId="0A2A829D">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（五）人员</w:t>
      </w:r>
      <w:r>
        <w:rPr>
          <w:rFonts w:hint="default" w:ascii="Times New Roman" w:hAnsi="Times New Roman" w:cs="Times New Roman"/>
          <w:b/>
          <w:bCs/>
          <w:color w:val="auto"/>
          <w:sz w:val="24"/>
          <w:highlight w:val="none"/>
          <w:lang w:val="en-US" w:eastAsia="zh-CN"/>
        </w:rPr>
        <w:t>配备</w:t>
      </w:r>
      <w:r>
        <w:rPr>
          <w:rFonts w:hint="default" w:ascii="Times New Roman" w:hAnsi="Times New Roman" w:eastAsia="宋体" w:cs="Times New Roman"/>
          <w:b/>
          <w:bCs/>
          <w:color w:val="auto"/>
          <w:sz w:val="24"/>
          <w:highlight w:val="none"/>
          <w:lang w:val="en-US" w:eastAsia="zh-CN"/>
        </w:rPr>
        <w:t>要求</w:t>
      </w:r>
    </w:p>
    <w:p w14:paraId="5493141E">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承办机构应配备具有</w:t>
      </w:r>
      <w:r>
        <w:rPr>
          <w:rFonts w:hint="eastAsia" w:cs="Times New Roman" w:eastAsiaTheme="majorEastAsia"/>
          <w:color w:val="auto"/>
          <w:sz w:val="24"/>
          <w:szCs w:val="24"/>
          <w:highlight w:val="none"/>
          <w:lang w:val="en-US" w:eastAsia="zh-CN"/>
        </w:rPr>
        <w:t>一定</w:t>
      </w:r>
      <w:r>
        <w:rPr>
          <w:rFonts w:hint="default" w:ascii="Times New Roman" w:hAnsi="Times New Roman" w:cs="Times New Roman" w:eastAsiaTheme="majorEastAsia"/>
          <w:color w:val="auto"/>
          <w:sz w:val="24"/>
          <w:szCs w:val="24"/>
          <w:highlight w:val="none"/>
          <w:lang w:val="en-US" w:eastAsia="zh-CN"/>
        </w:rPr>
        <w:t>保险从业经验的项目管理人员，对长护险承办团队进行管理，与采购人进行对接。承诺配备</w:t>
      </w:r>
      <w:r>
        <w:rPr>
          <w:rFonts w:hint="default" w:ascii="Times New Roman" w:hAnsi="Times New Roman" w:cs="Times New Roman" w:eastAsiaTheme="majorEastAsia"/>
          <w:strike w:val="0"/>
          <w:color w:val="auto"/>
          <w:sz w:val="24"/>
          <w:szCs w:val="24"/>
          <w:highlight w:val="none"/>
          <w:lang w:val="en-US" w:eastAsia="zh-CN"/>
        </w:rPr>
        <w:t>项目</w:t>
      </w:r>
      <w:r>
        <w:rPr>
          <w:rFonts w:hint="default" w:ascii="Times New Roman" w:hAnsi="Times New Roman" w:cs="Times New Roman" w:eastAsiaTheme="majorEastAsia"/>
          <w:color w:val="auto"/>
          <w:sz w:val="24"/>
          <w:szCs w:val="24"/>
          <w:highlight w:val="none"/>
          <w:lang w:val="en-US" w:eastAsia="zh-CN"/>
        </w:rPr>
        <w:t>专职工作人员（工作人员与长期护理保险覆盖人群比不少于1:70000），其中医学、康复、护理、信息、统计、财务等专业（具有本科及以上学历）的人员比例不低于30%，派驻相应数量的工作人员至医保经办机构共同办理长护险经办业务。中标人承诺中标后30日内完成人员配备、团队组建。承诺服务模式、人员和工作部署等，由</w:t>
      </w:r>
      <w:r>
        <w:rPr>
          <w:rFonts w:hint="default" w:ascii="Times New Roman" w:hAnsi="Times New Roman" w:cs="Times New Roman" w:eastAsiaTheme="majorEastAsia"/>
          <w:color w:val="auto"/>
          <w:sz w:val="24"/>
          <w:szCs w:val="24"/>
          <w:highlight w:val="none"/>
          <w:lang w:val="en-US" w:eastAsia="zh-CN" w:bidi="ar-SA"/>
        </w:rPr>
        <w:t>采购人</w:t>
      </w:r>
      <w:r>
        <w:rPr>
          <w:rFonts w:hint="default" w:ascii="Times New Roman" w:hAnsi="Times New Roman" w:cs="Times New Roman" w:eastAsiaTheme="majorEastAsia"/>
          <w:color w:val="auto"/>
          <w:sz w:val="24"/>
          <w:szCs w:val="24"/>
          <w:highlight w:val="none"/>
          <w:lang w:val="en-US" w:eastAsia="zh-CN"/>
        </w:rPr>
        <w:t>统一管理。</w:t>
      </w:r>
    </w:p>
    <w:p w14:paraId="1A7F7A81">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（六）设施配备要求</w:t>
      </w:r>
    </w:p>
    <w:p w14:paraId="07FC1653">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承办机构应配备开展各项业务且与工作量相适应的办公设施（配备打印机、复印机、传真机、扫描仪等能够满足办公需求的办公设备，每人配备办公电脑，核查岗应按岗位要求配备便携电脑、执法记录仪、录音笔等记录核查设备）及</w:t>
      </w:r>
      <w:r>
        <w:rPr>
          <w:rFonts w:hint="default" w:ascii="Times New Roman" w:hAnsi="Times New Roman" w:cs="Times New Roman" w:eastAsiaTheme="majorEastAsia"/>
          <w:color w:val="auto"/>
          <w:sz w:val="24"/>
          <w:szCs w:val="24"/>
          <w:highlight w:val="none"/>
          <w:lang w:val="en-US" w:eastAsia="zh-CN" w:bidi="ar-SA"/>
        </w:rPr>
        <w:t>车辆配置</w:t>
      </w:r>
      <w:r>
        <w:rPr>
          <w:rFonts w:hint="default" w:ascii="Times New Roman" w:hAnsi="Times New Roman" w:cs="Times New Roman" w:eastAsiaTheme="majorEastAsia"/>
          <w:color w:val="auto"/>
          <w:sz w:val="24"/>
          <w:szCs w:val="24"/>
          <w:highlight w:val="none"/>
          <w:lang w:val="en-US" w:eastAsia="zh-CN"/>
        </w:rPr>
        <w:t>，并根据长护险各项工作的需求及时提供。中标人承诺中标后30日内完成办公设施的配备。</w:t>
      </w:r>
    </w:p>
    <w:p w14:paraId="5AEB021E">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（七）信息系统服务要求</w:t>
      </w:r>
    </w:p>
    <w:p w14:paraId="52A48A48">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承办机构应使用采购人确定的统一的信息系统，</w:t>
      </w:r>
      <w:r>
        <w:rPr>
          <w:rFonts w:hint="default" w:ascii="Times New Roman" w:hAnsi="Times New Roman" w:cs="Times New Roman" w:eastAsiaTheme="majorEastAsia"/>
          <w:color w:val="auto"/>
          <w:sz w:val="24"/>
          <w:szCs w:val="24"/>
          <w:highlight w:val="none"/>
          <w:lang w:val="en-US" w:eastAsia="zh-CN"/>
        </w:rPr>
        <w:t>按要求配置计算机和网络系统，配备与长护险业务相适应的计算机管理人员，实现长护险待遇申请、失能评估、护理服务、保险理赔、经办管理、服务监督、风险控制等全流程信息化。建立评估人员、上门护理人员库，将符合条件的评估人员、上门护理人员信息录入信息系统，实行动态管理，并做好长护险信息系统各类用户的培训和指导工作。承办机构对信息系统进行日常维护，并对参保人信息以及相关资料承担保密责任，不得用于其他用途，不得向第三方泄露。信息系统所有权归采购人。</w:t>
      </w:r>
    </w:p>
    <w:p w14:paraId="21973BD4">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六、保障内容</w:t>
      </w:r>
    </w:p>
    <w:p w14:paraId="0AAB2D8C">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（一）保障对象</w:t>
      </w:r>
    </w:p>
    <w:p w14:paraId="6E501897">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目前参保对象为全市基本医疗保险参保人员。办理基本医保参保缴费手续时，同步参加长护险。长护险制度运行期间，根据市经济发展水平、基金运行情况、护理产业发展等情况，调整筹资标准和待遇水平等政策。若后期筹资和待遇政策调整，按新政策执行。</w:t>
      </w:r>
    </w:p>
    <w:p w14:paraId="4D0A83B2">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2025年度全市基本医保参保人数为449.26万人。各辖区参保人数如下：</w:t>
      </w:r>
    </w:p>
    <w:p w14:paraId="7A272E91">
      <w:pPr>
        <w:spacing w:line="500" w:lineRule="exact"/>
        <w:ind w:firstLine="480"/>
        <w:jc w:val="center"/>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eastAsia="黑体" w:cs="Times New Roman"/>
          <w:color w:val="auto"/>
          <w:sz w:val="28"/>
          <w:szCs w:val="28"/>
          <w:highlight w:val="none"/>
          <w:lang w:val="en-US" w:eastAsia="zh-CN"/>
        </w:rPr>
        <w:t>2025年度各辖区基本医保参保人数（万人）</w:t>
      </w:r>
    </w:p>
    <w:tbl>
      <w:tblPr>
        <w:tblStyle w:val="37"/>
        <w:tblpPr w:leftFromText="180" w:rightFromText="180" w:vertAnchor="text" w:horzAnchor="page" w:tblpX="1792" w:tblpY="497"/>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7"/>
        <w:gridCol w:w="2961"/>
        <w:gridCol w:w="3524"/>
      </w:tblGrid>
      <w:tr w14:paraId="01BE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5" w:type="pct"/>
            <w:noWrap w:val="0"/>
            <w:vAlign w:val="top"/>
          </w:tcPr>
          <w:p w14:paraId="3C393F86">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辖区</w:t>
            </w:r>
          </w:p>
        </w:tc>
        <w:tc>
          <w:tcPr>
            <w:tcW w:w="1737" w:type="pct"/>
            <w:noWrap w:val="0"/>
            <w:vAlign w:val="top"/>
          </w:tcPr>
          <w:p w14:paraId="12822AE6">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职工医保参保人数</w:t>
            </w:r>
          </w:p>
        </w:tc>
        <w:tc>
          <w:tcPr>
            <w:tcW w:w="2067" w:type="pct"/>
            <w:noWrap w:val="0"/>
            <w:vAlign w:val="top"/>
          </w:tcPr>
          <w:p w14:paraId="1D1DB67C">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城乡居民医保参保人数</w:t>
            </w:r>
          </w:p>
        </w:tc>
      </w:tr>
      <w:tr w14:paraId="67A2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5" w:type="pct"/>
            <w:noWrap w:val="0"/>
            <w:vAlign w:val="center"/>
          </w:tcPr>
          <w:p w14:paraId="067B4212">
            <w:pPr>
              <w:widowControl/>
              <w:spacing w:after="0" w:line="560" w:lineRule="exact"/>
              <w:jc w:val="center"/>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市本级</w:t>
            </w:r>
          </w:p>
          <w:p w14:paraId="4BBA532D">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eastAsiaTheme="majorEastAsia"/>
                <w:b/>
                <w:bCs/>
                <w:color w:val="auto"/>
                <w:sz w:val="24"/>
                <w:szCs w:val="24"/>
                <w:highlight w:val="none"/>
                <w:lang w:val="en-US" w:eastAsia="zh-CN" w:bidi="ar-SA"/>
              </w:rPr>
              <w:t>（不含赣榆区）</w:t>
            </w:r>
          </w:p>
        </w:tc>
        <w:tc>
          <w:tcPr>
            <w:tcW w:w="1737" w:type="pct"/>
            <w:shd w:val="clear" w:color="auto" w:fill="auto"/>
            <w:noWrap w:val="0"/>
            <w:vAlign w:val="center"/>
          </w:tcPr>
          <w:p w14:paraId="27938464">
            <w:pPr>
              <w:widowControl/>
              <w:spacing w:after="0" w:line="560" w:lineRule="exact"/>
              <w:jc w:val="center"/>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64.39</w:t>
            </w:r>
          </w:p>
        </w:tc>
        <w:tc>
          <w:tcPr>
            <w:tcW w:w="2067" w:type="pct"/>
            <w:noWrap w:val="0"/>
            <w:vAlign w:val="center"/>
          </w:tcPr>
          <w:p w14:paraId="6070DB62">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57.41</w:t>
            </w:r>
          </w:p>
        </w:tc>
      </w:tr>
      <w:tr w14:paraId="6F14A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5" w:type="pct"/>
            <w:noWrap w:val="0"/>
            <w:vAlign w:val="center"/>
          </w:tcPr>
          <w:p w14:paraId="3FF75F60">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赣榆区</w:t>
            </w:r>
          </w:p>
        </w:tc>
        <w:tc>
          <w:tcPr>
            <w:tcW w:w="1737" w:type="pct"/>
            <w:shd w:val="clear" w:color="auto" w:fill="auto"/>
            <w:noWrap w:val="0"/>
            <w:vAlign w:val="center"/>
          </w:tcPr>
          <w:p w14:paraId="09D2DD26">
            <w:pPr>
              <w:widowControl/>
              <w:spacing w:after="0" w:line="560" w:lineRule="exact"/>
              <w:jc w:val="center"/>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11.15</w:t>
            </w:r>
          </w:p>
        </w:tc>
        <w:tc>
          <w:tcPr>
            <w:tcW w:w="2067" w:type="pct"/>
            <w:noWrap w:val="0"/>
            <w:vAlign w:val="center"/>
          </w:tcPr>
          <w:p w14:paraId="061B8374">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82.14</w:t>
            </w:r>
          </w:p>
        </w:tc>
      </w:tr>
      <w:tr w14:paraId="33E9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5" w:type="pct"/>
            <w:noWrap w:val="0"/>
            <w:vAlign w:val="center"/>
          </w:tcPr>
          <w:p w14:paraId="01BB3F79">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东海县</w:t>
            </w:r>
          </w:p>
        </w:tc>
        <w:tc>
          <w:tcPr>
            <w:tcW w:w="1737" w:type="pct"/>
            <w:shd w:val="clear" w:color="auto" w:fill="auto"/>
            <w:noWrap w:val="0"/>
            <w:vAlign w:val="center"/>
          </w:tcPr>
          <w:p w14:paraId="770E1491">
            <w:pPr>
              <w:widowControl/>
              <w:spacing w:after="0" w:line="560" w:lineRule="exact"/>
              <w:jc w:val="center"/>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10.56</w:t>
            </w:r>
          </w:p>
        </w:tc>
        <w:tc>
          <w:tcPr>
            <w:tcW w:w="2067" w:type="pct"/>
            <w:noWrap w:val="0"/>
            <w:vAlign w:val="center"/>
          </w:tcPr>
          <w:p w14:paraId="2FCEEBDE">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86.71</w:t>
            </w:r>
          </w:p>
        </w:tc>
      </w:tr>
      <w:tr w14:paraId="5D6B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5" w:type="pct"/>
            <w:noWrap w:val="0"/>
            <w:vAlign w:val="center"/>
          </w:tcPr>
          <w:p w14:paraId="5C499667">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灌云县</w:t>
            </w:r>
          </w:p>
        </w:tc>
        <w:tc>
          <w:tcPr>
            <w:tcW w:w="1737" w:type="pct"/>
            <w:shd w:val="clear" w:color="auto" w:fill="auto"/>
            <w:noWrap w:val="0"/>
            <w:vAlign w:val="center"/>
          </w:tcPr>
          <w:p w14:paraId="2EA4D893">
            <w:pPr>
              <w:widowControl/>
              <w:spacing w:after="0" w:line="560" w:lineRule="exact"/>
              <w:jc w:val="center"/>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8.59</w:t>
            </w:r>
          </w:p>
        </w:tc>
        <w:tc>
          <w:tcPr>
            <w:tcW w:w="2067" w:type="pct"/>
            <w:noWrap w:val="0"/>
            <w:vAlign w:val="center"/>
          </w:tcPr>
          <w:p w14:paraId="1F3EB136">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66.44</w:t>
            </w:r>
          </w:p>
        </w:tc>
      </w:tr>
      <w:tr w14:paraId="5C1B0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5" w:type="pct"/>
            <w:noWrap w:val="0"/>
            <w:vAlign w:val="center"/>
          </w:tcPr>
          <w:p w14:paraId="38CBA000">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灌南县</w:t>
            </w:r>
          </w:p>
        </w:tc>
        <w:tc>
          <w:tcPr>
            <w:tcW w:w="1737" w:type="pct"/>
            <w:shd w:val="clear" w:color="auto" w:fill="auto"/>
            <w:noWrap w:val="0"/>
            <w:vAlign w:val="center"/>
          </w:tcPr>
          <w:p w14:paraId="4068EFD2">
            <w:pPr>
              <w:widowControl/>
              <w:spacing w:after="0" w:line="560" w:lineRule="exact"/>
              <w:jc w:val="center"/>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7.91</w:t>
            </w:r>
          </w:p>
        </w:tc>
        <w:tc>
          <w:tcPr>
            <w:tcW w:w="2067" w:type="pct"/>
            <w:noWrap w:val="0"/>
            <w:vAlign w:val="center"/>
          </w:tcPr>
          <w:p w14:paraId="2FF8BCD2">
            <w:pPr>
              <w:widowControl/>
              <w:spacing w:after="0" w:line="560" w:lineRule="exact"/>
              <w:jc w:val="center"/>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53.96</w:t>
            </w:r>
          </w:p>
        </w:tc>
      </w:tr>
      <w:tr w14:paraId="6A48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5" w:type="pct"/>
            <w:noWrap w:val="0"/>
            <w:vAlign w:val="center"/>
          </w:tcPr>
          <w:p w14:paraId="5A0F1B35">
            <w:pPr>
              <w:widowControl/>
              <w:spacing w:after="0" w:line="560" w:lineRule="exact"/>
              <w:jc w:val="center"/>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合计</w:t>
            </w:r>
          </w:p>
        </w:tc>
        <w:tc>
          <w:tcPr>
            <w:tcW w:w="1737" w:type="pct"/>
            <w:shd w:val="clear" w:color="auto" w:fill="auto"/>
            <w:noWrap w:val="0"/>
            <w:vAlign w:val="center"/>
          </w:tcPr>
          <w:p w14:paraId="44EAA5B5">
            <w:pPr>
              <w:widowControl/>
              <w:spacing w:after="0" w:line="560" w:lineRule="exact"/>
              <w:jc w:val="center"/>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102.60</w:t>
            </w:r>
          </w:p>
        </w:tc>
        <w:tc>
          <w:tcPr>
            <w:tcW w:w="2067" w:type="pct"/>
            <w:noWrap w:val="0"/>
            <w:vAlign w:val="center"/>
          </w:tcPr>
          <w:p w14:paraId="36DB7F83">
            <w:pPr>
              <w:widowControl/>
              <w:spacing w:after="0" w:line="560" w:lineRule="exact"/>
              <w:jc w:val="center"/>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346.66</w:t>
            </w:r>
          </w:p>
        </w:tc>
      </w:tr>
    </w:tbl>
    <w:p w14:paraId="594978B4">
      <w:pPr>
        <w:spacing w:line="500" w:lineRule="exact"/>
        <w:ind w:firstLine="480"/>
        <w:jc w:val="center"/>
        <w:rPr>
          <w:rFonts w:hint="default" w:ascii="Times New Roman" w:hAnsi="Times New Roman" w:eastAsia="黑体" w:cs="Times New Roman"/>
          <w:color w:val="auto"/>
          <w:sz w:val="28"/>
          <w:szCs w:val="28"/>
          <w:highlight w:val="none"/>
          <w:lang w:val="en-US" w:eastAsia="zh-CN"/>
        </w:rPr>
      </w:pPr>
    </w:p>
    <w:p w14:paraId="169E001E">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（二）保障范围及补偿比例</w:t>
      </w:r>
    </w:p>
    <w:p w14:paraId="260F1145">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长护险参保人员因年老、疾病、伤残等原因，基本生活不能自理，经医疗机构或康复机构规范诊疗，失能状态持续6个月以上的，经申请评估符合失能等级标准的，可享受长护险待遇。失能等级评估为重度失能等级的参保人员（以下简称“失能人员”），自相关手续办结次日起可享受长护险待遇。如政策调整，按新政策执行。</w:t>
      </w:r>
    </w:p>
    <w:p w14:paraId="37C2184A">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职工长护险：失能人员本人或其代理人可选择通过入住定点护理机构接受护理服务、居家接受定点护理机构护理服务、居家接受定点护理机构护理服务和亲情照护相结合等方式，享受长护险待遇。失能人员在市内接受护理服务期间，发生的符合长护险护理服务项目范围和标准的费用，不设起付线，由长护险基金按以下标准定额支付：</w:t>
      </w:r>
    </w:p>
    <w:p w14:paraId="124CEFE5">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（1）选择入住定点护理机构中的医疗机构护理床位接受护理服务的，由长护险基金按60元/天的标准与定点护理机构结算；</w:t>
      </w:r>
    </w:p>
    <w:p w14:paraId="20A90D93">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（2）选择入住定点护理机构中的养老服务机构护理床位接受护理服务的，由长护险基金按50元/天的标准与定点护理机构结算；</w:t>
      </w:r>
    </w:p>
    <w:p w14:paraId="7555F2EC">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3）居家接受定点护理机构上门提供护理服务的，每月可享受10次上门护理服务，每次服务时长不低于1.5小时，由长护险基金按每人每次90元的标准与定点护理机构结算，因故导致上门护理服务低于规定次数的，按实际服务次数结算；</w:t>
      </w:r>
    </w:p>
    <w:p w14:paraId="03AB9EDA">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4）居家接受定点护理机构上门提供护理服务和亲情照护相结合的，每月可享受不超过6次上门护理服务，每次服务时长不低于1.5小时，由长护险基金按每人每次90元的标准与定点护理机构结算。同时，长护险基金按10元/天的标准支付亲情照护补贴。亲情照护提供者需接受上门护理人员培训或取得相关部门认定的技能等级证书；</w:t>
      </w:r>
    </w:p>
    <w:p w14:paraId="386FC168">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（5）在市外居住的失能人员，由长护险基金按20元/天的标准支付护理服务补助。</w:t>
      </w:r>
    </w:p>
    <w:p w14:paraId="29900F29">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2、城乡居民长护险：待遇享受不设起付标准，在市内接受护理服务期间，发生的符合长期护理保险护理服务项目范围和标准的费用，由长期护理保险基金按以下标准定额支付：</w:t>
      </w:r>
    </w:p>
    <w:p w14:paraId="1A3618BC">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（1）选择入住定点护理机构中的医疗机构护理床位接受护理服务的，按60元/天的标准与定点护理机构结算；</w:t>
      </w:r>
    </w:p>
    <w:p w14:paraId="26888392">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（2）选择入住定点护理机构中的养老服务机构护理床位接受护理服务的，按50元/天的标准与定点护理机构结算；</w:t>
      </w:r>
    </w:p>
    <w:p w14:paraId="6C7795BE">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3）居家接受定点护理机构上门提供护理服务的，每月可享受6次上门护理服务，每次服务时长不低于1.5小时，由长期护理保险基金按每人每次90元的标准与定点护理机构结算，因故导致上门护理服务低于规定次数的，按实际服务次数结算。</w:t>
      </w:r>
    </w:p>
    <w:p w14:paraId="4B4DA51C">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（三）</w:t>
      </w:r>
      <w:r>
        <w:rPr>
          <w:rFonts w:hint="default" w:ascii="Times New Roman" w:hAnsi="Times New Roman" w:cs="Times New Roman"/>
          <w:b/>
          <w:bCs/>
          <w:color w:val="auto"/>
          <w:sz w:val="24"/>
          <w:highlight w:val="none"/>
          <w:lang w:val="en-US" w:eastAsia="zh-CN"/>
        </w:rPr>
        <w:t>护理</w:t>
      </w:r>
      <w:r>
        <w:rPr>
          <w:rFonts w:hint="default" w:ascii="Times New Roman" w:hAnsi="Times New Roman" w:eastAsia="宋体" w:cs="Times New Roman"/>
          <w:b/>
          <w:bCs/>
          <w:color w:val="auto"/>
          <w:sz w:val="24"/>
          <w:highlight w:val="none"/>
          <w:lang w:val="en-US" w:eastAsia="zh-CN"/>
        </w:rPr>
        <w:t>机构选择</w:t>
      </w:r>
    </w:p>
    <w:p w14:paraId="420093E9">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全市范围内依法成立的符合长护险相关文件规定的医院、护理院、社区卫生服务中心、乡镇卫生院等医疗机构，养老服务机构，残疾人托养康复机构，以及能够提供居家护理服务的其他服务机构均可按规定向辖区医保经办机构申请作为定点护理机构。</w:t>
      </w:r>
    </w:p>
    <w:p w14:paraId="36321D68">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定点护理机构应严格按照评估机构评估结果为辖区内参保人员办理入住等相关手续，认真核对参保人员身份，对享受长护险待遇的失能人员，应按规定提供长期护理服务。</w:t>
      </w:r>
    </w:p>
    <w:p w14:paraId="7A823D58">
      <w:pPr>
        <w:widowControl/>
        <w:spacing w:line="360" w:lineRule="auto"/>
        <w:ind w:firstLine="482"/>
        <w:jc w:val="lef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（四）</w:t>
      </w:r>
      <w:r>
        <w:rPr>
          <w:rFonts w:hint="default" w:ascii="Times New Roman" w:hAnsi="Times New Roman" w:cs="Times New Roman"/>
          <w:b/>
          <w:bCs/>
          <w:color w:val="auto"/>
          <w:sz w:val="24"/>
          <w:szCs w:val="24"/>
          <w:highlight w:val="none"/>
          <w:lang w:val="en-US" w:eastAsia="zh-CN"/>
        </w:rPr>
        <w:t>保障</w:t>
      </w:r>
      <w:r>
        <w:rPr>
          <w:rFonts w:hint="default" w:ascii="Times New Roman" w:hAnsi="Times New Roman" w:eastAsia="宋体" w:cs="Times New Roman"/>
          <w:b/>
          <w:bCs/>
          <w:color w:val="auto"/>
          <w:sz w:val="24"/>
          <w:szCs w:val="24"/>
          <w:highlight w:val="none"/>
          <w:lang w:val="en-US" w:eastAsia="zh-CN"/>
        </w:rPr>
        <w:t>服务结算支付</w:t>
      </w:r>
    </w:p>
    <w:p w14:paraId="2C58C742">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失能人员在市内接受护理服务期间，发生的符合长护险护理服务项目范围和标准的费用，由各辖区医保经办机构与定点护理机构结算，从长护险基金中支付；超出长护险护理服务项目范围和标准的护理费用，长护险基金不予支付，由失能人员个人承担并与定点护理机构直接结算。</w:t>
      </w:r>
    </w:p>
    <w:p w14:paraId="34C27DB6">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2、参保人初次申请失能等级评估费用，由各辖区医保经办机构与定点评估机构结算，从长护险基金中支付。</w:t>
      </w:r>
    </w:p>
    <w:p w14:paraId="66CE06A3">
      <w:pPr>
        <w:widowControl/>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七</w:t>
      </w:r>
      <w:r>
        <w:rPr>
          <w:rFonts w:hint="default" w:ascii="Times New Roman" w:hAnsi="Times New Roman" w:eastAsia="宋体" w:cs="Times New Roman"/>
          <w:b/>
          <w:bCs/>
          <w:color w:val="auto"/>
          <w:sz w:val="24"/>
          <w:highlight w:val="none"/>
        </w:rPr>
        <w:t>、</w:t>
      </w:r>
      <w:r>
        <w:rPr>
          <w:rFonts w:hint="default" w:ascii="Times New Roman" w:hAnsi="Times New Roman" w:cs="Times New Roman"/>
          <w:b/>
          <w:bCs/>
          <w:color w:val="auto"/>
          <w:sz w:val="24"/>
          <w:highlight w:val="none"/>
          <w:lang w:val="en-US" w:eastAsia="zh-CN"/>
        </w:rPr>
        <w:t>资金支付及方式</w:t>
      </w:r>
    </w:p>
    <w:p w14:paraId="5FD87DA1">
      <w:pPr>
        <w:spacing w:line="360" w:lineRule="auto"/>
        <w:ind w:firstLine="482"/>
        <w:jc w:val="left"/>
        <w:rPr>
          <w:rFonts w:hint="default" w:ascii="Times New Roman" w:hAnsi="Times New Roman" w:cs="Times New Roman" w:eastAsiaTheme="majorEastAsia"/>
          <w:b/>
          <w:bCs/>
          <w:color w:val="auto"/>
          <w:sz w:val="24"/>
          <w:szCs w:val="24"/>
          <w:highlight w:val="none"/>
          <w:lang w:val="en-US" w:eastAsia="zh-CN"/>
        </w:rPr>
      </w:pPr>
      <w:r>
        <w:rPr>
          <w:rFonts w:hint="default" w:ascii="Times New Roman" w:hAnsi="Times New Roman" w:cs="Times New Roman" w:eastAsiaTheme="majorEastAsia"/>
          <w:b/>
          <w:bCs/>
          <w:color w:val="auto"/>
          <w:sz w:val="24"/>
          <w:szCs w:val="24"/>
          <w:highlight w:val="none"/>
          <w:lang w:val="en-US" w:eastAsia="zh-CN"/>
        </w:rPr>
        <w:t>（一）保费和承办服务费</w:t>
      </w:r>
    </w:p>
    <w:p w14:paraId="5CF714DB">
      <w:pPr>
        <w:spacing w:line="360" w:lineRule="auto"/>
        <w:ind w:firstLine="480"/>
        <w:jc w:val="lef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1、</w:t>
      </w:r>
      <w:r>
        <w:rPr>
          <w:rFonts w:hint="default" w:ascii="Times New Roman" w:hAnsi="Times New Roman" w:cs="Times New Roman" w:eastAsiaTheme="majorEastAsia"/>
          <w:color w:val="auto"/>
          <w:sz w:val="24"/>
          <w:highlight w:val="none"/>
        </w:rPr>
        <w:t>各</w:t>
      </w:r>
      <w:r>
        <w:rPr>
          <w:rFonts w:hint="default" w:ascii="Times New Roman" w:hAnsi="Times New Roman" w:cs="Times New Roman"/>
          <w:color w:val="auto"/>
          <w:sz w:val="24"/>
          <w:highlight w:val="none"/>
          <w:lang w:val="en-US" w:eastAsia="zh-CN"/>
        </w:rPr>
        <w:t>辖</w:t>
      </w:r>
      <w:r>
        <w:rPr>
          <w:rFonts w:hint="default" w:ascii="Times New Roman" w:hAnsi="Times New Roman" w:cs="Times New Roman" w:eastAsiaTheme="majorEastAsia"/>
          <w:color w:val="auto"/>
          <w:sz w:val="24"/>
          <w:highlight w:val="none"/>
        </w:rPr>
        <w:t>区</w:t>
      </w:r>
      <w:r>
        <w:rPr>
          <w:rFonts w:hint="default" w:ascii="Times New Roman" w:hAnsi="Times New Roman" w:cs="Times New Roman"/>
          <w:color w:val="auto"/>
          <w:sz w:val="24"/>
          <w:highlight w:val="none"/>
          <w:lang w:val="en-US" w:eastAsia="zh-CN"/>
        </w:rPr>
        <w:t>医保经办机构</w:t>
      </w:r>
      <w:r>
        <w:rPr>
          <w:rFonts w:hint="default" w:ascii="Times New Roman" w:hAnsi="Times New Roman" w:cs="Times New Roman" w:eastAsiaTheme="majorEastAsia"/>
          <w:color w:val="auto"/>
          <w:sz w:val="24"/>
          <w:highlight w:val="none"/>
        </w:rPr>
        <w:t>按</w:t>
      </w:r>
      <w:r>
        <w:rPr>
          <w:rFonts w:hint="default" w:ascii="Times New Roman" w:hAnsi="Times New Roman" w:cs="Times New Roman"/>
          <w:color w:val="auto"/>
          <w:sz w:val="24"/>
          <w:highlight w:val="none"/>
          <w:lang w:val="en-US" w:eastAsia="zh-CN"/>
        </w:rPr>
        <w:t>季度</w:t>
      </w:r>
      <w:r>
        <w:rPr>
          <w:rFonts w:hint="default" w:ascii="Times New Roman" w:hAnsi="Times New Roman" w:cs="Times New Roman" w:eastAsiaTheme="majorEastAsia"/>
          <w:color w:val="auto"/>
          <w:sz w:val="24"/>
          <w:highlight w:val="none"/>
        </w:rPr>
        <w:t>向承办机构</w:t>
      </w:r>
      <w:r>
        <w:rPr>
          <w:rFonts w:hint="default" w:ascii="Times New Roman" w:hAnsi="Times New Roman" w:cs="Times New Roman"/>
          <w:color w:val="auto"/>
          <w:sz w:val="24"/>
          <w:highlight w:val="none"/>
          <w:lang w:val="en-US" w:eastAsia="zh-CN"/>
        </w:rPr>
        <w:t>按辖区内中标比例</w:t>
      </w:r>
      <w:r>
        <w:rPr>
          <w:rFonts w:hint="default" w:ascii="Times New Roman" w:hAnsi="Times New Roman" w:cs="Times New Roman" w:eastAsiaTheme="majorEastAsia"/>
          <w:color w:val="auto"/>
          <w:sz w:val="24"/>
          <w:highlight w:val="none"/>
        </w:rPr>
        <w:t>拨付长期护理保险保费，每年</w:t>
      </w:r>
      <w:r>
        <w:rPr>
          <w:rFonts w:hint="default" w:ascii="Times New Roman" w:hAnsi="Times New Roman" w:cs="Times New Roman"/>
          <w:color w:val="auto"/>
          <w:sz w:val="24"/>
          <w:highlight w:val="none"/>
          <w:lang w:val="en-US" w:eastAsia="zh-CN"/>
        </w:rPr>
        <w:t>1月份按辖区长护险基金筹资总额的25%预拨，</w:t>
      </w:r>
      <w:r>
        <w:rPr>
          <w:rFonts w:hint="default" w:ascii="Times New Roman" w:hAnsi="Times New Roman" w:cs="Times New Roman" w:eastAsiaTheme="majorEastAsia"/>
          <w:color w:val="auto"/>
          <w:sz w:val="24"/>
          <w:highlight w:val="none"/>
        </w:rPr>
        <w:t>后续</w:t>
      </w:r>
      <w:r>
        <w:rPr>
          <w:rFonts w:hint="default" w:ascii="Times New Roman" w:hAnsi="Times New Roman" w:cs="Times New Roman"/>
          <w:color w:val="auto"/>
          <w:sz w:val="24"/>
          <w:highlight w:val="none"/>
          <w:lang w:val="en-US" w:eastAsia="zh-CN"/>
        </w:rPr>
        <w:t>每季度首月</w:t>
      </w:r>
      <w:r>
        <w:rPr>
          <w:rFonts w:hint="default" w:ascii="Times New Roman" w:hAnsi="Times New Roman" w:cs="Times New Roman" w:eastAsiaTheme="majorEastAsia"/>
          <w:color w:val="auto"/>
          <w:sz w:val="24"/>
          <w:highlight w:val="none"/>
        </w:rPr>
        <w:t>再根据上一季度实际结付费用上浮</w:t>
      </w:r>
      <w:r>
        <w:rPr>
          <w:rFonts w:hint="default" w:ascii="Times New Roman" w:hAnsi="Times New Roman" w:cs="Times New Roman"/>
          <w:color w:val="auto"/>
          <w:sz w:val="24"/>
          <w:highlight w:val="none"/>
          <w:lang w:val="en-US" w:eastAsia="zh-CN"/>
        </w:rPr>
        <w:t>一定比例</w:t>
      </w:r>
      <w:r>
        <w:rPr>
          <w:rFonts w:hint="default" w:ascii="Times New Roman" w:hAnsi="Times New Roman" w:cs="Times New Roman" w:eastAsiaTheme="majorEastAsia"/>
          <w:color w:val="auto"/>
          <w:sz w:val="24"/>
          <w:highlight w:val="none"/>
        </w:rPr>
        <w:t>向</w:t>
      </w:r>
      <w:r>
        <w:rPr>
          <w:rFonts w:hint="default" w:ascii="Times New Roman" w:hAnsi="Times New Roman" w:cs="Times New Roman"/>
          <w:color w:val="auto"/>
          <w:sz w:val="24"/>
          <w:highlight w:val="none"/>
          <w:lang w:val="en-US" w:eastAsia="zh-CN"/>
        </w:rPr>
        <w:t>承办</w:t>
      </w:r>
      <w:r>
        <w:rPr>
          <w:rFonts w:hint="default" w:ascii="Times New Roman" w:hAnsi="Times New Roman" w:cs="Times New Roman" w:eastAsiaTheme="majorEastAsia"/>
          <w:color w:val="auto"/>
          <w:sz w:val="24"/>
          <w:highlight w:val="none"/>
        </w:rPr>
        <w:t>机构按</w:t>
      </w:r>
      <w:r>
        <w:rPr>
          <w:rFonts w:hint="default" w:ascii="Times New Roman" w:hAnsi="Times New Roman" w:cs="Times New Roman"/>
          <w:color w:val="auto"/>
          <w:sz w:val="24"/>
          <w:highlight w:val="none"/>
          <w:lang w:val="en-US" w:eastAsia="zh-CN"/>
        </w:rPr>
        <w:t>辖区内</w:t>
      </w:r>
      <w:r>
        <w:rPr>
          <w:rFonts w:hint="default" w:ascii="Times New Roman" w:hAnsi="Times New Roman" w:cs="Times New Roman" w:eastAsiaTheme="majorEastAsia"/>
          <w:color w:val="auto"/>
          <w:sz w:val="24"/>
          <w:highlight w:val="none"/>
        </w:rPr>
        <w:t>中标比例拨付</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lang w:val="en-US" w:eastAsia="zh-CN"/>
        </w:rPr>
        <w:t>原则上按上浮20%确定。每年1月</w:t>
      </w:r>
      <w:r>
        <w:rPr>
          <w:rFonts w:hint="eastAsia" w:cs="Times New Roman"/>
          <w:color w:val="auto"/>
          <w:sz w:val="24"/>
          <w:highlight w:val="none"/>
          <w:lang w:val="en-US" w:eastAsia="zh-CN"/>
        </w:rPr>
        <w:t>初10</w:t>
      </w:r>
      <w:r>
        <w:rPr>
          <w:rFonts w:hint="default" w:ascii="Times New Roman" w:hAnsi="Times New Roman" w:cs="Times New Roman"/>
          <w:color w:val="auto"/>
          <w:sz w:val="24"/>
          <w:highlight w:val="none"/>
          <w:lang w:val="en-US" w:eastAsia="zh-CN"/>
        </w:rPr>
        <w:t>个工作日内，承办机构按辖区内中标比例向医保经办机构支付周转金，用于支付长护险待遇费用。周转金为各辖区长护险筹资总额的5%，每年年底前返还。</w:t>
      </w:r>
    </w:p>
    <w:p w14:paraId="4D858049">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各辖区主承办机构于每季度</w:t>
      </w:r>
      <w:r>
        <w:rPr>
          <w:rFonts w:hint="eastAsia" w:cs="Times New Roman" w:eastAsiaTheme="majorEastAsia"/>
          <w:color w:val="auto"/>
          <w:sz w:val="24"/>
          <w:szCs w:val="24"/>
          <w:highlight w:val="none"/>
          <w:lang w:val="en-US" w:eastAsia="zh-CN"/>
        </w:rPr>
        <w:t>初</w:t>
      </w:r>
      <w:r>
        <w:rPr>
          <w:rFonts w:hint="default" w:ascii="Times New Roman" w:hAnsi="Times New Roman" w:cs="Times New Roman" w:eastAsiaTheme="majorEastAsia"/>
          <w:color w:val="auto"/>
          <w:sz w:val="24"/>
          <w:szCs w:val="24"/>
          <w:highlight w:val="none"/>
          <w:lang w:val="en-US" w:eastAsia="zh-CN"/>
        </w:rPr>
        <w:t>10个工作日内，将该辖区上季度长护险费用情况报送各辖区医保经办机构。各辖区医保经办机构审核确认后，每季度首月</w:t>
      </w:r>
      <w:r>
        <w:rPr>
          <w:rFonts w:hint="eastAsia" w:cs="Times New Roman" w:eastAsiaTheme="majorEastAsia"/>
          <w:color w:val="auto"/>
          <w:sz w:val="24"/>
          <w:szCs w:val="24"/>
          <w:highlight w:val="none"/>
          <w:lang w:val="en-US" w:eastAsia="zh-CN"/>
        </w:rPr>
        <w:t>20</w:t>
      </w:r>
      <w:r>
        <w:rPr>
          <w:rFonts w:hint="default" w:ascii="Times New Roman" w:hAnsi="Times New Roman" w:cs="Times New Roman" w:eastAsiaTheme="majorEastAsia"/>
          <w:color w:val="auto"/>
          <w:sz w:val="24"/>
          <w:szCs w:val="24"/>
          <w:highlight w:val="none"/>
          <w:lang w:val="en-US" w:eastAsia="zh-CN"/>
        </w:rPr>
        <w:t>个工作日内拨付保费。</w:t>
      </w:r>
    </w:p>
    <w:p w14:paraId="17AF8496">
      <w:pPr>
        <w:spacing w:line="360" w:lineRule="auto"/>
        <w:ind w:firstLine="48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2、每月</w:t>
      </w:r>
      <w:r>
        <w:rPr>
          <w:rFonts w:hint="eastAsia" w:cs="Times New Roman" w:eastAsiaTheme="majorEastAsia"/>
          <w:color w:val="auto"/>
          <w:sz w:val="24"/>
          <w:szCs w:val="24"/>
          <w:highlight w:val="none"/>
          <w:lang w:val="en-US" w:eastAsia="zh-CN"/>
        </w:rPr>
        <w:t>初</w:t>
      </w:r>
      <w:r>
        <w:rPr>
          <w:rFonts w:hint="default" w:ascii="Times New Roman" w:hAnsi="Times New Roman" w:cs="Times New Roman" w:eastAsiaTheme="majorEastAsia"/>
          <w:color w:val="auto"/>
          <w:sz w:val="24"/>
          <w:szCs w:val="24"/>
          <w:highlight w:val="none"/>
          <w:lang w:val="en-US" w:eastAsia="zh-CN"/>
        </w:rPr>
        <w:t>10</w:t>
      </w:r>
      <w:r>
        <w:rPr>
          <w:rFonts w:hint="eastAsia" w:cs="Times New Roman" w:eastAsiaTheme="majorEastAsia"/>
          <w:color w:val="auto"/>
          <w:sz w:val="24"/>
          <w:szCs w:val="24"/>
          <w:highlight w:val="none"/>
          <w:lang w:val="en-US" w:eastAsia="zh-CN"/>
        </w:rPr>
        <w:t>个工作</w:t>
      </w:r>
      <w:r>
        <w:rPr>
          <w:rFonts w:hint="default" w:ascii="Times New Roman" w:hAnsi="Times New Roman" w:cs="Times New Roman" w:eastAsiaTheme="majorEastAsia"/>
          <w:color w:val="auto"/>
          <w:sz w:val="24"/>
          <w:szCs w:val="24"/>
          <w:highlight w:val="none"/>
          <w:lang w:val="en-US" w:eastAsia="zh-CN"/>
        </w:rPr>
        <w:t>日</w:t>
      </w:r>
      <w:r>
        <w:rPr>
          <w:rFonts w:hint="eastAsia" w:cs="Times New Roman" w:eastAsiaTheme="majorEastAsia"/>
          <w:color w:val="auto"/>
          <w:sz w:val="24"/>
          <w:szCs w:val="24"/>
          <w:highlight w:val="none"/>
          <w:lang w:val="en-US" w:eastAsia="zh-CN"/>
        </w:rPr>
        <w:t>内</w:t>
      </w:r>
      <w:r>
        <w:rPr>
          <w:rFonts w:hint="default" w:ascii="Times New Roman" w:hAnsi="Times New Roman" w:cs="Times New Roman" w:eastAsiaTheme="majorEastAsia"/>
          <w:color w:val="auto"/>
          <w:sz w:val="24"/>
          <w:szCs w:val="24"/>
          <w:highlight w:val="none"/>
          <w:lang w:val="en-US" w:eastAsia="zh-CN"/>
        </w:rPr>
        <w:t>，各辖区主承办机构</w:t>
      </w:r>
      <w:r>
        <w:rPr>
          <w:rFonts w:hint="default" w:ascii="Times New Roman" w:hAnsi="Times New Roman" w:cs="Times New Roman" w:eastAsiaTheme="majorEastAsia"/>
          <w:color w:val="auto"/>
          <w:sz w:val="24"/>
          <w:highlight w:val="none"/>
        </w:rPr>
        <w:t>完成上月应支付待遇费用的核算、对账及审核，并将费用明细、结算报表等签字并报送至</w:t>
      </w:r>
      <w:r>
        <w:rPr>
          <w:rFonts w:hint="default" w:ascii="Times New Roman" w:hAnsi="Times New Roman" w:cs="Times New Roman"/>
          <w:color w:val="auto"/>
          <w:sz w:val="24"/>
          <w:highlight w:val="none"/>
          <w:lang w:eastAsia="zh-CN"/>
        </w:rPr>
        <w:t>各</w:t>
      </w:r>
      <w:r>
        <w:rPr>
          <w:rFonts w:hint="default" w:ascii="Times New Roman" w:hAnsi="Times New Roman" w:cs="Times New Roman"/>
          <w:color w:val="auto"/>
          <w:sz w:val="24"/>
          <w:highlight w:val="none"/>
          <w:lang w:val="en-US" w:eastAsia="zh-CN"/>
        </w:rPr>
        <w:t>辖区医保经办机构，同时书面告知该辖区次承办机构费用情况。各承办机构应按照辖区内中标比例</w:t>
      </w:r>
      <w:r>
        <w:rPr>
          <w:rFonts w:hint="default" w:ascii="Times New Roman" w:hAnsi="Times New Roman" w:cs="Times New Roman"/>
          <w:color w:val="auto"/>
          <w:sz w:val="24"/>
          <w:highlight w:val="none"/>
        </w:rPr>
        <w:t>于</w:t>
      </w:r>
      <w:r>
        <w:rPr>
          <w:rFonts w:hint="eastAsia" w:cs="Times New Roman"/>
          <w:color w:val="auto"/>
          <w:sz w:val="24"/>
          <w:highlight w:val="none"/>
          <w:lang w:val="en-US" w:eastAsia="zh-CN"/>
        </w:rPr>
        <w:t>15个工作</w:t>
      </w:r>
      <w:r>
        <w:rPr>
          <w:rFonts w:hint="default" w:ascii="Times New Roman" w:hAnsi="Times New Roman" w:cs="Times New Roman"/>
          <w:color w:val="auto"/>
          <w:sz w:val="24"/>
          <w:highlight w:val="none"/>
        </w:rPr>
        <w:t>日</w:t>
      </w:r>
      <w:r>
        <w:rPr>
          <w:rFonts w:hint="eastAsia" w:cs="Times New Roman"/>
          <w:color w:val="auto"/>
          <w:sz w:val="24"/>
          <w:highlight w:val="none"/>
          <w:lang w:val="en-US" w:eastAsia="zh-CN"/>
        </w:rPr>
        <w:t>内</w:t>
      </w:r>
      <w:r>
        <w:rPr>
          <w:rFonts w:hint="default" w:ascii="Times New Roman" w:hAnsi="Times New Roman" w:cs="Times New Roman"/>
          <w:color w:val="auto"/>
          <w:sz w:val="24"/>
          <w:highlight w:val="none"/>
        </w:rPr>
        <w:t>将应支付的待遇费用</w:t>
      </w:r>
      <w:r>
        <w:rPr>
          <w:rFonts w:hint="default" w:ascii="Times New Roman" w:hAnsi="Times New Roman" w:cs="Times New Roman"/>
          <w:color w:val="auto"/>
          <w:sz w:val="24"/>
          <w:highlight w:val="none"/>
          <w:lang w:val="en-US" w:eastAsia="zh-CN"/>
        </w:rPr>
        <w:t>拨付</w:t>
      </w:r>
      <w:r>
        <w:rPr>
          <w:rFonts w:hint="default" w:ascii="Times New Roman" w:hAnsi="Times New Roman" w:cs="Times New Roman"/>
          <w:color w:val="auto"/>
          <w:sz w:val="24"/>
          <w:highlight w:val="none"/>
        </w:rPr>
        <w:t>至各辖区医保经办机构</w:t>
      </w:r>
      <w:r>
        <w:rPr>
          <w:rFonts w:hint="default" w:ascii="Times New Roman" w:hAnsi="Times New Roman" w:cs="Times New Roman"/>
          <w:color w:val="auto"/>
          <w:sz w:val="24"/>
          <w:highlight w:val="none"/>
          <w:lang w:val="en-US" w:eastAsia="zh-CN"/>
        </w:rPr>
        <w:t>指定账户。</w:t>
      </w:r>
    </w:p>
    <w:p w14:paraId="18B68927">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3、长期护理保险承办服务费按中标人承办区域长期护理保险基金的5%确定。</w:t>
      </w:r>
      <w:r>
        <w:rPr>
          <w:rFonts w:hint="default" w:ascii="Times New Roman" w:hAnsi="Times New Roman" w:cs="Times New Roman" w:eastAsiaTheme="majorEastAsia"/>
          <w:color w:val="auto"/>
          <w:sz w:val="24"/>
          <w:highlight w:val="none"/>
        </w:rPr>
        <w:t>每季度</w:t>
      </w:r>
      <w:r>
        <w:rPr>
          <w:rFonts w:hint="default" w:ascii="Times New Roman" w:hAnsi="Times New Roman" w:cs="Times New Roman"/>
          <w:color w:val="auto"/>
          <w:sz w:val="24"/>
          <w:highlight w:val="none"/>
          <w:lang w:val="en-US" w:eastAsia="zh-CN"/>
        </w:rPr>
        <w:t>首月</w:t>
      </w:r>
      <w:r>
        <w:rPr>
          <w:rFonts w:hint="default" w:ascii="Times New Roman" w:hAnsi="Times New Roman" w:cs="Times New Roman" w:eastAsiaTheme="majorEastAsia"/>
          <w:color w:val="auto"/>
          <w:sz w:val="24"/>
          <w:highlight w:val="none"/>
        </w:rPr>
        <w:t>，</w:t>
      </w:r>
      <w:r>
        <w:rPr>
          <w:rFonts w:hint="default" w:ascii="Times New Roman" w:hAnsi="Times New Roman" w:cs="Times New Roman"/>
          <w:color w:val="auto"/>
          <w:sz w:val="24"/>
          <w:highlight w:val="none"/>
          <w:lang w:val="en-US" w:eastAsia="zh-CN"/>
        </w:rPr>
        <w:t>各辖区</w:t>
      </w:r>
      <w:r>
        <w:rPr>
          <w:rFonts w:hint="default" w:ascii="Times New Roman" w:hAnsi="Times New Roman" w:cs="Times New Roman" w:eastAsiaTheme="majorEastAsia"/>
          <w:color w:val="auto"/>
          <w:sz w:val="24"/>
          <w:highlight w:val="none"/>
        </w:rPr>
        <w:t>医保经办机构按约定承办服务费的95%按季</w:t>
      </w:r>
      <w:r>
        <w:rPr>
          <w:rFonts w:hint="default" w:ascii="Times New Roman" w:hAnsi="Times New Roman" w:cs="Times New Roman"/>
          <w:color w:val="auto"/>
          <w:sz w:val="24"/>
          <w:highlight w:val="none"/>
          <w:lang w:val="en-US" w:eastAsia="zh-CN"/>
        </w:rPr>
        <w:t>拨付给该区域主承办机构，</w:t>
      </w:r>
      <w:r>
        <w:rPr>
          <w:rFonts w:hint="default" w:ascii="Times New Roman" w:hAnsi="Times New Roman" w:cs="Times New Roman" w:eastAsiaTheme="majorEastAsia"/>
          <w:color w:val="auto"/>
          <w:sz w:val="24"/>
          <w:highlight w:val="none"/>
        </w:rPr>
        <w:t>预留5%用于考核。次年</w:t>
      </w:r>
      <w:r>
        <w:rPr>
          <w:rFonts w:hint="default" w:ascii="Times New Roman" w:hAnsi="Times New Roman" w:cs="Times New Roman"/>
          <w:color w:val="auto"/>
          <w:sz w:val="24"/>
          <w:highlight w:val="none"/>
          <w:lang w:val="en-US" w:eastAsia="zh-CN"/>
        </w:rPr>
        <w:t>一季度</w:t>
      </w:r>
      <w:r>
        <w:rPr>
          <w:rFonts w:hint="default" w:ascii="Times New Roman" w:hAnsi="Times New Roman" w:cs="Times New Roman" w:eastAsiaTheme="majorEastAsia"/>
          <w:color w:val="auto"/>
          <w:sz w:val="24"/>
          <w:highlight w:val="none"/>
        </w:rPr>
        <w:t>，根据合同履行情况、服务对象满意度情况及年度考核结果，</w:t>
      </w:r>
      <w:r>
        <w:rPr>
          <w:rFonts w:hint="default" w:ascii="Times New Roman" w:hAnsi="Times New Roman" w:cs="Times New Roman"/>
          <w:color w:val="auto"/>
          <w:sz w:val="24"/>
          <w:highlight w:val="none"/>
          <w:lang w:val="en-US" w:eastAsia="zh-CN"/>
        </w:rPr>
        <w:t>开展</w:t>
      </w:r>
      <w:r>
        <w:rPr>
          <w:rFonts w:hint="default" w:ascii="Times New Roman" w:hAnsi="Times New Roman" w:cs="Times New Roman" w:eastAsiaTheme="majorEastAsia"/>
          <w:color w:val="auto"/>
          <w:sz w:val="24"/>
          <w:highlight w:val="none"/>
        </w:rPr>
        <w:t>年度结算。</w:t>
      </w:r>
      <w:r>
        <w:rPr>
          <w:rFonts w:hint="default" w:ascii="Times New Roman" w:hAnsi="Times New Roman" w:cs="Times New Roman"/>
          <w:color w:val="auto"/>
          <w:sz w:val="24"/>
          <w:highlight w:val="none"/>
          <w:lang w:val="en-US" w:eastAsia="zh-CN"/>
        </w:rPr>
        <w:t>各辖区主承办机构应对承办服务费进行预算管理，年初提供预算方案并经市级医保经办机构审核确认后执行。预算外的费用原则上不得支付，如需支付，需经市级医保经办机构审核同意。</w:t>
      </w:r>
    </w:p>
    <w:p w14:paraId="2F66024A">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4、长护险保费和承办服务费分别建账、核算。承办机构相应建立两个科目。</w:t>
      </w:r>
    </w:p>
    <w:p w14:paraId="3D45493C">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5、次年第一季度，各辖区医保经办机构组织辖区承办机构开展保费和承办服务费清算，实行全市合并清算。如有盈余返还，承办机构返还至采购人指定账户；如有亏损，承办机构按中标比例进行分摊。</w:t>
      </w:r>
    </w:p>
    <w:p w14:paraId="06874F06">
      <w:pPr>
        <w:tabs>
          <w:tab w:val="left" w:pos="525"/>
        </w:tabs>
        <w:spacing w:line="360" w:lineRule="auto"/>
        <w:ind w:firstLine="482"/>
        <w:rPr>
          <w:rFonts w:ascii="Times New Roman" w:hAnsi="Times New Roman" w:cs="Times New Roman" w:eastAsiaTheme="majorEastAsia"/>
          <w:b/>
          <w:color w:val="auto"/>
          <w:sz w:val="24"/>
          <w:szCs w:val="24"/>
          <w:highlight w:val="none"/>
        </w:rPr>
      </w:pPr>
      <w:r>
        <w:rPr>
          <w:rFonts w:hint="default" w:ascii="Times New Roman" w:hAnsi="Times New Roman" w:eastAsia="宋体" w:cs="Times New Roman"/>
          <w:b/>
          <w:bCs/>
          <w:color w:val="auto"/>
          <w:sz w:val="24"/>
          <w:highlight w:val="none"/>
          <w:lang w:val="en-US" w:eastAsia="zh-CN"/>
        </w:rPr>
        <w:t>（</w:t>
      </w:r>
      <w:r>
        <w:rPr>
          <w:rFonts w:hint="default" w:ascii="Times New Roman" w:hAnsi="Times New Roman" w:cs="Times New Roman"/>
          <w:b/>
          <w:bCs/>
          <w:color w:val="auto"/>
          <w:sz w:val="24"/>
          <w:highlight w:val="none"/>
          <w:lang w:val="en-US" w:eastAsia="zh-CN"/>
        </w:rPr>
        <w:t>二</w:t>
      </w:r>
      <w:r>
        <w:rPr>
          <w:rFonts w:hint="default" w:ascii="Times New Roman" w:hAnsi="Times New Roman" w:eastAsia="宋体" w:cs="Times New Roman"/>
          <w:b/>
          <w:bCs/>
          <w:color w:val="auto"/>
          <w:sz w:val="24"/>
          <w:highlight w:val="none"/>
          <w:lang w:val="en-US" w:eastAsia="zh-CN"/>
        </w:rPr>
        <w:t>）</w:t>
      </w:r>
      <w:r>
        <w:rPr>
          <w:rFonts w:ascii="Times New Roman" w:hAnsi="Times New Roman" w:cs="Times New Roman" w:eastAsiaTheme="majorEastAsia"/>
          <w:b/>
          <w:color w:val="auto"/>
          <w:sz w:val="24"/>
          <w:szCs w:val="24"/>
          <w:highlight w:val="none"/>
        </w:rPr>
        <w:t>长护险基金利息约定</w:t>
      </w:r>
    </w:p>
    <w:p w14:paraId="25130BE5">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明确长护险基金存放在承办机构期间，利息归长护险基金所有。 </w:t>
      </w:r>
    </w:p>
    <w:p w14:paraId="20D5DEE9">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hint="eastAsia" w:cs="Times New Roman" w:eastAsiaTheme="majorEastAsia"/>
          <w:bCs/>
          <w:color w:val="auto"/>
          <w:sz w:val="24"/>
          <w:szCs w:val="24"/>
          <w:highlight w:val="none"/>
          <w:lang w:val="en-US" w:eastAsia="zh-CN"/>
        </w:rPr>
        <w:t>1</w:t>
      </w:r>
      <w:r>
        <w:rPr>
          <w:rFonts w:hint="default" w:ascii="Times New Roman" w:hAnsi="Times New Roman" w:cs="Times New Roman" w:eastAsiaTheme="majorEastAsia"/>
          <w:color w:val="auto"/>
          <w:sz w:val="24"/>
          <w:szCs w:val="24"/>
          <w:highlight w:val="none"/>
          <w:lang w:val="en-US" w:eastAsia="zh-CN"/>
        </w:rPr>
        <w:t>、</w:t>
      </w:r>
      <w:r>
        <w:rPr>
          <w:rFonts w:ascii="Times New Roman" w:hAnsi="Times New Roman" w:cs="Times New Roman" w:eastAsiaTheme="majorEastAsia"/>
          <w:bCs/>
          <w:color w:val="auto"/>
          <w:sz w:val="24"/>
          <w:szCs w:val="24"/>
          <w:highlight w:val="none"/>
        </w:rPr>
        <w:t>利息归属</w:t>
      </w:r>
    </w:p>
    <w:p w14:paraId="4098E962">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存放在承办机构的长护险基金利息收益归属长护险基金，在该项目保险年度基金清算时，承办机构均须返还对应保险年度长护险基金利息收益。</w:t>
      </w:r>
    </w:p>
    <w:p w14:paraId="2EDE0ABE">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承办机构应做好长护险基金流水明细记录，流水明细内容包括但不限于长护险基金入账日期、入账金额、出账日期、出账金额等要素，</w:t>
      </w:r>
      <w:r>
        <w:rPr>
          <w:rFonts w:hint="eastAsia" w:cs="Times New Roman"/>
          <w:bCs/>
          <w:color w:val="auto"/>
          <w:sz w:val="24"/>
          <w:szCs w:val="24"/>
          <w:highlight w:val="none"/>
          <w:lang w:val="en-US" w:eastAsia="zh-CN"/>
        </w:rPr>
        <w:t>年度清算时各承办机构将利息归还至采购人指定账户。</w:t>
      </w:r>
    </w:p>
    <w:p w14:paraId="4DF36B66">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hint="eastAsia" w:cs="Times New Roman" w:eastAsiaTheme="majorEastAsia"/>
          <w:bCs/>
          <w:color w:val="auto"/>
          <w:sz w:val="24"/>
          <w:szCs w:val="24"/>
          <w:highlight w:val="none"/>
          <w:lang w:val="en-US" w:eastAsia="zh-CN"/>
        </w:rPr>
        <w:t>2</w:t>
      </w:r>
      <w:r>
        <w:rPr>
          <w:rFonts w:hint="default" w:ascii="Times New Roman" w:hAnsi="Times New Roman" w:cs="Times New Roman" w:eastAsiaTheme="majorEastAsia"/>
          <w:color w:val="auto"/>
          <w:sz w:val="24"/>
          <w:szCs w:val="24"/>
          <w:highlight w:val="none"/>
          <w:lang w:val="en-US" w:eastAsia="zh-CN"/>
        </w:rPr>
        <w:t>、</w:t>
      </w:r>
      <w:r>
        <w:rPr>
          <w:rFonts w:ascii="Times New Roman" w:hAnsi="Times New Roman" w:cs="Times New Roman" w:eastAsiaTheme="majorEastAsia"/>
          <w:bCs/>
          <w:color w:val="auto"/>
          <w:sz w:val="24"/>
          <w:szCs w:val="24"/>
          <w:highlight w:val="none"/>
        </w:rPr>
        <w:t>基金利息计算方式</w:t>
      </w:r>
    </w:p>
    <w:p w14:paraId="5C8D8ECE">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方案一：由承办机构提供该项目长护险资金专用账户的银行全部流水，按实返还利息收益；</w:t>
      </w:r>
    </w:p>
    <w:p w14:paraId="1F5ABD01">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方案二：如无法提供该项目专用账户的银行流水，按以下计算公式结算。</w:t>
      </w:r>
    </w:p>
    <w:p w14:paraId="3B1F2F37">
      <w:pPr>
        <w:tabs>
          <w:tab w:val="left" w:pos="525"/>
        </w:tabs>
        <w:spacing w:line="360" w:lineRule="auto"/>
        <w:ind w:firstLine="480"/>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长护险基金利息按日余额进行利息结算，结算方式见下述公式：</w:t>
      </w:r>
    </w:p>
    <w:p w14:paraId="0FBFF106">
      <w:pPr>
        <w:widowControl/>
        <w:tabs>
          <w:tab w:val="left" w:pos="525"/>
        </w:tabs>
        <w:spacing w:line="360" w:lineRule="auto"/>
        <w:ind w:firstLine="480"/>
        <w:rPr>
          <w:rFonts w:hint="default" w:ascii="Times New Roman" w:hAnsi="Times New Roman" w:eastAsia="宋体" w:cs="Times New Roman"/>
          <w:b/>
          <w:bCs/>
          <w:color w:val="auto"/>
          <w:sz w:val="24"/>
          <w:highlight w:val="none"/>
          <w:lang w:val="en-US" w:eastAsia="zh-CN"/>
        </w:rPr>
      </w:pPr>
      <w:r>
        <w:rPr>
          <w:rFonts w:ascii="Times New Roman" w:hAnsi="Times New Roman" w:cs="Times New Roman" w:eastAsiaTheme="majorEastAsia"/>
          <w:bCs/>
          <w:color w:val="auto"/>
          <w:sz w:val="24"/>
          <w:szCs w:val="24"/>
          <w:highlight w:val="none"/>
        </w:rPr>
        <w:t>日结算利息=每日</w:t>
      </w:r>
      <w:r>
        <w:rPr>
          <w:rFonts w:hint="eastAsia" w:ascii="Times New Roman" w:hAnsi="Times New Roman" w:cs="Times New Roman" w:eastAsiaTheme="majorEastAsia"/>
          <w:bCs/>
          <w:color w:val="auto"/>
          <w:sz w:val="24"/>
          <w:szCs w:val="24"/>
          <w:highlight w:val="none"/>
        </w:rPr>
        <w:t>长护险</w:t>
      </w:r>
      <w:r>
        <w:rPr>
          <w:rFonts w:ascii="Times New Roman" w:hAnsi="Times New Roman" w:cs="Times New Roman" w:eastAsiaTheme="majorEastAsia"/>
          <w:bCs/>
          <w:color w:val="auto"/>
          <w:sz w:val="24"/>
          <w:szCs w:val="24"/>
          <w:highlight w:val="none"/>
        </w:rPr>
        <w:t>资金余额×中国人民银行公布的同期活期存款年利率/360。年度清算利息为首笔保费到账时间至年度清算时点经过的日结算利息之和。</w:t>
      </w:r>
    </w:p>
    <w:p w14:paraId="0C873ECC">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cs="Times New Roman"/>
          <w:b/>
          <w:bCs/>
          <w:color w:val="auto"/>
          <w:sz w:val="24"/>
          <w:highlight w:val="none"/>
          <w:lang w:val="en-US" w:eastAsia="zh-CN"/>
        </w:rPr>
        <w:t>八</w:t>
      </w:r>
      <w:r>
        <w:rPr>
          <w:rFonts w:hint="default" w:ascii="Times New Roman" w:hAnsi="Times New Roman" w:eastAsia="宋体" w:cs="Times New Roman"/>
          <w:b/>
          <w:bCs/>
          <w:color w:val="auto"/>
          <w:sz w:val="24"/>
          <w:highlight w:val="none"/>
        </w:rPr>
        <w:t>、</w:t>
      </w:r>
      <w:r>
        <w:rPr>
          <w:rFonts w:hint="default" w:ascii="Times New Roman" w:hAnsi="Times New Roman" w:eastAsia="宋体" w:cs="Times New Roman"/>
          <w:b/>
          <w:bCs/>
          <w:color w:val="auto"/>
          <w:sz w:val="24"/>
          <w:highlight w:val="none"/>
          <w:lang w:val="en-US" w:eastAsia="zh-CN"/>
        </w:rPr>
        <w:t>承</w:t>
      </w:r>
      <w:r>
        <w:rPr>
          <w:rFonts w:hint="default" w:ascii="Times New Roman" w:hAnsi="Times New Roman" w:eastAsia="宋体" w:cs="Times New Roman"/>
          <w:b/>
          <w:bCs/>
          <w:color w:val="auto"/>
          <w:sz w:val="24"/>
          <w:highlight w:val="none"/>
        </w:rPr>
        <w:t>办模式</w:t>
      </w:r>
    </w:p>
    <w:p w14:paraId="61820273">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连云港市长护险服务项目实行“运行风险共担、保险事务共办、购买承办服务、年度考核</w:t>
      </w:r>
      <w:r>
        <w:rPr>
          <w:rFonts w:hint="eastAsia" w:cs="Times New Roman" w:eastAsiaTheme="majorEastAsia"/>
          <w:color w:val="auto"/>
          <w:sz w:val="24"/>
          <w:szCs w:val="24"/>
          <w:highlight w:val="none"/>
          <w:lang w:val="en-US" w:eastAsia="zh-CN"/>
        </w:rPr>
        <w:t>退出</w:t>
      </w:r>
      <w:r>
        <w:rPr>
          <w:rFonts w:hint="default" w:ascii="Times New Roman" w:hAnsi="Times New Roman" w:cs="Times New Roman" w:eastAsiaTheme="majorEastAsia"/>
          <w:color w:val="auto"/>
          <w:sz w:val="24"/>
          <w:szCs w:val="24"/>
          <w:highlight w:val="none"/>
          <w:lang w:val="en-US" w:eastAsia="zh-CN"/>
        </w:rPr>
        <w:t>”的运行模式。</w:t>
      </w:r>
    </w:p>
    <w:p w14:paraId="1011D862">
      <w:pPr>
        <w:spacing w:line="360" w:lineRule="auto"/>
        <w:ind w:firstLine="482"/>
        <w:rPr>
          <w:b/>
          <w:color w:val="auto"/>
          <w:sz w:val="24"/>
          <w:highlight w:val="none"/>
        </w:rPr>
      </w:pPr>
      <w:r>
        <w:rPr>
          <w:rFonts w:hint="default" w:ascii="Times New Roman" w:hAnsi="Times New Roman" w:cs="Times New Roman"/>
          <w:b/>
          <w:color w:val="auto"/>
          <w:sz w:val="24"/>
          <w:highlight w:val="none"/>
          <w:lang w:eastAsia="zh-CN"/>
        </w:rPr>
        <w:t>（</w:t>
      </w:r>
      <w:r>
        <w:rPr>
          <w:rFonts w:hint="default" w:ascii="Times New Roman" w:hAnsi="Times New Roman" w:cs="Times New Roman"/>
          <w:b/>
          <w:color w:val="auto"/>
          <w:sz w:val="24"/>
          <w:highlight w:val="none"/>
          <w:lang w:val="en-US" w:eastAsia="zh-CN"/>
        </w:rPr>
        <w:t>一</w:t>
      </w:r>
      <w:r>
        <w:rPr>
          <w:rFonts w:hint="default" w:ascii="Times New Roman" w:hAnsi="Times New Roman" w:cs="Times New Roman"/>
          <w:b/>
          <w:color w:val="auto"/>
          <w:sz w:val="24"/>
          <w:highlight w:val="none"/>
          <w:lang w:eastAsia="zh-CN"/>
        </w:rPr>
        <w:t>）</w:t>
      </w:r>
      <w:r>
        <w:rPr>
          <w:b/>
          <w:color w:val="auto"/>
          <w:sz w:val="24"/>
          <w:highlight w:val="none"/>
        </w:rPr>
        <w:t>运行风险共担（</w:t>
      </w:r>
      <w:r>
        <w:rPr>
          <w:rFonts w:hint="eastAsia"/>
          <w:b/>
          <w:color w:val="auto"/>
          <w:sz w:val="24"/>
          <w:highlight w:val="none"/>
          <w:lang w:eastAsia="zh-CN"/>
        </w:rPr>
        <w:t>投标人</w:t>
      </w:r>
      <w:r>
        <w:rPr>
          <w:b/>
          <w:color w:val="auto"/>
          <w:sz w:val="24"/>
          <w:highlight w:val="none"/>
        </w:rPr>
        <w:t>提供承诺，格式自拟</w:t>
      </w:r>
      <w:r>
        <w:rPr>
          <w:rFonts w:hint="eastAsia"/>
          <w:b/>
          <w:color w:val="auto"/>
          <w:sz w:val="24"/>
          <w:highlight w:val="none"/>
        </w:rPr>
        <w:t>，</w:t>
      </w:r>
      <w:r>
        <w:rPr>
          <w:b/>
          <w:color w:val="auto"/>
          <w:sz w:val="24"/>
          <w:highlight w:val="none"/>
        </w:rPr>
        <w:t>否则投标无效。）</w:t>
      </w:r>
    </w:p>
    <w:p w14:paraId="081DC190">
      <w:pPr>
        <w:spacing w:line="360" w:lineRule="auto"/>
        <w:ind w:firstLine="480"/>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eastAsiaTheme="majorEastAsia"/>
          <w:i/>
          <w:iCs/>
          <w:color w:val="auto"/>
          <w:sz w:val="24"/>
          <w:highlight w:val="none"/>
          <w:u w:val="single"/>
        </w:rPr>
        <w:t>长护险委托</w:t>
      </w:r>
      <w:r>
        <w:rPr>
          <w:rFonts w:hint="default" w:ascii="Times New Roman" w:hAnsi="Times New Roman" w:cs="Times New Roman" w:eastAsiaTheme="majorEastAsia"/>
          <w:i/>
          <w:iCs/>
          <w:color w:val="auto"/>
          <w:sz w:val="24"/>
          <w:highlight w:val="none"/>
          <w:u w:val="single"/>
          <w:lang w:eastAsia="zh-CN"/>
        </w:rPr>
        <w:t>承办机构</w:t>
      </w:r>
      <w:r>
        <w:rPr>
          <w:rFonts w:hint="default" w:ascii="Times New Roman" w:hAnsi="Times New Roman" w:cs="Times New Roman" w:eastAsiaTheme="majorEastAsia"/>
          <w:i/>
          <w:iCs/>
          <w:color w:val="auto"/>
          <w:sz w:val="24"/>
          <w:highlight w:val="none"/>
          <w:u w:val="single"/>
        </w:rPr>
        <w:t>参与经办，</w:t>
      </w:r>
      <w:r>
        <w:rPr>
          <w:rFonts w:hint="default" w:ascii="Times New Roman" w:hAnsi="Times New Roman" w:cs="Times New Roman" w:eastAsiaTheme="majorEastAsia"/>
          <w:i/>
          <w:iCs/>
          <w:color w:val="auto"/>
          <w:sz w:val="24"/>
          <w:highlight w:val="none"/>
          <w:u w:val="single"/>
          <w:lang w:eastAsia="zh-CN"/>
        </w:rPr>
        <w:t>承办机构</w:t>
      </w:r>
      <w:r>
        <w:rPr>
          <w:rFonts w:hint="default" w:ascii="Times New Roman" w:hAnsi="Times New Roman" w:cs="Times New Roman" w:eastAsiaTheme="majorEastAsia"/>
          <w:i/>
          <w:iCs/>
          <w:color w:val="auto"/>
          <w:sz w:val="24"/>
          <w:highlight w:val="none"/>
          <w:u w:val="single"/>
        </w:rPr>
        <w:t>与长护险基金实行风险共担机制</w:t>
      </w:r>
      <w:r>
        <w:rPr>
          <w:rFonts w:hint="default" w:ascii="Times New Roman" w:hAnsi="Times New Roman" w:cs="Times New Roman"/>
          <w:i/>
          <w:iCs/>
          <w:color w:val="auto"/>
          <w:sz w:val="24"/>
          <w:highlight w:val="none"/>
          <w:u w:val="single"/>
          <w:lang w:eastAsia="zh-CN"/>
        </w:rPr>
        <w:t>。长护险</w:t>
      </w:r>
      <w:r>
        <w:rPr>
          <w:rFonts w:hint="default" w:ascii="Times New Roman" w:hAnsi="Times New Roman" w:cs="Times New Roman"/>
          <w:i/>
          <w:iCs/>
          <w:color w:val="auto"/>
          <w:sz w:val="24"/>
          <w:highlight w:val="none"/>
          <w:u w:val="single"/>
          <w:lang w:val="en-US" w:eastAsia="zh-CN"/>
        </w:rPr>
        <w:t>保费</w:t>
      </w:r>
      <w:r>
        <w:rPr>
          <w:rFonts w:hint="default" w:ascii="Times New Roman" w:hAnsi="Times New Roman" w:cs="Times New Roman"/>
          <w:i/>
          <w:iCs/>
          <w:color w:val="auto"/>
          <w:sz w:val="24"/>
          <w:highlight w:val="none"/>
          <w:u w:val="single"/>
          <w:lang w:eastAsia="zh-CN"/>
        </w:rPr>
        <w:t>收入扣除长护险待遇</w:t>
      </w:r>
      <w:r>
        <w:rPr>
          <w:rFonts w:hint="default" w:ascii="Times New Roman" w:hAnsi="Times New Roman" w:cs="Times New Roman"/>
          <w:i/>
          <w:iCs/>
          <w:color w:val="auto"/>
          <w:sz w:val="24"/>
          <w:highlight w:val="none"/>
          <w:u w:val="single"/>
          <w:lang w:val="en-US" w:eastAsia="zh-CN"/>
        </w:rPr>
        <w:t>实际</w:t>
      </w:r>
      <w:r>
        <w:rPr>
          <w:rFonts w:hint="default" w:ascii="Times New Roman" w:hAnsi="Times New Roman" w:cs="Times New Roman"/>
          <w:i/>
          <w:iCs/>
          <w:color w:val="auto"/>
          <w:sz w:val="24"/>
          <w:highlight w:val="none"/>
          <w:u w:val="single"/>
          <w:lang w:eastAsia="zh-CN"/>
        </w:rPr>
        <w:t>支出</w:t>
      </w:r>
      <w:r>
        <w:rPr>
          <w:rFonts w:hint="default" w:ascii="Times New Roman" w:hAnsi="Times New Roman" w:cs="Times New Roman"/>
          <w:i/>
          <w:iCs/>
          <w:color w:val="auto"/>
          <w:sz w:val="24"/>
          <w:highlight w:val="none"/>
          <w:u w:val="single"/>
          <w:lang w:val="en-US" w:eastAsia="zh-CN"/>
        </w:rPr>
        <w:t>和承办服务费</w:t>
      </w:r>
      <w:r>
        <w:rPr>
          <w:rFonts w:hint="default" w:ascii="Times New Roman" w:hAnsi="Times New Roman" w:cs="Times New Roman"/>
          <w:i/>
          <w:iCs/>
          <w:color w:val="auto"/>
          <w:sz w:val="24"/>
          <w:highlight w:val="none"/>
          <w:u w:val="single"/>
          <w:lang w:eastAsia="zh-CN"/>
        </w:rPr>
        <w:t>后，</w:t>
      </w:r>
      <w:r>
        <w:rPr>
          <w:rFonts w:hint="default" w:ascii="Times New Roman" w:hAnsi="Times New Roman" w:cs="Times New Roman"/>
          <w:i/>
          <w:iCs/>
          <w:color w:val="auto"/>
          <w:sz w:val="24"/>
          <w:highlight w:val="none"/>
          <w:u w:val="single"/>
          <w:lang w:val="en-US" w:eastAsia="zh-CN"/>
        </w:rPr>
        <w:t>按盈亏率计算，</w:t>
      </w:r>
      <w:r>
        <w:rPr>
          <w:rFonts w:hint="default" w:ascii="Times New Roman" w:hAnsi="Times New Roman" w:cs="Times New Roman"/>
          <w:i/>
          <w:iCs/>
          <w:color w:val="auto"/>
          <w:sz w:val="24"/>
          <w:highlight w:val="none"/>
          <w:u w:val="single"/>
          <w:lang w:eastAsia="zh-CN"/>
        </w:rPr>
        <w:t>如出现亏损，</w:t>
      </w:r>
      <w:r>
        <w:rPr>
          <w:rFonts w:hint="default" w:ascii="Times New Roman" w:hAnsi="Times New Roman" w:cs="Times New Roman" w:eastAsiaTheme="majorEastAsia"/>
          <w:i/>
          <w:iCs/>
          <w:color w:val="auto"/>
          <w:sz w:val="24"/>
          <w:highlight w:val="none"/>
          <w:u w:val="single"/>
        </w:rPr>
        <w:t>亏损1%（含）以内的部分由</w:t>
      </w:r>
      <w:r>
        <w:rPr>
          <w:rFonts w:hint="default" w:ascii="Times New Roman" w:hAnsi="Times New Roman" w:cs="Times New Roman" w:eastAsiaTheme="majorEastAsia"/>
          <w:i/>
          <w:iCs/>
          <w:color w:val="auto"/>
          <w:sz w:val="24"/>
          <w:highlight w:val="none"/>
          <w:u w:val="single"/>
          <w:lang w:eastAsia="zh-CN"/>
        </w:rPr>
        <w:t>承办机构</w:t>
      </w:r>
      <w:r>
        <w:rPr>
          <w:rFonts w:hint="default" w:ascii="Times New Roman" w:hAnsi="Times New Roman" w:cs="Times New Roman" w:eastAsiaTheme="majorEastAsia"/>
          <w:i/>
          <w:iCs/>
          <w:color w:val="auto"/>
          <w:sz w:val="24"/>
          <w:highlight w:val="none"/>
          <w:u w:val="single"/>
          <w:lang w:val="en-US" w:eastAsia="zh-CN"/>
        </w:rPr>
        <w:t>按中标比例</w:t>
      </w:r>
      <w:r>
        <w:rPr>
          <w:rFonts w:hint="default" w:ascii="Times New Roman" w:hAnsi="Times New Roman" w:cs="Times New Roman" w:eastAsiaTheme="majorEastAsia"/>
          <w:i/>
          <w:iCs/>
          <w:color w:val="auto"/>
          <w:sz w:val="24"/>
          <w:highlight w:val="none"/>
          <w:u w:val="single"/>
        </w:rPr>
        <w:t>承担，1%以上的部分，经采购人综合评估后，政策性亏损部分由长护险基金全额弥补，非政策性亏损由承办机构</w:t>
      </w:r>
      <w:r>
        <w:rPr>
          <w:rFonts w:hint="default" w:ascii="Times New Roman" w:hAnsi="Times New Roman" w:cs="Times New Roman"/>
          <w:i/>
          <w:iCs/>
          <w:color w:val="auto"/>
          <w:sz w:val="24"/>
          <w:highlight w:val="none"/>
          <w:u w:val="single"/>
          <w:lang w:val="en-US" w:eastAsia="zh-CN"/>
        </w:rPr>
        <w:t>按</w:t>
      </w:r>
      <w:r>
        <w:rPr>
          <w:rFonts w:hint="eastAsia" w:cs="Times New Roman"/>
          <w:i/>
          <w:iCs/>
          <w:color w:val="auto"/>
          <w:sz w:val="24"/>
          <w:highlight w:val="none"/>
          <w:u w:val="single"/>
          <w:lang w:val="en-US" w:eastAsia="zh-CN"/>
        </w:rPr>
        <w:t>中标</w:t>
      </w:r>
      <w:r>
        <w:rPr>
          <w:rFonts w:hint="default" w:ascii="Times New Roman" w:hAnsi="Times New Roman" w:cs="Times New Roman"/>
          <w:i/>
          <w:iCs/>
          <w:color w:val="auto"/>
          <w:sz w:val="24"/>
          <w:highlight w:val="none"/>
          <w:u w:val="single"/>
          <w:lang w:val="en-US" w:eastAsia="zh-CN"/>
        </w:rPr>
        <w:t>比例</w:t>
      </w:r>
      <w:r>
        <w:rPr>
          <w:rFonts w:hint="default" w:ascii="Times New Roman" w:hAnsi="Times New Roman" w:cs="Times New Roman" w:eastAsiaTheme="majorEastAsia"/>
          <w:i/>
          <w:iCs/>
          <w:color w:val="auto"/>
          <w:sz w:val="24"/>
          <w:highlight w:val="none"/>
          <w:u w:val="single"/>
        </w:rPr>
        <w:t>承担；</w:t>
      </w:r>
      <w:r>
        <w:rPr>
          <w:rFonts w:hint="default" w:ascii="Times New Roman" w:hAnsi="Times New Roman" w:cs="Times New Roman"/>
          <w:i/>
          <w:iCs/>
          <w:color w:val="auto"/>
          <w:sz w:val="24"/>
          <w:highlight w:val="none"/>
          <w:u w:val="single"/>
          <w:lang w:val="en-US" w:eastAsia="zh-CN"/>
        </w:rPr>
        <w:t>如有盈利，则盈利部分全额返还长护险基金，原则上最高不超过首季度保费。</w:t>
      </w:r>
    </w:p>
    <w:p w14:paraId="7DCF480A">
      <w:pPr>
        <w:spacing w:line="360" w:lineRule="auto"/>
        <w:ind w:firstLine="480"/>
        <w:rPr>
          <w:rFonts w:hint="default" w:ascii="Times New Roman" w:hAnsi="Times New Roman" w:cs="Times New Roman" w:eastAsiaTheme="majorEastAsia"/>
          <w:i/>
          <w:iCs/>
          <w:color w:val="auto"/>
          <w:sz w:val="24"/>
          <w:highlight w:val="none"/>
          <w:u w:val="single"/>
        </w:rPr>
      </w:pPr>
      <w:r>
        <w:rPr>
          <w:rFonts w:hint="default" w:ascii="Times New Roman" w:hAnsi="Times New Roman" w:cs="Times New Roman" w:eastAsiaTheme="majorEastAsia"/>
          <w:i/>
          <w:iCs/>
          <w:color w:val="auto"/>
          <w:sz w:val="24"/>
          <w:highlight w:val="none"/>
          <w:u w:val="single"/>
        </w:rPr>
        <w:t>承办服务费结余</w:t>
      </w:r>
      <w:r>
        <w:rPr>
          <w:rFonts w:hint="default" w:ascii="Times New Roman" w:hAnsi="Times New Roman" w:cs="Times New Roman" w:eastAsiaTheme="majorEastAsia"/>
          <w:i/>
          <w:iCs/>
          <w:color w:val="auto"/>
          <w:sz w:val="24"/>
          <w:highlight w:val="none"/>
          <w:u w:val="single"/>
          <w:lang w:val="en-US" w:eastAsia="zh-CN"/>
        </w:rPr>
        <w:t>返还长护险基金</w:t>
      </w:r>
      <w:r>
        <w:rPr>
          <w:rFonts w:hint="default" w:ascii="Times New Roman" w:hAnsi="Times New Roman" w:cs="Times New Roman" w:eastAsiaTheme="majorEastAsia"/>
          <w:i/>
          <w:iCs/>
          <w:color w:val="auto"/>
          <w:sz w:val="24"/>
          <w:highlight w:val="none"/>
          <w:u w:val="single"/>
        </w:rPr>
        <w:t>，超支的</w:t>
      </w:r>
      <w:r>
        <w:rPr>
          <w:rFonts w:hint="default" w:ascii="Times New Roman" w:hAnsi="Times New Roman" w:cs="Times New Roman" w:eastAsiaTheme="majorEastAsia"/>
          <w:i/>
          <w:iCs/>
          <w:color w:val="auto"/>
          <w:sz w:val="24"/>
          <w:highlight w:val="none"/>
          <w:u w:val="single"/>
          <w:lang w:val="en-US" w:eastAsia="zh-CN"/>
        </w:rPr>
        <w:t>部分</w:t>
      </w:r>
      <w:r>
        <w:rPr>
          <w:rFonts w:hint="default" w:ascii="Times New Roman" w:hAnsi="Times New Roman" w:cs="Times New Roman" w:eastAsiaTheme="majorEastAsia"/>
          <w:i/>
          <w:iCs/>
          <w:color w:val="auto"/>
          <w:sz w:val="24"/>
          <w:highlight w:val="none"/>
          <w:u w:val="single"/>
        </w:rPr>
        <w:t>由</w:t>
      </w:r>
      <w:r>
        <w:rPr>
          <w:rFonts w:hint="default" w:ascii="Times New Roman" w:hAnsi="Times New Roman" w:cs="Times New Roman" w:eastAsiaTheme="majorEastAsia"/>
          <w:i/>
          <w:iCs/>
          <w:color w:val="auto"/>
          <w:sz w:val="24"/>
          <w:highlight w:val="none"/>
          <w:u w:val="single"/>
          <w:lang w:val="en-US" w:eastAsia="zh-CN"/>
        </w:rPr>
        <w:t>承办机构按中标比例</w:t>
      </w:r>
      <w:r>
        <w:rPr>
          <w:rFonts w:hint="default" w:ascii="Times New Roman" w:hAnsi="Times New Roman" w:cs="Times New Roman" w:eastAsiaTheme="majorEastAsia"/>
          <w:i/>
          <w:iCs/>
          <w:color w:val="auto"/>
          <w:sz w:val="24"/>
          <w:highlight w:val="none"/>
          <w:u w:val="single"/>
        </w:rPr>
        <w:t>承担。</w:t>
      </w:r>
    </w:p>
    <w:p w14:paraId="08883B3A">
      <w:pPr>
        <w:spacing w:line="360" w:lineRule="auto"/>
        <w:ind w:firstLine="480"/>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i/>
          <w:iCs/>
          <w:color w:val="auto"/>
          <w:sz w:val="24"/>
          <w:highlight w:val="none"/>
          <w:u w:val="single"/>
          <w:lang w:val="en-US" w:eastAsia="zh-CN"/>
        </w:rPr>
        <w:t>盈亏率计算公式为：（长护险保费收入-长护险实际待遇支出-承办服务费）/长护险保费收入。</w:t>
      </w:r>
    </w:p>
    <w:p w14:paraId="17AD2407">
      <w:pPr>
        <w:numPr>
          <w:ilvl w:val="0"/>
          <w:numId w:val="0"/>
        </w:numPr>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szCs w:val="24"/>
          <w:highlight w:val="none"/>
          <w:lang w:val="en-US" w:eastAsia="zh-CN" w:bidi="ar-SA"/>
        </w:rPr>
        <w:t>（二）</w:t>
      </w:r>
      <w:r>
        <w:rPr>
          <w:rFonts w:hint="default" w:ascii="Times New Roman" w:hAnsi="Times New Roman" w:eastAsia="宋体" w:cs="Times New Roman"/>
          <w:b/>
          <w:bCs/>
          <w:color w:val="auto"/>
          <w:sz w:val="24"/>
          <w:highlight w:val="none"/>
          <w:lang w:val="en-US" w:eastAsia="zh-CN"/>
        </w:rPr>
        <w:t>保险事务共办</w:t>
      </w:r>
    </w:p>
    <w:p w14:paraId="4B8CD380">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长护险经办事务由医保经办机构和承办机构共同经办，分工负责。</w:t>
      </w:r>
    </w:p>
    <w:p w14:paraId="0D3F3635">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医保经办机构负责长护险的参保登记、基金筹集、费用审核、支付结算等经办服务工作；负责开展长护险定点评估机构、定点护理机构的准入、协议签订、监督管理、指导考核等工作；协助做好长护险政策调整工作；负责评估专家委员会的组建、管理等工作。</w:t>
      </w:r>
    </w:p>
    <w:p w14:paraId="7D78FBA7">
      <w:pPr>
        <w:spacing w:line="360" w:lineRule="auto"/>
        <w:ind w:firstLine="480"/>
        <w:rPr>
          <w:color w:val="auto"/>
          <w:sz w:val="24"/>
          <w:highlight w:val="none"/>
        </w:rPr>
      </w:pPr>
      <w:r>
        <w:rPr>
          <w:rFonts w:hint="default" w:ascii="Times New Roman" w:hAnsi="Times New Roman" w:cs="Times New Roman" w:eastAsiaTheme="majorEastAsia"/>
          <w:color w:val="auto"/>
          <w:sz w:val="24"/>
          <w:szCs w:val="24"/>
          <w:highlight w:val="none"/>
          <w:lang w:val="en-US" w:eastAsia="zh-CN"/>
        </w:rPr>
        <w:t xml:space="preserve">承办机构在医保经办机构的指导和监督下，负责承办长护险的具体事务。包括组织开展失能等级评估；定点护理机构业务派单；协助医保经办机构做好定点护理机构、定点评估机构相关协议管理工作；长护险费用对账、审核及基金运行监测工作；长护险定点护理机构、定点评估机构监督管理工作；长护险待遇享受人员跟踪回访、核查工作；长护险政策宣传、培训、公众号运维、咨询回复、投诉处理工作；医保经办机构安排的其他工作。    </w:t>
      </w:r>
      <w:r>
        <w:rPr>
          <w:color w:val="auto"/>
          <w:sz w:val="24"/>
          <w:highlight w:val="none"/>
        </w:rPr>
        <w:t xml:space="preserve">                </w:t>
      </w:r>
    </w:p>
    <w:p w14:paraId="2BAC6B18">
      <w:pPr>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（三）购买承办服务</w:t>
      </w:r>
    </w:p>
    <w:p w14:paraId="5B037902">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承办机构的承办服务费为当年度长护险基金的5%，承办服务费从长护险基金中支付。每季度初，各辖区医保经办机构按约定承办服务费的95%按季预拨给各辖区主承办机构，预留5%用于考核。次年初，根据合同履行情况、服务对象满意度情况及年度考核结果，进行年度结算。</w:t>
      </w:r>
    </w:p>
    <w:p w14:paraId="5461D8A6">
      <w:pPr>
        <w:spacing w:line="360" w:lineRule="auto"/>
        <w:ind w:firstLine="480"/>
        <w:jc w:val="lef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招录的经办服务人员薪酬、保险及福利费用；办公经费；核查费用；培训费；宣传费；交通工具相关费用，以及长护险服务场所建设费用、办公装备设施费用、信息系统费用（含软件开发、硬件设备、安全等）一次性投入等列入承办服务费。各辖区主承办机构负责承办服务费的预算和支出。</w:t>
      </w:r>
    </w:p>
    <w:p w14:paraId="7982B0D7">
      <w:pPr>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（四）年度考核退出</w:t>
      </w:r>
    </w:p>
    <w:p w14:paraId="48CAF947">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建立与承办质量相挂钩的考核机制，依据长期护理保险承办机构考核办法对承办机构合同履行情况、理赔时限情况、服务质量情况、基础管理、信息管理、经办管理、基金管理情况等进行考核，如有承办机构当期考核不通过，则终止合同，该采购包重新招标。合同期满、合同终止或不予续签等情况下，投标人须按照采购人要求，做好档案资料、信息系统等移交工作，确保各类档案资料的完整和准确。如因考核不通过等情形终止合同，在确定新的承办机构之前，由该辖区其他中标承办机构代管相关工作；如该辖区内无其他中标承办机构，由辖区医保经办机构代管。该采购包重新招标时，考核不合格的机构不能参与，其他已中标机构也不能参与。</w:t>
      </w:r>
    </w:p>
    <w:p w14:paraId="32A83162">
      <w:pPr>
        <w:widowControl/>
        <w:spacing w:line="360" w:lineRule="auto"/>
        <w:ind w:firstLine="482"/>
        <w:rPr>
          <w:rFonts w:hint="default"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lang w:val="en-US" w:eastAsia="zh-CN"/>
        </w:rPr>
        <w:t>九</w:t>
      </w:r>
      <w:r>
        <w:rPr>
          <w:rFonts w:hint="default" w:ascii="Times New Roman" w:hAnsi="Times New Roman" w:eastAsia="宋体" w:cs="Times New Roman"/>
          <w:b/>
          <w:bCs/>
          <w:color w:val="auto"/>
          <w:sz w:val="24"/>
          <w:highlight w:val="none"/>
        </w:rPr>
        <w:t>、考核管理</w:t>
      </w:r>
    </w:p>
    <w:p w14:paraId="43857E19">
      <w:pPr>
        <w:spacing w:line="360" w:lineRule="auto"/>
        <w:ind w:firstLine="480"/>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rPr>
        <w:t>1、依据《连云港市长期护理保险承办机构考核办法》（连医保〔2026〕47号）对承办机构进行考核，医保经办机构也可以邀请相关专业机构和定点护理机构组成考核小组对承办机构相关工作进行考核评价。</w:t>
      </w:r>
      <w:r>
        <w:rPr>
          <w:rFonts w:hint="eastAsia" w:cs="Times New Roman" w:eastAsiaTheme="majorEastAsia"/>
          <w:color w:val="auto"/>
          <w:sz w:val="24"/>
          <w:szCs w:val="24"/>
          <w:highlight w:val="none"/>
          <w:lang w:val="en-US" w:eastAsia="zh-CN"/>
        </w:rPr>
        <w:t>考核办法详见连云港市医疗保障局官网。（http://ybj.lyg.gov.cn/sylbzj/gsgg/content/c0ea91a3-83ad-4821-82ea-2eed2c796fc2.html?lj=）</w:t>
      </w:r>
    </w:p>
    <w:p w14:paraId="611BA09D">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2、医保经办机构建立举报投诉、信息披露、基金监管、欺诈防范等监管机制。对承办机构政策制度执行情况及业务经办情况进行实时督查。</w:t>
      </w:r>
    </w:p>
    <w:p w14:paraId="6EC8AFB7">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3、承办机构、定点评估机构、定点护理机构及其工作人员、参保人员等存在违法违规行为造成基金损失的，可参照医疗保障基金使用监督管理有关规定处理。构成犯罪的，移送司法机关追究刑事责任。</w:t>
      </w:r>
    </w:p>
    <w:p w14:paraId="440CEE52">
      <w:pPr>
        <w:widowControl/>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cs="Times New Roman"/>
          <w:b/>
          <w:bCs/>
          <w:color w:val="auto"/>
          <w:sz w:val="24"/>
          <w:highlight w:val="none"/>
          <w:lang w:val="en-US" w:eastAsia="zh-CN"/>
        </w:rPr>
        <w:t>十</w:t>
      </w:r>
      <w:r>
        <w:rPr>
          <w:rFonts w:hint="default" w:ascii="Times New Roman" w:hAnsi="Times New Roman" w:eastAsia="宋体" w:cs="Times New Roman"/>
          <w:b/>
          <w:bCs/>
          <w:color w:val="auto"/>
          <w:sz w:val="24"/>
          <w:highlight w:val="none"/>
        </w:rPr>
        <w:t xml:space="preserve">、相关文件 </w:t>
      </w:r>
    </w:p>
    <w:p w14:paraId="35C87F35">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1、《国家医保局办公室 民政部办公厅关于印发〈长期护理失能等级评估标准（试行）〉的通知》（医保办发〔2021〕37号）</w:t>
      </w:r>
    </w:p>
    <w:p w14:paraId="0B74F84A">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2、《江苏省医疗保障局 江苏省财政厅印发〈关于深化长期护理保险制度建设的指导意见〉的通知》（苏医保发〔2022〕85号）</w:t>
      </w:r>
    </w:p>
    <w:p w14:paraId="66746026">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3、《连云港市人民政府关于建立长期护理保险制度的意见》（连政发〔2023〕26号）</w:t>
      </w:r>
    </w:p>
    <w:p w14:paraId="134CEB41">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4、《连云港市职工长期护理保险实施细则（试行）》（连医保〔2023〕44号）</w:t>
      </w:r>
    </w:p>
    <w:p w14:paraId="1DD641C0">
      <w:pPr>
        <w:pStyle w:val="194"/>
        <w:spacing w:line="360" w:lineRule="auto"/>
        <w:ind w:firstLine="480"/>
        <w:jc w:val="lef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5、</w:t>
      </w:r>
      <w:r>
        <w:rPr>
          <w:rFonts w:hint="default" w:ascii="Times New Roman" w:hAnsi="Times New Roman" w:cs="Times New Roman" w:eastAsiaTheme="majorEastAsia"/>
          <w:color w:val="auto"/>
          <w:sz w:val="24"/>
          <w:highlight w:val="none"/>
          <w:lang w:val="en-US" w:eastAsia="zh-CN"/>
        </w:rPr>
        <w:t>《关于</w:t>
      </w:r>
      <w:r>
        <w:rPr>
          <w:rFonts w:hint="default" w:ascii="Times New Roman" w:hAnsi="Times New Roman" w:cs="Times New Roman" w:eastAsiaTheme="majorEastAsia"/>
          <w:color w:val="auto"/>
          <w:sz w:val="24"/>
          <w:szCs w:val="24"/>
          <w:highlight w:val="none"/>
          <w:lang w:val="en-US" w:eastAsia="zh-CN" w:bidi="ar-SA"/>
        </w:rPr>
        <w:t>〈</w:t>
      </w:r>
      <w:r>
        <w:rPr>
          <w:rFonts w:hint="default" w:ascii="Times New Roman" w:hAnsi="Times New Roman" w:cs="Times New Roman" w:eastAsiaTheme="majorEastAsia"/>
          <w:color w:val="auto"/>
          <w:sz w:val="24"/>
          <w:highlight w:val="none"/>
          <w:lang w:val="en-US" w:eastAsia="zh-CN"/>
        </w:rPr>
        <w:t>连云港市职工长期护理保险实施细则（试行）</w:t>
      </w:r>
      <w:r>
        <w:rPr>
          <w:rFonts w:hint="default" w:ascii="Times New Roman" w:hAnsi="Times New Roman" w:cs="Times New Roman" w:eastAsiaTheme="majorEastAsia"/>
          <w:color w:val="auto"/>
          <w:sz w:val="24"/>
          <w:szCs w:val="24"/>
          <w:highlight w:val="none"/>
          <w:lang w:val="en-US" w:eastAsia="zh-CN" w:bidi="ar-SA"/>
        </w:rPr>
        <w:t>〉</w:t>
      </w:r>
      <w:r>
        <w:rPr>
          <w:rFonts w:hint="default" w:ascii="Times New Roman" w:hAnsi="Times New Roman" w:cs="Times New Roman" w:eastAsiaTheme="majorEastAsia"/>
          <w:color w:val="auto"/>
          <w:sz w:val="24"/>
          <w:highlight w:val="none"/>
          <w:lang w:val="en-US" w:eastAsia="zh-CN"/>
        </w:rPr>
        <w:t>继续施行的通知</w:t>
      </w:r>
      <w:r>
        <w:rPr>
          <w:rFonts w:hint="default" w:ascii="Times New Roman" w:hAnsi="Times New Roman" w:cs="Times New Roman" w:eastAsiaTheme="majorEastAsia"/>
          <w:color w:val="auto"/>
          <w:sz w:val="24"/>
          <w:szCs w:val="24"/>
          <w:highlight w:val="none"/>
          <w:lang w:val="en-US" w:eastAsia="zh-CN" w:bidi="ar-SA"/>
        </w:rPr>
        <w:t>》</w:t>
      </w:r>
      <w:r>
        <w:rPr>
          <w:rFonts w:hint="default" w:ascii="Times New Roman" w:hAnsi="Times New Roman" w:cs="Times New Roman" w:eastAsiaTheme="majorEastAsia"/>
          <w:color w:val="auto"/>
          <w:sz w:val="24"/>
          <w:highlight w:val="none"/>
          <w:lang w:val="en-US" w:eastAsia="zh-CN"/>
        </w:rPr>
        <w:t>（连医保〔2025〕50号）。</w:t>
      </w:r>
    </w:p>
    <w:p w14:paraId="7455965C">
      <w:pPr>
        <w:pStyle w:val="194"/>
        <w:spacing w:line="360" w:lineRule="auto"/>
        <w:ind w:firstLine="480"/>
        <w:jc w:val="left"/>
        <w:rPr>
          <w:rFonts w:hint="default" w:ascii="Times New Roman" w:hAnsi="Times New Roman" w:cs="Times New Roman" w:eastAsiaTheme="majorEastAsia"/>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6、</w:t>
      </w:r>
      <w:r>
        <w:rPr>
          <w:rFonts w:hint="default" w:ascii="Times New Roman" w:hAnsi="Times New Roman" w:cs="Times New Roman" w:eastAsiaTheme="majorEastAsia"/>
          <w:color w:val="auto"/>
          <w:sz w:val="24"/>
          <w:highlight w:val="none"/>
          <w:lang w:val="en-US" w:eastAsia="zh-CN"/>
        </w:rPr>
        <w:t>《连云港</w:t>
      </w:r>
      <w:r>
        <w:rPr>
          <w:rFonts w:hint="eastAsia" w:ascii="Times New Roman" w:hAnsi="Times New Roman" w:cs="Times New Roman" w:eastAsiaTheme="majorEastAsia"/>
          <w:color w:val="auto"/>
          <w:sz w:val="24"/>
          <w:highlight w:val="none"/>
          <w:lang w:val="en-US" w:eastAsia="zh-CN"/>
        </w:rPr>
        <w:t>市</w:t>
      </w:r>
      <w:r>
        <w:rPr>
          <w:rFonts w:hint="default" w:ascii="Times New Roman" w:hAnsi="Times New Roman" w:cs="Times New Roman" w:eastAsiaTheme="majorEastAsia"/>
          <w:color w:val="auto"/>
          <w:sz w:val="24"/>
          <w:highlight w:val="none"/>
          <w:lang w:val="en-US" w:eastAsia="zh-CN"/>
        </w:rPr>
        <w:t>关于将城乡居民纳入长期护理保险制度保障范围的通知》（连医保〔2026〕38号）</w:t>
      </w:r>
    </w:p>
    <w:p w14:paraId="38FB1B3C">
      <w:pPr>
        <w:pStyle w:val="194"/>
        <w:spacing w:line="360" w:lineRule="auto"/>
        <w:ind w:firstLine="480"/>
        <w:jc w:val="left"/>
        <w:rPr>
          <w:rFonts w:hint="default" w:ascii="Times New Roman" w:hAnsi="Times New Roman" w:eastAsia="黑体" w:cs="Times New Roman"/>
          <w:b w:val="0"/>
          <w:bCs w:val="0"/>
          <w:color w:val="auto"/>
          <w:sz w:val="44"/>
          <w:szCs w:val="44"/>
          <w:highlight w:val="none"/>
        </w:rPr>
        <w:sectPr>
          <w:pgSz w:w="11906" w:h="16838"/>
          <w:pgMar w:top="1440" w:right="1800" w:bottom="1440" w:left="1800" w:header="851" w:footer="992" w:gutter="0"/>
          <w:cols w:space="425" w:num="1"/>
          <w:docGrid w:linePitch="360" w:charSpace="0"/>
        </w:sectPr>
      </w:pPr>
      <w:r>
        <w:rPr>
          <w:rFonts w:hint="default" w:ascii="Times New Roman" w:hAnsi="Times New Roman" w:cs="Times New Roman" w:eastAsiaTheme="majorEastAsia"/>
          <w:color w:val="auto"/>
          <w:sz w:val="24"/>
          <w:highlight w:val="none"/>
          <w:lang w:val="en-US" w:eastAsia="zh-CN"/>
        </w:rPr>
        <w:t>7、《连云港市长期护理保险承办机构考核办法》（连医保〔2026〕47号〕号）</w:t>
      </w:r>
    </w:p>
    <w:p w14:paraId="5E2EBC0D">
      <w:pPr>
        <w:pStyle w:val="2"/>
        <w:keepLines/>
        <w:numPr>
          <w:ilvl w:val="0"/>
          <w:numId w:val="0"/>
        </w:numPr>
        <w:spacing w:before="156" w:after="156" w:line="360" w:lineRule="auto"/>
        <w:jc w:val="center"/>
        <w:rPr>
          <w:rFonts w:ascii="Times New Roman" w:hAnsi="Times New Roman" w:eastAsia="黑体" w:cs="Times New Roman"/>
          <w:b w:val="0"/>
          <w:bCs w:val="0"/>
          <w:color w:val="auto"/>
          <w:sz w:val="44"/>
          <w:szCs w:val="44"/>
          <w:highlight w:val="none"/>
        </w:rPr>
      </w:pPr>
      <w:r>
        <w:rPr>
          <w:rFonts w:ascii="Times New Roman" w:hAnsi="Times New Roman" w:eastAsia="黑体" w:cs="Times New Roman"/>
          <w:b w:val="0"/>
          <w:bCs w:val="0"/>
          <w:color w:val="auto"/>
          <w:sz w:val="44"/>
          <w:szCs w:val="44"/>
          <w:highlight w:val="none"/>
        </w:rPr>
        <w:t>第五章</w:t>
      </w:r>
      <w:r>
        <w:rPr>
          <w:rFonts w:hint="default" w:ascii="Times New Roman" w:hAnsi="Times New Roman" w:eastAsia="黑体" w:cs="Times New Roman"/>
          <w:b w:val="0"/>
          <w:bCs w:val="0"/>
          <w:color w:val="auto"/>
          <w:sz w:val="44"/>
          <w:szCs w:val="44"/>
          <w:highlight w:val="none"/>
        </w:rPr>
        <w:t xml:space="preserve">  评标方法与评标标准</w:t>
      </w:r>
    </w:p>
    <w:p w14:paraId="37E781A4">
      <w:pPr>
        <w:rPr>
          <w:rFonts w:hint="default" w:eastAsia="宋体"/>
          <w:color w:val="auto"/>
          <w:highlight w:val="none"/>
          <w:lang w:val="en-US" w:eastAsia="zh-CN"/>
        </w:rPr>
      </w:pPr>
    </w:p>
    <w:p w14:paraId="25234153">
      <w:pPr>
        <w:pStyle w:val="33"/>
        <w:spacing w:beforeAutospacing="0" w:afterAutospacing="0" w:line="360" w:lineRule="auto"/>
        <w:ind w:firstLine="482"/>
        <w:jc w:val="both"/>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一、评标方法</w:t>
      </w:r>
    </w:p>
    <w:p w14:paraId="55C48845">
      <w:pPr>
        <w:widowControl/>
        <w:spacing w:line="360" w:lineRule="auto"/>
        <w:ind w:firstLine="480"/>
        <w:rPr>
          <w:rFonts w:ascii="Times New Roman" w:hAnsi="Times New Roman"/>
          <w:bCs/>
          <w:color w:val="auto"/>
          <w:sz w:val="24"/>
          <w:szCs w:val="24"/>
          <w:highlight w:val="none"/>
        </w:rPr>
      </w:pPr>
      <w:r>
        <w:rPr>
          <w:rFonts w:hint="eastAsia"/>
          <w:color w:val="auto"/>
          <w:sz w:val="24"/>
          <w:highlight w:val="none"/>
          <w:lang w:val="en-US" w:eastAsia="zh-CN"/>
        </w:rPr>
        <w:t>本项目采用</w:t>
      </w:r>
      <w:r>
        <w:rPr>
          <w:color w:val="auto"/>
          <w:sz w:val="24"/>
          <w:highlight w:val="none"/>
        </w:rPr>
        <w:t>综合评分法，是指投标文件满足招标文件全部实质性要求，且按照评审因素的量化指标评审得分最高的</w:t>
      </w:r>
      <w:r>
        <w:rPr>
          <w:rFonts w:hint="eastAsia"/>
          <w:color w:val="auto"/>
          <w:sz w:val="24"/>
          <w:highlight w:val="none"/>
          <w:lang w:eastAsia="zh-CN"/>
        </w:rPr>
        <w:t>投标人</w:t>
      </w:r>
      <w:r>
        <w:rPr>
          <w:color w:val="auto"/>
          <w:sz w:val="24"/>
          <w:highlight w:val="none"/>
        </w:rPr>
        <w:t>为中标候选人的评标办法。</w:t>
      </w:r>
      <w:r>
        <w:rPr>
          <w:rFonts w:hint="eastAsia" w:ascii="Times New Roman" w:hAnsi="Times New Roman"/>
          <w:bCs/>
          <w:color w:val="auto"/>
          <w:sz w:val="24"/>
          <w:szCs w:val="24"/>
          <w:highlight w:val="none"/>
        </w:rPr>
        <w:t>综合得分相同的，由评标委员会组织通过抽签的方式确定中标候选人的排序（四舍五入后保留小数点后两位）。</w:t>
      </w:r>
    </w:p>
    <w:p w14:paraId="253794B1">
      <w:pPr>
        <w:spacing w:line="360" w:lineRule="auto"/>
        <w:ind w:firstLine="480"/>
        <w:rPr>
          <w:rFonts w:hint="default" w:ascii="Times New Roman" w:hAnsi="Times New Roman" w:cs="Times New Roman" w:eastAsiaTheme="majorEastAsia"/>
          <w:color w:val="auto"/>
          <w:sz w:val="24"/>
          <w:highlight w:val="none"/>
          <w:lang w:val="en-US" w:eastAsia="zh-CN"/>
        </w:rPr>
      </w:pPr>
      <w:r>
        <w:rPr>
          <w:rFonts w:hint="default" w:ascii="Times New Roman" w:hAnsi="Times New Roman" w:eastAsia="宋体" w:cs="Times New Roman"/>
          <w:b/>
          <w:color w:val="auto"/>
          <w:sz w:val="24"/>
          <w:szCs w:val="24"/>
          <w:highlight w:val="none"/>
        </w:rPr>
        <w:t>评标、中标规则如下：评标顺序以</w:t>
      </w:r>
      <w:r>
        <w:rPr>
          <w:rFonts w:hint="default" w:ascii="Times New Roman" w:hAnsi="Times New Roman" w:eastAsia="宋体" w:cs="Times New Roman"/>
          <w:b/>
          <w:color w:val="auto"/>
          <w:sz w:val="24"/>
          <w:szCs w:val="24"/>
          <w:highlight w:val="none"/>
          <w:lang w:val="en-US" w:eastAsia="zh-CN"/>
        </w:rPr>
        <w:t>采购包</w:t>
      </w:r>
      <w:r>
        <w:rPr>
          <w:rFonts w:hint="default" w:ascii="Times New Roman" w:hAnsi="Times New Roman" w:eastAsia="宋体" w:cs="Times New Roman"/>
          <w:b/>
          <w:color w:val="auto"/>
          <w:sz w:val="24"/>
          <w:szCs w:val="24"/>
          <w:highlight w:val="none"/>
        </w:rPr>
        <w:t>一至</w:t>
      </w:r>
      <w:r>
        <w:rPr>
          <w:rFonts w:hint="default" w:ascii="Times New Roman" w:hAnsi="Times New Roman" w:cs="Times New Roman"/>
          <w:b/>
          <w:color w:val="auto"/>
          <w:sz w:val="24"/>
          <w:szCs w:val="24"/>
          <w:highlight w:val="none"/>
          <w:lang w:val="en-US" w:eastAsia="zh-CN"/>
        </w:rPr>
        <w:t>十</w:t>
      </w:r>
      <w:r>
        <w:rPr>
          <w:rFonts w:hint="default" w:ascii="Times New Roman" w:hAnsi="Times New Roman" w:eastAsia="宋体" w:cs="Times New Roman"/>
          <w:b/>
          <w:color w:val="auto"/>
          <w:sz w:val="24"/>
          <w:szCs w:val="24"/>
          <w:highlight w:val="none"/>
        </w:rPr>
        <w:t>依次进行，中标顺序以评标顺序确定。</w:t>
      </w:r>
      <w:r>
        <w:rPr>
          <w:rFonts w:hint="default" w:ascii="Times New Roman" w:hAnsi="Times New Roman" w:cs="Times New Roman"/>
          <w:b/>
          <w:color w:val="auto"/>
          <w:sz w:val="24"/>
          <w:szCs w:val="24"/>
          <w:highlight w:val="none"/>
          <w:lang w:eastAsia="zh-CN"/>
        </w:rPr>
        <w:t>投标人</w:t>
      </w:r>
      <w:r>
        <w:rPr>
          <w:rFonts w:hint="default" w:ascii="Times New Roman" w:hAnsi="Times New Roman" w:cs="Times New Roman"/>
          <w:b/>
          <w:color w:val="auto"/>
          <w:sz w:val="24"/>
          <w:szCs w:val="24"/>
          <w:highlight w:val="none"/>
          <w:lang w:val="en-US" w:eastAsia="zh-CN"/>
        </w:rPr>
        <w:t>十</w:t>
      </w:r>
      <w:r>
        <w:rPr>
          <w:rFonts w:hint="default" w:ascii="Times New Roman" w:hAnsi="Times New Roman" w:eastAsia="宋体" w:cs="Times New Roman"/>
          <w:b/>
          <w:color w:val="auto"/>
          <w:sz w:val="24"/>
          <w:szCs w:val="24"/>
          <w:highlight w:val="none"/>
        </w:rPr>
        <w:t>个</w:t>
      </w:r>
      <w:r>
        <w:rPr>
          <w:rFonts w:hint="default" w:ascii="Times New Roman" w:hAnsi="Times New Roman" w:eastAsia="宋体" w:cs="Times New Roman"/>
          <w:b/>
          <w:color w:val="auto"/>
          <w:sz w:val="24"/>
          <w:szCs w:val="24"/>
          <w:highlight w:val="none"/>
          <w:lang w:val="en-US" w:eastAsia="zh-CN"/>
        </w:rPr>
        <w:t>采购包</w:t>
      </w:r>
      <w:r>
        <w:rPr>
          <w:rFonts w:hint="default" w:ascii="Times New Roman" w:hAnsi="Times New Roman" w:eastAsia="宋体" w:cs="Times New Roman"/>
          <w:b/>
          <w:color w:val="auto"/>
          <w:sz w:val="24"/>
          <w:szCs w:val="24"/>
          <w:highlight w:val="none"/>
        </w:rPr>
        <w:t>皆可投</w:t>
      </w:r>
      <w:r>
        <w:rPr>
          <w:rFonts w:hint="default" w:ascii="Times New Roman" w:hAnsi="Times New Roman" w:eastAsia="宋体" w:cs="Times New Roman"/>
          <w:b/>
          <w:color w:val="auto"/>
          <w:sz w:val="24"/>
          <w:szCs w:val="24"/>
          <w:highlight w:val="none"/>
          <w:lang w:eastAsia="zh-CN"/>
        </w:rPr>
        <w:t>，</w:t>
      </w:r>
      <w:r>
        <w:rPr>
          <w:rFonts w:hint="default" w:ascii="Times New Roman" w:hAnsi="Times New Roman" w:eastAsia="宋体" w:cs="Times New Roman"/>
          <w:b/>
          <w:color w:val="auto"/>
          <w:sz w:val="24"/>
          <w:szCs w:val="24"/>
          <w:highlight w:val="none"/>
        </w:rPr>
        <w:t>同时参与多个</w:t>
      </w:r>
      <w:r>
        <w:rPr>
          <w:rFonts w:hint="default" w:ascii="Times New Roman" w:hAnsi="Times New Roman" w:eastAsia="宋体" w:cs="Times New Roman"/>
          <w:b/>
          <w:color w:val="auto"/>
          <w:sz w:val="24"/>
          <w:szCs w:val="24"/>
          <w:highlight w:val="none"/>
          <w:lang w:val="en-US" w:eastAsia="zh-CN"/>
        </w:rPr>
        <w:t>包</w:t>
      </w:r>
      <w:r>
        <w:rPr>
          <w:rFonts w:hint="default" w:ascii="Times New Roman" w:hAnsi="Times New Roman" w:eastAsia="宋体" w:cs="Times New Roman"/>
          <w:b/>
          <w:color w:val="auto"/>
          <w:sz w:val="24"/>
          <w:szCs w:val="24"/>
          <w:highlight w:val="none"/>
        </w:rPr>
        <w:t>投标的，只可中一个。如</w:t>
      </w:r>
      <w:r>
        <w:rPr>
          <w:rFonts w:hint="default" w:ascii="Times New Roman" w:hAnsi="Times New Roman" w:cs="Times New Roman"/>
          <w:b/>
          <w:color w:val="auto"/>
          <w:sz w:val="24"/>
          <w:szCs w:val="24"/>
          <w:highlight w:val="none"/>
          <w:lang w:eastAsia="zh-CN"/>
        </w:rPr>
        <w:t>投标人</w:t>
      </w:r>
      <w:r>
        <w:rPr>
          <w:rFonts w:hint="default" w:ascii="Times New Roman" w:hAnsi="Times New Roman" w:eastAsia="宋体" w:cs="Times New Roman"/>
          <w:b/>
          <w:color w:val="auto"/>
          <w:sz w:val="24"/>
          <w:szCs w:val="24"/>
          <w:highlight w:val="none"/>
        </w:rPr>
        <w:t>在参与的</w:t>
      </w:r>
      <w:r>
        <w:rPr>
          <w:rFonts w:hint="default" w:ascii="Times New Roman" w:hAnsi="Times New Roman" w:eastAsia="宋体" w:cs="Times New Roman"/>
          <w:b/>
          <w:color w:val="auto"/>
          <w:sz w:val="24"/>
          <w:szCs w:val="24"/>
          <w:highlight w:val="none"/>
          <w:lang w:val="en-US" w:eastAsia="zh-CN"/>
        </w:rPr>
        <w:t>采购包</w:t>
      </w:r>
      <w:r>
        <w:rPr>
          <w:rFonts w:hint="default" w:ascii="Times New Roman" w:hAnsi="Times New Roman" w:eastAsia="宋体" w:cs="Times New Roman"/>
          <w:b/>
          <w:color w:val="auto"/>
          <w:sz w:val="24"/>
          <w:szCs w:val="24"/>
          <w:highlight w:val="none"/>
        </w:rPr>
        <w:t>被确定为中标人，后续</w:t>
      </w:r>
      <w:r>
        <w:rPr>
          <w:rFonts w:hint="default" w:ascii="Times New Roman" w:hAnsi="Times New Roman" w:eastAsia="宋体" w:cs="Times New Roman"/>
          <w:b/>
          <w:color w:val="auto"/>
          <w:sz w:val="24"/>
          <w:szCs w:val="24"/>
          <w:highlight w:val="none"/>
          <w:lang w:val="en-US" w:eastAsia="zh-CN"/>
        </w:rPr>
        <w:t>采购包</w:t>
      </w:r>
      <w:r>
        <w:rPr>
          <w:rFonts w:hint="default" w:ascii="Times New Roman" w:hAnsi="Times New Roman" w:eastAsia="宋体" w:cs="Times New Roman"/>
          <w:b/>
          <w:color w:val="auto"/>
          <w:sz w:val="24"/>
          <w:szCs w:val="24"/>
          <w:highlight w:val="none"/>
        </w:rPr>
        <w:t>将不推荐为中标候选人，以此类推</w:t>
      </w:r>
      <w:r>
        <w:rPr>
          <w:rFonts w:hint="default" w:ascii="Times New Roman" w:hAnsi="Times New Roman"/>
          <w:b/>
          <w:color w:val="auto"/>
          <w:sz w:val="24"/>
          <w:highlight w:val="none"/>
          <w:lang w:eastAsia="zh-CN"/>
        </w:rPr>
        <w:t>。</w:t>
      </w:r>
      <w:r>
        <w:rPr>
          <w:rFonts w:hint="default" w:ascii="Times New Roman" w:hAnsi="Times New Roman"/>
          <w:b/>
          <w:color w:val="auto"/>
          <w:sz w:val="24"/>
          <w:highlight w:val="none"/>
        </w:rPr>
        <w:t>同一保险集团公司的不同分（支）机构及子公司不得作为同个辖区的中标候选人。如出现同一保险集团公司的不同分（支）机构及子公司作为同个辖区的中标候选人</w:t>
      </w:r>
      <w:r>
        <w:rPr>
          <w:rFonts w:hint="eastAsia"/>
          <w:b/>
          <w:color w:val="auto"/>
          <w:sz w:val="24"/>
          <w:highlight w:val="none"/>
          <w:lang w:val="en-US" w:eastAsia="zh-CN"/>
        </w:rPr>
        <w:t>情形</w:t>
      </w:r>
      <w:r>
        <w:rPr>
          <w:rFonts w:hint="default" w:ascii="Times New Roman" w:hAnsi="Times New Roman"/>
          <w:b/>
          <w:color w:val="auto"/>
          <w:sz w:val="24"/>
          <w:highlight w:val="none"/>
        </w:rPr>
        <w:t>，则按评标顺序，后评标的采购包按得分位次由其他具备中标资格的投标人作为中标候选人。辖区指市本级</w:t>
      </w:r>
      <w:r>
        <w:rPr>
          <w:rFonts w:hint="eastAsia"/>
          <w:b/>
          <w:color w:val="auto"/>
          <w:sz w:val="24"/>
          <w:highlight w:val="none"/>
          <w:lang w:eastAsia="zh-CN"/>
        </w:rPr>
        <w:t>（</w:t>
      </w:r>
      <w:r>
        <w:rPr>
          <w:rFonts w:hint="eastAsia"/>
          <w:b/>
          <w:color w:val="auto"/>
          <w:sz w:val="24"/>
          <w:highlight w:val="none"/>
          <w:lang w:val="en-US" w:eastAsia="zh-CN"/>
        </w:rPr>
        <w:t>不含赣榆区</w:t>
      </w:r>
      <w:r>
        <w:rPr>
          <w:rFonts w:hint="eastAsia"/>
          <w:b/>
          <w:color w:val="auto"/>
          <w:sz w:val="24"/>
          <w:highlight w:val="none"/>
          <w:lang w:eastAsia="zh-CN"/>
        </w:rPr>
        <w:t>）</w:t>
      </w:r>
      <w:r>
        <w:rPr>
          <w:rFonts w:hint="default" w:ascii="Times New Roman" w:hAnsi="Times New Roman"/>
          <w:b/>
          <w:color w:val="auto"/>
          <w:sz w:val="24"/>
          <w:highlight w:val="none"/>
        </w:rPr>
        <w:t>、赣榆区、东海县、灌云县、灌南县。</w:t>
      </w:r>
    </w:p>
    <w:p w14:paraId="4A3E645C">
      <w:pPr>
        <w:pStyle w:val="33"/>
        <w:spacing w:beforeAutospacing="0" w:afterAutospacing="0" w:line="360" w:lineRule="auto"/>
        <w:ind w:firstLine="482"/>
        <w:jc w:val="both"/>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二、评标委员会构成</w:t>
      </w:r>
    </w:p>
    <w:p w14:paraId="692C5ABB">
      <w:pPr>
        <w:widowControl/>
        <w:spacing w:line="360" w:lineRule="auto"/>
        <w:ind w:firstLine="480"/>
        <w:rPr>
          <w:color w:val="auto"/>
          <w:sz w:val="24"/>
          <w:highlight w:val="none"/>
        </w:rPr>
      </w:pPr>
      <w:r>
        <w:rPr>
          <w:color w:val="auto"/>
          <w:sz w:val="24"/>
          <w:highlight w:val="none"/>
        </w:rPr>
        <w:t>本采购项目评标委员会由采购人代表和评审专家组成。</w:t>
      </w:r>
    </w:p>
    <w:p w14:paraId="6BCA0573">
      <w:pPr>
        <w:pStyle w:val="33"/>
        <w:spacing w:beforeAutospacing="0" w:afterAutospacing="0" w:line="360" w:lineRule="auto"/>
        <w:ind w:firstLine="482"/>
        <w:jc w:val="both"/>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三、评标原则</w:t>
      </w:r>
    </w:p>
    <w:p w14:paraId="05A61DBD">
      <w:pPr>
        <w:widowControl/>
        <w:spacing w:line="360" w:lineRule="auto"/>
        <w:ind w:firstLine="480"/>
        <w:rPr>
          <w:color w:val="auto"/>
          <w:sz w:val="24"/>
          <w:highlight w:val="none"/>
        </w:rPr>
      </w:pPr>
      <w:r>
        <w:rPr>
          <w:color w:val="auto"/>
          <w:sz w:val="24"/>
          <w:highlight w:val="none"/>
        </w:rPr>
        <w:t>评标委员会必须公平、公正、客观，不带任何倾向性和启发性；不得向外界透露任何与评标有关的内容；任何单位和个人不得干扰、影响评标的正常进行；评标委员会及有关工作人员不得私下与</w:t>
      </w:r>
      <w:r>
        <w:rPr>
          <w:rFonts w:hint="eastAsia"/>
          <w:color w:val="auto"/>
          <w:sz w:val="24"/>
          <w:highlight w:val="none"/>
          <w:lang w:eastAsia="zh-CN"/>
        </w:rPr>
        <w:t>投标人</w:t>
      </w:r>
      <w:r>
        <w:rPr>
          <w:color w:val="auto"/>
          <w:sz w:val="24"/>
          <w:highlight w:val="none"/>
        </w:rPr>
        <w:t>接触。</w:t>
      </w:r>
    </w:p>
    <w:p w14:paraId="382EB1E5">
      <w:pPr>
        <w:pStyle w:val="33"/>
        <w:spacing w:beforeAutospacing="0" w:afterAutospacing="0" w:line="360" w:lineRule="auto"/>
        <w:ind w:firstLine="482"/>
        <w:jc w:val="both"/>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四、评标标准</w:t>
      </w:r>
    </w:p>
    <w:p w14:paraId="7BAB3756">
      <w:pPr>
        <w:widowControl/>
        <w:spacing w:line="360" w:lineRule="auto"/>
        <w:ind w:firstLine="480"/>
        <w:rPr>
          <w:color w:val="auto"/>
          <w:sz w:val="24"/>
          <w:highlight w:val="none"/>
        </w:rPr>
      </w:pPr>
      <w:r>
        <w:rPr>
          <w:color w:val="auto"/>
          <w:sz w:val="24"/>
          <w:highlight w:val="none"/>
        </w:rPr>
        <w:t>1、评标时，评标委员会以招标文件为评标依据，评标委员会各成员独立对每个</w:t>
      </w:r>
      <w:r>
        <w:rPr>
          <w:rFonts w:hint="eastAsia"/>
          <w:color w:val="auto"/>
          <w:sz w:val="24"/>
          <w:highlight w:val="none"/>
          <w:lang w:eastAsia="zh-CN"/>
        </w:rPr>
        <w:t>投标人</w:t>
      </w:r>
      <w:r>
        <w:rPr>
          <w:color w:val="auto"/>
          <w:sz w:val="24"/>
          <w:highlight w:val="none"/>
        </w:rPr>
        <w:t>的投标文件进行评价，并汇总每个</w:t>
      </w:r>
      <w:r>
        <w:rPr>
          <w:rFonts w:hint="eastAsia"/>
          <w:color w:val="auto"/>
          <w:sz w:val="24"/>
          <w:highlight w:val="none"/>
          <w:lang w:eastAsia="zh-CN"/>
        </w:rPr>
        <w:t>投标人</w:t>
      </w:r>
      <w:r>
        <w:rPr>
          <w:color w:val="auto"/>
          <w:sz w:val="24"/>
          <w:highlight w:val="none"/>
        </w:rPr>
        <w:t>的得分。</w:t>
      </w:r>
    </w:p>
    <w:p w14:paraId="3B0FC911">
      <w:pPr>
        <w:widowControl/>
        <w:spacing w:line="360" w:lineRule="auto"/>
        <w:ind w:firstLine="480"/>
        <w:rPr>
          <w:color w:val="auto"/>
          <w:sz w:val="24"/>
          <w:highlight w:val="none"/>
        </w:rPr>
      </w:pPr>
      <w:r>
        <w:rPr>
          <w:color w:val="auto"/>
          <w:sz w:val="24"/>
          <w:highlight w:val="none"/>
        </w:rPr>
        <w:t>2、本项目评分总分为100分，按四舍五入取至小数点后两位。</w:t>
      </w:r>
    </w:p>
    <w:p w14:paraId="65050954">
      <w:pPr>
        <w:pStyle w:val="33"/>
        <w:spacing w:line="560" w:lineRule="exact"/>
        <w:ind w:firstLine="482"/>
        <w:jc w:val="both"/>
        <w:rPr>
          <w:rFonts w:hint="default" w:ascii="Times New Roman" w:hAnsi="Times New Roman" w:eastAsia="宋体" w:cs="Times New Roman"/>
          <w:b/>
          <w:bCs/>
          <w:color w:val="auto"/>
          <w:highlight w:val="none"/>
          <w:lang w:val="en-US" w:eastAsia="zh-CN"/>
        </w:rPr>
      </w:pPr>
    </w:p>
    <w:p w14:paraId="235CFE7F">
      <w:pPr>
        <w:spacing w:line="500" w:lineRule="exact"/>
        <w:jc w:val="both"/>
        <w:rPr>
          <w:rFonts w:hint="default" w:ascii="Times New Roman" w:hAnsi="Times New Roman" w:eastAsia="黑体"/>
          <w:color w:val="auto"/>
          <w:sz w:val="32"/>
          <w:szCs w:val="24"/>
          <w:highlight w:val="none"/>
          <w:lang w:val="en-US" w:eastAsia="zh-CN"/>
        </w:rPr>
      </w:pPr>
    </w:p>
    <w:p w14:paraId="4297FF3F">
      <w:pPr>
        <w:spacing w:line="500" w:lineRule="exact"/>
        <w:jc w:val="center"/>
        <w:rPr>
          <w:rFonts w:hint="default" w:ascii="Times New Roman" w:hAnsi="Times New Roman" w:eastAsia="黑体"/>
          <w:color w:val="auto"/>
          <w:sz w:val="32"/>
          <w:szCs w:val="24"/>
          <w:highlight w:val="none"/>
          <w:lang w:val="en-US" w:eastAsia="zh-CN"/>
        </w:rPr>
      </w:pPr>
      <w:r>
        <w:rPr>
          <w:rFonts w:hint="default" w:ascii="Times New Roman" w:hAnsi="Times New Roman" w:eastAsia="黑体"/>
          <w:color w:val="auto"/>
          <w:sz w:val="32"/>
          <w:szCs w:val="24"/>
          <w:highlight w:val="none"/>
        </w:rPr>
        <w:t>综合评分法</w:t>
      </w:r>
    </w:p>
    <w:p w14:paraId="3DC434B6">
      <w:pPr>
        <w:spacing w:line="360" w:lineRule="auto"/>
        <w:ind w:firstLine="482"/>
        <w:rPr>
          <w:rFonts w:ascii="Times New Roman" w:hAnsi="Times New Roman"/>
          <w:b/>
          <w:color w:val="auto"/>
          <w:sz w:val="24"/>
          <w:szCs w:val="24"/>
          <w:highlight w:val="none"/>
        </w:rPr>
      </w:pPr>
      <w:r>
        <w:rPr>
          <w:rFonts w:hint="default" w:ascii="Times New Roman" w:hAnsi="Times New Roman"/>
          <w:b/>
          <w:color w:val="auto"/>
          <w:sz w:val="24"/>
          <w:szCs w:val="24"/>
          <w:highlight w:val="none"/>
          <w:lang w:val="en-US" w:eastAsia="zh-CN"/>
        </w:rPr>
        <w:t>1</w:t>
      </w:r>
      <w:r>
        <w:rPr>
          <w:rFonts w:hint="default" w:ascii="Times New Roman" w:hAnsi="Times New Roman"/>
          <w:b/>
          <w:color w:val="auto"/>
          <w:sz w:val="24"/>
          <w:szCs w:val="24"/>
          <w:highlight w:val="none"/>
        </w:rPr>
        <w:t>.商务分（</w:t>
      </w:r>
      <w:r>
        <w:rPr>
          <w:rFonts w:hint="default" w:ascii="Times New Roman" w:hAnsi="Times New Roman"/>
          <w:b/>
          <w:color w:val="auto"/>
          <w:sz w:val="24"/>
          <w:szCs w:val="24"/>
          <w:highlight w:val="none"/>
          <w:lang w:val="en-US" w:eastAsia="zh-CN"/>
        </w:rPr>
        <w:t>4</w:t>
      </w:r>
      <w:r>
        <w:rPr>
          <w:rFonts w:hint="eastAsia"/>
          <w:b/>
          <w:color w:val="auto"/>
          <w:sz w:val="24"/>
          <w:szCs w:val="24"/>
          <w:highlight w:val="none"/>
          <w:lang w:val="en-US" w:eastAsia="zh-CN"/>
        </w:rPr>
        <w:t>2</w:t>
      </w:r>
      <w:r>
        <w:rPr>
          <w:rFonts w:hint="default" w:ascii="Times New Roman" w:hAnsi="Times New Roman"/>
          <w:b/>
          <w:color w:val="auto"/>
          <w:sz w:val="24"/>
          <w:szCs w:val="24"/>
          <w:highlight w:val="none"/>
        </w:rPr>
        <w:t>分）</w:t>
      </w:r>
    </w:p>
    <w:tbl>
      <w:tblPr>
        <w:tblStyle w:val="36"/>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0"/>
        <w:gridCol w:w="7201"/>
      </w:tblGrid>
      <w:tr w14:paraId="7AADD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60" w:type="dxa"/>
            <w:noWrap w:val="0"/>
            <w:vAlign w:val="center"/>
          </w:tcPr>
          <w:p w14:paraId="652D58B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评审因素</w:t>
            </w:r>
          </w:p>
        </w:tc>
        <w:tc>
          <w:tcPr>
            <w:tcW w:w="7201" w:type="dxa"/>
            <w:noWrap w:val="0"/>
            <w:vAlign w:val="center"/>
          </w:tcPr>
          <w:p w14:paraId="557CAA3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评审标准</w:t>
            </w:r>
          </w:p>
        </w:tc>
      </w:tr>
      <w:tr w14:paraId="6B299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jc w:val="center"/>
        </w:trPr>
        <w:tc>
          <w:tcPr>
            <w:tcW w:w="2260" w:type="dxa"/>
            <w:shd w:val="clear" w:color="auto" w:fill="auto"/>
            <w:noWrap w:val="0"/>
            <w:vAlign w:val="center"/>
          </w:tcPr>
          <w:p w14:paraId="3AD5FB00">
            <w:pPr>
              <w:widowControl/>
              <w:spacing w:line="520" w:lineRule="exact"/>
              <w:jc w:val="center"/>
              <w:rPr>
                <w:color w:val="auto"/>
                <w:sz w:val="24"/>
                <w:highlight w:val="none"/>
              </w:rPr>
            </w:pPr>
            <w:r>
              <w:rPr>
                <w:color w:val="auto"/>
                <w:sz w:val="24"/>
                <w:highlight w:val="none"/>
              </w:rPr>
              <w:t>综合偿付能力</w:t>
            </w:r>
          </w:p>
          <w:p w14:paraId="3952FFEE">
            <w:pPr>
              <w:widowControl/>
              <w:spacing w:line="520" w:lineRule="exact"/>
              <w:jc w:val="center"/>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w:t>
            </w:r>
            <w:r>
              <w:rPr>
                <w:rFonts w:hint="eastAsia"/>
                <w:color w:val="auto"/>
                <w:sz w:val="24"/>
                <w:highlight w:val="none"/>
                <w:lang w:val="en-US" w:eastAsia="zh-CN"/>
              </w:rPr>
              <w:t>5分</w:t>
            </w:r>
            <w:r>
              <w:rPr>
                <w:rFonts w:hint="eastAsia"/>
                <w:color w:val="auto"/>
                <w:sz w:val="24"/>
                <w:highlight w:val="none"/>
                <w:lang w:eastAsia="zh-CN"/>
              </w:rPr>
              <w:t>）</w:t>
            </w:r>
          </w:p>
        </w:tc>
        <w:tc>
          <w:tcPr>
            <w:tcW w:w="7201" w:type="dxa"/>
            <w:shd w:val="clear" w:color="auto" w:fill="auto"/>
            <w:noWrap w:val="0"/>
            <w:vAlign w:val="center"/>
          </w:tcPr>
          <w:p w14:paraId="6DAF9F1B">
            <w:pPr>
              <w:pStyle w:val="33"/>
              <w:spacing w:line="380" w:lineRule="exact"/>
              <w:ind w:firstLine="482"/>
              <w:rPr>
                <w:color w:val="auto"/>
                <w:highlight w:val="none"/>
              </w:rPr>
            </w:pPr>
            <w:r>
              <w:rPr>
                <w:rFonts w:hint="default" w:ascii="Times New Roman" w:hAnsi="Times New Roman" w:cs="Times New Roman" w:eastAsiaTheme="majorEastAsia"/>
                <w:color w:val="auto"/>
                <w:sz w:val="24"/>
                <w:szCs w:val="24"/>
                <w:highlight w:val="none"/>
                <w:lang w:val="en-US" w:eastAsia="zh-CN" w:bidi="ar-SA"/>
              </w:rPr>
              <w:t>根据投标人总公司经审计的2025年末综合偿付能力报告进行评分。</w:t>
            </w:r>
          </w:p>
          <w:p w14:paraId="0BC16969">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2026年新成立的提供2026年最近一个季度的综合偿付能力报告。</w:t>
            </w:r>
          </w:p>
          <w:p w14:paraId="521B5D0D">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综合偿付能力充足率≥200%，</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5</w:t>
            </w:r>
            <w:r>
              <w:rPr>
                <w:rFonts w:hint="default" w:ascii="Times New Roman" w:hAnsi="Times New Roman" w:cs="Times New Roman" w:eastAsiaTheme="majorEastAsia"/>
                <w:b/>
                <w:bCs/>
                <w:color w:val="auto"/>
                <w:sz w:val="24"/>
                <w:szCs w:val="24"/>
                <w:highlight w:val="none"/>
                <w:lang w:val="en-US" w:eastAsia="zh-CN" w:bidi="ar-SA"/>
              </w:rPr>
              <w:t>分；</w:t>
            </w:r>
          </w:p>
          <w:p w14:paraId="49722C1A">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100%≤综合偿付能力充足率﹤200%，</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4</w:t>
            </w:r>
            <w:r>
              <w:rPr>
                <w:rFonts w:hint="default" w:ascii="Times New Roman" w:hAnsi="Times New Roman" w:cs="Times New Roman" w:eastAsiaTheme="majorEastAsia"/>
                <w:b/>
                <w:bCs/>
                <w:color w:val="auto"/>
                <w:sz w:val="24"/>
                <w:szCs w:val="24"/>
                <w:highlight w:val="none"/>
                <w:lang w:val="en-US" w:eastAsia="zh-CN" w:bidi="ar-SA"/>
              </w:rPr>
              <w:t>分；</w:t>
            </w:r>
          </w:p>
          <w:p w14:paraId="0CA70C96">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综合偿付能力低于100%的，</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3</w:t>
            </w:r>
            <w:r>
              <w:rPr>
                <w:rFonts w:hint="default" w:ascii="Times New Roman" w:hAnsi="Times New Roman" w:cs="Times New Roman" w:eastAsiaTheme="majorEastAsia"/>
                <w:b/>
                <w:bCs/>
                <w:color w:val="auto"/>
                <w:sz w:val="24"/>
                <w:szCs w:val="24"/>
                <w:highlight w:val="none"/>
                <w:lang w:val="en-US" w:eastAsia="zh-CN" w:bidi="ar-SA"/>
              </w:rPr>
              <w:t>分。</w:t>
            </w:r>
          </w:p>
          <w:p w14:paraId="3E35181F">
            <w:pPr>
              <w:pStyle w:val="190"/>
              <w:keepNext w:val="0"/>
              <w:keepLines w:val="0"/>
              <w:pageBreakBefore w:val="0"/>
              <w:widowControl w:val="0"/>
              <w:spacing w:line="38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注：提供审计报告复印件或扫描件或电子件加盖投标人公章，否则投标无效。</w:t>
            </w:r>
          </w:p>
          <w:p w14:paraId="2AFB319D">
            <w:pPr>
              <w:pStyle w:val="190"/>
              <w:keepNext w:val="0"/>
              <w:keepLines w:val="0"/>
              <w:pageBreakBefore w:val="0"/>
              <w:widowControl w:val="0"/>
              <w:spacing w:line="380" w:lineRule="exact"/>
              <w:ind w:firstLine="0"/>
              <w:jc w:val="both"/>
              <w:rPr>
                <w:rFonts w:ascii="Times New Roman" w:hAnsi="Times New Roman" w:eastAsiaTheme="minorEastAsia"/>
                <w:color w:val="auto"/>
                <w:sz w:val="24"/>
                <w:highlight w:val="none"/>
              </w:rPr>
            </w:pPr>
          </w:p>
        </w:tc>
      </w:tr>
      <w:tr w14:paraId="10785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0" w:hRule="atLeast"/>
          <w:jc w:val="center"/>
        </w:trPr>
        <w:tc>
          <w:tcPr>
            <w:tcW w:w="2260" w:type="dxa"/>
            <w:shd w:val="clear" w:color="auto" w:fill="auto"/>
            <w:noWrap w:val="0"/>
            <w:vAlign w:val="center"/>
          </w:tcPr>
          <w:p w14:paraId="6CCDDC46">
            <w:pPr>
              <w:widowControl/>
              <w:spacing w:line="520" w:lineRule="exact"/>
              <w:jc w:val="center"/>
              <w:rPr>
                <w:color w:val="auto"/>
                <w:sz w:val="24"/>
                <w:highlight w:val="none"/>
              </w:rPr>
            </w:pPr>
            <w:r>
              <w:rPr>
                <w:color w:val="auto"/>
                <w:sz w:val="24"/>
                <w:highlight w:val="none"/>
              </w:rPr>
              <w:t>核心偿付能力</w:t>
            </w:r>
          </w:p>
          <w:p w14:paraId="2E51375C">
            <w:pPr>
              <w:widowControl/>
              <w:spacing w:line="520" w:lineRule="exact"/>
              <w:jc w:val="center"/>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w:t>
            </w:r>
            <w:r>
              <w:rPr>
                <w:rFonts w:hint="eastAsia"/>
                <w:color w:val="auto"/>
                <w:sz w:val="24"/>
                <w:highlight w:val="none"/>
                <w:lang w:val="en-US" w:eastAsia="zh-CN"/>
              </w:rPr>
              <w:t>5分</w:t>
            </w:r>
            <w:r>
              <w:rPr>
                <w:rFonts w:hint="eastAsia"/>
                <w:color w:val="auto"/>
                <w:sz w:val="24"/>
                <w:highlight w:val="none"/>
                <w:lang w:eastAsia="zh-CN"/>
              </w:rPr>
              <w:t>）</w:t>
            </w:r>
          </w:p>
        </w:tc>
        <w:tc>
          <w:tcPr>
            <w:tcW w:w="7201" w:type="dxa"/>
            <w:shd w:val="clear" w:color="auto" w:fill="auto"/>
            <w:noWrap w:val="0"/>
            <w:vAlign w:val="center"/>
          </w:tcPr>
          <w:p w14:paraId="7251873F">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根据投标人总公司经审计的2025年末核心偿付能力报告进行评分。</w:t>
            </w:r>
          </w:p>
          <w:p w14:paraId="227B7413">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2026年新成立的提供2026年最近一个季度的核心偿付能力报告。</w:t>
            </w:r>
          </w:p>
          <w:p w14:paraId="1DE16AC6">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核心偿付能力充足率≥200%，</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5</w:t>
            </w:r>
            <w:r>
              <w:rPr>
                <w:rFonts w:hint="default" w:ascii="Times New Roman" w:hAnsi="Times New Roman" w:cs="Times New Roman" w:eastAsiaTheme="majorEastAsia"/>
                <w:b/>
                <w:bCs/>
                <w:color w:val="auto"/>
                <w:sz w:val="24"/>
                <w:szCs w:val="24"/>
                <w:highlight w:val="none"/>
                <w:lang w:val="en-US" w:eastAsia="zh-CN" w:bidi="ar-SA"/>
              </w:rPr>
              <w:t>分；</w:t>
            </w:r>
          </w:p>
          <w:p w14:paraId="6C1F2B58">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100%≤核心偿付能力充足率﹤200%，</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4</w:t>
            </w:r>
            <w:r>
              <w:rPr>
                <w:rFonts w:hint="default" w:ascii="Times New Roman" w:hAnsi="Times New Roman" w:cs="Times New Roman" w:eastAsiaTheme="majorEastAsia"/>
                <w:b/>
                <w:bCs/>
                <w:color w:val="auto"/>
                <w:sz w:val="24"/>
                <w:szCs w:val="24"/>
                <w:highlight w:val="none"/>
                <w:lang w:val="en-US" w:eastAsia="zh-CN" w:bidi="ar-SA"/>
              </w:rPr>
              <w:t>分；</w:t>
            </w:r>
          </w:p>
          <w:p w14:paraId="39E5E337">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核心偿付能力低于100%的，</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3</w:t>
            </w:r>
            <w:r>
              <w:rPr>
                <w:rFonts w:hint="default" w:ascii="Times New Roman" w:hAnsi="Times New Roman" w:cs="Times New Roman" w:eastAsiaTheme="majorEastAsia"/>
                <w:b/>
                <w:bCs/>
                <w:color w:val="auto"/>
                <w:sz w:val="24"/>
                <w:szCs w:val="24"/>
                <w:highlight w:val="none"/>
                <w:lang w:val="en-US" w:eastAsia="zh-CN" w:bidi="ar-SA"/>
              </w:rPr>
              <w:t>分。</w:t>
            </w:r>
          </w:p>
          <w:p w14:paraId="44C89E92">
            <w:pPr>
              <w:pStyle w:val="190"/>
              <w:keepNext w:val="0"/>
              <w:keepLines w:val="0"/>
              <w:pageBreakBefore w:val="0"/>
              <w:widowControl w:val="0"/>
              <w:spacing w:line="38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注：提供审计报告复印件或扫描件或电子件加盖投标人公章，否则投标无效。</w:t>
            </w:r>
          </w:p>
          <w:p w14:paraId="606169A2">
            <w:pPr>
              <w:keepNext w:val="0"/>
              <w:keepLines w:val="0"/>
              <w:pageBreakBefore w:val="0"/>
              <w:widowControl/>
              <w:spacing w:line="380" w:lineRule="exact"/>
              <w:ind w:firstLine="0"/>
              <w:jc w:val="both"/>
              <w:rPr>
                <w:rFonts w:ascii="Times New Roman" w:hAnsi="Times New Roman" w:cs="Times New Roman"/>
                <w:b/>
                <w:bCs/>
                <w:color w:val="auto"/>
                <w:sz w:val="24"/>
                <w:szCs w:val="24"/>
                <w:highlight w:val="none"/>
              </w:rPr>
            </w:pPr>
          </w:p>
        </w:tc>
      </w:tr>
      <w:tr w14:paraId="69A88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60" w:type="dxa"/>
            <w:shd w:val="clear" w:color="auto" w:fill="auto"/>
            <w:noWrap w:val="0"/>
            <w:vAlign w:val="center"/>
          </w:tcPr>
          <w:p w14:paraId="774ADACB">
            <w:pPr>
              <w:widowControl/>
              <w:spacing w:line="520" w:lineRule="exact"/>
              <w:jc w:val="center"/>
              <w:rPr>
                <w:color w:val="auto"/>
                <w:sz w:val="24"/>
                <w:highlight w:val="none"/>
              </w:rPr>
            </w:pPr>
            <w:r>
              <w:rPr>
                <w:color w:val="auto"/>
                <w:sz w:val="24"/>
                <w:highlight w:val="none"/>
              </w:rPr>
              <w:t>风险</w:t>
            </w:r>
            <w:r>
              <w:rPr>
                <w:rFonts w:hint="eastAsia"/>
                <w:color w:val="auto"/>
                <w:sz w:val="24"/>
                <w:highlight w:val="none"/>
                <w:lang w:val="en-US" w:eastAsia="zh-CN"/>
              </w:rPr>
              <w:t>综合</w:t>
            </w:r>
            <w:r>
              <w:rPr>
                <w:color w:val="auto"/>
                <w:sz w:val="24"/>
                <w:highlight w:val="none"/>
              </w:rPr>
              <w:t>评级</w:t>
            </w:r>
          </w:p>
          <w:p w14:paraId="4788E6CF">
            <w:pPr>
              <w:widowControl/>
              <w:spacing w:line="520" w:lineRule="exact"/>
              <w:jc w:val="center"/>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w:t>
            </w:r>
            <w:r>
              <w:rPr>
                <w:rFonts w:hint="eastAsia"/>
                <w:color w:val="auto"/>
                <w:sz w:val="24"/>
                <w:highlight w:val="none"/>
                <w:lang w:val="en-US" w:eastAsia="zh-CN"/>
              </w:rPr>
              <w:t>4分</w:t>
            </w:r>
            <w:r>
              <w:rPr>
                <w:rFonts w:hint="eastAsia"/>
                <w:color w:val="auto"/>
                <w:sz w:val="24"/>
                <w:highlight w:val="none"/>
                <w:lang w:eastAsia="zh-CN"/>
              </w:rPr>
              <w:t>）</w:t>
            </w:r>
          </w:p>
        </w:tc>
        <w:tc>
          <w:tcPr>
            <w:tcW w:w="7201" w:type="dxa"/>
            <w:shd w:val="clear" w:color="auto" w:fill="auto"/>
            <w:noWrap w:val="0"/>
            <w:vAlign w:val="center"/>
          </w:tcPr>
          <w:p w14:paraId="38658D64">
            <w:pPr>
              <w:keepNext w:val="0"/>
              <w:keepLines w:val="0"/>
              <w:pageBreakBefore w:val="0"/>
              <w:widowControl/>
              <w:spacing w:line="380" w:lineRule="exact"/>
              <w:ind w:firstLine="480"/>
              <w:jc w:val="left"/>
              <w:rPr>
                <w:rFonts w:hint="eastAsia"/>
                <w:color w:val="auto"/>
                <w:sz w:val="24"/>
                <w:highlight w:val="none"/>
              </w:rPr>
            </w:pPr>
            <w:r>
              <w:rPr>
                <w:rFonts w:hint="eastAsia"/>
                <w:color w:val="auto"/>
                <w:sz w:val="24"/>
                <w:highlight w:val="none"/>
                <w:lang w:val="en-US" w:eastAsia="zh-CN"/>
              </w:rPr>
              <w:t>根据</w:t>
            </w:r>
            <w:r>
              <w:rPr>
                <w:rFonts w:hint="eastAsia"/>
                <w:color w:val="auto"/>
                <w:sz w:val="24"/>
                <w:highlight w:val="none"/>
                <w:lang w:eastAsia="zh-CN"/>
              </w:rPr>
              <w:t>投标人</w:t>
            </w:r>
            <w:r>
              <w:rPr>
                <w:rFonts w:hint="eastAsia"/>
                <w:color w:val="auto"/>
                <w:sz w:val="24"/>
                <w:highlight w:val="none"/>
                <w:lang w:val="en-US" w:eastAsia="zh-CN"/>
              </w:rPr>
              <w:t>总公司</w:t>
            </w:r>
            <w:r>
              <w:rPr>
                <w:rFonts w:hint="eastAsia"/>
                <w:color w:val="auto"/>
                <w:sz w:val="24"/>
                <w:highlight w:val="none"/>
              </w:rPr>
              <w:t>202</w:t>
            </w:r>
            <w:r>
              <w:rPr>
                <w:rFonts w:hint="eastAsia"/>
                <w:color w:val="auto"/>
                <w:sz w:val="24"/>
                <w:highlight w:val="none"/>
                <w:lang w:val="en-US" w:eastAsia="zh-CN"/>
              </w:rPr>
              <w:t>5</w:t>
            </w:r>
            <w:r>
              <w:rPr>
                <w:rFonts w:hint="eastAsia"/>
                <w:color w:val="auto"/>
                <w:sz w:val="24"/>
                <w:highlight w:val="none"/>
              </w:rPr>
              <w:t>年第三季度、第四季度，202</w:t>
            </w:r>
            <w:r>
              <w:rPr>
                <w:rFonts w:hint="eastAsia"/>
                <w:color w:val="auto"/>
                <w:sz w:val="24"/>
                <w:highlight w:val="none"/>
                <w:lang w:val="en-US" w:eastAsia="zh-CN"/>
              </w:rPr>
              <w:t>6</w:t>
            </w:r>
            <w:r>
              <w:rPr>
                <w:rFonts w:hint="eastAsia"/>
                <w:color w:val="auto"/>
                <w:sz w:val="24"/>
                <w:highlight w:val="none"/>
              </w:rPr>
              <w:t>年第一季度</w:t>
            </w:r>
            <w:r>
              <w:rPr>
                <w:rFonts w:hint="eastAsia"/>
                <w:color w:val="auto"/>
                <w:sz w:val="24"/>
                <w:highlight w:val="none"/>
                <w:lang w:eastAsia="zh-CN"/>
              </w:rPr>
              <w:t>、</w:t>
            </w:r>
            <w:r>
              <w:rPr>
                <w:rFonts w:hint="eastAsia"/>
                <w:color w:val="auto"/>
                <w:sz w:val="24"/>
                <w:highlight w:val="none"/>
                <w:lang w:val="en-US" w:eastAsia="zh-CN"/>
              </w:rPr>
              <w:t>第二季度</w:t>
            </w:r>
            <w:r>
              <w:rPr>
                <w:rFonts w:hint="eastAsia"/>
                <w:color w:val="auto"/>
                <w:sz w:val="24"/>
                <w:highlight w:val="none"/>
              </w:rPr>
              <w:t>共四个季度风险综合评级。</w:t>
            </w:r>
          </w:p>
          <w:p w14:paraId="68836410">
            <w:pPr>
              <w:keepNext w:val="0"/>
              <w:keepLines w:val="0"/>
              <w:pageBreakBefore w:val="0"/>
              <w:widowControl/>
              <w:spacing w:line="540" w:lineRule="exact"/>
              <w:ind w:firstLine="480"/>
              <w:jc w:val="left"/>
              <w:rPr>
                <w:rFonts w:hint="eastAsia" w:eastAsia="宋体"/>
                <w:color w:val="auto"/>
                <w:sz w:val="24"/>
                <w:highlight w:val="none"/>
                <w:lang w:eastAsia="zh-CN"/>
              </w:rPr>
            </w:pPr>
            <w:r>
              <w:rPr>
                <w:rFonts w:hint="eastAsia"/>
                <w:color w:val="auto"/>
                <w:sz w:val="24"/>
                <w:highlight w:val="none"/>
              </w:rPr>
              <w:t>每</w:t>
            </w:r>
            <w:r>
              <w:rPr>
                <w:rFonts w:hint="eastAsia"/>
                <w:color w:val="auto"/>
                <w:sz w:val="24"/>
                <w:highlight w:val="none"/>
                <w:lang w:val="en-US" w:eastAsia="zh-CN"/>
              </w:rPr>
              <w:t>有一个</w:t>
            </w:r>
            <w:r>
              <w:rPr>
                <w:rFonts w:hint="eastAsia"/>
                <w:color w:val="auto"/>
                <w:sz w:val="24"/>
                <w:highlight w:val="none"/>
              </w:rPr>
              <w:t>季度</w:t>
            </w:r>
            <w:r>
              <w:rPr>
                <w:rFonts w:hint="eastAsia"/>
                <w:color w:val="auto"/>
                <w:sz w:val="24"/>
                <w:highlight w:val="none"/>
                <w:lang w:val="en-US" w:eastAsia="zh-CN"/>
              </w:rPr>
              <w:t>评为</w:t>
            </w:r>
            <w:r>
              <w:rPr>
                <w:rFonts w:hint="eastAsia"/>
                <w:color w:val="auto"/>
                <w:sz w:val="24"/>
                <w:highlight w:val="none"/>
              </w:rPr>
              <w:t>AAA或A</w:t>
            </w:r>
            <w:r>
              <w:rPr>
                <w:rFonts w:hint="eastAsia"/>
                <w:color w:val="auto"/>
                <w:sz w:val="24"/>
                <w:highlight w:val="none"/>
                <w:lang w:val="en-US" w:eastAsia="zh-CN"/>
              </w:rPr>
              <w:t>A</w:t>
            </w:r>
            <w:r>
              <w:rPr>
                <w:rFonts w:hint="eastAsia"/>
                <w:color w:val="auto"/>
                <w:sz w:val="24"/>
                <w:highlight w:val="none"/>
              </w:rPr>
              <w:t>或A的，</w:t>
            </w:r>
            <w:r>
              <w:rPr>
                <w:rFonts w:hint="default" w:ascii="Times New Roman" w:hAnsi="Times New Roman" w:cs="Times New Roman" w:eastAsiaTheme="majorEastAsia"/>
                <w:b/>
                <w:bCs/>
                <w:color w:val="auto"/>
                <w:sz w:val="24"/>
                <w:szCs w:val="24"/>
                <w:highlight w:val="none"/>
                <w:lang w:val="en-US" w:eastAsia="zh-CN" w:bidi="ar-SA"/>
              </w:rPr>
              <w:t>得1分；</w:t>
            </w:r>
            <w:r>
              <w:rPr>
                <w:rFonts w:hint="eastAsia"/>
                <w:color w:val="auto"/>
                <w:sz w:val="24"/>
                <w:highlight w:val="none"/>
              </w:rPr>
              <w:t>每</w:t>
            </w:r>
            <w:r>
              <w:rPr>
                <w:rFonts w:hint="eastAsia"/>
                <w:color w:val="auto"/>
                <w:sz w:val="24"/>
                <w:highlight w:val="none"/>
                <w:lang w:val="en-US" w:eastAsia="zh-CN"/>
              </w:rPr>
              <w:t>有一个</w:t>
            </w:r>
            <w:r>
              <w:rPr>
                <w:rFonts w:hint="eastAsia"/>
                <w:color w:val="auto"/>
                <w:sz w:val="24"/>
                <w:highlight w:val="none"/>
              </w:rPr>
              <w:t>季度</w:t>
            </w:r>
            <w:r>
              <w:rPr>
                <w:rFonts w:hint="eastAsia"/>
                <w:color w:val="auto"/>
                <w:sz w:val="24"/>
                <w:highlight w:val="none"/>
                <w:lang w:val="en-US" w:eastAsia="zh-CN"/>
              </w:rPr>
              <w:t>评为</w:t>
            </w:r>
            <w:r>
              <w:rPr>
                <w:rFonts w:hint="eastAsia"/>
                <w:color w:val="auto"/>
                <w:sz w:val="24"/>
                <w:highlight w:val="none"/>
              </w:rPr>
              <w:t>BBB 或 BB 或B的，</w:t>
            </w:r>
            <w:r>
              <w:rPr>
                <w:rFonts w:hint="default" w:ascii="Times New Roman" w:hAnsi="Times New Roman" w:cs="Times New Roman" w:eastAsiaTheme="majorEastAsia"/>
                <w:b/>
                <w:bCs/>
                <w:color w:val="auto"/>
                <w:sz w:val="24"/>
                <w:szCs w:val="24"/>
                <w:highlight w:val="none"/>
                <w:lang w:val="en-US" w:eastAsia="zh-CN" w:bidi="ar-SA"/>
              </w:rPr>
              <w:t>得 0.75分，</w:t>
            </w:r>
            <w:r>
              <w:rPr>
                <w:rFonts w:hint="eastAsia"/>
                <w:color w:val="auto"/>
                <w:sz w:val="24"/>
                <w:highlight w:val="none"/>
                <w:lang w:val="en-US" w:eastAsia="zh-CN"/>
              </w:rPr>
              <w:t>本项最高</w:t>
            </w:r>
            <w:r>
              <w:rPr>
                <w:rFonts w:hint="default" w:ascii="Times New Roman" w:hAnsi="Times New Roman" w:cs="Times New Roman" w:eastAsiaTheme="majorEastAsia"/>
                <w:b/>
                <w:bCs/>
                <w:color w:val="auto"/>
                <w:sz w:val="24"/>
                <w:szCs w:val="24"/>
                <w:highlight w:val="none"/>
                <w:lang w:val="en-US" w:eastAsia="zh-CN" w:bidi="ar-SA"/>
              </w:rPr>
              <w:t>得4分。</w:t>
            </w:r>
          </w:p>
          <w:p w14:paraId="6A9081E2">
            <w:pPr>
              <w:widowControl/>
              <w:spacing w:line="520" w:lineRule="exact"/>
              <w:ind w:firstLine="482"/>
              <w:jc w:val="both"/>
              <w:rPr>
                <w:rFonts w:ascii="Times New Roman" w:hAnsi="Times New Roman" w:cs="Times New Roman"/>
                <w:b/>
                <w:bCs/>
                <w:color w:val="auto"/>
                <w:sz w:val="24"/>
                <w:szCs w:val="24"/>
                <w:highlight w:val="none"/>
              </w:rPr>
            </w:pPr>
            <w:r>
              <w:rPr>
                <w:rFonts w:eastAsia="宋体"/>
                <w:b/>
                <w:bCs/>
                <w:color w:val="auto"/>
                <w:sz w:val="24"/>
                <w:szCs w:val="24"/>
                <w:highlight w:val="none"/>
                <w:lang w:val="en-US" w:eastAsia="zh-CN"/>
              </w:rPr>
              <w:t>注：提供</w:t>
            </w:r>
            <w:r>
              <w:rPr>
                <w:rFonts w:hint="eastAsia" w:eastAsia="宋体"/>
                <w:b/>
                <w:bCs/>
                <w:color w:val="auto"/>
                <w:sz w:val="24"/>
                <w:szCs w:val="24"/>
                <w:highlight w:val="none"/>
                <w:lang w:val="en-US" w:eastAsia="zh-CN"/>
              </w:rPr>
              <w:t>金融监督管理局（网站）</w:t>
            </w:r>
            <w:r>
              <w:rPr>
                <w:rFonts w:eastAsia="宋体"/>
                <w:b/>
                <w:bCs/>
                <w:color w:val="auto"/>
                <w:sz w:val="24"/>
                <w:szCs w:val="24"/>
                <w:highlight w:val="none"/>
                <w:lang w:val="en-US" w:eastAsia="zh-CN"/>
              </w:rPr>
              <w:t>最终评级结果截图或风险综合评级结果通报文件，加盖</w:t>
            </w:r>
            <w:r>
              <w:rPr>
                <w:rFonts w:hint="eastAsia"/>
                <w:b/>
                <w:bCs/>
                <w:color w:val="auto"/>
                <w:sz w:val="24"/>
                <w:szCs w:val="24"/>
                <w:highlight w:val="none"/>
                <w:lang w:val="en-US" w:eastAsia="zh-CN"/>
              </w:rPr>
              <w:t>投标人</w:t>
            </w:r>
            <w:r>
              <w:rPr>
                <w:rFonts w:eastAsia="宋体"/>
                <w:b/>
                <w:bCs/>
                <w:color w:val="auto"/>
                <w:sz w:val="24"/>
                <w:szCs w:val="24"/>
                <w:highlight w:val="none"/>
                <w:lang w:val="en-US" w:eastAsia="zh-CN"/>
              </w:rPr>
              <w:t>公章，否则不得分。</w:t>
            </w:r>
          </w:p>
        </w:tc>
      </w:tr>
      <w:tr w14:paraId="18099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60" w:type="dxa"/>
            <w:shd w:val="clear" w:color="auto" w:fill="auto"/>
            <w:noWrap w:val="0"/>
            <w:vAlign w:val="center"/>
          </w:tcPr>
          <w:p w14:paraId="58FE1A82">
            <w:pPr>
              <w:widowControl/>
              <w:spacing w:line="520" w:lineRule="exact"/>
              <w:jc w:val="center"/>
              <w:rPr>
                <w:color w:val="auto"/>
                <w:sz w:val="24"/>
                <w:highlight w:val="none"/>
              </w:rPr>
            </w:pPr>
            <w:r>
              <w:rPr>
                <w:color w:val="auto"/>
                <w:sz w:val="24"/>
                <w:highlight w:val="none"/>
              </w:rPr>
              <w:t>医保合作项目</w:t>
            </w:r>
          </w:p>
          <w:p w14:paraId="0A2A81B5">
            <w:pPr>
              <w:widowControl/>
              <w:spacing w:line="520" w:lineRule="exact"/>
              <w:jc w:val="center"/>
              <w:rPr>
                <w:rFonts w:hint="default" w:ascii="Times New Roman" w:hAnsi="Times New Roman" w:cs="Times New Roman" w:eastAsiaTheme="minorEastAsia"/>
                <w:color w:val="auto"/>
                <w:sz w:val="24"/>
                <w:szCs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7分</w:t>
            </w:r>
            <w:r>
              <w:rPr>
                <w:rFonts w:hint="eastAsia"/>
                <w:color w:val="auto"/>
                <w:sz w:val="24"/>
                <w:highlight w:val="none"/>
                <w:lang w:eastAsia="zh-CN"/>
              </w:rPr>
              <w:t>）</w:t>
            </w:r>
          </w:p>
        </w:tc>
        <w:tc>
          <w:tcPr>
            <w:tcW w:w="7201" w:type="dxa"/>
            <w:shd w:val="clear" w:color="auto" w:fill="auto"/>
            <w:noWrap w:val="0"/>
            <w:vAlign w:val="center"/>
          </w:tcPr>
          <w:p w14:paraId="28DFA95E">
            <w:pPr>
              <w:keepNext w:val="0"/>
              <w:keepLines w:val="0"/>
              <w:pageBreakBefore w:val="0"/>
              <w:widowControl w:val="0"/>
              <w:spacing w:line="380" w:lineRule="exact"/>
              <w:ind w:firstLine="480"/>
              <w:jc w:val="left"/>
              <w:rPr>
                <w:color w:val="auto"/>
                <w:sz w:val="24"/>
                <w:highlight w:val="none"/>
              </w:rPr>
            </w:pPr>
            <w:r>
              <w:rPr>
                <w:rFonts w:hint="eastAsia"/>
                <w:color w:val="auto"/>
                <w:sz w:val="24"/>
                <w:highlight w:val="none"/>
                <w:lang w:eastAsia="zh-CN"/>
              </w:rPr>
              <w:t>投标人</w:t>
            </w:r>
            <w:r>
              <w:rPr>
                <w:color w:val="auto"/>
                <w:sz w:val="24"/>
                <w:highlight w:val="none"/>
              </w:rPr>
              <w:t>所属</w:t>
            </w:r>
            <w:r>
              <w:rPr>
                <w:rFonts w:hint="eastAsia"/>
                <w:color w:val="auto"/>
                <w:sz w:val="24"/>
                <w:highlight w:val="none"/>
                <w:lang w:val="en-US" w:eastAsia="zh-CN"/>
              </w:rPr>
              <w:t>总</w:t>
            </w:r>
            <w:r>
              <w:rPr>
                <w:color w:val="auto"/>
                <w:sz w:val="24"/>
                <w:highlight w:val="none"/>
              </w:rPr>
              <w:t>公司或者</w:t>
            </w:r>
            <w:r>
              <w:rPr>
                <w:rFonts w:hint="eastAsia"/>
                <w:color w:val="auto"/>
                <w:sz w:val="24"/>
                <w:highlight w:val="none"/>
                <w:lang w:val="en-US" w:eastAsia="zh-CN"/>
              </w:rPr>
              <w:t>总</w:t>
            </w:r>
            <w:r>
              <w:rPr>
                <w:color w:val="auto"/>
                <w:sz w:val="24"/>
                <w:highlight w:val="none"/>
              </w:rPr>
              <w:t>公司所属的</w:t>
            </w:r>
            <w:r>
              <w:rPr>
                <w:rFonts w:hint="eastAsia"/>
                <w:color w:val="auto"/>
                <w:sz w:val="24"/>
                <w:highlight w:val="none"/>
                <w:lang w:val="en-US" w:eastAsia="zh-CN"/>
              </w:rPr>
              <w:t>分支机构</w:t>
            </w:r>
            <w:r>
              <w:rPr>
                <w:color w:val="auto"/>
                <w:sz w:val="24"/>
                <w:highlight w:val="none"/>
              </w:rPr>
              <w:t>自202</w:t>
            </w:r>
            <w:r>
              <w:rPr>
                <w:rFonts w:hint="eastAsia"/>
                <w:color w:val="auto"/>
                <w:sz w:val="24"/>
                <w:highlight w:val="none"/>
                <w:lang w:val="en-US" w:eastAsia="zh-CN"/>
              </w:rPr>
              <w:t>3</w:t>
            </w:r>
            <w:r>
              <w:rPr>
                <w:color w:val="auto"/>
                <w:sz w:val="24"/>
                <w:highlight w:val="none"/>
              </w:rPr>
              <w:t>年</w:t>
            </w:r>
            <w:r>
              <w:rPr>
                <w:rFonts w:hint="eastAsia"/>
                <w:color w:val="auto"/>
                <w:sz w:val="24"/>
                <w:highlight w:val="none"/>
                <w:lang w:val="en-US" w:eastAsia="zh-CN"/>
              </w:rPr>
              <w:t>1月1日</w:t>
            </w:r>
            <w:r>
              <w:rPr>
                <w:color w:val="auto"/>
                <w:sz w:val="24"/>
                <w:highlight w:val="none"/>
              </w:rPr>
              <w:t>（项目合同签订时间为准）</w:t>
            </w:r>
            <w:r>
              <w:rPr>
                <w:rFonts w:hint="eastAsia"/>
                <w:color w:val="auto"/>
                <w:sz w:val="24"/>
                <w:highlight w:val="none"/>
              </w:rPr>
              <w:t>以来</w:t>
            </w:r>
            <w:r>
              <w:rPr>
                <w:color w:val="auto"/>
                <w:sz w:val="24"/>
                <w:highlight w:val="none"/>
              </w:rPr>
              <w:t>承保</w:t>
            </w:r>
            <w:r>
              <w:rPr>
                <w:rFonts w:hint="eastAsia"/>
                <w:color w:val="auto"/>
                <w:sz w:val="24"/>
                <w:highlight w:val="none"/>
                <w:lang w:val="en-US" w:eastAsia="zh-CN"/>
              </w:rPr>
              <w:t>医疗</w:t>
            </w:r>
            <w:r>
              <w:rPr>
                <w:color w:val="auto"/>
                <w:sz w:val="24"/>
                <w:highlight w:val="none"/>
              </w:rPr>
              <w:t>保险</w:t>
            </w:r>
            <w:r>
              <w:rPr>
                <w:rFonts w:hint="eastAsia"/>
                <w:color w:val="auto"/>
                <w:sz w:val="24"/>
                <w:highlight w:val="none"/>
                <w:lang w:val="en-US" w:eastAsia="zh-CN"/>
              </w:rPr>
              <w:t>项目</w:t>
            </w:r>
            <w:r>
              <w:rPr>
                <w:color w:val="auto"/>
                <w:sz w:val="24"/>
                <w:highlight w:val="none"/>
              </w:rPr>
              <w:t>（包括职工大病保险、职工大额医疗补助保险、居民大病保险及险种内容相同但名称不同</w:t>
            </w:r>
            <w:r>
              <w:rPr>
                <w:rFonts w:hint="eastAsia"/>
                <w:color w:val="auto"/>
                <w:sz w:val="24"/>
                <w:highlight w:val="none"/>
                <w:lang w:val="en-US" w:eastAsia="zh-CN"/>
              </w:rPr>
              <w:t>以及与基本医保相关的补充医疗保险项目，具体为与医保部门开展的基本医疗、大病保险、补充医疗、医疗救助、城市定制型商业补充医疗保险等医保合作项目</w:t>
            </w:r>
            <w:r>
              <w:rPr>
                <w:color w:val="auto"/>
                <w:sz w:val="24"/>
                <w:highlight w:val="none"/>
              </w:rPr>
              <w:t>），每有一个</w:t>
            </w:r>
            <w:r>
              <w:rPr>
                <w:rFonts w:ascii="Times New Roman" w:hAnsi="Times New Roman" w:eastAsia="宋体" w:cs="Times New Roman"/>
                <w:b/>
                <w:bCs/>
                <w:color w:val="auto"/>
                <w:sz w:val="24"/>
                <w:highlight w:val="none"/>
              </w:rPr>
              <w:t>得</w:t>
            </w:r>
            <w:r>
              <w:rPr>
                <w:rFonts w:hint="default" w:ascii="Times New Roman" w:hAnsi="Times New Roman" w:eastAsia="宋体" w:cs="Times New Roman"/>
                <w:b/>
                <w:bCs/>
                <w:color w:val="auto"/>
                <w:sz w:val="24"/>
                <w:highlight w:val="none"/>
                <w:lang w:val="en-US" w:eastAsia="zh-CN"/>
              </w:rPr>
              <w:t>1</w:t>
            </w:r>
            <w:r>
              <w:rPr>
                <w:b/>
                <w:bCs/>
                <w:color w:val="auto"/>
                <w:sz w:val="24"/>
                <w:highlight w:val="none"/>
              </w:rPr>
              <w:t>分</w:t>
            </w:r>
            <w:r>
              <w:rPr>
                <w:color w:val="auto"/>
                <w:sz w:val="24"/>
                <w:highlight w:val="none"/>
              </w:rPr>
              <w:t>，最高</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7</w:t>
            </w:r>
            <w:r>
              <w:rPr>
                <w:rFonts w:hint="default" w:ascii="Times New Roman" w:hAnsi="Times New Roman" w:cs="Times New Roman" w:eastAsiaTheme="majorEastAsia"/>
                <w:b/>
                <w:bCs/>
                <w:color w:val="auto"/>
                <w:sz w:val="24"/>
                <w:szCs w:val="24"/>
                <w:highlight w:val="none"/>
                <w:lang w:val="en-US" w:eastAsia="zh-CN" w:bidi="ar-SA"/>
              </w:rPr>
              <w:t>分</w:t>
            </w:r>
            <w:r>
              <w:rPr>
                <w:color w:val="auto"/>
                <w:sz w:val="24"/>
                <w:highlight w:val="none"/>
              </w:rPr>
              <w:t>。</w:t>
            </w:r>
          </w:p>
          <w:p w14:paraId="32B3EC11">
            <w:pPr>
              <w:keepNext w:val="0"/>
              <w:keepLines w:val="0"/>
              <w:pageBreakBefore w:val="0"/>
              <w:widowControl w:val="0"/>
              <w:spacing w:line="380" w:lineRule="exact"/>
              <w:ind w:firstLine="482"/>
              <w:jc w:val="left"/>
              <w:rPr>
                <w:rFonts w:hint="eastAsia" w:eastAsiaTheme="minorEastAsia"/>
                <w:b/>
                <w:bCs/>
                <w:color w:val="auto"/>
                <w:sz w:val="24"/>
                <w:highlight w:val="none"/>
                <w:lang w:val="en-US" w:eastAsia="zh-CN"/>
              </w:rPr>
            </w:pPr>
            <w:r>
              <w:rPr>
                <w:b/>
                <w:bCs/>
                <w:color w:val="auto"/>
                <w:sz w:val="24"/>
                <w:highlight w:val="none"/>
              </w:rPr>
              <w:t>注：</w:t>
            </w:r>
            <w:r>
              <w:rPr>
                <w:rFonts w:hint="eastAsia"/>
                <w:b/>
                <w:bCs/>
                <w:color w:val="auto"/>
                <w:sz w:val="24"/>
                <w:highlight w:val="none"/>
                <w:lang w:val="en-US" w:eastAsia="zh-CN"/>
              </w:rPr>
              <w:t>1.</w:t>
            </w:r>
            <w:r>
              <w:rPr>
                <w:b/>
                <w:bCs/>
                <w:color w:val="auto"/>
                <w:sz w:val="24"/>
                <w:highlight w:val="none"/>
              </w:rPr>
              <w:t>投标文件中须提供合同复印件或扫描件或电子件加盖</w:t>
            </w:r>
            <w:r>
              <w:rPr>
                <w:rFonts w:hint="eastAsia"/>
                <w:b/>
                <w:bCs/>
                <w:color w:val="auto"/>
                <w:sz w:val="24"/>
                <w:highlight w:val="none"/>
                <w:lang w:eastAsia="zh-CN"/>
              </w:rPr>
              <w:t>投标人</w:t>
            </w:r>
            <w:r>
              <w:rPr>
                <w:b/>
                <w:bCs/>
                <w:color w:val="auto"/>
                <w:sz w:val="24"/>
                <w:highlight w:val="none"/>
              </w:rPr>
              <w:t>公章，合同内容必须能够准确体现签订时间和项目相应服务内容</w:t>
            </w:r>
            <w:r>
              <w:rPr>
                <w:rFonts w:hint="eastAsia"/>
                <w:b/>
                <w:bCs/>
                <w:color w:val="auto"/>
                <w:sz w:val="24"/>
                <w:highlight w:val="none"/>
                <w:lang w:eastAsia="zh-CN"/>
              </w:rPr>
              <w:t>。</w:t>
            </w:r>
          </w:p>
          <w:p w14:paraId="6DE73FE4">
            <w:pPr>
              <w:keepNext w:val="0"/>
              <w:keepLines w:val="0"/>
              <w:pageBreakBefore w:val="0"/>
              <w:widowControl w:val="0"/>
              <w:numPr>
                <w:ilvl w:val="-1"/>
                <w:numId w:val="0"/>
              </w:numPr>
              <w:spacing w:line="460" w:lineRule="exact"/>
              <w:ind w:firstLine="482"/>
              <w:jc w:val="left"/>
              <w:rPr>
                <w:rFonts w:hint="eastAsia"/>
                <w:b/>
                <w:bCs/>
                <w:color w:val="auto"/>
                <w:sz w:val="24"/>
                <w:highlight w:val="none"/>
                <w:lang w:val="en-US" w:eastAsia="zh-CN"/>
              </w:rPr>
            </w:pPr>
            <w:r>
              <w:rPr>
                <w:rFonts w:hint="eastAsia"/>
                <w:b/>
                <w:bCs/>
                <w:color w:val="auto"/>
                <w:sz w:val="24"/>
                <w:highlight w:val="none"/>
                <w:lang w:val="en-US" w:eastAsia="zh-CN"/>
              </w:rPr>
              <w:t>2.相同项目在不同年度、同一</w:t>
            </w:r>
            <w:r>
              <w:rPr>
                <w:rFonts w:hint="eastAsia" w:eastAsia="宋体"/>
                <w:b/>
                <w:bCs/>
                <w:color w:val="auto"/>
                <w:sz w:val="24"/>
                <w:szCs w:val="24"/>
                <w:highlight w:val="none"/>
                <w:lang w:val="en-US" w:eastAsia="zh-CN"/>
              </w:rPr>
              <w:t>直辖市/</w:t>
            </w:r>
            <w:r>
              <w:rPr>
                <w:rFonts w:hint="eastAsia"/>
                <w:b/>
                <w:bCs/>
                <w:color w:val="auto"/>
                <w:sz w:val="24"/>
                <w:highlight w:val="none"/>
                <w:lang w:val="en-US" w:eastAsia="zh-CN"/>
              </w:rPr>
              <w:t>地级行政区内开展的经验分只计算一次。一个直辖市/地级市内不论与市级单位签订的合同还是与县区级单位签订的合同都可以，但一个直辖市/地级市内只认可一个项目（合同）。</w:t>
            </w:r>
          </w:p>
          <w:p w14:paraId="7EB9B7B0">
            <w:pPr>
              <w:keepNext w:val="0"/>
              <w:keepLines w:val="0"/>
              <w:pageBreakBefore w:val="0"/>
              <w:widowControl w:val="0"/>
              <w:spacing w:line="380" w:lineRule="exact"/>
              <w:ind w:firstLine="482"/>
              <w:jc w:val="left"/>
              <w:rPr>
                <w:rFonts w:ascii="Times New Roman" w:hAnsi="Times New Roman" w:cs="Times New Roman"/>
                <w:b/>
                <w:bCs/>
                <w:color w:val="auto"/>
                <w:sz w:val="24"/>
                <w:szCs w:val="24"/>
                <w:highlight w:val="none"/>
              </w:rPr>
            </w:pPr>
          </w:p>
        </w:tc>
      </w:tr>
      <w:tr w14:paraId="429D4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0" w:hRule="atLeast"/>
          <w:jc w:val="center"/>
        </w:trPr>
        <w:tc>
          <w:tcPr>
            <w:tcW w:w="2260" w:type="dxa"/>
            <w:shd w:val="clear" w:color="auto" w:fill="auto"/>
            <w:noWrap w:val="0"/>
            <w:vAlign w:val="center"/>
          </w:tcPr>
          <w:p w14:paraId="1D7B070C">
            <w:pPr>
              <w:widowControl/>
              <w:spacing w:line="520" w:lineRule="exact"/>
              <w:jc w:val="center"/>
              <w:rPr>
                <w:color w:val="auto"/>
                <w:sz w:val="24"/>
                <w:highlight w:val="none"/>
              </w:rPr>
            </w:pPr>
            <w:r>
              <w:rPr>
                <w:color w:val="auto"/>
                <w:sz w:val="24"/>
                <w:highlight w:val="none"/>
              </w:rPr>
              <w:t>承办长护险项目</w:t>
            </w:r>
          </w:p>
          <w:p w14:paraId="73F5EF2C">
            <w:pPr>
              <w:widowControl/>
              <w:spacing w:line="520" w:lineRule="exact"/>
              <w:jc w:val="center"/>
              <w:rPr>
                <w:rFonts w:hint="default" w:ascii="Times New Roman" w:hAnsi="Times New Roman" w:cs="Times New Roman" w:eastAsiaTheme="minorEastAsia"/>
                <w:color w:val="auto"/>
                <w:sz w:val="24"/>
                <w:szCs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7分</w:t>
            </w:r>
            <w:r>
              <w:rPr>
                <w:rFonts w:hint="eastAsia"/>
                <w:color w:val="auto"/>
                <w:sz w:val="24"/>
                <w:highlight w:val="none"/>
                <w:lang w:eastAsia="zh-CN"/>
              </w:rPr>
              <w:t>）</w:t>
            </w:r>
          </w:p>
        </w:tc>
        <w:tc>
          <w:tcPr>
            <w:tcW w:w="7201" w:type="dxa"/>
            <w:shd w:val="clear" w:color="auto" w:fill="auto"/>
            <w:noWrap w:val="0"/>
            <w:vAlign w:val="center"/>
          </w:tcPr>
          <w:p w14:paraId="4147C1E2">
            <w:pPr>
              <w:numPr>
                <w:ilvl w:val="0"/>
                <w:numId w:val="0"/>
              </w:numPr>
              <w:spacing w:line="460" w:lineRule="exact"/>
              <w:ind w:firstLine="480"/>
              <w:jc w:val="left"/>
              <w:rPr>
                <w:rFonts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投标人</w:t>
            </w:r>
            <w:r>
              <w:rPr>
                <w:rFonts w:eastAsia="宋体"/>
                <w:b w:val="0"/>
                <w:bCs w:val="0"/>
                <w:color w:val="auto"/>
                <w:sz w:val="24"/>
                <w:szCs w:val="24"/>
                <w:highlight w:val="none"/>
                <w:lang w:val="en-US" w:eastAsia="zh-CN"/>
              </w:rPr>
              <w:t>所属</w:t>
            </w:r>
            <w:r>
              <w:rPr>
                <w:rFonts w:hint="default" w:eastAsia="宋体"/>
                <w:b w:val="0"/>
                <w:bCs w:val="0"/>
                <w:color w:val="auto"/>
                <w:sz w:val="24"/>
                <w:szCs w:val="24"/>
                <w:highlight w:val="none"/>
                <w:lang w:val="en-US" w:eastAsia="zh-CN"/>
              </w:rPr>
              <w:t>总</w:t>
            </w:r>
            <w:r>
              <w:rPr>
                <w:rFonts w:eastAsia="宋体"/>
                <w:b w:val="0"/>
                <w:bCs w:val="0"/>
                <w:color w:val="auto"/>
                <w:sz w:val="24"/>
                <w:szCs w:val="24"/>
                <w:highlight w:val="none"/>
                <w:lang w:val="en-US" w:eastAsia="zh-CN"/>
              </w:rPr>
              <w:t>公司或者</w:t>
            </w:r>
            <w:r>
              <w:rPr>
                <w:rFonts w:hint="default" w:eastAsia="宋体"/>
                <w:b w:val="0"/>
                <w:bCs w:val="0"/>
                <w:color w:val="auto"/>
                <w:sz w:val="24"/>
                <w:szCs w:val="24"/>
                <w:highlight w:val="none"/>
                <w:lang w:val="en-US" w:eastAsia="zh-CN"/>
              </w:rPr>
              <w:t>总</w:t>
            </w:r>
            <w:r>
              <w:rPr>
                <w:rFonts w:eastAsia="宋体"/>
                <w:b w:val="0"/>
                <w:bCs w:val="0"/>
                <w:color w:val="auto"/>
                <w:sz w:val="24"/>
                <w:szCs w:val="24"/>
                <w:highlight w:val="none"/>
                <w:lang w:val="en-US" w:eastAsia="zh-CN"/>
              </w:rPr>
              <w:t>公司所属的</w:t>
            </w:r>
            <w:r>
              <w:rPr>
                <w:rFonts w:hint="eastAsia" w:eastAsia="宋体"/>
                <w:b w:val="0"/>
                <w:bCs w:val="0"/>
                <w:color w:val="auto"/>
                <w:sz w:val="24"/>
                <w:szCs w:val="24"/>
                <w:highlight w:val="none"/>
                <w:lang w:val="en-US" w:eastAsia="zh-CN"/>
              </w:rPr>
              <w:t>分支机构</w:t>
            </w:r>
            <w:r>
              <w:rPr>
                <w:rFonts w:eastAsia="宋体"/>
                <w:b w:val="0"/>
                <w:bCs w:val="0"/>
                <w:color w:val="auto"/>
                <w:sz w:val="24"/>
                <w:szCs w:val="24"/>
                <w:highlight w:val="none"/>
                <w:lang w:val="en-US" w:eastAsia="zh-CN"/>
              </w:rPr>
              <w:t>自202</w:t>
            </w:r>
            <w:r>
              <w:rPr>
                <w:rFonts w:hint="eastAsia"/>
                <w:b w:val="0"/>
                <w:bCs w:val="0"/>
                <w:color w:val="auto"/>
                <w:sz w:val="24"/>
                <w:szCs w:val="24"/>
                <w:highlight w:val="none"/>
                <w:lang w:val="en-US" w:eastAsia="zh-CN"/>
              </w:rPr>
              <w:t>3</w:t>
            </w:r>
            <w:r>
              <w:rPr>
                <w:rFonts w:eastAsia="宋体"/>
                <w:b w:val="0"/>
                <w:bCs w:val="0"/>
                <w:color w:val="auto"/>
                <w:sz w:val="24"/>
                <w:szCs w:val="24"/>
                <w:highlight w:val="none"/>
                <w:lang w:val="en-US" w:eastAsia="zh-CN"/>
              </w:rPr>
              <w:t>年</w:t>
            </w:r>
            <w:r>
              <w:rPr>
                <w:rFonts w:hint="default" w:eastAsia="宋体"/>
                <w:b w:val="0"/>
                <w:bCs w:val="0"/>
                <w:color w:val="auto"/>
                <w:sz w:val="24"/>
                <w:szCs w:val="24"/>
                <w:highlight w:val="none"/>
                <w:lang w:val="en-US" w:eastAsia="zh-CN"/>
              </w:rPr>
              <w:t>1月1日</w:t>
            </w:r>
            <w:r>
              <w:rPr>
                <w:rFonts w:eastAsia="宋体"/>
                <w:b w:val="0"/>
                <w:bCs w:val="0"/>
                <w:color w:val="auto"/>
                <w:sz w:val="24"/>
                <w:szCs w:val="24"/>
                <w:highlight w:val="none"/>
                <w:lang w:val="en-US" w:eastAsia="zh-CN"/>
              </w:rPr>
              <w:t>（项目合同签订时间为准）以来承办（经办）长护险、照护险、失能险项目（包括险种内容相同但名称不同），每有一个</w:t>
            </w:r>
            <w:r>
              <w:rPr>
                <w:rFonts w:hint="default" w:ascii="Times New Roman" w:hAnsi="Times New Roman" w:cs="Times New Roman" w:eastAsiaTheme="majorEastAsia"/>
                <w:b/>
                <w:bCs/>
                <w:color w:val="auto"/>
                <w:sz w:val="24"/>
                <w:szCs w:val="24"/>
                <w:highlight w:val="none"/>
                <w:lang w:val="en-US" w:eastAsia="zh-CN" w:bidi="ar-SA"/>
              </w:rPr>
              <w:t>得1分，</w:t>
            </w:r>
            <w:r>
              <w:rPr>
                <w:rFonts w:eastAsia="宋体"/>
                <w:b w:val="0"/>
                <w:bCs w:val="0"/>
                <w:color w:val="auto"/>
                <w:sz w:val="24"/>
                <w:szCs w:val="24"/>
                <w:highlight w:val="none"/>
                <w:lang w:val="en-US" w:eastAsia="zh-CN"/>
              </w:rPr>
              <w:t>最高</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7</w:t>
            </w:r>
            <w:r>
              <w:rPr>
                <w:rFonts w:hint="default" w:ascii="Times New Roman" w:hAnsi="Times New Roman" w:cs="Times New Roman" w:eastAsiaTheme="majorEastAsia"/>
                <w:b/>
                <w:bCs/>
                <w:color w:val="auto"/>
                <w:sz w:val="24"/>
                <w:szCs w:val="24"/>
                <w:highlight w:val="none"/>
                <w:lang w:val="en-US" w:eastAsia="zh-CN" w:bidi="ar-SA"/>
              </w:rPr>
              <w:t>分。</w:t>
            </w:r>
          </w:p>
          <w:p w14:paraId="2F08CA77">
            <w:pPr>
              <w:numPr>
                <w:ilvl w:val="0"/>
                <w:numId w:val="0"/>
              </w:numPr>
              <w:spacing w:line="460" w:lineRule="exact"/>
              <w:jc w:val="left"/>
              <w:rPr>
                <w:rFonts w:eastAsia="宋体"/>
                <w:b/>
                <w:bCs/>
                <w:color w:val="auto"/>
                <w:sz w:val="24"/>
                <w:szCs w:val="24"/>
                <w:highlight w:val="none"/>
                <w:lang w:val="en-US" w:eastAsia="zh-CN"/>
              </w:rPr>
            </w:pPr>
            <w:r>
              <w:rPr>
                <w:rFonts w:eastAsia="宋体"/>
                <w:b/>
                <w:bCs/>
                <w:color w:val="auto"/>
                <w:sz w:val="24"/>
                <w:szCs w:val="24"/>
                <w:highlight w:val="none"/>
                <w:lang w:val="en-US" w:eastAsia="zh-CN"/>
              </w:rPr>
              <w:t>注：</w:t>
            </w:r>
            <w:r>
              <w:rPr>
                <w:rFonts w:hint="eastAsia" w:eastAsia="宋体"/>
                <w:b/>
                <w:bCs/>
                <w:color w:val="auto"/>
                <w:sz w:val="24"/>
                <w:szCs w:val="24"/>
                <w:highlight w:val="none"/>
                <w:lang w:val="en-US" w:eastAsia="zh-CN"/>
              </w:rPr>
              <w:t>1.</w:t>
            </w:r>
            <w:r>
              <w:rPr>
                <w:rFonts w:eastAsia="宋体"/>
                <w:b/>
                <w:bCs/>
                <w:color w:val="auto"/>
                <w:sz w:val="24"/>
                <w:szCs w:val="24"/>
                <w:highlight w:val="none"/>
                <w:lang w:val="en-US" w:eastAsia="zh-CN"/>
              </w:rPr>
              <w:t>投标文件中须提供合同复印件或扫描件或电子件加盖</w:t>
            </w:r>
            <w:r>
              <w:rPr>
                <w:rFonts w:hint="eastAsia" w:eastAsia="宋体"/>
                <w:b/>
                <w:bCs/>
                <w:color w:val="auto"/>
                <w:sz w:val="24"/>
                <w:szCs w:val="24"/>
                <w:highlight w:val="none"/>
                <w:lang w:val="en-US" w:eastAsia="zh-CN"/>
              </w:rPr>
              <w:t>投标人</w:t>
            </w:r>
            <w:r>
              <w:rPr>
                <w:rFonts w:eastAsia="宋体"/>
                <w:b/>
                <w:bCs/>
                <w:color w:val="auto"/>
                <w:sz w:val="24"/>
                <w:szCs w:val="24"/>
                <w:highlight w:val="none"/>
                <w:lang w:val="en-US" w:eastAsia="zh-CN"/>
              </w:rPr>
              <w:t>公章，合同内容必须能够准确体现签订时间和项目相应服务内容。</w:t>
            </w:r>
          </w:p>
          <w:p w14:paraId="762A3791">
            <w:pPr>
              <w:numPr>
                <w:ilvl w:val="0"/>
                <w:numId w:val="0"/>
              </w:numPr>
              <w:spacing w:line="460" w:lineRule="exact"/>
              <w:ind w:firstLine="482"/>
              <w:jc w:val="left"/>
              <w:rPr>
                <w:rFonts w:ascii="Times New Roman" w:hAnsi="Times New Roman" w:cs="Times New Roman"/>
                <w:b/>
                <w:bCs/>
                <w:color w:val="auto"/>
                <w:sz w:val="24"/>
                <w:szCs w:val="24"/>
                <w:highlight w:val="none"/>
              </w:rPr>
            </w:pPr>
            <w:r>
              <w:rPr>
                <w:rFonts w:hint="eastAsia" w:eastAsia="宋体"/>
                <w:b/>
                <w:bCs/>
                <w:color w:val="auto"/>
                <w:sz w:val="24"/>
                <w:szCs w:val="24"/>
                <w:highlight w:val="none"/>
                <w:lang w:val="en-US" w:eastAsia="zh-CN"/>
              </w:rPr>
              <w:t>2.相同项目在不同年度、同一直辖市/地级行政区内开展的经验分只计算一次。</w:t>
            </w:r>
            <w:r>
              <w:rPr>
                <w:rFonts w:hint="eastAsia"/>
                <w:b/>
                <w:bCs/>
                <w:color w:val="auto"/>
                <w:sz w:val="24"/>
                <w:highlight w:val="none"/>
                <w:lang w:val="en-US" w:eastAsia="zh-CN"/>
              </w:rPr>
              <w:t>一个直辖市/地级市内不论与市级单位签订的合同还是与县区级单位签订的合同都可以，但一个直辖市/地级市内只认可一个项目（合同）。</w:t>
            </w:r>
          </w:p>
        </w:tc>
      </w:tr>
      <w:tr w14:paraId="76AE0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0" w:hRule="atLeast"/>
          <w:jc w:val="center"/>
        </w:trPr>
        <w:tc>
          <w:tcPr>
            <w:tcW w:w="2260" w:type="dxa"/>
            <w:shd w:val="clear" w:color="auto" w:fill="auto"/>
            <w:noWrap w:val="0"/>
            <w:vAlign w:val="center"/>
          </w:tcPr>
          <w:p w14:paraId="5FD5204F">
            <w:pPr>
              <w:widowControl/>
              <w:spacing w:line="520" w:lineRule="exact"/>
              <w:jc w:val="center"/>
              <w:rPr>
                <w:color w:val="auto"/>
                <w:sz w:val="24"/>
                <w:highlight w:val="none"/>
              </w:rPr>
            </w:pPr>
            <w:r>
              <w:rPr>
                <w:color w:val="auto"/>
                <w:sz w:val="24"/>
                <w:highlight w:val="none"/>
              </w:rPr>
              <w:t>人员配备</w:t>
            </w:r>
          </w:p>
          <w:p w14:paraId="5383395D">
            <w:pPr>
              <w:widowControl/>
              <w:spacing w:line="520" w:lineRule="exact"/>
              <w:jc w:val="center"/>
              <w:rPr>
                <w:rFonts w:hint="eastAsia" w:eastAsiaTheme="minorEastAsia"/>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5分</w:t>
            </w:r>
            <w:r>
              <w:rPr>
                <w:rFonts w:hint="eastAsia"/>
                <w:color w:val="auto"/>
                <w:sz w:val="24"/>
                <w:highlight w:val="none"/>
                <w:lang w:eastAsia="zh-CN"/>
              </w:rPr>
              <w:t>）</w:t>
            </w:r>
          </w:p>
        </w:tc>
        <w:tc>
          <w:tcPr>
            <w:tcW w:w="7201" w:type="dxa"/>
            <w:shd w:val="clear" w:color="auto" w:fill="auto"/>
            <w:noWrap w:val="0"/>
            <w:vAlign w:val="center"/>
          </w:tcPr>
          <w:p w14:paraId="54494772">
            <w:pPr>
              <w:pStyle w:val="33"/>
              <w:keepNext w:val="0"/>
              <w:keepLines w:val="0"/>
              <w:pageBreakBefore w:val="0"/>
              <w:widowControl w:val="0"/>
              <w:spacing w:beforeAutospacing="0" w:afterAutospacing="0" w:line="380" w:lineRule="atLeas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1.拟派的项目负责人具有5年及以上保险行业工作经历的，</w:t>
            </w:r>
            <w:r>
              <w:rPr>
                <w:rFonts w:hint="default" w:ascii="Times New Roman" w:hAnsi="Times New Roman" w:cs="Times New Roman" w:eastAsiaTheme="majorEastAsia"/>
                <w:b/>
                <w:bCs/>
                <w:color w:val="auto"/>
                <w:sz w:val="24"/>
                <w:szCs w:val="24"/>
                <w:highlight w:val="none"/>
                <w:lang w:val="en-US" w:eastAsia="zh-CN" w:bidi="ar-SA"/>
              </w:rPr>
              <w:t>得</w:t>
            </w:r>
            <w:r>
              <w:rPr>
                <w:rFonts w:hint="eastAsia" w:cs="Times New Roman" w:eastAsiaTheme="majorEastAsia"/>
                <w:b/>
                <w:bCs/>
                <w:color w:val="auto"/>
                <w:sz w:val="24"/>
                <w:szCs w:val="24"/>
                <w:highlight w:val="none"/>
                <w:lang w:val="en-US" w:eastAsia="zh-CN" w:bidi="ar-SA"/>
              </w:rPr>
              <w:t>1</w:t>
            </w:r>
            <w:r>
              <w:rPr>
                <w:rFonts w:hint="default" w:ascii="Times New Roman" w:hAnsi="Times New Roman" w:cs="Times New Roman" w:eastAsiaTheme="majorEastAsia"/>
                <w:b/>
                <w:bCs/>
                <w:color w:val="auto"/>
                <w:sz w:val="24"/>
                <w:szCs w:val="24"/>
                <w:highlight w:val="none"/>
                <w:lang w:val="en-US" w:eastAsia="zh-CN" w:bidi="ar-SA"/>
              </w:rPr>
              <w:t>分。</w:t>
            </w:r>
          </w:p>
          <w:p w14:paraId="4958D33E">
            <w:pPr>
              <w:pStyle w:val="33"/>
              <w:keepNext w:val="0"/>
              <w:keepLines w:val="0"/>
              <w:pageBreakBefore w:val="0"/>
              <w:widowControl w:val="0"/>
              <w:spacing w:beforeAutospacing="0" w:afterAutospacing="0" w:line="380" w:lineRule="atLeas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注：项目负责人具有5年及以上保险行业工作经历的需在投标文件中提供加盖投标人公章的承诺书，格式自拟（需体现工作单位、工作年限、证明人等）；同时需提供2026年1月以来任意一个月投标人为其缴纳的社保记录。</w:t>
            </w:r>
          </w:p>
          <w:p w14:paraId="12550420">
            <w:pPr>
              <w:pStyle w:val="33"/>
              <w:keepNext w:val="0"/>
              <w:keepLines w:val="0"/>
              <w:pageBreakBefore w:val="0"/>
              <w:widowControl w:val="0"/>
              <w:numPr>
                <w:ilvl w:val="0"/>
                <w:numId w:val="2"/>
              </w:numPr>
              <w:spacing w:beforeAutospacing="0" w:afterAutospacing="0" w:line="380" w:lineRule="atLeast"/>
              <w:ind w:firstLine="482" w:firstLineChars="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投标人承诺按照每7万参保人员不少于1名的标准配备长期护理保险经办服务全职工作人员，</w:t>
            </w:r>
            <w:r>
              <w:rPr>
                <w:rFonts w:hint="default" w:ascii="Times New Roman" w:hAnsi="Times New Roman" w:cs="Times New Roman" w:eastAsiaTheme="majorEastAsia"/>
                <w:b/>
                <w:bCs/>
                <w:color w:val="auto"/>
                <w:sz w:val="24"/>
                <w:szCs w:val="24"/>
                <w:highlight w:val="none"/>
                <w:lang w:val="en-US" w:eastAsia="zh-CN" w:bidi="ar-SA"/>
              </w:rPr>
              <w:t>得1分；</w:t>
            </w:r>
            <w:r>
              <w:rPr>
                <w:rFonts w:hint="default" w:ascii="Times New Roman" w:hAnsi="Times New Roman" w:cs="Times New Roman" w:eastAsiaTheme="majorEastAsia"/>
                <w:color w:val="auto"/>
                <w:sz w:val="24"/>
                <w:szCs w:val="24"/>
                <w:highlight w:val="none"/>
                <w:lang w:val="en-US" w:eastAsia="zh-CN" w:bidi="ar-SA"/>
              </w:rPr>
              <w:t>承诺配备的人员中，医学、康复、护理、信息、统计、财务等专业（具有本科及以上学历）的人员比例不少于30%，</w:t>
            </w:r>
            <w:r>
              <w:rPr>
                <w:rFonts w:hint="default" w:ascii="Times New Roman" w:hAnsi="Times New Roman" w:cs="Times New Roman" w:eastAsiaTheme="majorEastAsia"/>
                <w:b/>
                <w:bCs/>
                <w:color w:val="auto"/>
                <w:sz w:val="24"/>
                <w:szCs w:val="24"/>
                <w:highlight w:val="none"/>
                <w:lang w:val="en-US" w:eastAsia="zh-CN" w:bidi="ar-SA"/>
              </w:rPr>
              <w:t>得1分。</w:t>
            </w:r>
            <w:r>
              <w:rPr>
                <w:rFonts w:hint="default" w:ascii="Times New Roman" w:hAnsi="Times New Roman" w:cs="Times New Roman" w:eastAsiaTheme="majorEastAsia"/>
                <w:color w:val="auto"/>
                <w:sz w:val="24"/>
                <w:szCs w:val="24"/>
                <w:highlight w:val="none"/>
                <w:lang w:val="en-US" w:eastAsia="zh-CN" w:bidi="ar-SA"/>
              </w:rPr>
              <w:t>未承诺的</w:t>
            </w:r>
            <w:r>
              <w:rPr>
                <w:rFonts w:hint="default" w:ascii="Times New Roman" w:hAnsi="Times New Roman" w:cs="Times New Roman" w:eastAsiaTheme="majorEastAsia"/>
                <w:b/>
                <w:bCs/>
                <w:color w:val="auto"/>
                <w:sz w:val="24"/>
                <w:szCs w:val="24"/>
                <w:highlight w:val="none"/>
                <w:lang w:val="en-US" w:eastAsia="zh-CN" w:bidi="ar-SA"/>
              </w:rPr>
              <w:t>不得分</w:t>
            </w:r>
            <w:r>
              <w:rPr>
                <w:rFonts w:hint="default" w:ascii="Times New Roman" w:hAnsi="Times New Roman" w:cs="Times New Roman" w:eastAsiaTheme="majorEastAsia"/>
                <w:color w:val="auto"/>
                <w:sz w:val="24"/>
                <w:szCs w:val="24"/>
                <w:highlight w:val="none"/>
                <w:lang w:val="en-US" w:eastAsia="zh-CN" w:bidi="ar-SA"/>
              </w:rPr>
              <w:t>。</w:t>
            </w:r>
          </w:p>
          <w:p w14:paraId="593954F5">
            <w:pPr>
              <w:pStyle w:val="33"/>
              <w:keepNext w:val="0"/>
              <w:keepLines w:val="0"/>
              <w:pageBreakBefore w:val="0"/>
              <w:widowControl w:val="0"/>
              <w:spacing w:beforeAutospacing="0" w:afterAutospacing="0" w:line="380" w:lineRule="atLeas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注：需在投标文件中提供加盖投标人公章的承诺书，格式自拟。</w:t>
            </w:r>
          </w:p>
          <w:p w14:paraId="17D9BBEA">
            <w:pPr>
              <w:pStyle w:val="33"/>
              <w:keepNext w:val="0"/>
              <w:keepLines w:val="0"/>
              <w:pageBreakBefore w:val="0"/>
              <w:widowControl w:val="0"/>
              <w:numPr>
                <w:ilvl w:val="0"/>
                <w:numId w:val="0"/>
              </w:numPr>
              <w:spacing w:beforeAutospacing="0" w:afterAutospacing="0" w:line="380" w:lineRule="atLeast"/>
              <w:ind w:firstLine="482" w:firstLineChars="0"/>
              <w:jc w:val="both"/>
              <w:rPr>
                <w:rFonts w:hint="default" w:ascii="Times New Roman" w:hAnsi="Times New Roman" w:cs="Times New Roman" w:eastAsiaTheme="majorEastAsia"/>
                <w:color w:val="auto"/>
                <w:sz w:val="24"/>
                <w:szCs w:val="24"/>
                <w:highlight w:val="none"/>
                <w:lang w:val="en-US" w:eastAsia="zh-CN" w:bidi="ar-SA"/>
              </w:rPr>
            </w:pPr>
            <w:r>
              <w:rPr>
                <w:rFonts w:hint="eastAsia" w:cs="Times New Roman" w:eastAsiaTheme="majorEastAsia"/>
                <w:color w:val="auto"/>
                <w:sz w:val="24"/>
                <w:szCs w:val="24"/>
                <w:lang w:val="en-US" w:eastAsia="zh-CN" w:bidi="ar-SA"/>
              </w:rPr>
              <w:t>3</w:t>
            </w:r>
            <w:r>
              <w:rPr>
                <w:rFonts w:hint="default" w:ascii="Times New Roman" w:hAnsi="Times New Roman" w:cs="Times New Roman" w:eastAsiaTheme="majorEastAsia"/>
                <w:color w:val="auto"/>
                <w:sz w:val="24"/>
                <w:szCs w:val="24"/>
                <w:lang w:val="en-US" w:eastAsia="zh-CN" w:bidi="ar-SA"/>
              </w:rPr>
              <w:t>.</w:t>
            </w:r>
            <w:r>
              <w:rPr>
                <w:rFonts w:hint="default" w:ascii="Times New Roman" w:hAnsi="Times New Roman" w:cs="Times New Roman" w:eastAsiaTheme="majorEastAsia"/>
                <w:color w:val="auto"/>
                <w:sz w:val="24"/>
                <w:szCs w:val="24"/>
                <w:highlight w:val="none"/>
                <w:lang w:val="en-US" w:eastAsia="zh-CN" w:bidi="ar-SA"/>
              </w:rPr>
              <w:t>投标人承诺在中标后30天内完成项目工作人员招录手续并完成项目团队组建的</w:t>
            </w:r>
            <w:r>
              <w:rPr>
                <w:rFonts w:hint="default" w:ascii="Times New Roman" w:hAnsi="Times New Roman" w:cs="Times New Roman" w:eastAsiaTheme="majorEastAsia"/>
                <w:b/>
                <w:bCs/>
                <w:color w:val="auto"/>
                <w:sz w:val="24"/>
                <w:szCs w:val="24"/>
                <w:highlight w:val="none"/>
                <w:lang w:val="en-US" w:eastAsia="zh-CN" w:bidi="ar-SA"/>
              </w:rPr>
              <w:t>得2分</w:t>
            </w:r>
            <w:r>
              <w:rPr>
                <w:rFonts w:hint="default" w:ascii="Times New Roman" w:hAnsi="Times New Roman" w:cs="Times New Roman" w:eastAsiaTheme="majorEastAsia"/>
                <w:color w:val="auto"/>
                <w:sz w:val="24"/>
                <w:szCs w:val="24"/>
                <w:highlight w:val="none"/>
                <w:lang w:val="en-US" w:eastAsia="zh-CN" w:bidi="ar-SA"/>
              </w:rPr>
              <w:t>，不承诺的不得分。</w:t>
            </w:r>
          </w:p>
          <w:p w14:paraId="0CCD4230">
            <w:pPr>
              <w:pStyle w:val="15"/>
              <w:keepNext w:val="0"/>
              <w:keepLines w:val="0"/>
              <w:pageBreakBefore w:val="0"/>
              <w:widowControl w:val="0"/>
              <w:spacing w:line="380" w:lineRule="atLeast"/>
              <w:ind w:firstLine="482"/>
              <w:rPr>
                <w:rFonts w:hint="eastAsia" w:eastAsia="宋体"/>
                <w:b w:val="0"/>
                <w:bCs w:val="0"/>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注：需在投标文件中提供加盖投标人公章的承诺书，格式自拟。</w:t>
            </w:r>
          </w:p>
        </w:tc>
      </w:tr>
      <w:tr w14:paraId="1CE65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0" w:hRule="atLeast"/>
          <w:jc w:val="center"/>
        </w:trPr>
        <w:tc>
          <w:tcPr>
            <w:tcW w:w="2260" w:type="dxa"/>
            <w:shd w:val="clear" w:color="auto" w:fill="auto"/>
            <w:noWrap w:val="0"/>
            <w:vAlign w:val="center"/>
          </w:tcPr>
          <w:p w14:paraId="103DF531">
            <w:pPr>
              <w:widowControl/>
              <w:spacing w:line="520" w:lineRule="exact"/>
              <w:jc w:val="center"/>
              <w:rPr>
                <w:color w:val="auto"/>
                <w:sz w:val="24"/>
                <w:highlight w:val="none"/>
              </w:rPr>
            </w:pPr>
            <w:r>
              <w:rPr>
                <w:color w:val="auto"/>
                <w:sz w:val="24"/>
                <w:highlight w:val="none"/>
              </w:rPr>
              <w:t>办公场所及设备</w:t>
            </w:r>
          </w:p>
          <w:p w14:paraId="3AC75413">
            <w:pPr>
              <w:widowControl/>
              <w:spacing w:line="520" w:lineRule="exact"/>
              <w:jc w:val="center"/>
              <w:rPr>
                <w:rFonts w:hint="eastAsia" w:eastAsiaTheme="minorEastAsia"/>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4分</w:t>
            </w:r>
            <w:r>
              <w:rPr>
                <w:rFonts w:hint="eastAsia"/>
                <w:color w:val="auto"/>
                <w:sz w:val="24"/>
                <w:highlight w:val="none"/>
                <w:lang w:eastAsia="zh-CN"/>
              </w:rPr>
              <w:t>）</w:t>
            </w:r>
          </w:p>
        </w:tc>
        <w:tc>
          <w:tcPr>
            <w:tcW w:w="7201" w:type="dxa"/>
            <w:shd w:val="clear" w:color="auto" w:fill="auto"/>
            <w:noWrap w:val="0"/>
            <w:vAlign w:val="center"/>
          </w:tcPr>
          <w:p w14:paraId="1D5030A4">
            <w:pPr>
              <w:pStyle w:val="33"/>
              <w:keepNext w:val="0"/>
              <w:keepLines w:val="0"/>
              <w:pageBreakBefore w:val="0"/>
              <w:widowControl w:val="0"/>
              <w:numPr>
                <w:ilvl w:val="0"/>
                <w:numId w:val="3"/>
              </w:numPr>
              <w:spacing w:beforeAutospacing="0" w:afterAutospacing="0" w:line="4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投标人承诺提供办公场所、办公设备（配备打印机、复印机等能够满足办公需求的办公设备，每人配备办公电脑，核查岗应按岗位要求配备便携电脑、执法记录仪、录音笔等记录核查设备）及车辆配置的，</w:t>
            </w:r>
            <w:r>
              <w:rPr>
                <w:rFonts w:hint="default" w:ascii="Times New Roman" w:hAnsi="Times New Roman" w:cs="Times New Roman" w:eastAsiaTheme="majorEastAsia"/>
                <w:b/>
                <w:bCs/>
                <w:color w:val="auto"/>
                <w:sz w:val="24"/>
                <w:szCs w:val="24"/>
                <w:highlight w:val="none"/>
                <w:lang w:val="en-US" w:eastAsia="zh-CN" w:bidi="ar-SA"/>
              </w:rPr>
              <w:t>得2分。</w:t>
            </w:r>
            <w:r>
              <w:rPr>
                <w:rFonts w:hint="default" w:ascii="Times New Roman" w:hAnsi="Times New Roman" w:cs="Times New Roman" w:eastAsiaTheme="majorEastAsia"/>
                <w:color w:val="auto"/>
                <w:sz w:val="24"/>
                <w:szCs w:val="24"/>
                <w:highlight w:val="none"/>
                <w:lang w:val="en-US" w:eastAsia="zh-CN" w:bidi="ar-SA"/>
              </w:rPr>
              <w:t>未承诺的</w:t>
            </w:r>
            <w:r>
              <w:rPr>
                <w:rFonts w:hint="default" w:ascii="Times New Roman" w:hAnsi="Times New Roman" w:cs="Times New Roman" w:eastAsiaTheme="majorEastAsia"/>
                <w:b/>
                <w:bCs/>
                <w:color w:val="auto"/>
                <w:sz w:val="24"/>
                <w:szCs w:val="24"/>
                <w:highlight w:val="none"/>
                <w:lang w:val="en-US" w:eastAsia="zh-CN" w:bidi="ar-SA"/>
              </w:rPr>
              <w:t>不得分</w:t>
            </w:r>
            <w:r>
              <w:rPr>
                <w:rFonts w:hint="default" w:ascii="Times New Roman" w:hAnsi="Times New Roman" w:cs="Times New Roman" w:eastAsiaTheme="majorEastAsia"/>
                <w:color w:val="auto"/>
                <w:sz w:val="24"/>
                <w:szCs w:val="24"/>
                <w:highlight w:val="none"/>
                <w:lang w:val="en-US" w:eastAsia="zh-CN" w:bidi="ar-SA"/>
              </w:rPr>
              <w:t>。</w:t>
            </w:r>
          </w:p>
          <w:p w14:paraId="2E297C39">
            <w:pPr>
              <w:pStyle w:val="33"/>
              <w:keepNext w:val="0"/>
              <w:keepLines w:val="0"/>
              <w:pageBreakBefore w:val="0"/>
              <w:widowControl w:val="0"/>
              <w:numPr>
                <w:numId w:val="0"/>
              </w:numPr>
              <w:spacing w:beforeAutospacing="0" w:afterAutospacing="0" w:line="480" w:lineRule="exact"/>
              <w:ind w:firstLine="480" w:firstLineChars="20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注：需在投标文件中提供加盖投标人公章的承诺书，格式自拟。</w:t>
            </w:r>
          </w:p>
          <w:p w14:paraId="099773B1">
            <w:pPr>
              <w:pStyle w:val="33"/>
              <w:keepNext w:val="0"/>
              <w:keepLines w:val="0"/>
              <w:pageBreakBefore w:val="0"/>
              <w:widowControl w:val="0"/>
              <w:numPr>
                <w:ilvl w:val="0"/>
                <w:numId w:val="3"/>
              </w:numPr>
              <w:spacing w:beforeAutospacing="0" w:afterAutospacing="0" w:line="4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投标人承诺在中标后30天完成办公场所、办公设备及车辆配置的的</w:t>
            </w:r>
            <w:r>
              <w:rPr>
                <w:rFonts w:hint="default" w:ascii="Times New Roman" w:hAnsi="Times New Roman" w:cs="Times New Roman" w:eastAsiaTheme="majorEastAsia"/>
                <w:b/>
                <w:bCs/>
                <w:color w:val="auto"/>
                <w:sz w:val="24"/>
                <w:szCs w:val="24"/>
                <w:highlight w:val="none"/>
                <w:lang w:val="en-US" w:eastAsia="zh-CN" w:bidi="ar-SA"/>
              </w:rPr>
              <w:t>得2分</w:t>
            </w:r>
            <w:r>
              <w:rPr>
                <w:rFonts w:hint="eastAsia" w:cs="Times New Roman" w:eastAsiaTheme="majorEastAsia"/>
                <w:color w:val="auto"/>
                <w:sz w:val="24"/>
                <w:szCs w:val="24"/>
                <w:highlight w:val="none"/>
                <w:lang w:val="en-US" w:eastAsia="zh-CN" w:bidi="ar-SA"/>
              </w:rPr>
              <w:t>。未</w:t>
            </w:r>
            <w:r>
              <w:rPr>
                <w:rFonts w:hint="default" w:ascii="Times New Roman" w:hAnsi="Times New Roman" w:cs="Times New Roman" w:eastAsiaTheme="majorEastAsia"/>
                <w:color w:val="auto"/>
                <w:sz w:val="24"/>
                <w:szCs w:val="24"/>
                <w:highlight w:val="none"/>
                <w:lang w:val="en-US" w:eastAsia="zh-CN" w:bidi="ar-SA"/>
              </w:rPr>
              <w:t>承诺的</w:t>
            </w:r>
            <w:r>
              <w:rPr>
                <w:rFonts w:hint="default" w:ascii="Times New Roman" w:hAnsi="Times New Roman" w:cs="Times New Roman" w:eastAsiaTheme="majorEastAsia"/>
                <w:b/>
                <w:bCs/>
                <w:color w:val="auto"/>
                <w:sz w:val="24"/>
                <w:szCs w:val="24"/>
                <w:highlight w:val="none"/>
                <w:lang w:val="en-US" w:eastAsia="zh-CN" w:bidi="ar-SA"/>
              </w:rPr>
              <w:t>不得分</w:t>
            </w:r>
            <w:r>
              <w:rPr>
                <w:rFonts w:hint="default" w:ascii="Times New Roman" w:hAnsi="Times New Roman" w:cs="Times New Roman" w:eastAsiaTheme="majorEastAsia"/>
                <w:color w:val="auto"/>
                <w:sz w:val="24"/>
                <w:szCs w:val="24"/>
                <w:highlight w:val="none"/>
                <w:lang w:val="en-US" w:eastAsia="zh-CN" w:bidi="ar-SA"/>
              </w:rPr>
              <w:t>。</w:t>
            </w:r>
          </w:p>
          <w:p w14:paraId="4F59A90F">
            <w:pPr>
              <w:pStyle w:val="15"/>
              <w:keepNext w:val="0"/>
              <w:keepLines w:val="0"/>
              <w:pageBreakBefore w:val="0"/>
              <w:widowControl w:val="0"/>
              <w:spacing w:line="440" w:lineRule="exact"/>
              <w:ind w:firstLine="482"/>
              <w:rPr>
                <w:rFonts w:hint="eastAsia" w:eastAsia="宋体"/>
                <w:b w:val="0"/>
                <w:bCs w:val="0"/>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注：需在投标文件中提供加盖投标人公章的承诺书，格式自拟。</w:t>
            </w:r>
          </w:p>
        </w:tc>
      </w:tr>
      <w:tr w14:paraId="349BF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60" w:type="dxa"/>
            <w:shd w:val="clear" w:color="auto" w:fill="auto"/>
            <w:noWrap w:val="0"/>
            <w:vAlign w:val="center"/>
          </w:tcPr>
          <w:p w14:paraId="1A456B72">
            <w:pPr>
              <w:widowControl/>
              <w:spacing w:line="520" w:lineRule="exact"/>
              <w:jc w:val="center"/>
              <w:rPr>
                <w:rFonts w:hint="eastAsia" w:eastAsiaTheme="minorEastAsia"/>
                <w:color w:val="auto"/>
                <w:sz w:val="24"/>
                <w:highlight w:val="none"/>
                <w:lang w:eastAsia="zh-CN"/>
              </w:rPr>
            </w:pPr>
            <w:r>
              <w:rPr>
                <w:color w:val="auto"/>
                <w:sz w:val="24"/>
                <w:highlight w:val="none"/>
              </w:rPr>
              <w:t>工作经费</w:t>
            </w:r>
            <w:r>
              <w:rPr>
                <w:rFonts w:hint="eastAsia"/>
                <w:color w:val="auto"/>
                <w:sz w:val="24"/>
                <w:highlight w:val="none"/>
                <w:lang w:eastAsia="zh-CN"/>
              </w:rPr>
              <w:t>（</w:t>
            </w:r>
            <w:r>
              <w:rPr>
                <w:rFonts w:hint="eastAsia"/>
                <w:color w:val="auto"/>
                <w:sz w:val="24"/>
                <w:highlight w:val="none"/>
                <w:lang w:val="en-US" w:eastAsia="zh-CN"/>
              </w:rPr>
              <w:t>3分</w:t>
            </w:r>
            <w:r>
              <w:rPr>
                <w:rFonts w:hint="eastAsia"/>
                <w:color w:val="auto"/>
                <w:sz w:val="24"/>
                <w:highlight w:val="none"/>
                <w:lang w:eastAsia="zh-CN"/>
              </w:rPr>
              <w:t>）</w:t>
            </w:r>
          </w:p>
        </w:tc>
        <w:tc>
          <w:tcPr>
            <w:tcW w:w="7201" w:type="dxa"/>
            <w:shd w:val="clear" w:color="auto" w:fill="auto"/>
            <w:noWrap w:val="0"/>
            <w:vAlign w:val="center"/>
          </w:tcPr>
          <w:p w14:paraId="19AC79A4">
            <w:pPr>
              <w:pStyle w:val="33"/>
              <w:spacing w:beforeAutospacing="0" w:afterAutospacing="0" w:line="56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长期护理保险因发展需要，需加大经费投入，投标人承诺对长期护理保险制度实施工作提供准备金（招标项目预算金额的1%），用于长期护理保险服务市场的培育及实施准备工作、履约考核等，</w:t>
            </w:r>
            <w:r>
              <w:rPr>
                <w:rFonts w:hint="default" w:ascii="Times New Roman" w:hAnsi="Times New Roman" w:cs="Times New Roman" w:eastAsiaTheme="majorEastAsia"/>
                <w:b/>
                <w:bCs/>
                <w:color w:val="auto"/>
                <w:sz w:val="24"/>
                <w:szCs w:val="24"/>
                <w:highlight w:val="none"/>
                <w:lang w:val="en-US" w:eastAsia="zh-CN" w:bidi="ar-SA"/>
              </w:rPr>
              <w:t>得3分。</w:t>
            </w:r>
            <w:r>
              <w:rPr>
                <w:rFonts w:hint="default" w:ascii="Times New Roman" w:hAnsi="Times New Roman" w:cs="Times New Roman" w:eastAsiaTheme="majorEastAsia"/>
                <w:color w:val="auto"/>
                <w:sz w:val="24"/>
                <w:szCs w:val="24"/>
                <w:highlight w:val="none"/>
                <w:lang w:val="en-US" w:eastAsia="zh-CN" w:bidi="ar-SA"/>
              </w:rPr>
              <w:t>未承诺的</w:t>
            </w:r>
            <w:r>
              <w:rPr>
                <w:rFonts w:hint="default" w:ascii="Times New Roman" w:hAnsi="Times New Roman" w:cs="Times New Roman" w:eastAsiaTheme="majorEastAsia"/>
                <w:b/>
                <w:bCs/>
                <w:color w:val="auto"/>
                <w:sz w:val="24"/>
                <w:szCs w:val="24"/>
                <w:highlight w:val="none"/>
                <w:lang w:val="en-US" w:eastAsia="zh-CN" w:bidi="ar-SA"/>
              </w:rPr>
              <w:t>不得分</w:t>
            </w:r>
            <w:r>
              <w:rPr>
                <w:rFonts w:hint="default" w:ascii="Times New Roman" w:hAnsi="Times New Roman" w:cs="Times New Roman" w:eastAsiaTheme="majorEastAsia"/>
                <w:color w:val="auto"/>
                <w:sz w:val="24"/>
                <w:szCs w:val="24"/>
                <w:highlight w:val="none"/>
                <w:lang w:val="en-US" w:eastAsia="zh-CN" w:bidi="ar-SA"/>
              </w:rPr>
              <w:t>。</w:t>
            </w:r>
          </w:p>
          <w:p w14:paraId="5490FE70">
            <w:pPr>
              <w:pStyle w:val="15"/>
              <w:keepNext w:val="0"/>
              <w:keepLines w:val="0"/>
              <w:pageBreakBefore w:val="0"/>
              <w:widowControl w:val="0"/>
              <w:spacing w:line="440" w:lineRule="exact"/>
              <w:ind w:firstLine="482"/>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注：需在投标文件中提供加盖投标人公章的承诺书，格式自拟。</w:t>
            </w:r>
          </w:p>
        </w:tc>
      </w:tr>
      <w:tr w14:paraId="4AEFD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60" w:type="dxa"/>
            <w:shd w:val="clear" w:color="auto" w:fill="auto"/>
            <w:noWrap w:val="0"/>
            <w:vAlign w:val="center"/>
          </w:tcPr>
          <w:p w14:paraId="030F8259">
            <w:pPr>
              <w:widowControl/>
              <w:spacing w:line="520" w:lineRule="exact"/>
              <w:jc w:val="center"/>
              <w:rPr>
                <w:rFonts w:hint="eastAsia"/>
                <w:color w:val="auto"/>
                <w:sz w:val="24"/>
                <w:highlight w:val="none"/>
                <w:lang w:eastAsia="zh-CN"/>
              </w:rPr>
            </w:pPr>
            <w:r>
              <w:rPr>
                <w:rFonts w:eastAsia="宋体"/>
                <w:b w:val="0"/>
                <w:bCs w:val="0"/>
                <w:color w:val="auto"/>
                <w:sz w:val="24"/>
                <w:szCs w:val="24"/>
                <w:highlight w:val="none"/>
                <w:lang w:val="en-US" w:eastAsia="zh-CN"/>
              </w:rPr>
              <w:t>合作承诺</w:t>
            </w:r>
            <w:r>
              <w:rPr>
                <w:rFonts w:hint="eastAsia" w:eastAsia="宋体"/>
                <w:b w:val="0"/>
                <w:bCs w:val="0"/>
                <w:color w:val="auto"/>
                <w:sz w:val="24"/>
                <w:szCs w:val="24"/>
                <w:highlight w:val="none"/>
                <w:lang w:val="en-US" w:eastAsia="zh-CN"/>
              </w:rPr>
              <w:t>（2分）</w:t>
            </w:r>
          </w:p>
        </w:tc>
        <w:tc>
          <w:tcPr>
            <w:tcW w:w="7201" w:type="dxa"/>
            <w:shd w:val="clear" w:color="auto" w:fill="auto"/>
            <w:noWrap w:val="0"/>
            <w:vAlign w:val="center"/>
          </w:tcPr>
          <w:p w14:paraId="05D1F13D">
            <w:pPr>
              <w:pStyle w:val="33"/>
              <w:spacing w:beforeAutospacing="0" w:afterAutospacing="0" w:line="56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如因长期护理保险发生政策性调整或因行政区划调整导致项目无法履行或需进行变更，投标人承诺服从采购人安排的</w:t>
            </w:r>
            <w:r>
              <w:rPr>
                <w:rFonts w:hint="default" w:ascii="Times New Roman" w:hAnsi="Times New Roman" w:cs="Times New Roman" w:eastAsiaTheme="majorEastAsia"/>
                <w:b/>
                <w:bCs/>
                <w:color w:val="auto"/>
                <w:sz w:val="24"/>
                <w:szCs w:val="24"/>
                <w:highlight w:val="none"/>
                <w:lang w:val="en-US" w:eastAsia="zh-CN" w:bidi="ar-SA"/>
              </w:rPr>
              <w:t>得2分</w:t>
            </w:r>
            <w:r>
              <w:rPr>
                <w:rFonts w:hint="default" w:ascii="Times New Roman" w:hAnsi="Times New Roman" w:cs="Times New Roman" w:eastAsiaTheme="majorEastAsia"/>
                <w:color w:val="auto"/>
                <w:sz w:val="24"/>
                <w:szCs w:val="24"/>
                <w:highlight w:val="none"/>
                <w:lang w:val="en-US" w:eastAsia="zh-CN" w:bidi="ar-SA"/>
              </w:rPr>
              <w:t>，未承诺的</w:t>
            </w:r>
            <w:r>
              <w:rPr>
                <w:rFonts w:hint="default" w:ascii="Times New Roman" w:hAnsi="Times New Roman" w:cs="Times New Roman" w:eastAsiaTheme="majorEastAsia"/>
                <w:b/>
                <w:bCs/>
                <w:color w:val="auto"/>
                <w:sz w:val="24"/>
                <w:szCs w:val="24"/>
                <w:highlight w:val="none"/>
                <w:lang w:val="en-US" w:eastAsia="zh-CN" w:bidi="ar-SA"/>
              </w:rPr>
              <w:t>不得分</w:t>
            </w:r>
            <w:r>
              <w:rPr>
                <w:rFonts w:hint="default" w:ascii="Times New Roman" w:hAnsi="Times New Roman" w:cs="Times New Roman" w:eastAsiaTheme="majorEastAsia"/>
                <w:color w:val="auto"/>
                <w:sz w:val="24"/>
                <w:szCs w:val="24"/>
                <w:highlight w:val="none"/>
                <w:lang w:val="en-US" w:eastAsia="zh-CN" w:bidi="ar-SA"/>
              </w:rPr>
              <w:t>。</w:t>
            </w:r>
          </w:p>
          <w:p w14:paraId="739898CF">
            <w:pPr>
              <w:pStyle w:val="15"/>
              <w:keepNext w:val="0"/>
              <w:keepLines w:val="0"/>
              <w:pageBreakBefore w:val="0"/>
              <w:widowControl w:val="0"/>
              <w:spacing w:line="440" w:lineRule="exact"/>
              <w:ind w:firstLine="482"/>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注：需在投标文件中提供加盖投标人公章的承诺书，格式自拟。</w:t>
            </w:r>
          </w:p>
        </w:tc>
      </w:tr>
    </w:tbl>
    <w:p w14:paraId="56EA414B">
      <w:pPr>
        <w:widowControl/>
        <w:spacing w:line="360" w:lineRule="auto"/>
        <w:ind w:firstLine="472"/>
        <w:jc w:val="left"/>
        <w:rPr>
          <w:rFonts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eastAsia="宋体" w:cs="Times New Roman"/>
          <w:b/>
          <w:color w:val="auto"/>
          <w:sz w:val="24"/>
          <w:szCs w:val="24"/>
          <w:highlight w:val="none"/>
        </w:rPr>
        <w:t>.技术分（</w:t>
      </w:r>
      <w:r>
        <w:rPr>
          <w:rFonts w:hint="default" w:ascii="Times New Roman" w:hAnsi="Times New Roman" w:cs="Times New Roman"/>
          <w:b/>
          <w:color w:val="auto"/>
          <w:sz w:val="24"/>
          <w:szCs w:val="24"/>
          <w:highlight w:val="none"/>
          <w:lang w:val="en-US" w:eastAsia="zh-CN"/>
        </w:rPr>
        <w:t>5</w:t>
      </w:r>
      <w:r>
        <w:rPr>
          <w:rFonts w:hint="eastAsia" w:cs="Times New Roman"/>
          <w:b/>
          <w:color w:val="auto"/>
          <w:sz w:val="24"/>
          <w:szCs w:val="24"/>
          <w:highlight w:val="none"/>
          <w:lang w:val="en-US" w:eastAsia="zh-CN"/>
        </w:rPr>
        <w:t>8</w:t>
      </w:r>
      <w:r>
        <w:rPr>
          <w:rFonts w:hint="default" w:ascii="Times New Roman" w:hAnsi="Times New Roman" w:eastAsia="宋体" w:cs="Times New Roman"/>
          <w:b/>
          <w:color w:val="auto"/>
          <w:sz w:val="24"/>
          <w:szCs w:val="24"/>
          <w:highlight w:val="none"/>
        </w:rPr>
        <w:t>分）</w:t>
      </w:r>
    </w:p>
    <w:tbl>
      <w:tblPr>
        <w:tblStyle w:val="36"/>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7150"/>
      </w:tblGrid>
      <w:tr w14:paraId="54FA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332" w:type="dxa"/>
            <w:noWrap w:val="0"/>
          </w:tcPr>
          <w:p w14:paraId="38EA217E">
            <w:pPr>
              <w:spacing w:line="520" w:lineRule="exact"/>
              <w:jc w:val="center"/>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评审因素</w:t>
            </w:r>
          </w:p>
        </w:tc>
        <w:tc>
          <w:tcPr>
            <w:tcW w:w="7150" w:type="dxa"/>
            <w:noWrap w:val="0"/>
          </w:tcPr>
          <w:p w14:paraId="7AE2146D">
            <w:pPr>
              <w:spacing w:line="520" w:lineRule="exact"/>
              <w:jc w:val="center"/>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评审标准</w:t>
            </w:r>
          </w:p>
        </w:tc>
      </w:tr>
      <w:tr w14:paraId="549A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332" w:type="dxa"/>
            <w:noWrap w:val="0"/>
          </w:tcPr>
          <w:p w14:paraId="17E1689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left"/>
              <w:rPr>
                <w:rFonts w:ascii="Times New Roman" w:hAnsi="Times New Roman" w:eastAsia="宋体" w:cs="Times New Roman"/>
                <w:color w:val="auto"/>
                <w:sz w:val="24"/>
                <w:szCs w:val="24"/>
                <w:highlight w:val="none"/>
              </w:rPr>
            </w:pPr>
          </w:p>
          <w:p w14:paraId="22B1771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left"/>
              <w:rPr>
                <w:rFonts w:ascii="Times New Roman" w:hAnsi="Times New Roman" w:eastAsia="宋体" w:cs="Times New Roman"/>
                <w:color w:val="auto"/>
                <w:sz w:val="24"/>
                <w:szCs w:val="24"/>
                <w:highlight w:val="none"/>
              </w:rPr>
            </w:pPr>
          </w:p>
          <w:p w14:paraId="64526AB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left"/>
              <w:rPr>
                <w:rFonts w:ascii="Times New Roman" w:hAnsi="Times New Roman" w:eastAsia="宋体" w:cs="Times New Roman"/>
                <w:color w:val="auto"/>
                <w:sz w:val="24"/>
                <w:szCs w:val="24"/>
                <w:highlight w:val="none"/>
              </w:rPr>
            </w:pPr>
          </w:p>
          <w:p w14:paraId="403E5A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left"/>
              <w:rPr>
                <w:rFonts w:ascii="Times New Roman" w:hAnsi="Times New Roman" w:eastAsia="宋体" w:cs="Times New Roman"/>
                <w:color w:val="auto"/>
                <w:sz w:val="24"/>
                <w:szCs w:val="24"/>
                <w:highlight w:val="none"/>
              </w:rPr>
            </w:pPr>
          </w:p>
          <w:p w14:paraId="592389E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ascii="Times New Roman" w:hAnsi="Times New Roman" w:eastAsia="宋体" w:cs="Times New Roman"/>
                <w:color w:val="auto"/>
                <w:sz w:val="24"/>
                <w:szCs w:val="24"/>
                <w:highlight w:val="none"/>
              </w:rPr>
            </w:pPr>
            <w:r>
              <w:rPr>
                <w:color w:val="auto"/>
                <w:sz w:val="24"/>
                <w:highlight w:val="none"/>
              </w:rPr>
              <w:t>失能评估工作方案</w:t>
            </w:r>
            <w:r>
              <w:rPr>
                <w:rFonts w:hint="default" w:ascii="Times New Roman" w:hAnsi="Times New Roman" w:eastAsia="宋体" w:cs="Times New Roman"/>
                <w:color w:val="auto"/>
                <w:sz w:val="24"/>
                <w:szCs w:val="24"/>
                <w:highlight w:val="none"/>
              </w:rPr>
              <w:t>（6分）</w:t>
            </w:r>
          </w:p>
        </w:tc>
        <w:tc>
          <w:tcPr>
            <w:tcW w:w="7150" w:type="dxa"/>
            <w:noWrap w:val="0"/>
          </w:tcPr>
          <w:p w14:paraId="739EF357">
            <w:pPr>
              <w:rPr>
                <w:color w:val="auto"/>
                <w:highlight w:val="none"/>
              </w:rPr>
            </w:pPr>
          </w:p>
          <w:p w14:paraId="2ECFDA15">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w:t>
            </w:r>
            <w:r>
              <w:rPr>
                <w:color w:val="auto"/>
                <w:sz w:val="24"/>
                <w:highlight w:val="none"/>
              </w:rPr>
              <w:t>失能评估工作</w:t>
            </w:r>
            <w:r>
              <w:rPr>
                <w:rFonts w:hint="default" w:ascii="Times New Roman" w:hAnsi="Times New Roman" w:cs="Times New Roman" w:eastAsiaTheme="majorEastAsia"/>
                <w:color w:val="auto"/>
                <w:sz w:val="24"/>
                <w:szCs w:val="24"/>
                <w:highlight w:val="none"/>
                <w:lang w:val="en-US" w:eastAsia="zh-CN" w:bidi="ar-SA"/>
              </w:rPr>
              <w:t>方案（包括选择评估机构、评估流程、档案管理、管理方案等）进行综合评审。</w:t>
            </w:r>
          </w:p>
          <w:p w14:paraId="4F3BDE24">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工作方案架构详细，流程清晰，方法描述科学合理可行的</w:t>
            </w:r>
            <w:r>
              <w:rPr>
                <w:rFonts w:hint="default" w:ascii="Times New Roman" w:hAnsi="Times New Roman" w:cs="Times New Roman" w:eastAsiaTheme="majorEastAsia"/>
                <w:b/>
                <w:bCs/>
                <w:color w:val="auto"/>
                <w:sz w:val="24"/>
                <w:szCs w:val="24"/>
                <w:highlight w:val="none"/>
                <w:lang w:val="en-US" w:eastAsia="zh-CN" w:bidi="ar-SA"/>
              </w:rPr>
              <w:t>得6分；</w:t>
            </w:r>
          </w:p>
          <w:p w14:paraId="7B9A0617">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工作方案架构比较详细，流程比较清楚，方法描述比较合理可行的</w:t>
            </w:r>
            <w:r>
              <w:rPr>
                <w:rFonts w:hint="default" w:ascii="Times New Roman" w:hAnsi="Times New Roman" w:cs="Times New Roman" w:eastAsiaTheme="majorEastAsia"/>
                <w:b/>
                <w:bCs/>
                <w:color w:val="auto"/>
                <w:sz w:val="24"/>
                <w:szCs w:val="24"/>
                <w:highlight w:val="none"/>
                <w:lang w:val="en-US" w:eastAsia="zh-CN" w:bidi="ar-SA"/>
              </w:rPr>
              <w:t>得4分；</w:t>
            </w:r>
          </w:p>
          <w:p w14:paraId="4A17C7D2">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工作方案架构基本详细，流程基本完整，方法描述基本合理可行的</w:t>
            </w:r>
            <w:r>
              <w:rPr>
                <w:rFonts w:hint="default" w:ascii="Times New Roman" w:hAnsi="Times New Roman" w:cs="Times New Roman" w:eastAsiaTheme="majorEastAsia"/>
                <w:b/>
                <w:bCs/>
                <w:color w:val="auto"/>
                <w:sz w:val="24"/>
                <w:szCs w:val="24"/>
                <w:highlight w:val="none"/>
                <w:lang w:val="en-US" w:eastAsia="zh-CN" w:bidi="ar-SA"/>
              </w:rPr>
              <w:t>得2分；</w:t>
            </w:r>
          </w:p>
          <w:p w14:paraId="56A9AD63">
            <w:pPr>
              <w:spacing w:line="420" w:lineRule="exact"/>
              <w:ind w:firstLine="482"/>
              <w:jc w:val="both"/>
              <w:rPr>
                <w:rFonts w:ascii="Times New Roman" w:hAnsi="Times New Roman" w:eastAsia="宋体" w:cs="Times New Roman"/>
                <w:b/>
                <w:color w:val="auto"/>
                <w:sz w:val="24"/>
                <w:szCs w:val="24"/>
                <w:highlight w:val="none"/>
              </w:rPr>
            </w:pPr>
            <w:r>
              <w:rPr>
                <w:rFonts w:hint="default" w:ascii="Times New Roman" w:hAnsi="Times New Roman" w:eastAsia="宋体" w:cs="Times New Roman"/>
                <w:b/>
                <w:bCs/>
                <w:color w:val="auto"/>
                <w:sz w:val="24"/>
                <w:szCs w:val="24"/>
                <w:highlight w:val="none"/>
              </w:rPr>
              <w:t>该项未见阐述不得分。</w:t>
            </w:r>
          </w:p>
        </w:tc>
      </w:tr>
      <w:tr w14:paraId="57CE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332" w:type="dxa"/>
            <w:noWrap w:val="0"/>
            <w:vAlign w:val="center"/>
          </w:tcPr>
          <w:p w14:paraId="5CD07DC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hint="default" w:ascii="Times New Roman" w:hAnsi="Times New Roman" w:eastAsia="宋体" w:cs="Times New Roman"/>
                <w:color w:val="auto"/>
                <w:sz w:val="24"/>
                <w:szCs w:val="24"/>
                <w:highlight w:val="none"/>
                <w:lang w:val="en-US" w:eastAsia="zh-CN"/>
              </w:rPr>
            </w:pPr>
            <w:r>
              <w:rPr>
                <w:color w:val="auto"/>
                <w:sz w:val="24"/>
                <w:highlight w:val="none"/>
              </w:rPr>
              <w:t>护理服务机构管理方案</w:t>
            </w:r>
            <w:r>
              <w:rPr>
                <w:rFonts w:hint="default" w:ascii="Times New Roman" w:hAnsi="Times New Roman" w:eastAsia="宋体" w:cs="Times New Roman"/>
                <w:color w:val="auto"/>
                <w:sz w:val="24"/>
                <w:szCs w:val="24"/>
                <w:highlight w:val="none"/>
              </w:rPr>
              <w:t>（6分）</w:t>
            </w:r>
          </w:p>
        </w:tc>
        <w:tc>
          <w:tcPr>
            <w:tcW w:w="7150" w:type="dxa"/>
            <w:noWrap w:val="0"/>
          </w:tcPr>
          <w:p w14:paraId="0F442209">
            <w:pPr>
              <w:pStyle w:val="33"/>
              <w:spacing w:beforeAutospacing="0" w:afterAutospacing="0" w:line="38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根据投标人提供的针对本项目的</w:t>
            </w:r>
            <w:r>
              <w:rPr>
                <w:color w:val="auto"/>
                <w:sz w:val="24"/>
                <w:highlight w:val="none"/>
              </w:rPr>
              <w:t>护理服务机构管理方案</w:t>
            </w:r>
            <w:r>
              <w:rPr>
                <w:rFonts w:hint="default" w:ascii="Times New Roman" w:hAnsi="Times New Roman" w:cs="Times New Roman" w:eastAsiaTheme="majorEastAsia"/>
                <w:color w:val="auto"/>
                <w:sz w:val="24"/>
                <w:szCs w:val="24"/>
                <w:highlight w:val="none"/>
                <w:lang w:val="en-US" w:eastAsia="zh-CN" w:bidi="ar-SA"/>
              </w:rPr>
              <w:t>（包括定点护理机构管理、服务质量管理、档案管理、现场核查方案等）进行综合评审。</w:t>
            </w:r>
          </w:p>
          <w:p w14:paraId="48F56C63">
            <w:pPr>
              <w:pStyle w:val="33"/>
              <w:spacing w:beforeAutospacing="0" w:afterAutospacing="0" w:line="380" w:lineRule="exact"/>
              <w:ind w:firstLine="48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管理方案细节详细、规划合理，具体可行，可操作性强的</w:t>
            </w:r>
            <w:r>
              <w:rPr>
                <w:rFonts w:hint="default" w:ascii="Times New Roman" w:hAnsi="Times New Roman" w:cs="Times New Roman" w:eastAsiaTheme="majorEastAsia"/>
                <w:b/>
                <w:bCs/>
                <w:color w:val="auto"/>
                <w:sz w:val="24"/>
                <w:szCs w:val="24"/>
                <w:highlight w:val="none"/>
                <w:lang w:val="en-US" w:eastAsia="zh-CN" w:bidi="ar-SA"/>
              </w:rPr>
              <w:t>得6分；</w:t>
            </w:r>
          </w:p>
          <w:p w14:paraId="73F0A8C4">
            <w:pPr>
              <w:pStyle w:val="33"/>
              <w:spacing w:beforeAutospacing="0" w:afterAutospacing="0" w:line="38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管理方案细节比较详细、规划比较合理可行，可操作性比较可行的</w:t>
            </w:r>
            <w:r>
              <w:rPr>
                <w:rFonts w:hint="default" w:ascii="Times New Roman" w:hAnsi="Times New Roman" w:cs="Times New Roman" w:eastAsiaTheme="majorEastAsia"/>
                <w:b/>
                <w:bCs/>
                <w:color w:val="auto"/>
                <w:sz w:val="24"/>
                <w:szCs w:val="24"/>
                <w:highlight w:val="none"/>
                <w:lang w:val="en-US" w:eastAsia="zh-CN" w:bidi="ar-SA"/>
              </w:rPr>
              <w:t>得4分；</w:t>
            </w:r>
          </w:p>
          <w:p w14:paraId="4124BD60">
            <w:pPr>
              <w:pStyle w:val="33"/>
              <w:spacing w:beforeAutospacing="0" w:afterAutospacing="0" w:line="380" w:lineRule="exact"/>
              <w:ind w:firstLine="48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管理方案细节基本详细、规划基本合理可行，可操作一般的</w:t>
            </w:r>
            <w:r>
              <w:rPr>
                <w:rFonts w:hint="default" w:ascii="Times New Roman" w:hAnsi="Times New Roman" w:cs="Times New Roman" w:eastAsiaTheme="majorEastAsia"/>
                <w:b/>
                <w:bCs/>
                <w:color w:val="auto"/>
                <w:sz w:val="24"/>
                <w:szCs w:val="24"/>
                <w:highlight w:val="none"/>
                <w:lang w:val="en-US" w:eastAsia="zh-CN" w:bidi="ar-SA"/>
              </w:rPr>
              <w:t>得2分；</w:t>
            </w:r>
          </w:p>
          <w:p w14:paraId="7B1AE6B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firstLine="482"/>
              <w:jc w:val="both"/>
              <w:rPr>
                <w:rFonts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该项未见阐述不得分。</w:t>
            </w:r>
          </w:p>
        </w:tc>
      </w:tr>
      <w:tr w14:paraId="40F3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332" w:type="dxa"/>
            <w:noWrap w:val="0"/>
            <w:vAlign w:val="center"/>
          </w:tcPr>
          <w:p w14:paraId="24DC708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ascii="Times New Roman" w:hAnsi="Times New Roman" w:eastAsia="宋体" w:cs="Times New Roman"/>
                <w:color w:val="auto"/>
                <w:sz w:val="24"/>
                <w:szCs w:val="24"/>
                <w:highlight w:val="none"/>
              </w:rPr>
            </w:pPr>
            <w:r>
              <w:rPr>
                <w:rFonts w:hint="eastAsia" w:cs="Times New Roman"/>
                <w:color w:val="auto"/>
                <w:sz w:val="24"/>
                <w:highlight w:val="none"/>
                <w:lang w:val="en-US" w:eastAsia="zh-CN"/>
              </w:rPr>
              <w:t>基金管理</w:t>
            </w:r>
            <w:r>
              <w:rPr>
                <w:rFonts w:hint="default" w:ascii="Times New Roman" w:hAnsi="Times New Roman" w:eastAsia="宋体" w:cs="Times New Roman"/>
                <w:color w:val="auto"/>
                <w:sz w:val="24"/>
                <w:szCs w:val="24"/>
                <w:highlight w:val="none"/>
              </w:rPr>
              <w:t>方案</w:t>
            </w:r>
          </w:p>
          <w:p w14:paraId="050DC5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（6分）</w:t>
            </w:r>
          </w:p>
        </w:tc>
        <w:tc>
          <w:tcPr>
            <w:tcW w:w="7150" w:type="dxa"/>
            <w:noWrap w:val="0"/>
          </w:tcPr>
          <w:p w14:paraId="0447712E">
            <w:pPr>
              <w:spacing w:line="240" w:lineRule="auto"/>
              <w:ind w:firstLine="482"/>
              <w:jc w:val="left"/>
              <w:rPr>
                <w:rFonts w:hint="default" w:ascii="Times New Roman" w:hAnsi="Times New Roman" w:eastAsia="宋体" w:cs="Times New Roman"/>
                <w:b/>
                <w:bCs/>
                <w:color w:val="auto"/>
                <w:sz w:val="24"/>
                <w:szCs w:val="24"/>
                <w:highlight w:val="none"/>
              </w:rPr>
            </w:pPr>
          </w:p>
          <w:p w14:paraId="6924BA9C">
            <w:pPr>
              <w:pStyle w:val="33"/>
              <w:spacing w:beforeAutospacing="0" w:afterAutospacing="0" w:line="38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根据投标人提供的基金管理方案（包括待遇支付、基金风险管理、基金运行情况分析等）进行综合评审。</w:t>
            </w:r>
          </w:p>
          <w:p w14:paraId="1D1DCCF5">
            <w:pPr>
              <w:pStyle w:val="33"/>
              <w:spacing w:beforeAutospacing="0" w:afterAutospacing="0" w:line="380" w:lineRule="exact"/>
              <w:ind w:firstLine="48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方案完善，实施措施详尽，保证措施和风险管理措施科学合理可行的</w:t>
            </w:r>
            <w:r>
              <w:rPr>
                <w:rFonts w:hint="default" w:ascii="Times New Roman" w:hAnsi="Times New Roman" w:cs="Times New Roman" w:eastAsiaTheme="majorEastAsia"/>
                <w:b/>
                <w:bCs/>
                <w:color w:val="auto"/>
                <w:sz w:val="24"/>
                <w:szCs w:val="24"/>
                <w:highlight w:val="none"/>
                <w:lang w:val="en-US" w:eastAsia="zh-CN" w:bidi="ar-SA"/>
              </w:rPr>
              <w:t>得 6分；</w:t>
            </w:r>
          </w:p>
          <w:p w14:paraId="39C712C6">
            <w:pPr>
              <w:pStyle w:val="33"/>
              <w:spacing w:beforeAutospacing="0" w:afterAutospacing="0" w:line="380" w:lineRule="exact"/>
              <w:ind w:firstLine="48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方案比较完善，实施措施比较详尽，保证措施和风险管理措施比较合理可行的</w:t>
            </w:r>
            <w:r>
              <w:rPr>
                <w:rFonts w:hint="default" w:ascii="Times New Roman" w:hAnsi="Times New Roman" w:cs="Times New Roman" w:eastAsiaTheme="majorEastAsia"/>
                <w:b/>
                <w:bCs/>
                <w:color w:val="auto"/>
                <w:sz w:val="24"/>
                <w:szCs w:val="24"/>
                <w:highlight w:val="none"/>
                <w:lang w:val="en-US" w:eastAsia="zh-CN" w:bidi="ar-SA"/>
              </w:rPr>
              <w:t>得4分；</w:t>
            </w:r>
          </w:p>
          <w:p w14:paraId="76731DE5">
            <w:pPr>
              <w:pStyle w:val="33"/>
              <w:spacing w:beforeAutospacing="0" w:afterAutospacing="0" w:line="380" w:lineRule="exact"/>
              <w:ind w:firstLine="48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方案基本完善，实施措施基本详尽，保证措施和风险管理措施可行性一般的</w:t>
            </w:r>
            <w:r>
              <w:rPr>
                <w:rFonts w:hint="default" w:ascii="Times New Roman" w:hAnsi="Times New Roman" w:cs="Times New Roman" w:eastAsiaTheme="majorEastAsia"/>
                <w:b/>
                <w:bCs/>
                <w:color w:val="auto"/>
                <w:sz w:val="24"/>
                <w:szCs w:val="24"/>
                <w:highlight w:val="none"/>
                <w:lang w:val="en-US" w:eastAsia="zh-CN" w:bidi="ar-SA"/>
              </w:rPr>
              <w:t>得2分。</w:t>
            </w:r>
          </w:p>
          <w:p w14:paraId="0EF0A96F">
            <w:pPr>
              <w:ind w:firstLine="482" w:firstLineChars="200"/>
              <w:rPr>
                <w:color w:val="auto"/>
                <w:highlight w:val="none"/>
              </w:rPr>
            </w:pPr>
            <w:r>
              <w:rPr>
                <w:rFonts w:hint="default" w:ascii="Times New Roman" w:hAnsi="Times New Roman" w:eastAsia="宋体" w:cs="Times New Roman"/>
                <w:b/>
                <w:bCs/>
                <w:color w:val="auto"/>
                <w:sz w:val="24"/>
                <w:szCs w:val="24"/>
                <w:highlight w:val="none"/>
              </w:rPr>
              <w:t>该项未见阐述不得分。</w:t>
            </w:r>
          </w:p>
          <w:p w14:paraId="19307333">
            <w:pPr>
              <w:spacing w:line="380" w:lineRule="exact"/>
              <w:ind w:firstLine="0"/>
              <w:jc w:val="both"/>
              <w:rPr>
                <w:rFonts w:ascii="Times New Roman" w:hAnsi="Times New Roman" w:eastAsia="宋体" w:cs="Times New Roman"/>
                <w:b/>
                <w:bCs/>
                <w:color w:val="auto"/>
                <w:sz w:val="24"/>
                <w:szCs w:val="24"/>
                <w:highlight w:val="none"/>
              </w:rPr>
            </w:pPr>
          </w:p>
        </w:tc>
      </w:tr>
      <w:tr w14:paraId="4E76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2332" w:type="dxa"/>
            <w:noWrap w:val="0"/>
            <w:vAlign w:val="center"/>
          </w:tcPr>
          <w:p w14:paraId="60E1664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hint="default" w:ascii="Times New Roman" w:hAnsi="Times New Roman" w:eastAsia="宋体" w:cs="Times New Roman"/>
                <w:color w:val="auto"/>
                <w:sz w:val="24"/>
                <w:szCs w:val="24"/>
                <w:highlight w:val="none"/>
                <w:lang w:val="en-US" w:eastAsia="zh-CN"/>
              </w:rPr>
            </w:pPr>
            <w:r>
              <w:rPr>
                <w:color w:val="auto"/>
                <w:sz w:val="24"/>
                <w:highlight w:val="none"/>
              </w:rPr>
              <w:t>监管工作方案</w:t>
            </w:r>
          </w:p>
          <w:p w14:paraId="0D8EBE5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分）</w:t>
            </w:r>
          </w:p>
        </w:tc>
        <w:tc>
          <w:tcPr>
            <w:tcW w:w="7150" w:type="dxa"/>
            <w:noWrap w:val="0"/>
          </w:tcPr>
          <w:p w14:paraId="5DC16EF6">
            <w:pPr>
              <w:pStyle w:val="33"/>
              <w:keepNext w:val="0"/>
              <w:keepLines w:val="0"/>
              <w:pageBreakBefore w:val="0"/>
              <w:widowControl w:val="0"/>
              <w:numPr>
                <w:ilvl w:val="0"/>
                <w:numId w:val="0"/>
              </w:numPr>
              <w:spacing w:beforeAutospacing="0" w:afterAutospacing="0" w:line="380" w:lineRule="exact"/>
              <w:ind w:firstLine="480" w:firstLineChars="20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根据投标人提供的核查监管工作方案（包括对评估机构、评估人员、定点护理机构进行监管；负责开展失能人员状态核查、待遇支付核查工作等）进行综合评审。</w:t>
            </w:r>
          </w:p>
          <w:p w14:paraId="0C13F9F8">
            <w:pPr>
              <w:pStyle w:val="33"/>
              <w:keepNext w:val="0"/>
              <w:keepLines w:val="0"/>
              <w:pageBreakBefore w:val="0"/>
              <w:widowControl w:val="0"/>
              <w:numPr>
                <w:ilvl w:val="0"/>
                <w:numId w:val="0"/>
              </w:numPr>
              <w:spacing w:beforeAutospacing="0" w:afterAutospacing="0" w:line="380" w:lineRule="exact"/>
              <w:ind w:firstLine="480" w:firstLineChars="200"/>
              <w:jc w:val="both"/>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监管方案设计合理，条理清晰，实用性强的，且有先进监管技术方案和经验的（提供相关资料），</w:t>
            </w:r>
            <w:r>
              <w:rPr>
                <w:rFonts w:hint="default" w:ascii="Times New Roman" w:hAnsi="Times New Roman" w:cs="Times New Roman" w:eastAsiaTheme="majorEastAsia"/>
                <w:b/>
                <w:bCs/>
                <w:color w:val="auto"/>
                <w:sz w:val="24"/>
                <w:szCs w:val="24"/>
                <w:highlight w:val="none"/>
                <w:lang w:val="en-US" w:eastAsia="zh-CN" w:bidi="ar-SA"/>
              </w:rPr>
              <w:t>得8分</w:t>
            </w:r>
            <w:r>
              <w:rPr>
                <w:rFonts w:hint="default" w:ascii="Times New Roman" w:hAnsi="Times New Roman" w:cs="Times New Roman"/>
                <w:b/>
                <w:bCs/>
                <w:color w:val="auto"/>
                <w:szCs w:val="24"/>
                <w:highlight w:val="none"/>
                <w:lang w:eastAsia="zh-CN"/>
              </w:rPr>
              <w:t>；</w:t>
            </w:r>
          </w:p>
          <w:p w14:paraId="0A4FA616">
            <w:pPr>
              <w:pStyle w:val="33"/>
              <w:keepNext w:val="0"/>
              <w:keepLines w:val="0"/>
              <w:pageBreakBefore w:val="0"/>
              <w:widowControl w:val="0"/>
              <w:numPr>
                <w:ilvl w:val="0"/>
                <w:numId w:val="0"/>
              </w:numPr>
              <w:spacing w:beforeAutospacing="0" w:afterAutospacing="0" w:line="380" w:lineRule="exact"/>
              <w:ind w:firstLine="480" w:firstLineChars="20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监管方案设计合理，条理清晰，实用性强的</w:t>
            </w:r>
            <w:r>
              <w:rPr>
                <w:rFonts w:hint="default" w:ascii="Times New Roman" w:hAnsi="Times New Roman" w:cs="Times New Roman" w:eastAsiaTheme="majorEastAsia"/>
                <w:b/>
                <w:bCs/>
                <w:color w:val="auto"/>
                <w:sz w:val="24"/>
                <w:szCs w:val="24"/>
                <w:highlight w:val="none"/>
                <w:lang w:val="en-US" w:eastAsia="zh-CN" w:bidi="ar-SA"/>
              </w:rPr>
              <w:t>得 6分；</w:t>
            </w:r>
          </w:p>
          <w:p w14:paraId="5FA635A6">
            <w:pPr>
              <w:pStyle w:val="33"/>
              <w:keepNext w:val="0"/>
              <w:keepLines w:val="0"/>
              <w:pageBreakBefore w:val="0"/>
              <w:widowControl w:val="0"/>
              <w:numPr>
                <w:ilvl w:val="0"/>
                <w:numId w:val="0"/>
              </w:numPr>
              <w:spacing w:beforeAutospacing="0" w:afterAutospacing="0" w:line="380" w:lineRule="exact"/>
              <w:ind w:firstLine="480" w:firstLineChars="20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监管方案设计比较合理，条理比较清晰，实用性比较好的</w:t>
            </w:r>
            <w:r>
              <w:rPr>
                <w:rFonts w:hint="default" w:ascii="Times New Roman" w:hAnsi="Times New Roman" w:cs="Times New Roman" w:eastAsiaTheme="majorEastAsia"/>
                <w:b/>
                <w:bCs/>
                <w:color w:val="auto"/>
                <w:sz w:val="24"/>
                <w:szCs w:val="24"/>
                <w:highlight w:val="none"/>
                <w:lang w:val="en-US" w:eastAsia="zh-CN" w:bidi="ar-SA"/>
              </w:rPr>
              <w:t>得 4分；</w:t>
            </w:r>
          </w:p>
          <w:p w14:paraId="71ABECCC">
            <w:pPr>
              <w:pStyle w:val="33"/>
              <w:keepNext w:val="0"/>
              <w:keepLines w:val="0"/>
              <w:pageBreakBefore w:val="0"/>
              <w:widowControl w:val="0"/>
              <w:numPr>
                <w:ilvl w:val="0"/>
                <w:numId w:val="0"/>
              </w:numPr>
              <w:spacing w:beforeAutospacing="0" w:afterAutospacing="0" w:line="380" w:lineRule="exact"/>
              <w:ind w:firstLine="480" w:firstLineChars="20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监管方案设计基本合理，条理基本清晰，实用性一般的</w:t>
            </w:r>
            <w:r>
              <w:rPr>
                <w:rFonts w:hint="default" w:ascii="Times New Roman" w:hAnsi="Times New Roman" w:cs="Times New Roman" w:eastAsiaTheme="majorEastAsia"/>
                <w:b/>
                <w:bCs/>
                <w:color w:val="auto"/>
                <w:sz w:val="24"/>
                <w:szCs w:val="24"/>
                <w:highlight w:val="none"/>
                <w:lang w:val="en-US" w:eastAsia="zh-CN" w:bidi="ar-SA"/>
              </w:rPr>
              <w:t>得 2分；</w:t>
            </w:r>
          </w:p>
          <w:p w14:paraId="32D57060">
            <w:pPr>
              <w:pStyle w:val="33"/>
              <w:numPr>
                <w:ilvl w:val="0"/>
                <w:numId w:val="0"/>
              </w:numPr>
              <w:spacing w:beforeAutospacing="0" w:afterAutospacing="0" w:line="380" w:lineRule="exact"/>
              <w:ind w:firstLine="482" w:firstLineChars="200"/>
              <w:jc w:val="both"/>
              <w:rPr>
                <w:rFonts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该项未见阐述不得分。</w:t>
            </w:r>
          </w:p>
        </w:tc>
      </w:tr>
      <w:tr w14:paraId="2E39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2332" w:type="dxa"/>
            <w:noWrap w:val="0"/>
          </w:tcPr>
          <w:p w14:paraId="2D9BAEF4">
            <w:pPr>
              <w:spacing w:line="520" w:lineRule="exact"/>
              <w:jc w:val="center"/>
              <w:rPr>
                <w:rFonts w:ascii="Times New Roman" w:hAnsi="Times New Roman" w:eastAsia="宋体" w:cs="Times New Roman"/>
                <w:color w:val="auto"/>
                <w:position w:val="-6"/>
                <w:sz w:val="24"/>
                <w:szCs w:val="24"/>
                <w:highlight w:val="none"/>
              </w:rPr>
            </w:pPr>
          </w:p>
          <w:p w14:paraId="0BAF9EDD">
            <w:pPr>
              <w:spacing w:line="520" w:lineRule="exact"/>
              <w:jc w:val="center"/>
              <w:rPr>
                <w:rFonts w:ascii="Times New Roman" w:hAnsi="Times New Roman" w:eastAsia="宋体" w:cs="Times New Roman"/>
                <w:color w:val="auto"/>
                <w:position w:val="-6"/>
                <w:sz w:val="24"/>
                <w:szCs w:val="24"/>
                <w:highlight w:val="none"/>
              </w:rPr>
            </w:pPr>
          </w:p>
          <w:p w14:paraId="160FDBBF">
            <w:pPr>
              <w:spacing w:line="520" w:lineRule="exact"/>
              <w:jc w:val="center"/>
              <w:rPr>
                <w:rFonts w:ascii="Times New Roman" w:hAnsi="Times New Roman" w:eastAsia="宋体" w:cs="Times New Roman"/>
                <w:color w:val="auto"/>
                <w:position w:val="-6"/>
                <w:sz w:val="24"/>
                <w:szCs w:val="24"/>
                <w:highlight w:val="none"/>
              </w:rPr>
            </w:pPr>
          </w:p>
          <w:p w14:paraId="521ECE4E">
            <w:pPr>
              <w:spacing w:line="520" w:lineRule="exact"/>
              <w:jc w:val="center"/>
              <w:rPr>
                <w:rFonts w:ascii="Times New Roman" w:hAnsi="Times New Roman" w:eastAsia="宋体" w:cs="Times New Roman"/>
                <w:color w:val="auto"/>
                <w:sz w:val="24"/>
                <w:szCs w:val="24"/>
                <w:highlight w:val="none"/>
              </w:rPr>
            </w:pPr>
            <w:r>
              <w:rPr>
                <w:color w:val="auto"/>
                <w:sz w:val="24"/>
                <w:highlight w:val="none"/>
              </w:rPr>
              <w:t>信息系统管理方案</w:t>
            </w:r>
            <w:r>
              <w:rPr>
                <w:rFonts w:ascii="Times New Roman" w:hAnsi="Times New Roman" w:eastAsia="宋体"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分）</w:t>
            </w:r>
          </w:p>
        </w:tc>
        <w:tc>
          <w:tcPr>
            <w:tcW w:w="7150" w:type="dxa"/>
            <w:noWrap w:val="0"/>
          </w:tcPr>
          <w:p w14:paraId="1ECDA3EE">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根据投标人提供的信息系统管理方案（包括实现长护险申请、评估、经办、服务、结算和管理全流程的信息化等）进行综合评审。</w:t>
            </w:r>
          </w:p>
          <w:p w14:paraId="55772563">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方案内容详尽完善，流程清晰，细化到位，技术实现合理可行的，且已有与长护险业务适配的信息核查系统（需提供</w:t>
            </w:r>
            <w:r>
              <w:rPr>
                <w:rFonts w:hint="default" w:ascii="Times New Roman" w:hAnsi="Times New Roman" w:cs="Times New Roman" w:eastAsiaTheme="majorEastAsia"/>
                <w:b w:val="0"/>
                <w:bCs w:val="0"/>
                <w:color w:val="auto"/>
                <w:sz w:val="24"/>
                <w:szCs w:val="24"/>
                <w:highlight w:val="none"/>
                <w:lang w:val="en-US" w:eastAsia="zh-CN" w:bidi="ar-SA"/>
              </w:rPr>
              <w:t>系统功能截图、软著证明或已落地项目案例等作为佐证材料</w:t>
            </w:r>
            <w:r>
              <w:rPr>
                <w:rFonts w:hint="default" w:ascii="Times New Roman" w:hAnsi="Times New Roman" w:cs="Times New Roman" w:eastAsiaTheme="majorEastAsia"/>
                <w:color w:val="auto"/>
                <w:sz w:val="24"/>
                <w:szCs w:val="24"/>
                <w:highlight w:val="none"/>
                <w:lang w:val="en-US" w:eastAsia="zh-CN" w:bidi="ar-SA"/>
              </w:rPr>
              <w:t>），</w:t>
            </w:r>
            <w:r>
              <w:rPr>
                <w:rFonts w:hint="default" w:ascii="Times New Roman" w:hAnsi="Times New Roman" w:cs="Times New Roman" w:eastAsiaTheme="majorEastAsia"/>
                <w:b/>
                <w:bCs/>
                <w:color w:val="auto"/>
                <w:sz w:val="24"/>
                <w:szCs w:val="24"/>
                <w:highlight w:val="none"/>
                <w:lang w:val="en-US" w:eastAsia="zh-CN" w:bidi="ar-SA"/>
              </w:rPr>
              <w:t>得8分；</w:t>
            </w:r>
          </w:p>
          <w:p w14:paraId="5AFB2326">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方案内容详尽完善，流程清晰，细化到位，技术实现合理可行的</w:t>
            </w:r>
            <w:r>
              <w:rPr>
                <w:rFonts w:hint="default" w:ascii="Times New Roman" w:hAnsi="Times New Roman" w:cs="Times New Roman" w:eastAsiaTheme="majorEastAsia"/>
                <w:b/>
                <w:bCs/>
                <w:color w:val="auto"/>
                <w:sz w:val="24"/>
                <w:szCs w:val="24"/>
                <w:highlight w:val="none"/>
                <w:lang w:val="en-US" w:eastAsia="zh-CN" w:bidi="ar-SA"/>
              </w:rPr>
              <w:t>得 6分；</w:t>
            </w:r>
          </w:p>
          <w:p w14:paraId="307E463B">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方案内容比较完善，流程清晰，细化比较到位，技术实现比较合理可行的</w:t>
            </w:r>
            <w:r>
              <w:rPr>
                <w:rFonts w:hint="default" w:ascii="Times New Roman" w:hAnsi="Times New Roman" w:cs="Times New Roman" w:eastAsiaTheme="majorEastAsia"/>
                <w:b/>
                <w:bCs/>
                <w:color w:val="auto"/>
                <w:sz w:val="24"/>
                <w:szCs w:val="24"/>
                <w:highlight w:val="none"/>
                <w:lang w:val="en-US" w:eastAsia="zh-CN" w:bidi="ar-SA"/>
              </w:rPr>
              <w:t>得 4分；</w:t>
            </w:r>
          </w:p>
          <w:p w14:paraId="51D6C0FE">
            <w:pPr>
              <w:pStyle w:val="33"/>
              <w:keepNext w:val="0"/>
              <w:keepLines w:val="0"/>
              <w:pageBreakBefore w:val="0"/>
              <w:widowControl w:val="0"/>
              <w:spacing w:beforeAutospacing="0" w:afterAutospacing="0" w:line="42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方案内容基本完整，流程基本清晰，细化基本到位，技术实现基本合理可行的</w:t>
            </w:r>
            <w:r>
              <w:rPr>
                <w:rFonts w:hint="default" w:ascii="Times New Roman" w:hAnsi="Times New Roman" w:cs="Times New Roman" w:eastAsiaTheme="majorEastAsia"/>
                <w:b/>
                <w:bCs/>
                <w:color w:val="auto"/>
                <w:sz w:val="24"/>
                <w:szCs w:val="24"/>
                <w:highlight w:val="none"/>
                <w:lang w:val="en-US" w:eastAsia="zh-CN" w:bidi="ar-SA"/>
              </w:rPr>
              <w:t>得 2分；</w:t>
            </w:r>
          </w:p>
          <w:p w14:paraId="25B515D0">
            <w:pPr>
              <w:pStyle w:val="33"/>
              <w:spacing w:beforeAutospacing="0" w:afterAutospacing="0"/>
              <w:ind w:firstLine="482" w:firstLineChars="200"/>
              <w:rPr>
                <w:rFonts w:hint="default" w:ascii="Times New Roman" w:hAnsi="Times New Roman" w:cs="Times New Roman" w:eastAsiaTheme="majorEastAsia"/>
                <w:color w:val="auto"/>
                <w:position w:val="0"/>
                <w:sz w:val="24"/>
                <w:szCs w:val="24"/>
                <w:highlight w:val="none"/>
              </w:rPr>
            </w:pPr>
            <w:r>
              <w:rPr>
                <w:rFonts w:hint="default" w:ascii="Times New Roman" w:hAnsi="Times New Roman" w:eastAsia="宋体" w:cs="Times New Roman"/>
                <w:b/>
                <w:bCs/>
                <w:color w:val="auto"/>
                <w:sz w:val="24"/>
                <w:szCs w:val="24"/>
                <w:highlight w:val="none"/>
              </w:rPr>
              <w:t>该项未见阐述不得分。</w:t>
            </w:r>
          </w:p>
        </w:tc>
      </w:tr>
      <w:tr w14:paraId="102C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5" w:hRule="atLeast"/>
          <w:jc w:val="center"/>
        </w:trPr>
        <w:tc>
          <w:tcPr>
            <w:tcW w:w="2332" w:type="dxa"/>
            <w:noWrap w:val="0"/>
            <w:vAlign w:val="center"/>
          </w:tcPr>
          <w:p w14:paraId="4844D22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ascii="Times New Roman" w:hAnsi="Times New Roman" w:cs="Times New Roman"/>
                <w:strike/>
                <w:color w:val="auto"/>
                <w:sz w:val="24"/>
                <w:szCs w:val="24"/>
                <w:highlight w:val="none"/>
              </w:rPr>
            </w:pPr>
            <w:r>
              <w:rPr>
                <w:rFonts w:hint="eastAsia"/>
                <w:color w:val="auto"/>
                <w:sz w:val="24"/>
                <w:highlight w:val="none"/>
                <w:lang w:val="en-US" w:eastAsia="zh-CN"/>
              </w:rPr>
              <w:t>内部控制管理</w:t>
            </w:r>
            <w:r>
              <w:rPr>
                <w:rFonts w:hint="default" w:ascii="Times New Roman" w:hAnsi="Times New Roman" w:cs="Times New Roman" w:eastAsiaTheme="majorEastAsia"/>
                <w:color w:val="auto"/>
                <w:sz w:val="24"/>
                <w:szCs w:val="24"/>
                <w:highlight w:val="none"/>
                <w:lang w:val="en-US" w:eastAsia="zh-CN" w:bidi="ar-SA"/>
              </w:rPr>
              <w:t>（合规管理）</w:t>
            </w:r>
            <w:r>
              <w:rPr>
                <w:rFonts w:hint="eastAsia"/>
                <w:color w:val="auto"/>
                <w:sz w:val="24"/>
                <w:highlight w:val="none"/>
                <w:lang w:val="en-US" w:eastAsia="zh-CN"/>
              </w:rPr>
              <w:t>方案</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分）</w:t>
            </w:r>
          </w:p>
        </w:tc>
        <w:tc>
          <w:tcPr>
            <w:tcW w:w="7150" w:type="dxa"/>
            <w:noWrap w:val="0"/>
            <w:vAlign w:val="center"/>
          </w:tcPr>
          <w:p w14:paraId="08ED04BC">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根据投标人提供的内部控制管理（合规管理）方案（包括团队管理方案、财务管理方案、风险管控方案、业务数据保密方案、档案管理方案等）进行综合评审。</w:t>
            </w:r>
          </w:p>
          <w:p w14:paraId="549C2979">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管理方案细节详细、规划合理，具体可行，可操作性强的</w:t>
            </w:r>
            <w:r>
              <w:rPr>
                <w:rFonts w:hint="default" w:ascii="Times New Roman" w:hAnsi="Times New Roman" w:cs="Times New Roman" w:eastAsiaTheme="majorEastAsia"/>
                <w:b/>
                <w:bCs/>
                <w:color w:val="auto"/>
                <w:sz w:val="24"/>
                <w:szCs w:val="24"/>
                <w:highlight w:val="none"/>
                <w:lang w:val="en-US" w:eastAsia="zh-CN" w:bidi="ar-SA"/>
              </w:rPr>
              <w:t>得6分；</w:t>
            </w:r>
          </w:p>
          <w:p w14:paraId="1C8760F0">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管理方案细节比较详细、规划比较合理可行，可操作性比较可行的</w:t>
            </w:r>
            <w:r>
              <w:rPr>
                <w:rFonts w:hint="default" w:ascii="Times New Roman" w:hAnsi="Times New Roman" w:cs="Times New Roman" w:eastAsiaTheme="majorEastAsia"/>
                <w:b/>
                <w:bCs/>
                <w:color w:val="auto"/>
                <w:sz w:val="24"/>
                <w:szCs w:val="24"/>
                <w:highlight w:val="none"/>
                <w:lang w:val="en-US" w:eastAsia="zh-CN" w:bidi="ar-SA"/>
              </w:rPr>
              <w:t>得4分；</w:t>
            </w:r>
          </w:p>
          <w:p w14:paraId="67C221D4">
            <w:pPr>
              <w:pStyle w:val="33"/>
              <w:keepNext w:val="0"/>
              <w:keepLines w:val="0"/>
              <w:pageBreakBefore w:val="0"/>
              <w:widowControl w:val="0"/>
              <w:spacing w:beforeAutospacing="0" w:afterAutospacing="0" w:line="38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管理方案细节基本详细、规划基本合理可行，可操作性一般的</w:t>
            </w:r>
            <w:r>
              <w:rPr>
                <w:rFonts w:hint="default" w:ascii="Times New Roman" w:hAnsi="Times New Roman" w:cs="Times New Roman" w:eastAsiaTheme="majorEastAsia"/>
                <w:b/>
                <w:bCs/>
                <w:color w:val="auto"/>
                <w:sz w:val="24"/>
                <w:szCs w:val="24"/>
                <w:highlight w:val="none"/>
                <w:lang w:val="en-US" w:eastAsia="zh-CN" w:bidi="ar-SA"/>
              </w:rPr>
              <w:t>得2分；</w:t>
            </w:r>
          </w:p>
          <w:p w14:paraId="512B61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firstLine="482" w:firstLineChars="200"/>
              <w:jc w:val="both"/>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该项未见阐述不得分。</w:t>
            </w:r>
          </w:p>
        </w:tc>
      </w:tr>
      <w:tr w14:paraId="3504D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332" w:type="dxa"/>
            <w:noWrap w:val="0"/>
            <w:vAlign w:val="center"/>
          </w:tcPr>
          <w:p w14:paraId="547B6F8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center"/>
              <w:rPr>
                <w:rFonts w:ascii="Times New Roman" w:hAnsi="Times New Roman" w:eastAsia="宋体" w:cs="Times New Roman"/>
                <w:color w:val="auto"/>
                <w:sz w:val="24"/>
                <w:szCs w:val="24"/>
                <w:highlight w:val="none"/>
              </w:rPr>
            </w:pPr>
            <w:r>
              <w:rPr>
                <w:color w:val="auto"/>
                <w:sz w:val="24"/>
                <w:highlight w:val="none"/>
              </w:rPr>
              <w:t>宣传方案</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分）</w:t>
            </w:r>
          </w:p>
        </w:tc>
        <w:tc>
          <w:tcPr>
            <w:tcW w:w="7150" w:type="dxa"/>
            <w:noWrap w:val="0"/>
            <w:vAlign w:val="center"/>
          </w:tcPr>
          <w:p w14:paraId="629B7E17">
            <w:pPr>
              <w:pStyle w:val="33"/>
              <w:keepNext w:val="0"/>
              <w:keepLines w:val="0"/>
              <w:pageBreakBefore w:val="0"/>
              <w:widowControl w:val="0"/>
              <w:spacing w:beforeAutospacing="0" w:afterAutospacing="0" w:line="38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根据投标人提供的宣传工作方案（包括宣传方向、宣传方式、宣传渠道、宣传频率等）进行综合评审。</w:t>
            </w:r>
          </w:p>
          <w:p w14:paraId="137C2193">
            <w:pPr>
              <w:pStyle w:val="33"/>
              <w:keepNext w:val="0"/>
              <w:keepLines w:val="0"/>
              <w:pageBreakBefore w:val="0"/>
              <w:widowControl w:val="0"/>
              <w:spacing w:beforeAutospacing="0" w:afterAutospacing="0" w:line="38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政策宣传方向正确，方案合适，实用性强的</w:t>
            </w:r>
            <w:r>
              <w:rPr>
                <w:rFonts w:hint="default" w:ascii="Times New Roman" w:hAnsi="Times New Roman" w:cs="Times New Roman" w:eastAsiaTheme="majorEastAsia"/>
                <w:b/>
                <w:bCs/>
                <w:color w:val="auto"/>
                <w:sz w:val="24"/>
                <w:szCs w:val="24"/>
                <w:highlight w:val="none"/>
                <w:lang w:val="en-US" w:eastAsia="zh-CN" w:bidi="ar-SA"/>
              </w:rPr>
              <w:t>得6分；</w:t>
            </w:r>
          </w:p>
          <w:p w14:paraId="33B49B5D">
            <w:pPr>
              <w:pStyle w:val="33"/>
              <w:keepNext w:val="0"/>
              <w:keepLines w:val="0"/>
              <w:pageBreakBefore w:val="0"/>
              <w:widowControl w:val="0"/>
              <w:spacing w:beforeAutospacing="0" w:afterAutospacing="0" w:line="38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政策宣传方向正确，方案较完善，比较实用的</w:t>
            </w:r>
            <w:r>
              <w:rPr>
                <w:rFonts w:hint="default" w:ascii="Times New Roman" w:hAnsi="Times New Roman" w:cs="Times New Roman" w:eastAsiaTheme="majorEastAsia"/>
                <w:b/>
                <w:bCs/>
                <w:color w:val="auto"/>
                <w:sz w:val="24"/>
                <w:szCs w:val="24"/>
                <w:highlight w:val="none"/>
                <w:lang w:val="en-US" w:eastAsia="zh-CN" w:bidi="ar-SA"/>
              </w:rPr>
              <w:t>得4分</w:t>
            </w:r>
            <w:r>
              <w:rPr>
                <w:rFonts w:hint="default" w:ascii="Times New Roman" w:hAnsi="Times New Roman" w:cs="Times New Roman" w:eastAsiaTheme="majorEastAsia"/>
                <w:color w:val="auto"/>
                <w:sz w:val="24"/>
                <w:szCs w:val="24"/>
                <w:highlight w:val="none"/>
                <w:lang w:val="en-US" w:eastAsia="zh-CN" w:bidi="ar-SA"/>
              </w:rPr>
              <w:t>；</w:t>
            </w:r>
          </w:p>
          <w:p w14:paraId="536C340B">
            <w:pPr>
              <w:pStyle w:val="33"/>
              <w:keepNext w:val="0"/>
              <w:keepLines w:val="0"/>
              <w:pageBreakBefore w:val="0"/>
              <w:widowControl w:val="0"/>
              <w:spacing w:beforeAutospacing="0" w:afterAutospacing="0" w:line="380" w:lineRule="exact"/>
              <w:ind w:firstLine="480"/>
              <w:jc w:val="both"/>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政策宣传方向合理，方案一般，基本可行的</w:t>
            </w:r>
            <w:r>
              <w:rPr>
                <w:rFonts w:hint="default" w:ascii="Times New Roman" w:hAnsi="Times New Roman" w:cs="Times New Roman" w:eastAsiaTheme="majorEastAsia"/>
                <w:b/>
                <w:bCs/>
                <w:color w:val="auto"/>
                <w:sz w:val="24"/>
                <w:szCs w:val="24"/>
                <w:highlight w:val="none"/>
                <w:lang w:val="en-US" w:eastAsia="zh-CN" w:bidi="ar-SA"/>
              </w:rPr>
              <w:t>得2分；</w:t>
            </w:r>
          </w:p>
          <w:p w14:paraId="10D52FEE">
            <w:pPr>
              <w:pStyle w:val="33"/>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rPr>
                <w:rFonts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该项未见阐述不得分。</w:t>
            </w:r>
          </w:p>
        </w:tc>
      </w:tr>
      <w:tr w14:paraId="32B1A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2332" w:type="dxa"/>
            <w:noWrap w:val="0"/>
          </w:tcPr>
          <w:p w14:paraId="247B642D">
            <w:pPr>
              <w:spacing w:line="520" w:lineRule="exact"/>
              <w:jc w:val="left"/>
              <w:rPr>
                <w:rFonts w:ascii="Times New Roman" w:hAnsi="Times New Roman" w:eastAsia="宋体" w:cs="Times New Roman"/>
                <w:color w:val="auto"/>
                <w:position w:val="-6"/>
                <w:sz w:val="24"/>
                <w:szCs w:val="24"/>
                <w:highlight w:val="none"/>
              </w:rPr>
            </w:pPr>
          </w:p>
          <w:p w14:paraId="7FC60456">
            <w:pPr>
              <w:spacing w:line="520" w:lineRule="exact"/>
              <w:jc w:val="left"/>
              <w:rPr>
                <w:rFonts w:ascii="Times New Roman" w:hAnsi="Times New Roman" w:eastAsia="宋体" w:cs="Times New Roman"/>
                <w:color w:val="auto"/>
                <w:spacing w:val="-1"/>
                <w:position w:val="-6"/>
                <w:sz w:val="24"/>
                <w:szCs w:val="24"/>
                <w:highlight w:val="none"/>
              </w:rPr>
            </w:pPr>
          </w:p>
          <w:p w14:paraId="03B22B9A">
            <w:pPr>
              <w:spacing w:line="520" w:lineRule="exact"/>
              <w:jc w:val="left"/>
              <w:rPr>
                <w:rFonts w:ascii="Times New Roman" w:hAnsi="Times New Roman" w:eastAsia="宋体" w:cs="Times New Roman"/>
                <w:color w:val="auto"/>
                <w:spacing w:val="-1"/>
                <w:position w:val="-6"/>
                <w:sz w:val="24"/>
                <w:szCs w:val="24"/>
                <w:highlight w:val="none"/>
              </w:rPr>
            </w:pPr>
          </w:p>
          <w:p w14:paraId="3856A1ED">
            <w:pPr>
              <w:spacing w:line="520" w:lineRule="exact"/>
              <w:jc w:val="both"/>
              <w:rPr>
                <w:rFonts w:hint="default" w:ascii="Times New Roman" w:hAnsi="Times New Roman" w:cs="Times New Roman"/>
                <w:color w:val="auto"/>
                <w:sz w:val="24"/>
                <w:highlight w:val="none"/>
              </w:rPr>
            </w:pPr>
          </w:p>
          <w:p w14:paraId="55B8F0F7">
            <w:pPr>
              <w:spacing w:line="520" w:lineRule="exact"/>
              <w:jc w:val="center"/>
              <w:rPr>
                <w:rFonts w:ascii="Times New Roman" w:hAnsi="Times New Roman" w:eastAsia="宋体" w:cs="Times New Roman"/>
                <w:color w:val="auto"/>
                <w:spacing w:val="-6"/>
                <w:position w:val="-6"/>
                <w:sz w:val="24"/>
                <w:szCs w:val="24"/>
                <w:highlight w:val="none"/>
              </w:rPr>
            </w:pPr>
            <w:r>
              <w:rPr>
                <w:rFonts w:hint="default" w:ascii="Times New Roman" w:hAnsi="Times New Roman" w:cs="Times New Roman"/>
                <w:color w:val="auto"/>
                <w:sz w:val="24"/>
                <w:highlight w:val="none"/>
              </w:rPr>
              <w:t>培训方案</w:t>
            </w:r>
            <w:r>
              <w:rPr>
                <w:rFonts w:ascii="Times New Roman" w:hAnsi="Times New Roman" w:eastAsia="宋体" w:cs="Times New Roman"/>
                <w:color w:val="auto"/>
                <w:spacing w:val="-6"/>
                <w:position w:val="-6"/>
                <w:sz w:val="24"/>
                <w:szCs w:val="24"/>
                <w:highlight w:val="none"/>
              </w:rPr>
              <w:t>（</w:t>
            </w:r>
            <w:r>
              <w:rPr>
                <w:rFonts w:hint="default" w:ascii="Times New Roman" w:hAnsi="Times New Roman" w:eastAsia="宋体" w:cs="Times New Roman"/>
                <w:color w:val="auto"/>
                <w:spacing w:val="-6"/>
                <w:position w:val="-6"/>
                <w:sz w:val="24"/>
                <w:szCs w:val="24"/>
                <w:highlight w:val="none"/>
                <w:lang w:val="en-US" w:eastAsia="zh-CN"/>
              </w:rPr>
              <w:t>6</w:t>
            </w:r>
            <w:r>
              <w:rPr>
                <w:rFonts w:hint="default" w:ascii="Times New Roman" w:hAnsi="Times New Roman" w:eastAsia="宋体" w:cs="Times New Roman"/>
                <w:color w:val="auto"/>
                <w:spacing w:val="-6"/>
                <w:position w:val="-6"/>
                <w:sz w:val="24"/>
                <w:szCs w:val="24"/>
                <w:highlight w:val="none"/>
              </w:rPr>
              <w:t>分）</w:t>
            </w:r>
          </w:p>
        </w:tc>
        <w:tc>
          <w:tcPr>
            <w:tcW w:w="7150" w:type="dxa"/>
            <w:noWrap w:val="0"/>
          </w:tcPr>
          <w:p w14:paraId="04EB85BA">
            <w:pPr>
              <w:pStyle w:val="33"/>
              <w:keepNext w:val="0"/>
              <w:keepLines w:val="0"/>
              <w:pageBreakBefore w:val="0"/>
              <w:widowControl w:val="0"/>
              <w:spacing w:beforeAutospacing="0" w:afterAutospacing="0" w:line="44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根据投标人提供的培训方案（包括经办人员、长护险护理机构、护理人员、长护险评估机构、评估人员培训等）进行综合评审。</w:t>
            </w:r>
          </w:p>
          <w:p w14:paraId="6A1B05FD">
            <w:pPr>
              <w:pStyle w:val="33"/>
              <w:keepNext w:val="0"/>
              <w:keepLines w:val="0"/>
              <w:pageBreakBefore w:val="0"/>
              <w:widowControl w:val="0"/>
              <w:spacing w:beforeAutospacing="0" w:afterAutospacing="0" w:line="440" w:lineRule="exact"/>
              <w:ind w:firstLine="480"/>
              <w:jc w:val="both"/>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方案科学合理完整，阐述详细，可行性强，有针对性，且优于项目需求的</w:t>
            </w:r>
            <w:r>
              <w:rPr>
                <w:rFonts w:hint="default" w:ascii="Times New Roman" w:hAnsi="Times New Roman" w:eastAsia="宋体" w:cs="Times New Roman"/>
                <w:b/>
                <w:bCs/>
                <w:color w:val="auto"/>
                <w:sz w:val="24"/>
                <w:szCs w:val="24"/>
                <w:highlight w:val="none"/>
                <w:lang w:val="en-US" w:eastAsia="zh-CN"/>
              </w:rPr>
              <w:t>得6分；</w:t>
            </w:r>
          </w:p>
          <w:p w14:paraId="2B41AC6E">
            <w:pPr>
              <w:pStyle w:val="33"/>
              <w:keepNext w:val="0"/>
              <w:keepLines w:val="0"/>
              <w:pageBreakBefore w:val="0"/>
              <w:widowControl w:val="0"/>
              <w:spacing w:beforeAutospacing="0" w:afterAutospacing="0" w:line="440" w:lineRule="exact"/>
              <w:ind w:firstLine="480"/>
              <w:jc w:val="both"/>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方案较为完整，阐述较详细，但科学合理及可行性较强，满足项目需求的</w:t>
            </w:r>
            <w:r>
              <w:rPr>
                <w:rFonts w:hint="default" w:ascii="Times New Roman" w:hAnsi="Times New Roman" w:eastAsia="宋体" w:cs="Times New Roman"/>
                <w:b/>
                <w:bCs/>
                <w:color w:val="auto"/>
                <w:sz w:val="24"/>
                <w:szCs w:val="24"/>
                <w:highlight w:val="none"/>
                <w:lang w:val="en-US" w:eastAsia="zh-CN"/>
              </w:rPr>
              <w:t>得4分；</w:t>
            </w:r>
          </w:p>
          <w:p w14:paraId="56F1693E">
            <w:pPr>
              <w:pStyle w:val="33"/>
              <w:keepNext w:val="0"/>
              <w:keepLines w:val="0"/>
              <w:pageBreakBefore w:val="0"/>
              <w:widowControl w:val="0"/>
              <w:spacing w:beforeAutospacing="0" w:afterAutospacing="0" w:line="440" w:lineRule="exact"/>
              <w:ind w:firstLine="480"/>
              <w:jc w:val="both"/>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方案不完整，阐述不详细，且可行性欠缺，缺乏针对性，需求响应不全的</w:t>
            </w:r>
            <w:r>
              <w:rPr>
                <w:rFonts w:hint="default" w:ascii="Times New Roman" w:hAnsi="Times New Roman" w:eastAsia="宋体" w:cs="Times New Roman"/>
                <w:b/>
                <w:bCs/>
                <w:color w:val="auto"/>
                <w:sz w:val="24"/>
                <w:szCs w:val="24"/>
                <w:highlight w:val="none"/>
                <w:lang w:val="en-US" w:eastAsia="zh-CN"/>
              </w:rPr>
              <w:t>得2分；</w:t>
            </w:r>
          </w:p>
          <w:p w14:paraId="4EF433BF">
            <w:pPr>
              <w:spacing w:line="520" w:lineRule="exact"/>
              <w:ind w:firstLine="482"/>
              <w:jc w:val="both"/>
              <w:rPr>
                <w:rFonts w:ascii="Times New Roman" w:hAnsi="Times New Roman" w:eastAsia="宋体" w:cs="Times New Roman"/>
                <w:color w:val="auto"/>
                <w:position w:val="-6"/>
                <w:sz w:val="24"/>
                <w:szCs w:val="24"/>
                <w:highlight w:val="none"/>
              </w:rPr>
            </w:pPr>
            <w:r>
              <w:rPr>
                <w:rFonts w:hint="default" w:ascii="Times New Roman" w:hAnsi="Times New Roman" w:eastAsia="宋体" w:cs="Times New Roman"/>
                <w:b/>
                <w:bCs/>
                <w:color w:val="auto"/>
                <w:sz w:val="24"/>
                <w:szCs w:val="24"/>
                <w:highlight w:val="none"/>
              </w:rPr>
              <w:t>该项未见阐述不得分。</w:t>
            </w:r>
          </w:p>
        </w:tc>
      </w:tr>
      <w:tr w14:paraId="4915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2332" w:type="dxa"/>
            <w:noWrap w:val="0"/>
          </w:tcPr>
          <w:p w14:paraId="03DE0790">
            <w:pPr>
              <w:spacing w:line="520" w:lineRule="exact"/>
              <w:jc w:val="center"/>
              <w:rPr>
                <w:color w:val="auto"/>
                <w:sz w:val="24"/>
                <w:highlight w:val="none"/>
              </w:rPr>
            </w:pPr>
          </w:p>
          <w:p w14:paraId="21267483">
            <w:pPr>
              <w:spacing w:line="520" w:lineRule="exact"/>
              <w:jc w:val="center"/>
              <w:rPr>
                <w:color w:val="auto"/>
                <w:sz w:val="24"/>
                <w:highlight w:val="none"/>
              </w:rPr>
            </w:pPr>
          </w:p>
          <w:p w14:paraId="0C6FBAF8">
            <w:pPr>
              <w:spacing w:line="520" w:lineRule="exact"/>
              <w:jc w:val="center"/>
              <w:rPr>
                <w:color w:val="auto"/>
                <w:sz w:val="24"/>
                <w:highlight w:val="none"/>
              </w:rPr>
            </w:pPr>
          </w:p>
          <w:p w14:paraId="0C5F73B5">
            <w:pPr>
              <w:spacing w:line="520" w:lineRule="exact"/>
              <w:jc w:val="center"/>
              <w:rPr>
                <w:rFonts w:hint="default" w:ascii="Times New Roman" w:hAnsi="Times New Roman" w:cs="Times New Roman" w:eastAsiaTheme="minorEastAsia"/>
                <w:color w:val="auto"/>
                <w:sz w:val="24"/>
                <w:highlight w:val="none"/>
                <w:lang w:eastAsia="zh-CN"/>
              </w:rPr>
            </w:pPr>
            <w:r>
              <w:rPr>
                <w:color w:val="auto"/>
                <w:sz w:val="24"/>
                <w:highlight w:val="none"/>
              </w:rPr>
              <w:t>创新服务</w:t>
            </w:r>
            <w:r>
              <w:rPr>
                <w:rFonts w:hint="default" w:ascii="Times New Roman" w:hAnsi="Times New Roman" w:cs="Times New Roman" w:eastAsiaTheme="majorEastAsia"/>
                <w:color w:val="auto"/>
                <w:sz w:val="24"/>
                <w:szCs w:val="24"/>
                <w:highlight w:val="none"/>
                <w:lang w:val="en-US" w:eastAsia="zh-CN" w:bidi="ar-SA"/>
              </w:rPr>
              <w:t>方案</w:t>
            </w:r>
            <w:r>
              <w:rPr>
                <w:rFonts w:hint="eastAsia"/>
                <w:color w:val="auto"/>
                <w:sz w:val="24"/>
                <w:highlight w:val="none"/>
                <w:lang w:eastAsia="zh-CN"/>
              </w:rPr>
              <w:t>（</w:t>
            </w:r>
            <w:r>
              <w:rPr>
                <w:rFonts w:hint="eastAsia"/>
                <w:color w:val="auto"/>
                <w:sz w:val="24"/>
                <w:highlight w:val="none"/>
                <w:lang w:val="en-US" w:eastAsia="zh-CN"/>
              </w:rPr>
              <w:t>6分</w:t>
            </w:r>
            <w:r>
              <w:rPr>
                <w:rFonts w:hint="eastAsia"/>
                <w:color w:val="auto"/>
                <w:sz w:val="24"/>
                <w:highlight w:val="none"/>
                <w:lang w:eastAsia="zh-CN"/>
              </w:rPr>
              <w:t>）</w:t>
            </w:r>
          </w:p>
        </w:tc>
        <w:tc>
          <w:tcPr>
            <w:tcW w:w="7150" w:type="dxa"/>
            <w:noWrap w:val="0"/>
          </w:tcPr>
          <w:p w14:paraId="4A8BA6F9">
            <w:pPr>
              <w:rPr>
                <w:color w:val="auto"/>
                <w:highlight w:val="none"/>
              </w:rPr>
            </w:pPr>
          </w:p>
          <w:p w14:paraId="17B01112">
            <w:pPr>
              <w:pStyle w:val="33"/>
              <w:spacing w:beforeAutospacing="0" w:afterAutospacing="0" w:line="56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根据投标人提供的创新服务方案（包括对评估机构和护理机构人员培训、服务队伍建设、服务质量跟踪监管、待遇享受人员跟踪回访、协助做好对定点机构和评估机构的协议管理、利用互联网、大数据等先进技术等方面的应用及总体情况等）进行综合评审。</w:t>
            </w:r>
          </w:p>
          <w:p w14:paraId="4F9D809A">
            <w:pPr>
              <w:pStyle w:val="33"/>
              <w:spacing w:beforeAutospacing="0" w:afterAutospacing="0" w:line="56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创新性服务方案全面，经验丰富，科学合理的</w:t>
            </w:r>
            <w:r>
              <w:rPr>
                <w:rFonts w:hint="default" w:ascii="Times New Roman" w:hAnsi="Times New Roman" w:eastAsia="宋体" w:cs="Times New Roman"/>
                <w:b/>
                <w:bCs/>
                <w:color w:val="auto"/>
                <w:sz w:val="24"/>
                <w:szCs w:val="24"/>
                <w:highlight w:val="none"/>
                <w:lang w:val="en-US" w:eastAsia="zh-CN"/>
              </w:rPr>
              <w:t>得</w:t>
            </w:r>
            <w:r>
              <w:rPr>
                <w:rFonts w:hint="eastAsia" w:cs="Times New Roman"/>
                <w:b/>
                <w:bCs/>
                <w:color w:val="auto"/>
                <w:sz w:val="24"/>
                <w:szCs w:val="24"/>
                <w:highlight w:val="none"/>
                <w:lang w:val="en-US" w:eastAsia="zh-CN"/>
              </w:rPr>
              <w:t>6</w:t>
            </w:r>
            <w:r>
              <w:rPr>
                <w:rFonts w:hint="default" w:ascii="Times New Roman" w:hAnsi="Times New Roman" w:eastAsia="宋体" w:cs="Times New Roman"/>
                <w:b/>
                <w:bCs/>
                <w:color w:val="auto"/>
                <w:sz w:val="24"/>
                <w:szCs w:val="24"/>
                <w:highlight w:val="none"/>
                <w:lang w:val="en-US" w:eastAsia="zh-CN"/>
              </w:rPr>
              <w:t>分；</w:t>
            </w:r>
          </w:p>
          <w:p w14:paraId="4E912F4B">
            <w:pPr>
              <w:pStyle w:val="33"/>
              <w:spacing w:beforeAutospacing="0" w:afterAutospacing="0" w:line="56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创新性服务方案较全面，经验较好，比较科学合理的</w:t>
            </w:r>
            <w:r>
              <w:rPr>
                <w:rFonts w:hint="default" w:ascii="Times New Roman" w:hAnsi="Times New Roman" w:eastAsia="宋体" w:cs="Times New Roman"/>
                <w:b/>
                <w:bCs/>
                <w:color w:val="auto"/>
                <w:sz w:val="24"/>
                <w:szCs w:val="24"/>
                <w:highlight w:val="none"/>
                <w:lang w:val="en-US" w:eastAsia="zh-CN"/>
              </w:rPr>
              <w:t>得</w:t>
            </w:r>
            <w:r>
              <w:rPr>
                <w:rFonts w:hint="eastAsia" w:cs="Times New Roman"/>
                <w:b/>
                <w:bCs/>
                <w:color w:val="auto"/>
                <w:sz w:val="24"/>
                <w:szCs w:val="24"/>
                <w:highlight w:val="none"/>
                <w:lang w:val="en-US" w:eastAsia="zh-CN"/>
              </w:rPr>
              <w:t>4</w:t>
            </w:r>
            <w:r>
              <w:rPr>
                <w:rFonts w:hint="default" w:ascii="Times New Roman" w:hAnsi="Times New Roman" w:eastAsia="宋体" w:cs="Times New Roman"/>
                <w:b/>
                <w:bCs/>
                <w:color w:val="auto"/>
                <w:sz w:val="24"/>
                <w:szCs w:val="24"/>
                <w:highlight w:val="none"/>
                <w:lang w:val="en-US" w:eastAsia="zh-CN"/>
              </w:rPr>
              <w:t>分；</w:t>
            </w:r>
          </w:p>
          <w:p w14:paraId="44E96B19">
            <w:pPr>
              <w:pStyle w:val="33"/>
              <w:spacing w:beforeAutospacing="0" w:afterAutospacing="0" w:line="560" w:lineRule="exact"/>
              <w:ind w:firstLine="480"/>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创新性服务方案基本全面，经验一般，基本科学合理的</w:t>
            </w:r>
            <w:r>
              <w:rPr>
                <w:rFonts w:hint="default" w:ascii="Times New Roman" w:hAnsi="Times New Roman" w:eastAsia="宋体" w:cs="Times New Roman"/>
                <w:b/>
                <w:bCs/>
                <w:color w:val="auto"/>
                <w:sz w:val="24"/>
                <w:szCs w:val="24"/>
                <w:highlight w:val="none"/>
                <w:lang w:val="en-US" w:eastAsia="zh-CN"/>
              </w:rPr>
              <w:t>得</w:t>
            </w:r>
            <w:r>
              <w:rPr>
                <w:rFonts w:hint="eastAsia"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lang w:val="en-US" w:eastAsia="zh-CN"/>
              </w:rPr>
              <w:t>分；</w:t>
            </w:r>
          </w:p>
          <w:p w14:paraId="608C5AEC">
            <w:pPr>
              <w:spacing w:line="520" w:lineRule="exact"/>
              <w:ind w:firstLine="482"/>
              <w:jc w:val="both"/>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rPr>
              <w:t>该项未见阐述不得分。</w:t>
            </w:r>
          </w:p>
        </w:tc>
      </w:tr>
    </w:tbl>
    <w:p w14:paraId="2EC541F2">
      <w:pPr>
        <w:widowControl/>
        <w:spacing w:line="360" w:lineRule="auto"/>
        <w:ind w:firstLine="472"/>
        <w:jc w:val="left"/>
        <w:rPr>
          <w:rFonts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注：</w:t>
      </w:r>
      <w:r>
        <w:rPr>
          <w:rFonts w:hint="eastAsia" w:ascii="Times New Roman" w:hAnsi="Times New Roman" w:eastAsia="宋体" w:cs="Times New Roman"/>
          <w:b/>
          <w:color w:val="auto"/>
          <w:sz w:val="24"/>
          <w:szCs w:val="24"/>
          <w:highlight w:val="none"/>
        </w:rPr>
        <w:t>投标文件中所提供的全部证明</w:t>
      </w:r>
      <w:r>
        <w:rPr>
          <w:rFonts w:hint="eastAsia" w:ascii="Times New Roman" w:hAnsi="Times New Roman" w:eastAsia="宋体" w:cs="Times New Roman"/>
          <w:b/>
          <w:color w:val="auto"/>
          <w:sz w:val="24"/>
          <w:szCs w:val="24"/>
          <w:highlight w:val="none"/>
          <w:lang w:eastAsia="zh-CN"/>
        </w:rPr>
        <w:t>、</w:t>
      </w:r>
      <w:r>
        <w:rPr>
          <w:rFonts w:hint="eastAsia" w:ascii="Times New Roman" w:hAnsi="Times New Roman" w:eastAsia="宋体" w:cs="Times New Roman"/>
          <w:b/>
          <w:color w:val="auto"/>
          <w:sz w:val="24"/>
          <w:szCs w:val="24"/>
          <w:highlight w:val="none"/>
          <w:lang w:val="en-US" w:eastAsia="zh-CN"/>
        </w:rPr>
        <w:t>承诺</w:t>
      </w:r>
      <w:r>
        <w:rPr>
          <w:rFonts w:hint="eastAsia" w:ascii="Times New Roman" w:hAnsi="Times New Roman" w:eastAsia="宋体" w:cs="Times New Roman"/>
          <w:b/>
          <w:color w:val="auto"/>
          <w:sz w:val="24"/>
          <w:szCs w:val="24"/>
          <w:highlight w:val="none"/>
        </w:rPr>
        <w:t>材料，评审结束后采购人有权进行核实，如有不实，将按照相关法律法规规定进行处理。</w:t>
      </w:r>
    </w:p>
    <w:p w14:paraId="50551A10">
      <w:pPr>
        <w:keepLines/>
        <w:spacing w:before="156" w:after="156"/>
        <w:rPr>
          <w:rFonts w:hint="default" w:ascii="Times New Roman" w:hAnsi="Times New Roman" w:eastAsia="黑体" w:cs="Times New Roman"/>
          <w:color w:val="auto"/>
          <w:sz w:val="36"/>
          <w:szCs w:val="36"/>
          <w:highlight w:val="none"/>
          <w:lang w:val="en-US" w:eastAsia="zh-CN"/>
        </w:rPr>
      </w:pPr>
      <w:r>
        <w:rPr>
          <w:rFonts w:hint="default" w:ascii="Times New Roman" w:hAnsi="Times New Roman" w:eastAsia="黑体" w:cs="Times New Roman"/>
          <w:color w:val="auto"/>
          <w:sz w:val="36"/>
          <w:szCs w:val="36"/>
          <w:highlight w:val="none"/>
          <w:lang w:val="en-US" w:eastAsia="zh-CN"/>
        </w:rPr>
        <w:br w:type="page"/>
      </w:r>
    </w:p>
    <w:p w14:paraId="67213E01">
      <w:pPr>
        <w:pStyle w:val="2"/>
        <w:keepLines/>
        <w:numPr>
          <w:ilvl w:val="0"/>
          <w:numId w:val="0"/>
        </w:numPr>
        <w:spacing w:before="156" w:after="156" w:line="360" w:lineRule="auto"/>
        <w:ind w:firstLine="0"/>
        <w:jc w:val="center"/>
        <w:rPr>
          <w:rFonts w:hint="default" w:ascii="Times New Roman" w:hAnsi="Times New Roman" w:eastAsia="黑体" w:cs="Times New Roman"/>
          <w:b/>
          <w:bCs/>
          <w:color w:val="auto"/>
          <w:sz w:val="44"/>
          <w:szCs w:val="44"/>
          <w:highlight w:val="none"/>
        </w:rPr>
      </w:pPr>
      <w:r>
        <w:rPr>
          <w:rFonts w:hint="default" w:ascii="Times New Roman" w:hAnsi="Times New Roman" w:eastAsia="黑体" w:cs="Times New Roman"/>
          <w:b/>
          <w:bCs/>
          <w:color w:val="auto"/>
          <w:sz w:val="44"/>
          <w:szCs w:val="44"/>
          <w:highlight w:val="none"/>
        </w:rPr>
        <w:t>第六章  投标文件格式</w:t>
      </w:r>
    </w:p>
    <w:p w14:paraId="4AA1FB88">
      <w:pPr>
        <w:rPr>
          <w:rFonts w:hint="default" w:ascii="Times New Roman" w:hAnsi="Times New Roman"/>
          <w:b/>
          <w:color w:val="auto"/>
          <w:sz w:val="52"/>
          <w:szCs w:val="52"/>
          <w:highlight w:val="none"/>
        </w:rPr>
      </w:pPr>
    </w:p>
    <w:p w14:paraId="0A5178D9">
      <w:pPr>
        <w:jc w:val="center"/>
        <w:rPr>
          <w:rFonts w:hint="default" w:ascii="Times New Roman" w:hAnsi="Times New Roman"/>
          <w:b/>
          <w:color w:val="auto"/>
          <w:sz w:val="72"/>
          <w:szCs w:val="84"/>
          <w:highlight w:val="none"/>
        </w:rPr>
      </w:pPr>
    </w:p>
    <w:p w14:paraId="4ADED03D">
      <w:pPr>
        <w:jc w:val="center"/>
        <w:rPr>
          <w:rFonts w:ascii="Times New Roman" w:hAnsi="Times New Roman"/>
          <w:b/>
          <w:color w:val="auto"/>
          <w:sz w:val="72"/>
          <w:szCs w:val="84"/>
          <w:highlight w:val="none"/>
        </w:rPr>
      </w:pPr>
      <w:r>
        <w:rPr>
          <w:rFonts w:hint="default" w:ascii="Times New Roman" w:hAnsi="Times New Roman"/>
          <w:b/>
          <w:color w:val="auto"/>
          <w:sz w:val="72"/>
          <w:szCs w:val="84"/>
          <w:highlight w:val="none"/>
        </w:rPr>
        <w:t>投标文件</w:t>
      </w:r>
    </w:p>
    <w:p w14:paraId="0A002AE0">
      <w:pPr>
        <w:rPr>
          <w:rFonts w:hint="default" w:ascii="Times New Roman" w:hAnsi="Times New Roman"/>
          <w:b/>
          <w:color w:val="auto"/>
          <w:sz w:val="52"/>
          <w:szCs w:val="52"/>
          <w:highlight w:val="none"/>
        </w:rPr>
      </w:pPr>
    </w:p>
    <w:p w14:paraId="5BD984E1">
      <w:pPr>
        <w:rPr>
          <w:rFonts w:hint="default" w:ascii="Times New Roman" w:hAnsi="Times New Roman"/>
          <w:b/>
          <w:color w:val="auto"/>
          <w:sz w:val="52"/>
          <w:szCs w:val="52"/>
          <w:highlight w:val="none"/>
        </w:rPr>
      </w:pPr>
    </w:p>
    <w:p w14:paraId="3018BDF9">
      <w:pPr>
        <w:rPr>
          <w:rFonts w:hint="default" w:ascii="Times New Roman" w:hAnsi="Times New Roman"/>
          <w:b/>
          <w:color w:val="auto"/>
          <w:sz w:val="52"/>
          <w:szCs w:val="52"/>
          <w:highlight w:val="none"/>
        </w:rPr>
      </w:pPr>
    </w:p>
    <w:p w14:paraId="04B946D4">
      <w:pPr>
        <w:rPr>
          <w:rFonts w:hint="default" w:ascii="Times New Roman" w:hAnsi="Times New Roman"/>
          <w:b/>
          <w:color w:val="auto"/>
          <w:sz w:val="52"/>
          <w:szCs w:val="52"/>
          <w:highlight w:val="none"/>
        </w:rPr>
      </w:pPr>
    </w:p>
    <w:p w14:paraId="226017DB">
      <w:pPr>
        <w:rPr>
          <w:rFonts w:ascii="Times New Roman" w:hAnsi="Times New Roman"/>
          <w:b/>
          <w:color w:val="auto"/>
          <w:sz w:val="36"/>
          <w:szCs w:val="21"/>
          <w:highlight w:val="none"/>
        </w:rPr>
      </w:pPr>
    </w:p>
    <w:p w14:paraId="3919E673">
      <w:pPr>
        <w:jc w:val="center"/>
        <w:rPr>
          <w:rFonts w:ascii="Times New Roman" w:hAnsi="Times New Roman"/>
          <w:b/>
          <w:color w:val="auto"/>
          <w:sz w:val="36"/>
          <w:szCs w:val="21"/>
          <w:highlight w:val="none"/>
        </w:rPr>
      </w:pPr>
    </w:p>
    <w:p w14:paraId="7ADF1DCD">
      <w:pPr>
        <w:ind w:firstLine="1084"/>
        <w:rPr>
          <w:rFonts w:ascii="Times New Roman" w:hAnsi="Times New Roman"/>
          <w:b/>
          <w:color w:val="auto"/>
          <w:sz w:val="36"/>
          <w:szCs w:val="21"/>
          <w:highlight w:val="none"/>
        </w:rPr>
      </w:pPr>
      <w:r>
        <w:rPr>
          <w:rFonts w:hint="default" w:ascii="Times New Roman" w:hAnsi="Times New Roman"/>
          <w:b/>
          <w:color w:val="auto"/>
          <w:sz w:val="36"/>
          <w:szCs w:val="21"/>
          <w:highlight w:val="none"/>
        </w:rPr>
        <w:t>项 目 名 称：</w:t>
      </w:r>
      <w:r>
        <w:rPr>
          <w:rFonts w:hint="default" w:ascii="Times New Roman" w:hAnsi="Times New Roman"/>
          <w:b/>
          <w:color w:val="auto"/>
          <w:sz w:val="36"/>
          <w:szCs w:val="21"/>
          <w:highlight w:val="none"/>
          <w:u w:val="single"/>
        </w:rPr>
        <w:t xml:space="preserve">                   </w:t>
      </w:r>
    </w:p>
    <w:p w14:paraId="70B6B512">
      <w:pPr>
        <w:ind w:firstLine="1084"/>
        <w:rPr>
          <w:rFonts w:ascii="Times New Roman" w:hAnsi="Times New Roman"/>
          <w:b/>
          <w:color w:val="auto"/>
          <w:sz w:val="36"/>
          <w:szCs w:val="21"/>
          <w:highlight w:val="none"/>
          <w:u w:val="single"/>
        </w:rPr>
      </w:pPr>
      <w:r>
        <w:rPr>
          <w:rFonts w:hint="default" w:ascii="Times New Roman" w:hAnsi="Times New Roman"/>
          <w:b/>
          <w:color w:val="auto"/>
          <w:sz w:val="36"/>
          <w:szCs w:val="21"/>
          <w:highlight w:val="none"/>
        </w:rPr>
        <w:t>项 目 编 号：</w:t>
      </w:r>
      <w:r>
        <w:rPr>
          <w:rFonts w:hint="default" w:ascii="Times New Roman" w:hAnsi="Times New Roman"/>
          <w:b/>
          <w:color w:val="auto"/>
          <w:sz w:val="36"/>
          <w:szCs w:val="21"/>
          <w:highlight w:val="none"/>
          <w:u w:val="single"/>
        </w:rPr>
        <w:t xml:space="preserve">                   </w:t>
      </w:r>
    </w:p>
    <w:p w14:paraId="14FDC13F">
      <w:pPr>
        <w:rPr>
          <w:rFonts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      </w:t>
      </w:r>
      <w:r>
        <w:rPr>
          <w:rFonts w:hint="default" w:ascii="Times New Roman" w:hAnsi="Times New Roman"/>
          <w:b/>
          <w:color w:val="auto"/>
          <w:sz w:val="36"/>
          <w:szCs w:val="21"/>
          <w:highlight w:val="none"/>
          <w:lang w:eastAsia="zh-CN"/>
        </w:rPr>
        <w:t>投标人</w:t>
      </w:r>
      <w:r>
        <w:rPr>
          <w:rFonts w:hint="default" w:ascii="Times New Roman" w:hAnsi="Times New Roman"/>
          <w:b/>
          <w:color w:val="auto"/>
          <w:sz w:val="36"/>
          <w:szCs w:val="21"/>
          <w:highlight w:val="none"/>
        </w:rPr>
        <w:t>名称 ：</w:t>
      </w:r>
      <w:r>
        <w:rPr>
          <w:rFonts w:hint="default" w:ascii="Times New Roman" w:hAnsi="Times New Roman"/>
          <w:b/>
          <w:color w:val="auto"/>
          <w:sz w:val="36"/>
          <w:szCs w:val="21"/>
          <w:highlight w:val="none"/>
          <w:u w:val="single"/>
        </w:rPr>
        <w:t>（加盖CA电子公章）</w:t>
      </w:r>
    </w:p>
    <w:p w14:paraId="70174584">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      日      期 ：</w:t>
      </w:r>
      <w:r>
        <w:rPr>
          <w:rFonts w:hint="default" w:ascii="Times New Roman" w:hAnsi="Times New Roman"/>
          <w:b/>
          <w:color w:val="auto"/>
          <w:sz w:val="36"/>
          <w:szCs w:val="21"/>
          <w:highlight w:val="none"/>
          <w:u w:val="single"/>
        </w:rPr>
        <w:t xml:space="preserve">                   </w:t>
      </w:r>
    </w:p>
    <w:p w14:paraId="4DAFC483">
      <w:pPr>
        <w:rPr>
          <w:rFonts w:hint="default" w:ascii="Times New Roman" w:hAnsi="Times New Roman"/>
          <w:b/>
          <w:color w:val="auto"/>
          <w:sz w:val="36"/>
          <w:szCs w:val="21"/>
          <w:highlight w:val="none"/>
          <w:u w:val="single"/>
        </w:rPr>
      </w:pPr>
    </w:p>
    <w:p w14:paraId="2D1C41E8">
      <w:pPr>
        <w:rPr>
          <w:rFonts w:hint="default" w:ascii="Times New Roman" w:hAnsi="Times New Roman"/>
          <w:b/>
          <w:color w:val="auto"/>
          <w:sz w:val="36"/>
          <w:szCs w:val="21"/>
          <w:highlight w:val="none"/>
          <w:u w:val="single"/>
        </w:rPr>
      </w:pPr>
    </w:p>
    <w:p w14:paraId="3CD84B3B">
      <w:pPr>
        <w:rPr>
          <w:rFonts w:hint="default" w:ascii="Times New Roman" w:hAnsi="Times New Roman"/>
          <w:b/>
          <w:color w:val="auto"/>
          <w:sz w:val="36"/>
          <w:szCs w:val="21"/>
          <w:highlight w:val="none"/>
          <w:u w:val="single"/>
        </w:rPr>
      </w:pPr>
    </w:p>
    <w:p w14:paraId="34462B30">
      <w:pPr>
        <w:rPr>
          <w:rFonts w:hint="default" w:ascii="Times New Roman" w:hAnsi="Times New Roman"/>
          <w:b/>
          <w:color w:val="auto"/>
          <w:sz w:val="36"/>
          <w:szCs w:val="21"/>
          <w:highlight w:val="none"/>
          <w:u w:val="single"/>
        </w:rPr>
      </w:pPr>
    </w:p>
    <w:p w14:paraId="03715B88">
      <w:pPr>
        <w:rPr>
          <w:rFonts w:hint="default" w:ascii="Times New Roman" w:hAnsi="Times New Roman"/>
          <w:b/>
          <w:color w:val="auto"/>
          <w:sz w:val="36"/>
          <w:szCs w:val="21"/>
          <w:highlight w:val="none"/>
          <w:u w:val="single"/>
        </w:rPr>
      </w:pPr>
    </w:p>
    <w:p w14:paraId="6E88F7B9">
      <w:pPr>
        <w:rPr>
          <w:rFonts w:hint="default" w:ascii="Times New Roman" w:hAnsi="Times New Roman"/>
          <w:b/>
          <w:color w:val="auto"/>
          <w:sz w:val="36"/>
          <w:szCs w:val="21"/>
          <w:highlight w:val="none"/>
          <w:u w:val="single"/>
        </w:rPr>
      </w:pPr>
    </w:p>
    <w:p w14:paraId="50618D76">
      <w:pPr>
        <w:rPr>
          <w:rFonts w:hint="default" w:ascii="Times New Roman" w:hAnsi="Times New Roman"/>
          <w:b/>
          <w:color w:val="auto"/>
          <w:sz w:val="36"/>
          <w:szCs w:val="21"/>
          <w:highlight w:val="none"/>
          <w:u w:val="single"/>
        </w:rPr>
      </w:pPr>
    </w:p>
    <w:p w14:paraId="6774A6C2">
      <w:pPr>
        <w:rPr>
          <w:rFonts w:hint="default" w:ascii="Times New Roman" w:hAnsi="Times New Roman"/>
          <w:b/>
          <w:color w:val="auto"/>
          <w:sz w:val="36"/>
          <w:szCs w:val="21"/>
          <w:highlight w:val="none"/>
          <w:u w:val="single"/>
        </w:rPr>
      </w:pPr>
    </w:p>
    <w:p w14:paraId="06E5A6A0">
      <w:pPr>
        <w:keepNext/>
        <w:keepLines/>
        <w:spacing w:before="360" w:after="200" w:line="360" w:lineRule="auto"/>
        <w:jc w:val="left"/>
        <w:outlineLvl w:val="1"/>
        <w:rPr>
          <w:rFonts w:ascii="Times New Roman" w:hAnsi="Times New Roman" w:cs="Times New Roman"/>
          <w:i/>
          <w:color w:val="auto"/>
          <w:sz w:val="36"/>
          <w:szCs w:val="36"/>
          <w:highlight w:val="none"/>
          <w:u w:val="single"/>
        </w:rPr>
      </w:pPr>
      <w:r>
        <w:rPr>
          <w:rFonts w:hint="default" w:ascii="Times New Roman" w:hAnsi="Times New Roman" w:cs="Times New Roman"/>
          <w:i/>
          <w:color w:val="auto"/>
          <w:sz w:val="36"/>
          <w:szCs w:val="36"/>
          <w:highlight w:val="none"/>
          <w:u w:val="single"/>
        </w:rPr>
        <w:t>一、法人或者其他组织的营业执照等证明文件，自然人的身份证明</w:t>
      </w:r>
    </w:p>
    <w:p w14:paraId="72E20410">
      <w:pPr>
        <w:rPr>
          <w:color w:val="auto"/>
          <w:highlight w:val="none"/>
        </w:rPr>
      </w:pPr>
    </w:p>
    <w:p w14:paraId="21E23D6B">
      <w:pPr>
        <w:rPr>
          <w:color w:val="auto"/>
          <w:highlight w:val="none"/>
        </w:rPr>
      </w:pPr>
    </w:p>
    <w:p w14:paraId="5018C876">
      <w:pPr>
        <w:keepNext/>
        <w:keepLines/>
        <w:spacing w:before="360" w:after="200" w:line="360" w:lineRule="auto"/>
        <w:jc w:val="left"/>
        <w:outlineLvl w:val="1"/>
        <w:rPr>
          <w:rFonts w:ascii="Times New Roman" w:hAnsi="Times New Roman" w:cs="Times New Roman"/>
          <w:i/>
          <w:color w:val="auto"/>
          <w:sz w:val="36"/>
          <w:highlight w:val="none"/>
          <w:u w:val="single"/>
        </w:rPr>
      </w:pPr>
      <w:r>
        <w:rPr>
          <w:rFonts w:hint="default" w:ascii="Times New Roman" w:hAnsi="Times New Roman" w:cs="Times New Roman"/>
          <w:i/>
          <w:color w:val="auto"/>
          <w:sz w:val="36"/>
          <w:highlight w:val="none"/>
          <w:u w:val="single"/>
        </w:rPr>
        <w:t>二、上一年度的财务状况报告</w:t>
      </w:r>
    </w:p>
    <w:p w14:paraId="4E4C09C2">
      <w:pPr>
        <w:spacing w:line="500" w:lineRule="exact"/>
        <w:ind w:firstLine="480"/>
        <w:jc w:val="left"/>
        <w:rPr>
          <w:rFonts w:hint="eastAsia"/>
          <w:color w:val="auto"/>
          <w:sz w:val="24"/>
          <w:szCs w:val="24"/>
          <w:highlight w:val="none"/>
        </w:rPr>
      </w:pPr>
      <w:r>
        <w:rPr>
          <w:rFonts w:hint="eastAsia"/>
          <w:color w:val="auto"/>
          <w:sz w:val="24"/>
          <w:szCs w:val="24"/>
          <w:highlight w:val="none"/>
        </w:rPr>
        <w:t>（成立不满一年无需提供）</w:t>
      </w:r>
    </w:p>
    <w:p w14:paraId="37EC24D7">
      <w:pPr>
        <w:spacing w:line="500" w:lineRule="exact"/>
        <w:ind w:firstLine="480"/>
        <w:jc w:val="left"/>
        <w:rPr>
          <w:rFonts w:hint="eastAsia"/>
          <w:color w:val="auto"/>
          <w:sz w:val="24"/>
          <w:szCs w:val="24"/>
          <w:highlight w:val="none"/>
        </w:rPr>
      </w:pPr>
    </w:p>
    <w:p w14:paraId="61B9CC73">
      <w:pPr>
        <w:spacing w:line="360" w:lineRule="auto"/>
        <w:ind w:firstLine="480"/>
        <w:rPr>
          <w:rFonts w:ascii="Times New Roman" w:hAnsi="Times New Roman"/>
          <w:color w:val="auto"/>
          <w:sz w:val="24"/>
          <w:szCs w:val="24"/>
          <w:highlight w:val="none"/>
        </w:rPr>
      </w:pPr>
      <w:r>
        <w:rPr>
          <w:rFonts w:hint="default" w:ascii="Times New Roman" w:hAnsi="Times New Roman"/>
          <w:color w:val="auto"/>
          <w:sz w:val="24"/>
          <w:szCs w:val="24"/>
          <w:highlight w:val="none"/>
        </w:rPr>
        <w:t>根据连财购〔2023〕4号文件精神，可以提供《财务状况报告及税收、社会保障资金缴纳情况承诺函》</w:t>
      </w:r>
    </w:p>
    <w:p w14:paraId="4DE6B6A5">
      <w:pPr>
        <w:rPr>
          <w:color w:val="auto"/>
          <w:highlight w:val="none"/>
        </w:rPr>
      </w:pPr>
    </w:p>
    <w:p w14:paraId="556FC114">
      <w:pPr>
        <w:rPr>
          <w:color w:val="auto"/>
          <w:highlight w:val="none"/>
        </w:rPr>
      </w:pPr>
    </w:p>
    <w:p w14:paraId="5F747245">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三、依法缴纳税收和社会保障资金的相关材料</w:t>
      </w:r>
    </w:p>
    <w:p w14:paraId="03449C3D">
      <w:pPr>
        <w:spacing w:line="500" w:lineRule="exact"/>
        <w:ind w:firstLine="480"/>
        <w:jc w:val="left"/>
        <w:rPr>
          <w:color w:val="auto"/>
          <w:sz w:val="24"/>
          <w:szCs w:val="24"/>
          <w:highlight w:val="none"/>
        </w:rPr>
      </w:pPr>
      <w:r>
        <w:rPr>
          <w:rFonts w:hint="eastAsia"/>
          <w:color w:val="auto"/>
          <w:sz w:val="24"/>
          <w:szCs w:val="24"/>
          <w:highlight w:val="none"/>
        </w:rPr>
        <w:t>（提供提交投标文件截止时间前一年内至少一个月依法缴纳税收及缴纳社会保障资金的证明材料，</w:t>
      </w:r>
      <w:r>
        <w:rPr>
          <w:rFonts w:hint="eastAsia"/>
          <w:color w:val="auto"/>
          <w:sz w:val="24"/>
          <w:szCs w:val="24"/>
          <w:highlight w:val="none"/>
          <w:lang w:eastAsia="zh-CN"/>
        </w:rPr>
        <w:t>投标人</w:t>
      </w:r>
      <w:r>
        <w:rPr>
          <w:rFonts w:hint="eastAsia"/>
          <w:color w:val="auto"/>
          <w:sz w:val="24"/>
          <w:szCs w:val="24"/>
          <w:highlight w:val="none"/>
        </w:rPr>
        <w:t>依法享受缓缴、免缴税收、社会保障资金的提供证明材料）</w:t>
      </w:r>
      <w:r>
        <w:rPr>
          <w:rFonts w:hint="eastAsia"/>
          <w:color w:val="auto"/>
          <w:sz w:val="24"/>
          <w:szCs w:val="24"/>
          <w:highlight w:val="none"/>
          <w:lang w:eastAsia="zh-CN"/>
        </w:rPr>
        <w:t>，</w:t>
      </w:r>
      <w:r>
        <w:rPr>
          <w:rFonts w:hint="eastAsia"/>
          <w:color w:val="auto"/>
          <w:sz w:val="24"/>
          <w:szCs w:val="24"/>
          <w:highlight w:val="none"/>
        </w:rPr>
        <w:t>也可</w:t>
      </w:r>
      <w:r>
        <w:rPr>
          <w:rFonts w:hint="default" w:ascii="Times New Roman" w:hAnsi="Times New Roman"/>
          <w:color w:val="auto"/>
          <w:sz w:val="24"/>
          <w:szCs w:val="24"/>
          <w:highlight w:val="none"/>
        </w:rPr>
        <w:t>根据连财购〔2023〕4号文件精神，提供《财务状况报告及税收、社会保障资金缴纳情况承诺函》。</w:t>
      </w:r>
    </w:p>
    <w:p w14:paraId="616D4A7D">
      <w:pPr>
        <w:rPr>
          <w:color w:val="auto"/>
          <w:highlight w:val="none"/>
        </w:rPr>
      </w:pPr>
    </w:p>
    <w:p w14:paraId="1E417583">
      <w:pPr>
        <w:rPr>
          <w:b/>
          <w:color w:val="auto"/>
          <w:sz w:val="24"/>
          <w:highlight w:val="none"/>
        </w:rPr>
      </w:pPr>
    </w:p>
    <w:p w14:paraId="0DA1625E">
      <w:pPr>
        <w:rPr>
          <w:b/>
          <w:color w:val="auto"/>
          <w:sz w:val="24"/>
          <w:highlight w:val="none"/>
        </w:rPr>
      </w:pPr>
      <w:r>
        <w:rPr>
          <w:b/>
          <w:color w:val="auto"/>
          <w:sz w:val="24"/>
          <w:highlight w:val="none"/>
        </w:rPr>
        <w:t>承诺函：</w:t>
      </w:r>
    </w:p>
    <w:p w14:paraId="4D9C7F0B">
      <w:pPr>
        <w:rPr>
          <w:color w:val="auto"/>
          <w:highlight w:val="none"/>
        </w:rPr>
      </w:pPr>
    </w:p>
    <w:p w14:paraId="374856AA">
      <w:pPr>
        <w:spacing w:line="360" w:lineRule="auto"/>
        <w:jc w:val="center"/>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财务状况报告及税收、社会保障资金缴纳情况承诺函</w:t>
      </w:r>
    </w:p>
    <w:p w14:paraId="0CBD2350">
      <w:pPr>
        <w:jc w:val="left"/>
        <w:rPr>
          <w:rFonts w:ascii="Times New Roman"/>
          <w:color w:val="auto"/>
          <w:szCs w:val="24"/>
          <w:highlight w:val="none"/>
        </w:rPr>
      </w:pPr>
    </w:p>
    <w:p w14:paraId="4ACDFD8E">
      <w:pPr>
        <w:spacing w:line="500" w:lineRule="exact"/>
        <w:jc w:val="left"/>
        <w:rPr>
          <w:color w:val="auto"/>
          <w:sz w:val="24"/>
          <w:szCs w:val="24"/>
          <w:highlight w:val="none"/>
        </w:rPr>
      </w:pPr>
      <w:r>
        <w:rPr>
          <w:rFonts w:hint="eastAsia"/>
          <w:color w:val="auto"/>
          <w:sz w:val="24"/>
          <w:szCs w:val="24"/>
          <w:highlight w:val="none"/>
        </w:rPr>
        <w:t>致：</w:t>
      </w:r>
      <w:r>
        <w:rPr>
          <w:rFonts w:hint="eastAsia"/>
          <w:i/>
          <w:color w:val="auto"/>
          <w:sz w:val="24"/>
          <w:szCs w:val="24"/>
          <w:highlight w:val="none"/>
          <w:u w:val="single"/>
        </w:rPr>
        <w:t>采购人名称</w:t>
      </w:r>
    </w:p>
    <w:p w14:paraId="00FDCEF2">
      <w:pPr>
        <w:spacing w:line="500" w:lineRule="exact"/>
        <w:ind w:firstLine="480"/>
        <w:jc w:val="left"/>
        <w:rPr>
          <w:color w:val="auto"/>
          <w:sz w:val="24"/>
          <w:szCs w:val="24"/>
          <w:highlight w:val="none"/>
        </w:rPr>
      </w:pPr>
      <w:r>
        <w:rPr>
          <w:rFonts w:hint="eastAsia"/>
          <w:color w:val="auto"/>
          <w:sz w:val="24"/>
          <w:szCs w:val="24"/>
          <w:highlight w:val="none"/>
        </w:rPr>
        <w:t>我方</w:t>
      </w:r>
      <w:r>
        <w:rPr>
          <w:rFonts w:hint="eastAsia"/>
          <w:i/>
          <w:color w:val="auto"/>
          <w:sz w:val="24"/>
          <w:szCs w:val="24"/>
          <w:highlight w:val="none"/>
          <w:u w:val="single"/>
          <w:lang w:eastAsia="zh-CN"/>
        </w:rPr>
        <w:t>投标人</w:t>
      </w:r>
      <w:r>
        <w:rPr>
          <w:rFonts w:hint="eastAsia"/>
          <w:i/>
          <w:color w:val="auto"/>
          <w:sz w:val="24"/>
          <w:szCs w:val="24"/>
          <w:highlight w:val="none"/>
          <w:u w:val="single"/>
        </w:rPr>
        <w:t>名称</w:t>
      </w:r>
      <w:r>
        <w:rPr>
          <w:rFonts w:hint="eastAsia"/>
          <w:color w:val="auto"/>
          <w:sz w:val="24"/>
          <w:szCs w:val="24"/>
          <w:highlight w:val="none"/>
        </w:rPr>
        <w:t>参加</w:t>
      </w:r>
      <w:r>
        <w:rPr>
          <w:rFonts w:hint="eastAsia"/>
          <w:i/>
          <w:color w:val="auto"/>
          <w:sz w:val="24"/>
          <w:szCs w:val="24"/>
          <w:highlight w:val="none"/>
          <w:u w:val="single"/>
        </w:rPr>
        <w:t>项目名称</w:t>
      </w:r>
      <w:r>
        <w:rPr>
          <w:rFonts w:hint="eastAsia"/>
          <w:color w:val="auto"/>
          <w:sz w:val="24"/>
          <w:szCs w:val="24"/>
          <w:highlight w:val="none"/>
        </w:rPr>
        <w:t>（项目编号：</w:t>
      </w:r>
      <w:r>
        <w:rPr>
          <w:rFonts w:hint="eastAsia"/>
          <w:i/>
          <w:color w:val="auto"/>
          <w:sz w:val="24"/>
          <w:szCs w:val="24"/>
          <w:highlight w:val="none"/>
          <w:u w:val="single"/>
        </w:rPr>
        <w:t>项目编号</w:t>
      </w:r>
      <w:r>
        <w:rPr>
          <w:rFonts w:hint="eastAsia"/>
          <w:color w:val="auto"/>
          <w:sz w:val="24"/>
          <w:szCs w:val="24"/>
          <w:highlight w:val="none"/>
        </w:rPr>
        <w:t>）采购，根据《关于简化政府采购</w:t>
      </w:r>
      <w:r>
        <w:rPr>
          <w:rFonts w:hint="eastAsia"/>
          <w:color w:val="auto"/>
          <w:sz w:val="24"/>
          <w:szCs w:val="24"/>
          <w:highlight w:val="none"/>
          <w:lang w:eastAsia="zh-CN"/>
        </w:rPr>
        <w:t>投标人</w:t>
      </w:r>
      <w:r>
        <w:rPr>
          <w:rFonts w:hint="eastAsia"/>
          <w:color w:val="auto"/>
          <w:sz w:val="24"/>
          <w:szCs w:val="24"/>
          <w:highlight w:val="none"/>
        </w:rPr>
        <w:t>资格审查有关事项的通知》（连财购〔2023〕4号），我方承诺具备《中华人民共和国政府采购法》第二十二条第（二）、第（四）项，《中华人民共和国政府采购法实施条例》第十七条第（二）项规定条件的，具体包括：</w:t>
      </w:r>
    </w:p>
    <w:p w14:paraId="280EACA7">
      <w:pPr>
        <w:spacing w:line="500" w:lineRule="exact"/>
        <w:ind w:firstLine="480"/>
        <w:jc w:val="left"/>
        <w:rPr>
          <w:color w:val="auto"/>
          <w:sz w:val="24"/>
          <w:szCs w:val="24"/>
          <w:highlight w:val="none"/>
        </w:rPr>
      </w:pPr>
      <w:r>
        <w:rPr>
          <w:rFonts w:hint="eastAsia"/>
          <w:color w:val="auto"/>
          <w:sz w:val="24"/>
          <w:szCs w:val="24"/>
          <w:highlight w:val="none"/>
        </w:rPr>
        <w:t>（1）具有良好的商业信誉和健全的财务会计制度（财务状况报告）；</w:t>
      </w:r>
    </w:p>
    <w:p w14:paraId="732D17FF">
      <w:pPr>
        <w:spacing w:line="500" w:lineRule="exact"/>
        <w:ind w:firstLine="480"/>
        <w:jc w:val="left"/>
        <w:rPr>
          <w:color w:val="auto"/>
          <w:sz w:val="24"/>
          <w:szCs w:val="24"/>
          <w:highlight w:val="none"/>
        </w:rPr>
      </w:pPr>
      <w:r>
        <w:rPr>
          <w:rFonts w:hint="eastAsia"/>
          <w:color w:val="auto"/>
          <w:sz w:val="24"/>
          <w:szCs w:val="24"/>
          <w:highlight w:val="none"/>
        </w:rPr>
        <w:t>（2）有依法缴纳税收和社会保障资金的良好记录。</w:t>
      </w:r>
    </w:p>
    <w:p w14:paraId="0A56E654">
      <w:pPr>
        <w:spacing w:line="500" w:lineRule="exact"/>
        <w:ind w:firstLine="480"/>
        <w:jc w:val="left"/>
        <w:rPr>
          <w:color w:val="auto"/>
          <w:sz w:val="24"/>
          <w:szCs w:val="24"/>
          <w:highlight w:val="none"/>
        </w:rPr>
      </w:pPr>
      <w:r>
        <w:rPr>
          <w:rFonts w:hint="eastAsia"/>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8812756">
      <w:pPr>
        <w:spacing w:line="500" w:lineRule="exact"/>
        <w:ind w:firstLine="480"/>
        <w:jc w:val="left"/>
        <w:rPr>
          <w:color w:val="auto"/>
          <w:sz w:val="24"/>
          <w:szCs w:val="24"/>
          <w:highlight w:val="none"/>
        </w:rPr>
      </w:pPr>
      <w:r>
        <w:rPr>
          <w:rFonts w:hint="eastAsia"/>
          <w:color w:val="auto"/>
          <w:sz w:val="24"/>
          <w:szCs w:val="24"/>
          <w:highlight w:val="none"/>
        </w:rPr>
        <w:t>特此承诺</w:t>
      </w:r>
    </w:p>
    <w:p w14:paraId="611BA1EA">
      <w:pPr>
        <w:spacing w:line="500" w:lineRule="exact"/>
        <w:ind w:firstLine="480"/>
        <w:jc w:val="left"/>
        <w:rPr>
          <w:color w:val="auto"/>
          <w:sz w:val="24"/>
          <w:szCs w:val="24"/>
          <w:highlight w:val="none"/>
        </w:rPr>
      </w:pPr>
    </w:p>
    <w:p w14:paraId="58DE09CC">
      <w:pPr>
        <w:spacing w:line="500" w:lineRule="exact"/>
        <w:ind w:firstLine="480"/>
        <w:jc w:val="left"/>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（公章）：</w:t>
      </w:r>
    </w:p>
    <w:p w14:paraId="7CBAF250">
      <w:pPr>
        <w:spacing w:line="500" w:lineRule="exact"/>
        <w:ind w:firstLine="480"/>
        <w:jc w:val="left"/>
        <w:rPr>
          <w:color w:val="auto"/>
          <w:sz w:val="24"/>
          <w:szCs w:val="24"/>
          <w:highlight w:val="none"/>
        </w:rPr>
      </w:pPr>
      <w:r>
        <w:rPr>
          <w:rFonts w:hint="eastAsia"/>
          <w:color w:val="auto"/>
          <w:sz w:val="24"/>
          <w:szCs w:val="24"/>
          <w:highlight w:val="none"/>
        </w:rPr>
        <w:t>法定代表人</w:t>
      </w:r>
      <w:r>
        <w:rPr>
          <w:color w:val="auto"/>
          <w:sz w:val="24"/>
          <w:szCs w:val="24"/>
          <w:highlight w:val="none"/>
        </w:rPr>
        <w:t>（单位负责人）</w:t>
      </w:r>
      <w:r>
        <w:rPr>
          <w:rFonts w:hint="eastAsia"/>
          <w:color w:val="auto"/>
          <w:sz w:val="24"/>
          <w:szCs w:val="24"/>
          <w:highlight w:val="none"/>
        </w:rPr>
        <w:t>或委托代理人（签名或签章）：</w:t>
      </w:r>
    </w:p>
    <w:p w14:paraId="35A50E7D">
      <w:pPr>
        <w:spacing w:line="500" w:lineRule="exact"/>
        <w:ind w:firstLine="480"/>
        <w:jc w:val="left"/>
        <w:rPr>
          <w:color w:val="auto"/>
          <w:sz w:val="24"/>
          <w:szCs w:val="24"/>
          <w:highlight w:val="none"/>
        </w:rPr>
      </w:pPr>
      <w:r>
        <w:rPr>
          <w:rFonts w:hint="eastAsia"/>
          <w:color w:val="auto"/>
          <w:sz w:val="24"/>
          <w:szCs w:val="24"/>
          <w:highlight w:val="none"/>
        </w:rPr>
        <w:t>日期：    年     月     日</w:t>
      </w:r>
    </w:p>
    <w:p w14:paraId="2281DADE">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四、具备履行合同所必需的设备和专业技术能力的声明及证明材料</w:t>
      </w:r>
    </w:p>
    <w:p w14:paraId="00E20AB0">
      <w:pPr>
        <w:spacing w:line="460" w:lineRule="exact"/>
        <w:jc w:val="center"/>
        <w:rPr>
          <w:color w:val="auto"/>
          <w:sz w:val="24"/>
          <w:szCs w:val="24"/>
          <w:highlight w:val="none"/>
        </w:rPr>
      </w:pPr>
      <w:r>
        <w:rPr>
          <w:rFonts w:hint="default" w:ascii="Times New Roman" w:hAnsi="Times New Roman" w:eastAsia="黑体" w:cs="Times New Roman"/>
          <w:bCs/>
          <w:color w:val="auto"/>
          <w:sz w:val="36"/>
          <w:szCs w:val="28"/>
          <w:highlight w:val="none"/>
        </w:rPr>
        <w:t>具备履行合同所必需的设备和专业技术能力的声明及证明材料</w:t>
      </w:r>
    </w:p>
    <w:p w14:paraId="64C83DEA">
      <w:pPr>
        <w:spacing w:line="500" w:lineRule="exact"/>
        <w:ind w:firstLine="480"/>
        <w:jc w:val="left"/>
        <w:rPr>
          <w:color w:val="auto"/>
          <w:sz w:val="24"/>
          <w:szCs w:val="24"/>
          <w:highlight w:val="none"/>
        </w:rPr>
      </w:pPr>
      <w:r>
        <w:rPr>
          <w:rFonts w:hint="eastAsia"/>
          <w:color w:val="auto"/>
          <w:sz w:val="24"/>
          <w:szCs w:val="24"/>
          <w:highlight w:val="none"/>
        </w:rPr>
        <w:t>我单位郑重声明：我单位具备履行本项采购合同所必需的设备和专业技术能力，为履行本项采购合同我公司具备如下主要设备和主要专业技术能力：</w:t>
      </w:r>
    </w:p>
    <w:p w14:paraId="20EE0B2C">
      <w:pPr>
        <w:spacing w:line="360" w:lineRule="auto"/>
        <w:ind w:firstLine="480"/>
        <w:rPr>
          <w:color w:val="auto"/>
          <w:sz w:val="24"/>
          <w:szCs w:val="24"/>
          <w:highlight w:val="none"/>
        </w:rPr>
      </w:pPr>
      <w:r>
        <w:rPr>
          <w:rFonts w:hint="eastAsia"/>
          <w:color w:val="auto"/>
          <w:sz w:val="24"/>
          <w:szCs w:val="24"/>
          <w:highlight w:val="none"/>
        </w:rPr>
        <w:t>主要设备有：</w:t>
      </w:r>
      <w:r>
        <w:rPr>
          <w:rFonts w:hint="eastAsia"/>
          <w:color w:val="auto"/>
          <w:sz w:val="24"/>
          <w:szCs w:val="24"/>
          <w:highlight w:val="none"/>
          <w:u w:val="single"/>
        </w:rPr>
        <w:t xml:space="preserve">                                  </w:t>
      </w:r>
      <w:r>
        <w:rPr>
          <w:rFonts w:hint="eastAsia"/>
          <w:color w:val="auto"/>
          <w:sz w:val="24"/>
          <w:szCs w:val="24"/>
          <w:highlight w:val="none"/>
        </w:rPr>
        <w:t>。（须附证明材料）</w:t>
      </w:r>
    </w:p>
    <w:p w14:paraId="366ACAD6">
      <w:pPr>
        <w:jc w:val="left"/>
        <w:rPr>
          <w:color w:val="auto"/>
          <w:sz w:val="24"/>
          <w:szCs w:val="24"/>
          <w:highlight w:val="none"/>
        </w:rPr>
      </w:pPr>
    </w:p>
    <w:p w14:paraId="34F82115">
      <w:pPr>
        <w:spacing w:line="360" w:lineRule="auto"/>
        <w:ind w:firstLine="480"/>
        <w:rPr>
          <w:color w:val="auto"/>
          <w:sz w:val="24"/>
          <w:szCs w:val="24"/>
          <w:highlight w:val="none"/>
        </w:rPr>
      </w:pPr>
      <w:r>
        <w:rPr>
          <w:rFonts w:hint="eastAsia"/>
          <w:color w:val="auto"/>
          <w:sz w:val="24"/>
          <w:szCs w:val="24"/>
          <w:highlight w:val="none"/>
        </w:rPr>
        <w:t>主要专业技术能力有：</w:t>
      </w:r>
      <w:r>
        <w:rPr>
          <w:rFonts w:hint="eastAsia"/>
          <w:color w:val="auto"/>
          <w:sz w:val="24"/>
          <w:szCs w:val="24"/>
          <w:highlight w:val="none"/>
          <w:u w:val="single"/>
        </w:rPr>
        <w:t xml:space="preserve">                          </w:t>
      </w:r>
      <w:r>
        <w:rPr>
          <w:rFonts w:hint="eastAsia"/>
          <w:color w:val="auto"/>
          <w:sz w:val="24"/>
          <w:szCs w:val="24"/>
          <w:highlight w:val="none"/>
        </w:rPr>
        <w:t>。（须附证明材料）</w:t>
      </w:r>
    </w:p>
    <w:p w14:paraId="2A2F4B84">
      <w:pPr>
        <w:spacing w:line="360" w:lineRule="auto"/>
        <w:ind w:firstLine="480"/>
        <w:rPr>
          <w:color w:val="auto"/>
          <w:sz w:val="24"/>
          <w:szCs w:val="24"/>
          <w:highlight w:val="none"/>
        </w:rPr>
      </w:pPr>
    </w:p>
    <w:p w14:paraId="5B011CC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附主要设备和主要专业技术能力的证明材料如下：</w:t>
      </w:r>
    </w:p>
    <w:p w14:paraId="2DBAF45F">
      <w:pPr>
        <w:spacing w:line="360" w:lineRule="auto"/>
        <w:ind w:firstLine="480"/>
        <w:rPr>
          <w:color w:val="auto"/>
          <w:sz w:val="24"/>
          <w:szCs w:val="24"/>
          <w:highlight w:val="none"/>
        </w:rPr>
      </w:pPr>
    </w:p>
    <w:p w14:paraId="07E3D55B">
      <w:pPr>
        <w:spacing w:line="360" w:lineRule="auto"/>
        <w:ind w:firstLine="480"/>
        <w:rPr>
          <w:color w:val="auto"/>
          <w:sz w:val="24"/>
          <w:szCs w:val="24"/>
          <w:highlight w:val="none"/>
        </w:rPr>
      </w:pPr>
    </w:p>
    <w:p w14:paraId="0259E119">
      <w:pPr>
        <w:spacing w:line="360" w:lineRule="auto"/>
        <w:ind w:firstLine="480"/>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（盖章）：</w:t>
      </w:r>
    </w:p>
    <w:p w14:paraId="110A4A4A">
      <w:pPr>
        <w:spacing w:line="360" w:lineRule="auto"/>
        <w:ind w:firstLine="480"/>
        <w:rPr>
          <w:color w:val="auto"/>
          <w:sz w:val="24"/>
          <w:szCs w:val="24"/>
          <w:highlight w:val="none"/>
        </w:rPr>
      </w:pPr>
      <w:r>
        <w:rPr>
          <w:rFonts w:hint="eastAsia"/>
          <w:color w:val="auto"/>
          <w:sz w:val="24"/>
          <w:szCs w:val="24"/>
          <w:highlight w:val="none"/>
        </w:rPr>
        <w:t>法定代表人</w:t>
      </w:r>
      <w:r>
        <w:rPr>
          <w:color w:val="auto"/>
          <w:sz w:val="24"/>
          <w:szCs w:val="24"/>
          <w:highlight w:val="none"/>
        </w:rPr>
        <w:t>（单位负责人）</w:t>
      </w:r>
      <w:r>
        <w:rPr>
          <w:rFonts w:hint="eastAsia"/>
          <w:color w:val="auto"/>
          <w:sz w:val="24"/>
          <w:szCs w:val="24"/>
          <w:highlight w:val="none"/>
        </w:rPr>
        <w:t>或委托代理人（签字或盖章）：</w:t>
      </w:r>
    </w:p>
    <w:p w14:paraId="5558209A">
      <w:pPr>
        <w:spacing w:line="360" w:lineRule="auto"/>
        <w:ind w:firstLine="480"/>
        <w:rPr>
          <w:color w:val="auto"/>
          <w:sz w:val="24"/>
          <w:szCs w:val="24"/>
          <w:highlight w:val="none"/>
        </w:rPr>
      </w:pPr>
      <w:r>
        <w:rPr>
          <w:rFonts w:hint="eastAsia"/>
          <w:color w:val="auto"/>
          <w:sz w:val="24"/>
          <w:szCs w:val="24"/>
          <w:highlight w:val="none"/>
        </w:rPr>
        <w:t>日期：    年     月     日</w:t>
      </w:r>
    </w:p>
    <w:p w14:paraId="73F6E97B">
      <w:pPr>
        <w:jc w:val="left"/>
        <w:rPr>
          <w:rFonts w:ascii="Times New Roman"/>
          <w:color w:val="auto"/>
          <w:szCs w:val="24"/>
          <w:highlight w:val="none"/>
        </w:rPr>
      </w:pPr>
    </w:p>
    <w:p w14:paraId="56F3EB82">
      <w:pPr>
        <w:spacing w:line="360" w:lineRule="auto"/>
        <w:jc w:val="left"/>
        <w:rPr>
          <w:rFonts w:ascii="Times New Roman" w:hAnsi="Times New Roman"/>
          <w:color w:val="auto"/>
          <w:sz w:val="24"/>
          <w:szCs w:val="24"/>
          <w:highlight w:val="none"/>
        </w:rPr>
      </w:pPr>
    </w:p>
    <w:p w14:paraId="4D4ECEDE">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五、参加政府采购活动前3年内在经营活动中没有重大违法记录的书面声明</w:t>
      </w:r>
    </w:p>
    <w:p w14:paraId="724D8613">
      <w:pPr>
        <w:spacing w:line="460" w:lineRule="exact"/>
        <w:jc w:val="center"/>
        <w:rPr>
          <w:rFonts w:ascii="Times New Roman" w:hAnsi="Times New Roman"/>
          <w:b/>
          <w:bCs/>
          <w:color w:val="auto"/>
          <w:sz w:val="44"/>
          <w:szCs w:val="44"/>
          <w:highlight w:val="none"/>
        </w:rPr>
      </w:pPr>
      <w:r>
        <w:rPr>
          <w:rFonts w:hint="default" w:ascii="Times New Roman" w:hAnsi="Times New Roman" w:eastAsia="黑体" w:cs="Times New Roman"/>
          <w:bCs/>
          <w:color w:val="auto"/>
          <w:sz w:val="36"/>
          <w:szCs w:val="28"/>
          <w:highlight w:val="none"/>
        </w:rPr>
        <w:t>声  明</w:t>
      </w:r>
    </w:p>
    <w:p w14:paraId="6C8DC965">
      <w:pPr>
        <w:spacing w:line="500" w:lineRule="exact"/>
        <w:ind w:firstLine="480"/>
        <w:jc w:val="left"/>
        <w:rPr>
          <w:color w:val="auto"/>
          <w:sz w:val="24"/>
          <w:szCs w:val="24"/>
          <w:highlight w:val="none"/>
        </w:rPr>
      </w:pPr>
      <w:r>
        <w:rPr>
          <w:rFonts w:hint="eastAsia"/>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3FD21347">
      <w:pPr>
        <w:spacing w:line="500" w:lineRule="exact"/>
        <w:ind w:firstLine="480"/>
        <w:jc w:val="left"/>
        <w:rPr>
          <w:color w:val="auto"/>
          <w:sz w:val="24"/>
          <w:szCs w:val="24"/>
          <w:highlight w:val="none"/>
        </w:rPr>
      </w:pPr>
    </w:p>
    <w:p w14:paraId="1A3D6632">
      <w:pPr>
        <w:spacing w:line="500" w:lineRule="exact"/>
        <w:ind w:firstLine="480"/>
        <w:jc w:val="left"/>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（盖章）：</w:t>
      </w:r>
    </w:p>
    <w:p w14:paraId="12E4F629">
      <w:pPr>
        <w:spacing w:line="500" w:lineRule="exact"/>
        <w:ind w:firstLine="480"/>
        <w:jc w:val="left"/>
        <w:rPr>
          <w:color w:val="auto"/>
          <w:sz w:val="24"/>
          <w:szCs w:val="24"/>
          <w:highlight w:val="none"/>
        </w:rPr>
      </w:pPr>
      <w:r>
        <w:rPr>
          <w:rFonts w:hint="eastAsia"/>
          <w:color w:val="auto"/>
          <w:sz w:val="24"/>
          <w:szCs w:val="24"/>
          <w:highlight w:val="none"/>
        </w:rPr>
        <w:t>法定代表人</w:t>
      </w:r>
      <w:r>
        <w:rPr>
          <w:color w:val="auto"/>
          <w:sz w:val="24"/>
          <w:szCs w:val="24"/>
          <w:highlight w:val="none"/>
        </w:rPr>
        <w:t>（单位负责人）</w:t>
      </w:r>
      <w:r>
        <w:rPr>
          <w:rFonts w:hint="eastAsia"/>
          <w:color w:val="auto"/>
          <w:sz w:val="24"/>
          <w:szCs w:val="24"/>
          <w:highlight w:val="none"/>
        </w:rPr>
        <w:t>或委托代理人（签字或盖章）：</w:t>
      </w:r>
    </w:p>
    <w:p w14:paraId="7B8F5522">
      <w:pPr>
        <w:spacing w:line="500" w:lineRule="exact"/>
        <w:ind w:firstLine="480"/>
        <w:jc w:val="left"/>
        <w:rPr>
          <w:color w:val="auto"/>
          <w:sz w:val="24"/>
          <w:szCs w:val="24"/>
          <w:highlight w:val="none"/>
        </w:rPr>
      </w:pPr>
      <w:r>
        <w:rPr>
          <w:rFonts w:hint="eastAsia"/>
          <w:color w:val="auto"/>
          <w:sz w:val="24"/>
          <w:szCs w:val="24"/>
          <w:highlight w:val="none"/>
        </w:rPr>
        <w:t>日期：    年     月     日</w:t>
      </w:r>
    </w:p>
    <w:p w14:paraId="0B8188FC">
      <w:pPr>
        <w:rPr>
          <w:color w:val="auto"/>
          <w:highlight w:val="none"/>
        </w:rPr>
      </w:pPr>
    </w:p>
    <w:p w14:paraId="3EE49F35">
      <w:pPr>
        <w:rPr>
          <w:color w:val="auto"/>
          <w:highlight w:val="none"/>
        </w:rPr>
      </w:pPr>
    </w:p>
    <w:p w14:paraId="55D58617">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六、法律、行政法规规定的其他条件的证明文件</w:t>
      </w:r>
    </w:p>
    <w:p w14:paraId="7A863189">
      <w:pPr>
        <w:spacing w:line="500" w:lineRule="exact"/>
        <w:ind w:firstLine="480"/>
        <w:jc w:val="left"/>
        <w:rPr>
          <w:color w:val="auto"/>
          <w:sz w:val="24"/>
          <w:szCs w:val="24"/>
          <w:highlight w:val="none"/>
        </w:rPr>
      </w:pPr>
      <w:r>
        <w:rPr>
          <w:rFonts w:hint="eastAsia"/>
          <w:color w:val="auto"/>
          <w:sz w:val="24"/>
          <w:szCs w:val="24"/>
          <w:highlight w:val="none"/>
        </w:rPr>
        <w:t>（如有，请按要求提供）</w:t>
      </w:r>
    </w:p>
    <w:p w14:paraId="0F2C4CD4">
      <w:pPr>
        <w:rPr>
          <w:color w:val="auto"/>
          <w:highlight w:val="none"/>
        </w:rPr>
      </w:pPr>
    </w:p>
    <w:p w14:paraId="6AA724DC">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七、落实政府采购政策需满足的资格要求的证明文件</w:t>
      </w:r>
    </w:p>
    <w:p w14:paraId="4FCE0954">
      <w:pPr>
        <w:spacing w:line="500" w:lineRule="exact"/>
        <w:ind w:firstLine="480"/>
        <w:jc w:val="left"/>
        <w:rPr>
          <w:color w:val="auto"/>
          <w:sz w:val="24"/>
          <w:szCs w:val="24"/>
          <w:highlight w:val="none"/>
        </w:rPr>
      </w:pPr>
      <w:r>
        <w:rPr>
          <w:rFonts w:hint="eastAsia"/>
          <w:color w:val="auto"/>
          <w:sz w:val="24"/>
          <w:szCs w:val="24"/>
          <w:highlight w:val="none"/>
        </w:rPr>
        <w:t>（如有，请按要求提供）</w:t>
      </w:r>
    </w:p>
    <w:p w14:paraId="2ACC691B">
      <w:pPr>
        <w:rPr>
          <w:color w:val="auto"/>
          <w:highlight w:val="none"/>
        </w:rPr>
      </w:pPr>
    </w:p>
    <w:p w14:paraId="13834A39">
      <w:pPr>
        <w:rPr>
          <w:color w:val="auto"/>
          <w:highlight w:val="none"/>
        </w:rPr>
      </w:pPr>
    </w:p>
    <w:p w14:paraId="4DC5411F">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八、特定资格要求的证明文件</w:t>
      </w:r>
    </w:p>
    <w:p w14:paraId="059D9AD8">
      <w:pPr>
        <w:spacing w:line="500" w:lineRule="exact"/>
        <w:ind w:firstLine="480"/>
        <w:jc w:val="left"/>
        <w:rPr>
          <w:color w:val="auto"/>
          <w:sz w:val="24"/>
          <w:szCs w:val="24"/>
          <w:highlight w:val="none"/>
        </w:rPr>
      </w:pPr>
      <w:r>
        <w:rPr>
          <w:rFonts w:hint="eastAsia"/>
          <w:color w:val="auto"/>
          <w:sz w:val="24"/>
          <w:szCs w:val="24"/>
          <w:highlight w:val="none"/>
        </w:rPr>
        <w:t>（如有，请按要求提供）</w:t>
      </w:r>
    </w:p>
    <w:p w14:paraId="70F9F553">
      <w:pPr>
        <w:rPr>
          <w:color w:val="auto"/>
          <w:highlight w:val="none"/>
        </w:rPr>
      </w:pPr>
    </w:p>
    <w:p w14:paraId="2844A9D0">
      <w:pPr>
        <w:rPr>
          <w:color w:val="auto"/>
          <w:highlight w:val="none"/>
        </w:rPr>
      </w:pPr>
    </w:p>
    <w:p w14:paraId="17165E88">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九、授权委托书与法定代表人（单位负责人）身份证明</w:t>
      </w:r>
    </w:p>
    <w:p w14:paraId="35F720F5">
      <w:pPr>
        <w:spacing w:line="360" w:lineRule="exact"/>
        <w:jc w:val="center"/>
        <w:rPr>
          <w:rFonts w:ascii="Times New Roman" w:hAnsi="Times New Roman"/>
          <w:b/>
          <w:color w:val="auto"/>
          <w:sz w:val="36"/>
          <w:szCs w:val="36"/>
          <w:highlight w:val="none"/>
        </w:rPr>
      </w:pPr>
      <w:r>
        <w:rPr>
          <w:rFonts w:hint="default" w:ascii="Times New Roman" w:hAnsi="Times New Roman"/>
          <w:b/>
          <w:color w:val="auto"/>
          <w:sz w:val="36"/>
          <w:szCs w:val="36"/>
          <w:highlight w:val="none"/>
        </w:rPr>
        <w:t>授权委托书</w:t>
      </w:r>
    </w:p>
    <w:p w14:paraId="51DFE497">
      <w:pPr>
        <w:spacing w:line="360" w:lineRule="auto"/>
        <w:rPr>
          <w:color w:val="auto"/>
          <w:sz w:val="24"/>
          <w:szCs w:val="24"/>
          <w:highlight w:val="none"/>
        </w:rPr>
      </w:pPr>
      <w:r>
        <w:rPr>
          <w:color w:val="auto"/>
          <w:sz w:val="24"/>
          <w:szCs w:val="24"/>
          <w:highlight w:val="none"/>
        </w:rPr>
        <w:t>致：</w:t>
      </w:r>
      <w:r>
        <w:rPr>
          <w:rFonts w:hint="eastAsia"/>
          <w:color w:val="auto"/>
          <w:sz w:val="24"/>
          <w:szCs w:val="24"/>
          <w:highlight w:val="none"/>
          <w:u w:val="single"/>
        </w:rPr>
        <w:t>采购单位</w:t>
      </w:r>
    </w:p>
    <w:p w14:paraId="7A50FED1">
      <w:pPr>
        <w:spacing w:line="360" w:lineRule="auto"/>
        <w:ind w:firstLine="420"/>
        <w:jc w:val="left"/>
        <w:rPr>
          <w:color w:val="auto"/>
          <w:sz w:val="24"/>
          <w:szCs w:val="24"/>
          <w:highlight w:val="none"/>
        </w:rPr>
      </w:pPr>
      <w:r>
        <w:rPr>
          <w:rFonts w:hint="eastAsia"/>
          <w:color w:val="auto"/>
          <w:sz w:val="24"/>
          <w:szCs w:val="24"/>
          <w:highlight w:val="none"/>
        </w:rPr>
        <w:t>本人</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姓名</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系</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lang w:eastAsia="zh-CN"/>
        </w:rPr>
        <w:t>投标人</w:t>
      </w:r>
      <w:r>
        <w:rPr>
          <w:color w:val="auto"/>
          <w:sz w:val="24"/>
          <w:szCs w:val="24"/>
          <w:highlight w:val="none"/>
          <w:u w:val="single"/>
        </w:rPr>
        <w:t>名称）</w:t>
      </w:r>
      <w:r>
        <w:rPr>
          <w:rFonts w:hint="eastAsia"/>
          <w:color w:val="auto"/>
          <w:sz w:val="24"/>
          <w:szCs w:val="24"/>
          <w:highlight w:val="none"/>
          <w:u w:val="single"/>
        </w:rPr>
        <w:t xml:space="preserve"> </w:t>
      </w:r>
      <w:r>
        <w:rPr>
          <w:rFonts w:hint="eastAsia"/>
          <w:color w:val="auto"/>
          <w:sz w:val="24"/>
          <w:szCs w:val="24"/>
          <w:highlight w:val="none"/>
        </w:rPr>
        <w:t>的</w:t>
      </w:r>
      <w:r>
        <w:rPr>
          <w:color w:val="auto"/>
          <w:sz w:val="24"/>
          <w:szCs w:val="24"/>
          <w:highlight w:val="none"/>
        </w:rPr>
        <w:t>法定代表人（</w:t>
      </w:r>
      <w:r>
        <w:rPr>
          <w:rFonts w:hint="eastAsia"/>
          <w:color w:val="auto"/>
          <w:sz w:val="24"/>
          <w:szCs w:val="24"/>
          <w:highlight w:val="none"/>
        </w:rPr>
        <w:t>单位</w:t>
      </w:r>
      <w:r>
        <w:rPr>
          <w:color w:val="auto"/>
          <w:sz w:val="24"/>
          <w:szCs w:val="24"/>
          <w:highlight w:val="none"/>
        </w:rPr>
        <w:t>负责人）</w:t>
      </w:r>
      <w:r>
        <w:rPr>
          <w:rFonts w:hint="eastAsia"/>
          <w:color w:val="auto"/>
          <w:sz w:val="24"/>
          <w:szCs w:val="24"/>
          <w:highlight w:val="none"/>
        </w:rPr>
        <w:t>，</w:t>
      </w:r>
      <w:r>
        <w:rPr>
          <w:color w:val="auto"/>
          <w:sz w:val="24"/>
          <w:szCs w:val="24"/>
          <w:highlight w:val="none"/>
        </w:rPr>
        <w:t>现委托</w:t>
      </w:r>
      <w:r>
        <w:rPr>
          <w:rFonts w:hint="eastAsia"/>
          <w:color w:val="auto"/>
          <w:sz w:val="24"/>
          <w:szCs w:val="24"/>
          <w:highlight w:val="none"/>
          <w:u w:val="single"/>
        </w:rPr>
        <w:t xml:space="preserve"> （姓名</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为</w:t>
      </w:r>
      <w:r>
        <w:rPr>
          <w:color w:val="auto"/>
          <w:sz w:val="24"/>
          <w:szCs w:val="24"/>
          <w:highlight w:val="none"/>
        </w:rPr>
        <w:t>我方代理人。</w:t>
      </w:r>
      <w:r>
        <w:rPr>
          <w:rFonts w:hint="eastAsia"/>
          <w:color w:val="auto"/>
          <w:sz w:val="24"/>
          <w:szCs w:val="24"/>
          <w:highlight w:val="none"/>
        </w:rPr>
        <w:t>代理人根据</w:t>
      </w:r>
      <w:r>
        <w:rPr>
          <w:color w:val="auto"/>
          <w:sz w:val="24"/>
          <w:szCs w:val="24"/>
          <w:highlight w:val="none"/>
        </w:rPr>
        <w:t>授权，以我方名义签署、澄清确认、递交、撤回、修改</w:t>
      </w:r>
      <w:r>
        <w:rPr>
          <w:rFonts w:hint="eastAsia"/>
          <w:color w:val="auto"/>
          <w:sz w:val="24"/>
          <w:szCs w:val="24"/>
          <w:highlight w:val="none"/>
          <w:u w:val="single"/>
        </w:rPr>
        <w:t xml:space="preserve"> （项目名称） </w:t>
      </w:r>
      <w:r>
        <w:rPr>
          <w:rFonts w:hint="eastAsia"/>
          <w:color w:val="auto"/>
          <w:sz w:val="24"/>
          <w:szCs w:val="24"/>
          <w:highlight w:val="none"/>
        </w:rPr>
        <w:t>项目（项目编号：</w:t>
      </w:r>
      <w:r>
        <w:rPr>
          <w:rFonts w:hint="eastAsia"/>
          <w:color w:val="auto"/>
          <w:sz w:val="24"/>
          <w:szCs w:val="24"/>
          <w:highlight w:val="none"/>
          <w:u w:val="single"/>
        </w:rPr>
        <w:t xml:space="preserve">         </w:t>
      </w:r>
      <w:r>
        <w:rPr>
          <w:rFonts w:hint="eastAsia"/>
          <w:color w:val="auto"/>
          <w:sz w:val="24"/>
          <w:szCs w:val="24"/>
          <w:highlight w:val="none"/>
        </w:rPr>
        <w:t>）投标</w:t>
      </w:r>
      <w:r>
        <w:rPr>
          <w:color w:val="auto"/>
          <w:sz w:val="24"/>
          <w:szCs w:val="24"/>
          <w:highlight w:val="none"/>
        </w:rPr>
        <w:t>文件</w:t>
      </w:r>
      <w:r>
        <w:rPr>
          <w:rFonts w:hint="eastAsia"/>
          <w:color w:val="auto"/>
          <w:sz w:val="24"/>
          <w:szCs w:val="24"/>
          <w:highlight w:val="none"/>
        </w:rPr>
        <w:t>和</w:t>
      </w:r>
      <w:r>
        <w:rPr>
          <w:color w:val="auto"/>
          <w:sz w:val="24"/>
          <w:szCs w:val="24"/>
          <w:highlight w:val="none"/>
        </w:rPr>
        <w:t>处理有关事宜，其法律后果由我方承担。</w:t>
      </w:r>
    </w:p>
    <w:p w14:paraId="01036434">
      <w:pPr>
        <w:spacing w:line="360" w:lineRule="auto"/>
        <w:ind w:firstLine="420"/>
        <w:jc w:val="left"/>
        <w:rPr>
          <w:color w:val="auto"/>
          <w:sz w:val="24"/>
          <w:szCs w:val="24"/>
          <w:highlight w:val="none"/>
        </w:rPr>
      </w:pPr>
      <w:r>
        <w:rPr>
          <w:rFonts w:hint="eastAsia"/>
          <w:color w:val="auto"/>
          <w:sz w:val="24"/>
          <w:szCs w:val="24"/>
          <w:highlight w:val="none"/>
        </w:rPr>
        <w:t>委托</w:t>
      </w:r>
      <w:r>
        <w:rPr>
          <w:color w:val="auto"/>
          <w:sz w:val="24"/>
          <w:szCs w:val="24"/>
          <w:highlight w:val="none"/>
        </w:rPr>
        <w:t>期限：自本</w:t>
      </w:r>
      <w:r>
        <w:rPr>
          <w:rFonts w:hint="eastAsia"/>
          <w:color w:val="auto"/>
          <w:sz w:val="24"/>
          <w:szCs w:val="24"/>
          <w:highlight w:val="none"/>
        </w:rPr>
        <w:t>授权</w:t>
      </w:r>
      <w:r>
        <w:rPr>
          <w:color w:val="auto"/>
          <w:sz w:val="24"/>
          <w:szCs w:val="24"/>
          <w:highlight w:val="none"/>
        </w:rPr>
        <w:t>委托书签署之日起至</w:t>
      </w:r>
      <w:r>
        <w:rPr>
          <w:rFonts w:hint="eastAsia"/>
          <w:color w:val="auto"/>
          <w:sz w:val="24"/>
          <w:szCs w:val="24"/>
          <w:highlight w:val="none"/>
        </w:rPr>
        <w:t>响应</w:t>
      </w:r>
      <w:r>
        <w:rPr>
          <w:color w:val="auto"/>
          <w:sz w:val="24"/>
          <w:szCs w:val="24"/>
          <w:highlight w:val="none"/>
        </w:rPr>
        <w:t>有效期</w:t>
      </w:r>
      <w:r>
        <w:rPr>
          <w:rFonts w:hint="eastAsia"/>
          <w:color w:val="auto"/>
          <w:sz w:val="24"/>
          <w:szCs w:val="24"/>
          <w:highlight w:val="none"/>
        </w:rPr>
        <w:t>届满</w:t>
      </w:r>
      <w:r>
        <w:rPr>
          <w:color w:val="auto"/>
          <w:sz w:val="24"/>
          <w:szCs w:val="24"/>
          <w:highlight w:val="none"/>
        </w:rPr>
        <w:t>之日止。</w:t>
      </w:r>
    </w:p>
    <w:p w14:paraId="50A67490">
      <w:pPr>
        <w:spacing w:line="360" w:lineRule="auto"/>
        <w:ind w:firstLine="420"/>
        <w:jc w:val="left"/>
        <w:rPr>
          <w:color w:val="auto"/>
          <w:sz w:val="24"/>
          <w:szCs w:val="24"/>
          <w:highlight w:val="none"/>
        </w:rPr>
      </w:pPr>
      <w:r>
        <w:rPr>
          <w:rFonts w:hint="eastAsia"/>
          <w:color w:val="auto"/>
          <w:sz w:val="24"/>
          <w:szCs w:val="24"/>
          <w:highlight w:val="none"/>
        </w:rPr>
        <w:t>代理人</w:t>
      </w:r>
      <w:r>
        <w:rPr>
          <w:color w:val="auto"/>
          <w:sz w:val="24"/>
          <w:szCs w:val="24"/>
          <w:highlight w:val="none"/>
        </w:rPr>
        <w:t>无转委托权。</w:t>
      </w:r>
      <w:r>
        <w:rPr>
          <w:color w:val="auto"/>
          <w:sz w:val="24"/>
          <w:szCs w:val="24"/>
          <w:highlight w:val="none"/>
        </w:rPr>
        <w:br w:type="textWrapping"/>
      </w:r>
    </w:p>
    <w:p w14:paraId="39560444">
      <w:pPr>
        <w:spacing w:line="360" w:lineRule="auto"/>
        <w:rPr>
          <w:color w:val="auto"/>
          <w:sz w:val="24"/>
          <w:szCs w:val="24"/>
          <w:highlight w:val="none"/>
        </w:rPr>
      </w:pPr>
      <w:r>
        <w:rPr>
          <w:rFonts w:hint="eastAsia"/>
          <w:color w:val="auto"/>
          <w:sz w:val="24"/>
          <w:szCs w:val="24"/>
          <w:highlight w:val="none"/>
          <w:lang w:eastAsia="zh-CN"/>
        </w:rPr>
        <w:t>投标人</w:t>
      </w:r>
      <w:r>
        <w:rPr>
          <w:color w:val="auto"/>
          <w:sz w:val="24"/>
          <w:szCs w:val="24"/>
          <w:highlight w:val="none"/>
        </w:rPr>
        <w:t>名称（加盖公章）：</w:t>
      </w:r>
      <w:r>
        <w:rPr>
          <w:rFonts w:hint="eastAsia"/>
          <w:color w:val="auto"/>
          <w:sz w:val="24"/>
          <w:szCs w:val="24"/>
          <w:highlight w:val="none"/>
          <w:u w:val="single"/>
        </w:rPr>
        <w:t xml:space="preserve">             </w:t>
      </w:r>
    </w:p>
    <w:p w14:paraId="716E5D2F">
      <w:pPr>
        <w:spacing w:line="360" w:lineRule="auto"/>
        <w:rPr>
          <w:color w:val="auto"/>
          <w:sz w:val="24"/>
          <w:szCs w:val="24"/>
          <w:highlight w:val="none"/>
        </w:rPr>
      </w:pPr>
      <w:r>
        <w:rPr>
          <w:color w:val="auto"/>
          <w:sz w:val="24"/>
          <w:szCs w:val="24"/>
          <w:highlight w:val="none"/>
        </w:rPr>
        <w:t>法定代表人（单位负责人）（签字</w:t>
      </w:r>
      <w:r>
        <w:rPr>
          <w:rFonts w:hint="eastAsia"/>
          <w:color w:val="auto"/>
          <w:sz w:val="24"/>
          <w:szCs w:val="24"/>
          <w:highlight w:val="none"/>
        </w:rPr>
        <w:t>、签章</w:t>
      </w:r>
      <w:r>
        <w:rPr>
          <w:color w:val="auto"/>
          <w:sz w:val="24"/>
          <w:szCs w:val="24"/>
          <w:highlight w:val="none"/>
        </w:rPr>
        <w:t>或</w:t>
      </w:r>
      <w:r>
        <w:rPr>
          <w:rFonts w:hint="eastAsia"/>
          <w:color w:val="auto"/>
          <w:sz w:val="24"/>
          <w:szCs w:val="24"/>
          <w:highlight w:val="none"/>
        </w:rPr>
        <w:t>印鉴）</w:t>
      </w:r>
      <w:r>
        <w:rPr>
          <w:color w:val="auto"/>
          <w:sz w:val="24"/>
          <w:szCs w:val="24"/>
          <w:highlight w:val="none"/>
        </w:rPr>
        <w:t>：</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p>
    <w:p w14:paraId="7FC093B4">
      <w:pPr>
        <w:spacing w:line="360" w:lineRule="auto"/>
        <w:rPr>
          <w:color w:val="auto"/>
          <w:sz w:val="24"/>
          <w:szCs w:val="24"/>
          <w:highlight w:val="none"/>
        </w:rPr>
      </w:pPr>
      <w:r>
        <w:rPr>
          <w:rFonts w:hint="eastAsia"/>
          <w:color w:val="auto"/>
          <w:sz w:val="24"/>
          <w:szCs w:val="24"/>
          <w:highlight w:val="none"/>
        </w:rPr>
        <w:t>委托代理</w:t>
      </w:r>
      <w:r>
        <w:rPr>
          <w:color w:val="auto"/>
          <w:sz w:val="24"/>
          <w:szCs w:val="24"/>
          <w:highlight w:val="none"/>
        </w:rPr>
        <w:t>人（签字</w:t>
      </w:r>
      <w:r>
        <w:rPr>
          <w:rFonts w:hint="eastAsia"/>
          <w:color w:val="auto"/>
          <w:sz w:val="24"/>
          <w:szCs w:val="24"/>
          <w:highlight w:val="none"/>
        </w:rPr>
        <w:t>/签章</w:t>
      </w:r>
      <w:r>
        <w:rPr>
          <w:color w:val="auto"/>
          <w:sz w:val="24"/>
          <w:szCs w:val="24"/>
          <w:highlight w:val="none"/>
        </w:rPr>
        <w:t>）：</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p>
    <w:p w14:paraId="316AFD2F">
      <w:pPr>
        <w:spacing w:line="360" w:lineRule="auto"/>
        <w:rPr>
          <w:color w:val="auto"/>
          <w:sz w:val="24"/>
          <w:szCs w:val="24"/>
          <w:highlight w:val="none"/>
        </w:rPr>
      </w:pPr>
      <w:r>
        <w:rPr>
          <w:rFonts w:hint="eastAsia"/>
          <w:color w:val="auto"/>
          <w:sz w:val="24"/>
          <w:szCs w:val="24"/>
          <w:highlight w:val="none"/>
        </w:rPr>
        <w:t>日期：    年     月     日</w:t>
      </w:r>
    </w:p>
    <w:p w14:paraId="21685175">
      <w:pPr>
        <w:tabs>
          <w:tab w:val="left" w:pos="5580"/>
        </w:tabs>
        <w:spacing w:line="360" w:lineRule="auto"/>
        <w:ind w:firstLine="480"/>
        <w:rPr>
          <w:rFonts w:ascii="Times New Roman" w:hAnsi="Times New Roman"/>
          <w:color w:val="auto"/>
          <w:sz w:val="24"/>
          <w:szCs w:val="20"/>
          <w:highlight w:val="none"/>
        </w:rPr>
      </w:pPr>
    </w:p>
    <w:p w14:paraId="4012E6A4">
      <w:pPr>
        <w:tabs>
          <w:tab w:val="left" w:pos="5580"/>
        </w:tabs>
        <w:spacing w:line="360" w:lineRule="auto"/>
        <w:jc w:val="left"/>
        <w:rPr>
          <w:rFonts w:ascii="Times New Roman" w:hAnsi="Times New Roman"/>
          <w:color w:val="auto"/>
          <w:sz w:val="24"/>
          <w:szCs w:val="20"/>
          <w:highlight w:val="none"/>
        </w:rPr>
      </w:pPr>
      <w:r>
        <w:rPr>
          <w:rFonts w:ascii="Times New Roman" w:hAnsi="Times New Roman"/>
          <w:color w:val="auto"/>
          <w:sz w:val="24"/>
          <w:szCs w:val="20"/>
          <w:highlight w:val="none"/>
        </w:rPr>
        <w:t>法定代表人（单位负责人）有效期内的身份证</w:t>
      </w:r>
      <w:r>
        <w:rPr>
          <w:rFonts w:ascii="Times New Roman" w:hAnsi="Times New Roman"/>
          <w:b/>
          <w:color w:val="auto"/>
          <w:sz w:val="24"/>
          <w:szCs w:val="20"/>
          <w:highlight w:val="none"/>
        </w:rPr>
        <w:t>正反面</w:t>
      </w:r>
      <w:r>
        <w:rPr>
          <w:rFonts w:ascii="Times New Roman" w:hAnsi="Times New Roman"/>
          <w:color w:val="auto"/>
          <w:sz w:val="24"/>
          <w:szCs w:val="20"/>
          <w:highlight w:val="none"/>
        </w:rPr>
        <w:t>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D5B0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445847D">
            <w:pPr>
              <w:tabs>
                <w:tab w:val="left" w:pos="5580"/>
              </w:tabs>
              <w:spacing w:line="360" w:lineRule="auto"/>
              <w:jc w:val="left"/>
              <w:rPr>
                <w:rFonts w:ascii="Times New Roman" w:hAnsi="Times New Roman"/>
                <w:color w:val="auto"/>
                <w:sz w:val="24"/>
                <w:szCs w:val="20"/>
                <w:highlight w:val="none"/>
              </w:rPr>
            </w:pPr>
          </w:p>
          <w:p w14:paraId="230964B1">
            <w:pPr>
              <w:tabs>
                <w:tab w:val="left" w:pos="5580"/>
              </w:tabs>
              <w:spacing w:line="360" w:lineRule="auto"/>
              <w:jc w:val="left"/>
              <w:rPr>
                <w:rFonts w:ascii="Times New Roman" w:hAnsi="Times New Roman"/>
                <w:color w:val="auto"/>
                <w:sz w:val="24"/>
                <w:szCs w:val="20"/>
                <w:highlight w:val="none"/>
              </w:rPr>
            </w:pPr>
          </w:p>
          <w:p w14:paraId="76BD4DEA">
            <w:pPr>
              <w:tabs>
                <w:tab w:val="left" w:pos="5580"/>
              </w:tabs>
              <w:spacing w:line="360" w:lineRule="auto"/>
              <w:jc w:val="left"/>
              <w:rPr>
                <w:rFonts w:ascii="Times New Roman" w:hAnsi="Times New Roman"/>
                <w:color w:val="auto"/>
                <w:sz w:val="24"/>
                <w:szCs w:val="20"/>
                <w:highlight w:val="none"/>
              </w:rPr>
            </w:pPr>
          </w:p>
        </w:tc>
        <w:tc>
          <w:tcPr>
            <w:tcW w:w="4536" w:type="dxa"/>
            <w:noWrap w:val="0"/>
            <w:vAlign w:val="top"/>
          </w:tcPr>
          <w:p w14:paraId="23EEE000">
            <w:pPr>
              <w:tabs>
                <w:tab w:val="left" w:pos="5580"/>
              </w:tabs>
              <w:spacing w:line="360" w:lineRule="auto"/>
              <w:jc w:val="left"/>
              <w:rPr>
                <w:rFonts w:ascii="Times New Roman" w:hAnsi="Times New Roman"/>
                <w:color w:val="auto"/>
                <w:sz w:val="24"/>
                <w:szCs w:val="20"/>
                <w:highlight w:val="none"/>
              </w:rPr>
            </w:pPr>
          </w:p>
          <w:p w14:paraId="01C0281F">
            <w:pPr>
              <w:tabs>
                <w:tab w:val="left" w:pos="5580"/>
              </w:tabs>
              <w:spacing w:line="360" w:lineRule="auto"/>
              <w:jc w:val="left"/>
              <w:rPr>
                <w:rFonts w:ascii="Times New Roman" w:hAnsi="Times New Roman"/>
                <w:color w:val="auto"/>
                <w:sz w:val="24"/>
                <w:szCs w:val="20"/>
                <w:highlight w:val="none"/>
              </w:rPr>
            </w:pPr>
          </w:p>
          <w:p w14:paraId="37300204">
            <w:pPr>
              <w:tabs>
                <w:tab w:val="left" w:pos="5580"/>
              </w:tabs>
              <w:spacing w:line="360" w:lineRule="auto"/>
              <w:jc w:val="left"/>
              <w:rPr>
                <w:rFonts w:ascii="Times New Roman" w:hAnsi="Times New Roman"/>
                <w:color w:val="auto"/>
                <w:sz w:val="24"/>
                <w:szCs w:val="20"/>
                <w:highlight w:val="none"/>
              </w:rPr>
            </w:pPr>
          </w:p>
        </w:tc>
      </w:tr>
    </w:tbl>
    <w:p w14:paraId="4764B0AA">
      <w:pPr>
        <w:tabs>
          <w:tab w:val="left" w:pos="5580"/>
        </w:tabs>
        <w:spacing w:line="360" w:lineRule="auto"/>
        <w:jc w:val="left"/>
        <w:rPr>
          <w:rFonts w:ascii="Times New Roman" w:hAnsi="Times New Roman"/>
          <w:color w:val="auto"/>
          <w:sz w:val="24"/>
          <w:szCs w:val="20"/>
          <w:highlight w:val="none"/>
        </w:rPr>
      </w:pPr>
      <w:r>
        <w:rPr>
          <w:rFonts w:hint="default" w:ascii="Times New Roman" w:hAnsi="Times New Roman"/>
          <w:color w:val="auto"/>
          <w:sz w:val="24"/>
          <w:szCs w:val="20"/>
          <w:highlight w:val="none"/>
        </w:rPr>
        <w:t>委托代理人</w:t>
      </w:r>
      <w:r>
        <w:rPr>
          <w:rFonts w:ascii="Times New Roman" w:hAnsi="Times New Roman"/>
          <w:color w:val="auto"/>
          <w:sz w:val="24"/>
          <w:szCs w:val="20"/>
          <w:highlight w:val="none"/>
        </w:rPr>
        <w:t>有效期内的身份证</w:t>
      </w:r>
      <w:r>
        <w:rPr>
          <w:rFonts w:ascii="Times New Roman" w:hAnsi="Times New Roman"/>
          <w:b/>
          <w:color w:val="auto"/>
          <w:sz w:val="24"/>
          <w:szCs w:val="20"/>
          <w:highlight w:val="none"/>
        </w:rPr>
        <w:t>正反面</w:t>
      </w:r>
      <w:r>
        <w:rPr>
          <w:rFonts w:ascii="Times New Roman" w:hAnsi="Times New Roman"/>
          <w:color w:val="auto"/>
          <w:sz w:val="24"/>
          <w:szCs w:val="20"/>
          <w:highlight w:val="none"/>
        </w:rPr>
        <w:t>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13C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86A1A56">
            <w:pPr>
              <w:tabs>
                <w:tab w:val="left" w:pos="5580"/>
              </w:tabs>
              <w:spacing w:line="360" w:lineRule="auto"/>
              <w:jc w:val="left"/>
              <w:rPr>
                <w:rFonts w:ascii="Times New Roman" w:hAnsi="Times New Roman"/>
                <w:color w:val="auto"/>
                <w:sz w:val="24"/>
                <w:szCs w:val="20"/>
                <w:highlight w:val="none"/>
              </w:rPr>
            </w:pPr>
          </w:p>
          <w:p w14:paraId="65140D65">
            <w:pPr>
              <w:tabs>
                <w:tab w:val="left" w:pos="5580"/>
              </w:tabs>
              <w:spacing w:line="360" w:lineRule="auto"/>
              <w:jc w:val="left"/>
              <w:rPr>
                <w:rFonts w:ascii="Times New Roman" w:hAnsi="Times New Roman"/>
                <w:color w:val="auto"/>
                <w:sz w:val="24"/>
                <w:szCs w:val="20"/>
                <w:highlight w:val="none"/>
              </w:rPr>
            </w:pPr>
          </w:p>
          <w:p w14:paraId="552EE6A7">
            <w:pPr>
              <w:tabs>
                <w:tab w:val="left" w:pos="5580"/>
              </w:tabs>
              <w:spacing w:line="360" w:lineRule="auto"/>
              <w:jc w:val="left"/>
              <w:rPr>
                <w:rFonts w:ascii="Times New Roman" w:hAnsi="Times New Roman"/>
                <w:color w:val="auto"/>
                <w:sz w:val="24"/>
                <w:szCs w:val="20"/>
                <w:highlight w:val="none"/>
              </w:rPr>
            </w:pPr>
          </w:p>
        </w:tc>
        <w:tc>
          <w:tcPr>
            <w:tcW w:w="4536" w:type="dxa"/>
            <w:noWrap w:val="0"/>
            <w:vAlign w:val="top"/>
          </w:tcPr>
          <w:p w14:paraId="3492916A">
            <w:pPr>
              <w:tabs>
                <w:tab w:val="left" w:pos="5580"/>
              </w:tabs>
              <w:spacing w:line="360" w:lineRule="auto"/>
              <w:jc w:val="left"/>
              <w:rPr>
                <w:rFonts w:ascii="Times New Roman" w:hAnsi="Times New Roman"/>
                <w:color w:val="auto"/>
                <w:sz w:val="24"/>
                <w:szCs w:val="20"/>
                <w:highlight w:val="none"/>
              </w:rPr>
            </w:pPr>
          </w:p>
          <w:p w14:paraId="2F8EE0FD">
            <w:pPr>
              <w:tabs>
                <w:tab w:val="left" w:pos="5580"/>
              </w:tabs>
              <w:spacing w:line="360" w:lineRule="auto"/>
              <w:jc w:val="left"/>
              <w:rPr>
                <w:rFonts w:ascii="Times New Roman" w:hAnsi="Times New Roman"/>
                <w:color w:val="auto"/>
                <w:sz w:val="24"/>
                <w:szCs w:val="20"/>
                <w:highlight w:val="none"/>
              </w:rPr>
            </w:pPr>
          </w:p>
          <w:p w14:paraId="5215174E">
            <w:pPr>
              <w:tabs>
                <w:tab w:val="left" w:pos="5580"/>
              </w:tabs>
              <w:spacing w:line="360" w:lineRule="auto"/>
              <w:jc w:val="left"/>
              <w:rPr>
                <w:rFonts w:ascii="Times New Roman" w:hAnsi="Times New Roman"/>
                <w:color w:val="auto"/>
                <w:sz w:val="24"/>
                <w:szCs w:val="20"/>
                <w:highlight w:val="none"/>
              </w:rPr>
            </w:pPr>
          </w:p>
        </w:tc>
      </w:tr>
    </w:tbl>
    <w:p w14:paraId="1E924229">
      <w:pPr>
        <w:tabs>
          <w:tab w:val="left" w:pos="5580"/>
        </w:tabs>
        <w:spacing w:line="360" w:lineRule="auto"/>
        <w:jc w:val="left"/>
        <w:rPr>
          <w:color w:val="auto"/>
          <w:sz w:val="24"/>
          <w:szCs w:val="24"/>
          <w:highlight w:val="none"/>
        </w:rPr>
      </w:pPr>
      <w:r>
        <w:rPr>
          <w:rFonts w:hint="eastAsia"/>
          <w:color w:val="auto"/>
          <w:sz w:val="24"/>
          <w:szCs w:val="24"/>
          <w:highlight w:val="none"/>
        </w:rPr>
        <w:t>填报说明</w:t>
      </w:r>
      <w:r>
        <w:rPr>
          <w:color w:val="auto"/>
          <w:sz w:val="24"/>
          <w:szCs w:val="24"/>
          <w:highlight w:val="none"/>
        </w:rPr>
        <w:t>：</w:t>
      </w:r>
    </w:p>
    <w:p w14:paraId="55A35AE2">
      <w:pPr>
        <w:tabs>
          <w:tab w:val="left" w:pos="5580"/>
        </w:tabs>
        <w:spacing w:line="360" w:lineRule="auto"/>
        <w:ind w:firstLine="480"/>
        <w:jc w:val="left"/>
        <w:rPr>
          <w:color w:val="auto"/>
          <w:sz w:val="24"/>
          <w:szCs w:val="24"/>
          <w:highlight w:val="none"/>
        </w:rPr>
      </w:pPr>
      <w:r>
        <w:rPr>
          <w:color w:val="auto"/>
          <w:sz w:val="24"/>
          <w:szCs w:val="24"/>
          <w:highlight w:val="none"/>
        </w:rPr>
        <w:t>1、若</w:t>
      </w:r>
      <w:r>
        <w:rPr>
          <w:rFonts w:hint="eastAsia"/>
          <w:color w:val="auto"/>
          <w:sz w:val="24"/>
          <w:szCs w:val="24"/>
          <w:highlight w:val="none"/>
          <w:lang w:eastAsia="zh-CN"/>
        </w:rPr>
        <w:t>投标人</w:t>
      </w:r>
      <w:r>
        <w:rPr>
          <w:color w:val="auto"/>
          <w:sz w:val="24"/>
          <w:szCs w:val="24"/>
          <w:highlight w:val="none"/>
        </w:rPr>
        <w:t>为事业单位或其他组织或分支机构（仅当</w:t>
      </w:r>
      <w:r>
        <w:rPr>
          <w:rFonts w:hint="eastAsia"/>
          <w:color w:val="auto"/>
          <w:sz w:val="24"/>
          <w:szCs w:val="24"/>
          <w:highlight w:val="none"/>
        </w:rPr>
        <w:t>招标</w:t>
      </w:r>
      <w:r>
        <w:rPr>
          <w:color w:val="auto"/>
          <w:sz w:val="24"/>
          <w:szCs w:val="24"/>
          <w:highlight w:val="none"/>
        </w:rPr>
        <w:t>文件注明允许分支机构</w:t>
      </w:r>
      <w:r>
        <w:rPr>
          <w:rFonts w:hint="eastAsia"/>
          <w:color w:val="auto"/>
          <w:sz w:val="24"/>
          <w:szCs w:val="24"/>
          <w:highlight w:val="none"/>
        </w:rPr>
        <w:t>投标</w:t>
      </w:r>
      <w:r>
        <w:rPr>
          <w:color w:val="auto"/>
          <w:sz w:val="24"/>
          <w:szCs w:val="24"/>
          <w:highlight w:val="none"/>
        </w:rPr>
        <w:t>的），则法定代表人（单位负责人）</w:t>
      </w:r>
      <w:r>
        <w:rPr>
          <w:rFonts w:hint="eastAsia"/>
          <w:color w:val="auto"/>
          <w:sz w:val="24"/>
          <w:szCs w:val="24"/>
          <w:highlight w:val="none"/>
        </w:rPr>
        <w:t>处</w:t>
      </w:r>
      <w:r>
        <w:rPr>
          <w:color w:val="auto"/>
          <w:sz w:val="24"/>
          <w:szCs w:val="24"/>
          <w:highlight w:val="none"/>
        </w:rPr>
        <w:t>的签署人可为单位负责人</w:t>
      </w:r>
      <w:r>
        <w:rPr>
          <w:rFonts w:hint="eastAsia"/>
          <w:color w:val="auto"/>
          <w:sz w:val="24"/>
          <w:szCs w:val="24"/>
          <w:highlight w:val="none"/>
        </w:rPr>
        <w:t>。</w:t>
      </w:r>
    </w:p>
    <w:p w14:paraId="336B3DEC">
      <w:pPr>
        <w:tabs>
          <w:tab w:val="left" w:pos="5580"/>
        </w:tabs>
        <w:spacing w:line="360" w:lineRule="auto"/>
        <w:ind w:firstLine="480"/>
        <w:jc w:val="left"/>
        <w:rPr>
          <w:color w:val="auto"/>
          <w:sz w:val="24"/>
          <w:szCs w:val="24"/>
          <w:highlight w:val="none"/>
        </w:rPr>
      </w:pPr>
      <w:r>
        <w:rPr>
          <w:rFonts w:hint="eastAsia"/>
          <w:color w:val="auto"/>
          <w:sz w:val="24"/>
          <w:szCs w:val="24"/>
          <w:highlight w:val="none"/>
        </w:rPr>
        <w:t>2、</w:t>
      </w:r>
      <w:r>
        <w:rPr>
          <w:color w:val="auto"/>
          <w:sz w:val="24"/>
          <w:szCs w:val="24"/>
          <w:highlight w:val="none"/>
        </w:rPr>
        <w:t>若</w:t>
      </w:r>
      <w:r>
        <w:rPr>
          <w:rFonts w:hint="eastAsia"/>
          <w:color w:val="auto"/>
          <w:sz w:val="24"/>
          <w:szCs w:val="24"/>
          <w:highlight w:val="none"/>
        </w:rPr>
        <w:t>投标</w:t>
      </w:r>
      <w:r>
        <w:rPr>
          <w:color w:val="auto"/>
          <w:sz w:val="24"/>
          <w:szCs w:val="24"/>
          <w:highlight w:val="none"/>
        </w:rPr>
        <w:t>文件中全部签字之处均为法定代表人（单位负责人）本人签署，则可不提供本《</w:t>
      </w:r>
      <w:r>
        <w:rPr>
          <w:rFonts w:hint="eastAsia"/>
          <w:color w:val="auto"/>
          <w:sz w:val="24"/>
          <w:szCs w:val="24"/>
          <w:highlight w:val="none"/>
        </w:rPr>
        <w:t>授权委托书</w:t>
      </w:r>
      <w:r>
        <w:rPr>
          <w:color w:val="auto"/>
          <w:sz w:val="24"/>
          <w:szCs w:val="24"/>
          <w:highlight w:val="none"/>
        </w:rPr>
        <w:t>》，但须提供</w:t>
      </w:r>
      <w:r>
        <w:rPr>
          <w:rFonts w:hint="eastAsia"/>
          <w:color w:val="auto"/>
          <w:sz w:val="24"/>
          <w:szCs w:val="24"/>
          <w:highlight w:val="none"/>
        </w:rPr>
        <w:t>《</w:t>
      </w:r>
      <w:r>
        <w:rPr>
          <w:color w:val="auto"/>
          <w:sz w:val="24"/>
          <w:szCs w:val="24"/>
          <w:highlight w:val="none"/>
        </w:rPr>
        <w:t>法定代表人（单位负责人）身份证</w:t>
      </w:r>
      <w:r>
        <w:rPr>
          <w:rFonts w:hint="eastAsia"/>
          <w:color w:val="auto"/>
          <w:sz w:val="24"/>
          <w:szCs w:val="24"/>
          <w:highlight w:val="none"/>
        </w:rPr>
        <w:t>明》</w:t>
      </w:r>
      <w:r>
        <w:rPr>
          <w:color w:val="auto"/>
          <w:sz w:val="24"/>
          <w:szCs w:val="24"/>
          <w:highlight w:val="none"/>
        </w:rPr>
        <w:t>。</w:t>
      </w:r>
    </w:p>
    <w:p w14:paraId="5F4590D0">
      <w:pPr>
        <w:tabs>
          <w:tab w:val="left" w:pos="5580"/>
        </w:tabs>
        <w:spacing w:line="360" w:lineRule="auto"/>
        <w:ind w:firstLine="480"/>
        <w:jc w:val="left"/>
        <w:rPr>
          <w:rFonts w:hint="eastAsia"/>
          <w:color w:val="auto"/>
          <w:sz w:val="24"/>
          <w:szCs w:val="24"/>
          <w:highlight w:val="none"/>
        </w:rPr>
      </w:pPr>
      <w:r>
        <w:rPr>
          <w:color w:val="auto"/>
          <w:sz w:val="24"/>
          <w:szCs w:val="24"/>
          <w:highlight w:val="none"/>
        </w:rPr>
        <w:t>3、</w:t>
      </w:r>
      <w:r>
        <w:rPr>
          <w:rFonts w:hint="eastAsia"/>
          <w:color w:val="auto"/>
          <w:sz w:val="24"/>
          <w:szCs w:val="24"/>
          <w:highlight w:val="none"/>
          <w:lang w:eastAsia="zh-CN"/>
        </w:rPr>
        <w:t>投标人</w:t>
      </w:r>
      <w:r>
        <w:rPr>
          <w:rFonts w:hint="eastAsia"/>
          <w:color w:val="auto"/>
          <w:sz w:val="24"/>
          <w:szCs w:val="24"/>
          <w:highlight w:val="none"/>
        </w:rPr>
        <w:t>为自然人的情形，可不提供本</w:t>
      </w:r>
      <w:r>
        <w:rPr>
          <w:color w:val="auto"/>
          <w:sz w:val="24"/>
          <w:szCs w:val="24"/>
          <w:highlight w:val="none"/>
        </w:rPr>
        <w:t>《</w:t>
      </w:r>
      <w:r>
        <w:rPr>
          <w:rFonts w:hint="eastAsia"/>
          <w:color w:val="auto"/>
          <w:sz w:val="24"/>
          <w:szCs w:val="24"/>
          <w:highlight w:val="none"/>
        </w:rPr>
        <w:t>授权委托书</w:t>
      </w:r>
      <w:r>
        <w:rPr>
          <w:color w:val="auto"/>
          <w:sz w:val="24"/>
          <w:szCs w:val="24"/>
          <w:highlight w:val="none"/>
        </w:rPr>
        <w:t>》</w:t>
      </w:r>
      <w:r>
        <w:rPr>
          <w:rFonts w:hint="eastAsia"/>
          <w:color w:val="auto"/>
          <w:sz w:val="24"/>
          <w:szCs w:val="24"/>
          <w:highlight w:val="none"/>
        </w:rPr>
        <w:t>。</w:t>
      </w:r>
    </w:p>
    <w:p w14:paraId="4C7DC98F">
      <w:pPr>
        <w:tabs>
          <w:tab w:val="left" w:pos="5580"/>
        </w:tabs>
        <w:spacing w:line="360" w:lineRule="auto"/>
        <w:ind w:firstLine="482"/>
        <w:jc w:val="left"/>
        <w:rPr>
          <w:color w:val="auto"/>
          <w:sz w:val="24"/>
          <w:szCs w:val="24"/>
          <w:highlight w:val="none"/>
        </w:rPr>
      </w:pPr>
      <w:r>
        <w:rPr>
          <w:rFonts w:hint="eastAsia"/>
          <w:b/>
          <w:color w:val="auto"/>
          <w:sz w:val="24"/>
          <w:szCs w:val="24"/>
          <w:highlight w:val="none"/>
        </w:rPr>
        <w:t>4、请</w:t>
      </w:r>
      <w:r>
        <w:rPr>
          <w:rFonts w:hint="eastAsia"/>
          <w:b/>
          <w:color w:val="auto"/>
          <w:sz w:val="24"/>
          <w:szCs w:val="24"/>
          <w:highlight w:val="none"/>
          <w:lang w:eastAsia="zh-CN"/>
        </w:rPr>
        <w:t>投标人</w:t>
      </w:r>
      <w:r>
        <w:rPr>
          <w:rFonts w:hint="eastAsia"/>
          <w:b/>
          <w:color w:val="auto"/>
          <w:sz w:val="24"/>
          <w:szCs w:val="24"/>
          <w:highlight w:val="none"/>
        </w:rPr>
        <w:t>如实填写联系方式并在评审过程中保持联系方式畅通，评审过程中如联系不上，由</w:t>
      </w:r>
      <w:r>
        <w:rPr>
          <w:rFonts w:hint="eastAsia"/>
          <w:b/>
          <w:color w:val="auto"/>
          <w:sz w:val="24"/>
          <w:szCs w:val="24"/>
          <w:highlight w:val="none"/>
          <w:lang w:eastAsia="zh-CN"/>
        </w:rPr>
        <w:t>投标人</w:t>
      </w:r>
      <w:r>
        <w:rPr>
          <w:rFonts w:hint="eastAsia"/>
          <w:b/>
          <w:color w:val="auto"/>
          <w:sz w:val="24"/>
          <w:szCs w:val="24"/>
          <w:highlight w:val="none"/>
        </w:rPr>
        <w:t>承担一切不利后果。</w:t>
      </w:r>
    </w:p>
    <w:p w14:paraId="0D649F39">
      <w:pPr>
        <w:rPr>
          <w:color w:val="auto"/>
          <w:highlight w:val="none"/>
        </w:rPr>
      </w:pPr>
    </w:p>
    <w:p w14:paraId="093E699E">
      <w:pPr>
        <w:rPr>
          <w:color w:val="auto"/>
          <w:highlight w:val="none"/>
        </w:rPr>
      </w:pPr>
    </w:p>
    <w:p w14:paraId="72A93733">
      <w:pPr>
        <w:spacing w:line="360" w:lineRule="exact"/>
        <w:jc w:val="center"/>
        <w:rPr>
          <w:rFonts w:ascii="Times New Roman" w:hAnsi="Times New Roman"/>
          <w:b/>
          <w:color w:val="auto"/>
          <w:sz w:val="36"/>
          <w:szCs w:val="36"/>
          <w:highlight w:val="none"/>
        </w:rPr>
      </w:pPr>
      <w:r>
        <w:rPr>
          <w:rFonts w:ascii="Times New Roman" w:hAnsi="Times New Roman"/>
          <w:b/>
          <w:color w:val="auto"/>
          <w:sz w:val="36"/>
          <w:szCs w:val="36"/>
          <w:highlight w:val="none"/>
        </w:rPr>
        <w:t>法定代表人（单位负责人）身份证明</w:t>
      </w:r>
    </w:p>
    <w:p w14:paraId="48395E7E">
      <w:pPr>
        <w:spacing w:line="200" w:lineRule="exact"/>
        <w:rPr>
          <w:rFonts w:ascii="Times New Roman" w:hAnsi="Times New Roman"/>
          <w:color w:val="auto"/>
          <w:sz w:val="20"/>
          <w:szCs w:val="20"/>
          <w:highlight w:val="none"/>
        </w:rPr>
      </w:pPr>
    </w:p>
    <w:p w14:paraId="6BDDDBC5">
      <w:pPr>
        <w:tabs>
          <w:tab w:val="left" w:pos="5580"/>
        </w:tabs>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致：</w:t>
      </w:r>
      <w:r>
        <w:rPr>
          <w:rFonts w:hint="eastAsia" w:ascii="Times New Roman" w:hAnsi="Times New Roman"/>
          <w:color w:val="auto"/>
          <w:sz w:val="24"/>
          <w:szCs w:val="24"/>
          <w:highlight w:val="none"/>
          <w:u w:val="single"/>
        </w:rPr>
        <w:t xml:space="preserve"> 采购单位 </w:t>
      </w:r>
    </w:p>
    <w:p w14:paraId="05362754">
      <w:pPr>
        <w:tabs>
          <w:tab w:val="left" w:pos="567"/>
          <w:tab w:val="left" w:pos="2412"/>
          <w:tab w:val="left" w:pos="3883"/>
          <w:tab w:val="left" w:pos="5352"/>
          <w:tab w:val="left" w:pos="6821"/>
        </w:tabs>
        <w:spacing w:before="120" w:line="335" w:lineRule="exact"/>
        <w:ind w:firstLine="480"/>
        <w:rPr>
          <w:rFonts w:ascii="Times New Roman" w:hAnsi="Times New Roman"/>
          <w:color w:val="auto"/>
          <w:sz w:val="24"/>
          <w:szCs w:val="24"/>
          <w:highlight w:val="none"/>
        </w:rPr>
      </w:pPr>
      <w:r>
        <w:rPr>
          <w:rFonts w:hint="default" w:ascii="Times New Roman" w:hAnsi="Times New Roman"/>
          <w:color w:val="auto"/>
          <w:sz w:val="24"/>
          <w:szCs w:val="24"/>
          <w:highlight w:val="none"/>
        </w:rPr>
        <w:t>兹证明，</w:t>
      </w:r>
      <w:r>
        <w:rPr>
          <w:rFonts w:ascii="Times New Roman" w:hAnsi="Times New Roman"/>
          <w:color w:val="auto"/>
          <w:sz w:val="24"/>
          <w:szCs w:val="24"/>
          <w:highlight w:val="none"/>
        </w:rPr>
        <w:t>姓名</w:t>
      </w:r>
      <w:r>
        <w:rPr>
          <w:rFonts w:hint="default" w:ascii="Times New Roman" w:hAnsi="Times New Roman"/>
          <w:color w:val="auto"/>
          <w:sz w:val="24"/>
          <w:szCs w:val="24"/>
          <w:highlight w:val="none"/>
        </w:rPr>
        <w:t>：</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性别：</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年龄：</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职务：</w:t>
      </w:r>
      <w:r>
        <w:rPr>
          <w:rFonts w:hint="default" w:ascii="Times New Roman" w:hAnsi="Times New Roman"/>
          <w:color w:val="auto"/>
          <w:sz w:val="24"/>
          <w:szCs w:val="24"/>
          <w:highlight w:val="none"/>
          <w:u w:val="single"/>
        </w:rPr>
        <w:t xml:space="preserve">        </w:t>
      </w:r>
    </w:p>
    <w:p w14:paraId="450853E7">
      <w:pPr>
        <w:tabs>
          <w:tab w:val="left" w:pos="567"/>
          <w:tab w:val="left" w:pos="2412"/>
          <w:tab w:val="left" w:pos="3883"/>
          <w:tab w:val="left" w:pos="5352"/>
          <w:tab w:val="left" w:pos="6821"/>
        </w:tabs>
        <w:spacing w:before="120" w:line="335" w:lineRule="exact"/>
        <w:rPr>
          <w:rFonts w:ascii="Times New Roman" w:hAnsi="Times New Roman"/>
          <w:color w:val="auto"/>
          <w:sz w:val="24"/>
          <w:szCs w:val="24"/>
          <w:highlight w:val="none"/>
        </w:rPr>
      </w:pPr>
    </w:p>
    <w:p w14:paraId="105019FE">
      <w:pPr>
        <w:tabs>
          <w:tab w:val="left" w:pos="2250"/>
          <w:tab w:val="left" w:pos="2412"/>
          <w:tab w:val="left" w:pos="3883"/>
          <w:tab w:val="left" w:pos="5352"/>
          <w:tab w:val="left" w:pos="6821"/>
        </w:tabs>
        <w:spacing w:before="120" w:line="335" w:lineRule="exact"/>
        <w:rPr>
          <w:rFonts w:ascii="Times New Roman" w:hAnsi="Times New Roman"/>
          <w:color w:val="auto"/>
          <w:sz w:val="24"/>
          <w:szCs w:val="24"/>
          <w:highlight w:val="none"/>
        </w:rPr>
      </w:pPr>
      <w:r>
        <w:rPr>
          <w:rFonts w:ascii="Times New Roman" w:hAnsi="Times New Roman"/>
          <w:color w:val="auto"/>
          <w:sz w:val="24"/>
          <w:szCs w:val="24"/>
          <w:highlight w:val="none"/>
        </w:rPr>
        <w:t>系</w:t>
      </w:r>
      <w:r>
        <w:rPr>
          <w:rFonts w:hint="default" w:ascii="Times New Roman" w:hAnsi="Times New Roman"/>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lang w:eastAsia="zh-CN"/>
        </w:rPr>
        <w:t>投标人</w:t>
      </w:r>
      <w:r>
        <w:rPr>
          <w:color w:val="auto"/>
          <w:sz w:val="24"/>
          <w:szCs w:val="24"/>
          <w:highlight w:val="none"/>
          <w:u w:val="single"/>
        </w:rPr>
        <w:t>名称）</w:t>
      </w:r>
      <w:r>
        <w:rPr>
          <w:rFonts w:hint="eastAsia"/>
          <w:color w:val="auto"/>
          <w:sz w:val="24"/>
          <w:szCs w:val="24"/>
          <w:highlight w:val="none"/>
          <w:u w:val="single"/>
        </w:rPr>
        <w:t xml:space="preserve"> </w:t>
      </w:r>
      <w:r>
        <w:rPr>
          <w:rFonts w:ascii="Times New Roman" w:hAnsi="Times New Roman"/>
          <w:color w:val="auto"/>
          <w:sz w:val="24"/>
          <w:szCs w:val="24"/>
          <w:highlight w:val="none"/>
        </w:rPr>
        <w:t>的法定代表人（单位负责人）。</w:t>
      </w:r>
    </w:p>
    <w:p w14:paraId="218FE8BA">
      <w:pPr>
        <w:tabs>
          <w:tab w:val="left" w:pos="567"/>
          <w:tab w:val="left" w:pos="2412"/>
          <w:tab w:val="left" w:pos="3883"/>
          <w:tab w:val="left" w:pos="5352"/>
          <w:tab w:val="left" w:pos="6821"/>
        </w:tabs>
        <w:spacing w:before="120" w:line="335" w:lineRule="exact"/>
        <w:rPr>
          <w:rFonts w:ascii="Times New Roman" w:hAnsi="Times New Roman"/>
          <w:color w:val="auto"/>
          <w:sz w:val="24"/>
          <w:szCs w:val="24"/>
          <w:highlight w:val="none"/>
        </w:rPr>
      </w:pPr>
    </w:p>
    <w:p w14:paraId="13C83EC6">
      <w:pPr>
        <w:tabs>
          <w:tab w:val="left" w:pos="567"/>
          <w:tab w:val="left" w:pos="2412"/>
          <w:tab w:val="left" w:pos="3883"/>
          <w:tab w:val="left" w:pos="5352"/>
          <w:tab w:val="left" w:pos="6821"/>
        </w:tabs>
        <w:spacing w:before="120" w:line="335" w:lineRule="exact"/>
        <w:rPr>
          <w:rFonts w:ascii="Times New Roman" w:hAnsi="Times New Roman"/>
          <w:color w:val="auto"/>
          <w:sz w:val="24"/>
          <w:szCs w:val="24"/>
          <w:highlight w:val="none"/>
        </w:rPr>
      </w:pPr>
    </w:p>
    <w:p w14:paraId="68E651C0">
      <w:pPr>
        <w:tabs>
          <w:tab w:val="left" w:pos="567"/>
        </w:tabs>
        <w:spacing w:before="120" w:line="583" w:lineRule="auto"/>
        <w:ind w:right="-46"/>
        <w:rPr>
          <w:rFonts w:ascii="Times New Roman" w:hAnsi="Times New Roman"/>
          <w:color w:val="auto"/>
          <w:spacing w:val="-3"/>
          <w:sz w:val="24"/>
          <w:szCs w:val="24"/>
          <w:highlight w:val="none"/>
        </w:rPr>
      </w:pPr>
      <w:r>
        <w:rPr>
          <w:rFonts w:ascii="Times New Roman" w:hAnsi="Times New Roman"/>
          <w:color w:val="auto"/>
          <w:spacing w:val="-3"/>
          <w:sz w:val="24"/>
          <w:szCs w:val="24"/>
          <w:highlight w:val="none"/>
        </w:rPr>
        <w:t>法</w:t>
      </w:r>
      <w:r>
        <w:rPr>
          <w:rFonts w:ascii="Times New Roman" w:hAnsi="Times New Roman"/>
          <w:color w:val="auto"/>
          <w:sz w:val="24"/>
          <w:szCs w:val="24"/>
          <w:highlight w:val="none"/>
        </w:rPr>
        <w:t>定</w:t>
      </w:r>
      <w:r>
        <w:rPr>
          <w:rFonts w:ascii="Times New Roman" w:hAnsi="Times New Roman"/>
          <w:color w:val="auto"/>
          <w:spacing w:val="-3"/>
          <w:sz w:val="24"/>
          <w:szCs w:val="24"/>
          <w:highlight w:val="none"/>
        </w:rPr>
        <w:t>代</w:t>
      </w:r>
      <w:r>
        <w:rPr>
          <w:rFonts w:ascii="Times New Roman" w:hAnsi="Times New Roman"/>
          <w:color w:val="auto"/>
          <w:sz w:val="24"/>
          <w:szCs w:val="24"/>
          <w:highlight w:val="none"/>
        </w:rPr>
        <w:t>表</w:t>
      </w:r>
      <w:r>
        <w:rPr>
          <w:rFonts w:ascii="Times New Roman" w:hAnsi="Times New Roman"/>
          <w:color w:val="auto"/>
          <w:spacing w:val="-3"/>
          <w:sz w:val="24"/>
          <w:szCs w:val="24"/>
          <w:highlight w:val="none"/>
        </w:rPr>
        <w:t>人</w:t>
      </w:r>
      <w:r>
        <w:rPr>
          <w:rFonts w:ascii="Times New Roman" w:hAnsi="Times New Roman"/>
          <w:color w:val="auto"/>
          <w:sz w:val="24"/>
          <w:szCs w:val="24"/>
          <w:highlight w:val="none"/>
        </w:rPr>
        <w:t>（</w:t>
      </w:r>
      <w:r>
        <w:rPr>
          <w:rFonts w:ascii="Times New Roman" w:hAnsi="Times New Roman"/>
          <w:color w:val="auto"/>
          <w:spacing w:val="-3"/>
          <w:sz w:val="24"/>
          <w:szCs w:val="24"/>
          <w:highlight w:val="none"/>
        </w:rPr>
        <w:t>单</w:t>
      </w:r>
      <w:r>
        <w:rPr>
          <w:rFonts w:ascii="Times New Roman" w:hAnsi="Times New Roman"/>
          <w:color w:val="auto"/>
          <w:sz w:val="24"/>
          <w:szCs w:val="24"/>
          <w:highlight w:val="none"/>
        </w:rPr>
        <w:t>位</w:t>
      </w:r>
      <w:r>
        <w:rPr>
          <w:rFonts w:ascii="Times New Roman" w:hAnsi="Times New Roman"/>
          <w:color w:val="auto"/>
          <w:spacing w:val="-3"/>
          <w:sz w:val="24"/>
          <w:szCs w:val="24"/>
          <w:highlight w:val="none"/>
        </w:rPr>
        <w:t>负</w:t>
      </w:r>
      <w:r>
        <w:rPr>
          <w:rFonts w:ascii="Times New Roman" w:hAnsi="Times New Roman"/>
          <w:color w:val="auto"/>
          <w:sz w:val="24"/>
          <w:szCs w:val="24"/>
          <w:highlight w:val="none"/>
        </w:rPr>
        <w:t>责人</w:t>
      </w:r>
      <w:r>
        <w:rPr>
          <w:rFonts w:ascii="Times New Roman" w:hAnsi="Times New Roman"/>
          <w:color w:val="auto"/>
          <w:spacing w:val="-3"/>
          <w:sz w:val="24"/>
          <w:szCs w:val="24"/>
          <w:highlight w:val="none"/>
        </w:rPr>
        <w:t>）有效期内的身</w:t>
      </w:r>
      <w:r>
        <w:rPr>
          <w:rFonts w:hint="default" w:ascii="Times New Roman" w:hAnsi="Times New Roman"/>
          <w:color w:val="auto"/>
          <w:spacing w:val="-3"/>
          <w:sz w:val="24"/>
          <w:szCs w:val="24"/>
          <w:highlight w:val="none"/>
        </w:rPr>
        <w:t>份</w:t>
      </w:r>
      <w:r>
        <w:rPr>
          <w:rFonts w:ascii="Times New Roman" w:hAnsi="Times New Roman"/>
          <w:color w:val="auto"/>
          <w:spacing w:val="-3"/>
          <w:sz w:val="24"/>
          <w:szCs w:val="24"/>
          <w:highlight w:val="none"/>
        </w:rPr>
        <w:t>证正反面</w:t>
      </w:r>
      <w:r>
        <w:rPr>
          <w:rFonts w:hint="default" w:ascii="Times New Roman" w:hAnsi="Times New Roman"/>
          <w:color w:val="auto"/>
          <w:spacing w:val="-3"/>
          <w:sz w:val="24"/>
          <w:szCs w:val="24"/>
          <w:highlight w:val="none"/>
        </w:rPr>
        <w:t>电子</w:t>
      </w:r>
      <w:r>
        <w:rPr>
          <w:rFonts w:ascii="Times New Roman" w:hAnsi="Times New Roman"/>
          <w:color w:val="auto"/>
          <w:spacing w:val="-3"/>
          <w:sz w:val="24"/>
          <w:szCs w:val="24"/>
          <w:highlight w:val="none"/>
        </w:rPr>
        <w:t>件</w:t>
      </w:r>
      <w:r>
        <w:rPr>
          <w:rFonts w:hint="default" w:ascii="Times New Roman" w:hAnsi="Times New Roman"/>
          <w:color w:val="auto"/>
          <w:spacing w:val="-3"/>
          <w:sz w:val="24"/>
          <w:szCs w:val="24"/>
          <w:highlight w:val="none"/>
        </w:rPr>
        <w:t>：</w:t>
      </w:r>
    </w:p>
    <w:tbl>
      <w:tblPr>
        <w:tblStyle w:val="36"/>
        <w:tblW w:w="76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3782"/>
      </w:tblGrid>
      <w:tr w14:paraId="2F5D0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3" w:hRule="atLeast"/>
        </w:trPr>
        <w:tc>
          <w:tcPr>
            <w:tcW w:w="3897" w:type="dxa"/>
            <w:noWrap w:val="0"/>
            <w:vAlign w:val="top"/>
          </w:tcPr>
          <w:p w14:paraId="285BC3E8">
            <w:pPr>
              <w:tabs>
                <w:tab w:val="left" w:pos="5580"/>
              </w:tabs>
              <w:spacing w:line="360" w:lineRule="auto"/>
              <w:jc w:val="left"/>
              <w:rPr>
                <w:rFonts w:ascii="Times New Roman" w:hAnsi="Times New Roman"/>
                <w:color w:val="auto"/>
                <w:sz w:val="24"/>
                <w:szCs w:val="20"/>
                <w:highlight w:val="none"/>
              </w:rPr>
            </w:pPr>
          </w:p>
          <w:p w14:paraId="229E0BE6">
            <w:pPr>
              <w:tabs>
                <w:tab w:val="left" w:pos="5580"/>
              </w:tabs>
              <w:spacing w:line="360" w:lineRule="auto"/>
              <w:jc w:val="left"/>
              <w:rPr>
                <w:rFonts w:ascii="Times New Roman" w:hAnsi="Times New Roman"/>
                <w:color w:val="auto"/>
                <w:sz w:val="24"/>
                <w:szCs w:val="20"/>
                <w:highlight w:val="none"/>
              </w:rPr>
            </w:pPr>
          </w:p>
          <w:p w14:paraId="664D6208">
            <w:pPr>
              <w:tabs>
                <w:tab w:val="left" w:pos="5580"/>
              </w:tabs>
              <w:spacing w:line="360" w:lineRule="auto"/>
              <w:jc w:val="left"/>
              <w:rPr>
                <w:rFonts w:ascii="Times New Roman" w:hAnsi="Times New Roman"/>
                <w:color w:val="auto"/>
                <w:sz w:val="24"/>
                <w:szCs w:val="20"/>
                <w:highlight w:val="none"/>
              </w:rPr>
            </w:pPr>
          </w:p>
        </w:tc>
        <w:tc>
          <w:tcPr>
            <w:tcW w:w="3782" w:type="dxa"/>
            <w:noWrap w:val="0"/>
            <w:vAlign w:val="top"/>
          </w:tcPr>
          <w:p w14:paraId="12A34458">
            <w:pPr>
              <w:tabs>
                <w:tab w:val="left" w:pos="5580"/>
              </w:tabs>
              <w:spacing w:line="360" w:lineRule="auto"/>
              <w:jc w:val="left"/>
              <w:rPr>
                <w:rFonts w:ascii="Times New Roman" w:hAnsi="Times New Roman"/>
                <w:color w:val="auto"/>
                <w:sz w:val="24"/>
                <w:szCs w:val="20"/>
                <w:highlight w:val="none"/>
              </w:rPr>
            </w:pPr>
          </w:p>
          <w:p w14:paraId="32AAF6DC">
            <w:pPr>
              <w:tabs>
                <w:tab w:val="left" w:pos="5580"/>
              </w:tabs>
              <w:spacing w:line="360" w:lineRule="auto"/>
              <w:jc w:val="left"/>
              <w:rPr>
                <w:rFonts w:ascii="Times New Roman" w:hAnsi="Times New Roman"/>
                <w:color w:val="auto"/>
                <w:sz w:val="24"/>
                <w:szCs w:val="20"/>
                <w:highlight w:val="none"/>
              </w:rPr>
            </w:pPr>
          </w:p>
          <w:p w14:paraId="6DA7A1F3">
            <w:pPr>
              <w:tabs>
                <w:tab w:val="left" w:pos="5580"/>
              </w:tabs>
              <w:spacing w:line="360" w:lineRule="auto"/>
              <w:jc w:val="left"/>
              <w:rPr>
                <w:rFonts w:ascii="Times New Roman" w:hAnsi="Times New Roman"/>
                <w:color w:val="auto"/>
                <w:sz w:val="24"/>
                <w:szCs w:val="20"/>
                <w:highlight w:val="none"/>
              </w:rPr>
            </w:pPr>
          </w:p>
        </w:tc>
      </w:tr>
    </w:tbl>
    <w:p w14:paraId="63330FA8">
      <w:pPr>
        <w:tabs>
          <w:tab w:val="left" w:pos="567"/>
        </w:tabs>
        <w:spacing w:before="120" w:line="583" w:lineRule="auto"/>
        <w:ind w:right="4305"/>
        <w:rPr>
          <w:rFonts w:ascii="Times New Roman" w:hAnsi="Times New Roman"/>
          <w:color w:val="auto"/>
          <w:spacing w:val="-3"/>
          <w:sz w:val="24"/>
          <w:szCs w:val="24"/>
          <w:highlight w:val="none"/>
        </w:rPr>
      </w:pPr>
    </w:p>
    <w:p w14:paraId="2E342A67">
      <w:pPr>
        <w:spacing w:line="360" w:lineRule="auto"/>
        <w:rPr>
          <w:color w:val="auto"/>
          <w:sz w:val="24"/>
          <w:szCs w:val="24"/>
          <w:highlight w:val="none"/>
        </w:rPr>
      </w:pPr>
      <w:r>
        <w:rPr>
          <w:rFonts w:hint="default" w:ascii="Times New Roman" w:hAnsi="Times New Roman"/>
          <w:color w:val="auto"/>
          <w:sz w:val="24"/>
          <w:szCs w:val="24"/>
          <w:highlight w:val="none"/>
          <w:lang w:eastAsia="zh-CN"/>
        </w:rPr>
        <w:t>投标人</w:t>
      </w:r>
      <w:r>
        <w:rPr>
          <w:rFonts w:ascii="Times New Roman" w:hAnsi="Times New Roman"/>
          <w:color w:val="auto"/>
          <w:sz w:val="24"/>
          <w:szCs w:val="24"/>
          <w:highlight w:val="none"/>
        </w:rPr>
        <w:t>名称（加盖公章）</w:t>
      </w:r>
      <w:r>
        <w:rPr>
          <w:rFonts w:ascii="Times New Roman" w:hAnsi="Times New Roman"/>
          <w:color w:val="auto"/>
          <w:sz w:val="24"/>
          <w:szCs w:val="24"/>
          <w:highlight w:val="none"/>
          <w:lang w:val="zh-CN"/>
        </w:rPr>
        <w:t>：</w:t>
      </w:r>
      <w:r>
        <w:rPr>
          <w:rFonts w:hint="eastAsia"/>
          <w:color w:val="auto"/>
          <w:sz w:val="24"/>
          <w:szCs w:val="24"/>
          <w:highlight w:val="none"/>
          <w:u w:val="single"/>
        </w:rPr>
        <w:t xml:space="preserve">             </w:t>
      </w:r>
    </w:p>
    <w:p w14:paraId="064178BF">
      <w:pPr>
        <w:spacing w:line="360" w:lineRule="auto"/>
        <w:rPr>
          <w:rFonts w:hint="eastAsia"/>
          <w:color w:val="auto"/>
          <w:sz w:val="24"/>
          <w:szCs w:val="24"/>
          <w:highlight w:val="none"/>
        </w:rPr>
      </w:pPr>
      <w:r>
        <w:rPr>
          <w:rFonts w:hint="default" w:ascii="Times New Roman" w:hAnsi="Times New Roman"/>
          <w:color w:val="auto"/>
          <w:spacing w:val="-3"/>
          <w:sz w:val="24"/>
          <w:szCs w:val="24"/>
          <w:highlight w:val="none"/>
        </w:rPr>
        <w:t>法定代表人（</w:t>
      </w:r>
      <w:r>
        <w:rPr>
          <w:rFonts w:ascii="Times New Roman" w:hAnsi="Times New Roman"/>
          <w:color w:val="auto"/>
          <w:sz w:val="24"/>
          <w:szCs w:val="24"/>
          <w:highlight w:val="none"/>
        </w:rPr>
        <w:t>单位负责人</w:t>
      </w:r>
      <w:r>
        <w:rPr>
          <w:rFonts w:hint="default" w:ascii="Times New Roman" w:hAnsi="Times New Roman"/>
          <w:color w:val="auto"/>
          <w:spacing w:val="-3"/>
          <w:sz w:val="24"/>
          <w:szCs w:val="24"/>
          <w:highlight w:val="none"/>
        </w:rPr>
        <w:t>）（签字、签章或印鉴）：</w:t>
      </w:r>
      <w:r>
        <w:rPr>
          <w:rFonts w:hint="eastAsia"/>
          <w:color w:val="auto"/>
          <w:sz w:val="24"/>
          <w:szCs w:val="24"/>
          <w:highlight w:val="none"/>
          <w:u w:val="single"/>
        </w:rPr>
        <w:t xml:space="preserve">             </w:t>
      </w:r>
      <w:r>
        <w:rPr>
          <w:rFonts w:hint="eastAsia"/>
          <w:color w:val="auto"/>
          <w:sz w:val="24"/>
          <w:szCs w:val="24"/>
          <w:highlight w:val="none"/>
        </w:rPr>
        <w:t>；</w:t>
      </w:r>
    </w:p>
    <w:p w14:paraId="04DC885F">
      <w:pPr>
        <w:spacing w:line="360" w:lineRule="auto"/>
        <w:rPr>
          <w:color w:val="auto"/>
          <w:sz w:val="24"/>
          <w:szCs w:val="24"/>
          <w:highlight w:val="none"/>
        </w:rPr>
      </w:pPr>
      <w:r>
        <w:rPr>
          <w:rFonts w:hint="default" w:ascii="Times New Roman" w:hAnsi="Times New Roman"/>
          <w:color w:val="auto"/>
          <w:spacing w:val="-3"/>
          <w:sz w:val="24"/>
          <w:szCs w:val="24"/>
          <w:highlight w:val="none"/>
        </w:rPr>
        <w:t>法定代表人（</w:t>
      </w:r>
      <w:r>
        <w:rPr>
          <w:rFonts w:ascii="Times New Roman" w:hAnsi="Times New Roman"/>
          <w:color w:val="auto"/>
          <w:sz w:val="24"/>
          <w:szCs w:val="24"/>
          <w:highlight w:val="none"/>
        </w:rPr>
        <w:t>单位负责人</w:t>
      </w:r>
      <w:r>
        <w:rPr>
          <w:rFonts w:hint="default" w:ascii="Times New Roman" w:hAnsi="Times New Roman"/>
          <w:color w:val="auto"/>
          <w:spacing w:val="-3"/>
          <w:sz w:val="24"/>
          <w:szCs w:val="24"/>
          <w:highlight w:val="none"/>
        </w:rPr>
        <w:t>）</w:t>
      </w:r>
      <w:r>
        <w:rPr>
          <w:rFonts w:hint="eastAsia"/>
          <w:color w:val="auto"/>
          <w:sz w:val="24"/>
          <w:szCs w:val="24"/>
          <w:highlight w:val="none"/>
        </w:rPr>
        <w:t>联系方式</w:t>
      </w:r>
      <w:r>
        <w:rPr>
          <w:rFonts w:hint="eastAsia"/>
          <w:color w:val="auto"/>
          <w:sz w:val="24"/>
          <w:szCs w:val="24"/>
          <w:highlight w:val="none"/>
          <w:u w:val="single"/>
        </w:rPr>
        <w:t xml:space="preserve">            </w:t>
      </w:r>
    </w:p>
    <w:p w14:paraId="4D33138D">
      <w:pPr>
        <w:spacing w:line="360" w:lineRule="auto"/>
        <w:rPr>
          <w:color w:val="auto"/>
          <w:sz w:val="24"/>
          <w:szCs w:val="24"/>
          <w:highlight w:val="none"/>
        </w:rPr>
      </w:pPr>
    </w:p>
    <w:p w14:paraId="3D21F243">
      <w:pPr>
        <w:spacing w:line="360" w:lineRule="auto"/>
        <w:rPr>
          <w:color w:val="auto"/>
          <w:sz w:val="24"/>
          <w:szCs w:val="24"/>
          <w:highlight w:val="none"/>
        </w:rPr>
      </w:pPr>
      <w:r>
        <w:rPr>
          <w:rFonts w:hint="eastAsia"/>
          <w:color w:val="auto"/>
          <w:sz w:val="24"/>
          <w:szCs w:val="24"/>
          <w:highlight w:val="none"/>
        </w:rPr>
        <w:t>日期：    年     月     日</w:t>
      </w:r>
    </w:p>
    <w:p w14:paraId="6061E848">
      <w:pPr>
        <w:tabs>
          <w:tab w:val="left" w:pos="5580"/>
        </w:tabs>
        <w:spacing w:line="360" w:lineRule="auto"/>
        <w:jc w:val="left"/>
        <w:rPr>
          <w:b/>
          <w:color w:val="auto"/>
          <w:sz w:val="24"/>
          <w:szCs w:val="24"/>
          <w:highlight w:val="none"/>
        </w:rPr>
      </w:pPr>
      <w:r>
        <w:rPr>
          <w:rFonts w:hint="eastAsia"/>
          <w:b/>
          <w:color w:val="auto"/>
          <w:sz w:val="24"/>
          <w:szCs w:val="24"/>
          <w:highlight w:val="none"/>
        </w:rPr>
        <w:t>注：请</w:t>
      </w:r>
      <w:r>
        <w:rPr>
          <w:rFonts w:hint="eastAsia"/>
          <w:b/>
          <w:color w:val="auto"/>
          <w:sz w:val="24"/>
          <w:szCs w:val="24"/>
          <w:highlight w:val="none"/>
          <w:lang w:eastAsia="zh-CN"/>
        </w:rPr>
        <w:t>投标人</w:t>
      </w:r>
      <w:r>
        <w:rPr>
          <w:rFonts w:hint="eastAsia"/>
          <w:b/>
          <w:color w:val="auto"/>
          <w:sz w:val="24"/>
          <w:szCs w:val="24"/>
          <w:highlight w:val="none"/>
        </w:rPr>
        <w:t>如实填写联系方式并在评审过程中保持联系方式畅通，评审过程中如联系不上，由</w:t>
      </w:r>
      <w:r>
        <w:rPr>
          <w:rFonts w:hint="eastAsia"/>
          <w:b/>
          <w:color w:val="auto"/>
          <w:sz w:val="24"/>
          <w:szCs w:val="24"/>
          <w:highlight w:val="none"/>
          <w:lang w:eastAsia="zh-CN"/>
        </w:rPr>
        <w:t>投标人</w:t>
      </w:r>
      <w:r>
        <w:rPr>
          <w:rFonts w:hint="eastAsia"/>
          <w:b/>
          <w:color w:val="auto"/>
          <w:sz w:val="24"/>
          <w:szCs w:val="24"/>
          <w:highlight w:val="none"/>
        </w:rPr>
        <w:t>承担一切不利后果。</w:t>
      </w:r>
    </w:p>
    <w:p w14:paraId="4C3BE8DD">
      <w:pPr>
        <w:spacing w:line="360" w:lineRule="auto"/>
        <w:rPr>
          <w:color w:val="auto"/>
          <w:sz w:val="24"/>
          <w:szCs w:val="24"/>
          <w:highlight w:val="none"/>
        </w:rPr>
      </w:pPr>
    </w:p>
    <w:p w14:paraId="61896130">
      <w:pPr>
        <w:rPr>
          <w:color w:val="auto"/>
          <w:highlight w:val="none"/>
        </w:rPr>
      </w:pPr>
    </w:p>
    <w:p w14:paraId="0439E382">
      <w:pPr>
        <w:keepNext/>
        <w:keepLines/>
        <w:spacing w:before="260" w:after="260" w:line="416" w:lineRule="auto"/>
        <w:jc w:val="left"/>
        <w:outlineLvl w:val="1"/>
        <w:rPr>
          <w:rFonts w:ascii="Times New Roman" w:hAnsi="Times New Roman" w:eastAsia="黑体"/>
          <w:b/>
          <w:i/>
          <w:color w:val="auto"/>
          <w:sz w:val="32"/>
          <w:szCs w:val="32"/>
          <w:highlight w:val="none"/>
          <w:u w:val="single"/>
        </w:rPr>
      </w:pPr>
      <w:r>
        <w:rPr>
          <w:rFonts w:hint="default" w:ascii="Times New Roman" w:hAnsi="Times New Roman" w:cs="Times New Roman"/>
          <w:i/>
          <w:iCs/>
          <w:color w:val="auto"/>
          <w:sz w:val="36"/>
          <w:highlight w:val="none"/>
          <w:u w:val="single"/>
        </w:rPr>
        <w:t>十、投标函</w:t>
      </w:r>
    </w:p>
    <w:p w14:paraId="29BAACCF">
      <w:pPr>
        <w:tabs>
          <w:tab w:val="left" w:pos="360"/>
        </w:tabs>
        <w:spacing w:line="360" w:lineRule="auto"/>
        <w:jc w:val="center"/>
        <w:rPr>
          <w:rFonts w:ascii="Times New Roman" w:hAnsi="Times New Roman"/>
          <w:color w:val="auto"/>
          <w:sz w:val="24"/>
          <w:szCs w:val="24"/>
          <w:highlight w:val="none"/>
        </w:rPr>
      </w:pPr>
      <w:r>
        <w:rPr>
          <w:rFonts w:hint="default" w:ascii="Times New Roman" w:hAnsi="Times New Roman" w:eastAsia="黑体" w:cs="Times New Roman"/>
          <w:bCs/>
          <w:color w:val="auto"/>
          <w:sz w:val="36"/>
          <w:szCs w:val="28"/>
          <w:highlight w:val="none"/>
        </w:rPr>
        <w:t>投标函</w:t>
      </w:r>
    </w:p>
    <w:p w14:paraId="58BEB38D">
      <w:pPr>
        <w:spacing w:line="500" w:lineRule="exact"/>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致：连云港市公共资源交易中心</w:t>
      </w:r>
    </w:p>
    <w:p w14:paraId="57F4B8EC">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根据贵方的JSZC-_________________号招标文件，正式授权下述签字人_________________(姓名)代表我方______________（</w:t>
      </w:r>
      <w:r>
        <w:rPr>
          <w:rFonts w:hint="default" w:ascii="Times New Roman" w:hAnsi="Times New Roman"/>
          <w:color w:val="auto"/>
          <w:sz w:val="24"/>
          <w:szCs w:val="21"/>
          <w:highlight w:val="none"/>
          <w:lang w:eastAsia="zh-CN"/>
        </w:rPr>
        <w:t>投标人</w:t>
      </w:r>
      <w:r>
        <w:rPr>
          <w:rFonts w:hint="default" w:ascii="Times New Roman" w:hAnsi="Times New Roman"/>
          <w:color w:val="auto"/>
          <w:sz w:val="24"/>
          <w:szCs w:val="21"/>
          <w:highlight w:val="none"/>
        </w:rPr>
        <w:t>的名称），全权处理本次项目投标的有关事宜。</w:t>
      </w:r>
    </w:p>
    <w:p w14:paraId="33DE84D4">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据此函，__________签字人兹宣布同意如下：</w:t>
      </w:r>
    </w:p>
    <w:p w14:paraId="00906BAA">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1.按招标文件规定的各项要求，向买方提供所需服务（包含与服务相关的货物、工程）。</w:t>
      </w:r>
    </w:p>
    <w:p w14:paraId="49F60A92">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2.我们完全理解贵方不一定将合同授予最低报价的</w:t>
      </w:r>
      <w:r>
        <w:rPr>
          <w:rFonts w:hint="default" w:ascii="Times New Roman" w:hAnsi="Times New Roman"/>
          <w:color w:val="auto"/>
          <w:sz w:val="24"/>
          <w:szCs w:val="21"/>
          <w:highlight w:val="none"/>
          <w:lang w:eastAsia="zh-CN"/>
        </w:rPr>
        <w:t>投标人</w:t>
      </w:r>
      <w:r>
        <w:rPr>
          <w:rFonts w:hint="default" w:ascii="Times New Roman" w:hAnsi="Times New Roman"/>
          <w:color w:val="auto"/>
          <w:sz w:val="24"/>
          <w:szCs w:val="21"/>
          <w:highlight w:val="none"/>
        </w:rPr>
        <w:t>。</w:t>
      </w:r>
    </w:p>
    <w:p w14:paraId="1BDB7CD8">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3.我们已详细审核全部招标文件及其有效补充文件，我们知道必须放弃提出含糊不清或误解问题的权利。</w:t>
      </w:r>
    </w:p>
    <w:p w14:paraId="0B054139">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4.我们同意从规定的开标日期起遵循本投标文件，并在规定的投标有效期期满之前均具有约束力。</w:t>
      </w:r>
    </w:p>
    <w:p w14:paraId="7CC9782C">
      <w:pPr>
        <w:spacing w:line="50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5</w:t>
      </w:r>
      <w:r>
        <w:rPr>
          <w:rFonts w:hint="default" w:ascii="Times New Roman" w:hAnsi="Times New Roman"/>
          <w:color w:val="auto"/>
          <w:sz w:val="24"/>
          <w:szCs w:val="21"/>
          <w:highlight w:val="none"/>
        </w:rPr>
        <w:t>.同意向贵方提供贵方可能另外要求的与投标有关的任何证据或资料，并保证我方已提供和将要提供的文件是真实的、准确的。</w:t>
      </w:r>
    </w:p>
    <w:p w14:paraId="13766145">
      <w:pPr>
        <w:spacing w:line="50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6</w:t>
      </w:r>
      <w:r>
        <w:rPr>
          <w:rFonts w:hint="default" w:ascii="Times New Roman" w:hAnsi="Times New Roman"/>
          <w:color w:val="auto"/>
          <w:sz w:val="24"/>
          <w:szCs w:val="21"/>
          <w:highlight w:val="none"/>
        </w:rPr>
        <w:t>.一旦我方中标,我方将根据招标文件的规定，严格履行合同的责任和义务,并保证在招标文件规定的时间完成项目，交付买方验收、使用。</w:t>
      </w:r>
    </w:p>
    <w:p w14:paraId="2C104962">
      <w:pPr>
        <w:spacing w:line="50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7</w:t>
      </w:r>
      <w:r>
        <w:rPr>
          <w:rFonts w:hint="default" w:ascii="Times New Roman" w:hAnsi="Times New Roman"/>
          <w:color w:val="auto"/>
          <w:sz w:val="24"/>
          <w:szCs w:val="21"/>
          <w:highlight w:val="none"/>
        </w:rPr>
        <w:t>.与本投标有关的正式通讯地址为：</w:t>
      </w:r>
    </w:p>
    <w:p w14:paraId="22B57855">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地        址：</w:t>
      </w:r>
    </w:p>
    <w:p w14:paraId="36EF5952">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邮        编：</w:t>
      </w:r>
    </w:p>
    <w:p w14:paraId="6B39C807">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电        话：</w:t>
      </w:r>
    </w:p>
    <w:p w14:paraId="28EB4288">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传        真：</w:t>
      </w:r>
    </w:p>
    <w:p w14:paraId="4A7ADF0E">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lang w:eastAsia="zh-CN"/>
        </w:rPr>
        <w:t>投标人</w:t>
      </w:r>
      <w:r>
        <w:rPr>
          <w:rFonts w:hint="default" w:ascii="Times New Roman" w:hAnsi="Times New Roman"/>
          <w:color w:val="auto"/>
          <w:sz w:val="24"/>
          <w:szCs w:val="21"/>
          <w:highlight w:val="none"/>
        </w:rPr>
        <w:t>开户行：</w:t>
      </w:r>
    </w:p>
    <w:p w14:paraId="7FD4F6B4">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账        号： </w:t>
      </w:r>
    </w:p>
    <w:p w14:paraId="2AF043C9">
      <w:pPr>
        <w:rPr>
          <w:color w:val="auto"/>
          <w:highlight w:val="none"/>
        </w:rPr>
      </w:pPr>
    </w:p>
    <w:p w14:paraId="115195C6">
      <w:pPr>
        <w:rPr>
          <w:color w:val="auto"/>
          <w:highlight w:val="none"/>
        </w:rPr>
      </w:pPr>
    </w:p>
    <w:p w14:paraId="43C752F7">
      <w:pPr>
        <w:spacing w:line="360" w:lineRule="auto"/>
        <w:ind w:firstLine="480"/>
        <w:rPr>
          <w:rFonts w:ascii="Times New Roman" w:hAnsi="Times New Roman"/>
          <w:color w:val="auto"/>
          <w:sz w:val="24"/>
          <w:szCs w:val="24"/>
          <w:highlight w:val="none"/>
        </w:rPr>
      </w:pPr>
      <w:r>
        <w:rPr>
          <w:rFonts w:hint="eastAsia"/>
          <w:color w:val="auto"/>
          <w:sz w:val="24"/>
          <w:szCs w:val="24"/>
          <w:highlight w:val="none"/>
          <w:lang w:eastAsia="zh-CN"/>
        </w:rPr>
        <w:t>投标人</w:t>
      </w:r>
      <w:r>
        <w:rPr>
          <w:rFonts w:hint="eastAsia" w:ascii="Times New Roman" w:hAnsi="Times New Roman"/>
          <w:color w:val="auto"/>
          <w:sz w:val="24"/>
          <w:szCs w:val="24"/>
          <w:highlight w:val="none"/>
        </w:rPr>
        <w:t>（盖章）：</w:t>
      </w:r>
    </w:p>
    <w:p w14:paraId="481B68AB">
      <w:pPr>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3E57284E">
      <w:pPr>
        <w:spacing w:line="500" w:lineRule="exact"/>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583B3D71">
      <w:pPr>
        <w:rPr>
          <w:color w:val="auto"/>
          <w:highlight w:val="none"/>
        </w:rPr>
      </w:pPr>
    </w:p>
    <w:p w14:paraId="4FEDCC97">
      <w:pPr>
        <w:rPr>
          <w:color w:val="auto"/>
          <w:highlight w:val="none"/>
        </w:rPr>
      </w:pPr>
    </w:p>
    <w:p w14:paraId="26FEDA5D">
      <w:pPr>
        <w:keepNext/>
        <w:keepLines/>
        <w:spacing w:before="360" w:after="200" w:line="360" w:lineRule="auto"/>
        <w:jc w:val="left"/>
        <w:outlineLvl w:val="1"/>
        <w:rPr>
          <w:rFonts w:ascii="Times New Roman" w:hAnsi="Times New Roman" w:cs="Times New Roman"/>
          <w:color w:val="auto"/>
          <w:sz w:val="36"/>
          <w:highlight w:val="none"/>
        </w:rPr>
      </w:pPr>
      <w:r>
        <w:rPr>
          <w:rFonts w:hint="default" w:ascii="Times New Roman" w:hAnsi="Times New Roman" w:cs="Times New Roman"/>
          <w:color w:val="auto"/>
          <w:sz w:val="36"/>
          <w:highlight w:val="none"/>
        </w:rPr>
        <w:t>十一、中小企业声明函（服务）（</w:t>
      </w:r>
      <w:r>
        <w:rPr>
          <w:rFonts w:hint="default" w:ascii="Times New Roman" w:hAnsi="Times New Roman" w:cs="Times New Roman"/>
          <w:color w:val="auto"/>
          <w:sz w:val="36"/>
          <w:highlight w:val="none"/>
          <w:lang w:eastAsia="zh-CN"/>
        </w:rPr>
        <w:t>采购包</w:t>
      </w:r>
      <w:r>
        <w:rPr>
          <w:rFonts w:hint="default" w:ascii="Times New Roman" w:hAnsi="Times New Roman" w:cs="Times New Roman"/>
          <w:color w:val="auto"/>
          <w:sz w:val="36"/>
          <w:highlight w:val="none"/>
        </w:rPr>
        <w:t>号：**）</w:t>
      </w:r>
    </w:p>
    <w:p w14:paraId="25E1C4ED">
      <w:pPr>
        <w:tabs>
          <w:tab w:val="left" w:pos="360"/>
        </w:tabs>
        <w:spacing w:line="360" w:lineRule="auto"/>
        <w:jc w:val="center"/>
        <w:rPr>
          <w:rFonts w:ascii="Times New Roman" w:hAnsi="Times New Roman"/>
          <w:color w:val="auto"/>
          <w:sz w:val="24"/>
          <w:szCs w:val="24"/>
          <w:highlight w:val="none"/>
        </w:rPr>
      </w:pPr>
      <w:r>
        <w:rPr>
          <w:rFonts w:hint="default" w:ascii="Times New Roman" w:hAnsi="Times New Roman" w:eastAsia="黑体" w:cs="Times New Roman"/>
          <w:bCs/>
          <w:color w:val="auto"/>
          <w:sz w:val="36"/>
          <w:szCs w:val="28"/>
          <w:highlight w:val="none"/>
        </w:rPr>
        <w:t>中小企业声明函</w:t>
      </w:r>
    </w:p>
    <w:p w14:paraId="44BCE48D">
      <w:pPr>
        <w:spacing w:line="500" w:lineRule="exact"/>
        <w:ind w:firstLine="480"/>
        <w:rPr>
          <w:rFonts w:ascii="Times New Roman" w:hAnsi="Times New Roman"/>
          <w:color w:val="auto"/>
          <w:sz w:val="24"/>
          <w:highlight w:val="none"/>
        </w:rPr>
      </w:pPr>
      <w:r>
        <w:rPr>
          <w:rFonts w:hint="default" w:ascii="Times New Roman" w:hAnsi="Times New Roman"/>
          <w:color w:val="auto"/>
          <w:sz w:val="24"/>
          <w:szCs w:val="24"/>
          <w:highlight w:val="none"/>
        </w:rPr>
        <w:t>本公司郑重声明，根据《政府采购促进中小企业发展管理办法》(财库〔2020〕46号)的规定，本公司参加</w:t>
      </w:r>
      <w:r>
        <w:rPr>
          <w:rFonts w:hint="default" w:ascii="Times New Roman" w:hAnsi="Times New Roman"/>
          <w:color w:val="auto"/>
          <w:sz w:val="24"/>
          <w:szCs w:val="24"/>
          <w:highlight w:val="none"/>
          <w:u w:val="single"/>
        </w:rPr>
        <w:t>（单位名称）</w:t>
      </w:r>
      <w:r>
        <w:rPr>
          <w:rFonts w:hint="default" w:ascii="Times New Roman" w:hAnsi="Times New Roman"/>
          <w:color w:val="auto"/>
          <w:sz w:val="24"/>
          <w:szCs w:val="24"/>
          <w:highlight w:val="none"/>
        </w:rPr>
        <w:t>的</w:t>
      </w:r>
      <w:r>
        <w:rPr>
          <w:rFonts w:hint="default" w:ascii="Times New Roman" w:hAnsi="Times New Roman"/>
          <w:color w:val="auto"/>
          <w:sz w:val="24"/>
          <w:szCs w:val="24"/>
          <w:highlight w:val="none"/>
          <w:u w:val="single"/>
        </w:rPr>
        <w:t>（项目名称）</w:t>
      </w:r>
      <w:r>
        <w:rPr>
          <w:rFonts w:hint="default" w:ascii="Times New Roman" w:hAnsi="Times New Roman"/>
          <w:color w:val="auto"/>
          <w:sz w:val="24"/>
          <w:szCs w:val="24"/>
          <w:highlight w:val="none"/>
        </w:rPr>
        <w:t>（项目编号：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w:t>
      </w:r>
      <w:r>
        <w:rPr>
          <w:rFonts w:hint="default" w:ascii="Times New Roman" w:hAnsi="Times New Roman"/>
          <w:color w:val="auto"/>
          <w:sz w:val="24"/>
          <w:szCs w:val="24"/>
          <w:highlight w:val="none"/>
          <w:lang w:eastAsia="zh-CN"/>
        </w:rPr>
        <w:t>采购包</w:t>
      </w:r>
      <w:r>
        <w:rPr>
          <w:rFonts w:hint="default" w:ascii="Times New Roman" w:hAnsi="Times New Roman"/>
          <w:color w:val="auto"/>
          <w:sz w:val="24"/>
          <w:szCs w:val="24"/>
          <w:highlight w:val="none"/>
        </w:rPr>
        <w:t>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）采购活动，提供的</w:t>
      </w:r>
      <w:r>
        <w:rPr>
          <w:rFonts w:ascii="Times New Roman" w:hAnsi="Times New Roman"/>
          <w:color w:val="auto"/>
          <w:sz w:val="24"/>
          <w:highlight w:val="none"/>
        </w:rPr>
        <w:t>服务全部由符合政策要求的中小企业承接。</w:t>
      </w:r>
    </w:p>
    <w:p w14:paraId="6D0CCE92">
      <w:pPr>
        <w:spacing w:line="500" w:lineRule="exact"/>
        <w:ind w:firstLine="480"/>
        <w:rPr>
          <w:rFonts w:ascii="Times New Roman" w:hAnsi="Times New Roman"/>
          <w:i/>
          <w:color w:val="auto"/>
          <w:sz w:val="24"/>
          <w:szCs w:val="24"/>
          <w:highlight w:val="none"/>
          <w:u w:val="single"/>
        </w:rPr>
      </w:pPr>
      <w:r>
        <w:rPr>
          <w:rFonts w:hint="default" w:ascii="Times New Roman" w:hAnsi="Times New Roman"/>
          <w:color w:val="auto"/>
          <w:sz w:val="24"/>
          <w:szCs w:val="24"/>
          <w:highlight w:val="none"/>
          <w:u w:val="single"/>
        </w:rPr>
        <w:t>（标的名称）</w:t>
      </w:r>
      <w:r>
        <w:rPr>
          <w:rFonts w:hint="default" w:ascii="Times New Roman" w:hAnsi="Times New Roman"/>
          <w:color w:val="auto"/>
          <w:sz w:val="24"/>
          <w:szCs w:val="24"/>
          <w:highlight w:val="none"/>
        </w:rPr>
        <w:t>，属于</w:t>
      </w:r>
      <w:r>
        <w:rPr>
          <w:rFonts w:hint="default" w:ascii="Times New Roman" w:hAnsi="Times New Roman"/>
          <w:color w:val="auto"/>
          <w:sz w:val="24"/>
          <w:szCs w:val="24"/>
          <w:highlight w:val="none"/>
          <w:u w:val="single"/>
        </w:rPr>
        <w:t>（采购文件中明确的所属行业）</w:t>
      </w:r>
      <w:r>
        <w:rPr>
          <w:rFonts w:hint="default" w:ascii="Times New Roman" w:hAnsi="Times New Roman"/>
          <w:color w:val="auto"/>
          <w:sz w:val="24"/>
          <w:szCs w:val="24"/>
          <w:highlight w:val="none"/>
        </w:rPr>
        <w:t>行业；承接企业为</w:t>
      </w:r>
      <w:r>
        <w:rPr>
          <w:rFonts w:hint="default" w:ascii="Times New Roman" w:hAnsi="Times New Roman"/>
          <w:color w:val="auto"/>
          <w:sz w:val="24"/>
          <w:szCs w:val="24"/>
          <w:highlight w:val="none"/>
          <w:u w:val="single"/>
        </w:rPr>
        <w:t>（企业名称）</w:t>
      </w:r>
      <w:r>
        <w:rPr>
          <w:rFonts w:hint="default" w:ascii="Times New Roman" w:hAnsi="Times New Roman"/>
          <w:color w:val="auto"/>
          <w:sz w:val="24"/>
          <w:szCs w:val="24"/>
          <w:highlight w:val="none"/>
        </w:rPr>
        <w:t>，从业人员</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人，营业收入为</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万元，资产总额为</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万元，属于</w:t>
      </w:r>
      <w:r>
        <w:rPr>
          <w:rFonts w:hint="default" w:ascii="Times New Roman" w:hAnsi="Times New Roman"/>
          <w:color w:val="auto"/>
          <w:sz w:val="24"/>
          <w:szCs w:val="24"/>
          <w:highlight w:val="none"/>
          <w:u w:val="single"/>
        </w:rPr>
        <w:t>（中型企业、小型企业、微型企业）</w:t>
      </w:r>
      <w:r>
        <w:rPr>
          <w:rFonts w:hint="default" w:ascii="Times New Roman" w:hAnsi="Times New Roman"/>
          <w:color w:val="auto"/>
          <w:sz w:val="24"/>
          <w:szCs w:val="24"/>
          <w:highlight w:val="none"/>
        </w:rPr>
        <w:t>。</w:t>
      </w:r>
    </w:p>
    <w:p w14:paraId="4B07D726">
      <w:pPr>
        <w:spacing w:line="500" w:lineRule="exact"/>
        <w:ind w:firstLine="480"/>
        <w:rPr>
          <w:rFonts w:ascii="Times New Roman" w:hAnsi="Times New Roman"/>
          <w:color w:val="auto"/>
          <w:sz w:val="24"/>
          <w:szCs w:val="24"/>
          <w:highlight w:val="none"/>
        </w:rPr>
      </w:pPr>
      <w:r>
        <w:rPr>
          <w:rFonts w:hint="default" w:ascii="Times New Roman" w:hAnsi="Times New Roman"/>
          <w:color w:val="auto"/>
          <w:sz w:val="24"/>
          <w:szCs w:val="24"/>
          <w:highlight w:val="none"/>
        </w:rPr>
        <w:t>以上企业，不属于大企业的分支机构，不存在控股股东为大企业的情形，也不存在与大企业的负责人为同一人的情形。</w:t>
      </w:r>
    </w:p>
    <w:p w14:paraId="28E7B788">
      <w:pPr>
        <w:spacing w:line="500" w:lineRule="exact"/>
        <w:ind w:firstLine="480"/>
        <w:rPr>
          <w:rFonts w:ascii="Times New Roman" w:hAnsi="Times New Roman"/>
          <w:color w:val="auto"/>
          <w:sz w:val="24"/>
          <w:szCs w:val="24"/>
          <w:highlight w:val="none"/>
        </w:rPr>
      </w:pPr>
      <w:r>
        <w:rPr>
          <w:rFonts w:hint="default" w:ascii="Times New Roman" w:hAnsi="Times New Roman"/>
          <w:color w:val="auto"/>
          <w:sz w:val="24"/>
          <w:szCs w:val="24"/>
          <w:highlight w:val="none"/>
        </w:rPr>
        <w:t>本企业对上述声明内容的真实性负责。如有虚假，将依法承担相应责任。</w:t>
      </w:r>
    </w:p>
    <w:p w14:paraId="28FC32B7">
      <w:pPr>
        <w:spacing w:line="560" w:lineRule="exact"/>
        <w:ind w:right="1620"/>
        <w:rPr>
          <w:rFonts w:ascii="Times New Roman" w:hAnsi="Times New Roman"/>
          <w:color w:val="auto"/>
          <w:sz w:val="24"/>
          <w:szCs w:val="24"/>
          <w:highlight w:val="none"/>
        </w:rPr>
      </w:pPr>
    </w:p>
    <w:p w14:paraId="68DA074E">
      <w:pPr>
        <w:spacing w:line="560" w:lineRule="exact"/>
        <w:ind w:right="1620" w:firstLine="2880"/>
        <w:rPr>
          <w:rFonts w:ascii="Times New Roman" w:hAnsi="Times New Roman"/>
          <w:color w:val="auto"/>
          <w:sz w:val="24"/>
          <w:szCs w:val="24"/>
          <w:highlight w:val="none"/>
        </w:rPr>
      </w:pPr>
      <w:r>
        <w:rPr>
          <w:rFonts w:hint="default" w:ascii="Times New Roman" w:hAnsi="Times New Roman"/>
          <w:color w:val="auto"/>
          <w:sz w:val="24"/>
          <w:szCs w:val="24"/>
          <w:highlight w:val="none"/>
        </w:rPr>
        <w:t>企业名称（盖章）：</w:t>
      </w:r>
    </w:p>
    <w:p w14:paraId="3AF9BF10">
      <w:pPr>
        <w:spacing w:line="560" w:lineRule="exact"/>
        <w:ind w:right="1140" w:firstLine="2880"/>
        <w:rPr>
          <w:rFonts w:ascii="Times New Roman" w:hAnsi="Times New Roman"/>
          <w:color w:val="auto"/>
          <w:sz w:val="24"/>
          <w:szCs w:val="24"/>
          <w:highlight w:val="none"/>
        </w:rPr>
      </w:pPr>
      <w:r>
        <w:rPr>
          <w:rFonts w:hint="default" w:ascii="Times New Roman" w:hAnsi="Times New Roman"/>
          <w:color w:val="auto"/>
          <w:sz w:val="24"/>
          <w:szCs w:val="24"/>
          <w:highlight w:val="none"/>
        </w:rPr>
        <w:t>日   期：</w:t>
      </w:r>
    </w:p>
    <w:p w14:paraId="468983D0">
      <w:pPr>
        <w:spacing w:line="360" w:lineRule="auto"/>
        <w:ind w:right="480"/>
        <w:jc w:val="left"/>
        <w:rPr>
          <w:rFonts w:ascii="Times New Roman" w:hAnsi="Times New Roman"/>
          <w:color w:val="auto"/>
          <w:sz w:val="24"/>
          <w:szCs w:val="24"/>
          <w:highlight w:val="none"/>
        </w:rPr>
      </w:pPr>
    </w:p>
    <w:p w14:paraId="0798CBA8">
      <w:pPr>
        <w:spacing w:line="360" w:lineRule="auto"/>
        <w:ind w:right="480"/>
        <w:jc w:val="left"/>
        <w:rPr>
          <w:rFonts w:ascii="Times New Roman" w:hAnsi="Times New Roman"/>
          <w:color w:val="auto"/>
          <w:sz w:val="24"/>
          <w:szCs w:val="24"/>
          <w:highlight w:val="none"/>
        </w:rPr>
      </w:pPr>
    </w:p>
    <w:p w14:paraId="0BCD39C5">
      <w:pPr>
        <w:spacing w:line="360" w:lineRule="auto"/>
        <w:ind w:right="480"/>
        <w:jc w:val="left"/>
        <w:rPr>
          <w:rFonts w:ascii="Times New Roman" w:hAnsi="Times New Roman"/>
          <w:color w:val="auto"/>
          <w:sz w:val="24"/>
          <w:szCs w:val="24"/>
          <w:highlight w:val="none"/>
        </w:rPr>
      </w:pPr>
      <w:r>
        <w:rPr>
          <w:rFonts w:hint="default" w:ascii="Times New Roman" w:hAnsi="Times New Roman"/>
          <w:color w:val="auto"/>
          <w:sz w:val="24"/>
          <w:szCs w:val="24"/>
          <w:highlight w:val="none"/>
        </w:rPr>
        <w:t>填报说明：</w:t>
      </w:r>
    </w:p>
    <w:p w14:paraId="74F522B2">
      <w:pPr>
        <w:spacing w:line="360" w:lineRule="auto"/>
        <w:ind w:firstLine="480"/>
        <w:jc w:val="left"/>
        <w:rPr>
          <w:rFonts w:ascii="Times New Roman" w:hAnsi="Times New Roman"/>
          <w:color w:val="auto"/>
          <w:sz w:val="24"/>
          <w:szCs w:val="24"/>
          <w:highlight w:val="none"/>
        </w:rPr>
      </w:pPr>
      <w:r>
        <w:rPr>
          <w:rFonts w:hint="default" w:ascii="Times New Roman" w:hAnsi="Times New Roman"/>
          <w:color w:val="auto"/>
          <w:sz w:val="24"/>
          <w:szCs w:val="24"/>
          <w:highlight w:val="none"/>
        </w:rPr>
        <w:t>1、</w:t>
      </w:r>
      <w:r>
        <w:rPr>
          <w:rFonts w:ascii="Times New Roman" w:hAnsi="Times New Roman"/>
          <w:color w:val="auto"/>
          <w:sz w:val="24"/>
          <w:szCs w:val="24"/>
          <w:highlight w:val="none"/>
        </w:rPr>
        <w:t>从业人员、营业收入、资产总额填报上一年度数据，无上一年度数据的新成立企业可不填报。</w:t>
      </w:r>
    </w:p>
    <w:p w14:paraId="56DECE79">
      <w:pPr>
        <w:spacing w:line="360" w:lineRule="auto"/>
        <w:ind w:firstLine="480"/>
        <w:jc w:val="lef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2、请</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如实填写，</w:t>
      </w:r>
      <w:r>
        <w:rPr>
          <w:rFonts w:hint="default" w:ascii="Times New Roman" w:hAnsi="Times New Roman"/>
          <w:color w:val="auto"/>
          <w:sz w:val="24"/>
          <w:highlight w:val="none"/>
        </w:rPr>
        <w:t>所填内容将作为评审的依据</w:t>
      </w:r>
      <w:r>
        <w:rPr>
          <w:rFonts w:hint="default" w:ascii="Times New Roman" w:hAnsi="Times New Roman"/>
          <w:color w:val="auto"/>
          <w:sz w:val="24"/>
          <w:szCs w:val="24"/>
          <w:highlight w:val="none"/>
        </w:rPr>
        <w:t>，如填写不完整或不一致或填写有误，将承担一切不利后果。</w:t>
      </w:r>
    </w:p>
    <w:p w14:paraId="36A7492D">
      <w:pPr>
        <w:spacing w:line="360" w:lineRule="auto"/>
        <w:ind w:firstLine="480"/>
        <w:jc w:val="left"/>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3、中标人的《中小企业声明函》随中标结果公开。</w:t>
      </w:r>
    </w:p>
    <w:p w14:paraId="477BA14E">
      <w:pPr>
        <w:keepNext/>
        <w:keepLines/>
        <w:spacing w:before="360" w:after="200" w:line="360" w:lineRule="auto"/>
        <w:jc w:val="left"/>
        <w:outlineLvl w:val="1"/>
        <w:rPr>
          <w:rFonts w:ascii="Times New Roman" w:hAnsi="Times New Roman" w:cs="Times New Roman"/>
          <w:color w:val="auto"/>
          <w:sz w:val="36"/>
          <w:highlight w:val="none"/>
        </w:rPr>
      </w:pPr>
      <w:r>
        <w:rPr>
          <w:rFonts w:hint="default" w:ascii="Times New Roman" w:hAnsi="Times New Roman" w:cs="Times New Roman"/>
          <w:color w:val="auto"/>
          <w:sz w:val="36"/>
          <w:highlight w:val="none"/>
        </w:rPr>
        <w:t>十二、残疾人福利性单位声明函（</w:t>
      </w:r>
      <w:r>
        <w:rPr>
          <w:rFonts w:hint="default" w:ascii="Times New Roman" w:hAnsi="Times New Roman" w:cs="Times New Roman"/>
          <w:color w:val="auto"/>
          <w:sz w:val="36"/>
          <w:highlight w:val="none"/>
          <w:lang w:eastAsia="zh-CN"/>
        </w:rPr>
        <w:t>采购包</w:t>
      </w:r>
      <w:r>
        <w:rPr>
          <w:rFonts w:hint="default" w:ascii="Times New Roman" w:hAnsi="Times New Roman" w:cs="Times New Roman"/>
          <w:color w:val="auto"/>
          <w:sz w:val="36"/>
          <w:highlight w:val="none"/>
        </w:rPr>
        <w:t>号：**）</w:t>
      </w:r>
    </w:p>
    <w:p w14:paraId="1BAAA92C">
      <w:pPr>
        <w:tabs>
          <w:tab w:val="left" w:pos="360"/>
        </w:tabs>
        <w:spacing w:line="360" w:lineRule="auto"/>
        <w:jc w:val="center"/>
        <w:rPr>
          <w:rFonts w:ascii="Times New Roman" w:hAnsi="Times New Roman"/>
          <w:color w:val="auto"/>
          <w:sz w:val="24"/>
          <w:szCs w:val="21"/>
          <w:highlight w:val="none"/>
        </w:rPr>
      </w:pPr>
      <w:r>
        <w:rPr>
          <w:rFonts w:hint="default" w:ascii="Times New Roman" w:hAnsi="Times New Roman" w:eastAsia="黑体" w:cs="Times New Roman"/>
          <w:bCs/>
          <w:color w:val="auto"/>
          <w:sz w:val="36"/>
          <w:szCs w:val="28"/>
          <w:highlight w:val="none"/>
        </w:rPr>
        <w:t>残疾人福利性单位声明函</w:t>
      </w:r>
    </w:p>
    <w:p w14:paraId="374B88D6">
      <w:pPr>
        <w:spacing w:line="500" w:lineRule="exact"/>
        <w:ind w:firstLine="480"/>
        <w:jc w:val="left"/>
        <w:rPr>
          <w:rFonts w:ascii="Times New Roman" w:hAnsi="Times New Roman"/>
          <w:color w:val="auto"/>
          <w:sz w:val="24"/>
          <w:szCs w:val="21"/>
          <w:highlight w:val="none"/>
        </w:rPr>
      </w:pPr>
      <w:r>
        <w:rPr>
          <w:rFonts w:hint="default" w:ascii="Times New Roman" w:hAnsi="Times New Roman"/>
          <w:color w:val="auto"/>
          <w:sz w:val="24"/>
          <w:szCs w:val="21"/>
          <w:highlight w:val="none"/>
        </w:rPr>
        <w:t>本单位郑重声明，根据《财政部 民政部 中国残疾人联合会关于促进残疾人就业政府采购政策的通知》（财库</w:t>
      </w:r>
      <w:r>
        <w:rPr>
          <w:rFonts w:hint="default" w:ascii="Times New Roman" w:hAnsi="Times New Roman"/>
          <w:color w:val="auto"/>
          <w:sz w:val="24"/>
          <w:szCs w:val="24"/>
          <w:highlight w:val="none"/>
        </w:rPr>
        <w:t>〔2017〕</w:t>
      </w:r>
      <w:r>
        <w:rPr>
          <w:rFonts w:hint="default" w:ascii="Times New Roman" w:hAnsi="Times New Roman"/>
          <w:color w:val="auto"/>
          <w:sz w:val="24"/>
          <w:szCs w:val="21"/>
          <w:highlight w:val="none"/>
        </w:rPr>
        <w:t>141号）的规定，本单位为符合条件的残疾人福利性单位，且本单位参加</w:t>
      </w:r>
      <w:r>
        <w:rPr>
          <w:rFonts w:hint="default" w:ascii="Times New Roman" w:hAnsi="Times New Roman"/>
          <w:color w:val="auto"/>
          <w:sz w:val="24"/>
          <w:szCs w:val="21"/>
          <w:highlight w:val="none"/>
          <w:u w:val="single"/>
        </w:rPr>
        <w:t xml:space="preserve">           </w:t>
      </w:r>
      <w:r>
        <w:rPr>
          <w:rFonts w:hint="default" w:ascii="Times New Roman" w:hAnsi="Times New Roman"/>
          <w:color w:val="auto"/>
          <w:sz w:val="24"/>
          <w:szCs w:val="21"/>
          <w:highlight w:val="none"/>
        </w:rPr>
        <w:t>单位的</w:t>
      </w:r>
      <w:r>
        <w:rPr>
          <w:rFonts w:hint="default" w:ascii="Times New Roman" w:hAnsi="Times New Roman"/>
          <w:color w:val="auto"/>
          <w:sz w:val="24"/>
          <w:szCs w:val="21"/>
          <w:highlight w:val="none"/>
          <w:u w:val="single"/>
        </w:rPr>
        <w:t xml:space="preserve">           </w:t>
      </w:r>
      <w:r>
        <w:rPr>
          <w:rFonts w:hint="default" w:ascii="Times New Roman" w:hAnsi="Times New Roman"/>
          <w:color w:val="auto"/>
          <w:sz w:val="24"/>
          <w:szCs w:val="21"/>
          <w:highlight w:val="none"/>
        </w:rPr>
        <w:t>项目（</w:t>
      </w:r>
      <w:r>
        <w:rPr>
          <w:rFonts w:hint="default" w:ascii="Times New Roman" w:hAnsi="Times New Roman"/>
          <w:color w:val="auto"/>
          <w:sz w:val="24"/>
          <w:szCs w:val="24"/>
          <w:highlight w:val="none"/>
        </w:rPr>
        <w:t>项目编号：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w:t>
      </w:r>
      <w:r>
        <w:rPr>
          <w:rFonts w:hint="default" w:ascii="Times New Roman" w:hAnsi="Times New Roman"/>
          <w:color w:val="auto"/>
          <w:sz w:val="24"/>
          <w:szCs w:val="24"/>
          <w:highlight w:val="none"/>
          <w:lang w:eastAsia="zh-CN"/>
        </w:rPr>
        <w:t>采购包</w:t>
      </w:r>
      <w:r>
        <w:rPr>
          <w:rFonts w:hint="default" w:ascii="Times New Roman" w:hAnsi="Times New Roman"/>
          <w:color w:val="auto"/>
          <w:sz w:val="24"/>
          <w:szCs w:val="24"/>
          <w:highlight w:val="none"/>
        </w:rPr>
        <w:t>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1"/>
          <w:highlight w:val="none"/>
        </w:rPr>
        <w:t>）采购活动由本单位提供全部服务。</w:t>
      </w:r>
    </w:p>
    <w:p w14:paraId="2DB916AF">
      <w:pPr>
        <w:spacing w:line="500" w:lineRule="exact"/>
        <w:ind w:firstLine="480"/>
        <w:rPr>
          <w:rFonts w:ascii="Times New Roman" w:hAnsi="Times New Roman"/>
          <w:color w:val="auto"/>
          <w:sz w:val="24"/>
          <w:szCs w:val="21"/>
          <w:highlight w:val="none"/>
        </w:rPr>
      </w:pPr>
      <w:r>
        <w:rPr>
          <w:rFonts w:hint="default" w:ascii="Times New Roman" w:hAnsi="Times New Roman"/>
          <w:color w:val="auto"/>
          <w:sz w:val="24"/>
          <w:szCs w:val="21"/>
          <w:highlight w:val="none"/>
        </w:rPr>
        <w:t>本单位对上述声明的真实性负责。如有虚假，将依法承担相应责任。</w:t>
      </w:r>
    </w:p>
    <w:p w14:paraId="748D29CF">
      <w:pPr>
        <w:spacing w:line="500" w:lineRule="exact"/>
        <w:ind w:firstLine="480"/>
        <w:rPr>
          <w:rFonts w:ascii="Times New Roman" w:hAnsi="Times New Roman"/>
          <w:color w:val="auto"/>
          <w:sz w:val="24"/>
          <w:szCs w:val="21"/>
          <w:highlight w:val="none"/>
        </w:rPr>
      </w:pPr>
    </w:p>
    <w:p w14:paraId="5250AE4A">
      <w:pPr>
        <w:spacing w:line="560" w:lineRule="exact"/>
        <w:ind w:right="1620" w:firstLine="2880"/>
        <w:rPr>
          <w:rFonts w:ascii="Times New Roman" w:hAnsi="Times New Roman"/>
          <w:color w:val="auto"/>
          <w:sz w:val="24"/>
          <w:szCs w:val="24"/>
          <w:highlight w:val="none"/>
        </w:rPr>
      </w:pPr>
      <w:r>
        <w:rPr>
          <w:rFonts w:hint="default" w:ascii="Times New Roman" w:hAnsi="Times New Roman"/>
          <w:color w:val="auto"/>
          <w:sz w:val="24"/>
          <w:szCs w:val="24"/>
          <w:highlight w:val="none"/>
        </w:rPr>
        <w:t>单位名称（盖章）：</w:t>
      </w:r>
    </w:p>
    <w:p w14:paraId="7FBDA55F">
      <w:pPr>
        <w:spacing w:line="560" w:lineRule="exact"/>
        <w:ind w:right="1140" w:firstLine="2880"/>
        <w:rPr>
          <w:rFonts w:ascii="Times New Roman" w:hAnsi="Times New Roman"/>
          <w:color w:val="auto"/>
          <w:sz w:val="24"/>
          <w:szCs w:val="24"/>
          <w:highlight w:val="none"/>
        </w:rPr>
      </w:pPr>
      <w:r>
        <w:rPr>
          <w:rFonts w:hint="default" w:ascii="Times New Roman" w:hAnsi="Times New Roman"/>
          <w:color w:val="auto"/>
          <w:sz w:val="24"/>
          <w:szCs w:val="24"/>
          <w:highlight w:val="none"/>
        </w:rPr>
        <w:t>日   期：</w:t>
      </w:r>
    </w:p>
    <w:p w14:paraId="562A6471">
      <w:pPr>
        <w:rPr>
          <w:color w:val="auto"/>
          <w:highlight w:val="none"/>
        </w:rPr>
      </w:pPr>
    </w:p>
    <w:p w14:paraId="28BF95DA">
      <w:pPr>
        <w:rPr>
          <w:color w:val="auto"/>
          <w:highlight w:val="none"/>
        </w:rPr>
      </w:pPr>
    </w:p>
    <w:p w14:paraId="1AEFE1B9">
      <w:pPr>
        <w:spacing w:line="360" w:lineRule="auto"/>
        <w:rPr>
          <w:rFonts w:ascii="Times New Roman" w:hAnsi="Times New Roman"/>
          <w:bCs/>
          <w:color w:val="auto"/>
          <w:sz w:val="24"/>
          <w:szCs w:val="24"/>
          <w:highlight w:val="none"/>
        </w:rPr>
      </w:pPr>
      <w:r>
        <w:rPr>
          <w:rFonts w:hint="default" w:ascii="Times New Roman" w:hAnsi="Times New Roman"/>
          <w:bCs/>
          <w:color w:val="auto"/>
          <w:sz w:val="24"/>
          <w:szCs w:val="24"/>
          <w:highlight w:val="none"/>
        </w:rPr>
        <w:t>填报说明：</w:t>
      </w:r>
    </w:p>
    <w:p w14:paraId="79F29760">
      <w:pPr>
        <w:spacing w:line="360" w:lineRule="auto"/>
        <w:ind w:firstLine="480"/>
        <w:jc w:val="left"/>
        <w:rPr>
          <w:rFonts w:ascii="Times New Roman" w:hAnsi="Times New Roman"/>
          <w:bCs/>
          <w:color w:val="auto"/>
          <w:sz w:val="24"/>
          <w:szCs w:val="24"/>
          <w:highlight w:val="none"/>
        </w:rPr>
      </w:pPr>
      <w:r>
        <w:rPr>
          <w:rFonts w:hint="default" w:ascii="Times New Roman" w:hAnsi="Times New Roman"/>
          <w:bCs/>
          <w:color w:val="auto"/>
          <w:sz w:val="24"/>
          <w:szCs w:val="24"/>
          <w:highlight w:val="none"/>
        </w:rPr>
        <w:t>1、</w:t>
      </w:r>
      <w:r>
        <w:rPr>
          <w:rFonts w:hint="default" w:ascii="Times New Roman" w:hAnsi="Times New Roman"/>
          <w:color w:val="auto"/>
          <w:sz w:val="24"/>
          <w:szCs w:val="24"/>
          <w:highlight w:val="none"/>
        </w:rPr>
        <w:t>请</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如实填写，</w:t>
      </w:r>
      <w:r>
        <w:rPr>
          <w:rFonts w:hint="default" w:ascii="Times New Roman" w:hAnsi="Times New Roman"/>
          <w:bCs/>
          <w:color w:val="auto"/>
          <w:sz w:val="24"/>
          <w:highlight w:val="none"/>
        </w:rPr>
        <w:t>所填内容将作为评审的依据</w:t>
      </w:r>
      <w:r>
        <w:rPr>
          <w:rFonts w:hint="default" w:ascii="Times New Roman" w:hAnsi="Times New Roman"/>
          <w:color w:val="auto"/>
          <w:sz w:val="24"/>
          <w:szCs w:val="24"/>
          <w:highlight w:val="none"/>
        </w:rPr>
        <w:t>，如填写不完整或不一致或填写有误，将承担一切不利后果。</w:t>
      </w:r>
    </w:p>
    <w:p w14:paraId="38BEFAB9">
      <w:pPr>
        <w:spacing w:line="360" w:lineRule="auto"/>
        <w:ind w:firstLine="480"/>
        <w:jc w:val="left"/>
        <w:rPr>
          <w:rFonts w:ascii="Times New Roman" w:hAnsi="Times New Roman"/>
          <w:color w:val="auto"/>
          <w:sz w:val="24"/>
          <w:szCs w:val="24"/>
          <w:highlight w:val="none"/>
        </w:rPr>
      </w:pPr>
      <w:r>
        <w:rPr>
          <w:rFonts w:hint="default" w:ascii="Times New Roman" w:hAnsi="Times New Roman"/>
          <w:bCs/>
          <w:color w:val="auto"/>
          <w:sz w:val="24"/>
          <w:szCs w:val="24"/>
          <w:highlight w:val="none"/>
        </w:rPr>
        <w:t>2、中标人的《残疾人福利性单位声明函》随中标结果公开</w:t>
      </w:r>
      <w:r>
        <w:rPr>
          <w:rFonts w:hint="default" w:ascii="Times New Roman" w:hAnsi="Times New Roman"/>
          <w:color w:val="auto"/>
          <w:sz w:val="24"/>
          <w:szCs w:val="24"/>
          <w:highlight w:val="none"/>
        </w:rPr>
        <w:t>，接受社会监督</w:t>
      </w:r>
      <w:r>
        <w:rPr>
          <w:rFonts w:hint="default" w:ascii="Times New Roman" w:hAnsi="Times New Roman"/>
          <w:bCs/>
          <w:color w:val="auto"/>
          <w:sz w:val="24"/>
          <w:szCs w:val="24"/>
          <w:highlight w:val="none"/>
        </w:rPr>
        <w:t>。</w:t>
      </w:r>
    </w:p>
    <w:p w14:paraId="38000F45">
      <w:pPr>
        <w:keepNext/>
        <w:keepLines/>
        <w:spacing w:before="360" w:after="200" w:line="360" w:lineRule="auto"/>
        <w:jc w:val="left"/>
        <w:outlineLvl w:val="1"/>
        <w:rPr>
          <w:rFonts w:ascii="Times New Roman" w:hAnsi="Times New Roman" w:cs="Times New Roman"/>
          <w:i/>
          <w:iCs/>
          <w:color w:val="auto"/>
          <w:sz w:val="36"/>
          <w:highlight w:val="none"/>
          <w:u w:val="single"/>
        </w:rPr>
      </w:pPr>
      <w:r>
        <w:rPr>
          <w:rFonts w:hint="default" w:ascii="Times New Roman" w:hAnsi="Times New Roman" w:cs="Times New Roman"/>
          <w:i/>
          <w:iCs/>
          <w:color w:val="auto"/>
          <w:sz w:val="36"/>
          <w:highlight w:val="none"/>
          <w:u w:val="single"/>
        </w:rPr>
        <w:t>十</w:t>
      </w:r>
      <w:r>
        <w:rPr>
          <w:rFonts w:hint="default" w:ascii="Times New Roman" w:hAnsi="Times New Roman" w:cs="Times New Roman"/>
          <w:i/>
          <w:iCs/>
          <w:color w:val="auto"/>
          <w:sz w:val="36"/>
          <w:highlight w:val="none"/>
          <w:u w:val="single"/>
          <w:lang w:val="en-US" w:eastAsia="zh-CN"/>
        </w:rPr>
        <w:t>三</w:t>
      </w:r>
      <w:r>
        <w:rPr>
          <w:rFonts w:hint="default" w:ascii="Times New Roman" w:hAnsi="Times New Roman" w:cs="Times New Roman"/>
          <w:i/>
          <w:iCs/>
          <w:color w:val="auto"/>
          <w:sz w:val="36"/>
          <w:highlight w:val="none"/>
          <w:u w:val="single"/>
        </w:rPr>
        <w:t>、技术要求响应及偏离表（</w:t>
      </w:r>
      <w:r>
        <w:rPr>
          <w:rFonts w:hint="default" w:ascii="Times New Roman" w:hAnsi="Times New Roman" w:cs="Times New Roman"/>
          <w:i/>
          <w:iCs/>
          <w:color w:val="auto"/>
          <w:sz w:val="36"/>
          <w:highlight w:val="none"/>
          <w:u w:val="single"/>
          <w:lang w:eastAsia="zh-CN"/>
        </w:rPr>
        <w:t>采购包</w:t>
      </w:r>
      <w:r>
        <w:rPr>
          <w:rFonts w:hint="default" w:ascii="Times New Roman" w:hAnsi="Times New Roman" w:cs="Times New Roman"/>
          <w:i/>
          <w:iCs/>
          <w:color w:val="auto"/>
          <w:sz w:val="36"/>
          <w:highlight w:val="none"/>
          <w:u w:val="single"/>
        </w:rPr>
        <w:t>号：**）</w:t>
      </w:r>
    </w:p>
    <w:p w14:paraId="63942F2E">
      <w:pPr>
        <w:tabs>
          <w:tab w:val="left" w:pos="360"/>
        </w:tabs>
        <w:spacing w:line="360" w:lineRule="auto"/>
        <w:jc w:val="center"/>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技术要求响应及偏离表</w:t>
      </w:r>
    </w:p>
    <w:p w14:paraId="40E55301">
      <w:pPr>
        <w:spacing w:line="360" w:lineRule="auto"/>
        <w:jc w:val="left"/>
        <w:rPr>
          <w:rFonts w:ascii="Times New Roman" w:hAnsi="Times New Roman" w:cs="Times New Roman"/>
          <w:color w:val="auto"/>
          <w:sz w:val="36"/>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采购包</w:t>
      </w:r>
      <w:r>
        <w:rPr>
          <w:rFonts w:hint="default" w:ascii="Times New Roman" w:hAnsi="Times New Roman" w:cs="Times New Roman"/>
          <w:color w:val="auto"/>
          <w:sz w:val="24"/>
          <w:szCs w:val="24"/>
          <w:highlight w:val="none"/>
        </w:rPr>
        <w:t>号：</w:t>
      </w:r>
      <w:r>
        <w:rPr>
          <w:rFonts w:ascii="Times New Roman" w:hAnsi="Times New Roman"/>
          <w:bCs/>
          <w:color w:val="auto"/>
          <w:sz w:val="24"/>
          <w:szCs w:val="24"/>
          <w:highlight w:val="none"/>
        </w:rPr>
        <w:t xml:space="preserve"> </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05C54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0609A42">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序号</w:t>
            </w:r>
          </w:p>
        </w:tc>
        <w:tc>
          <w:tcPr>
            <w:tcW w:w="3273" w:type="dxa"/>
            <w:noWrap w:val="0"/>
            <w:vAlign w:val="center"/>
          </w:tcPr>
          <w:p w14:paraId="67AB5B3F">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招标文件要求</w:t>
            </w:r>
          </w:p>
        </w:tc>
        <w:tc>
          <w:tcPr>
            <w:tcW w:w="3024" w:type="dxa"/>
            <w:noWrap w:val="0"/>
            <w:vAlign w:val="center"/>
          </w:tcPr>
          <w:p w14:paraId="7436B3AA">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投标响应情况</w:t>
            </w:r>
          </w:p>
        </w:tc>
        <w:tc>
          <w:tcPr>
            <w:tcW w:w="1399" w:type="dxa"/>
            <w:noWrap w:val="0"/>
            <w:vAlign w:val="center"/>
          </w:tcPr>
          <w:p w14:paraId="2EFB410E">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超出、符合或偏离</w:t>
            </w:r>
          </w:p>
        </w:tc>
      </w:tr>
      <w:tr w14:paraId="2CAF4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70A1438">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1</w:t>
            </w:r>
          </w:p>
        </w:tc>
        <w:tc>
          <w:tcPr>
            <w:tcW w:w="3273" w:type="dxa"/>
            <w:noWrap w:val="0"/>
            <w:vAlign w:val="center"/>
          </w:tcPr>
          <w:p w14:paraId="386476EA">
            <w:pPr>
              <w:jc w:val="center"/>
              <w:rPr>
                <w:rFonts w:ascii="Times New Roman" w:hAnsi="Times New Roman"/>
                <w:color w:val="auto"/>
                <w:sz w:val="24"/>
                <w:szCs w:val="24"/>
                <w:highlight w:val="none"/>
              </w:rPr>
            </w:pPr>
          </w:p>
        </w:tc>
        <w:tc>
          <w:tcPr>
            <w:tcW w:w="3024" w:type="dxa"/>
            <w:noWrap w:val="0"/>
            <w:vAlign w:val="center"/>
          </w:tcPr>
          <w:p w14:paraId="33332AF9">
            <w:pPr>
              <w:jc w:val="center"/>
              <w:rPr>
                <w:rFonts w:ascii="Times New Roman" w:hAnsi="Times New Roman"/>
                <w:color w:val="auto"/>
                <w:sz w:val="24"/>
                <w:szCs w:val="24"/>
                <w:highlight w:val="none"/>
              </w:rPr>
            </w:pPr>
          </w:p>
        </w:tc>
        <w:tc>
          <w:tcPr>
            <w:tcW w:w="1399" w:type="dxa"/>
            <w:noWrap w:val="0"/>
            <w:vAlign w:val="center"/>
          </w:tcPr>
          <w:p w14:paraId="4A18D4D3">
            <w:pPr>
              <w:jc w:val="center"/>
              <w:rPr>
                <w:rFonts w:ascii="Times New Roman" w:hAnsi="Times New Roman"/>
                <w:color w:val="auto"/>
                <w:sz w:val="24"/>
                <w:szCs w:val="24"/>
                <w:highlight w:val="none"/>
              </w:rPr>
            </w:pPr>
          </w:p>
        </w:tc>
      </w:tr>
      <w:tr w14:paraId="74C2C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EF079F3">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2</w:t>
            </w:r>
          </w:p>
        </w:tc>
        <w:tc>
          <w:tcPr>
            <w:tcW w:w="3273" w:type="dxa"/>
            <w:noWrap w:val="0"/>
            <w:vAlign w:val="center"/>
          </w:tcPr>
          <w:p w14:paraId="229A50C4">
            <w:pPr>
              <w:jc w:val="center"/>
              <w:rPr>
                <w:rFonts w:ascii="Times New Roman" w:hAnsi="Times New Roman"/>
                <w:color w:val="auto"/>
                <w:sz w:val="24"/>
                <w:szCs w:val="24"/>
                <w:highlight w:val="none"/>
              </w:rPr>
            </w:pPr>
          </w:p>
        </w:tc>
        <w:tc>
          <w:tcPr>
            <w:tcW w:w="3024" w:type="dxa"/>
            <w:noWrap w:val="0"/>
            <w:vAlign w:val="center"/>
          </w:tcPr>
          <w:p w14:paraId="3F472469">
            <w:pPr>
              <w:jc w:val="center"/>
              <w:rPr>
                <w:rFonts w:ascii="Times New Roman" w:hAnsi="Times New Roman"/>
                <w:color w:val="auto"/>
                <w:sz w:val="24"/>
                <w:szCs w:val="24"/>
                <w:highlight w:val="none"/>
              </w:rPr>
            </w:pPr>
          </w:p>
        </w:tc>
        <w:tc>
          <w:tcPr>
            <w:tcW w:w="1399" w:type="dxa"/>
            <w:noWrap w:val="0"/>
            <w:vAlign w:val="center"/>
          </w:tcPr>
          <w:p w14:paraId="3DE2632A">
            <w:pPr>
              <w:jc w:val="center"/>
              <w:rPr>
                <w:rFonts w:ascii="Times New Roman" w:hAnsi="Times New Roman"/>
                <w:color w:val="auto"/>
                <w:sz w:val="24"/>
                <w:szCs w:val="24"/>
                <w:highlight w:val="none"/>
              </w:rPr>
            </w:pPr>
          </w:p>
        </w:tc>
      </w:tr>
      <w:tr w14:paraId="0AEE3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B378A20">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3</w:t>
            </w:r>
          </w:p>
        </w:tc>
        <w:tc>
          <w:tcPr>
            <w:tcW w:w="3273" w:type="dxa"/>
            <w:noWrap w:val="0"/>
            <w:vAlign w:val="center"/>
          </w:tcPr>
          <w:p w14:paraId="4C09FFCF">
            <w:pPr>
              <w:jc w:val="center"/>
              <w:rPr>
                <w:rFonts w:ascii="Times New Roman" w:hAnsi="Times New Roman"/>
                <w:color w:val="auto"/>
                <w:sz w:val="24"/>
                <w:szCs w:val="24"/>
                <w:highlight w:val="none"/>
              </w:rPr>
            </w:pPr>
          </w:p>
        </w:tc>
        <w:tc>
          <w:tcPr>
            <w:tcW w:w="3024" w:type="dxa"/>
            <w:noWrap w:val="0"/>
            <w:vAlign w:val="center"/>
          </w:tcPr>
          <w:p w14:paraId="52511ED1">
            <w:pPr>
              <w:jc w:val="center"/>
              <w:rPr>
                <w:rFonts w:ascii="Times New Roman" w:hAnsi="Times New Roman"/>
                <w:color w:val="auto"/>
                <w:sz w:val="24"/>
                <w:szCs w:val="24"/>
                <w:highlight w:val="none"/>
              </w:rPr>
            </w:pPr>
          </w:p>
        </w:tc>
        <w:tc>
          <w:tcPr>
            <w:tcW w:w="1399" w:type="dxa"/>
            <w:noWrap w:val="0"/>
            <w:vAlign w:val="center"/>
          </w:tcPr>
          <w:p w14:paraId="1855FA0B">
            <w:pPr>
              <w:jc w:val="center"/>
              <w:rPr>
                <w:rFonts w:ascii="Times New Roman" w:hAnsi="Times New Roman"/>
                <w:color w:val="auto"/>
                <w:sz w:val="24"/>
                <w:szCs w:val="24"/>
                <w:highlight w:val="none"/>
              </w:rPr>
            </w:pPr>
          </w:p>
        </w:tc>
      </w:tr>
      <w:tr w14:paraId="7BE87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0287526">
            <w:pPr>
              <w:jc w:val="center"/>
              <w:rPr>
                <w:rFonts w:ascii="Times New Roman" w:hAnsi="Times New Roman"/>
                <w:color w:val="auto"/>
                <w:sz w:val="24"/>
                <w:szCs w:val="24"/>
                <w:highlight w:val="none"/>
              </w:rPr>
            </w:pPr>
            <w:r>
              <w:rPr>
                <w:rFonts w:ascii="Times New Roman" w:hAnsi="Times New Roman"/>
                <w:color w:val="auto"/>
                <w:sz w:val="24"/>
                <w:szCs w:val="24"/>
                <w:highlight w:val="none"/>
              </w:rPr>
              <w:t>…</w:t>
            </w:r>
          </w:p>
        </w:tc>
        <w:tc>
          <w:tcPr>
            <w:tcW w:w="3273" w:type="dxa"/>
            <w:noWrap w:val="0"/>
            <w:vAlign w:val="center"/>
          </w:tcPr>
          <w:p w14:paraId="6C863F44">
            <w:pPr>
              <w:jc w:val="center"/>
              <w:rPr>
                <w:rFonts w:ascii="Times New Roman" w:hAnsi="Times New Roman"/>
                <w:color w:val="auto"/>
                <w:sz w:val="24"/>
                <w:szCs w:val="24"/>
                <w:highlight w:val="none"/>
              </w:rPr>
            </w:pPr>
          </w:p>
        </w:tc>
        <w:tc>
          <w:tcPr>
            <w:tcW w:w="3024" w:type="dxa"/>
            <w:noWrap w:val="0"/>
            <w:vAlign w:val="center"/>
          </w:tcPr>
          <w:p w14:paraId="10B6CA53">
            <w:pPr>
              <w:jc w:val="center"/>
              <w:rPr>
                <w:rFonts w:ascii="Times New Roman" w:hAnsi="Times New Roman"/>
                <w:color w:val="auto"/>
                <w:sz w:val="24"/>
                <w:szCs w:val="24"/>
                <w:highlight w:val="none"/>
              </w:rPr>
            </w:pPr>
          </w:p>
        </w:tc>
        <w:tc>
          <w:tcPr>
            <w:tcW w:w="1399" w:type="dxa"/>
            <w:noWrap w:val="0"/>
            <w:vAlign w:val="center"/>
          </w:tcPr>
          <w:p w14:paraId="7D818E16">
            <w:pPr>
              <w:jc w:val="center"/>
              <w:rPr>
                <w:rFonts w:ascii="Times New Roman" w:hAnsi="Times New Roman"/>
                <w:color w:val="auto"/>
                <w:sz w:val="24"/>
                <w:szCs w:val="24"/>
                <w:highlight w:val="none"/>
              </w:rPr>
            </w:pPr>
          </w:p>
        </w:tc>
      </w:tr>
    </w:tbl>
    <w:p w14:paraId="6489EAE2">
      <w:pPr>
        <w:spacing w:line="500" w:lineRule="exact"/>
        <w:ind w:firstLine="480"/>
        <w:rPr>
          <w:rFonts w:ascii="Times New Roman" w:hAnsi="Times New Roman"/>
          <w:color w:val="auto"/>
          <w:sz w:val="24"/>
          <w:szCs w:val="24"/>
          <w:highlight w:val="none"/>
        </w:rPr>
      </w:pPr>
    </w:p>
    <w:p w14:paraId="3E6A0554">
      <w:pPr>
        <w:spacing w:line="500" w:lineRule="exact"/>
        <w:ind w:firstLine="480"/>
        <w:rPr>
          <w:rFonts w:ascii="Times New Roman" w:hAnsi="Times New Roman"/>
          <w:color w:val="auto"/>
          <w:sz w:val="24"/>
          <w:szCs w:val="24"/>
          <w:highlight w:val="none"/>
        </w:rPr>
      </w:pPr>
    </w:p>
    <w:p w14:paraId="5A5702F5">
      <w:pPr>
        <w:spacing w:line="360" w:lineRule="auto"/>
        <w:ind w:firstLine="480"/>
        <w:rPr>
          <w:rFonts w:ascii="Times New Roman" w:hAnsi="Times New Roman"/>
          <w:color w:val="auto"/>
          <w:sz w:val="24"/>
          <w:szCs w:val="24"/>
          <w:highlight w:val="none"/>
        </w:rPr>
      </w:pPr>
      <w:r>
        <w:rPr>
          <w:rFonts w:hint="eastAsia"/>
          <w:color w:val="auto"/>
          <w:sz w:val="24"/>
          <w:szCs w:val="24"/>
          <w:highlight w:val="none"/>
          <w:lang w:eastAsia="zh-CN"/>
        </w:rPr>
        <w:t>投标人</w:t>
      </w:r>
      <w:r>
        <w:rPr>
          <w:rFonts w:hint="eastAsia" w:ascii="Times New Roman" w:hAnsi="Times New Roman"/>
          <w:color w:val="auto"/>
          <w:sz w:val="24"/>
          <w:szCs w:val="24"/>
          <w:highlight w:val="none"/>
        </w:rPr>
        <w:t>（盖章）：</w:t>
      </w:r>
    </w:p>
    <w:p w14:paraId="10891771">
      <w:pPr>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3B4BBB08">
      <w:pPr>
        <w:spacing w:line="500" w:lineRule="exact"/>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53222820">
      <w:pPr>
        <w:rPr>
          <w:color w:val="auto"/>
          <w:highlight w:val="none"/>
        </w:rPr>
      </w:pPr>
    </w:p>
    <w:p w14:paraId="074984B1">
      <w:pPr>
        <w:keepNext/>
        <w:keepLines/>
        <w:spacing w:before="360" w:after="200" w:line="360" w:lineRule="auto"/>
        <w:jc w:val="left"/>
        <w:outlineLvl w:val="1"/>
        <w:rPr>
          <w:rFonts w:ascii="Times New Roman" w:hAnsi="Times New Roman" w:cs="Times New Roman"/>
          <w:i/>
          <w:iCs/>
          <w:color w:val="auto"/>
          <w:sz w:val="36"/>
          <w:highlight w:val="none"/>
          <w:u w:val="single"/>
        </w:rPr>
      </w:pPr>
      <w:bookmarkStart w:id="2" w:name="_Hlt26955054"/>
      <w:bookmarkEnd w:id="2"/>
      <w:r>
        <w:rPr>
          <w:rFonts w:hint="default" w:ascii="Times New Roman" w:hAnsi="Times New Roman" w:cs="Times New Roman"/>
          <w:i/>
          <w:iCs/>
          <w:color w:val="auto"/>
          <w:sz w:val="36"/>
          <w:highlight w:val="none"/>
          <w:u w:val="single"/>
        </w:rPr>
        <w:t>十</w:t>
      </w:r>
      <w:r>
        <w:rPr>
          <w:rFonts w:hint="default" w:ascii="Times New Roman" w:hAnsi="Times New Roman" w:cs="Times New Roman"/>
          <w:i/>
          <w:iCs/>
          <w:color w:val="auto"/>
          <w:sz w:val="36"/>
          <w:highlight w:val="none"/>
          <w:u w:val="single"/>
          <w:lang w:val="en-US" w:eastAsia="zh-CN"/>
        </w:rPr>
        <w:t>四</w:t>
      </w:r>
      <w:r>
        <w:rPr>
          <w:rFonts w:hint="default" w:ascii="Times New Roman" w:hAnsi="Times New Roman" w:cs="Times New Roman"/>
          <w:i/>
          <w:iCs/>
          <w:color w:val="auto"/>
          <w:sz w:val="36"/>
          <w:highlight w:val="none"/>
          <w:u w:val="single"/>
        </w:rPr>
        <w:t>、商务要求响应及偏离表（</w:t>
      </w:r>
      <w:r>
        <w:rPr>
          <w:rFonts w:hint="default" w:ascii="Times New Roman" w:hAnsi="Times New Roman" w:cs="Times New Roman"/>
          <w:i/>
          <w:iCs/>
          <w:color w:val="auto"/>
          <w:sz w:val="36"/>
          <w:highlight w:val="none"/>
          <w:u w:val="single"/>
          <w:lang w:eastAsia="zh-CN"/>
        </w:rPr>
        <w:t>采购包</w:t>
      </w:r>
      <w:r>
        <w:rPr>
          <w:rFonts w:hint="default" w:ascii="Times New Roman" w:hAnsi="Times New Roman" w:cs="Times New Roman"/>
          <w:i/>
          <w:iCs/>
          <w:color w:val="auto"/>
          <w:sz w:val="36"/>
          <w:highlight w:val="none"/>
          <w:u w:val="single"/>
        </w:rPr>
        <w:t>号：**）</w:t>
      </w:r>
    </w:p>
    <w:p w14:paraId="354B8E14">
      <w:pPr>
        <w:tabs>
          <w:tab w:val="left" w:pos="360"/>
        </w:tabs>
        <w:spacing w:line="360" w:lineRule="auto"/>
        <w:jc w:val="center"/>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商务要求响应及偏离表</w:t>
      </w:r>
    </w:p>
    <w:p w14:paraId="4EDC84EE">
      <w:pPr>
        <w:spacing w:line="360" w:lineRule="auto"/>
        <w:jc w:val="left"/>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采购包</w:t>
      </w:r>
      <w:r>
        <w:rPr>
          <w:rFonts w:hint="default" w:ascii="Times New Roman" w:hAnsi="Times New Roman" w:cs="Times New Roman"/>
          <w:color w:val="auto"/>
          <w:sz w:val="24"/>
          <w:szCs w:val="24"/>
          <w:highlight w:val="none"/>
        </w:rPr>
        <w:t>号：</w:t>
      </w:r>
      <w:r>
        <w:rPr>
          <w:rFonts w:ascii="Times New Roman" w:hAnsi="Times New Roman"/>
          <w:bCs/>
          <w:color w:val="auto"/>
          <w:sz w:val="24"/>
          <w:szCs w:val="24"/>
          <w:highlight w:val="none"/>
        </w:rPr>
        <w:t xml:space="preserve"> </w:t>
      </w:r>
    </w:p>
    <w:tbl>
      <w:tblPr>
        <w:tblStyle w:val="3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E6D6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21A37D43">
            <w:pPr>
              <w:jc w:val="center"/>
              <w:rPr>
                <w:rFonts w:ascii="Times New Roman" w:hAnsi="Times New Roman"/>
                <w:color w:val="auto"/>
                <w:sz w:val="24"/>
                <w:szCs w:val="24"/>
                <w:highlight w:val="none"/>
              </w:rPr>
            </w:pPr>
            <w:bookmarkStart w:id="3" w:name="_Hlt26955056"/>
            <w:bookmarkEnd w:id="3"/>
            <w:bookmarkStart w:id="4" w:name="_Hlt26671343"/>
            <w:bookmarkEnd w:id="4"/>
            <w:bookmarkStart w:id="5" w:name="_Hlt26671372"/>
            <w:bookmarkEnd w:id="5"/>
            <w:bookmarkStart w:id="6" w:name="_Hlt26955064"/>
            <w:bookmarkEnd w:id="6"/>
            <w:bookmarkStart w:id="7" w:name="_Hlt26609391"/>
            <w:bookmarkEnd w:id="7"/>
            <w:bookmarkStart w:id="8" w:name="_Hlt24879081"/>
            <w:bookmarkEnd w:id="8"/>
            <w:bookmarkStart w:id="9" w:name="_Hlt26580838"/>
            <w:bookmarkEnd w:id="9"/>
            <w:bookmarkStart w:id="10" w:name="_Hlt26782999"/>
            <w:bookmarkEnd w:id="10"/>
            <w:r>
              <w:rPr>
                <w:rFonts w:hint="default" w:ascii="Times New Roman" w:hAnsi="Times New Roman"/>
                <w:color w:val="auto"/>
                <w:sz w:val="24"/>
                <w:szCs w:val="24"/>
                <w:highlight w:val="none"/>
              </w:rPr>
              <w:t>序号</w:t>
            </w:r>
          </w:p>
        </w:tc>
        <w:tc>
          <w:tcPr>
            <w:tcW w:w="3263" w:type="dxa"/>
            <w:noWrap w:val="0"/>
            <w:vAlign w:val="center"/>
          </w:tcPr>
          <w:p w14:paraId="0311379F">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招标文件要求</w:t>
            </w:r>
          </w:p>
        </w:tc>
        <w:tc>
          <w:tcPr>
            <w:tcW w:w="3034" w:type="dxa"/>
            <w:noWrap w:val="0"/>
            <w:vAlign w:val="center"/>
          </w:tcPr>
          <w:p w14:paraId="062F711B">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投标响应情况</w:t>
            </w:r>
          </w:p>
        </w:tc>
        <w:tc>
          <w:tcPr>
            <w:tcW w:w="1391" w:type="dxa"/>
            <w:noWrap w:val="0"/>
            <w:vAlign w:val="center"/>
          </w:tcPr>
          <w:p w14:paraId="157379A3">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超出、符合或偏离</w:t>
            </w:r>
          </w:p>
        </w:tc>
      </w:tr>
      <w:tr w14:paraId="1EEB1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B1F5F71">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1</w:t>
            </w:r>
          </w:p>
        </w:tc>
        <w:tc>
          <w:tcPr>
            <w:tcW w:w="3263" w:type="dxa"/>
            <w:noWrap w:val="0"/>
            <w:vAlign w:val="center"/>
          </w:tcPr>
          <w:p w14:paraId="52D772DA">
            <w:pPr>
              <w:jc w:val="center"/>
              <w:rPr>
                <w:rFonts w:ascii="Times New Roman" w:hAnsi="Times New Roman"/>
                <w:color w:val="auto"/>
                <w:sz w:val="24"/>
                <w:szCs w:val="24"/>
                <w:highlight w:val="none"/>
              </w:rPr>
            </w:pPr>
          </w:p>
        </w:tc>
        <w:tc>
          <w:tcPr>
            <w:tcW w:w="3034" w:type="dxa"/>
            <w:noWrap w:val="0"/>
            <w:vAlign w:val="center"/>
          </w:tcPr>
          <w:p w14:paraId="72822957">
            <w:pPr>
              <w:jc w:val="center"/>
              <w:rPr>
                <w:rFonts w:ascii="Times New Roman" w:hAnsi="Times New Roman"/>
                <w:color w:val="auto"/>
                <w:sz w:val="24"/>
                <w:szCs w:val="24"/>
                <w:highlight w:val="none"/>
              </w:rPr>
            </w:pPr>
          </w:p>
        </w:tc>
        <w:tc>
          <w:tcPr>
            <w:tcW w:w="1391" w:type="dxa"/>
            <w:noWrap w:val="0"/>
            <w:vAlign w:val="center"/>
          </w:tcPr>
          <w:p w14:paraId="3E966CF3">
            <w:pPr>
              <w:jc w:val="center"/>
              <w:rPr>
                <w:rFonts w:ascii="Times New Roman" w:hAnsi="Times New Roman"/>
                <w:color w:val="auto"/>
                <w:sz w:val="24"/>
                <w:szCs w:val="24"/>
                <w:highlight w:val="none"/>
              </w:rPr>
            </w:pPr>
          </w:p>
        </w:tc>
      </w:tr>
      <w:tr w14:paraId="4FCE1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8A8FF2B">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2</w:t>
            </w:r>
          </w:p>
        </w:tc>
        <w:tc>
          <w:tcPr>
            <w:tcW w:w="3263" w:type="dxa"/>
            <w:noWrap w:val="0"/>
            <w:vAlign w:val="center"/>
          </w:tcPr>
          <w:p w14:paraId="230F31DB">
            <w:pPr>
              <w:jc w:val="center"/>
              <w:rPr>
                <w:rFonts w:ascii="Times New Roman" w:hAnsi="Times New Roman"/>
                <w:color w:val="auto"/>
                <w:sz w:val="24"/>
                <w:szCs w:val="24"/>
                <w:highlight w:val="none"/>
              </w:rPr>
            </w:pPr>
          </w:p>
        </w:tc>
        <w:tc>
          <w:tcPr>
            <w:tcW w:w="3034" w:type="dxa"/>
            <w:noWrap w:val="0"/>
            <w:vAlign w:val="center"/>
          </w:tcPr>
          <w:p w14:paraId="6D70AE73">
            <w:pPr>
              <w:jc w:val="center"/>
              <w:rPr>
                <w:rFonts w:ascii="Times New Roman" w:hAnsi="Times New Roman"/>
                <w:color w:val="auto"/>
                <w:sz w:val="24"/>
                <w:szCs w:val="24"/>
                <w:highlight w:val="none"/>
              </w:rPr>
            </w:pPr>
          </w:p>
        </w:tc>
        <w:tc>
          <w:tcPr>
            <w:tcW w:w="1391" w:type="dxa"/>
            <w:noWrap w:val="0"/>
            <w:vAlign w:val="center"/>
          </w:tcPr>
          <w:p w14:paraId="3D0092CB">
            <w:pPr>
              <w:jc w:val="center"/>
              <w:rPr>
                <w:rFonts w:ascii="Times New Roman" w:hAnsi="Times New Roman"/>
                <w:color w:val="auto"/>
                <w:sz w:val="24"/>
                <w:szCs w:val="24"/>
                <w:highlight w:val="none"/>
              </w:rPr>
            </w:pPr>
          </w:p>
        </w:tc>
      </w:tr>
      <w:tr w14:paraId="41766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08DFC63">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3</w:t>
            </w:r>
          </w:p>
        </w:tc>
        <w:tc>
          <w:tcPr>
            <w:tcW w:w="3263" w:type="dxa"/>
            <w:noWrap w:val="0"/>
            <w:vAlign w:val="center"/>
          </w:tcPr>
          <w:p w14:paraId="7BB3F268">
            <w:pPr>
              <w:jc w:val="center"/>
              <w:rPr>
                <w:rFonts w:ascii="Times New Roman" w:hAnsi="Times New Roman"/>
                <w:color w:val="auto"/>
                <w:sz w:val="24"/>
                <w:szCs w:val="24"/>
                <w:highlight w:val="none"/>
              </w:rPr>
            </w:pPr>
          </w:p>
        </w:tc>
        <w:tc>
          <w:tcPr>
            <w:tcW w:w="3034" w:type="dxa"/>
            <w:noWrap w:val="0"/>
            <w:vAlign w:val="center"/>
          </w:tcPr>
          <w:p w14:paraId="3D54B522">
            <w:pPr>
              <w:jc w:val="center"/>
              <w:rPr>
                <w:rFonts w:ascii="Times New Roman" w:hAnsi="Times New Roman"/>
                <w:color w:val="auto"/>
                <w:sz w:val="24"/>
                <w:szCs w:val="24"/>
                <w:highlight w:val="none"/>
              </w:rPr>
            </w:pPr>
          </w:p>
        </w:tc>
        <w:tc>
          <w:tcPr>
            <w:tcW w:w="1391" w:type="dxa"/>
            <w:noWrap w:val="0"/>
            <w:vAlign w:val="center"/>
          </w:tcPr>
          <w:p w14:paraId="4426C58E">
            <w:pPr>
              <w:jc w:val="center"/>
              <w:rPr>
                <w:rFonts w:ascii="Times New Roman" w:hAnsi="Times New Roman"/>
                <w:color w:val="auto"/>
                <w:sz w:val="24"/>
                <w:szCs w:val="24"/>
                <w:highlight w:val="none"/>
              </w:rPr>
            </w:pPr>
          </w:p>
        </w:tc>
      </w:tr>
      <w:tr w14:paraId="774A6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468F3C3">
            <w:pPr>
              <w:jc w:val="center"/>
              <w:rPr>
                <w:rFonts w:ascii="Times New Roman" w:hAnsi="Times New Roman"/>
                <w:color w:val="auto"/>
                <w:sz w:val="24"/>
                <w:szCs w:val="24"/>
                <w:highlight w:val="none"/>
              </w:rPr>
            </w:pPr>
            <w:r>
              <w:rPr>
                <w:rFonts w:ascii="Times New Roman" w:hAnsi="Times New Roman"/>
                <w:color w:val="auto"/>
                <w:sz w:val="24"/>
                <w:szCs w:val="24"/>
                <w:highlight w:val="none"/>
              </w:rPr>
              <w:t>…</w:t>
            </w:r>
          </w:p>
        </w:tc>
        <w:tc>
          <w:tcPr>
            <w:tcW w:w="3263" w:type="dxa"/>
            <w:noWrap w:val="0"/>
            <w:vAlign w:val="center"/>
          </w:tcPr>
          <w:p w14:paraId="78CBB43E">
            <w:pPr>
              <w:jc w:val="center"/>
              <w:rPr>
                <w:rFonts w:ascii="Times New Roman" w:hAnsi="Times New Roman"/>
                <w:color w:val="auto"/>
                <w:sz w:val="24"/>
                <w:szCs w:val="24"/>
                <w:highlight w:val="none"/>
              </w:rPr>
            </w:pPr>
          </w:p>
        </w:tc>
        <w:tc>
          <w:tcPr>
            <w:tcW w:w="3034" w:type="dxa"/>
            <w:noWrap w:val="0"/>
            <w:vAlign w:val="center"/>
          </w:tcPr>
          <w:p w14:paraId="29FE2665">
            <w:pPr>
              <w:jc w:val="center"/>
              <w:rPr>
                <w:rFonts w:ascii="Times New Roman" w:hAnsi="Times New Roman"/>
                <w:color w:val="auto"/>
                <w:sz w:val="24"/>
                <w:szCs w:val="24"/>
                <w:highlight w:val="none"/>
              </w:rPr>
            </w:pPr>
          </w:p>
        </w:tc>
        <w:tc>
          <w:tcPr>
            <w:tcW w:w="1391" w:type="dxa"/>
            <w:noWrap w:val="0"/>
            <w:vAlign w:val="center"/>
          </w:tcPr>
          <w:p w14:paraId="23442608">
            <w:pPr>
              <w:jc w:val="center"/>
              <w:rPr>
                <w:rFonts w:ascii="Times New Roman" w:hAnsi="Times New Roman"/>
                <w:color w:val="auto"/>
                <w:sz w:val="24"/>
                <w:szCs w:val="24"/>
                <w:highlight w:val="none"/>
              </w:rPr>
            </w:pPr>
          </w:p>
        </w:tc>
      </w:tr>
    </w:tbl>
    <w:p w14:paraId="2C1EB86F">
      <w:pPr>
        <w:spacing w:line="500" w:lineRule="exact"/>
        <w:ind w:firstLine="480"/>
        <w:rPr>
          <w:rFonts w:ascii="Times New Roman" w:hAnsi="Times New Roman"/>
          <w:color w:val="auto"/>
          <w:sz w:val="24"/>
          <w:szCs w:val="24"/>
          <w:highlight w:val="none"/>
        </w:rPr>
      </w:pPr>
    </w:p>
    <w:p w14:paraId="08E2CE7C">
      <w:pPr>
        <w:spacing w:line="500" w:lineRule="exact"/>
        <w:ind w:firstLine="480"/>
        <w:rPr>
          <w:rFonts w:ascii="Times New Roman" w:hAnsi="Times New Roman"/>
          <w:color w:val="auto"/>
          <w:sz w:val="24"/>
          <w:szCs w:val="24"/>
          <w:highlight w:val="none"/>
        </w:rPr>
      </w:pPr>
    </w:p>
    <w:p w14:paraId="427977C0">
      <w:pPr>
        <w:spacing w:line="360" w:lineRule="auto"/>
        <w:ind w:firstLine="480"/>
        <w:rPr>
          <w:rFonts w:ascii="Times New Roman" w:hAnsi="Times New Roman"/>
          <w:color w:val="auto"/>
          <w:sz w:val="24"/>
          <w:szCs w:val="24"/>
          <w:highlight w:val="none"/>
        </w:rPr>
      </w:pPr>
      <w:r>
        <w:rPr>
          <w:rFonts w:hint="eastAsia"/>
          <w:color w:val="auto"/>
          <w:sz w:val="24"/>
          <w:szCs w:val="24"/>
          <w:highlight w:val="none"/>
          <w:lang w:eastAsia="zh-CN"/>
        </w:rPr>
        <w:t>投标人</w:t>
      </w:r>
      <w:r>
        <w:rPr>
          <w:rFonts w:hint="eastAsia" w:ascii="Times New Roman" w:hAnsi="Times New Roman"/>
          <w:color w:val="auto"/>
          <w:sz w:val="24"/>
          <w:szCs w:val="24"/>
          <w:highlight w:val="none"/>
        </w:rPr>
        <w:t>（盖章）：</w:t>
      </w:r>
    </w:p>
    <w:p w14:paraId="2C47B5DA">
      <w:pPr>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7B69B90C">
      <w:pPr>
        <w:spacing w:line="500" w:lineRule="exact"/>
        <w:ind w:firstLine="480"/>
        <w:rPr>
          <w:rFonts w:hint="default" w:ascii="Times New Roman" w:hAnsi="Times New Roman" w:cs="Times New Roman"/>
          <w:iCs/>
          <w:color w:val="auto"/>
          <w:sz w:val="36"/>
          <w:highlight w:val="none"/>
        </w:rPr>
      </w:pPr>
      <w:r>
        <w:rPr>
          <w:rFonts w:hint="eastAsia" w:ascii="Times New Roman" w:hAnsi="Times New Roman"/>
          <w:color w:val="auto"/>
          <w:sz w:val="24"/>
          <w:szCs w:val="24"/>
          <w:highlight w:val="none"/>
        </w:rPr>
        <w:t>日期：    年     月     日</w:t>
      </w:r>
      <w:bookmarkStart w:id="11" w:name="_Hlt26955066"/>
      <w:bookmarkEnd w:id="11"/>
      <w:bookmarkStart w:id="12" w:name="_Hlt26671374"/>
      <w:bookmarkEnd w:id="12"/>
      <w:bookmarkStart w:id="13" w:name="_Hlt26609389"/>
      <w:bookmarkEnd w:id="13"/>
      <w:bookmarkStart w:id="14" w:name="_格式2__法定代表人授权书"/>
      <w:bookmarkEnd w:id="14"/>
    </w:p>
    <w:p w14:paraId="6AA18F00">
      <w:pPr>
        <w:keepNext/>
        <w:keepLines/>
        <w:spacing w:before="360" w:after="200" w:line="360" w:lineRule="auto"/>
        <w:jc w:val="left"/>
        <w:outlineLvl w:val="1"/>
        <w:rPr>
          <w:rFonts w:ascii="Times New Roman" w:hAnsi="Times New Roman" w:cs="Times New Roman"/>
          <w:iCs/>
          <w:color w:val="auto"/>
          <w:sz w:val="36"/>
          <w:highlight w:val="none"/>
        </w:rPr>
      </w:pPr>
      <w:r>
        <w:rPr>
          <w:rFonts w:hint="default" w:ascii="Times New Roman" w:hAnsi="Times New Roman" w:cs="Times New Roman"/>
          <w:iCs/>
          <w:color w:val="auto"/>
          <w:sz w:val="36"/>
          <w:highlight w:val="none"/>
        </w:rPr>
        <w:t>十</w:t>
      </w:r>
      <w:r>
        <w:rPr>
          <w:rFonts w:hint="default" w:ascii="Times New Roman" w:hAnsi="Times New Roman" w:cs="Times New Roman"/>
          <w:iCs/>
          <w:color w:val="auto"/>
          <w:sz w:val="36"/>
          <w:highlight w:val="none"/>
          <w:lang w:val="en-US" w:eastAsia="zh-CN"/>
        </w:rPr>
        <w:t>五</w:t>
      </w:r>
      <w:r>
        <w:rPr>
          <w:rFonts w:hint="default" w:ascii="Times New Roman" w:hAnsi="Times New Roman" w:cs="Times New Roman"/>
          <w:iCs/>
          <w:color w:val="auto"/>
          <w:sz w:val="36"/>
          <w:highlight w:val="none"/>
        </w:rPr>
        <w:t>、类似项目业绩一览表（</w:t>
      </w:r>
      <w:r>
        <w:rPr>
          <w:rFonts w:hint="default" w:ascii="Times New Roman" w:hAnsi="Times New Roman" w:cs="Times New Roman"/>
          <w:iCs/>
          <w:color w:val="auto"/>
          <w:sz w:val="36"/>
          <w:highlight w:val="none"/>
          <w:lang w:eastAsia="zh-CN"/>
        </w:rPr>
        <w:t>采购包</w:t>
      </w:r>
      <w:r>
        <w:rPr>
          <w:rFonts w:hint="default" w:ascii="Times New Roman" w:hAnsi="Times New Roman" w:cs="Times New Roman"/>
          <w:iCs/>
          <w:color w:val="auto"/>
          <w:sz w:val="36"/>
          <w:highlight w:val="none"/>
        </w:rPr>
        <w:t>号：**）</w:t>
      </w:r>
    </w:p>
    <w:p w14:paraId="39B3FC9E">
      <w:pPr>
        <w:tabs>
          <w:tab w:val="left" w:pos="360"/>
        </w:tabs>
        <w:spacing w:line="360" w:lineRule="auto"/>
        <w:jc w:val="center"/>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类似项目业绩一览表</w:t>
      </w:r>
    </w:p>
    <w:p w14:paraId="3B1F8EDF">
      <w:pPr>
        <w:spacing w:line="360" w:lineRule="auto"/>
        <w:jc w:val="left"/>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采购包</w:t>
      </w:r>
      <w:r>
        <w:rPr>
          <w:rFonts w:hint="default" w:ascii="Times New Roman" w:hAnsi="Times New Roman" w:cs="Times New Roman"/>
          <w:color w:val="auto"/>
          <w:sz w:val="24"/>
          <w:szCs w:val="24"/>
          <w:highlight w:val="none"/>
        </w:rPr>
        <w:t>号：</w:t>
      </w:r>
      <w:r>
        <w:rPr>
          <w:rFonts w:ascii="Times New Roman" w:hAnsi="Times New Roman"/>
          <w:bCs/>
          <w:color w:val="auto"/>
          <w:sz w:val="24"/>
          <w:szCs w:val="24"/>
          <w:highlight w:val="none"/>
        </w:rPr>
        <w:t xml:space="preserve"> </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3CF4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085EF67E">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序号</w:t>
            </w:r>
          </w:p>
        </w:tc>
        <w:tc>
          <w:tcPr>
            <w:tcW w:w="2686" w:type="dxa"/>
            <w:noWrap w:val="0"/>
            <w:vAlign w:val="center"/>
          </w:tcPr>
          <w:p w14:paraId="74B46282">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项目名称</w:t>
            </w:r>
          </w:p>
        </w:tc>
        <w:tc>
          <w:tcPr>
            <w:tcW w:w="1850" w:type="dxa"/>
            <w:noWrap w:val="0"/>
            <w:vAlign w:val="center"/>
          </w:tcPr>
          <w:p w14:paraId="246C3446">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签订时间</w:t>
            </w:r>
          </w:p>
        </w:tc>
        <w:tc>
          <w:tcPr>
            <w:tcW w:w="1985" w:type="dxa"/>
            <w:noWrap w:val="0"/>
            <w:vAlign w:val="center"/>
          </w:tcPr>
          <w:p w14:paraId="611BBC99">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采购单位</w:t>
            </w:r>
          </w:p>
        </w:tc>
        <w:tc>
          <w:tcPr>
            <w:tcW w:w="1309" w:type="dxa"/>
            <w:noWrap w:val="0"/>
            <w:vAlign w:val="center"/>
          </w:tcPr>
          <w:p w14:paraId="6CC9E8C4">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主要标的</w:t>
            </w:r>
          </w:p>
        </w:tc>
      </w:tr>
      <w:tr w14:paraId="5C4BA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jc w:val="center"/>
        </w:trPr>
        <w:tc>
          <w:tcPr>
            <w:tcW w:w="675" w:type="dxa"/>
            <w:noWrap w:val="0"/>
            <w:vAlign w:val="center"/>
          </w:tcPr>
          <w:p w14:paraId="18ADD09A">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1</w:t>
            </w:r>
          </w:p>
        </w:tc>
        <w:tc>
          <w:tcPr>
            <w:tcW w:w="2686" w:type="dxa"/>
            <w:noWrap w:val="0"/>
            <w:vAlign w:val="center"/>
          </w:tcPr>
          <w:p w14:paraId="59A635A6">
            <w:pPr>
              <w:jc w:val="center"/>
              <w:rPr>
                <w:rFonts w:ascii="Times New Roman" w:hAnsi="Times New Roman"/>
                <w:color w:val="auto"/>
                <w:sz w:val="24"/>
                <w:szCs w:val="24"/>
                <w:highlight w:val="none"/>
              </w:rPr>
            </w:pPr>
          </w:p>
        </w:tc>
        <w:tc>
          <w:tcPr>
            <w:tcW w:w="1850" w:type="dxa"/>
            <w:noWrap w:val="0"/>
            <w:vAlign w:val="top"/>
          </w:tcPr>
          <w:p w14:paraId="7EF4B0B6">
            <w:pPr>
              <w:jc w:val="center"/>
              <w:rPr>
                <w:rFonts w:ascii="Times New Roman" w:hAnsi="Times New Roman"/>
                <w:color w:val="auto"/>
                <w:sz w:val="24"/>
                <w:szCs w:val="24"/>
                <w:highlight w:val="none"/>
              </w:rPr>
            </w:pPr>
          </w:p>
        </w:tc>
        <w:tc>
          <w:tcPr>
            <w:tcW w:w="1985" w:type="dxa"/>
            <w:noWrap w:val="0"/>
            <w:vAlign w:val="center"/>
          </w:tcPr>
          <w:p w14:paraId="5AD0C99A">
            <w:pPr>
              <w:jc w:val="center"/>
              <w:rPr>
                <w:rFonts w:ascii="Times New Roman" w:hAnsi="Times New Roman"/>
                <w:color w:val="auto"/>
                <w:sz w:val="24"/>
                <w:szCs w:val="24"/>
                <w:highlight w:val="none"/>
              </w:rPr>
            </w:pPr>
          </w:p>
        </w:tc>
        <w:tc>
          <w:tcPr>
            <w:tcW w:w="1309" w:type="dxa"/>
            <w:noWrap w:val="0"/>
            <w:vAlign w:val="center"/>
          </w:tcPr>
          <w:p w14:paraId="5CFF030D">
            <w:pPr>
              <w:jc w:val="center"/>
              <w:rPr>
                <w:rFonts w:ascii="Times New Roman" w:hAnsi="Times New Roman"/>
                <w:color w:val="auto"/>
                <w:sz w:val="24"/>
                <w:szCs w:val="24"/>
                <w:highlight w:val="none"/>
              </w:rPr>
            </w:pPr>
          </w:p>
        </w:tc>
      </w:tr>
      <w:tr w14:paraId="45318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798C2A4">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2</w:t>
            </w:r>
          </w:p>
        </w:tc>
        <w:tc>
          <w:tcPr>
            <w:tcW w:w="2686" w:type="dxa"/>
            <w:noWrap w:val="0"/>
            <w:vAlign w:val="center"/>
          </w:tcPr>
          <w:p w14:paraId="21FF72EE">
            <w:pPr>
              <w:jc w:val="center"/>
              <w:rPr>
                <w:rFonts w:ascii="Times New Roman" w:hAnsi="Times New Roman"/>
                <w:color w:val="auto"/>
                <w:sz w:val="24"/>
                <w:szCs w:val="24"/>
                <w:highlight w:val="none"/>
              </w:rPr>
            </w:pPr>
          </w:p>
        </w:tc>
        <w:tc>
          <w:tcPr>
            <w:tcW w:w="1850" w:type="dxa"/>
            <w:noWrap w:val="0"/>
            <w:vAlign w:val="top"/>
          </w:tcPr>
          <w:p w14:paraId="63006C08">
            <w:pPr>
              <w:jc w:val="center"/>
              <w:rPr>
                <w:rFonts w:ascii="Times New Roman" w:hAnsi="Times New Roman"/>
                <w:color w:val="auto"/>
                <w:sz w:val="24"/>
                <w:szCs w:val="24"/>
                <w:highlight w:val="none"/>
              </w:rPr>
            </w:pPr>
          </w:p>
        </w:tc>
        <w:tc>
          <w:tcPr>
            <w:tcW w:w="1985" w:type="dxa"/>
            <w:noWrap w:val="0"/>
            <w:vAlign w:val="center"/>
          </w:tcPr>
          <w:p w14:paraId="47F66161">
            <w:pPr>
              <w:jc w:val="center"/>
              <w:rPr>
                <w:rFonts w:ascii="Times New Roman" w:hAnsi="Times New Roman"/>
                <w:color w:val="auto"/>
                <w:sz w:val="24"/>
                <w:szCs w:val="24"/>
                <w:highlight w:val="none"/>
              </w:rPr>
            </w:pPr>
          </w:p>
        </w:tc>
        <w:tc>
          <w:tcPr>
            <w:tcW w:w="1309" w:type="dxa"/>
            <w:noWrap w:val="0"/>
            <w:vAlign w:val="center"/>
          </w:tcPr>
          <w:p w14:paraId="2F790125">
            <w:pPr>
              <w:jc w:val="center"/>
              <w:rPr>
                <w:rFonts w:ascii="Times New Roman" w:hAnsi="Times New Roman"/>
                <w:color w:val="auto"/>
                <w:sz w:val="24"/>
                <w:szCs w:val="24"/>
                <w:highlight w:val="none"/>
              </w:rPr>
            </w:pPr>
          </w:p>
        </w:tc>
      </w:tr>
      <w:tr w14:paraId="3348A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jc w:val="center"/>
        </w:trPr>
        <w:tc>
          <w:tcPr>
            <w:tcW w:w="675" w:type="dxa"/>
            <w:noWrap w:val="0"/>
            <w:vAlign w:val="center"/>
          </w:tcPr>
          <w:p w14:paraId="3A85E391">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3</w:t>
            </w:r>
          </w:p>
        </w:tc>
        <w:tc>
          <w:tcPr>
            <w:tcW w:w="2686" w:type="dxa"/>
            <w:noWrap w:val="0"/>
            <w:vAlign w:val="center"/>
          </w:tcPr>
          <w:p w14:paraId="28AF0435">
            <w:pPr>
              <w:jc w:val="center"/>
              <w:rPr>
                <w:rFonts w:ascii="Times New Roman" w:hAnsi="Times New Roman"/>
                <w:color w:val="auto"/>
                <w:sz w:val="24"/>
                <w:szCs w:val="24"/>
                <w:highlight w:val="none"/>
              </w:rPr>
            </w:pPr>
          </w:p>
        </w:tc>
        <w:tc>
          <w:tcPr>
            <w:tcW w:w="1850" w:type="dxa"/>
            <w:noWrap w:val="0"/>
            <w:vAlign w:val="top"/>
          </w:tcPr>
          <w:p w14:paraId="7AA0942E">
            <w:pPr>
              <w:jc w:val="center"/>
              <w:rPr>
                <w:rFonts w:ascii="Times New Roman" w:hAnsi="Times New Roman"/>
                <w:color w:val="auto"/>
                <w:sz w:val="24"/>
                <w:szCs w:val="24"/>
                <w:highlight w:val="none"/>
              </w:rPr>
            </w:pPr>
          </w:p>
        </w:tc>
        <w:tc>
          <w:tcPr>
            <w:tcW w:w="1985" w:type="dxa"/>
            <w:noWrap w:val="0"/>
            <w:vAlign w:val="center"/>
          </w:tcPr>
          <w:p w14:paraId="24B7BA0F">
            <w:pPr>
              <w:jc w:val="center"/>
              <w:rPr>
                <w:rFonts w:ascii="Times New Roman" w:hAnsi="Times New Roman"/>
                <w:color w:val="auto"/>
                <w:sz w:val="24"/>
                <w:szCs w:val="24"/>
                <w:highlight w:val="none"/>
              </w:rPr>
            </w:pPr>
          </w:p>
        </w:tc>
        <w:tc>
          <w:tcPr>
            <w:tcW w:w="1309" w:type="dxa"/>
            <w:noWrap w:val="0"/>
            <w:vAlign w:val="center"/>
          </w:tcPr>
          <w:p w14:paraId="4EEF668E">
            <w:pPr>
              <w:jc w:val="center"/>
              <w:rPr>
                <w:rFonts w:ascii="Times New Roman" w:hAnsi="Times New Roman"/>
                <w:color w:val="auto"/>
                <w:sz w:val="24"/>
                <w:szCs w:val="24"/>
                <w:highlight w:val="none"/>
              </w:rPr>
            </w:pPr>
          </w:p>
        </w:tc>
      </w:tr>
      <w:tr w14:paraId="47C4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C0D95DE">
            <w:pPr>
              <w:jc w:val="center"/>
              <w:rPr>
                <w:rFonts w:ascii="Times New Roman" w:hAnsi="Times New Roman"/>
                <w:color w:val="auto"/>
                <w:sz w:val="24"/>
                <w:szCs w:val="24"/>
                <w:highlight w:val="none"/>
              </w:rPr>
            </w:pPr>
            <w:r>
              <w:rPr>
                <w:rFonts w:ascii="Times New Roman" w:hAnsi="Times New Roman"/>
                <w:color w:val="auto"/>
                <w:sz w:val="24"/>
                <w:szCs w:val="24"/>
                <w:highlight w:val="none"/>
              </w:rPr>
              <w:t>…</w:t>
            </w:r>
          </w:p>
        </w:tc>
        <w:tc>
          <w:tcPr>
            <w:tcW w:w="2686" w:type="dxa"/>
            <w:noWrap w:val="0"/>
            <w:vAlign w:val="center"/>
          </w:tcPr>
          <w:p w14:paraId="271E0B11">
            <w:pPr>
              <w:jc w:val="center"/>
              <w:rPr>
                <w:rFonts w:ascii="Times New Roman" w:hAnsi="Times New Roman"/>
                <w:color w:val="auto"/>
                <w:sz w:val="24"/>
                <w:szCs w:val="24"/>
                <w:highlight w:val="none"/>
              </w:rPr>
            </w:pPr>
          </w:p>
        </w:tc>
        <w:tc>
          <w:tcPr>
            <w:tcW w:w="1850" w:type="dxa"/>
            <w:noWrap w:val="0"/>
            <w:vAlign w:val="top"/>
          </w:tcPr>
          <w:p w14:paraId="2F500F69">
            <w:pPr>
              <w:jc w:val="center"/>
              <w:rPr>
                <w:rFonts w:ascii="Times New Roman" w:hAnsi="Times New Roman"/>
                <w:color w:val="auto"/>
                <w:sz w:val="24"/>
                <w:szCs w:val="24"/>
                <w:highlight w:val="none"/>
              </w:rPr>
            </w:pPr>
          </w:p>
        </w:tc>
        <w:tc>
          <w:tcPr>
            <w:tcW w:w="1985" w:type="dxa"/>
            <w:noWrap w:val="0"/>
            <w:vAlign w:val="center"/>
          </w:tcPr>
          <w:p w14:paraId="071F30F7">
            <w:pPr>
              <w:jc w:val="center"/>
              <w:rPr>
                <w:rFonts w:ascii="Times New Roman" w:hAnsi="Times New Roman"/>
                <w:color w:val="auto"/>
                <w:sz w:val="24"/>
                <w:szCs w:val="24"/>
                <w:highlight w:val="none"/>
              </w:rPr>
            </w:pPr>
          </w:p>
        </w:tc>
        <w:tc>
          <w:tcPr>
            <w:tcW w:w="1309" w:type="dxa"/>
            <w:noWrap w:val="0"/>
            <w:vAlign w:val="center"/>
          </w:tcPr>
          <w:p w14:paraId="64F82017">
            <w:pPr>
              <w:jc w:val="center"/>
              <w:rPr>
                <w:rFonts w:ascii="Times New Roman" w:hAnsi="Times New Roman"/>
                <w:color w:val="auto"/>
                <w:sz w:val="24"/>
                <w:szCs w:val="24"/>
                <w:highlight w:val="none"/>
              </w:rPr>
            </w:pPr>
          </w:p>
        </w:tc>
      </w:tr>
    </w:tbl>
    <w:p w14:paraId="504700E1">
      <w:pPr>
        <w:spacing w:line="500" w:lineRule="exact"/>
        <w:ind w:firstLine="480"/>
        <w:rPr>
          <w:rFonts w:ascii="Times New Roman" w:hAnsi="Times New Roman"/>
          <w:color w:val="auto"/>
          <w:sz w:val="24"/>
          <w:szCs w:val="24"/>
          <w:highlight w:val="none"/>
        </w:rPr>
      </w:pPr>
    </w:p>
    <w:p w14:paraId="0FB84559">
      <w:pPr>
        <w:spacing w:line="500" w:lineRule="exact"/>
        <w:ind w:firstLine="480"/>
        <w:rPr>
          <w:rFonts w:ascii="Times New Roman" w:hAnsi="Times New Roman"/>
          <w:color w:val="auto"/>
          <w:sz w:val="24"/>
          <w:szCs w:val="24"/>
          <w:highlight w:val="none"/>
        </w:rPr>
      </w:pPr>
    </w:p>
    <w:p w14:paraId="2A7BD1AB">
      <w:pPr>
        <w:spacing w:line="360" w:lineRule="auto"/>
        <w:ind w:firstLine="480"/>
        <w:rPr>
          <w:rFonts w:ascii="Times New Roman" w:hAnsi="Times New Roman"/>
          <w:color w:val="auto"/>
          <w:sz w:val="24"/>
          <w:szCs w:val="24"/>
          <w:highlight w:val="none"/>
        </w:rPr>
      </w:pPr>
      <w:r>
        <w:rPr>
          <w:rFonts w:hint="eastAsia"/>
          <w:color w:val="auto"/>
          <w:sz w:val="24"/>
          <w:szCs w:val="24"/>
          <w:highlight w:val="none"/>
          <w:lang w:eastAsia="zh-CN"/>
        </w:rPr>
        <w:t>投标人</w:t>
      </w:r>
      <w:r>
        <w:rPr>
          <w:rFonts w:hint="eastAsia" w:ascii="Times New Roman" w:hAnsi="Times New Roman"/>
          <w:color w:val="auto"/>
          <w:sz w:val="24"/>
          <w:szCs w:val="24"/>
          <w:highlight w:val="none"/>
        </w:rPr>
        <w:t>（盖章）：</w:t>
      </w:r>
    </w:p>
    <w:p w14:paraId="5D60FF25">
      <w:pPr>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0FC8C6C5">
      <w:pPr>
        <w:spacing w:line="500" w:lineRule="exact"/>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654F5FA0">
      <w:pPr>
        <w:rPr>
          <w:color w:val="auto"/>
          <w:highlight w:val="none"/>
        </w:rPr>
      </w:pPr>
    </w:p>
    <w:p w14:paraId="12995416">
      <w:pPr>
        <w:rPr>
          <w:color w:val="auto"/>
          <w:highlight w:val="none"/>
        </w:rPr>
      </w:pPr>
    </w:p>
    <w:p w14:paraId="4360D4B9">
      <w:pPr>
        <w:keepNext/>
        <w:keepLines/>
        <w:spacing w:before="360" w:after="200" w:line="360" w:lineRule="auto"/>
        <w:jc w:val="left"/>
        <w:outlineLvl w:val="1"/>
        <w:rPr>
          <w:rFonts w:ascii="Times New Roman" w:hAnsi="Times New Roman" w:cs="Times New Roman"/>
          <w:iCs/>
          <w:color w:val="auto"/>
          <w:sz w:val="36"/>
          <w:highlight w:val="none"/>
        </w:rPr>
      </w:pPr>
      <w:r>
        <w:rPr>
          <w:rFonts w:hint="default" w:ascii="Times New Roman" w:hAnsi="Times New Roman" w:cs="Times New Roman"/>
          <w:iCs/>
          <w:color w:val="auto"/>
          <w:sz w:val="36"/>
          <w:highlight w:val="none"/>
        </w:rPr>
        <w:t>十</w:t>
      </w:r>
      <w:r>
        <w:rPr>
          <w:rFonts w:hint="default" w:ascii="Times New Roman" w:hAnsi="Times New Roman" w:cs="Times New Roman"/>
          <w:iCs/>
          <w:color w:val="auto"/>
          <w:sz w:val="36"/>
          <w:highlight w:val="none"/>
          <w:lang w:val="en-US" w:eastAsia="zh-CN"/>
        </w:rPr>
        <w:t>六</w:t>
      </w:r>
      <w:r>
        <w:rPr>
          <w:rFonts w:hint="default" w:ascii="Times New Roman" w:hAnsi="Times New Roman" w:cs="Times New Roman"/>
          <w:iCs/>
          <w:color w:val="auto"/>
          <w:sz w:val="36"/>
          <w:highlight w:val="none"/>
        </w:rPr>
        <w:t>、项目团队人员一览表（</w:t>
      </w:r>
      <w:r>
        <w:rPr>
          <w:rFonts w:hint="default" w:ascii="Times New Roman" w:hAnsi="Times New Roman" w:cs="Times New Roman"/>
          <w:iCs/>
          <w:color w:val="auto"/>
          <w:sz w:val="36"/>
          <w:highlight w:val="none"/>
          <w:lang w:eastAsia="zh-CN"/>
        </w:rPr>
        <w:t>采购包</w:t>
      </w:r>
      <w:r>
        <w:rPr>
          <w:rFonts w:hint="default" w:ascii="Times New Roman" w:hAnsi="Times New Roman" w:cs="Times New Roman"/>
          <w:iCs/>
          <w:color w:val="auto"/>
          <w:sz w:val="36"/>
          <w:highlight w:val="none"/>
        </w:rPr>
        <w:t>号：**）</w:t>
      </w:r>
    </w:p>
    <w:p w14:paraId="161E5C2D">
      <w:pPr>
        <w:tabs>
          <w:tab w:val="left" w:pos="360"/>
        </w:tabs>
        <w:spacing w:line="360" w:lineRule="auto"/>
        <w:jc w:val="center"/>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项目团队人员一览表</w:t>
      </w:r>
    </w:p>
    <w:p w14:paraId="55993064">
      <w:pPr>
        <w:spacing w:line="360" w:lineRule="auto"/>
        <w:jc w:val="left"/>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采购包</w:t>
      </w:r>
      <w:r>
        <w:rPr>
          <w:rFonts w:hint="default" w:ascii="Times New Roman" w:hAnsi="Times New Roman" w:cs="Times New Roman"/>
          <w:color w:val="auto"/>
          <w:sz w:val="24"/>
          <w:szCs w:val="24"/>
          <w:highlight w:val="none"/>
        </w:rPr>
        <w:t>号：</w:t>
      </w:r>
      <w:r>
        <w:rPr>
          <w:rFonts w:ascii="Times New Roman" w:hAnsi="Times New Roman"/>
          <w:bCs/>
          <w:color w:val="auto"/>
          <w:sz w:val="24"/>
          <w:szCs w:val="24"/>
          <w:highlight w:val="none"/>
        </w:rPr>
        <w:t xml:space="preserve"> </w:t>
      </w:r>
    </w:p>
    <w:tbl>
      <w:tblPr>
        <w:tblStyle w:val="36"/>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601"/>
      </w:tblGrid>
      <w:tr w14:paraId="6E66E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7E5C3CA6">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姓名</w:t>
            </w:r>
          </w:p>
        </w:tc>
        <w:tc>
          <w:tcPr>
            <w:tcW w:w="1446" w:type="dxa"/>
            <w:noWrap w:val="0"/>
            <w:vAlign w:val="center"/>
          </w:tcPr>
          <w:p w14:paraId="6F6E808F">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本项目拟担任职务</w:t>
            </w:r>
          </w:p>
        </w:tc>
        <w:tc>
          <w:tcPr>
            <w:tcW w:w="2239" w:type="dxa"/>
            <w:noWrap w:val="0"/>
            <w:vAlign w:val="center"/>
          </w:tcPr>
          <w:p w14:paraId="1A7FFD29">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技术职称、专业资质</w:t>
            </w:r>
          </w:p>
        </w:tc>
        <w:tc>
          <w:tcPr>
            <w:tcW w:w="1134" w:type="dxa"/>
            <w:noWrap w:val="0"/>
            <w:vAlign w:val="center"/>
          </w:tcPr>
          <w:p w14:paraId="15BD21C7">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学历</w:t>
            </w:r>
          </w:p>
        </w:tc>
        <w:tc>
          <w:tcPr>
            <w:tcW w:w="1601" w:type="dxa"/>
            <w:noWrap w:val="0"/>
            <w:vAlign w:val="center"/>
          </w:tcPr>
          <w:p w14:paraId="59A34B40">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主要资历及担任过的职务</w:t>
            </w:r>
          </w:p>
        </w:tc>
      </w:tr>
      <w:tr w14:paraId="3ED8F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8209BFA">
            <w:pPr>
              <w:jc w:val="both"/>
              <w:rPr>
                <w:rFonts w:ascii="Times New Roman" w:hAnsi="Times New Roman"/>
                <w:color w:val="auto"/>
                <w:sz w:val="24"/>
                <w:szCs w:val="24"/>
                <w:highlight w:val="none"/>
              </w:rPr>
            </w:pPr>
          </w:p>
        </w:tc>
        <w:tc>
          <w:tcPr>
            <w:tcW w:w="1446" w:type="dxa"/>
            <w:noWrap w:val="0"/>
            <w:vAlign w:val="center"/>
          </w:tcPr>
          <w:p w14:paraId="59680F3D">
            <w:pPr>
              <w:jc w:val="both"/>
              <w:rPr>
                <w:rFonts w:ascii="Times New Roman" w:hAnsi="Times New Roman"/>
                <w:color w:val="auto"/>
                <w:sz w:val="24"/>
                <w:szCs w:val="24"/>
                <w:highlight w:val="none"/>
              </w:rPr>
            </w:pPr>
          </w:p>
        </w:tc>
        <w:tc>
          <w:tcPr>
            <w:tcW w:w="2239" w:type="dxa"/>
            <w:noWrap w:val="0"/>
            <w:vAlign w:val="top"/>
          </w:tcPr>
          <w:p w14:paraId="4AC8840E">
            <w:pPr>
              <w:jc w:val="both"/>
              <w:rPr>
                <w:rFonts w:ascii="Times New Roman" w:hAnsi="Times New Roman"/>
                <w:color w:val="auto"/>
                <w:sz w:val="24"/>
                <w:szCs w:val="24"/>
                <w:highlight w:val="none"/>
              </w:rPr>
            </w:pPr>
          </w:p>
        </w:tc>
        <w:tc>
          <w:tcPr>
            <w:tcW w:w="1134" w:type="dxa"/>
            <w:noWrap w:val="0"/>
            <w:vAlign w:val="top"/>
          </w:tcPr>
          <w:p w14:paraId="29CCD889">
            <w:pPr>
              <w:jc w:val="both"/>
              <w:rPr>
                <w:rFonts w:ascii="Times New Roman" w:hAnsi="Times New Roman"/>
                <w:color w:val="auto"/>
                <w:sz w:val="24"/>
                <w:szCs w:val="24"/>
                <w:highlight w:val="none"/>
              </w:rPr>
            </w:pPr>
          </w:p>
        </w:tc>
        <w:tc>
          <w:tcPr>
            <w:tcW w:w="1601" w:type="dxa"/>
            <w:noWrap w:val="0"/>
            <w:vAlign w:val="center"/>
          </w:tcPr>
          <w:p w14:paraId="4433F1C5">
            <w:pPr>
              <w:jc w:val="both"/>
              <w:rPr>
                <w:rFonts w:ascii="Times New Roman" w:hAnsi="Times New Roman"/>
                <w:color w:val="auto"/>
                <w:sz w:val="24"/>
                <w:szCs w:val="24"/>
                <w:highlight w:val="none"/>
              </w:rPr>
            </w:pPr>
          </w:p>
        </w:tc>
      </w:tr>
      <w:tr w14:paraId="1BBE4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26F0653">
            <w:pPr>
              <w:jc w:val="both"/>
              <w:rPr>
                <w:rFonts w:ascii="Times New Roman" w:hAnsi="Times New Roman"/>
                <w:color w:val="auto"/>
                <w:sz w:val="24"/>
                <w:szCs w:val="24"/>
                <w:highlight w:val="none"/>
              </w:rPr>
            </w:pPr>
          </w:p>
        </w:tc>
        <w:tc>
          <w:tcPr>
            <w:tcW w:w="1446" w:type="dxa"/>
            <w:noWrap w:val="0"/>
            <w:vAlign w:val="center"/>
          </w:tcPr>
          <w:p w14:paraId="443D95D2">
            <w:pPr>
              <w:jc w:val="both"/>
              <w:rPr>
                <w:rFonts w:ascii="Times New Roman" w:hAnsi="Times New Roman"/>
                <w:color w:val="auto"/>
                <w:sz w:val="24"/>
                <w:szCs w:val="24"/>
                <w:highlight w:val="none"/>
              </w:rPr>
            </w:pPr>
          </w:p>
        </w:tc>
        <w:tc>
          <w:tcPr>
            <w:tcW w:w="2239" w:type="dxa"/>
            <w:noWrap w:val="0"/>
            <w:vAlign w:val="top"/>
          </w:tcPr>
          <w:p w14:paraId="2822F939">
            <w:pPr>
              <w:jc w:val="both"/>
              <w:rPr>
                <w:rFonts w:ascii="Times New Roman" w:hAnsi="Times New Roman"/>
                <w:color w:val="auto"/>
                <w:sz w:val="24"/>
                <w:szCs w:val="24"/>
                <w:highlight w:val="none"/>
              </w:rPr>
            </w:pPr>
          </w:p>
        </w:tc>
        <w:tc>
          <w:tcPr>
            <w:tcW w:w="1134" w:type="dxa"/>
            <w:noWrap w:val="0"/>
            <w:vAlign w:val="top"/>
          </w:tcPr>
          <w:p w14:paraId="24328EC8">
            <w:pPr>
              <w:jc w:val="both"/>
              <w:rPr>
                <w:rFonts w:ascii="Times New Roman" w:hAnsi="Times New Roman"/>
                <w:color w:val="auto"/>
                <w:sz w:val="24"/>
                <w:szCs w:val="24"/>
                <w:highlight w:val="none"/>
              </w:rPr>
            </w:pPr>
          </w:p>
        </w:tc>
        <w:tc>
          <w:tcPr>
            <w:tcW w:w="1601" w:type="dxa"/>
            <w:noWrap w:val="0"/>
            <w:vAlign w:val="center"/>
          </w:tcPr>
          <w:p w14:paraId="47D32CE7">
            <w:pPr>
              <w:jc w:val="both"/>
              <w:rPr>
                <w:rFonts w:ascii="Times New Roman" w:hAnsi="Times New Roman"/>
                <w:color w:val="auto"/>
                <w:sz w:val="24"/>
                <w:szCs w:val="24"/>
                <w:highlight w:val="none"/>
              </w:rPr>
            </w:pPr>
          </w:p>
        </w:tc>
      </w:tr>
      <w:tr w14:paraId="4C829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9803A02">
            <w:pPr>
              <w:jc w:val="both"/>
              <w:rPr>
                <w:rFonts w:ascii="Times New Roman" w:hAnsi="Times New Roman"/>
                <w:color w:val="auto"/>
                <w:sz w:val="24"/>
                <w:szCs w:val="24"/>
                <w:highlight w:val="none"/>
              </w:rPr>
            </w:pPr>
          </w:p>
        </w:tc>
        <w:tc>
          <w:tcPr>
            <w:tcW w:w="1446" w:type="dxa"/>
            <w:noWrap w:val="0"/>
            <w:vAlign w:val="center"/>
          </w:tcPr>
          <w:p w14:paraId="07A0169F">
            <w:pPr>
              <w:jc w:val="both"/>
              <w:rPr>
                <w:rFonts w:ascii="Times New Roman" w:hAnsi="Times New Roman"/>
                <w:color w:val="auto"/>
                <w:sz w:val="24"/>
                <w:szCs w:val="24"/>
                <w:highlight w:val="none"/>
              </w:rPr>
            </w:pPr>
          </w:p>
        </w:tc>
        <w:tc>
          <w:tcPr>
            <w:tcW w:w="2239" w:type="dxa"/>
            <w:noWrap w:val="0"/>
            <w:vAlign w:val="top"/>
          </w:tcPr>
          <w:p w14:paraId="0F8C8A6D">
            <w:pPr>
              <w:jc w:val="both"/>
              <w:rPr>
                <w:rFonts w:ascii="Times New Roman" w:hAnsi="Times New Roman"/>
                <w:color w:val="auto"/>
                <w:sz w:val="24"/>
                <w:szCs w:val="24"/>
                <w:highlight w:val="none"/>
              </w:rPr>
            </w:pPr>
          </w:p>
        </w:tc>
        <w:tc>
          <w:tcPr>
            <w:tcW w:w="1134" w:type="dxa"/>
            <w:noWrap w:val="0"/>
            <w:vAlign w:val="top"/>
          </w:tcPr>
          <w:p w14:paraId="26E862F6">
            <w:pPr>
              <w:jc w:val="both"/>
              <w:rPr>
                <w:rFonts w:ascii="Times New Roman" w:hAnsi="Times New Roman"/>
                <w:color w:val="auto"/>
                <w:sz w:val="24"/>
                <w:szCs w:val="24"/>
                <w:highlight w:val="none"/>
              </w:rPr>
            </w:pPr>
          </w:p>
        </w:tc>
        <w:tc>
          <w:tcPr>
            <w:tcW w:w="1601" w:type="dxa"/>
            <w:noWrap w:val="0"/>
            <w:vAlign w:val="center"/>
          </w:tcPr>
          <w:p w14:paraId="0DFC5FCD">
            <w:pPr>
              <w:jc w:val="both"/>
              <w:rPr>
                <w:rFonts w:ascii="Times New Roman" w:hAnsi="Times New Roman"/>
                <w:color w:val="auto"/>
                <w:sz w:val="24"/>
                <w:szCs w:val="24"/>
                <w:highlight w:val="none"/>
              </w:rPr>
            </w:pPr>
          </w:p>
        </w:tc>
      </w:tr>
      <w:tr w14:paraId="32ED7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C6F754C">
            <w:pPr>
              <w:jc w:val="both"/>
              <w:rPr>
                <w:rFonts w:ascii="Times New Roman" w:hAnsi="Times New Roman"/>
                <w:color w:val="auto"/>
                <w:sz w:val="24"/>
                <w:szCs w:val="24"/>
                <w:highlight w:val="none"/>
              </w:rPr>
            </w:pPr>
          </w:p>
        </w:tc>
        <w:tc>
          <w:tcPr>
            <w:tcW w:w="1446" w:type="dxa"/>
            <w:noWrap w:val="0"/>
            <w:vAlign w:val="center"/>
          </w:tcPr>
          <w:p w14:paraId="24D76B0E">
            <w:pPr>
              <w:jc w:val="both"/>
              <w:rPr>
                <w:rFonts w:ascii="Times New Roman" w:hAnsi="Times New Roman"/>
                <w:color w:val="auto"/>
                <w:sz w:val="24"/>
                <w:szCs w:val="24"/>
                <w:highlight w:val="none"/>
              </w:rPr>
            </w:pPr>
          </w:p>
        </w:tc>
        <w:tc>
          <w:tcPr>
            <w:tcW w:w="2239" w:type="dxa"/>
            <w:noWrap w:val="0"/>
            <w:vAlign w:val="top"/>
          </w:tcPr>
          <w:p w14:paraId="3EF11BC5">
            <w:pPr>
              <w:jc w:val="both"/>
              <w:rPr>
                <w:rFonts w:ascii="Times New Roman" w:hAnsi="Times New Roman"/>
                <w:color w:val="auto"/>
                <w:sz w:val="24"/>
                <w:szCs w:val="24"/>
                <w:highlight w:val="none"/>
              </w:rPr>
            </w:pPr>
          </w:p>
        </w:tc>
        <w:tc>
          <w:tcPr>
            <w:tcW w:w="1134" w:type="dxa"/>
            <w:noWrap w:val="0"/>
            <w:vAlign w:val="top"/>
          </w:tcPr>
          <w:p w14:paraId="1321C9F8">
            <w:pPr>
              <w:jc w:val="both"/>
              <w:rPr>
                <w:rFonts w:ascii="Times New Roman" w:hAnsi="Times New Roman"/>
                <w:color w:val="auto"/>
                <w:sz w:val="24"/>
                <w:szCs w:val="24"/>
                <w:highlight w:val="none"/>
              </w:rPr>
            </w:pPr>
          </w:p>
        </w:tc>
        <w:tc>
          <w:tcPr>
            <w:tcW w:w="1601" w:type="dxa"/>
            <w:noWrap w:val="0"/>
            <w:vAlign w:val="center"/>
          </w:tcPr>
          <w:p w14:paraId="659D4096">
            <w:pPr>
              <w:jc w:val="both"/>
              <w:rPr>
                <w:rFonts w:ascii="Times New Roman" w:hAnsi="Times New Roman"/>
                <w:color w:val="auto"/>
                <w:sz w:val="24"/>
                <w:szCs w:val="24"/>
                <w:highlight w:val="none"/>
              </w:rPr>
            </w:pPr>
          </w:p>
        </w:tc>
      </w:tr>
    </w:tbl>
    <w:p w14:paraId="5BADC8A3">
      <w:pPr>
        <w:spacing w:line="500" w:lineRule="exact"/>
        <w:ind w:firstLine="480"/>
        <w:rPr>
          <w:rFonts w:ascii="Times New Roman" w:hAnsi="Times New Roman"/>
          <w:color w:val="auto"/>
          <w:sz w:val="24"/>
          <w:szCs w:val="24"/>
          <w:highlight w:val="none"/>
        </w:rPr>
      </w:pPr>
    </w:p>
    <w:p w14:paraId="1B08D3DE">
      <w:pPr>
        <w:spacing w:line="500" w:lineRule="exact"/>
        <w:ind w:firstLine="480"/>
        <w:rPr>
          <w:rFonts w:ascii="Times New Roman" w:hAnsi="Times New Roman"/>
          <w:color w:val="auto"/>
          <w:sz w:val="24"/>
          <w:szCs w:val="24"/>
          <w:highlight w:val="none"/>
        </w:rPr>
      </w:pPr>
    </w:p>
    <w:p w14:paraId="0C926453">
      <w:pPr>
        <w:spacing w:line="360" w:lineRule="auto"/>
        <w:ind w:firstLine="480"/>
        <w:rPr>
          <w:rFonts w:ascii="Times New Roman" w:hAnsi="Times New Roman"/>
          <w:color w:val="auto"/>
          <w:sz w:val="24"/>
          <w:szCs w:val="24"/>
          <w:highlight w:val="none"/>
        </w:rPr>
      </w:pPr>
      <w:r>
        <w:rPr>
          <w:rFonts w:hint="eastAsia"/>
          <w:color w:val="auto"/>
          <w:sz w:val="24"/>
          <w:szCs w:val="24"/>
          <w:highlight w:val="none"/>
          <w:lang w:eastAsia="zh-CN"/>
        </w:rPr>
        <w:t>投标人</w:t>
      </w:r>
      <w:r>
        <w:rPr>
          <w:rFonts w:hint="eastAsia" w:ascii="Times New Roman" w:hAnsi="Times New Roman"/>
          <w:color w:val="auto"/>
          <w:sz w:val="24"/>
          <w:szCs w:val="24"/>
          <w:highlight w:val="none"/>
        </w:rPr>
        <w:t>（盖章）：</w:t>
      </w:r>
    </w:p>
    <w:p w14:paraId="4EAE7BFD">
      <w:pPr>
        <w:spacing w:line="360" w:lineRule="auto"/>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451C945D">
      <w:pPr>
        <w:spacing w:line="5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7D63AF76">
      <w:pPr>
        <w:spacing w:line="500" w:lineRule="exact"/>
        <w:ind w:firstLine="480"/>
        <w:rPr>
          <w:rFonts w:hint="eastAsia" w:ascii="Times New Roman" w:hAnsi="Times New Roman"/>
          <w:color w:val="auto"/>
          <w:sz w:val="24"/>
          <w:szCs w:val="24"/>
          <w:highlight w:val="none"/>
        </w:rPr>
      </w:pPr>
    </w:p>
    <w:p w14:paraId="5A22EE53">
      <w:pPr>
        <w:rPr>
          <w:sz w:val="24"/>
          <w:szCs w:val="24"/>
        </w:rPr>
      </w:pPr>
      <w:r>
        <w:rPr>
          <w:rFonts w:hint="eastAsia"/>
          <w:sz w:val="24"/>
          <w:szCs w:val="24"/>
        </w:rPr>
        <w:t xml:space="preserve"> </w:t>
      </w:r>
      <w:r>
        <w:rPr>
          <w:sz w:val="24"/>
          <w:szCs w:val="24"/>
        </w:rPr>
        <w:t>注：表格格式不为固定格式，请各投标人根据招标文件具体内容自行编制。</w:t>
      </w:r>
    </w:p>
    <w:p w14:paraId="7ECC946F">
      <w:pPr>
        <w:spacing w:line="500" w:lineRule="exact"/>
        <w:ind w:firstLine="480"/>
        <w:rPr>
          <w:rFonts w:hint="eastAsia" w:ascii="Times New Roman" w:hAnsi="Times New Roman"/>
          <w:color w:val="auto"/>
          <w:sz w:val="24"/>
          <w:szCs w:val="24"/>
          <w:highlight w:val="none"/>
        </w:rPr>
      </w:pPr>
    </w:p>
    <w:p w14:paraId="66995708">
      <w:pPr>
        <w:spacing w:line="500" w:lineRule="exact"/>
        <w:ind w:firstLine="480"/>
        <w:rPr>
          <w:rFonts w:hint="eastAsia" w:ascii="Times New Roman" w:hAnsi="Times New Roman"/>
          <w:color w:val="auto"/>
          <w:sz w:val="24"/>
          <w:szCs w:val="24"/>
          <w:highlight w:val="none"/>
        </w:rPr>
      </w:pPr>
    </w:p>
    <w:p w14:paraId="1580D471">
      <w:pPr>
        <w:spacing w:line="500" w:lineRule="exact"/>
        <w:ind w:firstLine="480"/>
        <w:rPr>
          <w:rFonts w:hint="eastAsia" w:ascii="Times New Roman" w:hAnsi="Times New Roman"/>
          <w:color w:val="auto"/>
          <w:sz w:val="24"/>
          <w:szCs w:val="24"/>
          <w:highlight w:val="none"/>
        </w:rPr>
      </w:pPr>
    </w:p>
    <w:p w14:paraId="7B840996">
      <w:pPr>
        <w:spacing w:line="500" w:lineRule="exact"/>
        <w:ind w:firstLine="480"/>
        <w:rPr>
          <w:rFonts w:hint="eastAsia" w:ascii="Times New Roman" w:hAnsi="Times New Roman"/>
          <w:color w:val="auto"/>
          <w:sz w:val="24"/>
          <w:szCs w:val="24"/>
          <w:highlight w:val="none"/>
        </w:rPr>
      </w:pPr>
    </w:p>
    <w:p w14:paraId="6DDB6FE5">
      <w:pPr>
        <w:keepNext/>
        <w:keepLines/>
        <w:spacing w:before="360" w:after="200" w:line="360" w:lineRule="auto"/>
        <w:jc w:val="left"/>
        <w:outlineLvl w:val="1"/>
        <w:rPr>
          <w:rFonts w:ascii="Times New Roman" w:hAnsi="Times New Roman" w:cs="Times New Roman"/>
          <w:i/>
          <w:color w:val="auto"/>
          <w:sz w:val="36"/>
          <w:highlight w:val="none"/>
          <w:u w:val="single"/>
        </w:rPr>
      </w:pPr>
      <w:bookmarkStart w:id="15" w:name="_GoBack"/>
      <w:bookmarkEnd w:id="15"/>
      <w:r>
        <w:rPr>
          <w:rFonts w:hint="default" w:ascii="Times New Roman" w:hAnsi="Times New Roman" w:cs="Times New Roman"/>
          <w:i/>
          <w:color w:val="auto"/>
          <w:sz w:val="36"/>
          <w:highlight w:val="none"/>
          <w:u w:val="single"/>
        </w:rPr>
        <w:t>十</w:t>
      </w:r>
      <w:r>
        <w:rPr>
          <w:rFonts w:hint="default" w:ascii="Times New Roman" w:hAnsi="Times New Roman" w:cs="Times New Roman"/>
          <w:i/>
          <w:color w:val="auto"/>
          <w:sz w:val="36"/>
          <w:highlight w:val="none"/>
          <w:u w:val="single"/>
          <w:lang w:val="en-US" w:eastAsia="zh-CN"/>
        </w:rPr>
        <w:t>七</w:t>
      </w:r>
      <w:r>
        <w:rPr>
          <w:rFonts w:hint="default" w:ascii="Times New Roman" w:hAnsi="Times New Roman" w:cs="Times New Roman"/>
          <w:i/>
          <w:color w:val="auto"/>
          <w:sz w:val="36"/>
          <w:highlight w:val="none"/>
          <w:u w:val="single"/>
        </w:rPr>
        <w:t>、开标一览表</w:t>
      </w:r>
    </w:p>
    <w:p w14:paraId="73BF95DF">
      <w:pPr>
        <w:spacing w:line="50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采购包</w:t>
      </w:r>
      <w:r>
        <w:rPr>
          <w:rFonts w:hint="default" w:ascii="Times New Roman" w:hAnsi="Times New Roman" w:cs="Times New Roman"/>
          <w:color w:val="auto"/>
          <w:sz w:val="24"/>
          <w:szCs w:val="24"/>
          <w:highlight w:val="none"/>
        </w:rPr>
        <w:t>号：</w:t>
      </w:r>
    </w:p>
    <w:p w14:paraId="3C383969">
      <w:pPr>
        <w:spacing w:line="500" w:lineRule="exact"/>
        <w:ind w:firstLine="480"/>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 </w:t>
      </w:r>
    </w:p>
    <w:tbl>
      <w:tblPr>
        <w:tblStyle w:val="3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4"/>
        <w:gridCol w:w="2836"/>
        <w:gridCol w:w="2835"/>
      </w:tblGrid>
      <w:tr w14:paraId="6A6C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vAlign w:val="top"/>
          </w:tcPr>
          <w:p w14:paraId="183D3E85">
            <w:pPr>
              <w:spacing w:line="500" w:lineRule="exact"/>
              <w:jc w:val="center"/>
              <w:rPr>
                <w:rFonts w:ascii="Times New Roman" w:hAnsi="Times New Roman"/>
                <w:color w:val="auto"/>
                <w:sz w:val="24"/>
                <w:szCs w:val="24"/>
                <w:highlight w:val="none"/>
              </w:rPr>
            </w:pP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名称</w:t>
            </w:r>
          </w:p>
        </w:tc>
        <w:tc>
          <w:tcPr>
            <w:tcW w:w="2841" w:type="dxa"/>
            <w:noWrap w:val="0"/>
            <w:vAlign w:val="top"/>
          </w:tcPr>
          <w:p w14:paraId="55C2210D">
            <w:pPr>
              <w:spacing w:line="500" w:lineRule="exact"/>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优惠率（%）</w:t>
            </w:r>
          </w:p>
        </w:tc>
        <w:tc>
          <w:tcPr>
            <w:tcW w:w="2841" w:type="dxa"/>
            <w:noWrap w:val="0"/>
            <w:vAlign w:val="top"/>
          </w:tcPr>
          <w:p w14:paraId="3B30EA7D">
            <w:pPr>
              <w:spacing w:line="500" w:lineRule="exact"/>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备注</w:t>
            </w:r>
          </w:p>
        </w:tc>
      </w:tr>
      <w:tr w14:paraId="2955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vAlign w:val="top"/>
          </w:tcPr>
          <w:p w14:paraId="31320D3B">
            <w:pPr>
              <w:spacing w:line="500" w:lineRule="exact"/>
              <w:rPr>
                <w:rFonts w:ascii="Times New Roman" w:hAnsi="Times New Roman"/>
                <w:color w:val="auto"/>
                <w:sz w:val="24"/>
                <w:szCs w:val="24"/>
                <w:highlight w:val="none"/>
              </w:rPr>
            </w:pPr>
          </w:p>
        </w:tc>
        <w:tc>
          <w:tcPr>
            <w:tcW w:w="2841" w:type="dxa"/>
            <w:noWrap w:val="0"/>
            <w:vAlign w:val="top"/>
          </w:tcPr>
          <w:p w14:paraId="2F6F1F8A">
            <w:pPr>
              <w:spacing w:line="500" w:lineRule="exact"/>
              <w:rPr>
                <w:rFonts w:ascii="Times New Roman" w:hAnsi="Times New Roman"/>
                <w:color w:val="auto"/>
                <w:sz w:val="24"/>
                <w:szCs w:val="24"/>
                <w:highlight w:val="none"/>
              </w:rPr>
            </w:pPr>
          </w:p>
        </w:tc>
        <w:tc>
          <w:tcPr>
            <w:tcW w:w="2841" w:type="dxa"/>
            <w:noWrap w:val="0"/>
            <w:vAlign w:val="top"/>
          </w:tcPr>
          <w:p w14:paraId="2447C1B0">
            <w:pPr>
              <w:spacing w:line="500" w:lineRule="exact"/>
              <w:rPr>
                <w:rFonts w:ascii="Times New Roman" w:hAnsi="Times New Roman"/>
                <w:color w:val="auto"/>
                <w:sz w:val="24"/>
                <w:szCs w:val="24"/>
                <w:highlight w:val="none"/>
              </w:rPr>
            </w:pPr>
          </w:p>
        </w:tc>
      </w:tr>
    </w:tbl>
    <w:p w14:paraId="3AC04ABD">
      <w:pPr>
        <w:spacing w:line="500" w:lineRule="exact"/>
        <w:rPr>
          <w:rFonts w:hint="eastAsia" w:ascii="Times New Roman" w:hAnsi="Times New Roman"/>
          <w:b/>
          <w:bCs/>
          <w:color w:val="auto"/>
          <w:sz w:val="24"/>
          <w:szCs w:val="24"/>
          <w:highlight w:val="none"/>
        </w:rPr>
      </w:pPr>
      <w:r>
        <w:rPr>
          <w:rFonts w:hint="eastAsia"/>
          <w:color w:val="auto"/>
          <w:sz w:val="24"/>
          <w:szCs w:val="24"/>
          <w:highlight w:val="none"/>
          <w:lang w:eastAsia="zh-CN"/>
        </w:rPr>
        <w:t>投标人</w:t>
      </w:r>
      <w:r>
        <w:rPr>
          <w:rFonts w:ascii="Times New Roman" w:hAnsi="Times New Roman"/>
          <w:color w:val="auto"/>
          <w:sz w:val="24"/>
          <w:szCs w:val="24"/>
          <w:highlight w:val="none"/>
        </w:rPr>
        <w:t>公章：</w:t>
      </w:r>
      <w:r>
        <w:rPr>
          <w:rFonts w:hint="eastAsia" w:ascii="Times New Roman" w:hAnsi="Times New Roman"/>
          <w:color w:val="auto"/>
          <w:sz w:val="24"/>
          <w:szCs w:val="24"/>
          <w:highlight w:val="none"/>
        </w:rPr>
        <w:t xml:space="preserve">             （电子签章）</w:t>
      </w:r>
    </w:p>
    <w:p w14:paraId="39285ACF">
      <w:pPr>
        <w:spacing w:line="490" w:lineRule="exact"/>
        <w:ind w:firstLine="562"/>
        <w:rPr>
          <w:rFonts w:hint="default" w:ascii="Times New Roman" w:hAnsi="Times New Roman" w:cs="Times New Roman" w:eastAsiaTheme="majorEastAsia"/>
          <w:b/>
          <w:bCs/>
          <w:color w:val="auto"/>
          <w:sz w:val="28"/>
          <w:szCs w:val="28"/>
          <w:highlight w:val="none"/>
        </w:rPr>
      </w:pPr>
      <w:r>
        <w:rPr>
          <w:rFonts w:hint="default" w:ascii="Times New Roman" w:hAnsi="Times New Roman" w:cs="Times New Roman" w:eastAsiaTheme="majorEastAsia"/>
          <w:b/>
          <w:bCs/>
          <w:color w:val="auto"/>
          <w:sz w:val="28"/>
          <w:szCs w:val="28"/>
          <w:highlight w:val="none"/>
          <w:lang w:val="en-US" w:eastAsia="zh-CN"/>
        </w:rPr>
        <w:t>注：采购包1至采购包10均采用固定价格采购。</w:t>
      </w:r>
      <w:r>
        <w:rPr>
          <w:rFonts w:hint="default" w:ascii="Times New Roman" w:hAnsi="Times New Roman" w:cs="Times New Roman" w:eastAsiaTheme="majorEastAsia"/>
          <w:b/>
          <w:bCs/>
          <w:color w:val="auto"/>
          <w:sz w:val="28"/>
          <w:szCs w:val="28"/>
          <w:highlight w:val="none"/>
        </w:rPr>
        <w:t>承办</w:t>
      </w:r>
      <w:r>
        <w:rPr>
          <w:rFonts w:hint="default" w:ascii="Times New Roman" w:hAnsi="Times New Roman" w:cs="Times New Roman" w:eastAsiaTheme="majorEastAsia"/>
          <w:b/>
          <w:bCs/>
          <w:color w:val="auto"/>
          <w:sz w:val="28"/>
          <w:szCs w:val="28"/>
          <w:highlight w:val="none"/>
          <w:lang w:val="en-US" w:eastAsia="zh-CN"/>
        </w:rPr>
        <w:t>服务</w:t>
      </w:r>
      <w:r>
        <w:rPr>
          <w:rFonts w:hint="default" w:ascii="Times New Roman" w:hAnsi="Times New Roman" w:cs="Times New Roman" w:eastAsiaTheme="majorEastAsia"/>
          <w:b/>
          <w:bCs/>
          <w:color w:val="auto"/>
          <w:sz w:val="28"/>
          <w:szCs w:val="28"/>
          <w:highlight w:val="none"/>
        </w:rPr>
        <w:t>费</w:t>
      </w:r>
      <w:r>
        <w:rPr>
          <w:rFonts w:hint="default" w:ascii="Times New Roman" w:hAnsi="Times New Roman" w:cs="Times New Roman" w:eastAsiaTheme="majorEastAsia"/>
          <w:b/>
          <w:bCs/>
          <w:color w:val="auto"/>
          <w:sz w:val="28"/>
          <w:szCs w:val="28"/>
          <w:highlight w:val="none"/>
          <w:lang w:val="en-US" w:eastAsia="zh-CN"/>
        </w:rPr>
        <w:t>投标报价</w:t>
      </w:r>
      <w:r>
        <w:rPr>
          <w:rFonts w:hint="default" w:ascii="Times New Roman" w:hAnsi="Times New Roman" w:cs="Times New Roman" w:eastAsiaTheme="majorEastAsia"/>
          <w:b/>
          <w:bCs/>
          <w:color w:val="auto"/>
          <w:sz w:val="28"/>
          <w:szCs w:val="28"/>
          <w:highlight w:val="none"/>
        </w:rPr>
        <w:t>为当年度长护险基金的</w:t>
      </w:r>
      <w:r>
        <w:rPr>
          <w:rFonts w:hint="default" w:ascii="Times New Roman" w:hAnsi="Times New Roman" w:cs="Times New Roman" w:eastAsiaTheme="majorEastAsia"/>
          <w:b/>
          <w:bCs/>
          <w:color w:val="auto"/>
          <w:sz w:val="28"/>
          <w:szCs w:val="28"/>
          <w:highlight w:val="none"/>
          <w:lang w:eastAsia="zh-CN"/>
        </w:rPr>
        <w:t>5</w:t>
      </w:r>
      <w:r>
        <w:rPr>
          <w:rFonts w:hint="default" w:ascii="Times New Roman" w:hAnsi="Times New Roman" w:cs="Times New Roman" w:eastAsiaTheme="majorEastAsia"/>
          <w:b/>
          <w:bCs/>
          <w:color w:val="auto"/>
          <w:sz w:val="28"/>
          <w:szCs w:val="28"/>
          <w:highlight w:val="none"/>
        </w:rPr>
        <w:t>%</w:t>
      </w:r>
      <w:r>
        <w:rPr>
          <w:rFonts w:hint="default" w:ascii="Times New Roman" w:hAnsi="Times New Roman" w:cs="Times New Roman" w:eastAsiaTheme="majorEastAsia"/>
          <w:b/>
          <w:bCs/>
          <w:color w:val="auto"/>
          <w:sz w:val="28"/>
          <w:szCs w:val="28"/>
          <w:highlight w:val="none"/>
          <w:lang w:eastAsia="zh-CN"/>
        </w:rPr>
        <w:t>，</w:t>
      </w:r>
      <w:r>
        <w:rPr>
          <w:rFonts w:hint="default" w:ascii="Times New Roman" w:hAnsi="Times New Roman" w:cs="Times New Roman" w:eastAsiaTheme="majorEastAsia"/>
          <w:b/>
          <w:bCs/>
          <w:color w:val="auto"/>
          <w:sz w:val="28"/>
          <w:szCs w:val="28"/>
          <w:highlight w:val="none"/>
          <w:lang w:val="en-US" w:eastAsia="zh-CN"/>
        </w:rPr>
        <w:t>此表中“优惠率”必须填“</w:t>
      </w:r>
      <w:r>
        <w:rPr>
          <w:rFonts w:hint="default" w:ascii="Times New Roman" w:hAnsi="Times New Roman" w:cs="Times New Roman" w:eastAsiaTheme="majorEastAsia"/>
          <w:b/>
          <w:bCs/>
          <w:color w:val="auto"/>
          <w:sz w:val="28"/>
          <w:szCs w:val="28"/>
          <w:highlight w:val="none"/>
          <w:lang w:eastAsia="zh-CN"/>
        </w:rPr>
        <w:t>5</w:t>
      </w:r>
      <w:r>
        <w:rPr>
          <w:rFonts w:hint="default" w:ascii="Times New Roman" w:hAnsi="Times New Roman" w:cs="Times New Roman" w:eastAsiaTheme="majorEastAsia"/>
          <w:b/>
          <w:bCs/>
          <w:color w:val="auto"/>
          <w:sz w:val="28"/>
          <w:szCs w:val="28"/>
          <w:highlight w:val="none"/>
        </w:rPr>
        <w:t>%</w:t>
      </w:r>
      <w:r>
        <w:rPr>
          <w:rFonts w:hint="default" w:ascii="Times New Roman" w:hAnsi="Times New Roman" w:cs="Times New Roman" w:eastAsiaTheme="majorEastAsia"/>
          <w:b/>
          <w:bCs/>
          <w:color w:val="auto"/>
          <w:sz w:val="28"/>
          <w:szCs w:val="28"/>
          <w:highlight w:val="none"/>
          <w:lang w:val="en-US" w:eastAsia="zh-CN"/>
        </w:rPr>
        <w:t>”，否则按无效响应处理。</w:t>
      </w:r>
    </w:p>
    <w:p w14:paraId="1AA2CA99">
      <w:pPr>
        <w:ind w:firstLine="3600"/>
        <w:jc w:val="both"/>
        <w:rPr>
          <w:rFonts w:hint="default" w:ascii="Times New Roman" w:hAnsi="Times New Roman" w:eastAsia="黑体" w:cs="Times New Roman"/>
          <w:bCs/>
          <w:color w:val="auto"/>
          <w:sz w:val="40"/>
          <w:szCs w:val="32"/>
          <w:highlight w:val="none"/>
        </w:rPr>
      </w:pPr>
    </w:p>
    <w:p w14:paraId="1F2A3BC4">
      <w:pPr>
        <w:jc w:val="center"/>
        <w:rPr>
          <w:rFonts w:hint="default" w:ascii="Times New Roman" w:hAnsi="Times New Roman" w:eastAsia="黑体" w:cs="Times New Roman"/>
          <w:bCs/>
          <w:color w:val="auto"/>
          <w:sz w:val="40"/>
          <w:szCs w:val="32"/>
          <w:highlight w:val="none"/>
        </w:rPr>
      </w:pPr>
    </w:p>
    <w:p w14:paraId="7D75EF97">
      <w:pPr>
        <w:jc w:val="center"/>
        <w:rPr>
          <w:rFonts w:hint="default" w:ascii="Times New Roman" w:hAnsi="Times New Roman" w:eastAsia="黑体" w:cs="Times New Roman"/>
          <w:bCs/>
          <w:color w:val="auto"/>
          <w:sz w:val="40"/>
          <w:szCs w:val="32"/>
          <w:highlight w:val="none"/>
        </w:rPr>
      </w:pPr>
    </w:p>
    <w:p w14:paraId="3ACB9CF7">
      <w:pPr>
        <w:jc w:val="center"/>
        <w:rPr>
          <w:rFonts w:hint="default" w:ascii="Times New Roman" w:hAnsi="Times New Roman" w:eastAsia="黑体" w:cs="Times New Roman"/>
          <w:bCs/>
          <w:color w:val="auto"/>
          <w:sz w:val="40"/>
          <w:szCs w:val="32"/>
          <w:highlight w:val="none"/>
        </w:rPr>
      </w:pPr>
    </w:p>
    <w:p w14:paraId="72359604">
      <w:pPr>
        <w:jc w:val="center"/>
        <w:rPr>
          <w:rFonts w:hint="default" w:ascii="Times New Roman" w:hAnsi="Times New Roman" w:eastAsia="黑体" w:cs="Times New Roman"/>
          <w:bCs/>
          <w:color w:val="auto"/>
          <w:sz w:val="40"/>
          <w:szCs w:val="32"/>
          <w:highlight w:val="none"/>
        </w:rPr>
      </w:pPr>
    </w:p>
    <w:p w14:paraId="6DE5EAEC">
      <w:pPr>
        <w:jc w:val="center"/>
        <w:rPr>
          <w:rFonts w:hint="default" w:ascii="Times New Roman" w:hAnsi="Times New Roman" w:eastAsia="黑体" w:cs="Times New Roman"/>
          <w:bCs/>
          <w:color w:val="auto"/>
          <w:sz w:val="40"/>
          <w:szCs w:val="32"/>
          <w:highlight w:val="none"/>
        </w:rPr>
      </w:pPr>
    </w:p>
    <w:p w14:paraId="66902E85">
      <w:pPr>
        <w:jc w:val="center"/>
        <w:rPr>
          <w:rFonts w:hint="default" w:ascii="Times New Roman" w:hAnsi="Times New Roman" w:eastAsia="黑体" w:cs="Times New Roman"/>
          <w:bCs/>
          <w:color w:val="auto"/>
          <w:sz w:val="40"/>
          <w:szCs w:val="32"/>
          <w:highlight w:val="none"/>
        </w:rPr>
      </w:pPr>
    </w:p>
    <w:p w14:paraId="641978DD">
      <w:pPr>
        <w:jc w:val="center"/>
        <w:rPr>
          <w:rFonts w:hint="default" w:ascii="Times New Roman" w:hAnsi="Times New Roman" w:eastAsia="黑体" w:cs="Times New Roman"/>
          <w:bCs/>
          <w:color w:val="auto"/>
          <w:sz w:val="40"/>
          <w:szCs w:val="32"/>
          <w:highlight w:val="none"/>
        </w:rPr>
      </w:pPr>
    </w:p>
    <w:p w14:paraId="3BA37371">
      <w:pPr>
        <w:jc w:val="center"/>
        <w:rPr>
          <w:rFonts w:hint="default" w:ascii="Times New Roman" w:hAnsi="Times New Roman" w:eastAsia="黑体" w:cs="Times New Roman"/>
          <w:bCs/>
          <w:color w:val="auto"/>
          <w:sz w:val="40"/>
          <w:szCs w:val="32"/>
          <w:highlight w:val="none"/>
        </w:rPr>
      </w:pPr>
    </w:p>
    <w:p w14:paraId="33AD44AE">
      <w:pPr>
        <w:jc w:val="center"/>
        <w:rPr>
          <w:rFonts w:hint="default" w:ascii="Times New Roman" w:hAnsi="Times New Roman" w:eastAsia="黑体" w:cs="Times New Roman"/>
          <w:bCs/>
          <w:color w:val="auto"/>
          <w:sz w:val="40"/>
          <w:szCs w:val="32"/>
          <w:highlight w:val="none"/>
        </w:rPr>
      </w:pPr>
    </w:p>
    <w:p w14:paraId="0B772D98">
      <w:pPr>
        <w:jc w:val="center"/>
        <w:rPr>
          <w:rFonts w:hint="default" w:ascii="Times New Roman" w:hAnsi="Times New Roman" w:eastAsia="黑体" w:cs="Times New Roman"/>
          <w:bCs/>
          <w:color w:val="auto"/>
          <w:sz w:val="40"/>
          <w:szCs w:val="32"/>
          <w:highlight w:val="none"/>
        </w:rPr>
      </w:pPr>
    </w:p>
    <w:p w14:paraId="79B7D899">
      <w:pPr>
        <w:jc w:val="center"/>
        <w:rPr>
          <w:rFonts w:hint="default" w:ascii="Times New Roman" w:hAnsi="Times New Roman" w:eastAsia="黑体" w:cs="Times New Roman"/>
          <w:bCs/>
          <w:color w:val="auto"/>
          <w:sz w:val="40"/>
          <w:szCs w:val="32"/>
          <w:highlight w:val="none"/>
        </w:rPr>
      </w:pPr>
    </w:p>
    <w:p w14:paraId="40FDE9F1">
      <w:pPr>
        <w:jc w:val="both"/>
        <w:rPr>
          <w:rFonts w:hint="default" w:ascii="Times New Roman" w:hAnsi="Times New Roman" w:eastAsia="黑体" w:cs="Times New Roman"/>
          <w:bCs/>
          <w:color w:val="auto"/>
          <w:sz w:val="40"/>
          <w:szCs w:val="32"/>
          <w:highlight w:val="none"/>
        </w:rPr>
      </w:pPr>
    </w:p>
    <w:p w14:paraId="26CAE897">
      <w:pPr>
        <w:jc w:val="center"/>
        <w:rPr>
          <w:rFonts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t>质疑函范本</w:t>
      </w:r>
    </w:p>
    <w:p w14:paraId="7A30023C">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一、质疑</w:t>
      </w:r>
      <w:r>
        <w:rPr>
          <w:rFonts w:hint="default" w:ascii="Times New Roman" w:hAnsi="Times New Roman" w:eastAsia="黑体" w:cs="Times New Roman"/>
          <w:bCs/>
          <w:color w:val="auto"/>
          <w:sz w:val="24"/>
          <w:szCs w:val="24"/>
          <w:highlight w:val="none"/>
          <w:lang w:eastAsia="zh-CN"/>
        </w:rPr>
        <w:t>投标人</w:t>
      </w:r>
      <w:r>
        <w:rPr>
          <w:rFonts w:hint="default" w:ascii="Times New Roman" w:hAnsi="Times New Roman" w:eastAsia="黑体" w:cs="Times New Roman"/>
          <w:bCs/>
          <w:color w:val="auto"/>
          <w:sz w:val="24"/>
          <w:szCs w:val="24"/>
          <w:highlight w:val="none"/>
        </w:rPr>
        <w:t>基本信息</w:t>
      </w:r>
    </w:p>
    <w:p w14:paraId="0126D69A">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质疑</w:t>
      </w:r>
      <w:r>
        <w:rPr>
          <w:rFonts w:hint="default" w:ascii="Times New Roman" w:hAnsi="Times New Roman" w:cs="Times New Roman"/>
          <w:color w:val="auto"/>
          <w:sz w:val="24"/>
          <w:szCs w:val="24"/>
          <w:highlight w:val="none"/>
          <w:lang w:eastAsia="zh-CN"/>
        </w:rPr>
        <w:t>投标人</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 xml:space="preserve">                                                         </w:t>
      </w:r>
    </w:p>
    <w:p w14:paraId="706EA1F9">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地址：</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邮编：</w:t>
      </w:r>
      <w:r>
        <w:rPr>
          <w:rFonts w:hint="default" w:ascii="Times New Roman" w:hAnsi="Times New Roman" w:cs="Times New Roman"/>
          <w:color w:val="auto"/>
          <w:sz w:val="24"/>
          <w:szCs w:val="24"/>
          <w:highlight w:val="none"/>
          <w:u w:val="single"/>
        </w:rPr>
        <w:t xml:space="preserve">                            </w:t>
      </w:r>
    </w:p>
    <w:p w14:paraId="3EFF8214">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联系电话：</w:t>
      </w:r>
      <w:r>
        <w:rPr>
          <w:rFonts w:hint="default" w:ascii="Times New Roman" w:hAnsi="Times New Roman" w:cs="Times New Roman"/>
          <w:color w:val="auto"/>
          <w:sz w:val="24"/>
          <w:szCs w:val="24"/>
          <w:highlight w:val="none"/>
          <w:u w:val="single"/>
        </w:rPr>
        <w:t xml:space="preserve">                             </w:t>
      </w:r>
    </w:p>
    <w:p w14:paraId="6E13F730">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授权代表：</w:t>
      </w:r>
      <w:r>
        <w:rPr>
          <w:rFonts w:hint="default" w:ascii="Times New Roman" w:hAnsi="Times New Roman" w:cs="Times New Roman"/>
          <w:color w:val="auto"/>
          <w:sz w:val="24"/>
          <w:szCs w:val="24"/>
          <w:highlight w:val="none"/>
          <w:u w:val="single"/>
        </w:rPr>
        <w:t xml:space="preserve">                                                           </w:t>
      </w:r>
    </w:p>
    <w:p w14:paraId="4D99FEF8">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联系电话：</w:t>
      </w:r>
      <w:r>
        <w:rPr>
          <w:rFonts w:hint="default" w:ascii="Times New Roman" w:hAnsi="Times New Roman" w:cs="Times New Roman"/>
          <w:color w:val="auto"/>
          <w:sz w:val="24"/>
          <w:szCs w:val="24"/>
          <w:highlight w:val="none"/>
          <w:u w:val="single"/>
        </w:rPr>
        <w:t xml:space="preserve">                                                           </w:t>
      </w:r>
    </w:p>
    <w:p w14:paraId="1A1A7E53">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地址：</w:t>
      </w:r>
      <w:r>
        <w:rPr>
          <w:rFonts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邮编：</w:t>
      </w:r>
      <w:r>
        <w:rPr>
          <w:rFonts w:hint="default" w:ascii="Times New Roman" w:hAnsi="Times New Roman" w:cs="Times New Roman"/>
          <w:color w:val="auto"/>
          <w:sz w:val="24"/>
          <w:szCs w:val="24"/>
          <w:highlight w:val="none"/>
          <w:u w:val="single"/>
        </w:rPr>
        <w:t xml:space="preserve">                                </w:t>
      </w:r>
    </w:p>
    <w:p w14:paraId="162A6B1A">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二、质疑项目基本情况</w:t>
      </w:r>
    </w:p>
    <w:p w14:paraId="1E803D1B">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质疑项目的名称：</w:t>
      </w:r>
      <w:r>
        <w:rPr>
          <w:rFonts w:hint="default" w:ascii="Times New Roman" w:hAnsi="Times New Roman" w:cs="Times New Roman"/>
          <w:color w:val="auto"/>
          <w:sz w:val="24"/>
          <w:szCs w:val="24"/>
          <w:highlight w:val="none"/>
          <w:u w:val="single"/>
        </w:rPr>
        <w:t xml:space="preserve">                                                     </w:t>
      </w:r>
    </w:p>
    <w:p w14:paraId="3198B5E2">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质疑项目的编号：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包号：</w:t>
      </w:r>
      <w:r>
        <w:rPr>
          <w:rFonts w:hint="default" w:ascii="Times New Roman" w:hAnsi="Times New Roman" w:cs="Times New Roman"/>
          <w:color w:val="auto"/>
          <w:sz w:val="24"/>
          <w:szCs w:val="24"/>
          <w:highlight w:val="none"/>
          <w:u w:val="single"/>
        </w:rPr>
        <w:t xml:space="preserve">                      </w:t>
      </w:r>
    </w:p>
    <w:p w14:paraId="5A220435">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采购人名称：</w:t>
      </w:r>
      <w:r>
        <w:rPr>
          <w:rFonts w:hint="default" w:ascii="Times New Roman" w:hAnsi="Times New Roman" w:cs="Times New Roman"/>
          <w:color w:val="auto"/>
          <w:sz w:val="24"/>
          <w:szCs w:val="24"/>
          <w:highlight w:val="none"/>
          <w:u w:val="single"/>
        </w:rPr>
        <w:t xml:space="preserve">                                                         </w:t>
      </w:r>
    </w:p>
    <w:p w14:paraId="704F2C54">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采购文件获取日期：</w:t>
      </w:r>
      <w:r>
        <w:rPr>
          <w:rFonts w:hint="default" w:ascii="Times New Roman" w:hAnsi="Times New Roman" w:cs="Times New Roman"/>
          <w:color w:val="auto"/>
          <w:sz w:val="24"/>
          <w:szCs w:val="24"/>
          <w:highlight w:val="none"/>
          <w:u w:val="single"/>
        </w:rPr>
        <w:t xml:space="preserve">                                                   </w:t>
      </w:r>
    </w:p>
    <w:p w14:paraId="41A8EB5E">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三、质疑事项具体内容</w:t>
      </w:r>
    </w:p>
    <w:p w14:paraId="2D97226F">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质疑事项1：</w:t>
      </w:r>
      <w:r>
        <w:rPr>
          <w:rFonts w:hint="default" w:ascii="Times New Roman" w:hAnsi="Times New Roman" w:cs="Times New Roman"/>
          <w:color w:val="auto"/>
          <w:sz w:val="24"/>
          <w:szCs w:val="24"/>
          <w:highlight w:val="none"/>
          <w:u w:val="single"/>
        </w:rPr>
        <w:t xml:space="preserve">                                                          </w:t>
      </w:r>
    </w:p>
    <w:p w14:paraId="51C6881E">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事实依据：</w:t>
      </w:r>
      <w:r>
        <w:rPr>
          <w:rFonts w:hint="default" w:ascii="Times New Roman" w:hAnsi="Times New Roman" w:cs="Times New Roman"/>
          <w:color w:val="auto"/>
          <w:sz w:val="24"/>
          <w:szCs w:val="24"/>
          <w:highlight w:val="none"/>
          <w:u w:val="single"/>
        </w:rPr>
        <w:t xml:space="preserve">                                                            </w:t>
      </w:r>
    </w:p>
    <w:p w14:paraId="6E746A91">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p>
    <w:p w14:paraId="59B96071">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法律依据：</w:t>
      </w:r>
      <w:r>
        <w:rPr>
          <w:rFonts w:hint="default" w:ascii="Times New Roman" w:hAnsi="Times New Roman" w:cs="Times New Roman"/>
          <w:color w:val="auto"/>
          <w:sz w:val="24"/>
          <w:szCs w:val="24"/>
          <w:highlight w:val="none"/>
          <w:u w:val="single"/>
        </w:rPr>
        <w:t xml:space="preserve">                                                            </w:t>
      </w:r>
    </w:p>
    <w:p w14:paraId="3BF71F4C">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t xml:space="preserve">                                                                      </w:t>
      </w:r>
    </w:p>
    <w:p w14:paraId="34E7BED8">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质疑事项2</w:t>
      </w:r>
    </w:p>
    <w:p w14:paraId="52394A8D">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p w14:paraId="698611B1">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四、与质疑事项相关的质疑请求</w:t>
      </w:r>
    </w:p>
    <w:p w14:paraId="42FA964E">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请求：</w:t>
      </w:r>
      <w:r>
        <w:rPr>
          <w:rFonts w:hint="default" w:ascii="Times New Roman" w:hAnsi="Times New Roman" w:cs="Times New Roman"/>
          <w:color w:val="auto"/>
          <w:sz w:val="24"/>
          <w:szCs w:val="24"/>
          <w:highlight w:val="none"/>
          <w:u w:val="single"/>
        </w:rPr>
        <w:t xml:space="preserve">                                                                </w:t>
      </w:r>
    </w:p>
    <w:p w14:paraId="3B7E4134">
      <w:pP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签字（签章）：                   公章：                      </w:t>
      </w:r>
    </w:p>
    <w:p w14:paraId="25F80295">
      <w:pP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日期：    </w:t>
      </w:r>
    </w:p>
    <w:p w14:paraId="618CB915">
      <w:pPr>
        <w:spacing w:line="500" w:lineRule="exact"/>
        <w:rPr>
          <w:rFonts w:ascii="Times New Roman" w:hAnsi="Times New Roman"/>
          <w:b/>
          <w:color w:val="auto"/>
          <w:sz w:val="24"/>
          <w:szCs w:val="24"/>
          <w:highlight w:val="none"/>
        </w:rPr>
      </w:pPr>
      <w:r>
        <w:rPr>
          <w:rFonts w:hint="default" w:ascii="Times New Roman" w:hAnsi="Times New Roman"/>
          <w:b/>
          <w:color w:val="auto"/>
          <w:sz w:val="24"/>
          <w:szCs w:val="24"/>
          <w:highlight w:val="none"/>
        </w:rPr>
        <w:t>质疑函制作说明：</w:t>
      </w:r>
    </w:p>
    <w:p w14:paraId="02CFD1A2">
      <w:pPr>
        <w:widowControl/>
        <w:spacing w:line="500" w:lineRule="exact"/>
        <w:ind w:firstLine="480"/>
        <w:jc w:val="left"/>
        <w:rPr>
          <w:rFonts w:ascii="Times New Roman" w:hAnsi="Times New Roman"/>
          <w:color w:val="auto"/>
          <w:sz w:val="24"/>
          <w:szCs w:val="24"/>
          <w:highlight w:val="none"/>
        </w:rPr>
      </w:pPr>
      <w:r>
        <w:rPr>
          <w:rFonts w:hint="default" w:ascii="Times New Roman" w:hAnsi="Times New Roman"/>
          <w:color w:val="auto"/>
          <w:sz w:val="24"/>
          <w:szCs w:val="24"/>
          <w:highlight w:val="none"/>
        </w:rPr>
        <w:t>1.</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提出质疑时，应提交质疑函和必要的证明材料。</w:t>
      </w:r>
    </w:p>
    <w:p w14:paraId="3FB8DC54">
      <w:pPr>
        <w:widowControl/>
        <w:spacing w:line="500" w:lineRule="exact"/>
        <w:ind w:firstLine="480"/>
        <w:jc w:val="left"/>
        <w:rPr>
          <w:rFonts w:ascii="Times New Roman" w:hAnsi="Times New Roman"/>
          <w:color w:val="auto"/>
          <w:sz w:val="24"/>
          <w:szCs w:val="24"/>
          <w:highlight w:val="none"/>
        </w:rPr>
      </w:pPr>
      <w:r>
        <w:rPr>
          <w:rFonts w:hint="default" w:ascii="Times New Roman" w:hAnsi="Times New Roman"/>
          <w:color w:val="auto"/>
          <w:sz w:val="24"/>
          <w:szCs w:val="24"/>
          <w:highlight w:val="none"/>
        </w:rPr>
        <w:t>2.质疑</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若委托代理人进行质疑的，质疑函应按要求列明“授权代表”的有关内容，并在附件中提交由质疑</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签署的授权委托书。授权委托书应载明代理人的姓名或者名称、代理事项、具体权限、期限和相关事项。</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为自然人的，应当由本人签字；</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为法人或者其他组织的，应当由法定代表人、主要负责人签字或者盖章，并加盖公章。</w:t>
      </w:r>
    </w:p>
    <w:p w14:paraId="00F82B3D">
      <w:pPr>
        <w:widowControl/>
        <w:spacing w:line="500" w:lineRule="exact"/>
        <w:ind w:firstLine="480"/>
        <w:jc w:val="left"/>
        <w:rPr>
          <w:rFonts w:ascii="Times New Roman" w:hAnsi="Times New Roman"/>
          <w:color w:val="auto"/>
          <w:sz w:val="24"/>
          <w:szCs w:val="24"/>
          <w:highlight w:val="none"/>
        </w:rPr>
      </w:pPr>
      <w:r>
        <w:rPr>
          <w:rFonts w:hint="default" w:ascii="Times New Roman" w:hAnsi="Times New Roman"/>
          <w:color w:val="auto"/>
          <w:sz w:val="24"/>
          <w:szCs w:val="24"/>
          <w:highlight w:val="none"/>
        </w:rPr>
        <w:t>3.质疑</w:t>
      </w:r>
      <w:r>
        <w:rPr>
          <w:rFonts w:hint="default" w:ascii="Times New Roman" w:hAnsi="Times New Roman"/>
          <w:color w:val="auto"/>
          <w:sz w:val="24"/>
          <w:szCs w:val="24"/>
          <w:highlight w:val="none"/>
          <w:lang w:eastAsia="zh-CN"/>
        </w:rPr>
        <w:t>投标人</w:t>
      </w:r>
      <w:r>
        <w:rPr>
          <w:rFonts w:hint="default" w:ascii="Times New Roman" w:hAnsi="Times New Roman"/>
          <w:color w:val="auto"/>
          <w:sz w:val="24"/>
          <w:szCs w:val="24"/>
          <w:highlight w:val="none"/>
        </w:rPr>
        <w:t>若对项目的某一</w:t>
      </w:r>
      <w:r>
        <w:rPr>
          <w:rFonts w:hint="default" w:ascii="Times New Roman" w:hAnsi="Times New Roman"/>
          <w:color w:val="auto"/>
          <w:sz w:val="24"/>
          <w:szCs w:val="24"/>
          <w:highlight w:val="none"/>
          <w:lang w:eastAsia="zh-CN"/>
        </w:rPr>
        <w:t>采购包</w:t>
      </w:r>
      <w:r>
        <w:rPr>
          <w:rFonts w:hint="default" w:ascii="Times New Roman" w:hAnsi="Times New Roman"/>
          <w:color w:val="auto"/>
          <w:sz w:val="24"/>
          <w:szCs w:val="24"/>
          <w:highlight w:val="none"/>
        </w:rPr>
        <w:t>进行质疑，质疑函中应列明具体</w:t>
      </w:r>
      <w:r>
        <w:rPr>
          <w:rFonts w:hint="default" w:ascii="Times New Roman" w:hAnsi="Times New Roman"/>
          <w:color w:val="auto"/>
          <w:sz w:val="24"/>
          <w:szCs w:val="24"/>
          <w:highlight w:val="none"/>
          <w:lang w:eastAsia="zh-CN"/>
        </w:rPr>
        <w:t>采购包</w:t>
      </w:r>
      <w:r>
        <w:rPr>
          <w:rFonts w:hint="default" w:ascii="Times New Roman" w:hAnsi="Times New Roman"/>
          <w:color w:val="auto"/>
          <w:sz w:val="24"/>
          <w:szCs w:val="24"/>
          <w:highlight w:val="none"/>
        </w:rPr>
        <w:t>号。</w:t>
      </w:r>
    </w:p>
    <w:p w14:paraId="5D9FFE2C">
      <w:pPr>
        <w:widowControl/>
        <w:spacing w:line="500" w:lineRule="exact"/>
        <w:ind w:firstLine="480"/>
        <w:jc w:val="left"/>
        <w:rPr>
          <w:rFonts w:ascii="Times New Roman" w:hAnsi="Times New Roman"/>
          <w:color w:val="auto"/>
          <w:sz w:val="24"/>
          <w:szCs w:val="24"/>
          <w:highlight w:val="none"/>
        </w:rPr>
      </w:pPr>
      <w:r>
        <w:rPr>
          <w:rFonts w:hint="default" w:ascii="Times New Roman" w:hAnsi="Times New Roman"/>
          <w:color w:val="auto"/>
          <w:sz w:val="24"/>
          <w:szCs w:val="24"/>
          <w:highlight w:val="none"/>
        </w:rPr>
        <w:t>4.质疑函的质疑事项应具体、明确，并有必要的事实依据和法律依据。</w:t>
      </w:r>
    </w:p>
    <w:p w14:paraId="2DC4F69B">
      <w:pPr>
        <w:widowControl/>
        <w:spacing w:line="500" w:lineRule="exact"/>
        <w:ind w:firstLine="480"/>
        <w:jc w:val="left"/>
        <w:rPr>
          <w:rFonts w:ascii="Times New Roman" w:hAnsi="Times New Roman"/>
          <w:color w:val="auto"/>
          <w:sz w:val="24"/>
          <w:szCs w:val="24"/>
          <w:highlight w:val="none"/>
        </w:rPr>
      </w:pPr>
      <w:r>
        <w:rPr>
          <w:rFonts w:hint="default" w:ascii="Times New Roman" w:hAnsi="Times New Roman"/>
          <w:color w:val="auto"/>
          <w:sz w:val="24"/>
          <w:szCs w:val="24"/>
          <w:highlight w:val="none"/>
        </w:rPr>
        <w:t>5.质疑函的质疑请求应与质疑事项相关。</w:t>
      </w:r>
    </w:p>
    <w:p w14:paraId="252908BA">
      <w:pPr>
        <w:ind w:firstLine="482" w:firstLineChars="200"/>
        <w:jc w:val="left"/>
        <w:rPr>
          <w:rFonts w:hint="eastAsia"/>
          <w:color w:val="auto"/>
          <w:highlight w:val="none"/>
          <w:lang w:val="zh-CN" w:eastAsia="zh-CN"/>
        </w:rPr>
      </w:pPr>
      <w:r>
        <w:rPr>
          <w:rFonts w:hint="default" w:ascii="Times New Roman" w:hAnsi="Times New Roman"/>
          <w:b/>
          <w:color w:val="auto"/>
          <w:sz w:val="24"/>
          <w:szCs w:val="24"/>
          <w:highlight w:val="none"/>
        </w:rPr>
        <w:t>6.质疑</w:t>
      </w:r>
      <w:r>
        <w:rPr>
          <w:rFonts w:hint="default" w:ascii="Times New Roman" w:hAnsi="Times New Roman"/>
          <w:b/>
          <w:color w:val="auto"/>
          <w:sz w:val="24"/>
          <w:szCs w:val="24"/>
          <w:highlight w:val="none"/>
          <w:lang w:eastAsia="zh-CN"/>
        </w:rPr>
        <w:t>投标人</w:t>
      </w:r>
      <w:r>
        <w:rPr>
          <w:rFonts w:hint="default" w:ascii="Times New Roman" w:hAnsi="Times New Roman"/>
          <w:b/>
          <w:color w:val="auto"/>
          <w:sz w:val="24"/>
          <w:szCs w:val="24"/>
          <w:highlight w:val="none"/>
        </w:rPr>
        <w:t>为自然人的，质疑函应附自然人身份证明复印件并由本人签字；质疑</w:t>
      </w:r>
      <w:r>
        <w:rPr>
          <w:rFonts w:hint="default" w:ascii="Times New Roman" w:hAnsi="Times New Roman"/>
          <w:b/>
          <w:color w:val="auto"/>
          <w:sz w:val="24"/>
          <w:szCs w:val="24"/>
          <w:highlight w:val="none"/>
          <w:lang w:eastAsia="zh-CN"/>
        </w:rPr>
        <w:t>投标人</w:t>
      </w:r>
      <w:r>
        <w:rPr>
          <w:rFonts w:hint="default" w:ascii="Times New Roman" w:hAnsi="Times New Roman"/>
          <w:b/>
          <w:color w:val="auto"/>
          <w:sz w:val="24"/>
          <w:szCs w:val="24"/>
          <w:highlight w:val="none"/>
        </w:rPr>
        <w:t>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仓耳渔阳体 W05"/>
    <w:panose1 w:val="02020609040205080304"/>
    <w:charset w:val="80"/>
    <w:family w:val="auto"/>
    <w:pitch w:val="default"/>
    <w:sig w:usb0="00000000" w:usb1="00000000" w:usb2="00000010"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仓耳渔阳体 W05">
    <w:panose1 w:val="02020400000000000000"/>
    <w:charset w:val="80"/>
    <w:family w:val="auto"/>
    <w:pitch w:val="default"/>
    <w:sig w:usb0="80000023" w:usb1="08C10458" w:usb2="00000012" w:usb3="00000000" w:csb0="0002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1ED8">
    <w:pPr>
      <w:pStyle w:val="23"/>
    </w:pPr>
    <w:r>
      <w:rPr>
        <w:sz w:val="18"/>
      </w:rPr>
      <mc:AlternateContent>
        <mc:Choice Requires="wps">
          <w:drawing>
            <wp:anchor distT="0" distB="0" distL="114300" distR="114300" simplePos="0" relativeHeight="251659264" behindDoc="0" locked="0" layoutInCell="1" allowOverlap="1">
              <wp:simplePos x="0" y="0"/>
              <wp:positionH relativeFrom="margin">
                <wp:posOffset>2179320</wp:posOffset>
              </wp:positionH>
              <wp:positionV relativeFrom="paragraph">
                <wp:posOffset>-3810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914414"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7EEB3">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1.6pt;margin-top:-0.3pt;height:144pt;width:144pt;mso-position-horizontal-relative:margin;mso-wrap-style:none;z-index:251659264;mso-width-relative:page;mso-height-relative:page;" filled="f" stroked="f" coordsize="21600,21600" o:gfxdata="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5P2sN1gAAAAkBAAAPAAAAAAAAAAEAIAAAACIAAABk&#10;cnMvZG93bnJldi54bWxQSwECFAAUAAAACACHTuJAalH2bkECAABtBAAADgAAAAAAAAABACAAAAAl&#10;AQAAZHJzL2Uyb0RvYy54bWxQSwUGAAAAAAYABgBZAQAA2AUAAAAA&#10;">
              <v:fill on="f" focussize="0,0"/>
              <v:stroke on="f" weight="0.5pt"/>
              <v:imagedata o:title=""/>
              <o:lock v:ext="edit" aspectratio="f"/>
              <v:textbox inset="0mm,0mm,0mm,0mm" style="mso-fit-shape-to-text:t;">
                <w:txbxContent>
                  <w:p w14:paraId="6467EEB3">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81</w:t>
                    </w:r>
                    <w:r>
                      <w:fldChar w:fldCharType="end"/>
                    </w:r>
                    <w:r>
                      <w:t xml:space="preserve"> 页</w:t>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2E6C7">
    <w:pPr>
      <w:pStyle w:val="24"/>
      <w:pBdr>
        <w:bottom w:val="single" w:color="auto" w:sz="4" w:space="1"/>
      </w:pBdr>
      <w:rPr>
        <w:rFonts w:hint="default" w:eastAsia="宋体"/>
        <w:lang w:val="en-US" w:eastAsia="zh-CN"/>
      </w:rPr>
    </w:pPr>
    <w:r>
      <w:rPr>
        <w:rFonts w:hint="eastAsia"/>
        <w:lang w:val="en-US" w:eastAsia="zh-CN"/>
      </w:rPr>
      <w:t>连云港市公共资源交易中心                                                           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5C71C"/>
    <w:multiLevelType w:val="singleLevel"/>
    <w:tmpl w:val="B525C71C"/>
    <w:lvl w:ilvl="0" w:tentative="0">
      <w:start w:val="2"/>
      <w:numFmt w:val="decimal"/>
      <w:lvlText w:val="%1."/>
      <w:lvlJc w:val="left"/>
      <w:pPr>
        <w:tabs>
          <w:tab w:val="left" w:pos="312"/>
        </w:tabs>
      </w:pPr>
    </w:lvl>
  </w:abstractNum>
  <w:abstractNum w:abstractNumId="1">
    <w:nsid w:val="B6E63A77"/>
    <w:multiLevelType w:val="singleLevel"/>
    <w:tmpl w:val="B6E63A77"/>
    <w:lvl w:ilvl="0" w:tentative="0">
      <w:start w:val="1"/>
      <w:numFmt w:val="decimal"/>
      <w:suff w:val="space"/>
      <w:lvlText w:val="%1."/>
      <w:lvlJc w:val="left"/>
    </w:lvl>
  </w:abstractNum>
  <w:abstractNum w:abstractNumId="2">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35135"/>
    <w:rsid w:val="001D66AC"/>
    <w:rsid w:val="00AD558A"/>
    <w:rsid w:val="00B7642A"/>
    <w:rsid w:val="00C30909"/>
    <w:rsid w:val="00CC775B"/>
    <w:rsid w:val="00DA5C53"/>
    <w:rsid w:val="01487061"/>
    <w:rsid w:val="015811B5"/>
    <w:rsid w:val="0160084E"/>
    <w:rsid w:val="01710365"/>
    <w:rsid w:val="01747F55"/>
    <w:rsid w:val="01993D60"/>
    <w:rsid w:val="01D46B46"/>
    <w:rsid w:val="01D94415"/>
    <w:rsid w:val="01F9035B"/>
    <w:rsid w:val="020B1944"/>
    <w:rsid w:val="020E2058"/>
    <w:rsid w:val="02201D8C"/>
    <w:rsid w:val="0273010D"/>
    <w:rsid w:val="030B2A3C"/>
    <w:rsid w:val="034A333C"/>
    <w:rsid w:val="034B412B"/>
    <w:rsid w:val="036363D4"/>
    <w:rsid w:val="03A03184"/>
    <w:rsid w:val="03FD05D6"/>
    <w:rsid w:val="0402453D"/>
    <w:rsid w:val="04155920"/>
    <w:rsid w:val="043F299D"/>
    <w:rsid w:val="044C330C"/>
    <w:rsid w:val="04551A11"/>
    <w:rsid w:val="04553F6E"/>
    <w:rsid w:val="04812FB5"/>
    <w:rsid w:val="04913ABD"/>
    <w:rsid w:val="049820AD"/>
    <w:rsid w:val="04A227A7"/>
    <w:rsid w:val="04D255BF"/>
    <w:rsid w:val="04DA4474"/>
    <w:rsid w:val="0543026B"/>
    <w:rsid w:val="056A57F8"/>
    <w:rsid w:val="05CD5D86"/>
    <w:rsid w:val="05E57574"/>
    <w:rsid w:val="061A7B68"/>
    <w:rsid w:val="06287461"/>
    <w:rsid w:val="063B3638"/>
    <w:rsid w:val="06432036"/>
    <w:rsid w:val="068739C9"/>
    <w:rsid w:val="06C34BB4"/>
    <w:rsid w:val="06C73C26"/>
    <w:rsid w:val="06E8731C"/>
    <w:rsid w:val="072E4AB3"/>
    <w:rsid w:val="07637054"/>
    <w:rsid w:val="07E07FF3"/>
    <w:rsid w:val="08002443"/>
    <w:rsid w:val="080521A6"/>
    <w:rsid w:val="082D6315"/>
    <w:rsid w:val="085B58CB"/>
    <w:rsid w:val="0883512B"/>
    <w:rsid w:val="08836BD0"/>
    <w:rsid w:val="088A61B1"/>
    <w:rsid w:val="0902043D"/>
    <w:rsid w:val="09173EE8"/>
    <w:rsid w:val="09187C60"/>
    <w:rsid w:val="09306D58"/>
    <w:rsid w:val="09417C31"/>
    <w:rsid w:val="096B5FE2"/>
    <w:rsid w:val="099B7EFF"/>
    <w:rsid w:val="09A84666"/>
    <w:rsid w:val="09BA785F"/>
    <w:rsid w:val="09D05E45"/>
    <w:rsid w:val="0A1F1753"/>
    <w:rsid w:val="0A25600F"/>
    <w:rsid w:val="0A335CC9"/>
    <w:rsid w:val="0A686335"/>
    <w:rsid w:val="0A805ABD"/>
    <w:rsid w:val="0A892E9A"/>
    <w:rsid w:val="0AAA3E20"/>
    <w:rsid w:val="0AB80DB3"/>
    <w:rsid w:val="0ABA2D7D"/>
    <w:rsid w:val="0AC97464"/>
    <w:rsid w:val="0B1D5D6F"/>
    <w:rsid w:val="0B386398"/>
    <w:rsid w:val="0B5C685C"/>
    <w:rsid w:val="0B8B471A"/>
    <w:rsid w:val="0BD55995"/>
    <w:rsid w:val="0BD7170D"/>
    <w:rsid w:val="0C0369A6"/>
    <w:rsid w:val="0C1110C3"/>
    <w:rsid w:val="0C1C0FEB"/>
    <w:rsid w:val="0C5745FC"/>
    <w:rsid w:val="0C5E3BDC"/>
    <w:rsid w:val="0CDD71F7"/>
    <w:rsid w:val="0CDF412B"/>
    <w:rsid w:val="0D1E5D75"/>
    <w:rsid w:val="0D222E5C"/>
    <w:rsid w:val="0D246BD4"/>
    <w:rsid w:val="0D427592"/>
    <w:rsid w:val="0D44599A"/>
    <w:rsid w:val="0D662D48"/>
    <w:rsid w:val="0DD979BE"/>
    <w:rsid w:val="0DEE0F90"/>
    <w:rsid w:val="0E72396F"/>
    <w:rsid w:val="0E770398"/>
    <w:rsid w:val="0E7D09D7"/>
    <w:rsid w:val="0E7F5165"/>
    <w:rsid w:val="0EC8358F"/>
    <w:rsid w:val="0ED47638"/>
    <w:rsid w:val="0EF40828"/>
    <w:rsid w:val="0F0D797B"/>
    <w:rsid w:val="0F403F90"/>
    <w:rsid w:val="0F40581B"/>
    <w:rsid w:val="0F4D3C6A"/>
    <w:rsid w:val="0F781459"/>
    <w:rsid w:val="0F9F0794"/>
    <w:rsid w:val="0F9F7278"/>
    <w:rsid w:val="0FB81855"/>
    <w:rsid w:val="10260EB5"/>
    <w:rsid w:val="104B4477"/>
    <w:rsid w:val="10842309"/>
    <w:rsid w:val="10BC25F2"/>
    <w:rsid w:val="10C362D0"/>
    <w:rsid w:val="118C1040"/>
    <w:rsid w:val="11DF756D"/>
    <w:rsid w:val="12174F59"/>
    <w:rsid w:val="1218482D"/>
    <w:rsid w:val="123478B9"/>
    <w:rsid w:val="12744159"/>
    <w:rsid w:val="12A15F52"/>
    <w:rsid w:val="12A6695F"/>
    <w:rsid w:val="12AF0CEE"/>
    <w:rsid w:val="12BC340B"/>
    <w:rsid w:val="133C654F"/>
    <w:rsid w:val="1347361C"/>
    <w:rsid w:val="13570115"/>
    <w:rsid w:val="13660DF0"/>
    <w:rsid w:val="138E124B"/>
    <w:rsid w:val="138F0B1F"/>
    <w:rsid w:val="13AB531F"/>
    <w:rsid w:val="13B07DFB"/>
    <w:rsid w:val="13C87A3D"/>
    <w:rsid w:val="13CB7DA9"/>
    <w:rsid w:val="14074B59"/>
    <w:rsid w:val="140E2BA2"/>
    <w:rsid w:val="1457788F"/>
    <w:rsid w:val="145C0292"/>
    <w:rsid w:val="147E4E1C"/>
    <w:rsid w:val="14A13DB0"/>
    <w:rsid w:val="14C50C9C"/>
    <w:rsid w:val="14CF38C9"/>
    <w:rsid w:val="14D6078A"/>
    <w:rsid w:val="14DD7678"/>
    <w:rsid w:val="15052244"/>
    <w:rsid w:val="15082937"/>
    <w:rsid w:val="150D1537"/>
    <w:rsid w:val="15155054"/>
    <w:rsid w:val="15724254"/>
    <w:rsid w:val="15C756D5"/>
    <w:rsid w:val="15D942D4"/>
    <w:rsid w:val="161424FD"/>
    <w:rsid w:val="165F69CD"/>
    <w:rsid w:val="16762CAD"/>
    <w:rsid w:val="168E0873"/>
    <w:rsid w:val="16990022"/>
    <w:rsid w:val="16A36DBB"/>
    <w:rsid w:val="16AC5697"/>
    <w:rsid w:val="17552D2E"/>
    <w:rsid w:val="179B3F36"/>
    <w:rsid w:val="179D04FF"/>
    <w:rsid w:val="17DF51B5"/>
    <w:rsid w:val="17E23913"/>
    <w:rsid w:val="1804388A"/>
    <w:rsid w:val="18316649"/>
    <w:rsid w:val="185A794E"/>
    <w:rsid w:val="18734117"/>
    <w:rsid w:val="18891FE1"/>
    <w:rsid w:val="189D783A"/>
    <w:rsid w:val="198C6E5E"/>
    <w:rsid w:val="19AC5F87"/>
    <w:rsid w:val="19C470D8"/>
    <w:rsid w:val="1A061133"/>
    <w:rsid w:val="1A2521DD"/>
    <w:rsid w:val="1A6920CA"/>
    <w:rsid w:val="1A7D7923"/>
    <w:rsid w:val="1A9829AF"/>
    <w:rsid w:val="1AB07CF9"/>
    <w:rsid w:val="1AB410D3"/>
    <w:rsid w:val="1AC60AB1"/>
    <w:rsid w:val="1B3776AB"/>
    <w:rsid w:val="1B5B4181"/>
    <w:rsid w:val="1B6F3710"/>
    <w:rsid w:val="1B92475A"/>
    <w:rsid w:val="1C202C5C"/>
    <w:rsid w:val="1C4C3A51"/>
    <w:rsid w:val="1C653655"/>
    <w:rsid w:val="1C6A2129"/>
    <w:rsid w:val="1C806E9B"/>
    <w:rsid w:val="1C953CC9"/>
    <w:rsid w:val="1CA052F9"/>
    <w:rsid w:val="1CA5518A"/>
    <w:rsid w:val="1CCF5E43"/>
    <w:rsid w:val="1CD203FA"/>
    <w:rsid w:val="1CF3211F"/>
    <w:rsid w:val="1D085BCA"/>
    <w:rsid w:val="1DAD0711"/>
    <w:rsid w:val="1DAF4298"/>
    <w:rsid w:val="1DDE4B7D"/>
    <w:rsid w:val="1DEA1774"/>
    <w:rsid w:val="1DF4614E"/>
    <w:rsid w:val="1EA35AC9"/>
    <w:rsid w:val="1EBA7398"/>
    <w:rsid w:val="1EFD64DD"/>
    <w:rsid w:val="1F6B41EE"/>
    <w:rsid w:val="1FC35DD8"/>
    <w:rsid w:val="20254CE5"/>
    <w:rsid w:val="20454680"/>
    <w:rsid w:val="2046687E"/>
    <w:rsid w:val="207F5A0E"/>
    <w:rsid w:val="209B38F9"/>
    <w:rsid w:val="20B3409F"/>
    <w:rsid w:val="20D44015"/>
    <w:rsid w:val="20DA787E"/>
    <w:rsid w:val="2118216E"/>
    <w:rsid w:val="212C6A7F"/>
    <w:rsid w:val="21494A03"/>
    <w:rsid w:val="215F7D83"/>
    <w:rsid w:val="216C71A5"/>
    <w:rsid w:val="2185702E"/>
    <w:rsid w:val="21A110B9"/>
    <w:rsid w:val="21B24356"/>
    <w:rsid w:val="21CE72F8"/>
    <w:rsid w:val="222738F9"/>
    <w:rsid w:val="222F3BF9"/>
    <w:rsid w:val="227D7C46"/>
    <w:rsid w:val="22AF3FBE"/>
    <w:rsid w:val="22F95FB5"/>
    <w:rsid w:val="23403BE4"/>
    <w:rsid w:val="2342170A"/>
    <w:rsid w:val="235A7F8E"/>
    <w:rsid w:val="23706277"/>
    <w:rsid w:val="23847F75"/>
    <w:rsid w:val="239D3A89"/>
    <w:rsid w:val="24125580"/>
    <w:rsid w:val="24214159"/>
    <w:rsid w:val="243533E2"/>
    <w:rsid w:val="24417C14"/>
    <w:rsid w:val="24632C69"/>
    <w:rsid w:val="248D2E59"/>
    <w:rsid w:val="248D4C07"/>
    <w:rsid w:val="24DD6008"/>
    <w:rsid w:val="2500187D"/>
    <w:rsid w:val="250A26FB"/>
    <w:rsid w:val="2519649B"/>
    <w:rsid w:val="25331C52"/>
    <w:rsid w:val="25575BFE"/>
    <w:rsid w:val="25755DC7"/>
    <w:rsid w:val="25AE12D9"/>
    <w:rsid w:val="25AE752B"/>
    <w:rsid w:val="25B35AF8"/>
    <w:rsid w:val="25BE3540"/>
    <w:rsid w:val="25DF1492"/>
    <w:rsid w:val="25E44CFA"/>
    <w:rsid w:val="25EB7E37"/>
    <w:rsid w:val="25EF3DCB"/>
    <w:rsid w:val="262103BE"/>
    <w:rsid w:val="262D7636"/>
    <w:rsid w:val="262F2F1D"/>
    <w:rsid w:val="26591245"/>
    <w:rsid w:val="26712A32"/>
    <w:rsid w:val="267C3830"/>
    <w:rsid w:val="26890CB0"/>
    <w:rsid w:val="26A64612"/>
    <w:rsid w:val="26CB1A16"/>
    <w:rsid w:val="26FA0563"/>
    <w:rsid w:val="270C4509"/>
    <w:rsid w:val="272A0CB2"/>
    <w:rsid w:val="273264DD"/>
    <w:rsid w:val="274B7E0A"/>
    <w:rsid w:val="276417AC"/>
    <w:rsid w:val="27765E26"/>
    <w:rsid w:val="277F2F2D"/>
    <w:rsid w:val="27E712B1"/>
    <w:rsid w:val="27FB3BEE"/>
    <w:rsid w:val="283A1500"/>
    <w:rsid w:val="283C0E1E"/>
    <w:rsid w:val="28547D0B"/>
    <w:rsid w:val="28550510"/>
    <w:rsid w:val="285C501C"/>
    <w:rsid w:val="286640ED"/>
    <w:rsid w:val="28951B8A"/>
    <w:rsid w:val="28BB56DE"/>
    <w:rsid w:val="28DA7138"/>
    <w:rsid w:val="292A511A"/>
    <w:rsid w:val="29476E2A"/>
    <w:rsid w:val="29804D3A"/>
    <w:rsid w:val="298C3888"/>
    <w:rsid w:val="29CA1CE0"/>
    <w:rsid w:val="29CB0996"/>
    <w:rsid w:val="29DD03DE"/>
    <w:rsid w:val="29DD2865"/>
    <w:rsid w:val="2A0E192C"/>
    <w:rsid w:val="2A0F4835"/>
    <w:rsid w:val="2A9817E1"/>
    <w:rsid w:val="2A9E6EED"/>
    <w:rsid w:val="2AC923B3"/>
    <w:rsid w:val="2AD03A9F"/>
    <w:rsid w:val="2ADC2444"/>
    <w:rsid w:val="2ADD5419"/>
    <w:rsid w:val="2AE412F9"/>
    <w:rsid w:val="2AFA0B1C"/>
    <w:rsid w:val="2B367378"/>
    <w:rsid w:val="2B3A2E84"/>
    <w:rsid w:val="2B5348C7"/>
    <w:rsid w:val="2B620B9B"/>
    <w:rsid w:val="2B65243A"/>
    <w:rsid w:val="2BC4118F"/>
    <w:rsid w:val="2BC479A3"/>
    <w:rsid w:val="2BDE4907"/>
    <w:rsid w:val="2BDF65F0"/>
    <w:rsid w:val="2BF60A15"/>
    <w:rsid w:val="2C0E2AD1"/>
    <w:rsid w:val="2C464019"/>
    <w:rsid w:val="2C4C5C73"/>
    <w:rsid w:val="2C6B1CD2"/>
    <w:rsid w:val="2C6E3570"/>
    <w:rsid w:val="2CB21BB7"/>
    <w:rsid w:val="2CE101E6"/>
    <w:rsid w:val="2CE13D42"/>
    <w:rsid w:val="2D0D4B37"/>
    <w:rsid w:val="2D2744C4"/>
    <w:rsid w:val="2D2F0576"/>
    <w:rsid w:val="2D54104E"/>
    <w:rsid w:val="2D7746A6"/>
    <w:rsid w:val="2DD8158F"/>
    <w:rsid w:val="2DE17A34"/>
    <w:rsid w:val="2DF95152"/>
    <w:rsid w:val="2E3D20EB"/>
    <w:rsid w:val="2E452AF7"/>
    <w:rsid w:val="2EDA313F"/>
    <w:rsid w:val="2EDC7BC0"/>
    <w:rsid w:val="2F067A90"/>
    <w:rsid w:val="2F127C92"/>
    <w:rsid w:val="2F2D326E"/>
    <w:rsid w:val="2FA554FB"/>
    <w:rsid w:val="30016E89"/>
    <w:rsid w:val="30443399"/>
    <w:rsid w:val="304B7B26"/>
    <w:rsid w:val="309D2676"/>
    <w:rsid w:val="30B73737"/>
    <w:rsid w:val="30E67B79"/>
    <w:rsid w:val="30FF0C3A"/>
    <w:rsid w:val="310A37B1"/>
    <w:rsid w:val="3121016D"/>
    <w:rsid w:val="31482B17"/>
    <w:rsid w:val="314D409C"/>
    <w:rsid w:val="316B4522"/>
    <w:rsid w:val="316E35ED"/>
    <w:rsid w:val="3195334D"/>
    <w:rsid w:val="32672F3B"/>
    <w:rsid w:val="32F04CDF"/>
    <w:rsid w:val="3306530F"/>
    <w:rsid w:val="33242BDA"/>
    <w:rsid w:val="334E50BD"/>
    <w:rsid w:val="33501C21"/>
    <w:rsid w:val="33552D94"/>
    <w:rsid w:val="33793C59"/>
    <w:rsid w:val="33E02FA5"/>
    <w:rsid w:val="346573C1"/>
    <w:rsid w:val="34660831"/>
    <w:rsid w:val="34675DC5"/>
    <w:rsid w:val="352549E8"/>
    <w:rsid w:val="352670DE"/>
    <w:rsid w:val="352F39CF"/>
    <w:rsid w:val="3565078F"/>
    <w:rsid w:val="35675000"/>
    <w:rsid w:val="35BD5B88"/>
    <w:rsid w:val="35BE10C4"/>
    <w:rsid w:val="36121410"/>
    <w:rsid w:val="36162CAE"/>
    <w:rsid w:val="361B16F0"/>
    <w:rsid w:val="363C648D"/>
    <w:rsid w:val="364025B5"/>
    <w:rsid w:val="365657A0"/>
    <w:rsid w:val="366C0B20"/>
    <w:rsid w:val="36B424C7"/>
    <w:rsid w:val="36C46BAE"/>
    <w:rsid w:val="36D641EB"/>
    <w:rsid w:val="36DD37CC"/>
    <w:rsid w:val="37103BA1"/>
    <w:rsid w:val="372E1214"/>
    <w:rsid w:val="373D540C"/>
    <w:rsid w:val="376776A0"/>
    <w:rsid w:val="378B76CC"/>
    <w:rsid w:val="37BC5AD7"/>
    <w:rsid w:val="37E34E12"/>
    <w:rsid w:val="384004B6"/>
    <w:rsid w:val="389600D6"/>
    <w:rsid w:val="38B4055C"/>
    <w:rsid w:val="390E2362"/>
    <w:rsid w:val="39136C67"/>
    <w:rsid w:val="392A3342"/>
    <w:rsid w:val="395A55A8"/>
    <w:rsid w:val="395C6A8C"/>
    <w:rsid w:val="395D0BF4"/>
    <w:rsid w:val="396641A2"/>
    <w:rsid w:val="39972358"/>
    <w:rsid w:val="39D30EB6"/>
    <w:rsid w:val="3A2D4A6A"/>
    <w:rsid w:val="3A3F042A"/>
    <w:rsid w:val="3A3F654C"/>
    <w:rsid w:val="3A8F6813"/>
    <w:rsid w:val="3A971EE4"/>
    <w:rsid w:val="3AE113B1"/>
    <w:rsid w:val="3AF70BD4"/>
    <w:rsid w:val="3AFB5CD8"/>
    <w:rsid w:val="3B227CE0"/>
    <w:rsid w:val="3B581673"/>
    <w:rsid w:val="3B7364AD"/>
    <w:rsid w:val="3B7A3CDF"/>
    <w:rsid w:val="3B8561E0"/>
    <w:rsid w:val="3B96663F"/>
    <w:rsid w:val="3BB67F18"/>
    <w:rsid w:val="3BC907C3"/>
    <w:rsid w:val="3BDB0C77"/>
    <w:rsid w:val="3BDC6748"/>
    <w:rsid w:val="3BEF25A2"/>
    <w:rsid w:val="3C0727D7"/>
    <w:rsid w:val="3C4D13F4"/>
    <w:rsid w:val="3C521C4F"/>
    <w:rsid w:val="3C552056"/>
    <w:rsid w:val="3C586DF0"/>
    <w:rsid w:val="3C885F88"/>
    <w:rsid w:val="3CB67377"/>
    <w:rsid w:val="3CC80A7A"/>
    <w:rsid w:val="3CDA0556"/>
    <w:rsid w:val="3CF4235F"/>
    <w:rsid w:val="3D0221DE"/>
    <w:rsid w:val="3D09356D"/>
    <w:rsid w:val="3D0A4BEF"/>
    <w:rsid w:val="3D4F2F4A"/>
    <w:rsid w:val="3D577B08"/>
    <w:rsid w:val="3D801355"/>
    <w:rsid w:val="3D8B21D4"/>
    <w:rsid w:val="3DD80569"/>
    <w:rsid w:val="3E3A59A8"/>
    <w:rsid w:val="3E3F6B1A"/>
    <w:rsid w:val="3E6447D3"/>
    <w:rsid w:val="3E786089"/>
    <w:rsid w:val="3E8409D1"/>
    <w:rsid w:val="3EE6709F"/>
    <w:rsid w:val="3F5E56C6"/>
    <w:rsid w:val="3F6A406B"/>
    <w:rsid w:val="3F8618A1"/>
    <w:rsid w:val="40335407"/>
    <w:rsid w:val="40577042"/>
    <w:rsid w:val="40866C82"/>
    <w:rsid w:val="40A96C24"/>
    <w:rsid w:val="40F736DC"/>
    <w:rsid w:val="41483F38"/>
    <w:rsid w:val="415723CD"/>
    <w:rsid w:val="417D0085"/>
    <w:rsid w:val="41967359"/>
    <w:rsid w:val="41E00614"/>
    <w:rsid w:val="41F241C8"/>
    <w:rsid w:val="42022339"/>
    <w:rsid w:val="421B0C98"/>
    <w:rsid w:val="4240610B"/>
    <w:rsid w:val="42497F67"/>
    <w:rsid w:val="42977D4C"/>
    <w:rsid w:val="42A72EE0"/>
    <w:rsid w:val="42DF6B1E"/>
    <w:rsid w:val="431E13F4"/>
    <w:rsid w:val="43255545"/>
    <w:rsid w:val="43762FDE"/>
    <w:rsid w:val="43882D11"/>
    <w:rsid w:val="439D146D"/>
    <w:rsid w:val="43AF64F0"/>
    <w:rsid w:val="43CE72E8"/>
    <w:rsid w:val="441D5F07"/>
    <w:rsid w:val="4427077C"/>
    <w:rsid w:val="44446C38"/>
    <w:rsid w:val="446E0159"/>
    <w:rsid w:val="449C6A74"/>
    <w:rsid w:val="44A1052F"/>
    <w:rsid w:val="44E81CBA"/>
    <w:rsid w:val="44F92119"/>
    <w:rsid w:val="451731DD"/>
    <w:rsid w:val="451C560F"/>
    <w:rsid w:val="45280308"/>
    <w:rsid w:val="45317DC2"/>
    <w:rsid w:val="456A0EBE"/>
    <w:rsid w:val="459A0D62"/>
    <w:rsid w:val="45D71D2E"/>
    <w:rsid w:val="45E44247"/>
    <w:rsid w:val="464A0752"/>
    <w:rsid w:val="467A3252"/>
    <w:rsid w:val="46AF5666"/>
    <w:rsid w:val="46B06807"/>
    <w:rsid w:val="46B63350"/>
    <w:rsid w:val="46B8390E"/>
    <w:rsid w:val="46D7531D"/>
    <w:rsid w:val="46E00739"/>
    <w:rsid w:val="473A2575"/>
    <w:rsid w:val="47511A6F"/>
    <w:rsid w:val="47541888"/>
    <w:rsid w:val="477041E8"/>
    <w:rsid w:val="47745A86"/>
    <w:rsid w:val="47853AF0"/>
    <w:rsid w:val="478A185D"/>
    <w:rsid w:val="47CF53B3"/>
    <w:rsid w:val="480F01A1"/>
    <w:rsid w:val="484113A0"/>
    <w:rsid w:val="48433146"/>
    <w:rsid w:val="48541414"/>
    <w:rsid w:val="48855A71"/>
    <w:rsid w:val="4907292A"/>
    <w:rsid w:val="49563F60"/>
    <w:rsid w:val="49757894"/>
    <w:rsid w:val="49767920"/>
    <w:rsid w:val="49A777D2"/>
    <w:rsid w:val="49FA7E4B"/>
    <w:rsid w:val="4A084BAC"/>
    <w:rsid w:val="4A2A683B"/>
    <w:rsid w:val="4A44648C"/>
    <w:rsid w:val="4A514E07"/>
    <w:rsid w:val="4ABB5F9B"/>
    <w:rsid w:val="4ABE4572"/>
    <w:rsid w:val="4AC54138"/>
    <w:rsid w:val="4AEB6B97"/>
    <w:rsid w:val="4AEE5B50"/>
    <w:rsid w:val="4AF615E5"/>
    <w:rsid w:val="4B187071"/>
    <w:rsid w:val="4B1B446B"/>
    <w:rsid w:val="4B3A0D95"/>
    <w:rsid w:val="4B4E749F"/>
    <w:rsid w:val="4B612734"/>
    <w:rsid w:val="4B62209A"/>
    <w:rsid w:val="4B7E2166"/>
    <w:rsid w:val="4B8A1D1C"/>
    <w:rsid w:val="4BD378FE"/>
    <w:rsid w:val="4BDE402B"/>
    <w:rsid w:val="4BF90C50"/>
    <w:rsid w:val="4C0B3A22"/>
    <w:rsid w:val="4C417F01"/>
    <w:rsid w:val="4C4D4AF8"/>
    <w:rsid w:val="4C9170DB"/>
    <w:rsid w:val="4CA23096"/>
    <w:rsid w:val="4CC954DC"/>
    <w:rsid w:val="4CCF22AA"/>
    <w:rsid w:val="4CD34FFD"/>
    <w:rsid w:val="4CE94821"/>
    <w:rsid w:val="4CFA322F"/>
    <w:rsid w:val="4D2C1219"/>
    <w:rsid w:val="4D440AFC"/>
    <w:rsid w:val="4D510618"/>
    <w:rsid w:val="4D551EB6"/>
    <w:rsid w:val="4D6D36A4"/>
    <w:rsid w:val="4D7A1DD1"/>
    <w:rsid w:val="4DA865C9"/>
    <w:rsid w:val="4DF06083"/>
    <w:rsid w:val="4E165AE9"/>
    <w:rsid w:val="4E565FB7"/>
    <w:rsid w:val="4E766588"/>
    <w:rsid w:val="4E797E26"/>
    <w:rsid w:val="4EC866B8"/>
    <w:rsid w:val="4ED17C62"/>
    <w:rsid w:val="4ED93D6E"/>
    <w:rsid w:val="4EEC3F82"/>
    <w:rsid w:val="4F9948C8"/>
    <w:rsid w:val="4FA95B6E"/>
    <w:rsid w:val="4FC04255"/>
    <w:rsid w:val="4FD277EE"/>
    <w:rsid w:val="4FE61D11"/>
    <w:rsid w:val="50850D04"/>
    <w:rsid w:val="509E1DC6"/>
    <w:rsid w:val="50E53551"/>
    <w:rsid w:val="50FB2D75"/>
    <w:rsid w:val="51271DBC"/>
    <w:rsid w:val="51346287"/>
    <w:rsid w:val="517D5E7F"/>
    <w:rsid w:val="517E6B32"/>
    <w:rsid w:val="5187285A"/>
    <w:rsid w:val="51B51175"/>
    <w:rsid w:val="51DA30E3"/>
    <w:rsid w:val="520E6AD8"/>
    <w:rsid w:val="521206E5"/>
    <w:rsid w:val="52247FE5"/>
    <w:rsid w:val="522B2FA7"/>
    <w:rsid w:val="524349D3"/>
    <w:rsid w:val="52466271"/>
    <w:rsid w:val="52880638"/>
    <w:rsid w:val="52A511EA"/>
    <w:rsid w:val="52C61B45"/>
    <w:rsid w:val="52CD1FE4"/>
    <w:rsid w:val="52E618CE"/>
    <w:rsid w:val="53104BBF"/>
    <w:rsid w:val="53193986"/>
    <w:rsid w:val="53430A03"/>
    <w:rsid w:val="534C5B09"/>
    <w:rsid w:val="53566A27"/>
    <w:rsid w:val="535D3873"/>
    <w:rsid w:val="5374707B"/>
    <w:rsid w:val="5382777D"/>
    <w:rsid w:val="53BC1B67"/>
    <w:rsid w:val="53C43268"/>
    <w:rsid w:val="53D33D94"/>
    <w:rsid w:val="53F00B8B"/>
    <w:rsid w:val="54176117"/>
    <w:rsid w:val="54180C92"/>
    <w:rsid w:val="54196F7E"/>
    <w:rsid w:val="54260108"/>
    <w:rsid w:val="544B7B6F"/>
    <w:rsid w:val="54A11E85"/>
    <w:rsid w:val="54B0031A"/>
    <w:rsid w:val="54C31DFB"/>
    <w:rsid w:val="54E55B5A"/>
    <w:rsid w:val="550C37A2"/>
    <w:rsid w:val="55524F2D"/>
    <w:rsid w:val="556233C2"/>
    <w:rsid w:val="55723A5E"/>
    <w:rsid w:val="55940021"/>
    <w:rsid w:val="559573F6"/>
    <w:rsid w:val="563A60ED"/>
    <w:rsid w:val="563D3E2F"/>
    <w:rsid w:val="563F3703"/>
    <w:rsid w:val="56A874FB"/>
    <w:rsid w:val="56B934B6"/>
    <w:rsid w:val="56D31113"/>
    <w:rsid w:val="56D71B8E"/>
    <w:rsid w:val="572B2E47"/>
    <w:rsid w:val="573478FD"/>
    <w:rsid w:val="57551397"/>
    <w:rsid w:val="57715B3F"/>
    <w:rsid w:val="57800B32"/>
    <w:rsid w:val="57821531"/>
    <w:rsid w:val="57A06EFF"/>
    <w:rsid w:val="57AE6D93"/>
    <w:rsid w:val="57DD4BA6"/>
    <w:rsid w:val="58224012"/>
    <w:rsid w:val="583152CE"/>
    <w:rsid w:val="58492617"/>
    <w:rsid w:val="58535244"/>
    <w:rsid w:val="5862192B"/>
    <w:rsid w:val="58666421"/>
    <w:rsid w:val="589F34AA"/>
    <w:rsid w:val="58B700BD"/>
    <w:rsid w:val="58E3481A"/>
    <w:rsid w:val="590A6504"/>
    <w:rsid w:val="591075D9"/>
    <w:rsid w:val="592B3554"/>
    <w:rsid w:val="59405B56"/>
    <w:rsid w:val="594A2AEB"/>
    <w:rsid w:val="5956571C"/>
    <w:rsid w:val="596F4300"/>
    <w:rsid w:val="598917F9"/>
    <w:rsid w:val="59CF2FF0"/>
    <w:rsid w:val="59FD0068"/>
    <w:rsid w:val="5A2E33D1"/>
    <w:rsid w:val="5AA4447D"/>
    <w:rsid w:val="5AA7634B"/>
    <w:rsid w:val="5AC63DC3"/>
    <w:rsid w:val="5AC93EE4"/>
    <w:rsid w:val="5AE239FF"/>
    <w:rsid w:val="5AE40D1D"/>
    <w:rsid w:val="5AE634A3"/>
    <w:rsid w:val="5AE66844"/>
    <w:rsid w:val="5AE96334"/>
    <w:rsid w:val="5AFD1A65"/>
    <w:rsid w:val="5BEA7831"/>
    <w:rsid w:val="5BFC5BF3"/>
    <w:rsid w:val="5C075F07"/>
    <w:rsid w:val="5C1B7A3D"/>
    <w:rsid w:val="5C203FBD"/>
    <w:rsid w:val="5C675762"/>
    <w:rsid w:val="5C6E4D42"/>
    <w:rsid w:val="5C827377"/>
    <w:rsid w:val="5C857D7E"/>
    <w:rsid w:val="5CA105F6"/>
    <w:rsid w:val="5D6E329D"/>
    <w:rsid w:val="5D9407D9"/>
    <w:rsid w:val="5D99247B"/>
    <w:rsid w:val="5DCF1811"/>
    <w:rsid w:val="5E4C2049"/>
    <w:rsid w:val="5E6C5970"/>
    <w:rsid w:val="5E867AAC"/>
    <w:rsid w:val="5EB36A3D"/>
    <w:rsid w:val="5EDA046D"/>
    <w:rsid w:val="5EE66E12"/>
    <w:rsid w:val="5F8A0666"/>
    <w:rsid w:val="5F8A2976"/>
    <w:rsid w:val="5FAE6AC1"/>
    <w:rsid w:val="600D6620"/>
    <w:rsid w:val="601856F1"/>
    <w:rsid w:val="60194FC5"/>
    <w:rsid w:val="602B6AA7"/>
    <w:rsid w:val="603242D9"/>
    <w:rsid w:val="60407876"/>
    <w:rsid w:val="60563B24"/>
    <w:rsid w:val="60634492"/>
    <w:rsid w:val="606E3563"/>
    <w:rsid w:val="60D92FD4"/>
    <w:rsid w:val="60F90953"/>
    <w:rsid w:val="614E7534"/>
    <w:rsid w:val="615E60BA"/>
    <w:rsid w:val="61691F4E"/>
    <w:rsid w:val="61AA3530"/>
    <w:rsid w:val="61DA0784"/>
    <w:rsid w:val="61DD622E"/>
    <w:rsid w:val="61F56EE9"/>
    <w:rsid w:val="62015D11"/>
    <w:rsid w:val="620F6680"/>
    <w:rsid w:val="623C4F9B"/>
    <w:rsid w:val="625A74DD"/>
    <w:rsid w:val="628726BA"/>
    <w:rsid w:val="62872F3D"/>
    <w:rsid w:val="628E5A69"/>
    <w:rsid w:val="62B9483E"/>
    <w:rsid w:val="62D82F16"/>
    <w:rsid w:val="62F519FA"/>
    <w:rsid w:val="633316A1"/>
    <w:rsid w:val="63642186"/>
    <w:rsid w:val="63927568"/>
    <w:rsid w:val="63E458EA"/>
    <w:rsid w:val="6429154F"/>
    <w:rsid w:val="64491B1E"/>
    <w:rsid w:val="644D2AC5"/>
    <w:rsid w:val="64607667"/>
    <w:rsid w:val="646507CC"/>
    <w:rsid w:val="6467276B"/>
    <w:rsid w:val="647E7CC8"/>
    <w:rsid w:val="64A62BA0"/>
    <w:rsid w:val="64A77044"/>
    <w:rsid w:val="64BD0AE6"/>
    <w:rsid w:val="64ED26CB"/>
    <w:rsid w:val="6502427A"/>
    <w:rsid w:val="652F7039"/>
    <w:rsid w:val="65444892"/>
    <w:rsid w:val="656E7B61"/>
    <w:rsid w:val="657F1D6E"/>
    <w:rsid w:val="65A94BEA"/>
    <w:rsid w:val="65B55790"/>
    <w:rsid w:val="65CE23AE"/>
    <w:rsid w:val="66214BD4"/>
    <w:rsid w:val="664D3925"/>
    <w:rsid w:val="665A00E6"/>
    <w:rsid w:val="666845B1"/>
    <w:rsid w:val="666B39D5"/>
    <w:rsid w:val="66796886"/>
    <w:rsid w:val="66E005EB"/>
    <w:rsid w:val="67037221"/>
    <w:rsid w:val="67306DB9"/>
    <w:rsid w:val="67566479"/>
    <w:rsid w:val="67627252"/>
    <w:rsid w:val="676A25AA"/>
    <w:rsid w:val="677E6069"/>
    <w:rsid w:val="6784366C"/>
    <w:rsid w:val="67880668"/>
    <w:rsid w:val="679118E5"/>
    <w:rsid w:val="679D028A"/>
    <w:rsid w:val="67DA3265"/>
    <w:rsid w:val="68015BBD"/>
    <w:rsid w:val="68091DC3"/>
    <w:rsid w:val="681837B0"/>
    <w:rsid w:val="683A3CBA"/>
    <w:rsid w:val="68727968"/>
    <w:rsid w:val="6876268E"/>
    <w:rsid w:val="68792AA5"/>
    <w:rsid w:val="688A3028"/>
    <w:rsid w:val="6893478B"/>
    <w:rsid w:val="68E440F1"/>
    <w:rsid w:val="68ED5241"/>
    <w:rsid w:val="691535C1"/>
    <w:rsid w:val="692F13B6"/>
    <w:rsid w:val="696370F4"/>
    <w:rsid w:val="696F420B"/>
    <w:rsid w:val="69872FA0"/>
    <w:rsid w:val="69B55D5F"/>
    <w:rsid w:val="69CF4947"/>
    <w:rsid w:val="69D45E05"/>
    <w:rsid w:val="69F36887"/>
    <w:rsid w:val="6A102F95"/>
    <w:rsid w:val="6A523FFA"/>
    <w:rsid w:val="6A7A0D56"/>
    <w:rsid w:val="6A9A2EC1"/>
    <w:rsid w:val="6B182A49"/>
    <w:rsid w:val="6B282560"/>
    <w:rsid w:val="6B555975"/>
    <w:rsid w:val="6B7834E8"/>
    <w:rsid w:val="6B7B6B34"/>
    <w:rsid w:val="6B95409A"/>
    <w:rsid w:val="6BA0659B"/>
    <w:rsid w:val="6C1D4D6E"/>
    <w:rsid w:val="6C223454"/>
    <w:rsid w:val="6C30099A"/>
    <w:rsid w:val="6C382C77"/>
    <w:rsid w:val="6C4504B1"/>
    <w:rsid w:val="6C4B6506"/>
    <w:rsid w:val="6C7F0AC8"/>
    <w:rsid w:val="6CA420BB"/>
    <w:rsid w:val="6CF03552"/>
    <w:rsid w:val="6D187528"/>
    <w:rsid w:val="6D2D3E5E"/>
    <w:rsid w:val="6D567859"/>
    <w:rsid w:val="6DCC18C9"/>
    <w:rsid w:val="6DDD3AD6"/>
    <w:rsid w:val="6DE226E4"/>
    <w:rsid w:val="6E0E551E"/>
    <w:rsid w:val="6E873A42"/>
    <w:rsid w:val="6EF03395"/>
    <w:rsid w:val="6F2B0871"/>
    <w:rsid w:val="6F321E6A"/>
    <w:rsid w:val="6F5529BC"/>
    <w:rsid w:val="6FD107B4"/>
    <w:rsid w:val="6FE92BD2"/>
    <w:rsid w:val="705160B5"/>
    <w:rsid w:val="70757FF6"/>
    <w:rsid w:val="708C533F"/>
    <w:rsid w:val="70B36D70"/>
    <w:rsid w:val="712612F0"/>
    <w:rsid w:val="71353C29"/>
    <w:rsid w:val="71602412"/>
    <w:rsid w:val="71650D49"/>
    <w:rsid w:val="71707F90"/>
    <w:rsid w:val="71A566B9"/>
    <w:rsid w:val="71CC21AC"/>
    <w:rsid w:val="71E57D58"/>
    <w:rsid w:val="72014A6F"/>
    <w:rsid w:val="72023B0B"/>
    <w:rsid w:val="722C2936"/>
    <w:rsid w:val="722D2A5F"/>
    <w:rsid w:val="7238577F"/>
    <w:rsid w:val="72646574"/>
    <w:rsid w:val="726C0880"/>
    <w:rsid w:val="726F6CC7"/>
    <w:rsid w:val="72B648F6"/>
    <w:rsid w:val="72BD5C84"/>
    <w:rsid w:val="730007A6"/>
    <w:rsid w:val="7309711B"/>
    <w:rsid w:val="733F48EB"/>
    <w:rsid w:val="73B402A3"/>
    <w:rsid w:val="73CD3064"/>
    <w:rsid w:val="74493C73"/>
    <w:rsid w:val="74597150"/>
    <w:rsid w:val="745C658E"/>
    <w:rsid w:val="74B34464"/>
    <w:rsid w:val="74B85822"/>
    <w:rsid w:val="74BF7AAE"/>
    <w:rsid w:val="74C20142"/>
    <w:rsid w:val="74C8595A"/>
    <w:rsid w:val="74D53759"/>
    <w:rsid w:val="7507768A"/>
    <w:rsid w:val="75091655"/>
    <w:rsid w:val="751A5610"/>
    <w:rsid w:val="753560A8"/>
    <w:rsid w:val="758B7FB2"/>
    <w:rsid w:val="75BB4292"/>
    <w:rsid w:val="76236B62"/>
    <w:rsid w:val="766C62D7"/>
    <w:rsid w:val="76CF41DF"/>
    <w:rsid w:val="76D87530"/>
    <w:rsid w:val="76F61765"/>
    <w:rsid w:val="76F8372F"/>
    <w:rsid w:val="770025E3"/>
    <w:rsid w:val="7702635B"/>
    <w:rsid w:val="77103658"/>
    <w:rsid w:val="771851B3"/>
    <w:rsid w:val="77664B3C"/>
    <w:rsid w:val="777D20D6"/>
    <w:rsid w:val="778F488A"/>
    <w:rsid w:val="77C5127E"/>
    <w:rsid w:val="780B1240"/>
    <w:rsid w:val="78CF04BF"/>
    <w:rsid w:val="78E33F6B"/>
    <w:rsid w:val="78F1337A"/>
    <w:rsid w:val="791B1956"/>
    <w:rsid w:val="79A36AC1"/>
    <w:rsid w:val="79E65AC0"/>
    <w:rsid w:val="7A16385A"/>
    <w:rsid w:val="7A5073DE"/>
    <w:rsid w:val="7A57076C"/>
    <w:rsid w:val="7A910122"/>
    <w:rsid w:val="7A911FEB"/>
    <w:rsid w:val="7A940D99"/>
    <w:rsid w:val="7AB16DBD"/>
    <w:rsid w:val="7AF661D7"/>
    <w:rsid w:val="7B095F0A"/>
    <w:rsid w:val="7B284396"/>
    <w:rsid w:val="7B4C5DF7"/>
    <w:rsid w:val="7B646FBD"/>
    <w:rsid w:val="7BE14791"/>
    <w:rsid w:val="7BF73FB5"/>
    <w:rsid w:val="7C2428D0"/>
    <w:rsid w:val="7C63789C"/>
    <w:rsid w:val="7C6B04FF"/>
    <w:rsid w:val="7CC70C30"/>
    <w:rsid w:val="7D6973C6"/>
    <w:rsid w:val="7DA37984"/>
    <w:rsid w:val="7DB163E5"/>
    <w:rsid w:val="7DDD367E"/>
    <w:rsid w:val="7DEB745B"/>
    <w:rsid w:val="7DF20702"/>
    <w:rsid w:val="7E3239CA"/>
    <w:rsid w:val="7E3D5ECB"/>
    <w:rsid w:val="7E53749D"/>
    <w:rsid w:val="7E5A186C"/>
    <w:rsid w:val="7E5C45A3"/>
    <w:rsid w:val="7E8A55B4"/>
    <w:rsid w:val="7E8F2BCB"/>
    <w:rsid w:val="7EA002E8"/>
    <w:rsid w:val="7EC1649C"/>
    <w:rsid w:val="7EC556BA"/>
    <w:rsid w:val="7EC806B7"/>
    <w:rsid w:val="7ECF4875"/>
    <w:rsid w:val="7F2571BC"/>
    <w:rsid w:val="7F313C82"/>
    <w:rsid w:val="7F345520"/>
    <w:rsid w:val="7F5F07EF"/>
    <w:rsid w:val="7F66342D"/>
    <w:rsid w:val="7F722634"/>
    <w:rsid w:val="7FC640FE"/>
    <w:rsid w:val="7FE74340"/>
    <w:rsid w:val="7FF6466E"/>
    <w:rsid w:val="7FF86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numPr>
        <w:ilvl w:val="0"/>
        <w:numId w:val="1"/>
      </w:numPr>
      <w:jc w:val="center"/>
      <w:outlineLvl w:val="0"/>
    </w:pPr>
    <w:rPr>
      <w:rFonts w:ascii="仿宋_GB2312" w:eastAsia="仿宋_GB2312"/>
      <w:sz w:val="28"/>
    </w:rPr>
  </w:style>
  <w:style w:type="paragraph" w:styleId="3">
    <w:name w:val="heading 2"/>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qFormat/>
    <w:uiPriority w:val="0"/>
  </w:style>
  <w:style w:type="table" w:default="1" w:styleId="36">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unhideWhenUsed/>
    <w:qFormat/>
    <w:uiPriority w:val="0"/>
    <w:pPr>
      <w:ind w:left="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6"/>
    <w:qFormat/>
    <w:uiPriority w:val="0"/>
    <w:rPr>
      <w:rFonts w:eastAsia="楷体_GB2312"/>
      <w:b/>
      <w:bCs/>
      <w:color w:val="FF0000"/>
      <w:sz w:val="32"/>
      <w:szCs w:val="32"/>
      <w:lang w:val="zh-CN"/>
    </w:rPr>
  </w:style>
  <w:style w:type="paragraph" w:styleId="16">
    <w:name w:val="Body Text 2"/>
    <w:basedOn w:val="1"/>
    <w:next w:val="15"/>
    <w:qFormat/>
    <w:uiPriority w:val="0"/>
    <w:pPr>
      <w:spacing w:line="560" w:lineRule="exact"/>
    </w:pPr>
    <w:rPr>
      <w:rFonts w:ascii="仿宋_GB2312" w:eastAsia="仿宋_GB2312"/>
      <w:sz w:val="28"/>
      <w:szCs w:val="30"/>
    </w:rPr>
  </w:style>
  <w:style w:type="paragraph" w:styleId="17">
    <w:name w:val="Block Text"/>
    <w:basedOn w:val="1"/>
    <w:unhideWhenUsed/>
    <w:qFormat/>
    <w:uiPriority w:val="0"/>
    <w:pPr>
      <w:ind w:left="420" w:right="33"/>
      <w:jc w:val="left"/>
    </w:pPr>
    <w:rPr>
      <w:sz w:val="24"/>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8"/>
    <w:semiHidden/>
    <w:unhideWhenUsed/>
    <w:qFormat/>
    <w:uiPriority w:val="99"/>
    <w:pPr>
      <w:spacing w:after="0" w:line="240" w:lineRule="auto"/>
    </w:pPr>
    <w:rPr>
      <w:sz w:val="20"/>
    </w:rPr>
  </w:style>
  <w:style w:type="paragraph" w:styleId="23">
    <w:name w:val="footer"/>
    <w:basedOn w:val="1"/>
    <w:qFormat/>
    <w:uiPriority w:val="0"/>
    <w:pPr>
      <w:tabs>
        <w:tab w:val="center" w:pos="4153"/>
        <w:tab w:val="right" w:pos="8306"/>
      </w:tabs>
      <w:jc w:val="left"/>
    </w:pPr>
    <w:rPr>
      <w:sz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5">
    <w:name w:val="toc 1"/>
    <w:basedOn w:val="1"/>
    <w:next w:val="1"/>
    <w:qFormat/>
    <w:uiPriority w:val="39"/>
    <w:pPr>
      <w:spacing w:before="360"/>
      <w:jc w:val="left"/>
    </w:pPr>
    <w:rPr>
      <w:rFonts w:ascii="Cambria" w:hAnsi="Cambria"/>
      <w:b/>
      <w:bCs/>
      <w:caps/>
      <w:sz w:val="24"/>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spacing w:before="100" w:beforeAutospacing="1" w:after="100" w:afterAutospacing="1"/>
      <w:jc w:val="left"/>
    </w:pPr>
    <w:rPr>
      <w:sz w:val="24"/>
      <w:szCs w:val="20"/>
    </w:rPr>
  </w:style>
  <w:style w:type="paragraph" w:styleId="34">
    <w:name w:val="Title"/>
    <w:basedOn w:val="1"/>
    <w:next w:val="1"/>
    <w:link w:val="53"/>
    <w:qFormat/>
    <w:uiPriority w:val="10"/>
    <w:pPr>
      <w:spacing w:before="300" w:after="200"/>
      <w:contextualSpacing/>
    </w:pPr>
    <w:rPr>
      <w:sz w:val="48"/>
      <w:szCs w:val="48"/>
    </w:rPr>
  </w:style>
  <w:style w:type="paragraph" w:styleId="35">
    <w:name w:val="Body Text First Indent"/>
    <w:basedOn w:val="1"/>
    <w:next w:val="1"/>
    <w:qFormat/>
    <w:uiPriority w:val="0"/>
    <w:pPr>
      <w:spacing w:line="360" w:lineRule="auto"/>
      <w:ind w:firstLine="200"/>
    </w:pPr>
    <w:rPr>
      <w:rFonts w:ascii="仿宋_GB2312" w:hAnsi="Arial" w:eastAsia="仿宋_GB2312"/>
      <w:sz w:val="30"/>
      <w:szCs w:val="30"/>
    </w:rPr>
  </w:style>
  <w:style w:type="table" w:styleId="37">
    <w:name w:val="Table Grid"/>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Hyperlink"/>
    <w:unhideWhenUsed/>
    <w:qFormat/>
    <w:uiPriority w:val="99"/>
    <w:rPr>
      <w:color w:val="0026E5" w:themeColor="hyperlink"/>
      <w:u w:val="single"/>
      <w14:textFill>
        <w14:solidFill>
          <w14:schemeClr w14:val="hlink"/>
        </w14:solidFill>
      </w14:textFill>
    </w:rPr>
  </w:style>
  <w:style w:type="character" w:styleId="41">
    <w:name w:val="footnote reference"/>
    <w:basedOn w:val="38"/>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qFormat/>
    <w:uiPriority w:val="9"/>
    <w:rPr>
      <w:rFonts w:ascii="Arial" w:hAnsi="Arial" w:eastAsia="Arial" w:cs="Arial"/>
      <w:sz w:val="30"/>
      <w:szCs w:val="30"/>
    </w:rPr>
  </w:style>
  <w:style w:type="character" w:customStyle="1" w:styleId="45">
    <w:name w:val="Heading 4 Char"/>
    <w:basedOn w:val="38"/>
    <w:link w:val="5"/>
    <w:qFormat/>
    <w:uiPriority w:val="9"/>
    <w:rPr>
      <w:rFonts w:ascii="Arial" w:hAnsi="Arial" w:eastAsia="Arial" w:cs="Arial"/>
      <w:b/>
      <w:bCs/>
      <w:sz w:val="26"/>
      <w:szCs w:val="26"/>
    </w:rPr>
  </w:style>
  <w:style w:type="character" w:customStyle="1" w:styleId="46">
    <w:name w:val="Heading 5 Char"/>
    <w:basedOn w:val="38"/>
    <w:link w:val="6"/>
    <w:qFormat/>
    <w:uiPriority w:val="9"/>
    <w:rPr>
      <w:rFonts w:ascii="Arial" w:hAnsi="Arial" w:eastAsia="Arial" w:cs="Arial"/>
      <w:b/>
      <w:bCs/>
      <w:sz w:val="24"/>
      <w:szCs w:val="24"/>
    </w:rPr>
  </w:style>
  <w:style w:type="character" w:customStyle="1" w:styleId="47">
    <w:name w:val="Heading 6 Char"/>
    <w:basedOn w:val="38"/>
    <w:link w:val="7"/>
    <w:qFormat/>
    <w:uiPriority w:val="9"/>
    <w:rPr>
      <w:rFonts w:ascii="Arial" w:hAnsi="Arial" w:eastAsia="Arial" w:cs="Arial"/>
      <w:b/>
      <w:bCs/>
      <w:sz w:val="22"/>
      <w:szCs w:val="22"/>
    </w:rPr>
  </w:style>
  <w:style w:type="character" w:customStyle="1" w:styleId="48">
    <w:name w:val="Heading 7 Char"/>
    <w:basedOn w:val="38"/>
    <w:link w:val="8"/>
    <w:qFormat/>
    <w:uiPriority w:val="9"/>
    <w:rPr>
      <w:rFonts w:ascii="Arial" w:hAnsi="Arial" w:eastAsia="Arial" w:cs="Arial"/>
      <w:b/>
      <w:bCs/>
      <w:i/>
      <w:iCs/>
      <w:sz w:val="22"/>
      <w:szCs w:val="22"/>
    </w:rPr>
  </w:style>
  <w:style w:type="character" w:customStyle="1" w:styleId="49">
    <w:name w:val="Heading 8 Char"/>
    <w:basedOn w:val="38"/>
    <w:link w:val="9"/>
    <w:qFormat/>
    <w:uiPriority w:val="9"/>
    <w:rPr>
      <w:rFonts w:ascii="Arial" w:hAnsi="Arial" w:eastAsia="Arial" w:cs="Arial"/>
      <w:i/>
      <w:iCs/>
      <w:sz w:val="22"/>
      <w:szCs w:val="22"/>
    </w:rPr>
  </w:style>
  <w:style w:type="character" w:customStyle="1" w:styleId="50">
    <w:name w:val="Heading 9 Char"/>
    <w:basedOn w:val="38"/>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8"/>
    <w:link w:val="34"/>
    <w:qFormat/>
    <w:uiPriority w:val="10"/>
    <w:rPr>
      <w:sz w:val="48"/>
      <w:szCs w:val="48"/>
    </w:rPr>
  </w:style>
  <w:style w:type="character" w:customStyle="1" w:styleId="54">
    <w:name w:val="Subtitle Char"/>
    <w:basedOn w:val="38"/>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8"/>
    <w:qFormat/>
    <w:uiPriority w:val="99"/>
  </w:style>
  <w:style w:type="character" w:customStyle="1" w:styleId="60">
    <w:name w:val="Footer Char"/>
    <w:basedOn w:val="38"/>
    <w:qFormat/>
    <w:uiPriority w:val="99"/>
  </w:style>
  <w:style w:type="character" w:customStyle="1" w:styleId="61">
    <w:name w:val="Caption Char"/>
    <w:qFormat/>
    <w:uiPriority w:val="99"/>
  </w:style>
  <w:style w:type="table" w:customStyle="1" w:styleId="62">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0">
    <w:name w:val="Grid Table 1 Light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1">
    <w:name w:val="Grid Table 1 Light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2">
    <w:name w:val="Grid Table 1 Light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3">
    <w:name w:val="Grid Table 1 Light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4">
    <w:name w:val="Grid Table 1 Light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5">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2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2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2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2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2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3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3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3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3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3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6"/>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1">
    <w:name w:val="Grid Table 4 - Accent 2"/>
    <w:basedOn w:val="36"/>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4 - Accent 3"/>
    <w:basedOn w:val="36"/>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4 - Accent 4"/>
    <w:basedOn w:val="36"/>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4 - Accent 5"/>
    <w:basedOn w:val="36"/>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4 - Accent 6"/>
    <w:basedOn w:val="36"/>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8">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9">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0">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1">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2">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6"/>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6"/>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6"/>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6 Colorful - Accent 6"/>
    <w:basedOn w:val="36"/>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0">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6"/>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6"/>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6"/>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6"/>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6"/>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7 Colorful - Accent 6"/>
    <w:basedOn w:val="36"/>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7">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6"/>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9">
    <w:name w:val="List Table 1 Light - Accent 2"/>
    <w:basedOn w:val="36"/>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0">
    <w:name w:val="List Table 1 Light - Accent 3"/>
    <w:basedOn w:val="36"/>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1">
    <w:name w:val="List Table 1 Light - Accent 4"/>
    <w:basedOn w:val="36"/>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2">
    <w:name w:val="List Table 1 Light - Accent 5"/>
    <w:basedOn w:val="36"/>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3">
    <w:name w:val="List Table 1 Light - Accent 6"/>
    <w:basedOn w:val="36"/>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4">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6"/>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6">
    <w:name w:val="List Table 2 - Accent 2"/>
    <w:basedOn w:val="36"/>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7">
    <w:name w:val="List Table 2 - Accent 3"/>
    <w:basedOn w:val="36"/>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8">
    <w:name w:val="List Table 2 - Accent 4"/>
    <w:basedOn w:val="36"/>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9">
    <w:name w:val="List Table 2 - Accent 5"/>
    <w:basedOn w:val="36"/>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0">
    <w:name w:val="List Table 2 - Accent 6"/>
    <w:basedOn w:val="36"/>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1">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6"/>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3">
    <w:name w:val="List Table 3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4">
    <w:name w:val="List Table 3 - Accent 3"/>
    <w:basedOn w:val="36"/>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5">
    <w:name w:val="List Table 3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6">
    <w:name w:val="List Table 3 - Accent 5"/>
    <w:basedOn w:val="36"/>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7">
    <w:name w:val="List Table 3 - Accent 6"/>
    <w:basedOn w:val="36"/>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8">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6"/>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4 - Accent 2"/>
    <w:basedOn w:val="36"/>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4 - Accent 3"/>
    <w:basedOn w:val="36"/>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4 - Accent 4"/>
    <w:basedOn w:val="36"/>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4 - Accent 5"/>
    <w:basedOn w:val="36"/>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4 - Accent 6"/>
    <w:basedOn w:val="36"/>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6"/>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7">
    <w:name w:val="List Table 5 Dark - Accent 2"/>
    <w:basedOn w:val="36"/>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8">
    <w:name w:val="List Table 5 Dark - Accent 3"/>
    <w:basedOn w:val="36"/>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9">
    <w:name w:val="List Table 5 Dark - Accent 4"/>
    <w:basedOn w:val="36"/>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0">
    <w:name w:val="List Table 5 Dark - Accent 5"/>
    <w:basedOn w:val="36"/>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1">
    <w:name w:val="List Table 5 Dark - Accent 6"/>
    <w:basedOn w:val="36"/>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2">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6"/>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6 Colorful - Accent 2"/>
    <w:basedOn w:val="36"/>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6"/>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6"/>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6"/>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6"/>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6"/>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7 Colorful - Accent 2"/>
    <w:basedOn w:val="36"/>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6"/>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6"/>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6"/>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6"/>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6"/>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Lined - Accent 2"/>
    <w:basedOn w:val="36"/>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Lined - Accent 3"/>
    <w:basedOn w:val="36"/>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Lined - Accent 4"/>
    <w:basedOn w:val="36"/>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Lined - Accent 5"/>
    <w:basedOn w:val="36"/>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Lined - Accent 6"/>
    <w:basedOn w:val="36"/>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6"/>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Bordered &amp; Lined - Accent 2"/>
    <w:basedOn w:val="36"/>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Bordered &amp; Lined - Accent 3"/>
    <w:basedOn w:val="36"/>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Bordered &amp; Lined - Accent 4"/>
    <w:basedOn w:val="36"/>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Bordered &amp; Lined - Accent 5"/>
    <w:basedOn w:val="36"/>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Bordered &amp; Lined - Accent 6"/>
    <w:basedOn w:val="36"/>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2">
    <w:name w:val="Bordered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3">
    <w:name w:val="Bordered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4">
    <w:name w:val="Bordered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5">
    <w:name w:val="Bordered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6">
    <w:name w:val="Bordered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7">
    <w:name w:val="Footnote Text Char"/>
    <w:link w:val="28"/>
    <w:qFormat/>
    <w:uiPriority w:val="99"/>
    <w:rPr>
      <w:sz w:val="18"/>
    </w:rPr>
  </w:style>
  <w:style w:type="character" w:customStyle="1" w:styleId="188">
    <w:name w:val="Endnote Text Char"/>
    <w:link w:val="22"/>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191">
    <w:name w:val="一级条标题"/>
    <w:basedOn w:val="192"/>
    <w:next w:val="193"/>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192">
    <w:name w:val="章标题"/>
    <w:basedOn w:val="1"/>
    <w:next w:val="1"/>
    <w:qFormat/>
    <w:uiPriority w:val="0"/>
    <w:pPr>
      <w:widowControl/>
      <w:spacing w:before="158" w:after="153" w:line="323" w:lineRule="atLeast"/>
      <w:jc w:val="center"/>
    </w:pPr>
    <w:rPr>
      <w:rFonts w:ascii="Arial" w:eastAsia="黑体"/>
      <w:color w:val="000000"/>
      <w:sz w:val="31"/>
      <w:szCs w:val="20"/>
      <w:u w:val="none"/>
    </w:rPr>
  </w:style>
  <w:style w:type="paragraph" w:customStyle="1" w:styleId="193">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194">
    <w:name w:val="null3"/>
    <w:qFormat/>
    <w:uiPriority w:val="0"/>
    <w:rPr>
      <w:rFonts w:hint="eastAsia" w:ascii="Calibri" w:hAnsi="Calibri" w:eastAsia="宋体" w:cs="Times New Roman"/>
      <w:lang w:val="en-US" w:eastAsia="zh-Hans"/>
    </w:rPr>
  </w:style>
  <w:style w:type="paragraph" w:customStyle="1" w:styleId="195">
    <w:name w:val="普通正文"/>
    <w:basedOn w:val="1"/>
    <w:qFormat/>
    <w:uiPriority w:val="0"/>
    <w:pPr>
      <w:spacing w:before="120" w:after="120" w:line="360" w:lineRule="auto"/>
      <w:ind w:firstLine="480"/>
      <w:jc w:val="left"/>
    </w:pPr>
    <w:rPr>
      <w:rFonts w:ascii="Arial" w:hAnsi="Arial"/>
      <w:sz w:val="24"/>
    </w:rPr>
  </w:style>
  <w:style w:type="paragraph" w:customStyle="1" w:styleId="196">
    <w:name w:val="p17"/>
    <w:basedOn w:val="1"/>
    <w:qFormat/>
    <w:uiPriority w:val="0"/>
    <w:pPr>
      <w:widowControl/>
      <w:spacing w:before="100" w:beforeAutospacing="1" w:after="100" w:afterAutospacing="1"/>
      <w:jc w:val="left"/>
    </w:pPr>
    <w:rPr>
      <w:rFonts w:ascii="宋体" w:hAnsi="宋体" w:cs="宋体"/>
      <w:sz w:val="24"/>
      <w:szCs w:val="24"/>
    </w:rPr>
  </w:style>
  <w:style w:type="paragraph" w:customStyle="1" w:styleId="197">
    <w:name w:val="正文文本1"/>
    <w:basedOn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41385e47-6e9f-41eb-a3e8-e4912dbac2dd</errorID>
      <errorWord>，</errorWord>
      <group>L1_Punc</group>
      <groupName>标点问题</groupName>
      <ability>L2_Punc_CN</ability>
      <abilityName>标点符号问题</abilityName>
      <candidateList>
        <item/>
      </candidateList>
      <explain/>
      <paraID>2A10D256</paraID>
      <start>66</start>
      <end>67</end>
      <status>modified</status>
      <modifiedWord/>
      <trackRevisions>true</trackRevisions>
    </reviewItem>
    <reviewItem>
      <errorID>4c9758cf-f777-436c-a239-53e1c1f689ad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56340CFA</paraID>
      <start>0</start>
      <end>2</end>
      <status>ignored</status>
      <modifiedWord/>
      <trackRevisions>false</trackRevisions>
    </reviewItem>
    <reviewItem>
      <errorID>93956e8d-9e3f-48a5-815a-33c3896d3158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79D8E52B</paraID>
      <start>0</start>
      <end>2</end>
      <status>unmodified</status>
      <modifiedWord/>
      <trackRevisions>false</trackRevisions>
    </reviewItem>
    <reviewItem>
      <errorID>f42d5a8d-99fd-46a8-bd59-5cd600c08d93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244F3F60</paraID>
      <start>0</start>
      <end>2</end>
      <status>unmodified</status>
      <modifiedWord/>
      <trackRevisions>false</trackRevisions>
    </reviewItem>
    <reviewItem>
      <errorID>25c7c1d4-1320-45ce-a536-98e36a2fe23d</errorID>
      <errorWord>提供</errorWord>
      <group>L1_Punc</group>
      <groupName>标点问题</groupName>
      <ability>L2_Punc_CN</ability>
      <abilityName>标点符号问题</abilityName>
      <candidateList>
        <item>，提供</item>
      </candidateList>
      <explain/>
      <paraID>244F3F60</paraID>
      <start>86</start>
      <end>88</end>
      <status>unmodified</status>
      <modifiedWord/>
      <trackRevisions>false</trackRevisions>
    </reviewItem>
    <reviewItem>
      <errorID>b3bc0df1-2f98-4e9b-9939-18a4e99b4c70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6ABA42F4</paraID>
      <start>0</start>
      <end>2</end>
      <status>unmodified</status>
      <modifiedWord/>
      <trackRevisions>false</trackRevisions>
    </reviewItem>
    <reviewItem>
      <errorID>1d7a341a-1174-4450-87b4-209ed9d686ed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169D67E9</paraID>
      <start>0</start>
      <end>2</end>
      <status>unmodified</status>
      <modifiedWord/>
      <trackRevisions>false</trackRevisions>
    </reviewItem>
    <reviewItem>
      <errorID>7eaec78c-beb0-4db0-88cd-f0056d8718bd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588ADB13</paraID>
      <start>0</start>
      <end>2</end>
      <status>unmodified</status>
      <modifiedWord/>
      <trackRevisions>false</trackRevisions>
    </reviewItem>
    <reviewItem>
      <errorID>838e1de3-903f-4a96-a6eb-3bd8e53e8ed8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724F9AB4</paraID>
      <start>0</start>
      <end>2</end>
      <status>unmodified</status>
      <modifiedWord/>
      <trackRevisions>false</trackRevisions>
    </reviewItem>
    <reviewItem>
      <errorID>b918f2b6-45a4-4428-95f9-983129f7a59d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759FBD8D</paraID>
      <start>0</start>
      <end>2</end>
      <status>unmodified</status>
      <modifiedWord/>
      <trackRevisions>false</trackRevisions>
    </reviewItem>
    <reviewItem>
      <errorID>fa644a60-420b-43a0-a7ee-e7f0250cbfe7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104929EA</paraID>
      <start>0</start>
      <end>2</end>
      <status>unmodified</status>
      <modifiedWord/>
      <trackRevisions>false</trackRevisions>
    </reviewItem>
    <reviewItem>
      <errorID>82df08a4-3c44-4ead-bf4a-2adbb30a1e60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7E037921</paraID>
      <start>1</start>
      <end>3</end>
      <status>unmodified</status>
      <modifiedWord/>
      <trackRevisions>false</trackRevisions>
    </reviewItem>
    <reviewItem>
      <errorID>baf43629-4246-480f-ba15-e33bcb94b6e9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5773C47C</paraID>
      <start>0</start>
      <end>2</end>
      <status>unmodified</status>
      <modifiedWord/>
      <trackRevisions>false</trackRevisions>
    </reviewItem>
    <reviewItem>
      <errorID>d776278b-0241-409e-9065-6e5a400aad8a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29CF0EC9</paraID>
      <start>0</start>
      <end>2</end>
      <status>unmodified</status>
      <modifiedWord/>
      <trackRevisions>false</trackRevisions>
    </reviewItem>
    <reviewItem>
      <errorID>6eb01762-c0d2-4f29-9604-baa366884ddd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2BB06B08</paraID>
      <start>0</start>
      <end>2</end>
      <status>unmodified</status>
      <modifiedWord/>
      <trackRevisions>false</trackRevisions>
    </reviewItem>
    <reviewItem>
      <errorID>d8e440be-4f55-4439-bd76-d02b33196eb8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778C194</paraID>
      <start>0</start>
      <end>2</end>
      <status>unmodified</status>
      <modifiedWord/>
      <trackRevisions>false</trackRevisions>
    </reviewItem>
    <reviewItem>
      <errorID>9c9eea23-98fb-418d-9046-1ff8921f2cf0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296E156D</paraID>
      <start>0</start>
      <end>2</end>
      <status>unmodified</status>
      <modifiedWord/>
      <trackRevisions>false</trackRevisions>
    </reviewItem>
    <reviewItem>
      <errorID>2be92a4f-7a68-4ca5-8226-c2dde8057103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48D57064</paraID>
      <start>0</start>
      <end>2</end>
      <status>unmodified</status>
      <modifiedWord/>
      <trackRevisions>false</trackRevisions>
    </reviewItem>
    <reviewItem>
      <errorID>f83b0222-cc0c-45a3-bdbd-1bf32b8d7a52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24D1EB30</paraID>
      <start>0</start>
      <end>2</end>
      <status>unmodified</status>
      <modifiedWord/>
      <trackRevisions>false</trackRevisions>
    </reviewItem>
    <reviewItem>
      <errorID>15444b17-b967-4c70-a690-4238a8f3f7fc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39CDADDB</paraID>
      <start>0</start>
      <end>2</end>
      <status>unmodified</status>
      <modifiedWord/>
      <trackRevisions>false</trackRevisions>
    </reviewItem>
    <reviewItem>
      <errorID>392d8756-9a04-4504-abf8-88b8df839525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6F8EA739</paraID>
      <start>0</start>
      <end>2</end>
      <status>unmodified</status>
      <modifiedWord/>
      <trackRevisions>false</trackRevisions>
    </reviewItem>
    <reviewItem>
      <errorID>6971d692-c727-4e72-b363-d870e47f2aa8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6921E1EF</paraID>
      <start>0</start>
      <end>2</end>
      <status>unmodified</status>
      <modifiedWord/>
      <trackRevisions>false</trackRevisions>
    </reviewItem>
    <reviewItem>
      <errorID>740a23df-d763-48f3-9501-d3cf8dcd78b3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511FB96A</paraID>
      <start>0</start>
      <end>2</end>
      <status>unmodified</status>
      <modifiedWord/>
      <trackRevisions>false</trackRevisions>
    </reviewItem>
    <reviewItem>
      <errorID>7df0eb70-180e-4171-90dc-60c7c1d79bd0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DC74DAA</paraID>
      <start>0</start>
      <end>2</end>
      <status>unmodified</status>
      <modifiedWord/>
      <trackRevisions>false</trackRevisions>
    </reviewItem>
    <reviewItem>
      <errorID>d0a485b6-18a8-48cd-bd5c-8687783eae91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7AA3B697</paraID>
      <start>0</start>
      <end>2</end>
      <status>unmodified</status>
      <modifiedWord/>
      <trackRevisions>false</trackRevisions>
    </reviewItem>
    <reviewItem>
      <errorID>00529ff9-b3fa-45a0-8f12-848c0fb1518d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1E97C71A</paraID>
      <start>0</start>
      <end>2</end>
      <status>unmodified</status>
      <modifiedWord/>
      <trackRevisions>false</trackRevisions>
    </reviewItem>
    <reviewItem>
      <errorID>6a8d2839-8ef1-43d5-94a1-bce2f6c03354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B2B6BB6</paraID>
      <start>0</start>
      <end>2</end>
      <status>unmodified</status>
      <modifiedWord/>
      <trackRevisions>false</trackRevisions>
    </reviewItem>
    <reviewItem>
      <errorID>808bca8c-5df6-4107-9b02-712024c5925f</errorID>
      <errorWord>间</errorWord>
      <group>L1_Word</group>
      <groupName>字词问题</groupName>
      <ability>L2_Typo</ability>
      <abilityName>字词错误</abilityName>
      <candidateList>
        <item>间之</item>
      </candidateList>
      <explain/>
      <paraID>34BC5705</paraID>
      <start>10</start>
      <end>11</end>
      <status>unmodified</status>
      <modifiedWord/>
      <trackRevisions>false</trackRevisions>
    </reviewItem>
    <reviewItem>
      <errorID>d951964d-834a-488c-9dd5-49c4426c7620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573DD7A7</paraID>
      <start>0</start>
      <end>2</end>
      <status>unmodified</status>
      <modifiedWord/>
      <trackRevisions>false</trackRevisions>
    </reviewItem>
    <reviewItem>
      <errorID>ade4dbed-2ed4-4259-ab84-f1c42a530840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3575C355</paraID>
      <start>0</start>
      <end>3</end>
      <status>unmodified</status>
      <modifiedWord/>
      <trackRevisions>false</trackRevisions>
    </reviewItem>
    <reviewItem>
      <errorID>033335db-7e43-45e6-aba6-3f64542448e2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5312E41F</paraID>
      <start>0</start>
      <end>3</end>
      <status>unmodified</status>
      <modifiedWord/>
      <trackRevisions>false</trackRevisions>
    </reviewItem>
    <reviewItem>
      <errorID>e0cf827f-b6e5-438b-8a05-13beb7cbbf29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38C21F13</paraID>
      <start>0</start>
      <end>3</end>
      <status>unmodified</status>
      <modifiedWord/>
      <trackRevisions>false</trackRevisions>
    </reviewItem>
    <reviewItem>
      <errorID>5e290e44-0233-4782-b65d-366f97fbfcae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686A780D</paraID>
      <start>0</start>
      <end>3</end>
      <status>unmodified</status>
      <modifiedWord/>
      <trackRevisions>false</trackRevisions>
    </reviewItem>
    <reviewItem>
      <errorID>0e1f4c0e-36cf-4f88-aadd-e01e52df9b59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6754B0E8</paraID>
      <start>0</start>
      <end>3</end>
      <status>unmodified</status>
      <modifiedWord/>
      <trackRevisions>false</trackRevisions>
    </reviewItem>
    <reviewItem>
      <errorID>598ed699-f122-437c-a90a-dacd1a2087ea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18C8675</paraID>
      <start>0</start>
      <end>3</end>
      <status>unmodified</status>
      <modifiedWord/>
      <trackRevisions>false</trackRevisions>
    </reviewItem>
    <reviewItem>
      <errorID>7ce5e24b-88ac-48d5-934e-dbb87575111d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734378FB</paraID>
      <start>0</start>
      <end>3</end>
      <status>unmodified</status>
      <modifiedWord/>
      <trackRevisions>false</trackRevisions>
    </reviewItem>
    <reviewItem>
      <errorID>73df2caa-4770-4c1f-8ccd-83b7b8b27d61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181CEF5E</paraID>
      <start>0</start>
      <end>3</end>
      <status>unmodified</status>
      <modifiedWord/>
      <trackRevisions>false</trackRevisions>
    </reviewItem>
    <reviewItem>
      <errorID>8b4d2009-213d-4587-90e4-932c4b987417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3177817B</paraID>
      <start>0</start>
      <end>3</end>
      <status>unmodified</status>
      <modifiedWord/>
      <trackRevisions>false</trackRevisions>
    </reviewItem>
    <reviewItem>
      <errorID>bf7a49c5-a056-4a75-b0fb-c48716394091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12901F67</paraID>
      <start>0</start>
      <end>3</end>
      <status>unmodified</status>
      <modifiedWord/>
      <trackRevisions>false</trackRevisions>
    </reviewItem>
    <reviewItem>
      <errorID>a78f8657-2ae7-48cf-a6d4-cff28615673e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6F901EAA</paraID>
      <start>0</start>
      <end>3</end>
      <status>unmodified</status>
      <modifiedWord/>
      <trackRevisions>false</trackRevisions>
    </reviewItem>
    <reviewItem>
      <errorID>aa74386f-3870-458b-944f-2ec1e0d8546b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2146C7F8</paraID>
      <start>0</start>
      <end>3</end>
      <status>unmodified</status>
      <modifiedWord/>
      <trackRevisions>false</trackRevisions>
    </reviewItem>
    <reviewItem>
      <errorID>68800004-1f0d-455d-83f9-54a99fbb7c2b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2600CA9D</paraID>
      <start>0</start>
      <end>3</end>
      <status>unmodified</status>
      <modifiedWord/>
      <trackRevisions>false</trackRevisions>
    </reviewItem>
    <reviewItem>
      <errorID>60b084f9-54b7-4edd-a741-5de323c22c2c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79865054</paraID>
      <start>14</start>
      <end>17</end>
      <status>unmodified</status>
      <modifiedWord/>
      <trackRevisions>false</trackRevisions>
    </reviewItem>
    <reviewItem>
      <errorID>63fcf9bf-9957-43fb-a917-b1bc33bdaa06</errorID>
      <errorWord>保持通讯畅通</errorWord>
      <group>L1_Word</group>
      <groupName>字词问题</groupName>
      <ability>L2_Typo</ability>
      <abilityName>字词错误</abilityName>
      <candidateList>
        <item>保持通信畅通</item>
      </candidateList>
      <explain/>
      <paraID>71A1BB72</paraID>
      <start>19</start>
      <end>25</end>
      <status>unmodified</status>
      <modifiedWord/>
      <trackRevisions>false</trackRevisions>
    </reviewItem>
    <reviewItem>
      <errorID>d7118607-a015-4d79-be7a-67cfc3dcce89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2F080790</paraID>
      <start>0</start>
      <end>3</end>
      <status>unmodified</status>
      <modifiedWord/>
      <trackRevisions>false</trackRevisions>
    </reviewItem>
    <reviewItem>
      <errorID>fd3f6565-8720-40bc-94c5-28dda9f25c68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11279B55</paraID>
      <start>0</start>
      <end>3</end>
      <status>unmodified</status>
      <modifiedWord/>
      <trackRevisions>false</trackRevisions>
    </reviewItem>
    <reviewItem>
      <errorID>0029af2c-7fc7-4c32-b10e-5aba7d5f317b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4C4AFFDC</paraID>
      <start>0</start>
      <end>3</end>
      <status>unmodified</status>
      <modifiedWord/>
      <trackRevisions>false</trackRevisions>
    </reviewItem>
    <reviewItem>
      <errorID>c1ca7eb1-941d-4736-b6a4-a4d1788572eb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500E7AB0</paraID>
      <start>0</start>
      <end>3</end>
      <status>unmodified</status>
      <modifiedWord/>
      <trackRevisions>false</trackRevisions>
    </reviewItem>
    <reviewItem>
      <errorID>15696e11-004a-4ada-8f7c-5f3fe2abf599</errorID>
      <errorWord>评委会进行</errorWord>
      <group>L1_Grammar</group>
      <groupName>语法问题</groupName>
      <ability>L2_Grammar</ability>
      <abilityName>语法错误</abilityName>
      <candidateList>
        <item>评委会</item>
      </candidateList>
      <explain/>
      <paraID>5FFB7E7F</paraID>
      <start>65</start>
      <end>70</end>
      <status>unmodified</status>
      <modifiedWord/>
      <trackRevisions>false</trackRevisions>
    </reviewItem>
    <reviewItem>
      <errorID>a09fe79f-bf43-4428-82ee-b59a2e31395d</errorID>
      <errorWord>从</errorWord>
      <group>L1_Word</group>
      <groupName>字词问题</groupName>
      <ability>L2_Typo</ability>
      <abilityName>字词错误</abilityName>
      <candidateList>
        <item>对</item>
      </candidateList>
      <explain/>
      <paraID>19156D7D</paraID>
      <start>27</start>
      <end>28</end>
      <status>unmodified</status>
      <modifiedWord/>
      <trackRevisions>false</trackRevisions>
    </reviewItem>
    <reviewItem>
      <errorID>ec120a21-f040-4f61-bea7-4960e0c8ca55</errorID>
      <errorWord>系统中</errorWord>
      <group>L1_Word</group>
      <groupName>字词问题</groupName>
      <ability>L2_Typo</ability>
      <abilityName>字词错误</abilityName>
      <candidateList>
        <item>系统</item>
      </candidateList>
      <explain/>
      <paraID>331A0DA3</paraID>
      <start>33</start>
      <end>36</end>
      <status>unmodified</status>
      <modifiedWord/>
      <trackRevisions>false</trackRevisions>
    </reviewItem>
    <reviewItem>
      <errorID>e9e8ae9e-0ee3-426e-90f5-26ad3d95c19a</errorID>
      <errorWord>如果</errorWord>
      <group>L1_Word</group>
      <groupName>字词问题</groupName>
      <ability>L2_Typo</ability>
      <abilityName>字词错误</abilityName>
      <candidateList>
        <item> 如果</item>
      </candidateList>
      <explain/>
      <paraID>15E90F22</paraID>
      <start>4</start>
      <end>6</end>
      <status>unmodified</status>
      <modifiedWord/>
      <trackRevisions>false</trackRevisions>
    </reviewItem>
    <reviewItem>
      <errorID>37b9ad6c-29c8-4548-bc19-6a852ed7ef33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6F8226B8</paraID>
      <start>0</start>
      <end>3</end>
      <status>unmodified</status>
      <modifiedWord/>
      <trackRevisions>false</trackRevisions>
    </reviewItem>
    <reviewItem>
      <errorID>368b315d-9cd8-4eae-9fcf-a36576991b9b</errorID>
      <errorWord>国家发改委</errorWord>
      <group>L1_Knowledge</group>
      <groupName>知识性问题</groupName>
      <ability>L2_Knowledge</ability>
      <abilityName>其他知识</abilityName>
      <candidateList>
        <item>国家发展改革委</item>
      </candidateList>
      <explain/>
      <paraID>462ABFCB</paraID>
      <start>19</start>
      <end>24</end>
      <status>unmodified</status>
      <modifiedWord/>
      <trackRevisions>false</trackRevisions>
    </reviewItem>
    <reviewItem>
      <errorID>d363fb91-f85a-4dd6-b673-e2892cf3e3d2</errorID>
      <errorWord>法律、法规</errorWord>
      <group>L1_Word</group>
      <groupName>字词问题</groupName>
      <ability>L2_Typo</ability>
      <abilityName>字词错误</abilityName>
      <candidateList>
        <item>法律法规</item>
      </candidateList>
      <explain/>
      <paraID>43535AD9</paraID>
      <start>6</start>
      <end>11</end>
      <status>unmodified</status>
      <modifiedWord/>
      <trackRevisions>false</trackRevisions>
    </reviewItem>
    <reviewItem>
      <errorID>1908238a-7ff1-4670-99cf-0e2d78588bd2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6F802B96</paraID>
      <start>0</start>
      <end>3</end>
      <status>unmodified</status>
      <modifiedWord/>
      <trackRevisions>false</trackRevisions>
    </reviewItem>
    <reviewItem>
      <errorID>7a22deee-031a-475a-ba00-30ccfca2d293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7E7333F6</paraID>
      <start>0</start>
      <end>3</end>
      <status>unmodified</status>
      <modifiedWord/>
      <trackRevisions>false</trackRevisions>
    </reviewItem>
    <reviewItem>
      <errorID>b3c1154b-9f78-4d3b-b9f1-1740bd6198f2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128E3A95</paraID>
      <start>0</start>
      <end>3</end>
      <status>unmodified</status>
      <modifiedWord/>
      <trackRevisions>false</trackRevisions>
    </reviewItem>
    <reviewItem>
      <errorID>944cfd3e-b5b9-48da-8320-ce9d869b6973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53AAD9B6</paraID>
      <start>0</start>
      <end>3</end>
      <status>unmodified</status>
      <modifiedWord/>
      <trackRevisions>false</trackRevisions>
    </reviewItem>
    <reviewItem>
      <errorID>cbc712de-755f-4da5-96f5-1ee89392abb2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6FE771A3</paraID>
      <start>0</start>
      <end>3</end>
      <status>unmodified</status>
      <modifiedWord/>
      <trackRevisions>false</trackRevisions>
    </reviewItem>
    <reviewItem>
      <errorID>0887f7a9-2e93-4e65-ace0-03702fa09b87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63D70627</paraID>
      <start>0</start>
      <end>3</end>
      <status>unmodified</status>
      <modifiedWord/>
      <trackRevisions>false</trackRevisions>
    </reviewItem>
    <reviewItem>
      <errorID>3c2ac648-a363-41a6-bc00-db74eb44a66f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45EE519A</paraID>
      <start>0</start>
      <end>3</end>
      <status>unmodified</status>
      <modifiedWord/>
      <trackRevisions>false</trackRevisions>
    </reviewItem>
    <reviewItem>
      <errorID>ae660d5b-06da-4150-86f8-7423022fd2d5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128703D4</paraID>
      <start>0</start>
      <end>3</end>
      <status>unmodified</status>
      <modifiedWord/>
      <trackRevisions>false</trackRevisions>
    </reviewItem>
    <reviewItem>
      <errorID>7a24277c-030d-40fc-8f91-721b418a1128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62126F8F</paraID>
      <start>94</start>
      <end>98</end>
      <status>unmodified</status>
      <modifiedWord/>
      <trackRevisions>false</trackRevisions>
    </reviewItem>
    <reviewItem>
      <errorID>c57e9488-8e8f-40c6-8a13-c8c1df4ff27e</errorID>
      <errorWord>登陆</errorWord>
      <group>L1_Word</group>
      <groupName>字词问题</groupName>
      <ability>L2_Typo</ability>
      <abilityName>字词错误</abilityName>
      <candidateList>
        <item>登录</item>
      </candidateList>
      <explain>存在发音相同字词的误用。</explain>
      <paraID>71619A0C</paraID>
      <start>9</start>
      <end>11</end>
      <status>unmodified</status>
      <modifiedWord/>
      <trackRevisions>false</trackRevisions>
    </reviewItem>
    <reviewItem>
      <errorID>86a0538d-b6ec-4a6a-bc98-f33d6a5faa92</errorID>
      <errorWord>《投标</errorWord>
      <group>L1_Grammar</group>
      <groupName>语法问题</groupName>
      <ability>L2_Grammar</ability>
      <abilityName>语法错误</abilityName>
      <candidateList>
        <item>《</item>
      </candidateList>
      <explain/>
      <paraID>71619A0C</paraID>
      <start>39</start>
      <end>42</end>
      <status>unmodified</status>
      <modifiedWord/>
      <trackRevisions>false</trackRevisions>
    </reviewItem>
    <reviewItem>
      <errorID>b9fdd72b-ca73-4426-aec9-c34c7749271a</errorID>
      <errorWord>《投标</errorWord>
      <group>L1_Grammar</group>
      <groupName>语法问题</groupName>
      <ability>L2_Grammar</ability>
      <abilityName>语法错误</abilityName>
      <candidateList>
        <item>《</item>
      </candidateList>
      <explain/>
      <paraID>71619A0C</paraID>
      <start>52</start>
      <end>55</end>
      <status>unmodified</status>
      <modifiedWord/>
      <trackRevisions>false</trackRevisions>
    </reviewItem>
    <reviewItem>
      <errorID>4920d636-574f-4f0a-b643-3e3f25a1cc43</errorID>
      <errorWord>《投标</errorWord>
      <group>L1_Grammar</group>
      <groupName>语法问题</groupName>
      <ability>L2_Grammar</ability>
      <abilityName>语法错误</abilityName>
      <candidateList>
        <item>《</item>
      </candidateList>
      <explain/>
      <paraID>71619A0C</paraID>
      <start>87</start>
      <end>90</end>
      <status>unmodified</status>
      <modifiedWord/>
      <trackRevisions>false</trackRevisions>
    </reviewItem>
    <reviewItem>
      <errorID>7f4c91fa-b0ec-4977-a1c5-0af55e4efab6</errorID>
      <errorWord>《投标</errorWord>
      <group>L1_Grammar</group>
      <groupName>语法问题</groupName>
      <ability>L2_Grammar</ability>
      <abilityName>语法错误</abilityName>
      <candidateList>
        <item>《</item>
      </candidateList>
      <explain/>
      <paraID>71619A0C</paraID>
      <start>101</start>
      <end>104</end>
      <status>unmodified</status>
      <modifiedWord/>
      <trackRevisions>false</trackRevisions>
    </reviewItem>
    <reviewItem>
      <errorID>414d5fcc-8110-48bb-98a2-85ef17390964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4DB6C53B</paraID>
      <start>0</start>
      <end>3</end>
      <status>unmodified</status>
      <modifiedWord/>
      <trackRevisions>false</trackRevisions>
    </reviewItem>
    <reviewItem>
      <errorID>477104af-4e32-47eb-a44b-815284484c79</errorID>
      <errorWord>材料的</errorWord>
      <group>L1_Word</group>
      <groupName>字词问题</groupName>
      <ability>L2_Typo</ability>
      <abilityName>字词错误</abilityName>
      <candidateList>
        <item>材料</item>
      </candidateList>
      <explain/>
      <paraID>4B719376</paraID>
      <start>63</start>
      <end>66</end>
      <status>unmodified</status>
      <modifiedWord/>
      <trackRevisions>false</trackRevisions>
    </reviewItem>
    <reviewItem>
      <errorID>ed9eb268-9874-4486-9673-32866391b0c0</errorID>
      <errorWord>商业秘密的</errorWord>
      <group>L1_Word</group>
      <groupName>字词问题</groupName>
      <ability>L2_Typo</ability>
      <abilityName>字词错误</abilityName>
      <candidateList>
        <item>商业秘密</item>
      </candidateList>
      <explain/>
      <paraID>4B719376</paraID>
      <start>69</start>
      <end>74</end>
      <status>unmodified</status>
      <modifiedWord/>
      <trackRevisions>false</trackRevisions>
    </reviewItem>
    <reviewItem>
      <errorID>7355c472-080e-46b0-87c5-c58f8850abfb</errorID>
      <errorWord>形式的</errorWord>
      <group>L1_Word</group>
      <groupName>字词问题</groupName>
      <ability>L2_Typo</ability>
      <abilityName>字词错误</abilityName>
      <candidateList>
        <item>形式</item>
      </candidateList>
      <explain/>
      <paraID>4B719376</paraID>
      <start>80</start>
      <end>83</end>
      <status>unmodified</status>
      <modifiedWord/>
      <trackRevisions>false</trackRevisions>
    </reviewItem>
    <reviewItem>
      <errorID>8c5d3638-1033-49df-b228-3d33066620ba</errorID>
      <errorWord>《</errorWord>
      <group>L1_Punc</group>
      <groupName>标点问题</groupName>
      <ability>L2_Punc_CN</ability>
      <abilityName>标点符号问题</abilityName>
      <candidateList>
        <item/>
      </candidateList>
      <explain/>
      <paraID>69F17F18</paraID>
      <start>29</start>
      <end>30</end>
      <status>unmodified</status>
      <modifiedWord/>
      <trackRevisions>false</trackRevisions>
    </reviewItem>
    <reviewItem>
      <errorID>4761895b-fea2-4f4f-8b02-53b4eb612829</errorID>
      <errorWord>》</errorWord>
      <group>L1_Punc</group>
      <groupName>标点问题</groupName>
      <ability>L2_Punc_CN</ability>
      <abilityName>标点符号问题</abilityName>
      <candidateList>
        <item/>
      </candidateList>
      <explain/>
      <paraID>69F17F18</paraID>
      <start>36</start>
      <end>37</end>
      <status>unmodified</status>
      <modifiedWord/>
      <trackRevisions>false</trackRevisions>
    </reviewItem>
    <reviewItem>
      <errorID>f97497b9-6314-4d2a-a300-daaa109476bd</errorID>
      <errorWord>法律、法规执行</errorWord>
      <group>L1_Word</group>
      <groupName>字词问题</groupName>
      <ability>L2_Typo</ability>
      <abilityName>字词错误</abilityName>
      <candidateList>
        <item>法律法规执行</item>
      </candidateList>
      <explain/>
      <paraID> 8225C57</paraID>
      <start>14</start>
      <end>21</end>
      <status>unmodified</status>
      <modifiedWord/>
      <trackRevisions>false</trackRevisions>
    </reviewItem>
    <reviewItem>
      <errorID>c752d241-947e-416c-b3e5-1505e460bba5</errorID>
      <errorWord>连云港市长</errorWord>
      <group>L1_Political</group>
      <groupName>政治性问题</groupName>
      <ability>L2_Unpolitical</ability>
      <abilityName>政治敏感错误</abilityName>
      <candidateList>
        <item>连云港市市长</item>
      </candidateList>
      <explain/>
      <paraID>2AFECE7C</paraID>
      <start>1</start>
      <end>6</end>
      <status>unmodified</status>
      <modifiedWord/>
      <trackRevisions>false</trackRevisions>
    </reviewItem>
    <reviewItem>
      <errorID>75d2426e-d46a-4e78-88ad-a88ed5b3cf77</errorID>
      <errorWord>，</errorWord>
      <group>L1_Punc</group>
      <groupName>标点问题</groupName>
      <ability>L2_Punc_CN</ability>
      <abilityName>标点符号问题</abilityName>
      <candidateList>
        <item/>
      </candidateList>
      <explain/>
      <paraID>614FB646</paraID>
      <start>51</start>
      <end>52</end>
      <status>unmodified</status>
      <modifiedWord/>
      <trackRevisions>false</trackRevisions>
    </reviewItem>
    <reviewItem>
      <errorID>67697a18-af9c-4cdb-9ca2-817837df2eba</errorID>
      <errorWord>满</errorWord>
      <group>L1_Word</group>
      <groupName>字词问题</groupName>
      <ability>L2_Typo</ability>
      <abilityName>字词错误</abilityName>
      <candidateList>
        <item>满后</item>
      </candidateList>
      <explain/>
      <paraID>614FB646</paraID>
      <start>374</start>
      <end>375</end>
      <status>unmodified</status>
      <modifiedWord/>
      <trackRevisions>false</trackRevisions>
    </reviewItem>
    <reviewItem>
      <errorID>c963bc02-7c2a-4c81-9752-3c04c6f135ca</errorID>
      <errorWord>甲乙双方</errorWord>
      <group>L1_Punc</group>
      <groupName>标点问题</groupName>
      <ability>L2_Punc_CN</ability>
      <abilityName>标点符号问题</abilityName>
      <candidateList>
        <item>，甲乙双方</item>
      </candidateList>
      <explain/>
      <paraID>2107F13F</paraID>
      <start>27</start>
      <end>31</end>
      <status>unmodified</status>
      <modifiedWord/>
      <trackRevisions>false</trackRevisions>
    </reviewItem>
    <reviewItem>
      <errorID>644bf4e4-a5db-4124-a272-91b41004018f</errorID>
      <errorWord>十三、其它约定</errorWord>
      <group>L1_Word</group>
      <groupName>字词问题</groupName>
      <ability>L2_Alias</ability>
      <abilityName>也作/曾用词</abilityName>
      <candidateList>
        <item>十三、其他约定</item>
      </candidateList>
      <explain>词汇[十三、其它约定]为不规范表述或旧称，其规范书面表述为[十三、其他约定]。</explain>
      <paraID> 2B71B33</paraID>
      <start>0</start>
      <end>7</end>
      <status>unmodified</status>
      <modifiedWord/>
      <trackRevisions>false</trackRevisions>
    </reviewItem>
    <reviewItem>
      <errorID>956707f6-bc05-4957-8fcc-f3822b6ac517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73CF695F</paraID>
      <start>0</start>
      <end>2</end>
      <status>unmodified</status>
      <modifiedWord/>
      <trackRevisions>false</trackRevisions>
    </reviewItem>
    <reviewItem>
      <errorID>7cc6edd4-4d0c-4570-8c91-69ab2384e076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58046357</paraID>
      <start>0</start>
      <end>2</end>
      <status>unmodified</status>
      <modifiedWord/>
      <trackRevisions>false</trackRevisions>
    </reviewItem>
    <reviewItem>
      <errorID>a38069d5-c0cb-4997-8917-741b9bbaad87</errorID>
      <errorWord>，</errorWord>
      <group>L1_Punc</group>
      <groupName>标点问题</groupName>
      <ability>L2_Punc_CN</ability>
      <abilityName>标点符号问题</abilityName>
      <candidateList>
        <item/>
      </candidateList>
      <explain/>
      <paraID>5660C584</paraID>
      <start>51</start>
      <end>52</end>
      <status>unmodified</status>
      <modifiedWord/>
      <trackRevisions>false</trackRevisions>
    </reviewItem>
    <reviewItem>
      <errorID>bee97e57-6273-4800-b2c2-ab77868467a8</errorID>
      <errorWord>连云港市长</errorWord>
      <group>L1_Political</group>
      <groupName>政治性问题</groupName>
      <ability>L2_Unpolitical</ability>
      <abilityName>政治敏感错误</abilityName>
      <candidateList>
        <item>连云港市市长</item>
      </candidateList>
      <explain/>
      <paraID>592337FB</paraID>
      <start>89</start>
      <end>94</end>
      <status>unmodified</status>
      <modifiedWord/>
      <trackRevisions>false</trackRevisions>
    </reviewItem>
    <reviewItem>
      <errorID>e41ab1e8-0f06-4743-949d-e3f20ed3ad27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E490BFA</paraID>
      <start>0</start>
      <end>2</end>
      <status>unmodified</status>
      <modifiedWord/>
      <trackRevisions>false</trackRevisions>
    </reviewItem>
    <reviewItem>
      <errorID>7844595a-aa9c-4708-b001-38e295eb48e0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4BAFB885</paraID>
      <start>0</start>
      <end>2</end>
      <status>unmodified</status>
      <modifiedWord/>
      <trackRevisions>false</trackRevisions>
    </reviewItem>
    <reviewItem>
      <errorID>6a677630-5f38-4b12-b389-13c2828997fa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711A5028</paraID>
      <start>0</start>
      <end>2</end>
      <status>unmodified</status>
      <modifiedWord/>
      <trackRevisions>false</trackRevisions>
    </reviewItem>
    <reviewItem>
      <errorID>e0106581-31a2-481c-83af-b9b20a523d76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2D69D4F1</paraID>
      <start>0</start>
      <end>2</end>
      <status>unmodified</status>
      <modifiedWord/>
      <trackRevisions>false</trackRevisions>
    </reviewItem>
    <reviewItem>
      <errorID>ad2e325c-0edd-42ba-8cee-4ba9e7ee565d</errorID>
      <errorWord>辖区</errorWord>
      <group>L1_Word</group>
      <groupName>字词问题</groupName>
      <ability>L2_Typo</ability>
      <abilityName>字词错误</abilityName>
      <candidateList>
        <item>区域</item>
      </candidateList>
      <explain/>
      <paraID>2D69D4F1</paraID>
      <start>12</start>
      <end>14</end>
      <status>unmodified</status>
      <modifiedWord/>
      <trackRevisions>false</trackRevisions>
    </reviewItem>
    <reviewItem>
      <errorID>7b0c3908-a424-4b29-8edf-68c2ad3e9823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77B7A53</paraID>
      <start>0</start>
      <end>2</end>
      <status>unmodified</status>
      <modifiedWord/>
      <trackRevisions>false</trackRevisions>
    </reviewItem>
    <reviewItem>
      <errorID>87b9573e-2174-4cf8-886c-0fa91233b81a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303A23DC</paraID>
      <start>0</start>
      <end>2</end>
      <status>unmodified</status>
      <modifiedWord/>
      <trackRevisions>false</trackRevisions>
    </reviewItem>
    <reviewItem>
      <errorID>45eb354c-d474-421c-a371-be0e7bebb2d6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103C1399</paraID>
      <start>0</start>
      <end>2</end>
      <status>unmodified</status>
      <modifiedWord/>
      <trackRevisions>false</trackRevisions>
    </reviewItem>
    <reviewItem>
      <errorID>f881fdc5-0ee9-4349-8766-eaa373987512</errorID>
      <errorWord>辖区</errorWord>
      <group>L1_Word</group>
      <groupName>字词问题</groupName>
      <ability>L2_Typo</ability>
      <abilityName>字词错误</abilityName>
      <candidateList>
        <item>区域</item>
      </candidateList>
      <explain/>
      <paraID>103C1399</paraID>
      <start>3</start>
      <end>5</end>
      <status>unmodified</status>
      <modifiedWord/>
      <trackRevisions>false</trackRevisions>
    </reviewItem>
    <reviewItem>
      <errorID>b7291131-26a2-45b6-b819-b56c7c029502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52BC859C</paraID>
      <start>0</start>
      <end>2</end>
      <status>unmodified</status>
      <modifiedWord/>
      <trackRevisions>false</trackRevisions>
    </reviewItem>
    <reviewItem>
      <errorID>c3567961-4f79-4d2f-a2ed-4eb9f1779d9b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53229584</paraID>
      <start>1</start>
      <end>3</end>
      <status>unmodified</status>
      <modifiedWord/>
      <trackRevisions>false</trackRevisions>
    </reviewItem>
    <reviewItem>
      <errorID>b2d3a0ae-4a48-4edd-8bd5-cf75f03814b0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24136858</paraID>
      <start>1</start>
      <end>4</end>
      <status>unmodified</status>
      <modifiedWord/>
      <trackRevisions>false</trackRevisions>
    </reviewItem>
    <reviewItem>
      <errorID>26fa5359-18d8-432e-b435-b2882eb2361c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65AD5304</paraID>
      <start>0</start>
      <end>3</end>
      <status>unmodified</status>
      <modifiedWord/>
      <trackRevisions>false</trackRevisions>
    </reviewItem>
    <reviewItem>
      <errorID>61329f99-111b-4c86-8a62-6050b4773e42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3F89FC1B</paraID>
      <start>0</start>
      <end>3</end>
      <status>unmodified</status>
      <modifiedWord/>
      <trackRevisions>false</trackRevisions>
    </reviewItem>
    <reviewItem>
      <errorID>e6ca0cd6-98e4-4cbc-b7c2-4405f2bb6167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1E308F3D</paraID>
      <start>0</start>
      <end>3</end>
      <status>unmodified</status>
      <modifiedWord/>
      <trackRevisions>false</trackRevisions>
    </reviewItem>
    <reviewItem>
      <errorID>03c0866e-20ce-4313-af20-8533d38bdc3d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44B853AD</paraID>
      <start>0</start>
      <end>2</end>
      <status>unmodified</status>
      <modifiedWord/>
      <trackRevisions>false</trackRevisions>
    </reviewItem>
    <reviewItem>
      <errorID>e0e29c87-70c0-46a5-aa1b-0a9fe6a815e9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44533BF</paraID>
      <start>0</start>
      <end>2</end>
      <status>unmodified</status>
      <modifiedWord/>
      <trackRevisions>false</trackRevisions>
    </reviewItem>
    <reviewItem>
      <errorID>e6b1fc8f-95c4-4465-ab2d-f6e92a5a6661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6243EAA5</paraID>
      <start>0</start>
      <end>2</end>
      <status>unmodified</status>
      <modifiedWord/>
      <trackRevisions>false</trackRevisions>
    </reviewItem>
    <reviewItem>
      <errorID>a334bc09-dd38-4ce7-94e1-9bd59ff9b25d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5B617491</paraID>
      <start>0</start>
      <end>2</end>
      <status>unmodified</status>
      <modifiedWord/>
      <trackRevisions>false</trackRevisions>
    </reviewItem>
    <reviewItem>
      <errorID>d63b4284-95f2-4399-ae29-d1c0727f1c66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35AB9D16</paraID>
      <start>0</start>
      <end>2</end>
      <status>unmodified</status>
      <modifiedWord/>
      <trackRevisions>false</trackRevisions>
    </reviewItem>
    <reviewItem>
      <errorID>2050225d-f10c-4abb-a3e9-da5f300a01cd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2DF9BD3B</paraID>
      <start>0</start>
      <end>2</end>
      <status>unmodified</status>
      <modifiedWord/>
      <trackRevisions>false</trackRevisions>
    </reviewItem>
    <reviewItem>
      <errorID>4bb7cedd-51d8-4dc7-bd03-d692cf8d6cbc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46CDE9A7</paraID>
      <start>0</start>
      <end>2</end>
      <status>unmodified</status>
      <modifiedWord/>
      <trackRevisions>false</trackRevisions>
    </reviewItem>
    <reviewItem>
      <errorID>166f4d4a-173d-4fcc-8b2c-5b0def8f7baa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282BD65E</paraID>
      <start>0</start>
      <end>2</end>
      <status>unmodified</status>
      <modifiedWord/>
      <trackRevisions>false</trackRevisions>
    </reviewItem>
    <reviewItem>
      <errorID>965c289a-8e33-4c24-b9b7-b566d63d5bd3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37C2184A</paraID>
      <start>0</start>
      <end>2</end>
      <status>unmodified</status>
      <modifiedWord/>
      <trackRevisions>false</trackRevisions>
    </reviewItem>
    <reviewItem>
      <errorID>058efcd9-5ce7-4da1-b6eb-53bb7ebab5bf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29900F29</paraID>
      <start>0</start>
      <end>2</end>
      <status>unmodified</status>
      <modifiedWord/>
      <trackRevisions>false</trackRevisions>
    </reviewItem>
    <reviewItem>
      <errorID>f7418ec1-b2ae-4939-9678-8b5976c782c8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2C58C742</paraID>
      <start>0</start>
      <end>2</end>
      <status>unmodified</status>
      <modifiedWord/>
      <trackRevisions>false</trackRevisions>
    </reviewItem>
    <reviewItem>
      <errorID>ff3c19a2-bfaf-4511-911f-be8c8767195f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34C27DB6</paraID>
      <start>0</start>
      <end>2</end>
      <status>unmodified</status>
      <modifiedWord/>
      <trackRevisions>false</trackRevisions>
    </reviewItem>
    <reviewItem>
      <errorID>ab7a6e15-13e1-44f8-9002-310f9b185ca3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5CF714DB</paraID>
      <start>0</start>
      <end>2</end>
      <status>unmodified</status>
      <modifiedWord/>
      <trackRevisions>false</trackRevisions>
    </reviewItem>
    <reviewItem>
      <errorID>1de24b79-3256-4219-a069-9e28d4519a27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17AF8496</paraID>
      <start>0</start>
      <end>2</end>
      <status>unmodified</status>
      <modifiedWord/>
      <trackRevisions>false</trackRevisions>
    </reviewItem>
    <reviewItem>
      <errorID>6d660bac-c7dd-4991-a83b-0c8177edb0ed</errorID>
      <errorWord>每月初</errorWord>
      <group>L1_Word</group>
      <groupName>字词问题</groupName>
      <ability>L2_Typo</ability>
      <abilityName>字词错误</abilityName>
      <candidateList>
        <item>每月</item>
      </candidateList>
      <explain/>
      <paraID>17AF8496</paraID>
      <start>2</start>
      <end>5</end>
      <status>unmodified</status>
      <modifiedWord/>
      <trackRevisions>false</trackRevisions>
    </reviewItem>
    <reviewItem>
      <errorID>eb4acdc2-ac2f-4c25-a9ea-bf77405455a1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18B68927</paraID>
      <start>1</start>
      <end>3</end>
      <status>unmodified</status>
      <modifiedWord/>
      <trackRevisions>false</trackRevisions>
    </reviewItem>
    <reviewItem>
      <errorID>be78672c-cffd-41c0-bf6c-491bcb02ff72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2F66024A</paraID>
      <start>1</start>
      <end>3</end>
      <status>unmodified</status>
      <modifiedWord/>
      <trackRevisions>false</trackRevisions>
    </reviewItem>
    <reviewItem>
      <errorID>663e1a50-cfbd-4c24-a21b-856152e4f3f3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3D45493C</paraID>
      <start>1</start>
      <end>3</end>
      <status>unmodified</status>
      <modifiedWord/>
      <trackRevisions>false</trackRevisions>
    </reviewItem>
    <reviewItem>
      <errorID>d4550172-2ab5-4aca-b3ff-d8fc889a8c2b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20D5DEE9</paraID>
      <start>0</start>
      <end>2</end>
      <status>unmodified</status>
      <modifiedWord/>
      <trackRevisions>false</trackRevisions>
    </reviewItem>
    <reviewItem>
      <errorID>d5b56784-e5ac-42ea-9246-854f21924a02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4DF36B66</paraID>
      <start>0</start>
      <end>2</end>
      <status>unmodified</status>
      <modifiedWord/>
      <trackRevisions>false</trackRevisions>
    </reviewItem>
    <reviewItem>
      <errorID>71cdd551-78e1-4cc0-9ddd-06be04999a02</errorID>
      <errorWord>连云港市长</errorWord>
      <group>L1_Political</group>
      <groupName>政治性问题</groupName>
      <ability>L2_Unpolitical</ability>
      <abilityName>政治敏感错误</abilityName>
      <candidateList>
        <item>连云港市市长</item>
      </candidateList>
      <explain/>
      <paraID>61820273</paraID>
      <start>0</start>
      <end>5</end>
      <status>unmodified</status>
      <modifiedWord/>
      <trackRevisions>false</trackRevisions>
    </reviewItem>
    <reviewItem>
      <errorID>24b0fa40-6962-478b-a898-989ae25908ef</errorID>
      <errorWord>-</errorWord>
      <group>L1_Format</group>
      <groupName>格式问题</groupName>
      <ability>L2_HalfPunc_CN</ability>
      <abilityName>全半角问题</abilityName>
      <candidateList>
        <item>－</item>
      </candidateList>
      <explain>文本全半角错误。</explain>
      <paraID> 8883B3A</paraID>
      <start>27</start>
      <end>28</end>
      <status>unmodified</status>
      <modifiedWord/>
      <trackRevisions>false</trackRevisions>
    </reviewItem>
    <reviewItem>
      <errorID>443a4c3b-3d28-4be6-b6fe-69be553895ba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58D867FC</paraID>
      <start>0</start>
      <end>2</end>
      <status>unmodified</status>
      <modifiedWord/>
      <trackRevisions>false</trackRevisions>
    </reviewItem>
    <reviewItem>
      <errorID>d78ab363-1732-4316-8f34-8ccb7ffefe95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5D0B8E10</paraID>
      <start>0</start>
      <end>2</end>
      <status>unmodified</status>
      <modifiedWord/>
      <trackRevisions>false</trackRevisions>
    </reviewItem>
    <reviewItem>
      <errorID>4715a104-ac8a-4f66-8f86-22d62209aa79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F74B49C</paraID>
      <start>0</start>
      <end>2</end>
      <status>unmodified</status>
      <modifiedWord/>
      <trackRevisions>false</trackRevisions>
    </reviewItem>
    <reviewItem>
      <errorID>1758f52c-6a7d-44ab-8bf5-4e8b4dd9801c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7B09181C</paraID>
      <start>0</start>
      <end>2</end>
      <status>unmodified</status>
      <modifiedWord/>
      <trackRevisions>false</trackRevisions>
    </reviewItem>
    <reviewItem>
      <errorID>200142f5-8c86-4c8f-8aae-87e6bfc0875e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3ACBFF15</paraID>
      <start>0</start>
      <end>2</end>
      <status>unmodified</status>
      <modifiedWord/>
      <trackRevisions>false</trackRevisions>
    </reviewItem>
    <reviewItem>
      <errorID>fb65291d-9c41-4a27-aa8c-e5b96813c1c5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725DB9DF</paraID>
      <start>0</start>
      <end>2</end>
      <status>unmodified</status>
      <modifiedWord/>
      <trackRevisions>false</trackRevisions>
    </reviewItem>
    <reviewItem>
      <errorID>a33f3f05-1bdd-4833-9621-501f7222837e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611BA09D</paraID>
      <start>0</start>
      <end>2</end>
      <status>unmodified</status>
      <modifiedWord/>
      <trackRevisions>false</trackRevisions>
    </reviewItem>
    <reviewItem>
      <errorID>1bbe2adf-1f71-43b9-8a8f-16fdfd5b7306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24B00FDC</paraID>
      <start>0</start>
      <end>2</end>
      <status>unmodified</status>
      <modifiedWord/>
      <trackRevisions>false</trackRevisions>
    </reviewItem>
    <reviewItem>
      <errorID>bf541dfc-3795-4bff-84e5-8f26b1e85963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6EC8AFB7</paraID>
      <start>0</start>
      <end>2</end>
      <status>unmodified</status>
      <modifiedWord/>
      <trackRevisions>false</trackRevisions>
    </reviewItem>
    <reviewItem>
      <errorID>59d4c8a2-4749-4e86-95ec-cb662e99651c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35C87F35</paraID>
      <start>0</start>
      <end>2</end>
      <status>unmodified</status>
      <modifiedWord/>
      <trackRevisions>false</trackRevisions>
    </reviewItem>
    <reviewItem>
      <errorID>5a2022cb-9bcc-43c7-9eaa-04da77875967</errorID>
      <errorWord>(</errorWord>
      <group>L1_Format</group>
      <groupName>格式问题</groupName>
      <ability>L2_HalfPunc_CN</ability>
      <abilityName>全半角问题</abilityName>
      <candidateList>
        <item>（</item>
      </candidateList>
      <explain>文本全半角错误。</explain>
      <paraID>35C87F35</paraID>
      <start>44</start>
      <end>45</end>
      <status>unmodified</status>
      <modifiedWord/>
      <trackRevisions>false</trackRevisions>
    </reviewItem>
    <reviewItem>
      <errorID>c49fed78-0b4d-4e39-9510-f28e09918112</errorID>
      <errorWord>)</errorWord>
      <group>L1_Format</group>
      <groupName>格式问题</groupName>
      <ability>L2_HalfPunc_CN</ability>
      <abilityName>全半角问题</abilityName>
      <candidateList>
        <item>）</item>
      </candidateList>
      <explain>文本全半角错误。</explain>
      <paraID>35C87F35</paraID>
      <start>58</start>
      <end>59</end>
      <status>unmodified</status>
      <modifiedWord/>
      <trackRevisions>false</trackRevisions>
    </reviewItem>
    <reviewItem>
      <errorID>fd2667df-2ecf-44d2-b311-5151c4eef896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B74F84A</paraID>
      <start>0</start>
      <end>2</end>
      <status>unmodified</status>
      <modifiedWord/>
      <trackRevisions>false</trackRevisions>
    </reviewItem>
    <reviewItem>
      <errorID>817e1ffd-b331-4104-9edb-2515c3e9ab49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66746026</paraID>
      <start>0</start>
      <end>2</end>
      <status>unmodified</status>
      <modifiedWord/>
      <trackRevisions>false</trackRevisions>
    </reviewItem>
    <reviewItem>
      <errorID>c85db4b1-ae17-451b-8deb-e6b3e15ea7df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134CEB41</paraID>
      <start>0</start>
      <end>2</end>
      <status>unmodified</status>
      <modifiedWord/>
      <trackRevisions>false</trackRevisions>
    </reviewItem>
    <reviewItem>
      <errorID>b084b805-e869-4b99-b8de-92c387a0f773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1DD641C0</paraID>
      <start>0</start>
      <end>2</end>
      <status>unmodified</status>
      <modifiedWord/>
      <trackRevisions>false</trackRevisions>
    </reviewItem>
    <reviewItem>
      <errorID>562a01d2-1303-4755-b84e-9806a6417da9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7455965C</paraID>
      <start>0</start>
      <end>2</end>
      <status>unmodified</status>
      <modifiedWord/>
      <trackRevisions>false</trackRevisions>
    </reviewItem>
    <reviewItem>
      <errorID>7db4be82-313d-4527-8f86-174eec2701b0</errorID>
      <errorWord>采购包一至十</errorWord>
      <group>L1_Other</group>
      <groupName>其他问题</groupName>
      <ability>L2_Consistency</ability>
      <abilityName>一致性检查</abilityName>
      <candidateList>
        <item>采购包1至采购包10</item>
      </candidateList>
      <explain>数字一致性错误，全文所有采购包编号统一使用阿拉伯数字编号，此处表述与全文表述不一致。</explain>
      <paraID> B8E3DB0</paraID>
      <start>21</start>
      <end>28</end>
      <status>unmodified</status>
      <modifiedWord/>
      <trackRevisions>false</trackRevisions>
    </reviewItem>
    <reviewItem>
      <errorID>3cc30f91-8bc8-4f3e-8202-c64a42df34ed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7BAB3756</paraID>
      <start>0</start>
      <end>2</end>
      <status>unmodified</status>
      <modifiedWord/>
      <trackRevisions>false</trackRevisions>
    </reviewItem>
    <reviewItem>
      <errorID>35e2ed0c-2971-44f8-86a5-8c5ed7e485f3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3B0FC911</paraID>
      <start>0</start>
      <end>2</end>
      <status>unmodified</status>
      <modifiedWord/>
      <trackRevisions>false</trackRevisions>
    </reviewItem>
    <reviewItem>
      <errorID>f4fbd482-e845-48f7-a617-ccdeafac4944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22506C58</paraID>
      <start>26</start>
      <end>29</end>
      <status>unmodified</status>
      <modifiedWord/>
      <trackRevisions>false</trackRevisions>
    </reviewItem>
    <reviewItem>
      <errorID>300d193d-1ec9-48e5-bffa-9dd3424ec32c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4EB434A2</paraID>
      <start>25</start>
      <end>28</end>
      <status>unmodified</status>
      <modifiedWord/>
      <trackRevisions>false</trackRevisions>
    </reviewItem>
    <reviewItem>
      <errorID>a4db3574-1230-47d6-a72a-456f85c062cc</errorID>
      <errorWord>（</errorWord>
      <group>L1_Word</group>
      <groupName>字词问题</groupName>
      <ability>L2_Typo</ability>
      <abilityName>字词错误</abilityName>
      <candidateList>
        <item>（以</item>
      </candidateList>
      <explain/>
      <paraID>28DFA95E</paraID>
      <start>30</start>
      <end>31</end>
      <status>unmodified</status>
      <modifiedWord/>
      <trackRevisions>false</trackRevisions>
    </reviewItem>
    <reviewItem>
      <errorID>638c8c96-ca2e-4240-971f-6c193e25fe11</errorID>
      <errorWord>（</errorWord>
      <group>L1_Word</group>
      <groupName>字词问题</groupName>
      <ability>L2_Typo</ability>
      <abilityName>字词错误</abilityName>
      <candidateList>
        <item>（以</item>
      </candidateList>
      <explain/>
      <paraID>4147C1E2</paraID>
      <start>30</start>
      <end>31</end>
      <status>unmodified</status>
      <modifiedWord/>
      <trackRevisions>false</trackRevisions>
    </reviewItem>
    <reviewItem>
      <errorID>9591c4f6-4741-4a67-bda1-d3a0ff588b1c</errorID>
      <errorWord>的的</errorWord>
      <group>L1_Word</group>
      <groupName>字词问题</groupName>
      <ability>L2_Typo</ability>
      <abilityName>字词错误</abilityName>
      <candidateList>
        <item>的</item>
      </candidateList>
      <explain/>
      <paraID> 99773B1</paraID>
      <start>28</start>
      <end>30</end>
      <status>unmodified</status>
      <modifiedWord/>
      <trackRevisions>false</trackRevisions>
    </reviewItem>
    <reviewItem>
      <errorID>b4d88327-38d5-4169-bc70-f7f5e9a981e8</errorID>
      <errorWord>详实</errorWord>
      <group>L1_Word</group>
      <groupName>字词问题</groupName>
      <ability>L2_Typo</ability>
      <abilityName>字词错误</abilityName>
      <candidateList>
        <item>翔实</item>
      </candidateList>
      <explain>存在发音相同字词的误用。</explain>
      <paraID>1047ABD3</paraID>
      <start>27</start>
      <end>29</end>
      <status>unmodified</status>
      <modifiedWord/>
      <trackRevisions>false</trackRevisions>
    </reviewItem>
    <reviewItem>
      <errorID>9a451b1f-ec8b-4594-9d42-c74d33b0e730</errorID>
      <errorWord>详实</errorWord>
      <group>L1_Word</group>
      <groupName>字词问题</groupName>
      <ability>L2_Typo</ability>
      <abilityName>字词错误</abilityName>
      <candidateList>
        <item>翔实</item>
      </candidateList>
      <explain>存在发音相同字词的误用。</explain>
      <paraID>21DA316C</paraID>
      <start>31</start>
      <end>33</end>
      <status>unmodified</status>
      <modifiedWord/>
      <trackRevisions>false</trackRevisions>
    </reviewItem>
    <reviewItem>
      <errorID>35813549-071c-4499-aea9-c7cd29b8f665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55A35AE2</paraID>
      <start>0</start>
      <end>2</end>
      <status>unmodified</status>
      <modifiedWord/>
      <trackRevisions>false</trackRevisions>
    </reviewItem>
    <reviewItem>
      <errorID>6a302713-5dd3-4e3d-8668-8f7542349b28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336B3DEC</paraID>
      <start>0</start>
      <end>2</end>
      <status>unmodified</status>
      <modifiedWord/>
      <trackRevisions>false</trackRevisions>
    </reviewItem>
    <reviewItem>
      <errorID>26f76465-db5e-4dec-8ab8-d794718ce08c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5F4590D0</paraID>
      <start>0</start>
      <end>2</end>
      <status>unmodified</status>
      <modifiedWord/>
      <trackRevisions>false</trackRevisions>
    </reviewItem>
    <reviewItem>
      <errorID>0d81c30e-1d82-4710-a7d3-dae0d1ba8234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4C7DC98F</paraID>
      <start>0</start>
      <end>2</end>
      <status>unmodified</status>
      <modifiedWord/>
      <trackRevisions>false</trackRevisions>
    </reviewItem>
    <reviewItem>
      <errorID>5571f9f8-08e9-4471-b313-4ed176e66457</errorID>
      <errorWord>(</errorWord>
      <group>L1_Format</group>
      <groupName>格式问题</groupName>
      <ability>L2_HalfPunc_CN</ability>
      <abilityName>全半角问题</abilityName>
      <candidateList>
        <item>（</item>
      </candidateList>
      <explain>文本全半角错误。</explain>
      <paraID>57F4B8EC</paraID>
      <start>59</start>
      <end>60</end>
      <status>unmodified</status>
      <modifiedWord/>
      <trackRevisions>false</trackRevisions>
    </reviewItem>
    <reviewItem>
      <errorID>ef8b0453-57d9-4f69-a4a5-bb9b1cb3d2f8</errorID>
      <errorWord>)</errorWord>
      <group>L1_Format</group>
      <groupName>格式问题</groupName>
      <ability>L2_HalfPunc_CN</ability>
      <abilityName>全半角问题</abilityName>
      <candidateList>
        <item>）</item>
      </candidateList>
      <explain>文本全半角错误。</explain>
      <paraID>57F4B8EC</paraID>
      <start>62</start>
      <end>63</end>
      <status>unmodified</status>
      <modifiedWord/>
      <trackRevisions>false</trackRevisions>
    </reviewItem>
    <reviewItem>
      <errorID>372974a0-e718-4514-8bb8-a6f878f186cf</errorID>
      <errorWord>,</errorWord>
      <group>L1_Format</group>
      <groupName>格式问题</groupName>
      <ability>L2_HalfPunc_CN</ability>
      <abilityName>全半角问题</abilityName>
      <candidateList>
        <item>，</item>
      </candidateList>
      <explain>文本全半角错误。</explain>
      <paraID>13766145</paraID>
      <start>8</start>
      <end>9</end>
      <status>unmodified</status>
      <modifiedWord/>
      <trackRevisions>false</trackRevisions>
    </reviewItem>
    <reviewItem>
      <errorID>53c0cd9f-5848-4a30-9162-b3051ab8ed4e</errorID>
      <errorWord>,</errorWord>
      <group>L1_Format</group>
      <groupName>格式问题</groupName>
      <ability>L2_HalfPunc_CN</ability>
      <abilityName>全半角问题</abilityName>
      <candidateList>
        <item>，</item>
      </candidateList>
      <explain>文本全半角错误。</explain>
      <paraID>13766145</paraID>
      <start>34</start>
      <end>35</end>
      <status>unmodified</status>
      <modifiedWord/>
      <trackRevisions>false</trackRevisions>
    </reviewItem>
    <reviewItem>
      <errorID>2cf3b3f4-37e1-4f53-9210-2fc2efa5d961</errorID>
      <errorWord>间</errorWord>
      <group>L1_Word</group>
      <groupName>字词问题</groupName>
      <ability>L2_Typo</ability>
      <abilityName>字词错误</abilityName>
      <candidateList>
        <item>间内</item>
      </candidateList>
      <explain/>
      <paraID>13766145</paraID>
      <start>47</start>
      <end>48</end>
      <status>unmodified</status>
      <modifiedWord/>
      <trackRevisions>false</trackRevisions>
    </reviewItem>
    <reviewItem>
      <errorID>54d6ae0d-7ebc-4578-a38a-b37ee26b1d7d</errorID>
      <errorWord>(</errorWord>
      <group>L1_Format</group>
      <groupName>格式问题</groupName>
      <ability>L2_HalfPunc_CN</ability>
      <abilityName>全半角问题</abilityName>
      <candidateList>
        <item>（</item>
      </candidateList>
      <explain>文本全半角错误。</explain>
      <paraID>44BCE48D</paraID>
      <start>28</start>
      <end>29</end>
      <status>unmodified</status>
      <modifiedWord/>
      <trackRevisions>false</trackRevisions>
    </reviewItem>
    <reviewItem>
      <errorID>83a99e41-30e5-40fa-a06b-d3a7e9707f41</errorID>
      <errorWord>)</errorWord>
      <group>L1_Format</group>
      <groupName>格式问题</groupName>
      <ability>L2_HalfPunc_CN</ability>
      <abilityName>全半角问题</abilityName>
      <candidateList>
        <item>）</item>
      </candidateList>
      <explain>文本全半角错误。</explain>
      <paraID>44BCE48D</paraID>
      <start>40</start>
      <end>41</end>
      <status>unmodified</status>
      <modifiedWord/>
      <trackRevisions>false</trackRevisions>
    </reviewItem>
    <reviewItem>
      <errorID>7c69701a-048e-4eac-9115-524d94a48c6d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74F522B2</paraID>
      <start>0</start>
      <end>2</end>
      <status>unmodified</status>
      <modifiedWord/>
      <trackRevisions>false</trackRevisions>
    </reviewItem>
    <reviewItem>
      <errorID>bda43a4a-fddf-4843-9ba0-f55ce19283a8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56DECE79</paraID>
      <start>0</start>
      <end>2</end>
      <status>unmodified</status>
      <modifiedWord/>
      <trackRevisions>false</trackRevisions>
    </reviewItem>
    <reviewItem>
      <errorID>5c261b5e-d5b9-4b82-8285-2b384a551dd8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36A7492D</paraID>
      <start>0</start>
      <end>2</end>
      <status>unmodified</status>
      <modifiedWord/>
      <trackRevisions>false</trackRevisions>
    </reviewItem>
    <reviewItem>
      <errorID>6a406052-78ca-4d30-8654-7207bd49701a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79F29760</paraID>
      <start>0</start>
      <end>2</end>
      <status>unmodified</status>
      <modifiedWord/>
      <trackRevisions>false</trackRevisions>
    </reviewItem>
    <reviewItem>
      <errorID>9f276031-ad5d-445c-a22f-93e7b8d09070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38BEFAB9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e8755e-6b7f-4232-86f3-f7a7c47fdf35}">
  <ds:schemaRefs/>
</ds:datastoreItem>
</file>

<file path=docProps/app.xml><?xml version="1.0" encoding="utf-8"?>
<Properties xmlns="http://schemas.openxmlformats.org/officeDocument/2006/extended-properties" xmlns:vt="http://schemas.openxmlformats.org/officeDocument/2006/docPropsVTypes">
  <Template>Normal.dotm</Template>
  <Pages>56</Pages>
  <Words>79</Words>
  <Characters>108</Characters>
  <TotalTime>0</TotalTime>
  <ScaleCrop>false</ScaleCrop>
  <LinksUpToDate>false</LinksUpToDate>
  <CharactersWithSpaces>115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2025-10-30T11:50:00Z</dcterms:created>
  <dc:creator>纪晶晶</dc:creator>
  <cp:lastModifiedBy>王明亮</cp:lastModifiedBy>
  <dcterms:modified xsi:type="dcterms:W3CDTF">2026-09-29T02:31:03Z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DC6911AA45144BD0916F1D80AE0A89F5_13</vt:lpwstr>
  </property>
  <property fmtid="{D5CDD505-2E9C-101B-9397-08002B2CF9AE}" pid="4" name="KSOTemplateDocerSaveRecord">
    <vt:lpwstr>eyJoZGlkIjoiZWFjODA0M2FkODE4NjcxMzc4ZGQzOTI4NTBiYWY3N2QiLCJ1c2VySWQiOiIzNjA3NDA3MTEifQ==</vt:lpwstr>
  </property>
</Properties>
</file>