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jc w:val="center"/>
        <w:spacing w:line="360" w:lineRule="auto"/>
        <w:shd w:val="clear" w:color="auto" w:fill="ffffff"/>
        <w:widowControl/>
        <w:rPr>
          <w:b/>
          <w:sz w:val="48"/>
          <w:szCs w:val="48"/>
        </w:rPr>
      </w:pPr>
      <w:r>
        <w:rPr>
          <w:b/>
          <w:sz w:val="48"/>
          <w:szCs w:val="48"/>
        </w:rPr>
      </w:r>
      <w:r/>
    </w:p>
    <w:p>
      <w:pPr>
        <w:pStyle w:val="930"/>
        <w:ind w:firstLine="0"/>
      </w:pPr>
      <w:r/>
      <w:r/>
    </w:p>
    <w:p>
      <w:pPr>
        <w:pStyle w:val="930"/>
        <w:ind w:firstLine="0"/>
        <w:jc w:val="center"/>
        <w:rPr>
          <w:rFonts w:hint="eastAsia" w:eastAsia="黑体"/>
          <w:b/>
          <w:bCs/>
          <w:sz w:val="52"/>
          <w:szCs w:val="52"/>
          <w:lang w:eastAsia="zh-CN"/>
        </w:rPr>
      </w:pPr>
      <w:r>
        <w:rPr>
          <w:rFonts w:hint="eastAsia" w:eastAsia="黑体"/>
          <w:b/>
          <w:bCs/>
          <w:sz w:val="52"/>
          <w:szCs w:val="52"/>
          <w:lang w:eastAsia="zh-CN"/>
        </w:rPr>
        <w:t xml:space="preserve">麒麟街道监控设备采购</w:t>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jc w:val="center"/>
        <w:spacing w:line="360" w:lineRule="auto"/>
        <w:widowControl/>
        <w:rPr>
          <w:b/>
          <w:sz w:val="72"/>
          <w:szCs w:val="72"/>
        </w:rPr>
      </w:pPr>
      <w:r>
        <w:rPr>
          <w:b/>
          <w:sz w:val="72"/>
          <w:szCs w:val="72"/>
        </w:rPr>
        <w:t xml:space="preserve">招标文件</w:t>
      </w:r>
      <w:r/>
    </w:p>
    <w:p>
      <w:pPr>
        <w:jc w:val="center"/>
        <w:spacing w:line="360" w:lineRule="auto"/>
        <w:widowControl/>
        <w:rPr>
          <w:rFonts w:hint="eastAsia" w:eastAsia="宋体"/>
          <w:b/>
          <w:sz w:val="36"/>
          <w:szCs w:val="36"/>
          <w:lang w:eastAsia="zh-CN"/>
        </w:rPr>
      </w:pPr>
      <w:r>
        <w:rPr>
          <w:b/>
          <w:sz w:val="36"/>
          <w:szCs w:val="36"/>
        </w:rPr>
        <w:t xml:space="preserve">项目编号：</w:t>
      </w:r>
      <w:r>
        <w:rPr>
          <w:rFonts w:hint="eastAsia"/>
          <w:b/>
          <w:sz w:val="36"/>
          <w:szCs w:val="36"/>
          <w:lang w:eastAsia="zh-CN"/>
        </w:rPr>
        <w:t xml:space="preserve">JSZC-320115-YCZX-G2026-0001</w:t>
      </w:r>
      <w:r/>
    </w:p>
    <w:p>
      <w:pPr>
        <w:jc w:val="center"/>
        <w:spacing w:line="360" w:lineRule="auto"/>
        <w:widowControl/>
        <w:rPr>
          <w:b/>
          <w:sz w:val="72"/>
          <w:szCs w:val="72"/>
        </w:rPr>
      </w:pPr>
      <w:r>
        <w:rPr>
          <w:b/>
          <w:sz w:val="72"/>
          <w:szCs w:val="72"/>
        </w:rPr>
      </w:r>
      <w:r/>
    </w:p>
    <w:p>
      <w:pPr>
        <w:spacing w:line="360" w:lineRule="auto"/>
        <w:shd w:val="clear" w:color="auto" w:fill="ffffff"/>
        <w:widowControl/>
        <w:rPr>
          <w:sz w:val="44"/>
          <w:szCs w:val="44"/>
        </w:rPr>
      </w:pPr>
      <w:r>
        <w:rPr>
          <w:sz w:val="32"/>
          <w:szCs w:val="32"/>
        </w:rPr>
        <w:t xml:space="preserve">  </w:t>
      </w:r>
      <w:r/>
    </w:p>
    <w:p>
      <w:pPr>
        <w:jc w:val="center"/>
        <w:spacing w:line="360" w:lineRule="auto"/>
        <w:widowControl/>
        <w:rPr>
          <w:b/>
          <w:sz w:val="36"/>
          <w:szCs w:val="36"/>
        </w:rPr>
      </w:pPr>
      <w:r>
        <w:rPr>
          <w:b/>
          <w:sz w:val="36"/>
          <w:szCs w:val="36"/>
        </w:rPr>
      </w:r>
      <w:r/>
    </w:p>
    <w:p>
      <w:pPr>
        <w:jc w:val="center"/>
        <w:spacing w:line="360" w:lineRule="auto"/>
        <w:widowControl/>
        <w:rPr>
          <w:b/>
          <w:sz w:val="36"/>
          <w:szCs w:val="36"/>
        </w:rPr>
      </w:pPr>
      <w:r>
        <w:rPr>
          <w:b/>
          <w:sz w:val="36"/>
          <w:szCs w:val="36"/>
        </w:rPr>
      </w:r>
      <w:r/>
    </w:p>
    <w:p>
      <w:pPr>
        <w:pStyle w:val="930"/>
        <w:ind w:firstLine="0"/>
        <w:rPr>
          <w:b/>
          <w:sz w:val="36"/>
          <w:szCs w:val="36"/>
        </w:rPr>
      </w:pPr>
      <w:r>
        <w:rPr>
          <w:b/>
          <w:sz w:val="36"/>
          <w:szCs w:val="36"/>
        </w:rPr>
      </w:r>
      <w:r/>
    </w:p>
    <w:p>
      <w:pPr>
        <w:pStyle w:val="930"/>
        <w:ind w:firstLine="0"/>
      </w:pPr>
      <w:r/>
      <w:r/>
    </w:p>
    <w:p>
      <w:pPr>
        <w:jc w:val="center"/>
        <w:spacing w:line="360" w:lineRule="auto"/>
        <w:widowControl/>
        <w:rPr>
          <w:rFonts w:hint="eastAsia" w:eastAsia="宋体"/>
          <w:b/>
          <w:sz w:val="36"/>
          <w:szCs w:val="36"/>
          <w:lang w:eastAsia="zh-CN"/>
        </w:rPr>
      </w:pPr>
      <w:r>
        <w:rPr>
          <w:rFonts w:hint="eastAsia"/>
          <w:b/>
          <w:sz w:val="36"/>
          <w:szCs w:val="36"/>
          <w:lang w:eastAsia="zh-CN"/>
        </w:rPr>
        <w:t xml:space="preserve">南京永辰工程咨询管理有限公司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09</w:t>
      </w:r>
      <w:r>
        <w:rPr>
          <w:b/>
          <w:sz w:val="36"/>
          <w:szCs w:val="36"/>
        </w:rPr>
        <w:t xml:space="preserve">月</w:t>
      </w:r>
      <w:r/>
    </w:p>
    <w:p>
      <w:pPr>
        <w:pStyle w:val="1166"/>
        <w:jc w:val="center"/>
        <w:rPr>
          <w:rFonts w:ascii="Times New Roman" w:hAnsi="Times New Roman"/>
          <w:color w:val="000000"/>
          <w:sz w:val="36"/>
          <w:szCs w:val="36"/>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lang w:val="zh-CN"/>
        </w:rPr>
      </w:r>
      <w:r/>
    </w:p>
    <w:p>
      <w:pPr>
        <w:pStyle w:val="1166"/>
        <w:jc w:val="center"/>
        <w:rPr>
          <w:rFonts w:ascii="Times New Roman" w:hAnsi="Times New Roman"/>
          <w:color w:val="000000"/>
          <w:sz w:val="36"/>
          <w:szCs w:val="36"/>
        </w:rPr>
      </w:pPr>
      <w:r>
        <w:rPr>
          <w:rFonts w:ascii="Times New Roman" w:hAnsi="Times New Roman"/>
          <w:color w:val="000000"/>
          <w:sz w:val="36"/>
          <w:szCs w:val="36"/>
          <w:lang w:val="zh-CN"/>
        </w:rPr>
        <w:t xml:space="preserve">目录</w:t>
      </w:r>
      <w:r/>
    </w:p>
    <w:p>
      <w:pPr>
        <w:pStyle w:val="899"/>
        <w:tabs>
          <w:tab w:val="right" w:pos="8296" w:leader="dot"/>
        </w:tabs>
        <w:rPr>
          <w:sz w:val="28"/>
          <w:szCs w:val="28"/>
        </w:rPr>
      </w:pPr>
      <w:r>
        <w:rPr>
          <w:sz w:val="28"/>
          <w:szCs w:val="28"/>
        </w:rPr>
      </w:r>
      <w:r/>
    </w:p>
    <w:p>
      <w:pPr>
        <w:pStyle w:val="89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fldChar w:fldCharType="begin"/>
      </w:r>
      <w:r>
        <w:instrText xml:space="preserve"> HYPERLINK \l "_Toc11866" </w:instrText>
      </w:r>
      <w:r>
        <w:fldChar w:fldCharType="separate"/>
      </w:r>
      <w:r>
        <w:rPr>
          <w:sz w:val="24"/>
        </w:rPr>
        <w:t xml:space="preserve">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"_Toc7593" </w:instrText>
      </w:r>
      <w:r>
        <w:fldChar w:fldCharType="separate"/>
      </w:r>
      <w:r>
        <w:rPr>
          <w:sz w:val="24"/>
        </w:rPr>
        <w:t xml:space="preserve">第二章 投标人须知</w:t>
      </w:r>
      <w:r>
        <w:rPr>
          <w:sz w:val="24"/>
        </w:rPr>
        <w:tab/>
      </w:r>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"_Toc11112" </w:instrText>
      </w:r>
      <w:r>
        <w:fldChar w:fldCharType="separate"/>
      </w:r>
      <w:r>
        <w:rPr>
          <w:sz w:val="24"/>
        </w:rPr>
        <w:t xml:space="preserve">第三章 评标标准</w:t>
      </w:r>
      <w:r>
        <w:rPr>
          <w:sz w:val="24"/>
        </w:rPr>
        <w:tab/>
      </w:r>
      <w:r>
        <w:rPr>
          <w:sz w:val="24"/>
        </w:rPr>
        <w:fldChar w:fldCharType="begin"/>
      </w:r>
      <w:r>
        <w:rPr>
          <w:sz w:val="24"/>
        </w:rPr>
        <w:instrText xml:space="preserve"> PAGEREF _Toc11112 \h </w:instrText>
      </w:r>
      <w:r>
        <w:rPr>
          <w:sz w:val="24"/>
        </w:rPr>
        <w:fldChar w:fldCharType="separate"/>
      </w:r>
      <w:r>
        <w:rPr>
          <w:sz w:val="24"/>
        </w:rPr>
        <w:t xml:space="preserve">18</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"_Toc23380" </w:instrText>
      </w:r>
      <w:r>
        <w:fldChar w:fldCharType="separate"/>
      </w:r>
      <w:r>
        <w:rPr>
          <w:sz w:val="24"/>
        </w:rPr>
        <w:t xml:space="preserve">第四章 采购需求</w:t>
      </w:r>
      <w:r>
        <w:rPr>
          <w:sz w:val="24"/>
        </w:rPr>
        <w:tab/>
      </w:r>
      <w:r>
        <w:rPr>
          <w:sz w:val="24"/>
        </w:rPr>
        <w:fldChar w:fldCharType="begin"/>
      </w:r>
      <w:r>
        <w:rPr>
          <w:sz w:val="24"/>
        </w:rPr>
        <w:instrText xml:space="preserve"> PAGEREF _Toc23380 \h </w:instrText>
      </w:r>
      <w:r>
        <w:rPr>
          <w:sz w:val="24"/>
        </w:rPr>
        <w:fldChar w:fldCharType="separate"/>
      </w:r>
      <w:r>
        <w:rPr>
          <w:sz w:val="24"/>
        </w:rPr>
        <w:t xml:space="preserve">21</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"_Toc15239" </w:instrText>
      </w:r>
      <w:r>
        <w:fldChar w:fldCharType="separate"/>
      </w:r>
      <w:r>
        <w:rPr>
          <w:sz w:val="24"/>
        </w:rPr>
        <w:t xml:space="preserve">第五章 合同主要条款</w:t>
      </w:r>
      <w:r>
        <w:rPr>
          <w:sz w:val="24"/>
        </w:rPr>
        <w:tab/>
      </w:r>
      <w:r>
        <w:rPr>
          <w:sz w:val="24"/>
        </w:rPr>
        <w:fldChar w:fldCharType="begin"/>
      </w:r>
      <w:r>
        <w:rPr>
          <w:sz w:val="24"/>
        </w:rPr>
        <w:instrText xml:space="preserve"> PAGEREF _Toc15239 \h </w:instrText>
      </w:r>
      <w:r>
        <w:rPr>
          <w:sz w:val="24"/>
        </w:rPr>
        <w:fldChar w:fldCharType="separate"/>
      </w:r>
      <w:r>
        <w:rPr>
          <w:sz w:val="24"/>
        </w:rPr>
        <w:t xml:space="preserve">32</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"_Toc6328" </w:instrText>
      </w:r>
      <w: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37</w:t>
      </w:r>
      <w:r>
        <w:rPr>
          <w:sz w:val="24"/>
        </w:rPr>
        <w:fldChar w:fldCharType="end"/>
      </w:r>
      <w:r>
        <w:rPr>
          <w:sz w:val="24"/>
        </w:rPr>
        <w:fldChar w:fldCharType="end"/>
      </w:r>
      <w:r/>
    </w:p>
    <w:p>
      <w:pPr>
        <w:spacing w:line="480" w:lineRule="auto"/>
        <w:rPr>
          <w:sz w:val="28"/>
          <w:szCs w:val="28"/>
        </w:rPr>
      </w:pPr>
      <w:r>
        <w:rPr>
          <w:sz w:val="24"/>
        </w:rPr>
        <w:fldChar w:fldCharType="end"/>
      </w:r>
      <w:r/>
    </w:p>
    <w:p>
      <w:pPr>
        <w:jc w:val="center"/>
        <w:spacing w:line="360" w:lineRule="auto"/>
        <w:shd w:val="clear" w:color="auto" w:fill="ffffff"/>
        <w:widowControl/>
        <w:rPr>
          <w:b/>
          <w:sz w:val="36"/>
          <w:szCs w:val="36"/>
        </w:rPr>
      </w:pPr>
      <w:r>
        <w:rPr>
          <w:b/>
          <w:sz w:val="36"/>
          <w:szCs w:val="36"/>
        </w:rPr>
      </w:r>
      <w:r/>
    </w:p>
    <w:p>
      <w:pPr>
        <w:pStyle w:val="814"/>
        <w:rPr>
          <w:szCs w:val="21"/>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814"/>
        <w:rPr>
          <w:szCs w:val="21"/>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rPr>
        <w:br w:type="page" w:clear="all"/>
      </w:r>
      <w:r/>
    </w:p>
    <w:p>
      <w:pPr>
        <w:pStyle w:val="814"/>
        <w:spacing w:before="0" w:after="0" w:line="240" w:lineRule="auto"/>
      </w:pPr>
      <w:r/>
      <w:bookmarkStart w:id="1" w:name="_Toc11866"/>
      <w:r>
        <w:t xml:space="preserve"> 招标公告</w:t>
      </w:r>
      <w:bookmarkEnd w:id="0"/>
      <w:r/>
      <w:bookmarkEnd w:id="1"/>
      <w:r/>
      <w:r/>
    </w:p>
    <w:p>
      <w:pPr>
        <w:ind w:firstLine="482"/>
        <w:keepLines w:val="0"/>
        <w:keepNext w:val="0"/>
        <w:pageBreakBefore w:val="0"/>
        <w:spacing w:line="360" w:lineRule="auto"/>
        <w:widowControl w:val="off"/>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南京市江宁区人民政府麒麟街道办事处</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南京永辰工程咨询管理有限公司</w:t>
      </w:r>
      <w:r>
        <w:rPr>
          <w:rFonts w:hint="eastAsia" w:ascii="宋体" w:hAnsi="宋体"/>
          <w:color w:val="000000"/>
          <w:sz w:val="24"/>
          <w:szCs w:val="24"/>
        </w:rPr>
        <w:t xml:space="preserve">就[麒麟街道监控设备采购]([</w:t>
      </w:r>
      <w:r>
        <w:rPr>
          <w:rFonts w:hint="eastAsia" w:ascii="宋体" w:hAnsi="宋体"/>
          <w:color w:val="000000"/>
          <w:sz w:val="24"/>
          <w:szCs w:val="24"/>
          <w:lang w:eastAsia="zh-CN"/>
        </w:rPr>
        <w:t xml:space="preserve">JSZC-320115-YCZX-G2026-0001</w:t>
      </w:r>
      <w:r>
        <w:rPr>
          <w:rFonts w:hint="eastAsia" w:ascii="宋体" w:hAnsi="宋体"/>
          <w:color w:val="000000"/>
          <w:sz w:val="24"/>
          <w:szCs w:val="24"/>
        </w:rPr>
        <w:t xml:space="preserve">])项目进行公开招标采购，欢迎符合条件的供应商投标。</w:t>
      </w:r>
      <w:r/>
    </w:p>
    <w:p>
      <w:pPr>
        <w:spacing w:line="460" w:lineRule="exact"/>
        <w:shd w:val="clear" w:color="auto" w:fill="ffffff"/>
        <w:widowControl/>
        <w:rPr>
          <w:rFonts w:hint="eastAsia"/>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rFonts w:hint="eastAsia"/>
          <w:spacing w:val="8"/>
          <w:szCs w:val="21"/>
        </w:rPr>
        <w:t xml:space="preserve">：</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24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麒麟街道监控设备采购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招标文件，并于投标文件接收截止时间</w:t>
      </w:r>
      <w:r>
        <w:rPr>
          <w:rFonts w:hint="eastAsia" w:ascii="宋体" w:hAnsi="宋体"/>
          <w:bCs/>
          <w:color w:val="000000"/>
          <w:sz w:val="24"/>
          <w:szCs w:val="24"/>
          <w:u w:val="single"/>
          <w:lang w:val="en-US" w:eastAsia="zh-CN"/>
        </w:rPr>
        <w:t xml:space="preserve">2026年09月29日上午9:00分</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30"/>
      </w:pPr>
      <w:r/>
      <w:r/>
    </w:p>
    <w:p>
      <w:pPr>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p>
    <w:p>
      <w:pPr>
        <w:ind w:firstLine="452"/>
        <w:spacing w:line="460" w:lineRule="exact"/>
        <w:shd w:val="clear" w:color="auto" w:fill="ffffff"/>
        <w:widowControl/>
        <w:rPr>
          <w:rFonts w:hint="eastAsia" w:eastAsia="宋体"/>
          <w:spacing w:val="8"/>
          <w:szCs w:val="21"/>
          <w:lang w:eastAsia="zh-CN"/>
        </w:rPr>
      </w:pPr>
      <w:r>
        <w:rPr>
          <w:spacing w:val="8"/>
          <w:szCs w:val="21"/>
        </w:rPr>
        <w:t xml:space="preserve">1.1项目编号</w:t>
      </w:r>
      <w:r>
        <w:rPr>
          <w:rFonts w:hint="eastAsia"/>
          <w:spacing w:val="8"/>
          <w:szCs w:val="21"/>
        </w:rPr>
        <w:t xml:space="preserve">：</w:t>
      </w:r>
      <w:r>
        <w:rPr>
          <w:rFonts w:hint="eastAsia"/>
          <w:spacing w:val="8"/>
          <w:szCs w:val="21"/>
          <w:lang w:eastAsia="zh-CN"/>
        </w:rPr>
        <w:t xml:space="preserve">JSZC-320115-YCZX-G2026-0001</w:t>
      </w:r>
      <w:r/>
    </w:p>
    <w:p>
      <w:pPr>
        <w:ind w:firstLine="452"/>
        <w:spacing w:line="460" w:lineRule="exact"/>
        <w:shd w:val="clear" w:color="auto" w:fill="ffffff"/>
        <w:widowControl/>
        <w:rPr>
          <w:rFonts w:hint="eastAsia" w:eastAsia="宋体"/>
          <w:spacing w:val="8"/>
          <w:szCs w:val="21"/>
          <w:lang w:eastAsia="zh-CN"/>
        </w:rPr>
      </w:pPr>
      <w:r>
        <w:rPr>
          <w:rFonts w:hint="eastAsia"/>
          <w:spacing w:val="8"/>
          <w:szCs w:val="21"/>
        </w:rPr>
        <w:t xml:space="preserve">1.2项目名称：</w:t>
      </w:r>
      <w:r>
        <w:rPr>
          <w:rFonts w:hint="eastAsia"/>
          <w:spacing w:val="8"/>
          <w:szCs w:val="21"/>
          <w:lang w:eastAsia="zh-CN"/>
        </w:rPr>
        <w:t xml:space="preserve">麒麟街道监控设备采购</w:t>
      </w:r>
      <w:r/>
    </w:p>
    <w:p>
      <w:pPr>
        <w:ind w:firstLine="452"/>
        <w:spacing w:line="460" w:lineRule="exact"/>
        <w:shd w:val="clear" w:color="auto" w:fill="ffffff"/>
        <w:widowControl/>
        <w:rPr>
          <w:rFonts w:hint="eastAsia"/>
          <w:spacing w:val="8"/>
          <w:szCs w:val="21"/>
          <w:lang w:val="zh-CN"/>
        </w:rPr>
      </w:pPr>
      <w:r>
        <w:rPr>
          <w:rFonts w:hint="eastAsia"/>
          <w:spacing w:val="8"/>
          <w:szCs w:val="21"/>
        </w:rPr>
        <w:t xml:space="preserve">1.3预算金额：</w:t>
      </w:r>
      <w:r>
        <w:rPr>
          <w:rFonts w:hint="eastAsia"/>
          <w:spacing w:val="8"/>
          <w:szCs w:val="21"/>
          <w:lang w:val="zh-CN"/>
        </w:rPr>
        <w:t xml:space="preserve">人民币</w:t>
      </w:r>
      <w:r>
        <w:rPr>
          <w:rFonts w:hint="eastAsia"/>
          <w:spacing w:val="8"/>
          <w:szCs w:val="21"/>
          <w:lang w:val="en-US" w:eastAsia="zh-CN"/>
        </w:rPr>
        <w:t xml:space="preserve">225</w:t>
      </w:r>
      <w:r>
        <w:rPr>
          <w:rFonts w:hint="eastAsia"/>
          <w:spacing w:val="8"/>
          <w:szCs w:val="21"/>
          <w:lang w:val="zh-CN"/>
        </w:rPr>
        <w:t xml:space="preserve">万元</w:t>
      </w:r>
      <w:r/>
    </w:p>
    <w:p>
      <w:pPr>
        <w:ind w:firstLine="452"/>
        <w:spacing w:line="460" w:lineRule="exact"/>
        <w:shd w:val="clear" w:color="auto" w:fill="ffffff"/>
        <w:widowControl/>
        <w:rPr>
          <w:spacing w:val="8"/>
          <w:szCs w:val="21"/>
          <w:lang w:val="zh-CN"/>
        </w:rPr>
      </w:pPr>
      <w:r>
        <w:rPr>
          <w:spacing w:val="8"/>
          <w:szCs w:val="21"/>
        </w:rPr>
        <w:t xml:space="preserve">1.4最高限价：</w:t>
      </w:r>
      <w:r>
        <w:rPr>
          <w:spacing w:val="8"/>
          <w:szCs w:val="21"/>
          <w:lang w:val="zh-CN"/>
        </w:rPr>
        <w:t xml:space="preserve">人民币</w:t>
      </w:r>
      <w:r>
        <w:rPr>
          <w:rFonts w:hint="eastAsia"/>
          <w:spacing w:val="8"/>
          <w:szCs w:val="21"/>
          <w:lang w:val="en-US" w:eastAsia="zh-CN"/>
        </w:rPr>
        <w:t xml:space="preserve">214.668263</w:t>
      </w:r>
      <w:r>
        <w:rPr>
          <w:spacing w:val="8"/>
          <w:szCs w:val="21"/>
          <w:lang w:val="zh-CN"/>
        </w:rPr>
        <w:t xml:space="preserve">万元</w:t>
      </w:r>
      <w:r/>
    </w:p>
    <w:p>
      <w:pPr>
        <w:ind w:firstLine="452"/>
        <w:spacing w:line="460" w:lineRule="exact"/>
        <w:shd w:val="clear" w:color="auto" w:fill="ffffff"/>
        <w:widowControl/>
        <w:rPr>
          <w:spacing w:val="8"/>
          <w:szCs w:val="21"/>
        </w:rPr>
      </w:pPr>
      <w:r>
        <w:rPr>
          <w:spacing w:val="8"/>
          <w:szCs w:val="21"/>
        </w:rPr>
        <w:t xml:space="preserve">1.5采购需求：</w:t>
      </w:r>
      <w:r>
        <w:rPr>
          <w:rFonts w:hint="eastAsia"/>
          <w:szCs w:val="21"/>
          <w:lang w:val="en-US" w:eastAsia="zh-CN"/>
        </w:rPr>
        <w:t xml:space="preserve">采购内容包括摄像头、管理平台、交换机等设备；相关设备的安装、网络运行调试、维保及网络费等</w:t>
      </w:r>
      <w:r>
        <w:rPr>
          <w:rFonts w:hint="eastAsia" w:ascii="Arial" w:hAnsi="Arial" w:cs="Arial"/>
          <w:spacing w:val="8"/>
          <w:szCs w:val="21"/>
        </w:rPr>
        <w:t xml:space="preserve">。</w:t>
      </w:r>
      <w:r>
        <w:rPr>
          <w:rFonts w:hint="eastAsia"/>
          <w:spacing w:val="8"/>
          <w:szCs w:val="21"/>
        </w:rPr>
        <w:t xml:space="preserve">具体要求</w:t>
      </w:r>
      <w:r>
        <w:rPr>
          <w:spacing w:val="8"/>
          <w:szCs w:val="21"/>
        </w:rPr>
        <w:t xml:space="preserve">详见</w:t>
      </w:r>
      <w:r>
        <w:rPr>
          <w:rFonts w:hint="eastAsia"/>
          <w:spacing w:val="8"/>
          <w:szCs w:val="21"/>
        </w:rPr>
        <w:t xml:space="preserve">招标</w:t>
      </w:r>
      <w:r>
        <w:rPr>
          <w:spacing w:val="8"/>
          <w:szCs w:val="21"/>
        </w:rPr>
        <w:t xml:space="preserve">文件。</w:t>
      </w:r>
      <w:r/>
    </w:p>
    <w:p>
      <w:pPr>
        <w:ind w:firstLine="452"/>
        <w:spacing w:line="440" w:lineRule="exact"/>
        <w:shd w:val="clear" w:color="auto" w:fill="ffffff"/>
        <w:widowControl/>
        <w:rPr>
          <w:spacing w:val="8"/>
          <w:szCs w:val="21"/>
        </w:rPr>
      </w:pPr>
      <w:r>
        <w:rPr>
          <w:spacing w:val="8"/>
          <w:szCs w:val="21"/>
        </w:rPr>
        <w:t xml:space="preserve">1.6合同履行</w:t>
      </w:r>
      <w:r>
        <w:rPr>
          <w:spacing w:val="8"/>
          <w:szCs w:val="21"/>
          <w:lang w:val="zh-CN"/>
        </w:rPr>
        <w:t xml:space="preserve">期限：</w:t>
      </w:r>
      <w:r>
        <w:rPr>
          <w:rFonts w:hint="eastAsia" w:ascii="Arial" w:hAnsi="Arial" w:cs="Arial"/>
          <w:spacing w:val="8"/>
          <w:szCs w:val="21"/>
          <w:lang w:val="zh-CN"/>
        </w:rPr>
        <w:t xml:space="preserve">合同签订后</w:t>
      </w:r>
      <w:r>
        <w:rPr>
          <w:rFonts w:hint="eastAsia"/>
          <w:color w:val="000000" w:themeColor="text1"/>
          <w:szCs w:val="21"/>
          <w:lang w:val="en-US" w:eastAsia="zh-CN"/>
        </w:rPr>
        <w:t xml:space="preserve">90</w:t>
      </w:r>
      <w:r>
        <w:rPr>
          <w:rFonts w:hint="eastAsia"/>
          <w:szCs w:val="21"/>
          <w:lang w:val="zh-CN"/>
        </w:rPr>
        <w:t xml:space="preserve">日</w:t>
      </w:r>
      <w:r>
        <w:rPr>
          <w:rFonts w:hint="eastAsia" w:ascii="Arial" w:hAnsi="Arial" w:cs="Arial"/>
          <w:spacing w:val="8"/>
          <w:szCs w:val="21"/>
          <w:lang w:val="zh-CN"/>
        </w:rPr>
        <w:t xml:space="preserve">内</w:t>
      </w:r>
      <w:r>
        <w:rPr>
          <w:rFonts w:hint="eastAsia" w:ascii="Arial" w:hAnsi="Arial" w:cs="Arial"/>
          <w:spacing w:val="8"/>
          <w:szCs w:val="21"/>
        </w:rPr>
        <w:t xml:space="preserve">(汛期不计入)</w:t>
      </w:r>
      <w:r>
        <w:rPr>
          <w:rFonts w:hint="eastAsia" w:ascii="Arial" w:hAnsi="Arial" w:cs="Arial"/>
          <w:spacing w:val="8"/>
          <w:szCs w:val="21"/>
          <w:lang w:val="zh-CN"/>
        </w:rPr>
        <w:t xml:space="preserve">完成安装、调试、验收</w:t>
      </w:r>
      <w:r>
        <w:rPr>
          <w:rFonts w:hint="eastAsia" w:ascii="Arial" w:hAnsi="Arial" w:cs="Arial"/>
          <w:spacing w:val="8"/>
          <w:szCs w:val="21"/>
        </w:rPr>
        <w:t xml:space="preserve">合格后</w:t>
      </w:r>
      <w:r>
        <w:rPr>
          <w:rFonts w:hint="eastAsia" w:ascii="Arial" w:hAnsi="Arial" w:cs="Arial"/>
          <w:spacing w:val="8"/>
          <w:szCs w:val="21"/>
          <w:lang w:val="zh-CN"/>
        </w:rPr>
        <w:t xml:space="preserve">交付</w:t>
      </w:r>
      <w:r>
        <w:rPr>
          <w:rFonts w:hint="eastAsia" w:ascii="Arial" w:hAnsi="Arial" w:cs="Arial"/>
          <w:spacing w:val="8"/>
          <w:szCs w:val="21"/>
        </w:rPr>
        <w:t xml:space="preserve">采购人使用，并提供</w:t>
      </w:r>
      <w:r>
        <w:rPr>
          <w:rFonts w:hint="eastAsia" w:ascii="Arial" w:hAnsi="Arial" w:cs="Arial"/>
          <w:spacing w:val="8"/>
          <w:szCs w:val="21"/>
          <w:lang w:val="zh-CN"/>
        </w:rPr>
        <w:t xml:space="preserve">相应技术服务。</w:t>
      </w:r>
      <w:r/>
    </w:p>
    <w:p>
      <w:pPr>
        <w:ind w:firstLine="452"/>
        <w:jc w:val="left"/>
        <w:spacing w:line="440" w:lineRule="exact"/>
        <w:shd w:val="clear" w:color="auto" w:fill="ffffff"/>
        <w:widowControl/>
        <w:rPr>
          <w:spacing w:val="8"/>
          <w:szCs w:val="21"/>
        </w:rPr>
      </w:pPr>
      <w:r>
        <w:rPr>
          <w:spacing w:val="8"/>
          <w:szCs w:val="21"/>
        </w:rPr>
        <w:t xml:space="preserve">1.</w:t>
      </w:r>
      <w:r>
        <w:rPr>
          <w:rFonts w:hint="eastAsia"/>
          <w:spacing w:val="8"/>
          <w:szCs w:val="21"/>
          <w:lang w:val="en-US" w:eastAsia="zh-CN"/>
        </w:rPr>
        <w:t xml:space="preserve">7</w:t>
      </w:r>
      <w:r>
        <w:rPr>
          <w:spacing w:val="8"/>
          <w:szCs w:val="21"/>
        </w:rPr>
        <w:t xml:space="preserve">本项目</w:t>
      </w:r>
      <w:r>
        <w:rPr>
          <w:rFonts w:hint="eastAsia"/>
          <w:spacing w:val="8"/>
          <w:szCs w:val="21"/>
        </w:rPr>
        <w:t xml:space="preserve">非</w:t>
      </w:r>
      <w:r>
        <w:rPr>
          <w:spacing w:val="8"/>
          <w:szCs w:val="21"/>
        </w:rPr>
        <w:t xml:space="preserve">专门面向中小企业（或监狱企业或残疾人福利性单位）采购。</w:t>
      </w:r>
      <w:r/>
    </w:p>
    <w:p>
      <w:pPr>
        <w:ind w:firstLine="452"/>
        <w:jc w:val="left"/>
        <w:spacing w:line="440" w:lineRule="exact"/>
        <w:shd w:val="clear" w:color="auto" w:fill="ffffff"/>
        <w:widowControl/>
        <w:rPr>
          <w:spacing w:val="8"/>
          <w:szCs w:val="21"/>
        </w:rPr>
      </w:pPr>
      <w:r>
        <w:rPr>
          <w:spacing w:val="8"/>
          <w:szCs w:val="21"/>
        </w:rPr>
        <w:t xml:space="preserve">1.</w:t>
      </w:r>
      <w:r>
        <w:rPr>
          <w:rFonts w:hint="eastAsia"/>
          <w:spacing w:val="8"/>
          <w:szCs w:val="21"/>
          <w:lang w:val="en-US" w:eastAsia="zh-CN"/>
        </w:rPr>
        <w:t xml:space="preserve">8</w:t>
      </w:r>
      <w:r>
        <w:rPr>
          <w:spacing w:val="8"/>
          <w:szCs w:val="21"/>
        </w:rPr>
        <w:t xml:space="preserve">本项目不接受联合体投标。</w:t>
      </w:r>
      <w:r/>
    </w:p>
    <w:p>
      <w:pPr>
        <w:spacing w:line="460" w:lineRule="exact"/>
        <w:shd w:val="clear" w:color="auto" w:fill="ffffff"/>
        <w:widowControl/>
        <w:rPr>
          <w:b/>
          <w:spacing w:val="8"/>
          <w:sz w:val="24"/>
        </w:rPr>
        <w:outlineLvl w:val="1"/>
      </w:pPr>
      <w:r>
        <w:rPr>
          <w:b/>
          <w:spacing w:val="8"/>
          <w:sz w:val="24"/>
        </w:rPr>
        <w:t xml:space="preserve">二、申请人的资格要求</w:t>
      </w:r>
      <w:r/>
    </w:p>
    <w:p>
      <w:pPr>
        <w:ind w:firstLine="454"/>
        <w:spacing w:line="460" w:lineRule="exact"/>
        <w:shd w:val="clear" w:color="auto" w:fill="ffffff"/>
        <w:widowControl/>
        <w:rPr>
          <w:b/>
          <w:spacing w:val="8"/>
          <w:szCs w:val="21"/>
        </w:rPr>
      </w:pPr>
      <w:r>
        <w:rPr>
          <w:b/>
          <w:spacing w:val="8"/>
          <w:szCs w:val="21"/>
        </w:rPr>
        <w:t xml:space="preserve">2.1满足《中华人民共和国政府采购法》第二十二条规定；</w:t>
      </w:r>
      <w:r/>
    </w:p>
    <w:p>
      <w:pPr>
        <w:ind w:firstLine="452"/>
        <w:spacing w:line="360" w:lineRule="auto"/>
        <w:shd w:val="clear" w:color="auto" w:fill="ffffff"/>
        <w:widowControl/>
        <w:rPr>
          <w:spacing w:val="8"/>
          <w:szCs w:val="21"/>
        </w:rPr>
      </w:pPr>
      <w:r>
        <w:rPr>
          <w:spacing w:val="8"/>
          <w:szCs w:val="21"/>
        </w:rPr>
        <w:t xml:space="preserve">（1）具有独立承担民事责任的能力（</w:t>
      </w:r>
      <w:r>
        <w:rPr>
          <w:rFonts w:hint="eastAsia"/>
          <w:spacing w:val="8"/>
          <w:szCs w:val="21"/>
        </w:rPr>
        <w:t xml:space="preserve">提供法人或者其他组织的营业执照等证明文件</w:t>
      </w:r>
      <w:r>
        <w:rPr>
          <w:spacing w:val="8"/>
          <w:szCs w:val="21"/>
        </w:rPr>
        <w:t xml:space="preserve">；供应商为自然人的，提供其身份证）； </w:t>
      </w:r>
      <w:r/>
    </w:p>
    <w:p>
      <w:pPr>
        <w:ind w:firstLine="452"/>
        <w:spacing w:line="360" w:lineRule="auto"/>
        <w:shd w:val="clear" w:color="auto" w:fill="ffffff"/>
        <w:widowControl/>
        <w:rPr>
          <w:spacing w:val="8"/>
          <w:szCs w:val="21"/>
          <w:lang w:val="zh-CN"/>
        </w:rPr>
      </w:pPr>
      <w:r>
        <w:rPr>
          <w:spacing w:val="8"/>
          <w:szCs w:val="21"/>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spacing w:val="8"/>
          <w:szCs w:val="21"/>
        </w:rPr>
        <w:t xml:space="preserve">202</w:t>
      </w:r>
      <w:r>
        <w:rPr>
          <w:rFonts w:hint="eastAsia"/>
          <w:spacing w:val="8"/>
          <w:szCs w:val="21"/>
          <w:lang w:val="en-US" w:eastAsia="zh-CN"/>
        </w:rPr>
        <w:t xml:space="preserve">5</w:t>
      </w:r>
      <w:r>
        <w:rPr>
          <w:spacing w:val="8"/>
          <w:szCs w:val="21"/>
        </w:rPr>
        <w:t xml:space="preserve">年度</w:t>
      </w:r>
      <w:r>
        <w:rPr>
          <w:spacing w:val="8"/>
          <w:szCs w:val="21"/>
          <w:lang w:val="zh-CN"/>
        </w:rPr>
        <w:t xml:space="preserve">的财务报告）；</w:t>
      </w:r>
      <w:r/>
    </w:p>
    <w:p>
      <w:pPr>
        <w:ind w:firstLine="452"/>
        <w:spacing w:line="360" w:lineRule="auto"/>
        <w:shd w:val="clear" w:color="auto" w:fill="ffffff"/>
        <w:widowControl/>
        <w:rPr>
          <w:spacing w:val="8"/>
          <w:szCs w:val="21"/>
        </w:rPr>
      </w:pPr>
      <w:r>
        <w:rPr>
          <w:spacing w:val="8"/>
          <w:szCs w:val="21"/>
        </w:rPr>
        <w:t xml:space="preserve">（3）具有履行合同所必需的设备和专业技术能力（供应商根据履行采购项目合同需要，提供履行合同所必需的设备和专业技术能力的证明材料）；</w:t>
      </w:r>
      <w:r/>
    </w:p>
    <w:p>
      <w:pPr>
        <w:ind w:firstLine="452"/>
        <w:spacing w:line="360" w:lineRule="auto"/>
        <w:shd w:val="clear" w:color="auto" w:fill="ffffff"/>
        <w:widowControl/>
        <w:rPr>
          <w:spacing w:val="8"/>
          <w:szCs w:val="21"/>
        </w:rPr>
      </w:pPr>
      <w:r>
        <w:rPr>
          <w:spacing w:val="8"/>
          <w:szCs w:val="21"/>
        </w:rPr>
        <w:t xml:space="preserve">（4）有依法缴纳税收的良好记录（提供参加本次政府采购活动前半年内至少一个月的缴纳税收的凭证，依法享受免缴、缓缴的，提供证明材料</w:t>
      </w:r>
      <w:r>
        <w:rPr>
          <w:rFonts w:hint="eastAsia"/>
          <w:spacing w:val="8"/>
          <w:szCs w:val="21"/>
        </w:rPr>
        <w:t xml:space="preserve">）</w:t>
      </w:r>
      <w:r>
        <w:rPr>
          <w:spacing w:val="8"/>
          <w:szCs w:val="21"/>
        </w:rPr>
        <w:t xml:space="preserve">；</w:t>
      </w:r>
      <w:r/>
    </w:p>
    <w:p>
      <w:pPr>
        <w:ind w:firstLine="452"/>
        <w:spacing w:line="360" w:lineRule="auto"/>
        <w:shd w:val="clear" w:color="auto" w:fill="ffffff"/>
        <w:widowControl/>
        <w:rPr>
          <w:spacing w:val="8"/>
          <w:szCs w:val="21"/>
        </w:rPr>
      </w:pPr>
      <w:r>
        <w:rPr>
          <w:spacing w:val="8"/>
          <w:szCs w:val="21"/>
        </w:rPr>
        <w:t xml:space="preserve">（5）有依法缴纳社会保障资金的良好记录（提供参加本次政府采购活动前半年内至少一个月的缴纳社会保险的凭据</w:t>
      </w:r>
      <w:r>
        <w:rPr>
          <w:rFonts w:hint="eastAsia"/>
          <w:spacing w:val="8"/>
          <w:szCs w:val="21"/>
        </w:rPr>
        <w:t xml:space="preserve">）</w:t>
      </w:r>
      <w:r>
        <w:rPr>
          <w:spacing w:val="8"/>
          <w:szCs w:val="21"/>
        </w:rPr>
        <w:t xml:space="preserve">；</w:t>
      </w:r>
      <w:r/>
    </w:p>
    <w:p>
      <w:pPr>
        <w:ind w:firstLine="452"/>
        <w:spacing w:line="360" w:lineRule="auto"/>
        <w:shd w:val="clear" w:color="auto" w:fill="ffffff"/>
        <w:widowControl/>
        <w:rPr>
          <w:spacing w:val="8"/>
          <w:szCs w:val="21"/>
        </w:rPr>
      </w:pPr>
      <w:r>
        <w:rPr>
          <w:spacing w:val="8"/>
          <w:szCs w:val="21"/>
        </w:rPr>
        <w:t xml:space="preserve">（6）参加政府采购活动前三年内，在经营活动中没有重大违法记录（提供承诺书）；</w:t>
      </w:r>
      <w:r/>
    </w:p>
    <w:p>
      <w:pPr>
        <w:ind w:firstLine="452"/>
        <w:spacing w:line="360" w:lineRule="auto"/>
        <w:shd w:val="clear" w:color="auto" w:fill="ffffff"/>
        <w:widowControl/>
        <w:rPr>
          <w:spacing w:val="8"/>
          <w:szCs w:val="21"/>
        </w:rPr>
      </w:pPr>
      <w:r>
        <w:rPr>
          <w:spacing w:val="8"/>
          <w:szCs w:val="21"/>
        </w:rPr>
        <w:t xml:space="preserve">（7）法律、行政法规规定的其他条件：</w:t>
      </w:r>
      <w:r>
        <w:rPr>
          <w:spacing w:val="8"/>
          <w:szCs w:val="21"/>
          <w:lang w:val="zh-CN"/>
        </w:rPr>
        <w:t xml:space="preserve">提供《南京市政府采购供应商信用记录表暨信用承诺书》</w:t>
      </w:r>
      <w:r>
        <w:rPr>
          <w:spacing w:val="8"/>
          <w:szCs w:val="21"/>
        </w:rPr>
        <w:t xml:space="preserve">。</w:t>
      </w:r>
      <w:r/>
    </w:p>
    <w:p>
      <w:pPr>
        <w:ind w:firstLine="452"/>
        <w:spacing w:line="360" w:lineRule="auto"/>
        <w:shd w:val="clear" w:color="auto" w:fill="ffffff"/>
        <w:widowControl/>
        <w:rPr>
          <w:spacing w:val="8"/>
          <w:szCs w:val="21"/>
        </w:rPr>
      </w:pPr>
      <w:r>
        <w:rPr>
          <w:spacing w:val="8"/>
          <w:szCs w:val="21"/>
          <w:lang w:val="zh-CN"/>
        </w:rPr>
        <w:t xml:space="preserve">2.2 落实政府采购政策需满足的资格要求：</w:t>
      </w:r>
      <w:r>
        <w:rPr>
          <w:spacing w:val="8"/>
          <w:szCs w:val="21"/>
        </w:rPr>
        <w:t xml:space="preserve">无。</w:t>
      </w:r>
      <w:r/>
    </w:p>
    <w:p>
      <w:pPr>
        <w:ind w:firstLine="452"/>
        <w:jc w:val="left"/>
        <w:spacing w:line="360" w:lineRule="auto"/>
        <w:shd w:val="clear" w:color="auto" w:fill="ffffff"/>
        <w:widowControl/>
        <w:rPr>
          <w:rFonts w:hint="eastAsia" w:eastAsia="宋体"/>
          <w:spacing w:val="8"/>
          <w:szCs w:val="21"/>
          <w:lang w:val="en-US" w:eastAsia="zh-CN"/>
        </w:rPr>
      </w:pPr>
      <w:r>
        <w:rPr>
          <w:spacing w:val="8"/>
          <w:szCs w:val="21"/>
          <w:lang w:val="zh-CN"/>
        </w:rPr>
        <w:t xml:space="preserve">2.3 采购人根据采购项目的特殊要求规定的特定条件</w:t>
      </w:r>
      <w:r>
        <w:rPr>
          <w:rFonts w:hint="eastAsia"/>
          <w:spacing w:val="8"/>
          <w:szCs w:val="21"/>
          <w:lang w:val="zh-CN"/>
        </w:rPr>
        <w:t xml:space="preserve">：</w:t>
      </w:r>
      <w:r>
        <w:rPr>
          <w:rFonts w:hint="eastAsia"/>
          <w:spacing w:val="8"/>
          <w:szCs w:val="21"/>
          <w:lang w:val="en-US" w:eastAsia="zh-CN"/>
        </w:rPr>
        <w:t xml:space="preserve">无。</w:t>
      </w:r>
      <w:r/>
    </w:p>
    <w:p>
      <w:pPr>
        <w:ind w:firstLine="452"/>
        <w:spacing w:line="360" w:lineRule="auto"/>
        <w:shd w:val="clear" w:color="auto" w:fill="ffffff"/>
        <w:widowControl/>
        <w:rPr>
          <w:spacing w:val="8"/>
          <w:szCs w:val="21"/>
          <w:lang w:val="zh-CN"/>
        </w:rPr>
      </w:pPr>
      <w:r>
        <w:rPr>
          <w:spacing w:val="8"/>
          <w:szCs w:val="21"/>
          <w:lang w:val="zh-CN"/>
        </w:rPr>
        <w:t xml:space="preserve">2.</w:t>
      </w:r>
      <w:r>
        <w:rPr>
          <w:rFonts w:hint="eastAsia"/>
          <w:spacing w:val="8"/>
          <w:szCs w:val="21"/>
        </w:rPr>
        <w:t xml:space="preserve">4</w:t>
      </w:r>
      <w:r>
        <w:rPr>
          <w:spacing w:val="8"/>
          <w:szCs w:val="21"/>
          <w:lang w:val="zh-CN"/>
        </w:rPr>
        <w:t xml:space="preserve">拒绝下述供应商参加本次招标活动：</w:t>
      </w:r>
      <w:r/>
    </w:p>
    <w:p>
      <w:pPr>
        <w:ind w:firstLine="452"/>
        <w:spacing w:line="360" w:lineRule="auto"/>
        <w:shd w:val="clear" w:color="auto" w:fill="ffffff"/>
        <w:widowControl/>
        <w:rPr>
          <w:spacing w:val="8"/>
          <w:szCs w:val="21"/>
          <w:lang w:val="zh-CN"/>
        </w:rPr>
      </w:pPr>
      <w:r>
        <w:rPr>
          <w:spacing w:val="8"/>
          <w:szCs w:val="21"/>
          <w:lang w:val="zh-CN"/>
        </w:rPr>
        <w:t xml:space="preserve">（1）单位负责人为同一人或者存在直接控股、管理关系的不同供应商，不得参加同一合同项下的政府采购活动。</w:t>
      </w:r>
      <w:r/>
    </w:p>
    <w:p>
      <w:pPr>
        <w:ind w:firstLine="452"/>
        <w:spacing w:line="360" w:lineRule="auto"/>
        <w:shd w:val="clear" w:color="auto" w:fill="ffffff"/>
        <w:widowControl/>
        <w:rPr>
          <w:spacing w:val="8"/>
          <w:szCs w:val="21"/>
          <w:lang w:val="zh-CN"/>
        </w:rPr>
      </w:pPr>
      <w:r>
        <w:rPr>
          <w:spacing w:val="8"/>
          <w:szCs w:val="21"/>
          <w:lang w:val="zh-CN"/>
        </w:rPr>
        <w:t xml:space="preserve">（2）为采购项目提供整体设计、规范编制或者项目管理、监理、检测等服务的供应商，不得参加本项目的采购活动。</w:t>
      </w:r>
      <w:r/>
    </w:p>
    <w:p>
      <w:pPr>
        <w:ind w:firstLine="452"/>
        <w:spacing w:line="360" w:lineRule="auto"/>
        <w:shd w:val="clear" w:color="auto" w:fill="ffffff"/>
        <w:widowControl/>
        <w:rPr>
          <w:spacing w:val="8"/>
          <w:szCs w:val="21"/>
          <w:lang w:val="zh-CN"/>
        </w:rPr>
      </w:pPr>
      <w:r>
        <w:rPr>
          <w:spacing w:val="8"/>
          <w:szCs w:val="21"/>
          <w:lang w:val="zh-CN"/>
        </w:rPr>
        <w:t xml:space="preserve">（3）供应商被“信用中国”网站（www.creditchina.gov.cn）、“中国政府采购网”(www.ccgp.gov.cn)列入失信被执行人、</w:t>
      </w:r>
      <w:r>
        <w:rPr>
          <w:rFonts w:hint="eastAsia"/>
          <w:spacing w:val="8"/>
          <w:szCs w:val="21"/>
          <w:lang w:val="zh-CN"/>
        </w:rPr>
        <w:t xml:space="preserve">重大税收违法失信主体名单</w:t>
      </w:r>
      <w:r>
        <w:rPr>
          <w:spacing w:val="8"/>
          <w:szCs w:val="21"/>
          <w:lang w:val="zh-CN"/>
        </w:rPr>
        <w:t xml:space="preserve">、政府采购严重违法失信行为记录名单。</w:t>
      </w:r>
      <w:r/>
    </w:p>
    <w:p>
      <w:pPr>
        <w:ind w:firstLine="420"/>
        <w:spacing w:line="460" w:lineRule="exact"/>
        <w:rPr>
          <w:bCs/>
          <w:szCs w:val="21"/>
        </w:rPr>
      </w:pPr>
      <w:r>
        <w:rPr>
          <w:bCs/>
          <w:szCs w:val="21"/>
        </w:rPr>
      </w:r>
      <w:r/>
    </w:p>
    <w:p>
      <w:pPr>
        <w:spacing w:line="460" w:lineRule="exact"/>
        <w:shd w:val="clear" w:color="auto" w:fill="ffffff"/>
        <w:widowControl/>
        <w:rPr>
          <w:b/>
          <w:spacing w:val="8"/>
          <w:sz w:val="24"/>
        </w:rPr>
        <w:outlineLvl w:val="1"/>
      </w:pPr>
      <w:r>
        <w:rPr>
          <w:b/>
          <w:spacing w:val="8"/>
          <w:sz w:val="24"/>
        </w:rPr>
        <w:t xml:space="preserve">三、获取招标文件</w:t>
      </w:r>
      <w:r/>
    </w:p>
    <w:p>
      <w:pPr>
        <w:ind w:firstLine="370"/>
        <w:spacing w:line="460" w:lineRule="exact"/>
        <w:shd w:val="clear" w:color="auto" w:fill="ffffff"/>
        <w:widowControl/>
        <w:rPr>
          <w:spacing w:val="8"/>
          <w:szCs w:val="21"/>
        </w:rPr>
      </w:pPr>
      <w:r>
        <w:rPr>
          <w:spacing w:val="8"/>
          <w:szCs w:val="21"/>
        </w:rPr>
        <w:t xml:space="preserve">3.1 获取时间：自招标文件公告发布之日起5个工作日</w:t>
      </w:r>
      <w:r/>
    </w:p>
    <w:p>
      <w:pPr>
        <w:ind w:firstLine="370"/>
        <w:spacing w:line="460" w:lineRule="exact"/>
        <w:shd w:val="clear" w:color="auto" w:fill="ffffff"/>
        <w:widowControl/>
        <w:rPr>
          <w:spacing w:val="8"/>
          <w:szCs w:val="21"/>
        </w:rPr>
      </w:pPr>
      <w:r>
        <w:rPr>
          <w:spacing w:val="8"/>
          <w:szCs w:val="21"/>
        </w:rPr>
        <w:t xml:space="preserve">3.2地点：江苏政府采购网</w:t>
      </w:r>
      <w:r/>
    </w:p>
    <w:p>
      <w:pPr>
        <w:ind w:firstLine="370"/>
        <w:spacing w:line="460" w:lineRule="exact"/>
        <w:shd w:val="clear" w:color="auto" w:fill="ffffff"/>
        <w:widowControl/>
        <w:rPr>
          <w:spacing w:val="8"/>
          <w:szCs w:val="21"/>
        </w:rPr>
      </w:pPr>
      <w:r>
        <w:rPr>
          <w:spacing w:val="8"/>
          <w:szCs w:val="21"/>
        </w:rPr>
        <w:t xml:space="preserve">3.3获取方式：网上下载</w:t>
      </w:r>
      <w:r/>
    </w:p>
    <w:p>
      <w:pPr>
        <w:pStyle w:val="876"/>
        <w:ind w:left="0"/>
      </w:pPr>
      <w:r/>
      <w:r/>
    </w:p>
    <w:p>
      <w:pPr>
        <w:spacing w:line="460" w:lineRule="exact"/>
        <w:shd w:val="clear" w:color="auto" w:fill="ffffff"/>
        <w:widowControl/>
        <w:rPr>
          <w:b/>
          <w:spacing w:val="8"/>
          <w:sz w:val="24"/>
        </w:rPr>
        <w:outlineLvl w:val="1"/>
      </w:pPr>
      <w:r>
        <w:rPr>
          <w:b/>
          <w:spacing w:val="8"/>
          <w:sz w:val="24"/>
        </w:rPr>
        <w:t xml:space="preserve">四、提交投标文件截止时间、开标时间和地点</w:t>
      </w:r>
      <w:r/>
    </w:p>
    <w:p>
      <w:pPr>
        <w:ind w:firstLine="452"/>
        <w:spacing w:line="460" w:lineRule="exact"/>
        <w:shd w:val="clear" w:color="auto" w:fill="ffffff"/>
        <w:widowControl/>
        <w:rPr>
          <w:spacing w:val="8"/>
          <w:szCs w:val="21"/>
        </w:rPr>
      </w:pPr>
      <w:r>
        <w:rPr>
          <w:spacing w:val="8"/>
          <w:szCs w:val="21"/>
        </w:rPr>
        <w:t xml:space="preserve">4.1提交投标文件截止及开标时间：</w:t>
      </w:r>
      <w:r>
        <w:rPr>
          <w:rFonts w:hint="eastAsia"/>
          <w:spacing w:val="8"/>
          <w:szCs w:val="21"/>
        </w:rPr>
        <w:t xml:space="preserve">2026年</w:t>
      </w:r>
      <w:r>
        <w:rPr>
          <w:rFonts w:hint="eastAsia"/>
          <w:spacing w:val="8"/>
          <w:szCs w:val="21"/>
          <w:lang w:val="en-US" w:eastAsia="zh-CN"/>
        </w:rPr>
        <w:t xml:space="preserve">09</w:t>
      </w:r>
      <w:r>
        <w:rPr>
          <w:rFonts w:hint="eastAsia"/>
          <w:spacing w:val="8"/>
          <w:szCs w:val="21"/>
        </w:rPr>
        <w:t xml:space="preserve">月</w:t>
      </w:r>
      <w:r>
        <w:rPr>
          <w:rFonts w:hint="eastAsia"/>
          <w:spacing w:val="8"/>
          <w:szCs w:val="21"/>
          <w:lang w:val="en-US" w:eastAsia="zh-CN"/>
        </w:rPr>
        <w:t xml:space="preserve">29</w:t>
      </w:r>
      <w:r>
        <w:rPr>
          <w:rFonts w:hint="eastAsia"/>
          <w:spacing w:val="8"/>
          <w:szCs w:val="21"/>
        </w:rPr>
        <w:t xml:space="preserve">日</w:t>
      </w:r>
      <w:r>
        <w:rPr>
          <w:rFonts w:hint="eastAsia"/>
          <w:spacing w:val="8"/>
          <w:szCs w:val="21"/>
          <w:lang w:val="en-US" w:eastAsia="zh-CN"/>
        </w:rPr>
        <w:t xml:space="preserve">09</w:t>
      </w:r>
      <w:r>
        <w:rPr>
          <w:rFonts w:hint="eastAsia"/>
          <w:spacing w:val="8"/>
          <w:szCs w:val="21"/>
        </w:rPr>
        <w:t xml:space="preserve">点</w:t>
      </w:r>
      <w:r>
        <w:rPr>
          <w:rFonts w:hint="eastAsia"/>
          <w:spacing w:val="8"/>
          <w:szCs w:val="21"/>
          <w:lang w:val="en-US" w:eastAsia="zh-CN"/>
        </w:rPr>
        <w:t xml:space="preserve">00</w:t>
      </w:r>
      <w:r>
        <w:rPr>
          <w:rFonts w:hint="eastAsia"/>
          <w:spacing w:val="8"/>
          <w:szCs w:val="21"/>
        </w:rPr>
        <w:t xml:space="preserve">分</w:t>
      </w:r>
      <w:r>
        <w:rPr>
          <w:spacing w:val="8"/>
          <w:szCs w:val="21"/>
        </w:rPr>
        <w:t xml:space="preserve">（北京时间）</w:t>
      </w:r>
      <w:r/>
    </w:p>
    <w:p>
      <w:pPr>
        <w:ind w:firstLine="452"/>
        <w:spacing w:line="460" w:lineRule="exact"/>
        <w:shd w:val="clear" w:color="auto" w:fill="ffffff"/>
        <w:widowControl/>
        <w:rPr>
          <w:spacing w:val="8"/>
          <w:szCs w:val="21"/>
        </w:rPr>
      </w:pPr>
      <w:r>
        <w:rPr>
          <w:spacing w:val="8"/>
          <w:szCs w:val="21"/>
        </w:rPr>
        <w:t xml:space="preserve">4.2提交投标文件地点：江苏省政府采购管理交易系统（苏采云）（以下简称“苏采云”）（网址：http://jszfcg.jsczt.cn/）</w:t>
      </w:r>
      <w:r/>
    </w:p>
    <w:p>
      <w:pPr>
        <w:ind w:firstLine="452"/>
        <w:spacing w:line="460" w:lineRule="exact"/>
        <w:shd w:val="clear" w:color="auto" w:fill="ffffff"/>
        <w:widowControl/>
        <w:rPr>
          <w:spacing w:val="8"/>
          <w:szCs w:val="21"/>
        </w:rPr>
      </w:pPr>
      <w:r>
        <w:rPr>
          <w:spacing w:val="8"/>
          <w:szCs w:val="21"/>
        </w:rPr>
        <w:t xml:space="preserve">4.3开标地点：“苏采云”开标大厅</w:t>
      </w:r>
      <w:r/>
    </w:p>
    <w:p>
      <w:pPr>
        <w:ind w:firstLine="370"/>
        <w:spacing w:line="460" w:lineRule="exact"/>
        <w:shd w:val="clear" w:color="auto" w:fill="ffffff"/>
        <w:widowControl/>
        <w:rPr>
          <w:spacing w:val="8"/>
          <w:szCs w:val="21"/>
        </w:rPr>
      </w:pPr>
      <w:r>
        <w:rPr>
          <w:spacing w:val="8"/>
          <w:szCs w:val="21"/>
        </w:rPr>
      </w:r>
      <w:r/>
    </w:p>
    <w:p>
      <w:pPr>
        <w:spacing w:line="460" w:lineRule="exact"/>
        <w:shd w:val="clear" w:color="auto" w:fill="ffffff"/>
        <w:widowControl/>
        <w:rPr>
          <w:b/>
          <w:spacing w:val="8"/>
          <w:sz w:val="24"/>
        </w:rPr>
        <w:outlineLvl w:val="1"/>
      </w:pPr>
      <w:r>
        <w:rPr>
          <w:b/>
          <w:spacing w:val="8"/>
          <w:sz w:val="24"/>
        </w:rPr>
        <w:t xml:space="preserve">五、公告期限</w:t>
      </w:r>
      <w:r/>
    </w:p>
    <w:p>
      <w:pPr>
        <w:ind w:firstLine="452"/>
        <w:spacing w:line="460" w:lineRule="exact"/>
        <w:shd w:val="clear" w:color="auto" w:fill="ffffff"/>
        <w:widowControl/>
        <w:rPr>
          <w:spacing w:val="8"/>
          <w:szCs w:val="21"/>
        </w:rPr>
      </w:pPr>
      <w:r>
        <w:rPr>
          <w:spacing w:val="8"/>
          <w:szCs w:val="21"/>
        </w:rPr>
        <w:t xml:space="preserve">自本公告发布之日起5个工作日。</w:t>
      </w:r>
      <w:r/>
    </w:p>
    <w:p>
      <w:pPr>
        <w:spacing w:line="460" w:lineRule="exact"/>
        <w:shd w:val="clear" w:color="auto" w:fill="ffffff"/>
        <w:widowControl/>
        <w:rPr>
          <w:b/>
          <w:spacing w:val="8"/>
          <w:sz w:val="24"/>
        </w:rPr>
        <w:outlineLvl w:val="1"/>
      </w:pPr>
      <w:r>
        <w:rPr>
          <w:b/>
          <w:spacing w:val="8"/>
          <w:sz w:val="24"/>
        </w:rPr>
      </w:r>
      <w:r/>
    </w:p>
    <w:p>
      <w:pPr>
        <w:spacing w:line="460" w:lineRule="exact"/>
        <w:shd w:val="clear" w:color="auto" w:fill="ffffff"/>
        <w:widowControl/>
        <w:rPr>
          <w:b/>
          <w:spacing w:val="8"/>
          <w:sz w:val="24"/>
        </w:rPr>
        <w:outlineLvl w:val="1"/>
      </w:pPr>
      <w:r>
        <w:rPr>
          <w:b/>
          <w:spacing w:val="8"/>
          <w:sz w:val="24"/>
        </w:rPr>
        <w:t xml:space="preserve">六、其他补充事宜</w:t>
      </w:r>
      <w:r/>
    </w:p>
    <w:p>
      <w:pPr>
        <w:ind w:firstLine="452"/>
        <w:spacing w:line="460" w:lineRule="exact"/>
        <w:shd w:val="clear" w:color="auto" w:fill="ffffff"/>
        <w:widowControl/>
        <w:rPr>
          <w:spacing w:val="8"/>
          <w:szCs w:val="21"/>
        </w:rPr>
      </w:pPr>
      <w:r>
        <w:rPr>
          <w:spacing w:val="8"/>
          <w:szCs w:val="21"/>
        </w:rPr>
        <w:t xml:space="preserve">6.1本项目在南京公共采购信息网、江苏政府采购网、中国政府采购网网站发布公告。</w:t>
      </w:r>
      <w:r/>
    </w:p>
    <w:p>
      <w:pPr>
        <w:ind w:firstLine="452"/>
        <w:spacing w:line="460" w:lineRule="exact"/>
        <w:shd w:val="clear" w:color="auto" w:fill="ffffff"/>
        <w:widowControl/>
        <w:rPr>
          <w:spacing w:val="8"/>
          <w:szCs w:val="21"/>
        </w:rPr>
      </w:pPr>
      <w:r>
        <w:rPr>
          <w:spacing w:val="8"/>
          <w:szCs w:val="21"/>
        </w:rPr>
        <w:t xml:space="preserve">6.2投标人通过“苏采云”（网址：</w:t>
      </w:r>
      <w:r>
        <w:rPr>
          <w:spacing w:val="8"/>
          <w:szCs w:val="21"/>
        </w:rPr>
        <w:fldChar w:fldCharType="begin"/>
      </w:r>
      <w:r>
        <w:rPr>
          <w:spacing w:val="8"/>
          <w:szCs w:val="21"/>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pacing w:val="8"/>
          <w:szCs w:val="21"/>
        </w:rPr>
        <w:fldChar w:fldCharType="separate"/>
      </w:r>
      <w:r>
        <w:rPr>
          <w:spacing w:val="8"/>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pacing w:val="8"/>
          <w:szCs w:val="21"/>
        </w:rPr>
        <w:fldChar w:fldCharType="end"/>
      </w:r>
      <w:r/>
    </w:p>
    <w:p>
      <w:pPr>
        <w:ind w:firstLine="452"/>
        <w:spacing w:line="460" w:lineRule="exact"/>
        <w:shd w:val="clear" w:color="auto" w:fill="ffffff"/>
        <w:widowControl/>
        <w:rPr>
          <w:spacing w:val="8"/>
          <w:szCs w:val="21"/>
        </w:rPr>
      </w:pPr>
      <w:r>
        <w:rPr>
          <w:spacing w:val="8"/>
          <w:szCs w:val="21"/>
        </w:rPr>
        <w:t xml:space="preserve">操作手册下载地址：</w:t>
      </w:r>
      <w:r>
        <w:rPr>
          <w:spacing w:val="8"/>
          <w:szCs w:val="21"/>
        </w:rPr>
        <w:fldChar w:fldCharType="begin"/>
      </w:r>
      <w:r>
        <w:rPr>
          <w:spacing w:val="8"/>
          <w:szCs w:val="21"/>
        </w:rPr>
        <w:instrText xml:space="preserve"> HYPERLINK "http://www.ccgp-jiangsu.gov.cn/jiangsu/zlxz/ee/ee3a4bc5a3454aa2b0d9312230633ce9.html" </w:instrText>
      </w:r>
      <w:r>
        <w:rPr>
          <w:spacing w:val="8"/>
          <w:szCs w:val="21"/>
        </w:rPr>
        <w:fldChar w:fldCharType="separate"/>
      </w:r>
      <w:r>
        <w:rPr>
          <w:spacing w:val="8"/>
          <w:szCs w:val="21"/>
        </w:rPr>
        <w:t xml:space="preserve">http://www.ccgp-jiangsu.gov.cn/jiangsu/zlxz/ee/ee3a4bc5a3454aa2b0d9312230633ce9.html</w:t>
      </w:r>
      <w:r>
        <w:rPr>
          <w:spacing w:val="8"/>
          <w:szCs w:val="21"/>
        </w:rPr>
        <w:fldChar w:fldCharType="end"/>
      </w:r>
      <w:r/>
    </w:p>
    <w:p>
      <w:pPr>
        <w:ind w:firstLine="452"/>
        <w:spacing w:line="460" w:lineRule="exact"/>
        <w:shd w:val="clear" w:color="auto" w:fill="ffffff"/>
        <w:widowControl/>
        <w:rPr>
          <w:spacing w:val="8"/>
          <w:szCs w:val="21"/>
        </w:rPr>
      </w:pPr>
      <w:r>
        <w:rPr>
          <w:spacing w:val="8"/>
          <w:szCs w:val="21"/>
        </w:rPr>
        <w:t xml:space="preserve">首次登录“苏采云”系统的新用户，登录网址后，点击“用户注册”--“新CA办理指南”--获取CA后绑定、登录系统--采购项目参与--下载采购文件（文件后缀名为“.kedt”）。</w:t>
      </w:r>
      <w:r/>
    </w:p>
    <w:p>
      <w:pPr>
        <w:ind w:firstLine="452"/>
        <w:spacing w:line="460" w:lineRule="exact"/>
        <w:shd w:val="clear" w:color="auto" w:fill="ffffff"/>
        <w:widowControl/>
        <w:rPr>
          <w:spacing w:val="8"/>
          <w:szCs w:val="21"/>
        </w:rPr>
      </w:pPr>
      <w:r>
        <w:rPr>
          <w:spacing w:val="8"/>
          <w:szCs w:val="21"/>
        </w:rPr>
        <w:t xml:space="preserve">“苏采云”南京地区客服热线025-83633744、025-83633743。</w:t>
      </w:r>
      <w:r/>
    </w:p>
    <w:p>
      <w:pPr>
        <w:ind w:firstLine="452"/>
        <w:spacing w:line="460" w:lineRule="exact"/>
        <w:shd w:val="clear" w:color="auto" w:fill="ffffff"/>
        <w:widowControl/>
        <w:rPr>
          <w:spacing w:val="8"/>
          <w:szCs w:val="21"/>
        </w:rPr>
      </w:pPr>
      <w:r>
        <w:rPr>
          <w:spacing w:val="8"/>
          <w:szCs w:val="21"/>
        </w:rPr>
        <w:t xml:space="preserve"> 有关本次招标的事项若存在变动或修改，请及时关注“江苏政府采购网”（www.ccgp-jiangsu.gov.cn）更正公告。</w:t>
      </w:r>
      <w:r/>
    </w:p>
    <w:p>
      <w:pPr>
        <w:ind w:firstLine="452"/>
        <w:spacing w:line="460" w:lineRule="exact"/>
        <w:shd w:val="clear" w:color="auto" w:fill="ffffff"/>
        <w:widowControl/>
        <w:rPr>
          <w:spacing w:val="8"/>
          <w:szCs w:val="21"/>
        </w:rPr>
      </w:pPr>
      <w:r>
        <w:rPr>
          <w:spacing w:val="8"/>
          <w:szCs w:val="21"/>
        </w:rPr>
        <w:t xml:space="preserve">6.3 勘察现场：无。</w:t>
      </w:r>
      <w:r/>
    </w:p>
    <w:p>
      <w:pPr>
        <w:ind w:firstLine="452"/>
        <w:spacing w:line="460" w:lineRule="exact"/>
        <w:shd w:val="clear" w:color="auto" w:fill="ffffff"/>
        <w:widowControl/>
        <w:rPr>
          <w:spacing w:val="8"/>
          <w:szCs w:val="21"/>
        </w:rPr>
      </w:pPr>
      <w:r>
        <w:rPr>
          <w:spacing w:val="8"/>
          <w:szCs w:val="21"/>
        </w:rPr>
        <w:t xml:space="preserve">6.4 政府采购信用承诺</w:t>
      </w:r>
      <w:r/>
    </w:p>
    <w:p>
      <w:pPr>
        <w:ind w:firstLine="452"/>
        <w:spacing w:line="460" w:lineRule="exact"/>
        <w:shd w:val="clear" w:color="auto" w:fill="ffffff"/>
        <w:widowControl/>
        <w:rPr>
          <w:spacing w:val="8"/>
          <w:szCs w:val="21"/>
        </w:rPr>
      </w:pPr>
      <w:r>
        <w:rPr>
          <w:spacing w:val="8"/>
          <w:szCs w:val="21"/>
        </w:rPr>
        <w:t xml:space="preserve">根</w:t>
      </w:r>
      <w:r>
        <w:rPr>
          <w:rFonts w:hint="eastAsia"/>
          <w:spacing w:val="8"/>
          <w:szCs w:val="21"/>
        </w:rPr>
        <w:t xml:space="preserve">据《关于在政府采购活动中推行信用承诺制的通知》宁财购通〔2021〕5号规定， 参加南京地区政府采购活动的供应商，应以书面形式向采购人或政府采购代理机构作出信用承诺。在政府采购资格审查环节，供应商只需提供书面《南京市政府采购供应商信用记录表暨信用承诺书》，即可替代以下证明材料： </w:t>
      </w:r>
      <w:r/>
    </w:p>
    <w:p>
      <w:pPr>
        <w:ind w:firstLine="452"/>
        <w:spacing w:line="460" w:lineRule="exact"/>
        <w:shd w:val="clear" w:color="auto" w:fill="ffffff"/>
        <w:widowControl/>
        <w:rPr>
          <w:spacing w:val="8"/>
          <w:szCs w:val="21"/>
        </w:rPr>
      </w:pPr>
      <w:r>
        <w:rPr>
          <w:rFonts w:hint="eastAsia"/>
          <w:spacing w:val="8"/>
          <w:szCs w:val="21"/>
        </w:rPr>
        <w:t xml:space="preserve">（1）符合国家相关规定的财务状况报告； </w:t>
      </w:r>
      <w:r/>
    </w:p>
    <w:p>
      <w:pPr>
        <w:ind w:firstLine="452"/>
        <w:spacing w:line="460" w:lineRule="exact"/>
        <w:shd w:val="clear" w:color="auto" w:fill="ffffff"/>
        <w:widowControl/>
        <w:rPr>
          <w:spacing w:val="8"/>
          <w:szCs w:val="21"/>
        </w:rPr>
      </w:pPr>
      <w:r>
        <w:rPr>
          <w:rFonts w:hint="eastAsia"/>
          <w:spacing w:val="8"/>
          <w:szCs w:val="21"/>
        </w:rPr>
        <w:t xml:space="preserve">（2）依法缴纳税收的证明材料； </w:t>
      </w:r>
      <w:r/>
    </w:p>
    <w:p>
      <w:pPr>
        <w:ind w:firstLine="452"/>
        <w:spacing w:line="460" w:lineRule="exact"/>
        <w:shd w:val="clear" w:color="auto" w:fill="ffffff"/>
        <w:widowControl/>
        <w:rPr>
          <w:spacing w:val="8"/>
          <w:szCs w:val="21"/>
        </w:rPr>
      </w:pPr>
      <w:r>
        <w:rPr>
          <w:rFonts w:hint="eastAsia"/>
          <w:spacing w:val="8"/>
          <w:szCs w:val="21"/>
        </w:rPr>
        <w:t xml:space="preserve">（3）依法缴纳社会保障资金的证明材料； </w:t>
      </w:r>
      <w:r/>
    </w:p>
    <w:p>
      <w:pPr>
        <w:ind w:firstLine="452"/>
        <w:spacing w:line="460" w:lineRule="exact"/>
        <w:shd w:val="clear" w:color="auto" w:fill="ffffff"/>
        <w:widowControl/>
        <w:rPr>
          <w:spacing w:val="8"/>
          <w:szCs w:val="21"/>
        </w:rPr>
      </w:pPr>
      <w:r>
        <w:rPr>
          <w:rFonts w:hint="eastAsia"/>
          <w:spacing w:val="8"/>
          <w:szCs w:val="21"/>
        </w:rPr>
        <w:t xml:space="preserve">（4）具备履行政府采购合同所必需的设备和专业技术能力的证明材料； </w:t>
      </w:r>
      <w:r/>
    </w:p>
    <w:p>
      <w:pPr>
        <w:ind w:firstLine="452"/>
        <w:spacing w:line="460" w:lineRule="exact"/>
        <w:shd w:val="clear" w:color="auto" w:fill="ffffff"/>
        <w:widowControl/>
        <w:rPr>
          <w:spacing w:val="8"/>
          <w:szCs w:val="21"/>
        </w:rPr>
      </w:pPr>
      <w:r>
        <w:rPr>
          <w:rFonts w:hint="eastAsia"/>
          <w:spacing w:val="8"/>
          <w:szCs w:val="21"/>
        </w:rPr>
        <w:t xml:space="preserve">（5）参加政府采购活动前三年内在经营活动中没有重大违法记录的证明材料； </w:t>
      </w:r>
      <w:r/>
    </w:p>
    <w:p>
      <w:pPr>
        <w:ind w:firstLine="452"/>
        <w:spacing w:line="460" w:lineRule="exact"/>
        <w:shd w:val="clear" w:color="auto" w:fill="ffffff"/>
        <w:widowControl/>
        <w:rPr>
          <w:rFonts w:hint="eastAsia"/>
          <w:spacing w:val="8"/>
          <w:szCs w:val="21"/>
        </w:rPr>
      </w:pPr>
      <w:r>
        <w:rPr>
          <w:rFonts w:hint="eastAsia"/>
          <w:spacing w:val="8"/>
          <w:szCs w:val="21"/>
        </w:rPr>
        <w:t xml:space="preserve">（6）未被列入失信被执行人、重大税收违法失信主体、政府采购严重违法失信行为记录名单的证明材料。 </w:t>
      </w:r>
      <w:r/>
    </w:p>
    <w:p>
      <w:pPr>
        <w:ind w:firstLine="452"/>
        <w:spacing w:line="460" w:lineRule="exact"/>
        <w:shd w:val="clear" w:color="auto" w:fill="ffffff"/>
        <w:widowControl/>
        <w:rPr>
          <w:spacing w:val="8"/>
          <w:szCs w:val="21"/>
        </w:rPr>
      </w:pPr>
      <w:r>
        <w:rPr>
          <w:rFonts w:hint="eastAsia"/>
          <w:spacing w:val="8"/>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52"/>
        <w:spacing w:line="460" w:lineRule="exact"/>
        <w:shd w:val="clear" w:color="auto" w:fill="ffffff"/>
        <w:widowControl/>
        <w:rPr>
          <w:spacing w:val="8"/>
          <w:szCs w:val="21"/>
        </w:rPr>
      </w:pPr>
      <w:r>
        <w:rPr>
          <w:rFonts w:hint="eastAsia"/>
          <w:spacing w:val="8"/>
          <w:szCs w:val="21"/>
        </w:rPr>
        <w:t xml:space="preserve">供应商涉及以下情形的，不适用信用承诺： </w:t>
      </w:r>
      <w:r/>
    </w:p>
    <w:p>
      <w:pPr>
        <w:ind w:firstLine="452"/>
        <w:spacing w:line="460" w:lineRule="exact"/>
        <w:shd w:val="clear" w:color="auto" w:fill="ffffff"/>
        <w:widowControl/>
        <w:rPr>
          <w:spacing w:val="8"/>
          <w:szCs w:val="21"/>
        </w:rPr>
      </w:pPr>
      <w:r>
        <w:rPr>
          <w:rFonts w:hint="eastAsia"/>
          <w:spacing w:val="8"/>
          <w:szCs w:val="21"/>
        </w:rPr>
        <w:t xml:space="preserve">（1）供应商被列入严重失信主体名单； </w:t>
      </w:r>
      <w:r/>
    </w:p>
    <w:p>
      <w:pPr>
        <w:ind w:firstLine="452"/>
        <w:spacing w:line="460" w:lineRule="exact"/>
        <w:shd w:val="clear" w:color="auto" w:fill="ffffff"/>
        <w:widowControl/>
        <w:rPr>
          <w:spacing w:val="8"/>
          <w:szCs w:val="21"/>
        </w:rPr>
      </w:pPr>
      <w:r>
        <w:rPr>
          <w:rFonts w:hint="eastAsia"/>
          <w:spacing w:val="8"/>
          <w:szCs w:val="21"/>
        </w:rPr>
        <w:t xml:space="preserve">（2）被相关监管部门作出行政处罚且尚在处罚有效期内； </w:t>
      </w:r>
      <w:r/>
    </w:p>
    <w:p>
      <w:pPr>
        <w:ind w:firstLine="452"/>
        <w:spacing w:line="460" w:lineRule="exact"/>
        <w:shd w:val="clear" w:color="auto" w:fill="ffffff"/>
        <w:widowControl/>
        <w:rPr>
          <w:spacing w:val="8"/>
          <w:szCs w:val="21"/>
        </w:rPr>
      </w:pPr>
      <w:r>
        <w:rPr>
          <w:rFonts w:hint="eastAsia"/>
          <w:spacing w:val="8"/>
          <w:szCs w:val="21"/>
        </w:rPr>
        <w:t xml:space="preserve">（3）其他法律、行政法规规定的不适用信用承诺的情形。 </w:t>
      </w:r>
      <w:r/>
    </w:p>
    <w:p>
      <w:pPr>
        <w:ind w:firstLine="452"/>
        <w:spacing w:line="460" w:lineRule="exact"/>
        <w:shd w:val="clear" w:color="auto" w:fill="ffffff"/>
        <w:widowControl/>
        <w:rPr>
          <w:rFonts w:hint="eastAsia" w:ascii="Times New Roman" w:hAnsi="Times New Roman" w:eastAsia="宋体" w:cs="Times New Roman"/>
          <w:spacing w:val="8"/>
          <w:szCs w:val="21"/>
        </w:rPr>
      </w:pPr>
      <w:r>
        <w:rPr>
          <w:rFonts w:hint="eastAsia" w:ascii="Times New Roman" w:hAnsi="Times New Roman" w:eastAsia="宋体" w:cs="Times New Roman"/>
          <w:spacing w:val="8"/>
          <w:szCs w:val="21"/>
        </w:rPr>
        <w:t xml:space="preserve">供应商对信用承诺内容的真实性、合法性、有效性负责。如作出虚假信用承诺，视同为“提供虚假材料谋取中标、成交”的违法行为。</w:t>
      </w:r>
      <w:r/>
    </w:p>
    <w:p>
      <w:pPr>
        <w:ind w:firstLine="452"/>
        <w:spacing w:line="460" w:lineRule="exact"/>
        <w:shd w:val="clear" w:color="auto" w:fill="ffffff"/>
        <w:widowControl/>
        <w:rPr>
          <w:rFonts w:hint="eastAsia" w:ascii="Times New Roman" w:hAnsi="Times New Roman" w:eastAsia="宋体" w:cs="Times New Roman"/>
          <w:b/>
          <w:bCs/>
          <w:spacing w:val="8"/>
          <w:szCs w:val="21"/>
          <w:lang w:val="en-US" w:eastAsia="zh-CN"/>
        </w:rPr>
      </w:pPr>
      <w:r>
        <w:rPr>
          <w:rFonts w:hint="eastAsia" w:ascii="Times New Roman" w:hAnsi="Times New Roman" w:eastAsia="宋体" w:cs="Times New Roman"/>
          <w:b/>
          <w:bCs/>
          <w:spacing w:val="8"/>
          <w:szCs w:val="21"/>
        </w:rPr>
        <w:t xml:space="preserve">6.5</w:t>
      </w:r>
      <w:r>
        <w:rPr>
          <w:rFonts w:hint="eastAsia" w:ascii="Times New Roman" w:hAnsi="Times New Roman" w:eastAsia="宋体" w:cs="Times New Roman"/>
          <w:b/>
          <w:bCs/>
          <w:spacing w:val="8"/>
          <w:szCs w:val="21"/>
          <w:lang w:val="en-US" w:eastAsia="zh-CN"/>
        </w:rPr>
        <w:t xml:space="preserve">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r/>
    </w:p>
    <w:p>
      <w:pPr>
        <w:ind w:firstLine="452"/>
        <w:spacing w:line="460" w:lineRule="exact"/>
        <w:shd w:val="clear" w:color="auto" w:fill="ffffff"/>
        <w:widowControl/>
        <w:rPr>
          <w:rFonts w:hint="eastAsia" w:ascii="Times New Roman" w:hAnsi="Times New Roman" w:eastAsia="宋体" w:cs="Times New Roman"/>
          <w:b/>
          <w:bCs/>
          <w:spacing w:val="8"/>
          <w:szCs w:val="21"/>
          <w:lang w:val="en-US" w:eastAsia="zh-CN"/>
        </w:rPr>
      </w:pPr>
      <w:r>
        <w:rPr>
          <w:rFonts w:hint="eastAsia" w:ascii="Times New Roman" w:hAnsi="Times New Roman" w:eastAsia="宋体" w:cs="Times New Roman"/>
          <w:b/>
          <w:bCs/>
          <w:spacing w:val="8"/>
          <w:szCs w:val="21"/>
          <w:lang w:val="en-US" w:eastAsia="zh-CN"/>
        </w:rPr>
        <w:t xml:space="preserve">本次采购核心产品：视频存储设备。</w:t>
      </w:r>
      <w:r/>
    </w:p>
    <w:p>
      <w:pPr>
        <w:spacing w:line="460" w:lineRule="exact"/>
        <w:shd w:val="clear" w:color="auto" w:fill="ffffff"/>
        <w:widowControl/>
        <w:rPr>
          <w:b/>
          <w:spacing w:val="8"/>
          <w:sz w:val="24"/>
        </w:rPr>
      </w:pPr>
      <w:r>
        <w:rPr>
          <w:b/>
          <w:spacing w:val="8"/>
          <w:sz w:val="24"/>
        </w:rPr>
      </w:r>
      <w:r/>
    </w:p>
    <w:p>
      <w:pPr>
        <w:spacing w:line="460" w:lineRule="exact"/>
        <w:shd w:val="clear" w:color="auto" w:fill="ffffff"/>
        <w:widowControl/>
        <w:rPr>
          <w:b/>
          <w:spacing w:val="8"/>
          <w:sz w:val="24"/>
        </w:rPr>
      </w:pPr>
      <w:r>
        <w:rPr>
          <w:b/>
          <w:spacing w:val="8"/>
          <w:sz w:val="24"/>
        </w:rPr>
        <w:t xml:space="preserve">七、对本次招标提出询问，请按以下方式联系</w:t>
      </w:r>
      <w:r/>
    </w:p>
    <w:p>
      <w:pPr>
        <w:ind w:firstLine="452"/>
        <w:spacing w:line="460" w:lineRule="exact"/>
        <w:shd w:val="clear" w:color="auto" w:fill="ffffff"/>
        <w:widowControl/>
        <w:rPr>
          <w:spacing w:val="8"/>
          <w:szCs w:val="21"/>
        </w:rPr>
      </w:pPr>
      <w:r>
        <w:rPr>
          <w:rFonts w:hint="eastAsia"/>
          <w:spacing w:val="8"/>
          <w:szCs w:val="21"/>
        </w:rPr>
        <w:t xml:space="preserve">7</w:t>
      </w:r>
      <w:r>
        <w:rPr>
          <w:spacing w:val="8"/>
          <w:szCs w:val="21"/>
        </w:rPr>
        <w:t xml:space="preserve">.1采购人信息</w:t>
      </w:r>
      <w:r/>
    </w:p>
    <w:p>
      <w:pPr>
        <w:ind w:firstLine="452"/>
        <w:spacing w:line="460" w:lineRule="exact"/>
        <w:shd w:val="clear" w:color="auto" w:fill="ffffff"/>
        <w:widowControl/>
        <w:rPr>
          <w:rFonts w:hint="eastAsia"/>
          <w:spacing w:val="8"/>
          <w:szCs w:val="21"/>
        </w:rPr>
      </w:pPr>
      <w:r>
        <w:rPr>
          <w:rFonts w:hint="eastAsia"/>
          <w:spacing w:val="8"/>
          <w:szCs w:val="21"/>
        </w:rPr>
        <w:t xml:space="preserve">名称：</w:t>
      </w:r>
      <w:r>
        <w:rPr>
          <w:rFonts w:ascii="Segoe UI" w:hAnsi="Segoe UI" w:eastAsia="Segoe UI" w:cs="Segoe UI"/>
          <w:i w:val="0"/>
          <w:iCs w:val="0"/>
          <w:caps w:val="0"/>
          <w:spacing w:val="0"/>
          <w:sz w:val="21"/>
          <w:szCs w:val="21"/>
          <w:shd w:val="clear" w:color="auto" w:fill="ffffff"/>
        </w:rPr>
        <w:t xml:space="preserve">南京市江宁区人民政府麒麟街道办事处</w:t>
      </w:r>
      <w:r/>
    </w:p>
    <w:p>
      <w:pPr>
        <w:ind w:firstLine="452"/>
        <w:spacing w:line="460" w:lineRule="exact"/>
        <w:shd w:val="clear" w:color="auto" w:fill="ffffff"/>
        <w:widowControl/>
        <w:rPr>
          <w:spacing w:val="8"/>
          <w:szCs w:val="21"/>
        </w:rPr>
      </w:pPr>
      <w:r>
        <w:rPr>
          <w:rFonts w:hint="eastAsia"/>
          <w:spacing w:val="8"/>
          <w:szCs w:val="21"/>
        </w:rPr>
        <w:t xml:space="preserve">地址：</w:t>
      </w:r>
      <w:r>
        <w:rPr>
          <w:rFonts w:ascii="Segoe UI" w:hAnsi="Segoe UI" w:eastAsia="Segoe UI" w:cs="Segoe UI"/>
          <w:i w:val="0"/>
          <w:iCs w:val="0"/>
          <w:caps w:val="0"/>
          <w:spacing w:val="0"/>
          <w:sz w:val="21"/>
          <w:szCs w:val="21"/>
          <w:shd w:val="clear" w:color="auto" w:fill="fafafa"/>
        </w:rPr>
        <w:t xml:space="preserve">江宁区开城路60号</w:t>
      </w:r>
      <w:r/>
    </w:p>
    <w:p>
      <w:pPr>
        <w:ind w:firstLine="452"/>
        <w:spacing w:line="460" w:lineRule="exact"/>
        <w:shd w:val="clear" w:color="auto" w:fill="ffffff"/>
        <w:widowControl/>
        <w:rPr>
          <w:spacing w:val="8"/>
          <w:szCs w:val="21"/>
        </w:rPr>
      </w:pPr>
      <w:r>
        <w:rPr>
          <w:rFonts w:hint="eastAsia"/>
          <w:spacing w:val="8"/>
          <w:szCs w:val="21"/>
        </w:rPr>
        <w:t xml:space="preserve">联系方式：</w:t>
      </w:r>
      <w:r>
        <w:rPr>
          <w:rFonts w:hint="eastAsia"/>
          <w:spacing w:val="8"/>
          <w:szCs w:val="21"/>
          <w:lang w:val="en-US" w:eastAsia="zh-CN"/>
        </w:rPr>
        <w:t xml:space="preserve">杨主任</w:t>
      </w:r>
      <w:r>
        <w:rPr>
          <w:rFonts w:hint="eastAsia"/>
          <w:spacing w:val="8"/>
          <w:szCs w:val="21"/>
        </w:rPr>
        <w:t xml:space="preserve"> </w:t>
      </w:r>
      <w:r>
        <w:rPr>
          <w:rFonts w:ascii="Segoe UI" w:hAnsi="Segoe UI" w:eastAsia="Segoe UI" w:cs="Segoe UI"/>
          <w:i w:val="0"/>
          <w:iCs w:val="0"/>
          <w:caps w:val="0"/>
          <w:spacing w:val="0"/>
          <w:sz w:val="21"/>
          <w:szCs w:val="21"/>
        </w:rPr>
      </w:r>
      <w:r/>
    </w:p>
    <w:p>
      <w:pPr>
        <w:ind w:firstLine="452"/>
        <w:spacing w:line="460" w:lineRule="exact"/>
        <w:shd w:val="clear" w:color="auto" w:fill="ffffff"/>
        <w:widowControl/>
        <w:rPr>
          <w:spacing w:val="8"/>
          <w:szCs w:val="21"/>
        </w:rPr>
      </w:pPr>
      <w:r>
        <w:rPr>
          <w:rFonts w:hint="eastAsia"/>
          <w:spacing w:val="8"/>
          <w:szCs w:val="21"/>
        </w:rPr>
        <w:t xml:space="preserve">7.2采购代理机构信息</w:t>
      </w:r>
      <w:r/>
    </w:p>
    <w:p>
      <w:pPr>
        <w:ind w:firstLine="452"/>
        <w:spacing w:line="460" w:lineRule="exact"/>
        <w:shd w:val="clear" w:color="auto" w:fill="ffffff"/>
        <w:widowControl/>
        <w:rPr>
          <w:spacing w:val="8"/>
          <w:szCs w:val="21"/>
        </w:rPr>
      </w:pPr>
      <w:r>
        <w:rPr>
          <w:rFonts w:hint="eastAsia"/>
          <w:spacing w:val="8"/>
          <w:szCs w:val="21"/>
        </w:rPr>
        <w:t xml:space="preserve">名称：</w:t>
      </w:r>
      <w:r>
        <w:rPr>
          <w:rFonts w:hint="eastAsia"/>
          <w:spacing w:val="8"/>
          <w:szCs w:val="21"/>
          <w:lang w:eastAsia="zh-CN"/>
        </w:rPr>
        <w:t xml:space="preserve">南京永辰工程咨询管理有限公司</w:t>
      </w:r>
      <w:r>
        <w:rPr>
          <w:rFonts w:hint="eastAsia"/>
          <w:spacing w:val="8"/>
          <w:szCs w:val="21"/>
        </w:rPr>
        <w:t xml:space="preserve"> </w:t>
      </w:r>
      <w:r/>
    </w:p>
    <w:p>
      <w:pPr>
        <w:ind w:firstLine="452"/>
        <w:spacing w:line="460" w:lineRule="exact"/>
        <w:shd w:val="clear" w:color="auto" w:fill="ffffff"/>
        <w:widowControl/>
        <w:rPr>
          <w:spacing w:val="8"/>
          <w:szCs w:val="21"/>
        </w:rPr>
      </w:pPr>
      <w:r>
        <w:rPr>
          <w:rFonts w:hint="eastAsia"/>
          <w:spacing w:val="8"/>
          <w:szCs w:val="21"/>
        </w:rPr>
        <w:t xml:space="preserve">地址：南京市江宁区科建路666号1栋6楼</w:t>
      </w:r>
      <w:r/>
    </w:p>
    <w:p>
      <w:pPr>
        <w:ind w:firstLine="452"/>
        <w:spacing w:line="460" w:lineRule="exact"/>
        <w:shd w:val="clear" w:color="auto" w:fill="ffffff"/>
        <w:widowControl/>
        <w:rPr>
          <w:rFonts w:hint="default" w:eastAsia="宋体"/>
          <w:spacing w:val="8"/>
          <w:szCs w:val="21"/>
          <w:lang w:val="en-US" w:eastAsia="zh-CN"/>
        </w:rPr>
      </w:pPr>
      <w:r>
        <w:rPr>
          <w:rFonts w:hint="eastAsia"/>
          <w:spacing w:val="8"/>
          <w:szCs w:val="21"/>
        </w:rPr>
        <w:t xml:space="preserve">联系方式：</w:t>
      </w:r>
      <w:r>
        <w:rPr>
          <w:rFonts w:hint="eastAsia"/>
          <w:spacing w:val="8"/>
          <w:szCs w:val="21"/>
          <w:lang w:val="en-US" w:eastAsia="zh-CN"/>
        </w:rPr>
        <w:t xml:space="preserve">王超</w:t>
      </w:r>
      <w:r>
        <w:rPr>
          <w:rFonts w:hint="eastAsia"/>
          <w:spacing w:val="8"/>
          <w:szCs w:val="21"/>
        </w:rPr>
        <w:t xml:space="preserve"> </w:t>
      </w:r>
      <w:r>
        <w:rPr>
          <w:rFonts w:hint="eastAsia"/>
          <w:spacing w:val="8"/>
          <w:szCs w:val="21"/>
          <w:lang w:val="en-US" w:eastAsia="zh-CN"/>
        </w:rPr>
        <w:t xml:space="preserve">18014812158</w:t>
      </w:r>
      <w:r/>
    </w:p>
    <w:p>
      <w:pPr>
        <w:ind w:firstLine="452"/>
        <w:spacing w:line="460" w:lineRule="exact"/>
        <w:shd w:val="clear" w:color="auto" w:fill="ffffff"/>
        <w:widowControl/>
        <w:rPr>
          <w:rFonts w:hint="eastAsia"/>
          <w:spacing w:val="8"/>
          <w:szCs w:val="21"/>
        </w:rPr>
      </w:pPr>
      <w:r>
        <w:rPr>
          <w:rFonts w:hint="eastAsia"/>
          <w:spacing w:val="8"/>
          <w:szCs w:val="21"/>
        </w:rPr>
        <w:t xml:space="preserve">7.3项目联系方式</w:t>
      </w:r>
      <w:r/>
    </w:p>
    <w:p>
      <w:pPr>
        <w:ind w:firstLine="452"/>
        <w:spacing w:line="460" w:lineRule="exact"/>
        <w:shd w:val="clear" w:color="auto" w:fill="ffffff"/>
        <w:widowControl/>
        <w:rPr>
          <w:rFonts w:hint="eastAsia"/>
          <w:spacing w:val="8"/>
          <w:szCs w:val="21"/>
        </w:rPr>
      </w:pPr>
      <w:r>
        <w:rPr>
          <w:rFonts w:hint="eastAsia"/>
          <w:spacing w:val="8"/>
          <w:szCs w:val="21"/>
        </w:rPr>
        <w:t xml:space="preserve">项目联系人：</w:t>
      </w:r>
      <w:r>
        <w:rPr>
          <w:rFonts w:hint="eastAsia"/>
          <w:spacing w:val="8"/>
          <w:szCs w:val="21"/>
          <w:lang w:val="en-US" w:eastAsia="zh-CN"/>
        </w:rPr>
        <w:t xml:space="preserve">王超</w:t>
      </w:r>
      <w:r/>
    </w:p>
    <w:p>
      <w:pPr>
        <w:ind w:firstLine="452"/>
        <w:spacing w:line="460" w:lineRule="exact"/>
        <w:shd w:val="clear" w:color="auto" w:fill="ffffff"/>
        <w:widowControl/>
        <w:rPr>
          <w:rFonts w:hint="eastAsia"/>
          <w:spacing w:val="8"/>
          <w:szCs w:val="21"/>
        </w:rPr>
      </w:pPr>
      <w:r>
        <w:rPr>
          <w:rFonts w:hint="eastAsia"/>
          <w:spacing w:val="8"/>
          <w:szCs w:val="21"/>
        </w:rPr>
        <w:t xml:space="preserve">电话：</w:t>
      </w:r>
      <w:r>
        <w:rPr>
          <w:rFonts w:hint="eastAsia"/>
          <w:spacing w:val="8"/>
          <w:szCs w:val="21"/>
          <w:lang w:val="en-US" w:eastAsia="zh-CN"/>
        </w:rPr>
        <w:t xml:space="preserve">18014812158</w:t>
      </w:r>
      <w:r/>
    </w:p>
    <w:p>
      <w:pPr>
        <w:ind w:firstLine="424"/>
        <w:spacing w:line="460" w:lineRule="exact"/>
        <w:rPr>
          <w:spacing w:val="8"/>
          <w:szCs w:val="21"/>
        </w:rPr>
      </w:pPr>
      <w:r>
        <w:rPr>
          <w:spacing w:val="8"/>
          <w:szCs w:val="21"/>
        </w:rPr>
      </w:r>
      <w:r/>
    </w:p>
    <w:p>
      <w:pPr>
        <w:pStyle w:val="930"/>
        <w:ind w:firstLine="0"/>
        <w:spacing w:line="460" w:lineRule="exact"/>
        <w:rPr>
          <w:spacing w:val="8"/>
          <w:szCs w:val="21"/>
        </w:rPr>
      </w:pPr>
      <w:r>
        <w:rPr>
          <w:spacing w:val="8"/>
          <w:szCs w:val="21"/>
        </w:rPr>
      </w:r>
      <w:r/>
    </w:p>
    <w:p>
      <w:r/>
      <w:bookmarkStart w:id="2" w:name="_Toc7593"/>
      <w:r>
        <w:br w:type="page" w:clear="all"/>
      </w:r>
      <w:r/>
    </w:p>
    <w:p>
      <w:pPr>
        <w:pStyle w:val="814"/>
        <w:numPr>
          <w:ilvl w:val="0"/>
          <w:numId w:val="0"/>
        </w:numPr>
      </w:pPr>
      <w:r>
        <w:t xml:space="preserve">第二章</w:t>
      </w:r>
      <w:bookmarkStart w:id="3" w:name="_Toc452625218"/>
      <w:r>
        <w:rPr>
          <w:rFonts w:hint="eastAsia"/>
        </w:rPr>
        <w:t xml:space="preserve"> </w:t>
      </w:r>
      <w:r>
        <w:t xml:space="preserve">投标人须知</w:t>
      </w:r>
      <w:bookmarkEnd w:id="2"/>
      <w:r/>
      <w:bookmarkEnd w:id="3"/>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4" w:name="_Toc16938519"/>
      <w:r/>
      <w:bookmarkStart w:id="5" w:name="_Toc120614214"/>
      <w:r/>
      <w:bookmarkStart w:id="6" w:name="_Toc20823275"/>
      <w:r/>
      <w:bookmarkStart w:id="7" w:name="_Toc513029203"/>
      <w:r>
        <w:rPr>
          <w:rFonts w:hint="eastAsia" w:ascii="方正黑体_GBK" w:hAnsi="方正黑体_GBK" w:eastAsia="方正黑体_GBK" w:cs="方正黑体_GBK"/>
          <w:b w:val="0"/>
          <w:bCs w:val="0"/>
          <w:color w:val="auto"/>
          <w:sz w:val="21"/>
          <w:szCs w:val="21"/>
        </w:rPr>
        <w:t xml:space="preserve">一、总则</w:t>
      </w:r>
      <w:bookmarkEnd w:id="4"/>
      <w:r/>
      <w:bookmarkEnd w:id="5"/>
      <w:r/>
      <w:bookmarkEnd w:id="6"/>
      <w:r/>
      <w:bookmarkEnd w:id="7"/>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8" w:name="_Hlt16619475"/>
      <w:r/>
      <w:bookmarkEnd w:id="8"/>
      <w:r/>
      <w:bookmarkStart w:id="9" w:name="_Toc458694821"/>
      <w:r/>
      <w:bookmarkStart w:id="10" w:name="_Toc513029204"/>
      <w:r/>
      <w:bookmarkStart w:id="11" w:name="_Toc20823276"/>
      <w:r/>
      <w:bookmarkStart w:id="12" w:name="_Toc16938520"/>
      <w:r>
        <w:rPr>
          <w:rFonts w:hint="eastAsia" w:ascii="方正楷体_GBK" w:hAnsi="方正楷体_GBK" w:eastAsia="方正楷体_GBK" w:cs="方正楷体_GBK"/>
          <w:b/>
          <w:bCs/>
          <w:sz w:val="21"/>
          <w:szCs w:val="21"/>
        </w:rPr>
        <w:t xml:space="preserve">1</w:t>
      </w:r>
      <w:bookmarkEnd w:id="9"/>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招标方式</w:t>
      </w:r>
      <w:bookmarkEnd w:id="10"/>
      <w:r/>
      <w:bookmarkEnd w:id="11"/>
      <w:r/>
      <w:bookmarkEnd w:id="12"/>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 本次招标采取公开招标方式</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本文件仅适用于招标公告中所述项目。</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3" w:name="_Toc20823277"/>
      <w:r/>
      <w:bookmarkStart w:id="14" w:name="_Toc16938521"/>
      <w:r/>
      <w:bookmarkStart w:id="15" w:name="_Toc513029205"/>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合格的投标人</w:t>
      </w:r>
      <w:bookmarkEnd w:id="13"/>
      <w:r/>
      <w:bookmarkEnd w:id="14"/>
      <w:r/>
      <w:bookmarkEnd w:id="15"/>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满足招标公告</w:t>
      </w:r>
      <w:r>
        <w:rPr>
          <w:rFonts w:hint="eastAsia" w:ascii="宋体" w:hAnsi="宋体" w:cs="Times New Roman"/>
          <w:color w:val="auto"/>
          <w:sz w:val="21"/>
          <w:szCs w:val="21"/>
          <w:lang w:val="en-US" w:eastAsia="zh-CN"/>
        </w:rPr>
        <w:t xml:space="preserve">对</w:t>
      </w:r>
      <w:r>
        <w:rPr>
          <w:rFonts w:hint="eastAsia" w:ascii="宋体" w:hAnsi="宋体" w:eastAsia="宋体" w:cs="Times New Roman"/>
          <w:color w:val="auto"/>
          <w:sz w:val="21"/>
          <w:szCs w:val="21"/>
        </w:rPr>
        <w:t xml:space="preserve">供应商资格要求的规定。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2.2 满足</w:t>
      </w:r>
      <w:r>
        <w:rPr>
          <w:rFonts w:hint="eastAsia" w:ascii="宋体" w:hAnsi="宋体" w:eastAsia="宋体" w:cs="Times New Roman"/>
          <w:color w:val="auto"/>
          <w:sz w:val="21"/>
          <w:szCs w:val="21"/>
          <w:lang w:eastAsia="zh-CN"/>
        </w:rPr>
        <w:t xml:space="preserve">招标</w:t>
      </w:r>
      <w:r>
        <w:rPr>
          <w:rFonts w:hint="eastAsia" w:ascii="宋体" w:hAnsi="宋体" w:eastAsia="宋体" w:cs="Times New Roman"/>
          <w:color w:val="auto"/>
          <w:sz w:val="21"/>
          <w:szCs w:val="21"/>
        </w:rPr>
        <w:t xml:space="preserve">文件</w:t>
      </w:r>
      <w:r>
        <w:rPr>
          <w:rFonts w:hint="eastAsia" w:ascii="宋体" w:hAnsi="宋体" w:cs="Times New Roman"/>
          <w:color w:val="auto"/>
          <w:sz w:val="21"/>
          <w:szCs w:val="21"/>
          <w:lang w:val="en-US" w:eastAsia="zh-CN"/>
        </w:rPr>
        <w:t xml:space="preserve">规定的</w:t>
      </w:r>
      <w:r>
        <w:rPr>
          <w:rFonts w:hint="eastAsia" w:ascii="宋体" w:hAnsi="宋体" w:eastAsia="宋体" w:cs="Times New Roman"/>
          <w:color w:val="auto"/>
          <w:sz w:val="21"/>
          <w:szCs w:val="21"/>
        </w:rPr>
        <w:t xml:space="preserve">实质性要求和条件。</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6" w:name="_Toc20823278"/>
      <w:r/>
      <w:bookmarkStart w:id="17" w:name="_Toc16938522"/>
      <w:r/>
      <w:bookmarkStart w:id="18" w:name="_Toc513029206"/>
      <w:r>
        <w:rPr>
          <w:rFonts w:hint="eastAsia" w:ascii="方正楷体_GBK" w:hAnsi="方正楷体_GBK" w:eastAsia="方正楷体_GBK" w:cs="方正楷体_GBK"/>
          <w:b/>
          <w:bCs/>
          <w:sz w:val="21"/>
          <w:szCs w:val="21"/>
        </w:rPr>
        <w:t xml:space="preserve">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适用法律</w:t>
      </w:r>
      <w:bookmarkEnd w:id="16"/>
      <w:r/>
      <w:bookmarkEnd w:id="17"/>
      <w:r/>
      <w:bookmarkEnd w:id="18"/>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3.1 本次招标及由此产生的合同受中华人民共和国有关的法律法规制约和保护。</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9" w:name="_Toc16938523"/>
      <w:r/>
      <w:bookmarkStart w:id="20" w:name="_Toc20823279"/>
      <w:r/>
      <w:bookmarkStart w:id="21" w:name="_Toc513029207"/>
      <w:r/>
      <w:bookmarkStart w:id="22" w:name="_Toc462564067"/>
      <w:r>
        <w:rPr>
          <w:rFonts w:hint="eastAsia" w:ascii="方正楷体_GBK" w:hAnsi="方正楷体_GBK" w:eastAsia="方正楷体_GBK" w:cs="方正楷体_GBK"/>
          <w:b/>
          <w:bCs/>
          <w:sz w:val="21"/>
          <w:szCs w:val="21"/>
        </w:rPr>
        <w:t xml:space="preserve">4</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投标费用</w:t>
      </w:r>
      <w:bookmarkEnd w:id="19"/>
      <w:r/>
      <w:bookmarkEnd w:id="20"/>
      <w:r/>
      <w:bookmarkEnd w:id="21"/>
      <w:r/>
      <w:bookmarkEnd w:id="22"/>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4.1 投标人应自行承担所有与参加投标有关的费用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无论投标过程中的做法和结果如何</w:t>
      </w:r>
      <w:r>
        <w:rPr>
          <w:rFonts w:hint="eastAsia" w:ascii="宋体" w:hAnsi="宋体" w:eastAsia="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在任何情况下均无义务和责任承担这些费用。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4.2 采购代理费参照《招标代理服务费管理暂行办法》（国家发展计划委员会计价格【2002】1980号）基准费率的70%计算。以上费用由中标人支付。</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招标文件的约束力</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5.1 投标人一旦参加本项目采购活动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即被认为接受了本文件的规定和约束。</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23" w:name="_Toc513029209"/>
      <w:r/>
      <w:bookmarkStart w:id="24" w:name="_Toc16938525"/>
      <w:r/>
      <w:bookmarkStart w:id="25" w:name="_Toc120614215"/>
      <w:r/>
      <w:bookmarkStart w:id="26" w:name="_Toc20823281"/>
      <w:r>
        <w:rPr>
          <w:rFonts w:hint="eastAsia" w:ascii="方正黑体_GBK" w:hAnsi="方正黑体_GBK" w:eastAsia="方正黑体_GBK" w:cs="方正黑体_GBK"/>
          <w:b w:val="0"/>
          <w:bCs w:val="0"/>
          <w:color w:val="auto"/>
          <w:sz w:val="21"/>
          <w:szCs w:val="21"/>
        </w:rPr>
        <w:t xml:space="preserve">二、招标文件</w:t>
      </w:r>
      <w:bookmarkEnd w:id="23"/>
      <w:r/>
      <w:bookmarkEnd w:id="24"/>
      <w:r/>
      <w:bookmarkEnd w:id="25"/>
      <w:r/>
      <w:bookmarkEnd w:id="2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27" w:name="_Toc20823282"/>
      <w:r/>
      <w:bookmarkStart w:id="28" w:name="_Toc513029210"/>
      <w:r/>
      <w:bookmarkStart w:id="29" w:name="_Toc16938526"/>
      <w:r>
        <w:rPr>
          <w:rFonts w:hint="eastAsia" w:ascii="方正楷体_GBK" w:hAnsi="方正楷体_GBK" w:eastAsia="方正楷体_GBK" w:cs="方正楷体_GBK"/>
          <w:b/>
          <w:bCs/>
          <w:sz w:val="21"/>
          <w:szCs w:val="21"/>
        </w:rPr>
        <w:t xml:space="preserve">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招标文件构成</w:t>
      </w:r>
      <w:bookmarkEnd w:id="27"/>
      <w:r/>
      <w:bookmarkEnd w:id="28"/>
      <w:r/>
      <w:bookmarkEnd w:id="29"/>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6.1 招标文件由以下部分组成：</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（1）投标邀请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（2）投标人须知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（3）合同文本</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（4）采购需求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（5）评标方法与评标标准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（6）投标文件格式</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投标人应</w:t>
      </w:r>
      <w:r>
        <w:rPr>
          <w:rFonts w:hint="eastAsia" w:ascii="宋体" w:hAnsi="宋体" w:eastAsia="宋体" w:cs="Times New Roman"/>
          <w:color w:val="auto"/>
          <w:sz w:val="21"/>
          <w:szCs w:val="21"/>
        </w:rPr>
        <w:t xml:space="preserve">仔细检查招标文件是否齐全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如有缺漏请立即与</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联系。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并保证所提供的全部资料的真实性</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以使其投标文件对招标文件作出实质性响应</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否则其风险由投标人自行承担。</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30" w:name="_Toc462564070"/>
      <w:r/>
      <w:bookmarkStart w:id="31" w:name="_Toc20823283"/>
      <w:r/>
      <w:bookmarkStart w:id="32" w:name="_Toc513029211"/>
      <w:r/>
      <w:bookmarkStart w:id="33" w:name="_Toc16938527"/>
      <w:r>
        <w:rPr>
          <w:rFonts w:hint="eastAsia" w:ascii="方正楷体_GBK" w:hAnsi="方正楷体_GBK" w:eastAsia="方正楷体_GBK" w:cs="方正楷体_GBK"/>
          <w:b/>
          <w:bCs/>
          <w:sz w:val="21"/>
          <w:szCs w:val="21"/>
        </w:rPr>
        <w:t xml:space="preserve">7</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招标文件的澄清</w:t>
      </w:r>
      <w:bookmarkEnd w:id="30"/>
      <w:r/>
      <w:bookmarkEnd w:id="31"/>
      <w:r/>
      <w:bookmarkEnd w:id="32"/>
      <w:r/>
      <w:bookmarkEnd w:id="33"/>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任何要求对招标文件进行澄清的投标人</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应在投标截止期十日前按招标公告中的通讯地址</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以书面形式通知</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34" w:name="_Toc20823284"/>
      <w:r/>
      <w:bookmarkStart w:id="35" w:name="_Toc16938528"/>
      <w:r/>
      <w:bookmarkStart w:id="36" w:name="_Toc513029212"/>
      <w:r/>
      <w:bookmarkStart w:id="37" w:name="_Toc462564071"/>
      <w:r>
        <w:rPr>
          <w:rFonts w:hint="eastAsia" w:ascii="方正楷体_GBK" w:hAnsi="方正楷体_GBK" w:eastAsia="方正楷体_GBK" w:cs="方正楷体_GBK"/>
          <w:b/>
          <w:bCs/>
          <w:sz w:val="21"/>
          <w:szCs w:val="21"/>
        </w:rPr>
        <w:t xml:space="preserve">8</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招标文件的修改</w:t>
      </w:r>
      <w:bookmarkEnd w:id="34"/>
      <w:r/>
      <w:bookmarkEnd w:id="35"/>
      <w:r/>
      <w:bookmarkEnd w:id="36"/>
      <w:r/>
      <w:bookmarkEnd w:id="37"/>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bookmarkStart w:id="38" w:name="_Toc16938529"/>
      <w:r/>
      <w:bookmarkStart w:id="39" w:name="_Toc513029213"/>
      <w:r/>
      <w:bookmarkStart w:id="40" w:name="_Toc20823285"/>
      <w:r/>
      <w:bookmarkStart w:id="41" w:name="_Toc120614216"/>
      <w:r/>
      <w:bookmarkStart w:id="42" w:name="_Toc462564072"/>
      <w:r>
        <w:rPr>
          <w:rFonts w:hint="eastAsia" w:ascii="宋体" w:hAnsi="宋体" w:eastAsia="宋体" w:cs="Times New Roman"/>
          <w:color w:val="auto"/>
          <w:sz w:val="21"/>
          <w:szCs w:val="21"/>
        </w:rPr>
        <w:t xml:space="preserve">8.1 在投标截止时间前</w:t>
      </w:r>
      <w:r>
        <w:rPr>
          <w:rFonts w:hint="eastAsia" w:ascii="宋体" w:hAnsi="宋体" w:eastAsia="宋体" w:cs="Times New Roman"/>
          <w:color w:val="auto"/>
          <w:sz w:val="21"/>
          <w:szCs w:val="21"/>
          <w:lang w:eastAsia="zh-CN"/>
        </w:rPr>
        <w:t xml:space="preserve">，</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可以对招标文件进行修改。招标文件的修改将在原公告媒体发布更正公告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更正内容将作为招标文件的组成部分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并对投标人具有约束力。</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投标人应在提交投标文件截止时间前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关注原公告媒体有关本项目的更正公告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根据更正公告内容自行决定是否需要重新制作和提交投标文件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并承担由此产生的相应责任。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8.3</w:t>
      </w:r>
      <w:r>
        <w:rPr>
          <w:rFonts w:hint="eastAsia" w:ascii="宋体" w:hAnsi="宋体" w:eastAsia="宋体" w:cs="Times New Roman"/>
          <w:color w:val="auto"/>
          <w:sz w:val="21"/>
          <w:szCs w:val="21"/>
          <w:lang w:val="en-US" w:eastAsia="zh-CN"/>
        </w:rPr>
        <w:t xml:space="preserve"> </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有权按照法定的要求推迟投标截止日期和开标日期</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并在原公告媒体发布更正公告。</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rPr>
          <w:rFonts w:hint="eastAsia" w:ascii="方正黑体_GBK" w:hAnsi="方正黑体_GBK" w:eastAsia="方正黑体_GBK" w:cs="方正黑体_GBK"/>
          <w:b w:val="0"/>
          <w:bCs w:val="0"/>
          <w:color w:val="auto"/>
          <w:sz w:val="21"/>
          <w:szCs w:val="21"/>
        </w:rPr>
        <w:t xml:space="preserve">三、投标文件的编制</w:t>
      </w:r>
      <w:bookmarkEnd w:id="38"/>
      <w:r/>
      <w:bookmarkEnd w:id="39"/>
      <w:r/>
      <w:bookmarkEnd w:id="40"/>
      <w:r/>
      <w:bookmarkEnd w:id="41"/>
      <w:r/>
      <w:bookmarkEnd w:id="42"/>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43" w:name="_Toc513029214"/>
      <w:r/>
      <w:bookmarkStart w:id="44" w:name="_Toc16938530"/>
      <w:r/>
      <w:bookmarkStart w:id="45" w:name="_Toc20823286"/>
      <w:r/>
      <w:bookmarkStart w:id="46" w:name="_Toc462564073"/>
      <w:r>
        <w:rPr>
          <w:rFonts w:hint="eastAsia" w:ascii="方正楷体_GBK" w:hAnsi="方正楷体_GBK" w:eastAsia="方正楷体_GBK" w:cs="方正楷体_GBK"/>
          <w:b/>
          <w:bCs/>
          <w:sz w:val="21"/>
          <w:szCs w:val="21"/>
        </w:rPr>
        <w:t xml:space="preserve">9</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投标文件的语言及度量衡单位</w:t>
      </w:r>
      <w:bookmarkEnd w:id="43"/>
      <w:r/>
      <w:bookmarkEnd w:id="44"/>
      <w:r/>
      <w:bookmarkEnd w:id="45"/>
      <w:r/>
      <w:bookmarkEnd w:id="46"/>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9.1 投标人提交的投标文件以及投标人与</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就有关投标的所有来往通知、函件和文件均应使用简体中文。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投标文件所使用的度量衡单位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均须采用国家法定计量单位。</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47" w:name="_Toc513029215"/>
      <w:r/>
      <w:bookmarkStart w:id="48" w:name="_Toc20823287"/>
      <w:r/>
      <w:bookmarkStart w:id="49" w:name="_Toc16938531"/>
      <w:r/>
      <w:bookmarkStart w:id="50" w:name="_Toc462564074"/>
      <w:r>
        <w:rPr>
          <w:rFonts w:hint="eastAsia" w:ascii="方正楷体_GBK" w:hAnsi="方正楷体_GBK" w:eastAsia="方正楷体_GBK" w:cs="方正楷体_GBK"/>
          <w:b/>
          <w:bCs/>
          <w:sz w:val="21"/>
          <w:szCs w:val="21"/>
        </w:rPr>
        <w:t xml:space="preserve">10</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投标文件构成</w:t>
      </w:r>
      <w:bookmarkEnd w:id="47"/>
      <w:r/>
      <w:bookmarkEnd w:id="48"/>
      <w:r/>
      <w:bookmarkEnd w:id="49"/>
      <w:r/>
      <w:bookmarkEnd w:id="50"/>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10.1 投标人编写的投标文件应包括资格证明文件、符合性证明文件、</w:t>
      </w:r>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rPr>
        <w:t xml:space="preserve">、响应及偏离表、其他证明文件、投标函、开标一览表等部分。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10.2 如标书制作工具中格式和内容与“江苏政府采购网”发布的招标文件不一致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以“江苏政府采购网”发布的招标文件为准。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51" w:name="_Hlt26670360"/>
      <w:r/>
      <w:bookmarkEnd w:id="51"/>
      <w:r/>
      <w:bookmarkStart w:id="52" w:name="_Hlt26954838"/>
      <w:r/>
      <w:bookmarkEnd w:id="52"/>
      <w:r/>
      <w:bookmarkStart w:id="53" w:name="_Hlt26668975"/>
      <w:r/>
      <w:bookmarkEnd w:id="53"/>
      <w:r/>
      <w:bookmarkStart w:id="54" w:name="_Toc513029216"/>
      <w:r/>
      <w:bookmarkStart w:id="55" w:name="_Toc49090507"/>
      <w:r/>
      <w:bookmarkStart w:id="56" w:name="_Toc14577354"/>
      <w:r/>
      <w:bookmarkStart w:id="57" w:name="_Toc513029219"/>
      <w:r/>
      <w:bookmarkStart w:id="58" w:name="_Toc49090509"/>
      <w:r/>
      <w:bookmarkStart w:id="59" w:name="_Toc14577357"/>
      <w:r>
        <w:rPr>
          <w:rFonts w:hint="eastAsia" w:ascii="方正楷体_GBK" w:hAnsi="方正楷体_GBK" w:eastAsia="方正楷体_GBK" w:cs="方正楷体_GBK"/>
          <w:b/>
          <w:bCs/>
          <w:sz w:val="21"/>
          <w:szCs w:val="21"/>
        </w:rPr>
        <w:t xml:space="preserve">11</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证明投标人及投标标的符合招标文件规定的文件</w:t>
      </w:r>
      <w:bookmarkEnd w:id="54"/>
      <w:r/>
      <w:bookmarkEnd w:id="55"/>
      <w:r/>
      <w:bookmarkEnd w:id="56"/>
      <w:r/>
      <w:bookmarkEnd w:id="57"/>
      <w:r/>
      <w:bookmarkEnd w:id="58"/>
      <w:r/>
      <w:bookmarkEnd w:id="59"/>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bookmarkStart w:id="60" w:name="_Toc14577355"/>
      <w:r/>
      <w:bookmarkStart w:id="61" w:name="_Toc49090508"/>
      <w:r>
        <w:rPr>
          <w:rFonts w:hint="eastAsia" w:ascii="宋体" w:hAnsi="宋体" w:eastAsia="宋体" w:cs="Times New Roman"/>
          <w:color w:val="auto"/>
          <w:sz w:val="21"/>
          <w:szCs w:val="21"/>
        </w:rPr>
        <w:t xml:space="preserve">11.1 投标人应按照法律、法规、规章和规范性文件以及招标文件要求提交证明文件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证明其投标标的符合招标文件规定。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招标文件对证明文件无明确形式要求的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证明文件可以以文字资料、图纸和数据等形式提交。</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12</w:t>
      </w:r>
      <w:bookmarkEnd w:id="60"/>
      <w:r/>
      <w:bookmarkEnd w:id="61"/>
      <w:r>
        <w:rPr>
          <w:rFonts w:hint="eastAsia" w:ascii="方正楷体_GBK" w:hAnsi="方正楷体_GBK" w:eastAsia="方正楷体_GBK" w:cs="方正楷体_GBK"/>
          <w:b/>
          <w:bCs/>
          <w:sz w:val="21"/>
          <w:szCs w:val="21"/>
          <w:lang w:val="en-US" w:eastAsia="zh-CN"/>
        </w:rPr>
        <w:t xml:space="preserve">.投标分项报价表</w:t>
      </w:r>
      <w:r>
        <w:rPr>
          <w:rFonts w:hint="eastAsia" w:ascii="方正楷体_GBK" w:hAnsi="方正楷体_GBK" w:eastAsia="方正楷体_GBK" w:cs="方正楷体_GBK"/>
          <w:b/>
          <w:bCs/>
          <w:color w:val="auto"/>
          <w:sz w:val="21"/>
          <w:szCs w:val="21"/>
          <w:lang w:val="en-US" w:eastAsia="zh-CN"/>
        </w:rPr>
        <w:t xml:space="preserve">（如有）</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12.1 投</w:t>
      </w:r>
      <w:bookmarkStart w:id="62" w:name="_Hlt26954840"/>
      <w:r/>
      <w:bookmarkEnd w:id="62"/>
      <w:r>
        <w:rPr>
          <w:rFonts w:hint="eastAsia" w:ascii="宋体" w:hAnsi="宋体" w:eastAsia="宋体" w:cs="Times New Roman"/>
          <w:color w:val="auto"/>
          <w:sz w:val="21"/>
          <w:szCs w:val="21"/>
        </w:rPr>
        <w:t xml:space="preserve">标人应按照招标文件规定格式填报</w:t>
      </w:r>
      <w:bookmarkStart w:id="63" w:name="_Hlt26670399"/>
      <w:r/>
      <w:bookmarkEnd w:id="63"/>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投标文件中的单价和总价无特殊规定的采用人民币报价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以元为单位标注。招标文件另有规定的按规定执行。</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64" w:name="_Hlt26954848"/>
      <w:r/>
      <w:bookmarkEnd w:id="64"/>
      <w:r/>
      <w:bookmarkStart w:id="65" w:name="_Hlt26668983"/>
      <w:r/>
      <w:bookmarkEnd w:id="65"/>
      <w:r/>
      <w:bookmarkStart w:id="66" w:name="_Hlt26954731"/>
      <w:r/>
      <w:bookmarkEnd w:id="66"/>
      <w:r/>
      <w:bookmarkStart w:id="67" w:name="_Hlt26954842"/>
      <w:r/>
      <w:bookmarkEnd w:id="67"/>
      <w:r/>
      <w:bookmarkStart w:id="68" w:name="_Hlt26670425"/>
      <w:r/>
      <w:bookmarkEnd w:id="68"/>
      <w:r/>
      <w:bookmarkStart w:id="69" w:name="_Hlt26670403"/>
      <w:r/>
      <w:bookmarkEnd w:id="69"/>
      <w:r/>
      <w:bookmarkStart w:id="70" w:name="_Hlt26670482"/>
      <w:r/>
      <w:bookmarkEnd w:id="70"/>
      <w:r/>
      <w:bookmarkStart w:id="71" w:name="_Hlt26670486"/>
      <w:r/>
      <w:bookmarkEnd w:id="71"/>
      <w:r/>
      <w:bookmarkStart w:id="72" w:name="_Hlt26954846"/>
      <w:r/>
      <w:bookmarkEnd w:id="72"/>
      <w:r/>
      <w:bookmarkStart w:id="73" w:name="_Hlt26954844"/>
      <w:r/>
      <w:bookmarkEnd w:id="73"/>
      <w:r>
        <w:rPr>
          <w:rFonts w:hint="eastAsia" w:ascii="方正楷体_GBK" w:hAnsi="方正楷体_GBK" w:eastAsia="方正楷体_GBK" w:cs="方正楷体_GBK"/>
          <w:b/>
          <w:bCs/>
          <w:sz w:val="21"/>
          <w:szCs w:val="21"/>
        </w:rPr>
        <w:t xml:space="preserve">13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响应及偏离表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13.1 投标人需对招标文件中的技术要求与商务要求逐项作出响应</w:t>
      </w:r>
      <w:r>
        <w:rPr>
          <w:rFonts w:hint="eastAsia" w:ascii="宋体" w:hAnsi="宋体" w:cs="Times New Roman"/>
          <w:color w:val="auto"/>
          <w:sz w:val="21"/>
          <w:szCs w:val="21"/>
          <w:lang w:val="en-US" w:eastAsia="zh-CN"/>
        </w:rPr>
        <w:t xml:space="preserve">或</w:t>
      </w:r>
      <w:r>
        <w:rPr>
          <w:rFonts w:hint="eastAsia" w:ascii="宋体" w:hAnsi="宋体" w:eastAsia="宋体" w:cs="Times New Roman"/>
          <w:color w:val="auto"/>
          <w:sz w:val="21"/>
          <w:szCs w:val="21"/>
          <w:lang w:val="zh-CN"/>
        </w:rPr>
        <w:t xml:space="preserve">偏离说明。</w:t>
      </w:r>
      <w:r/>
    </w:p>
    <w:p>
      <w:pPr>
        <w:ind w:firstLine="420"/>
        <w:keepLines w:val="0"/>
        <w:keepNext w:val="0"/>
        <w:pageBreakBefore w:val="0"/>
        <w:spacing w:line="400" w:lineRule="exact"/>
        <w:widowControl w:val="off"/>
        <w:rPr>
          <w:rFonts w:hint="eastAsia" w:ascii="宋体" w:hAnsi="宋体" w:eastAsia="宋体" w:cs="Times New Roman"/>
          <w:sz w:val="21"/>
          <w:szCs w:val="21"/>
          <w:lang w:val="zh-CN"/>
        </w:rPr>
      </w:pPr>
      <w:r>
        <w:rPr>
          <w:rFonts w:hint="eastAsia" w:ascii="宋体" w:hAnsi="宋体" w:eastAsia="宋体" w:cs="Times New Roman"/>
          <w:color w:val="auto"/>
          <w:sz w:val="21"/>
          <w:szCs w:val="21"/>
          <w:lang w:val="zh-CN"/>
        </w:rPr>
        <w:t xml:space="preserve">13.2 投标人可以在投标文件中提供认为需要的其他技术文件或说明。</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74" w:name="_Toc49090510"/>
      <w:r/>
      <w:bookmarkStart w:id="75" w:name="_Toc14577359"/>
      <w:r>
        <w:rPr>
          <w:rFonts w:hint="eastAsia" w:ascii="方正楷体_GBK" w:hAnsi="方正楷体_GBK" w:eastAsia="方正楷体_GBK" w:cs="方正楷体_GBK"/>
          <w:b/>
          <w:bCs/>
          <w:sz w:val="21"/>
          <w:szCs w:val="21"/>
        </w:rPr>
        <w:t xml:space="preserve">14</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投标函和开标一览表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14.1 投标人应按照招标文件规定格式完整、正确填报投标函、开标一览表。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14.2 对于采用货币报价的项目，开标一览表中的投标总报价应与</w:t>
      </w:r>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lang w:val="zh-CN"/>
        </w:rPr>
        <w:t xml:space="preserve">中的投标总报价一致，如不一致评标时以开标一览表中价格为准。</w:t>
      </w:r>
      <w:bookmarkEnd w:id="74"/>
      <w:r/>
      <w:bookmarkEnd w:id="75"/>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76" w:name="_Hlt26954734"/>
      <w:r/>
      <w:bookmarkEnd w:id="76"/>
      <w:r/>
      <w:bookmarkStart w:id="77" w:name="_Hlt26670489"/>
      <w:r/>
      <w:bookmarkEnd w:id="77"/>
      <w:r/>
      <w:bookmarkStart w:id="78" w:name="_Hlt26954850"/>
      <w:r/>
      <w:bookmarkEnd w:id="78"/>
      <w:r/>
      <w:bookmarkStart w:id="79" w:name="_Toc49090511"/>
      <w:r/>
      <w:bookmarkStart w:id="80" w:name="_Toc14577360"/>
      <w:r>
        <w:rPr>
          <w:rFonts w:hint="eastAsia" w:ascii="方正楷体_GBK" w:hAnsi="方正楷体_GBK" w:eastAsia="方正楷体_GBK" w:cs="方正楷体_GBK"/>
          <w:b/>
          <w:bCs/>
          <w:sz w:val="21"/>
          <w:szCs w:val="21"/>
        </w:rPr>
        <w:t xml:space="preserve">15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投标有效期</w:t>
      </w:r>
      <w:bookmarkEnd w:id="79"/>
      <w:r/>
      <w:bookmarkEnd w:id="80"/>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15.1 投标有效期为</w:t>
      </w:r>
      <w:r>
        <w:rPr>
          <w:rFonts w:hint="eastAsia" w:ascii="宋体" w:hAnsi="宋体" w:cs="Times New Roman"/>
          <w:color w:val="auto"/>
          <w:sz w:val="21"/>
          <w:szCs w:val="21"/>
          <w:lang w:val="zh-CN" w:eastAsia="zh-CN"/>
        </w:rPr>
        <w:t xml:space="preserve">招标公告</w:t>
      </w:r>
      <w:r>
        <w:rPr>
          <w:rFonts w:hint="eastAsia" w:ascii="宋体" w:hAnsi="宋体" w:eastAsia="宋体" w:cs="Times New Roman"/>
          <w:color w:val="auto"/>
          <w:sz w:val="21"/>
          <w:szCs w:val="21"/>
          <w:lang w:val="zh-CN"/>
        </w:rPr>
        <w:t xml:space="preserve">规定的开标之日</w:t>
      </w:r>
      <w:r>
        <w:rPr>
          <w:rFonts w:hint="eastAsia" w:ascii="宋体" w:hAnsi="宋体" w:cs="Times New Roman"/>
          <w:color w:val="auto"/>
          <w:sz w:val="21"/>
          <w:szCs w:val="21"/>
          <w:lang w:val="zh-CN"/>
        </w:rPr>
        <w:t xml:space="preserve">起</w:t>
      </w:r>
      <w:r>
        <w:rPr>
          <w:rFonts w:hint="eastAsia" w:ascii="宋体" w:hAnsi="宋体" w:eastAsia="宋体" w:cs="Times New Roman"/>
          <w:color w:val="auto"/>
          <w:sz w:val="21"/>
          <w:szCs w:val="21"/>
          <w:lang w:val="zh-CN"/>
        </w:rPr>
        <w:t xml:space="preserve">六十天。投标有效期比规定短的将被视为未实质性响应招标文件而</w:t>
      </w:r>
      <w:r>
        <w:rPr>
          <w:rFonts w:hint="eastAsia" w:ascii="宋体" w:hAnsi="宋体" w:cs="Times New Roman"/>
          <w:color w:val="auto"/>
          <w:sz w:val="21"/>
          <w:szCs w:val="21"/>
          <w:lang w:val="zh-CN"/>
        </w:rPr>
        <w:t xml:space="preserve">被</w:t>
      </w:r>
      <w:r>
        <w:rPr>
          <w:rFonts w:hint="eastAsia" w:ascii="宋体" w:hAnsi="宋体" w:eastAsia="宋体" w:cs="Times New Roman"/>
          <w:color w:val="auto"/>
          <w:sz w:val="21"/>
          <w:szCs w:val="21"/>
          <w:lang w:val="zh-CN"/>
        </w:rPr>
        <w:t xml:space="preserve">拒绝。</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16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投标有效期的延长</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16.1 在特殊情况下，</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于原投标有效期满之前，可向投标人提出延长投标有效期的要求。这种要求与答复均应采用书面形式。投标人可以拒绝</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1"/>
          <w:szCs w:val="21"/>
          <w:lang w:val="zh-CN" w:eastAsia="zh-CN"/>
        </w:rPr>
        <w:t xml:space="preserve">满</w:t>
      </w:r>
      <w:r>
        <w:rPr>
          <w:rFonts w:hint="eastAsia" w:ascii="宋体" w:hAnsi="宋体" w:eastAsia="宋体" w:cs="Times New Roman"/>
          <w:color w:val="auto"/>
          <w:sz w:val="21"/>
          <w:szCs w:val="21"/>
          <w:lang w:val="zh-CN"/>
        </w:rPr>
        <w:t xml:space="preserve">。</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81" w:name="_Hlt26954739"/>
      <w:r/>
      <w:bookmarkEnd w:id="81"/>
      <w:r/>
      <w:bookmarkStart w:id="82" w:name="_Hlt26954852"/>
      <w:r/>
      <w:bookmarkEnd w:id="82"/>
      <w:r/>
      <w:bookmarkStart w:id="83" w:name="_Toc20823296"/>
      <w:r/>
      <w:bookmarkStart w:id="84" w:name="_Toc513029224"/>
      <w:r/>
      <w:bookmarkStart w:id="85" w:name="_Toc120614217"/>
      <w:r/>
      <w:bookmarkStart w:id="86" w:name="_Toc16938540"/>
      <w:r/>
      <w:bookmarkStart w:id="87" w:name="_Toc513029237"/>
      <w:r/>
      <w:bookmarkStart w:id="88" w:name="_Toc16938553"/>
      <w:r/>
      <w:bookmarkStart w:id="89" w:name="_Toc20823309"/>
      <w:r>
        <w:rPr>
          <w:rFonts w:hint="eastAsia" w:ascii="方正黑体_GBK" w:hAnsi="方正黑体_GBK" w:eastAsia="方正黑体_GBK" w:cs="方正黑体_GBK"/>
          <w:b w:val="0"/>
          <w:bCs w:val="0"/>
          <w:color w:val="auto"/>
          <w:sz w:val="21"/>
          <w:szCs w:val="21"/>
        </w:rPr>
        <w:t xml:space="preserve">四、投标文件的递交</w:t>
      </w:r>
      <w:bookmarkEnd w:id="83"/>
      <w:r/>
      <w:bookmarkEnd w:id="84"/>
      <w:r/>
      <w:bookmarkEnd w:id="85"/>
      <w:r/>
      <w:bookmarkEnd w:id="8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90" w:name="_Toc16938541"/>
      <w:r/>
      <w:bookmarkStart w:id="91" w:name="_Toc20823297"/>
      <w:r/>
      <w:bookmarkStart w:id="92" w:name="_Toc462564084"/>
      <w:r/>
      <w:bookmarkStart w:id="93" w:name="_Toc513029225"/>
      <w:r>
        <w:rPr>
          <w:rFonts w:hint="eastAsia" w:ascii="方正楷体_GBK" w:hAnsi="方正楷体_GBK" w:eastAsia="方正楷体_GBK" w:cs="方正楷体_GBK"/>
          <w:b/>
          <w:bCs/>
          <w:sz w:val="21"/>
          <w:szCs w:val="21"/>
        </w:rPr>
        <w:t xml:space="preserve">17</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w:t>
      </w:r>
      <w:bookmarkEnd w:id="90"/>
      <w:r/>
      <w:bookmarkEnd w:id="91"/>
      <w:r/>
      <w:bookmarkEnd w:id="92"/>
      <w:r/>
      <w:bookmarkEnd w:id="93"/>
      <w:r>
        <w:rPr>
          <w:rFonts w:hint="eastAsia" w:ascii="方正楷体_GBK" w:hAnsi="方正楷体_GBK" w:eastAsia="方正楷体_GBK" w:cs="方正楷体_GBK"/>
          <w:b/>
          <w:bCs/>
          <w:sz w:val="21"/>
          <w:szCs w:val="21"/>
        </w:rPr>
        <w:t xml:space="preserve">的递交</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17.1 投标人应当按照《操作手册》规定，在招标公告规定的投标截止时间前制作并上传电子投标文件。</w:t>
      </w:r>
      <w:bookmarkStart w:id="94" w:name="_Toc20823298"/>
      <w:r/>
      <w:bookmarkEnd w:id="94"/>
      <w:r/>
      <w:bookmarkStart w:id="95" w:name="_Toc16938542"/>
      <w:r/>
      <w:bookmarkEnd w:id="95"/>
      <w:r/>
      <w:bookmarkStart w:id="96" w:name="_Toc513029226"/>
      <w:r/>
      <w:bookmarkEnd w:id="96"/>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 投标人应充分考虑网络环境、网络带宽等因素</w:t>
      </w:r>
      <w:r>
        <w:rPr>
          <w:rFonts w:hint="eastAsia" w:ascii="宋体" w:hAnsi="宋体" w:eastAsia="宋体" w:cs="Times New Roman"/>
          <w:color w:val="auto"/>
          <w:sz w:val="21"/>
          <w:szCs w:val="21"/>
          <w:lang w:val="en-US" w:eastAsia="zh-CN"/>
        </w:rPr>
        <w:t xml:space="preserve">可能对投标产生的影响</w:t>
      </w:r>
      <w:r>
        <w:rPr>
          <w:rFonts w:hint="eastAsia" w:ascii="宋体" w:hAnsi="宋体" w:eastAsia="宋体" w:cs="Times New Roman"/>
          <w:color w:val="auto"/>
          <w:sz w:val="21"/>
          <w:szCs w:val="21"/>
          <w:lang w:val="zh-CN"/>
        </w:rPr>
        <w:t xml:space="preserve">，如因投标人自身原因造成的电子投标文件上传不成功的，按照本招标文件第二章第2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.1条规定做无效投标处理。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可以按照规定，通过修改招标文件酌情延长投标截止时间，在此情况下，投标人的所有权利和义务均以延长后新的截止时间为准。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97" w:name="_Toc20823299"/>
      <w:r/>
      <w:bookmarkStart w:id="98" w:name="_Toc16938543"/>
      <w:r/>
      <w:bookmarkStart w:id="99" w:name="_Toc513029227"/>
      <w:r>
        <w:rPr>
          <w:rFonts w:hint="eastAsia" w:ascii="方正楷体_GBK" w:hAnsi="方正楷体_GBK" w:eastAsia="方正楷体_GBK" w:cs="方正楷体_GBK"/>
          <w:b/>
          <w:bCs/>
          <w:sz w:val="21"/>
          <w:szCs w:val="21"/>
        </w:rPr>
        <w:t xml:space="preserve">1</w:t>
      </w:r>
      <w:r>
        <w:rPr>
          <w:rFonts w:hint="eastAsia" w:ascii="方正楷体_GBK" w:hAnsi="方正楷体_GBK" w:eastAsia="方正楷体_GBK" w:cs="方正楷体_GBK"/>
          <w:b/>
          <w:bCs/>
          <w:sz w:val="21"/>
          <w:szCs w:val="21"/>
          <w:lang w:eastAsia="zh-CN"/>
        </w:rPr>
        <w:t xml:space="preserve">8</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w:t>
      </w:r>
      <w:bookmarkEnd w:id="97"/>
      <w:r/>
      <w:bookmarkEnd w:id="98"/>
      <w:r/>
      <w:bookmarkEnd w:id="99"/>
      <w:r>
        <w:rPr>
          <w:rFonts w:hint="eastAsia" w:ascii="方正楷体_GBK" w:hAnsi="方正楷体_GBK" w:eastAsia="方正楷体_GBK" w:cs="方正楷体_GBK"/>
          <w:b/>
          <w:bCs/>
          <w:sz w:val="21"/>
          <w:szCs w:val="21"/>
        </w:rPr>
        <w:t xml:space="preserve">的拒收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投标截止时间后上传的任何投标文件将被拒绝。</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00" w:name="_Toc16938544"/>
      <w:r/>
      <w:bookmarkStart w:id="101" w:name="_Toc20823300"/>
      <w:r/>
      <w:bookmarkStart w:id="102" w:name="_Toc513029228"/>
      <w:r>
        <w:rPr>
          <w:rFonts w:hint="eastAsia" w:ascii="方正楷体_GBK" w:hAnsi="方正楷体_GBK" w:eastAsia="方正楷体_GBK" w:cs="方正楷体_GBK"/>
          <w:b/>
          <w:bCs/>
          <w:sz w:val="21"/>
          <w:szCs w:val="21"/>
          <w:lang w:eastAsia="zh-CN"/>
        </w:rPr>
        <w:t xml:space="preserve">1</w:t>
      </w:r>
      <w:r>
        <w:rPr>
          <w:rFonts w:hint="eastAsia" w:ascii="方正楷体_GBK" w:hAnsi="方正楷体_GBK" w:eastAsia="方正楷体_GBK" w:cs="方正楷体_GBK"/>
          <w:b/>
          <w:bCs/>
          <w:sz w:val="21"/>
          <w:szCs w:val="21"/>
          <w:lang w:val="en-US" w:eastAsia="zh-CN"/>
        </w:rPr>
        <w:t xml:space="preserve">9.</w:t>
      </w:r>
      <w:r>
        <w:rPr>
          <w:rFonts w:hint="eastAsia" w:ascii="方正楷体_GBK" w:hAnsi="方正楷体_GBK" w:eastAsia="方正楷体_GBK" w:cs="方正楷体_GBK"/>
          <w:b/>
          <w:bCs/>
          <w:sz w:val="21"/>
          <w:szCs w:val="21"/>
        </w:rPr>
        <w:t xml:space="preserve">投标文件的撤回和修改</w:t>
      </w:r>
      <w:bookmarkEnd w:id="100"/>
      <w:r/>
      <w:bookmarkEnd w:id="101"/>
      <w:r/>
      <w:bookmarkEnd w:id="102"/>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 投标文件的撤回</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投标人可在投标截止时间前撤回其电子投标文件，具体操作方法见《操作手册》。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 投标文件的修改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投标人可在投标截止时间前对其电子投标文件进行修改，具体操作方法见《操作手册》。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投标截止时间之后，投标人不得对其电子投标文件作任何修改。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.3 在投标截止时间至招标文件中规定的投标有效期满之间的这段时间内，投标人不得撤回其投标。</w:t>
      </w:r>
      <w:bookmarkStart w:id="103" w:name="_Toc16938545"/>
      <w:r/>
      <w:bookmarkStart w:id="104" w:name="_Toc20823301"/>
      <w:r/>
      <w:bookmarkStart w:id="105" w:name="_Toc120614218"/>
      <w:r/>
      <w:bookmarkStart w:id="106" w:name="_Toc513029229"/>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rPr>
          <w:rFonts w:hint="eastAsia" w:ascii="方正黑体_GBK" w:hAnsi="方正黑体_GBK" w:eastAsia="方正黑体_GBK" w:cs="方正黑体_GBK"/>
          <w:b w:val="0"/>
          <w:bCs w:val="0"/>
          <w:color w:val="auto"/>
          <w:sz w:val="21"/>
          <w:szCs w:val="21"/>
        </w:rPr>
        <w:t xml:space="preserve">五、开标与评标</w:t>
      </w:r>
      <w:bookmarkEnd w:id="103"/>
      <w:r/>
      <w:bookmarkEnd w:id="104"/>
      <w:r/>
      <w:bookmarkEnd w:id="105"/>
      <w:r/>
      <w:bookmarkEnd w:id="10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07" w:name="_Toc20823302"/>
      <w:r/>
      <w:bookmarkStart w:id="108" w:name="_Toc513029230"/>
      <w:r/>
      <w:bookmarkStart w:id="109" w:name="_Toc16938546"/>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0</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开标</w:t>
      </w:r>
      <w:bookmarkEnd w:id="107"/>
      <w:r/>
      <w:bookmarkEnd w:id="108"/>
      <w:r/>
      <w:bookmarkEnd w:id="109"/>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.1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2 </w:t>
      </w:r>
      <w:r>
        <w:rPr>
          <w:rFonts w:hint="eastAsia" w:ascii="宋体" w:hAnsi="宋体" w:eastAsia="宋体" w:cs="Times New Roman"/>
          <w:color w:val="auto"/>
          <w:sz w:val="21"/>
          <w:szCs w:val="21"/>
          <w:lang w:val="zh-CN"/>
        </w:rPr>
        <w:t xml:space="preserve">投标人在开标过程中涉及到的投标文件解密、开标结果确认等工作，应按照《操作手册》规定执行。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3 </w:t>
      </w:r>
      <w:r>
        <w:rPr>
          <w:rFonts w:hint="eastAsia" w:ascii="宋体" w:hAnsi="宋体" w:eastAsia="宋体" w:cs="Times New Roman"/>
          <w:color w:val="auto"/>
          <w:sz w:val="21"/>
          <w:szCs w:val="21"/>
          <w:lang w:val="zh-CN"/>
        </w:rPr>
        <w:t xml:space="preserve">投标人如果对开标过程和开标结果有疑义，应当根据《操作手册》规定提出，苏采云系统中《开标记录表》公布后5分钟内未提出的，视同认可开标结果。</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10" w:name="_Toc16938547"/>
      <w:r/>
      <w:bookmarkStart w:id="111" w:name="_Toc513029231"/>
      <w:r/>
      <w:bookmarkStart w:id="112" w:name="_Toc20823303"/>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1</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评标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.1 </w:t>
      </w:r>
      <w:r>
        <w:rPr>
          <w:rFonts w:hint="eastAsia" w:ascii="宋体" w:hAnsi="宋体" w:eastAsia="宋体" w:cs="Times New Roman"/>
          <w:color w:val="auto"/>
          <w:sz w:val="21"/>
          <w:szCs w:val="21"/>
          <w:lang w:val="en-US" w:eastAsia="zh-CN"/>
        </w:rPr>
        <w:t xml:space="preserve">评标由</w:t>
      </w:r>
      <w:r>
        <w:rPr>
          <w:rFonts w:hint="eastAsia" w:ascii="宋体" w:hAnsi="宋体" w:eastAsia="宋体" w:cs="Times New Roman"/>
          <w:color w:val="auto"/>
          <w:sz w:val="21"/>
          <w:szCs w:val="21"/>
          <w:lang w:val="zh-CN" w:eastAsia="zh-CN"/>
        </w:rPr>
        <w:t xml:space="preserve">依法组建的</w:t>
      </w:r>
      <w:r>
        <w:rPr>
          <w:rFonts w:hint="eastAsia" w:ascii="宋体" w:hAnsi="宋体" w:eastAsia="宋体" w:cs="Times New Roman"/>
          <w:color w:val="auto"/>
          <w:sz w:val="21"/>
          <w:szCs w:val="21"/>
          <w:lang w:val="zh-CN"/>
        </w:rPr>
        <w:t xml:space="preserve">评标委员会（以下简称“评委会”）进行。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.2 评委会由采购人代表和有关技术、经济或法律等方面的专家组成，且人员构成符合政府采购有关规定。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评委会独立工作，负责评审所有投标文件并</w:t>
      </w:r>
      <w:r>
        <w:rPr>
          <w:rFonts w:hint="eastAsia" w:ascii="宋体" w:hAnsi="宋体" w:cs="Times New Roman"/>
          <w:color w:val="auto"/>
          <w:sz w:val="21"/>
          <w:szCs w:val="21"/>
          <w:lang w:val="en-US" w:eastAsia="zh-CN"/>
        </w:rPr>
        <w:t xml:space="preserve">推荐</w:t>
      </w:r>
      <w:r>
        <w:rPr>
          <w:rFonts w:hint="eastAsia" w:ascii="宋体" w:hAnsi="宋体" w:eastAsia="宋体" w:cs="Times New Roman"/>
          <w:color w:val="auto"/>
          <w:sz w:val="21"/>
          <w:szCs w:val="21"/>
          <w:lang w:val="zh-CN"/>
        </w:rPr>
        <w:t xml:space="preserve">中标候选人</w:t>
      </w:r>
      <w:r>
        <w:rPr>
          <w:rFonts w:hint="eastAsia" w:ascii="宋体" w:hAnsi="宋体" w:cs="Times New Roman"/>
          <w:color w:val="auto"/>
          <w:sz w:val="21"/>
          <w:szCs w:val="21"/>
          <w:lang w:val="zh-CN"/>
        </w:rPr>
        <w:t xml:space="preserve">，</w:t>
      </w:r>
      <w:r>
        <w:rPr>
          <w:rFonts w:hint="eastAsia" w:ascii="宋体" w:hAnsi="宋体" w:cs="Times New Roman"/>
          <w:color w:val="auto"/>
          <w:sz w:val="21"/>
          <w:szCs w:val="21"/>
          <w:lang w:val="en-US" w:eastAsia="zh-CN"/>
        </w:rPr>
        <w:t xml:space="preserve">或根据采购人</w:t>
      </w:r>
      <w:r>
        <w:rPr>
          <w:rFonts w:hint="eastAsia" w:ascii="宋体" w:hAnsi="宋体" w:cs="Times New Roman"/>
          <w:color w:val="auto"/>
          <w:sz w:val="21"/>
          <w:szCs w:val="21"/>
          <w:highlight w:val="none"/>
          <w:lang w:val="en-US" w:eastAsia="zh-CN"/>
        </w:rPr>
        <w:t xml:space="preserve">授权直接确定中标人</w:t>
      </w:r>
      <w:r>
        <w:rPr>
          <w:rFonts w:hint="eastAsia" w:ascii="宋体" w:hAnsi="宋体" w:eastAsia="宋体" w:cs="Times New Roman"/>
          <w:color w:val="auto"/>
          <w:sz w:val="21"/>
          <w:szCs w:val="21"/>
          <w:highlight w:val="none"/>
          <w:lang w:val="zh-CN"/>
        </w:rPr>
        <w:t xml:space="preserve">。</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21.4政府采购异常低价审查：</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(1)投标报价低于全部通过符合性审查供应商投标报价平均值65%的，即投标报价〈全部通过符合性审查供应商投标报价平均值x65%；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(2)投标报价低于通过符合性审查的次低报价供应商投标报价65%的，即投标报价&lt;通过符合性审查的次低报价供应商投标报价x65%；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(3)投标报价低于采购项目最高限价65%的，即投标报价&lt;采购项目最高限价x65%；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(4)评委会基于专业判断，认为供应商报价过低，有可能影响产品质量或者不能诚信履约的其他情形。</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评委会启动异常低价投标审查后，属于前述第(1)项至第(4)项情形的，应当要求相关供应商在评审现场合理的</w:t>
      </w:r>
      <w:r>
        <w:rPr>
          <w:rFonts w:hint="eastAsia" w:ascii="宋体" w:hAnsi="宋体" w:eastAsia="宋体" w:cs="Times New Roman"/>
          <w:b w:val="0"/>
          <w:bCs w:val="0"/>
          <w:color w:val="auto"/>
          <w:sz w:val="21"/>
          <w:szCs w:val="21"/>
          <w:lang w:val="en-US" w:eastAsia="zh-CN" w:bidi="ar-SA"/>
        </w:rPr>
        <w:t xml:space="preserve">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47"/>
        <w:pageBreakBefore w:val="0"/>
        <w:spacing w:line="400" w:lineRule="exact"/>
        <w:widowControl w:val="off"/>
        <w:rPr>
          <w:rFonts w:hint="default" w:eastAsia="宋体"/>
          <w:sz w:val="21"/>
          <w:szCs w:val="21"/>
          <w:lang w:val="en-US" w:eastAsia="zh-CN"/>
        </w:rPr>
      </w:pPr>
      <w:r>
        <w:rPr>
          <w:rFonts w:hint="eastAsia" w:ascii="宋体" w:hAnsi="宋体" w:eastAsia="宋体" w:cs="Times New Roman"/>
          <w:b w:val="0"/>
          <w:bCs w:val="0"/>
          <w:color w:val="auto"/>
          <w:sz w:val="21"/>
          <w:szCs w:val="21"/>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2</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评标过程的保密与公正</w:t>
      </w:r>
      <w:bookmarkEnd w:id="110"/>
      <w:r/>
      <w:bookmarkEnd w:id="111"/>
      <w:r/>
      <w:bookmarkEnd w:id="112"/>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凡是与审查、澄清、评价和比较投标的有关资料以及授标建议等，采购人、评委、</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均不得向投标人或与评标无关的其他人员透露。</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投标人不得以任何方式影响评标，否则其投标文件将被作为无效投标文件。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.3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和评委会不向未中标的投标人解释未中标原因，也不公布评标过程中的相关细节。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.4 采用综合评分法的项目，未中标的投标人可于中标结果公告期限届满之日起通过苏采云系统查看本单位的评审得分及排名情况。</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13" w:name="_Toc16938548"/>
      <w:r/>
      <w:bookmarkStart w:id="114" w:name="_Toc513029232"/>
      <w:r/>
      <w:bookmarkStart w:id="115" w:name="_Toc20823304"/>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投标文件的澄清</w:t>
      </w:r>
      <w:bookmarkEnd w:id="113"/>
      <w:r/>
      <w:bookmarkEnd w:id="114"/>
      <w:r/>
      <w:bookmarkEnd w:id="115"/>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投标人的澄清、说明或者补正不得超出投标文件的范围或者改变投标文件的实质性内容。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评委会并非对每个投标人都做澄清要求。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需要供应商进行澄清、说明和补正的，评委会将通过苏采云系统向</w:t>
      </w:r>
      <w:r>
        <w:rPr>
          <w:rFonts w:hint="eastAsia" w:ascii="宋体" w:hAnsi="宋体" w:eastAsia="宋体" w:cs="Times New Roman"/>
          <w:color w:val="auto"/>
          <w:sz w:val="21"/>
          <w:szCs w:val="21"/>
          <w:lang w:val="en-US" w:eastAsia="zh-CN"/>
        </w:rPr>
        <w:t xml:space="preserve">投标人</w:t>
      </w:r>
      <w:r>
        <w:rPr>
          <w:rFonts w:hint="eastAsia" w:ascii="宋体" w:hAnsi="宋体" w:eastAsia="宋体" w:cs="Times New Roman"/>
          <w:color w:val="auto"/>
          <w:sz w:val="21"/>
          <w:szCs w:val="21"/>
          <w:lang w:val="zh-CN"/>
        </w:rPr>
        <w:t xml:space="preserve">发出《澄清要求函》，接到《澄清要求函》的</w:t>
      </w:r>
      <w:r>
        <w:rPr>
          <w:rFonts w:hint="eastAsia" w:ascii="宋体" w:hAnsi="宋体" w:eastAsia="宋体" w:cs="Times New Roman"/>
          <w:color w:val="auto"/>
          <w:sz w:val="21"/>
          <w:szCs w:val="21"/>
          <w:lang w:val="en-US" w:eastAsia="zh-CN"/>
        </w:rPr>
        <w:t xml:space="preserve">投标人</w:t>
      </w:r>
      <w:r>
        <w:rPr>
          <w:rFonts w:hint="eastAsia" w:ascii="宋体" w:hAnsi="宋体" w:eastAsia="宋体" w:cs="Times New Roman"/>
          <w:color w:val="auto"/>
          <w:sz w:val="21"/>
          <w:szCs w:val="21"/>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.3 接到评委会澄清、说明和补正要求的，投标人如未按规定作出澄清、说明和补正，其风险由投标人自行承担。</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lang w:eastAsia="zh-CN"/>
        </w:rPr>
      </w:pPr>
      <w:r/>
      <w:bookmarkStart w:id="116" w:name="_Toc20823305"/>
      <w:r/>
      <w:bookmarkStart w:id="117" w:name="_Toc16938549"/>
      <w:r/>
      <w:bookmarkStart w:id="118" w:name="_Toc513029233"/>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4.</w:t>
      </w:r>
      <w:r>
        <w:rPr>
          <w:rFonts w:hint="eastAsia" w:ascii="方正楷体_GBK" w:hAnsi="方正楷体_GBK" w:eastAsia="方正楷体_GBK" w:cs="方正楷体_GBK"/>
          <w:b/>
          <w:bCs/>
          <w:sz w:val="21"/>
          <w:szCs w:val="21"/>
        </w:rPr>
        <w:t xml:space="preserve">投标文件的</w:t>
      </w:r>
      <w:bookmarkEnd w:id="116"/>
      <w:r/>
      <w:bookmarkEnd w:id="117"/>
      <w:r/>
      <w:bookmarkEnd w:id="118"/>
      <w:r>
        <w:rPr>
          <w:rFonts w:hint="eastAsia" w:ascii="方正楷体_GBK" w:hAnsi="方正楷体_GBK" w:eastAsia="方正楷体_GBK" w:cs="方正楷体_GBK"/>
          <w:b/>
          <w:bCs/>
          <w:sz w:val="21"/>
          <w:szCs w:val="21"/>
          <w:lang w:eastAsia="zh-CN"/>
        </w:rPr>
        <w:t xml:space="preserve">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投标文件审查分为资格审查和符合性审查。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资格审查。依据法律法规和招标文件规定，由采购人对投标文件中的资格证明文件进行审查，</w:t>
      </w:r>
      <w:r>
        <w:rPr>
          <w:rFonts w:hint="eastAsia" w:ascii="宋体" w:hAnsi="宋体" w:eastAsia="宋体" w:cs="Times New Roman"/>
          <w:color w:val="auto"/>
          <w:sz w:val="21"/>
          <w:szCs w:val="21"/>
          <w:lang w:val="zh-CN" w:eastAsia="zh-CN"/>
        </w:rPr>
        <w:t xml:space="preserve">并</w:t>
      </w:r>
      <w:r>
        <w:rPr>
          <w:rFonts w:hint="eastAsia" w:ascii="宋体" w:hAnsi="宋体" w:eastAsia="宋体" w:cs="Times New Roman"/>
          <w:color w:val="auto"/>
          <w:sz w:val="21"/>
          <w:szCs w:val="21"/>
          <w:lang w:val="zh-CN"/>
        </w:rPr>
        <w:t xml:space="preserve">向评委会反馈</w:t>
      </w:r>
      <w:r>
        <w:rPr>
          <w:rFonts w:hint="eastAsia" w:ascii="宋体" w:hAnsi="宋体" w:eastAsia="宋体" w:cs="Times New Roman"/>
          <w:color w:val="auto"/>
          <w:sz w:val="21"/>
          <w:szCs w:val="21"/>
          <w:lang w:val="zh-CN" w:eastAsia="zh-CN"/>
        </w:rPr>
        <w:t xml:space="preserve">审查结论</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接受联合体的项目，联合体成员存在不良信用记录的，视同联合体存在不良</w:t>
      </w:r>
      <w:r>
        <w:rPr>
          <w:rFonts w:hint="eastAsia" w:ascii="宋体" w:hAnsi="宋体" w:eastAsia="宋体" w:cs="Times New Roman"/>
          <w:color w:val="auto"/>
          <w:sz w:val="21"/>
          <w:szCs w:val="21"/>
          <w:lang w:val="zh-CN" w:eastAsia="zh-CN"/>
        </w:rPr>
        <w:t xml:space="preserve">信</w:t>
      </w:r>
      <w:r>
        <w:rPr>
          <w:rFonts w:hint="eastAsia" w:ascii="宋体" w:hAnsi="宋体" w:eastAsia="宋体" w:cs="Times New Roman"/>
          <w:color w:val="auto"/>
          <w:sz w:val="21"/>
          <w:szCs w:val="21"/>
          <w:lang w:val="zh-CN"/>
        </w:rPr>
        <w:t xml:space="preserve">用记录。</w:t>
      </w:r>
      <w:r/>
    </w:p>
    <w:p>
      <w:pPr>
        <w:ind w:left="0"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符合性审查。依据招标文件的规定，由评委会从有效性、完整性和对招标文件的响应程度</w:t>
      </w:r>
      <w:r>
        <w:rPr>
          <w:rFonts w:hint="eastAsia" w:ascii="宋体" w:hAnsi="宋体" w:eastAsia="宋体" w:cs="Times New Roman"/>
          <w:color w:val="auto"/>
          <w:sz w:val="21"/>
          <w:szCs w:val="21"/>
          <w:lang w:val="zh-CN" w:eastAsia="zh-CN"/>
        </w:rPr>
        <w:t xml:space="preserve">等方面对投标文件</w:t>
      </w:r>
      <w:r>
        <w:rPr>
          <w:rFonts w:hint="eastAsia" w:ascii="宋体" w:hAnsi="宋体" w:eastAsia="宋体" w:cs="Times New Roman"/>
          <w:color w:val="auto"/>
          <w:sz w:val="21"/>
          <w:szCs w:val="21"/>
          <w:lang w:val="zh-CN"/>
        </w:rPr>
        <w:t xml:space="preserve">进行审查，以确定是否对招标文件的实质性要求作出响应。</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.1.3</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未通过资格审查或符合性审查的投标人，</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w:t>
      </w:r>
      <w:r>
        <w:rPr>
          <w:rFonts w:hint="eastAsia" w:ascii="宋体" w:hAnsi="宋体" w:eastAsia="宋体" w:cs="Times New Roman"/>
          <w:color w:val="auto"/>
          <w:sz w:val="21"/>
          <w:szCs w:val="21"/>
          <w:lang w:val="zh-CN" w:eastAsia="zh-CN"/>
        </w:rPr>
        <w:t xml:space="preserve">通过</w:t>
      </w:r>
      <w:r>
        <w:rPr>
          <w:rFonts w:hint="eastAsia" w:ascii="宋体" w:hAnsi="宋体" w:eastAsia="宋体" w:cs="Times New Roman"/>
          <w:color w:val="auto"/>
          <w:sz w:val="21"/>
          <w:szCs w:val="21"/>
          <w:lang w:val="zh-CN"/>
        </w:rPr>
        <w:t xml:space="preserve">苏采云系统告知</w:t>
      </w:r>
      <w:r>
        <w:rPr>
          <w:rFonts w:hint="eastAsia" w:ascii="宋体" w:hAnsi="宋体" w:eastAsia="宋体" w:cs="Times New Roman"/>
          <w:color w:val="auto"/>
          <w:sz w:val="21"/>
          <w:szCs w:val="21"/>
          <w:lang w:val="zh-CN" w:eastAsia="zh-CN"/>
        </w:rPr>
        <w:t xml:space="preserve">其具体</w:t>
      </w:r>
      <w:r>
        <w:rPr>
          <w:rFonts w:hint="eastAsia" w:ascii="宋体" w:hAnsi="宋体" w:eastAsia="宋体" w:cs="Times New Roman"/>
          <w:color w:val="auto"/>
          <w:sz w:val="21"/>
          <w:szCs w:val="21"/>
          <w:lang w:val="zh-CN"/>
        </w:rPr>
        <w:t xml:space="preserve">原因，评标结束后</w:t>
      </w:r>
      <w:r>
        <w:rPr>
          <w:rFonts w:hint="eastAsia" w:ascii="宋体" w:hAnsi="宋体" w:eastAsia="宋体" w:cs="Times New Roman"/>
          <w:color w:val="auto"/>
          <w:sz w:val="21"/>
          <w:szCs w:val="21"/>
          <w:lang w:val="zh-CN" w:eastAsia="zh-CN"/>
        </w:rPr>
        <w:t xml:space="preserve">不再接受有关询问</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评委会</w:t>
      </w:r>
      <w:r>
        <w:rPr>
          <w:rFonts w:hint="eastAsia" w:ascii="宋体" w:hAnsi="宋体" w:eastAsia="宋体" w:cs="Times New Roman"/>
          <w:color w:val="auto"/>
          <w:sz w:val="21"/>
          <w:szCs w:val="21"/>
          <w:lang w:val="zh-CN" w:eastAsia="zh-CN"/>
        </w:rPr>
        <w:t xml:space="preserve">仅对</w:t>
      </w:r>
      <w:r>
        <w:rPr>
          <w:rFonts w:hint="eastAsia" w:ascii="宋体" w:hAnsi="宋体" w:eastAsia="宋体" w:cs="Times New Roman"/>
          <w:color w:val="auto"/>
          <w:sz w:val="21"/>
          <w:szCs w:val="21"/>
          <w:lang w:val="zh-CN"/>
        </w:rPr>
        <w:t xml:space="preserve">实质性响应招标文件要求</w:t>
      </w:r>
      <w:r>
        <w:rPr>
          <w:rFonts w:hint="eastAsia" w:ascii="宋体" w:hAnsi="宋体" w:eastAsia="宋体" w:cs="Times New Roman"/>
          <w:color w:val="auto"/>
          <w:sz w:val="21"/>
          <w:szCs w:val="21"/>
          <w:lang w:val="zh-CN" w:eastAsia="zh-CN"/>
        </w:rPr>
        <w:t xml:space="preserve">的投标文件进行详细评审</w:t>
      </w:r>
      <w:r>
        <w:rPr>
          <w:rFonts w:hint="eastAsia" w:ascii="宋体" w:hAnsi="宋体" w:eastAsia="宋体" w:cs="Times New Roman"/>
          <w:color w:val="auto"/>
          <w:sz w:val="21"/>
          <w:szCs w:val="21"/>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1"/>
          <w:szCs w:val="21"/>
          <w:lang w:val="zh-CN" w:eastAsia="zh-CN"/>
        </w:rPr>
        <w:t xml:space="preserve">采购人</w:t>
      </w:r>
      <w:r>
        <w:rPr>
          <w:rFonts w:hint="eastAsia" w:ascii="宋体" w:hAnsi="宋体" w:eastAsia="宋体" w:cs="Times New Roman"/>
          <w:color w:val="auto"/>
          <w:sz w:val="21"/>
          <w:szCs w:val="21"/>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1"/>
          <w:szCs w:val="21"/>
          <w:lang w:val="zh-CN" w:eastAsia="zh-CN"/>
        </w:rPr>
        <w:t xml:space="preserve">由</w:t>
      </w:r>
      <w:r>
        <w:rPr>
          <w:rFonts w:hint="eastAsia" w:ascii="宋体" w:hAnsi="宋体" w:eastAsia="宋体" w:cs="Times New Roman"/>
          <w:color w:val="auto"/>
          <w:sz w:val="21"/>
          <w:szCs w:val="21"/>
          <w:lang w:val="zh-CN"/>
        </w:rPr>
        <w:t xml:space="preserve">评委会</w:t>
      </w:r>
      <w:r>
        <w:rPr>
          <w:rFonts w:hint="eastAsia" w:ascii="宋体" w:hAnsi="宋体" w:eastAsia="宋体" w:cs="Times New Roman"/>
          <w:color w:val="auto"/>
          <w:sz w:val="21"/>
          <w:szCs w:val="21"/>
          <w:lang w:val="zh-CN" w:eastAsia="zh-CN"/>
        </w:rPr>
        <w:t xml:space="preserve">按照</w:t>
      </w:r>
      <w:r>
        <w:rPr>
          <w:rFonts w:hint="eastAsia" w:ascii="宋体" w:hAnsi="宋体" w:eastAsia="宋体" w:cs="Times New Roman"/>
          <w:color w:val="auto"/>
          <w:sz w:val="21"/>
          <w:szCs w:val="21"/>
          <w:lang w:val="zh-CN"/>
        </w:rPr>
        <w:t xml:space="preserve">少数服从多数的原则作出结论。评委</w:t>
      </w:r>
      <w:r>
        <w:rPr>
          <w:rFonts w:hint="eastAsia" w:ascii="宋体" w:hAnsi="宋体" w:eastAsia="宋体" w:cs="Times New Roman"/>
          <w:color w:val="auto"/>
          <w:sz w:val="21"/>
          <w:szCs w:val="21"/>
          <w:lang w:val="zh-CN" w:eastAsia="zh-CN"/>
        </w:rPr>
        <w:t xml:space="preserve">会认</w:t>
      </w:r>
      <w:r>
        <w:rPr>
          <w:rFonts w:hint="eastAsia" w:ascii="宋体" w:hAnsi="宋体" w:eastAsia="宋体" w:cs="Times New Roman"/>
          <w:color w:val="auto"/>
          <w:sz w:val="21"/>
          <w:szCs w:val="21"/>
          <w:lang w:val="zh-CN"/>
        </w:rPr>
        <w:t xml:space="preserve">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同时出现两种以上错误的，按照前款规定的顺序修正。</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bookmarkStart w:id="119" w:name="_Toc16938550"/>
      <w:r/>
      <w:bookmarkStart w:id="120" w:name="_Toc513029234"/>
      <w:r/>
      <w:bookmarkStart w:id="121" w:name="_Toc20823306"/>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.6</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投标人在开、评标全过程中应保持通讯畅通，及时登录苏采云系统查阅、答复相关信息，并安排专人与</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及评委会联系。</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bookmarkEnd w:id="119"/>
      <w:r/>
      <w:bookmarkEnd w:id="120"/>
      <w:r/>
      <w:bookmarkEnd w:id="121"/>
      <w:r>
        <w:rPr>
          <w:rFonts w:hint="eastAsia" w:ascii="方正楷体_GBK" w:hAnsi="方正楷体_GBK" w:eastAsia="方正楷体_GBK" w:cs="方正楷体_GBK"/>
          <w:b/>
          <w:bCs/>
          <w:sz w:val="21"/>
          <w:szCs w:val="21"/>
          <w:lang w:eastAsia="zh-CN"/>
        </w:rPr>
        <w:t xml:space="preserve">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无效投标和废标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bookmarkStart w:id="122" w:name="_Toc16938551"/>
      <w:r/>
      <w:bookmarkStart w:id="123" w:name="_Toc513029235"/>
      <w:r/>
      <w:bookmarkStart w:id="124" w:name="_Toc20823307"/>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无效投标</w:t>
      </w:r>
      <w:r>
        <w:rPr>
          <w:rFonts w:hint="eastAsia" w:ascii="宋体" w:hAnsi="宋体" w:eastAsia="宋体" w:cs="Times New Roman"/>
          <w:color w:val="auto"/>
          <w:sz w:val="21"/>
          <w:szCs w:val="21"/>
          <w:lang w:val="en-US" w:eastAsia="zh-CN"/>
        </w:rPr>
        <w:t xml:space="preserve">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投标人在苏采云系统规定的时间内未成功解密电子投标文件。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投标人未按照招标文件要求上传电子投标文件。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同一投标人提交两个（含两个）以上不同的投标报价。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投标人不具备招标文件中规定资格要求。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投标人的报价超过了采购预算或最高限价。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.1.6</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未通过符合性审查。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.1.7</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不符合招标文件中实质性要求和条件</w:t>
      </w:r>
      <w:r>
        <w:rPr>
          <w:rFonts w:hint="eastAsia" w:ascii="宋体" w:hAnsi="宋体" w:eastAsia="宋体" w:cs="Times New Roman"/>
          <w:b w:val="0"/>
          <w:bCs w:val="0"/>
          <w:i w:val="0"/>
          <w:iCs/>
          <w:color w:val="auto"/>
          <w:sz w:val="21"/>
          <w:szCs w:val="21"/>
          <w:u w:val="none"/>
          <w:lang w:val="zh-CN"/>
        </w:rPr>
        <w:t xml:space="preserve">（</w:t>
      </w:r>
      <w:r>
        <w:rPr>
          <w:rFonts w:hint="eastAsia" w:ascii="宋体" w:hAnsi="宋体" w:eastAsia="宋体" w:cs="Times New Roman"/>
          <w:b/>
          <w:bCs/>
          <w:i w:val="0"/>
          <w:iCs/>
          <w:color w:val="auto"/>
          <w:sz w:val="21"/>
          <w:szCs w:val="21"/>
          <w:u w:val="none"/>
          <w:lang w:val="zh-CN"/>
        </w:rPr>
        <w:t xml:space="preserve">本文件中斜体且有下划线部分，或者打“</w:t>
      </w:r>
      <w:r>
        <w:rPr>
          <w:rFonts w:hint="eastAsia" w:ascii="宋体" w:hAnsi="宋体" w:eastAsia="宋体" w:cs="Times New Roman"/>
          <w:b/>
          <w:bCs/>
          <w:i w:val="0"/>
          <w:iCs/>
          <w:color w:val="auto"/>
          <w:sz w:val="21"/>
          <w:szCs w:val="21"/>
          <w:u w:val="none"/>
          <w:lang w:val="en-US" w:eastAsia="zh-CN"/>
        </w:rPr>
        <w:t xml:space="preserve">★</w:t>
      </w:r>
      <w:r>
        <w:rPr>
          <w:rFonts w:hint="eastAsia" w:ascii="宋体" w:hAnsi="宋体" w:eastAsia="宋体" w:cs="Times New Roman"/>
          <w:b/>
          <w:bCs/>
          <w:i w:val="0"/>
          <w:iCs/>
          <w:color w:val="auto"/>
          <w:sz w:val="21"/>
          <w:szCs w:val="21"/>
          <w:u w:val="none"/>
          <w:lang w:val="zh-CN"/>
        </w:rPr>
        <w:t xml:space="preserve">”内容为实质性要求和条件</w:t>
      </w:r>
      <w:r>
        <w:rPr>
          <w:rFonts w:hint="eastAsia" w:ascii="宋体" w:hAnsi="宋体" w:eastAsia="宋体" w:cs="Times New Roman"/>
          <w:b w:val="0"/>
          <w:bCs w:val="0"/>
          <w:i w:val="0"/>
          <w:iCs/>
          <w:color w:val="auto"/>
          <w:sz w:val="21"/>
          <w:szCs w:val="21"/>
          <w:u w:val="none"/>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.1.8</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.1.9</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投标文件含有采购人不能接受的附加条件。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.1.10</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评委会认为投标人的报价明显低于其他通过符合性审查投标人的报价，有可能影响</w:t>
      </w:r>
      <w:r>
        <w:rPr>
          <w:rFonts w:hint="eastAsia" w:ascii="宋体" w:hAnsi="宋体" w:cs="Times New Roman"/>
          <w:color w:val="auto"/>
          <w:sz w:val="21"/>
          <w:szCs w:val="21"/>
          <w:lang w:val="en-US" w:eastAsia="zh-CN"/>
        </w:rPr>
        <w:t xml:space="preserve">服务</w:t>
      </w:r>
      <w:r>
        <w:rPr>
          <w:rFonts w:hint="eastAsia" w:ascii="宋体" w:hAnsi="宋体" w:eastAsia="宋体" w:cs="Times New Roman"/>
          <w:color w:val="auto"/>
          <w:sz w:val="21"/>
          <w:szCs w:val="21"/>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400" w:lineRule="exact"/>
        <w:widowControl w:val="off"/>
        <w:rPr>
          <w:rFonts w:hint="eastAsia" w:ascii="宋体" w:hAnsi="宋体" w:eastAsia="宋体" w:cs="Times New Roman"/>
          <w:b w:val="0"/>
          <w:bCs w:val="0"/>
          <w:color w:val="auto"/>
          <w:sz w:val="21"/>
          <w:szCs w:val="21"/>
          <w:lang w:val="zh-CN"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5</w:t>
      </w:r>
      <w:r>
        <w:rPr>
          <w:rFonts w:hint="eastAsia" w:ascii="宋体" w:hAnsi="宋体" w:eastAsia="宋体" w:cs="Times New Roman"/>
          <w:color w:val="auto"/>
          <w:sz w:val="21"/>
          <w:szCs w:val="21"/>
          <w:lang w:val="zh-CN"/>
        </w:rPr>
        <w:t xml:space="preserve">.1.11</w:t>
      </w:r>
      <w:r>
        <w:rPr>
          <w:rFonts w:hint="eastAsia" w:ascii="宋体" w:hAnsi="宋体" w:eastAsia="宋体" w:cs="Times New Roman"/>
          <w:color w:val="auto"/>
          <w:sz w:val="21"/>
          <w:szCs w:val="21"/>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2 </w:t>
      </w:r>
      <w:r>
        <w:rPr>
          <w:rFonts w:hint="eastAsia" w:ascii="宋体" w:hAnsi="宋体" w:eastAsia="宋体" w:cs="Times New Roman"/>
          <w:color w:val="auto"/>
          <w:sz w:val="21"/>
          <w:szCs w:val="21"/>
          <w:lang w:val="zh-CN"/>
        </w:rPr>
        <w:t xml:space="preserve">投标文件未按照招标文件要求加盖电子公章。</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3 </w:t>
      </w:r>
      <w:r>
        <w:rPr>
          <w:rFonts w:hint="eastAsia" w:ascii="宋体" w:hAnsi="宋体" w:eastAsia="宋体" w:cs="Times New Roman"/>
          <w:color w:val="auto"/>
          <w:sz w:val="21"/>
          <w:szCs w:val="21"/>
          <w:lang w:val="zh-CN"/>
        </w:rPr>
        <w:t xml:space="preserve">法律法规及本招标文件规定的</w:t>
      </w:r>
      <w:r>
        <w:rPr>
          <w:rFonts w:hint="eastAsia" w:ascii="宋体" w:hAnsi="宋体" w:cs="Times New Roman"/>
          <w:color w:val="auto"/>
          <w:sz w:val="21"/>
          <w:szCs w:val="21"/>
          <w:lang w:val="en-US" w:eastAsia="zh-CN"/>
        </w:rPr>
        <w:t xml:space="preserve">其他</w:t>
      </w:r>
      <w:r>
        <w:rPr>
          <w:rFonts w:hint="eastAsia" w:ascii="宋体" w:hAnsi="宋体" w:eastAsia="宋体" w:cs="Times New Roman"/>
          <w:color w:val="auto"/>
          <w:sz w:val="21"/>
          <w:szCs w:val="21"/>
          <w:lang w:val="zh-CN"/>
        </w:rPr>
        <w:t xml:space="preserve">无效投标情形。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废标</w:t>
      </w:r>
      <w:r>
        <w:rPr>
          <w:rFonts w:hint="eastAsia" w:ascii="宋体" w:hAnsi="宋体" w:eastAsia="宋体" w:cs="Times New Roman"/>
          <w:color w:val="auto"/>
          <w:sz w:val="21"/>
          <w:szCs w:val="21"/>
          <w:lang w:val="en-US" w:eastAsia="zh-CN"/>
        </w:rPr>
        <w:t xml:space="preserve">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符合资格条件的供应商或者对招标文件作实质响应的供应商不足三家。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出现影响采购公正的违法、违规行为。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因重大变故采购任务取消。</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评委会认定招标文件存在歧义、重大缺陷导致评审工作无法进行。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因苏采云系统故障造成开标不成功。</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.3 如出现投标截止时间后参加投标的供应商或者对招标文件作出实质</w:t>
      </w:r>
      <w:r>
        <w:rPr>
          <w:rFonts w:hint="eastAsia" w:ascii="宋体" w:hAnsi="宋体" w:eastAsia="宋体" w:cs="Times New Roman"/>
          <w:color w:val="auto"/>
          <w:sz w:val="21"/>
          <w:szCs w:val="21"/>
          <w:lang w:val="en-US" w:eastAsia="zh-CN"/>
        </w:rPr>
        <w:t xml:space="preserve">性</w:t>
      </w:r>
      <w:r>
        <w:rPr>
          <w:rFonts w:hint="eastAsia" w:ascii="宋体" w:hAnsi="宋体" w:eastAsia="宋体" w:cs="Times New Roman"/>
          <w:color w:val="auto"/>
          <w:sz w:val="21"/>
          <w:szCs w:val="21"/>
          <w:lang w:val="zh-CN"/>
        </w:rPr>
        <w:t xml:space="preserve">响应的供应商不足三家</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rPr>
        <w:t xml:space="preserve">情况，按政府采购相关规定执行。</w:t>
      </w:r>
      <w:bookmarkEnd w:id="87"/>
      <w:r/>
      <w:bookmarkEnd w:id="88"/>
      <w:r/>
      <w:bookmarkEnd w:id="89"/>
      <w:r/>
      <w:bookmarkEnd w:id="122"/>
      <w:r/>
      <w:bookmarkEnd w:id="123"/>
      <w:r/>
      <w:bookmarkEnd w:id="124"/>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125" w:name="_Toc120614219"/>
      <w:r>
        <w:rPr>
          <w:rFonts w:hint="eastAsia" w:ascii="方正黑体_GBK" w:hAnsi="方正黑体_GBK" w:eastAsia="方正黑体_GBK" w:cs="方正黑体_GBK"/>
          <w:b w:val="0"/>
          <w:bCs w:val="0"/>
          <w:color w:val="auto"/>
          <w:sz w:val="21"/>
          <w:szCs w:val="21"/>
        </w:rPr>
        <w:t xml:space="preserve">六、定标</w:t>
      </w:r>
      <w:bookmarkEnd w:id="125"/>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26" w:name="_Toc513029238"/>
      <w:r/>
      <w:bookmarkStart w:id="127" w:name="_Toc16938554"/>
      <w:r/>
      <w:bookmarkStart w:id="128" w:name="_Toc20823310"/>
      <w:r>
        <w:rPr>
          <w:rFonts w:hint="eastAsia" w:ascii="方正楷体_GBK" w:hAnsi="方正楷体_GBK" w:eastAsia="方正楷体_GBK" w:cs="方正楷体_GBK"/>
          <w:b/>
          <w:bCs/>
          <w:sz w:val="21"/>
          <w:szCs w:val="21"/>
        </w:rPr>
        <w:t xml:space="preserve">2</w:t>
      </w:r>
      <w:bookmarkEnd w:id="126"/>
      <w:r>
        <w:rPr>
          <w:rFonts w:hint="eastAsia" w:ascii="方正楷体_GBK" w:hAnsi="方正楷体_GBK" w:eastAsia="方正楷体_GBK" w:cs="方正楷体_GBK"/>
          <w:b/>
          <w:bCs/>
          <w:sz w:val="21"/>
          <w:szCs w:val="21"/>
          <w:lang w:eastAsia="zh-CN"/>
        </w:rPr>
        <w:t xml:space="preserve">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确定</w:t>
      </w:r>
      <w:bookmarkEnd w:id="127"/>
      <w:r/>
      <w:bookmarkEnd w:id="128"/>
      <w:r>
        <w:rPr>
          <w:rFonts w:hint="eastAsia" w:ascii="方正楷体_GBK" w:hAnsi="方正楷体_GBK" w:eastAsia="方正楷体_GBK" w:cs="方正楷体_GBK"/>
          <w:b/>
          <w:bCs/>
          <w:sz w:val="21"/>
          <w:szCs w:val="21"/>
        </w:rPr>
        <w:t xml:space="preserve">中标单位</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中标候选人的</w:t>
      </w:r>
      <w:r>
        <w:rPr>
          <w:rFonts w:hint="eastAsia" w:ascii="宋体" w:hAnsi="宋体" w:eastAsia="宋体" w:cs="Times New Roman"/>
          <w:color w:val="auto"/>
          <w:sz w:val="21"/>
          <w:szCs w:val="21"/>
          <w:lang w:val="en-US" w:eastAsia="zh-CN"/>
        </w:rPr>
        <w:t xml:space="preserve">确定</w:t>
      </w:r>
      <w:r>
        <w:rPr>
          <w:rFonts w:hint="eastAsia" w:ascii="宋体" w:hAnsi="宋体" w:eastAsia="宋体" w:cs="Times New Roman"/>
          <w:color w:val="auto"/>
          <w:sz w:val="21"/>
          <w:szCs w:val="21"/>
          <w:lang w:val="zh-CN"/>
        </w:rPr>
        <w:t xml:space="preserve">原则和数量见招标文件第五章。 </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.2 </w:t>
      </w:r>
      <w:r>
        <w:rPr>
          <w:rFonts w:hint="eastAsia" w:ascii="宋体" w:hAnsi="宋体" w:eastAsia="宋体" w:cs="Times New Roman"/>
          <w:color w:val="auto"/>
          <w:sz w:val="21"/>
          <w:szCs w:val="21"/>
          <w:highlight w:val="none"/>
          <w:lang w:val="zh-CN"/>
        </w:rPr>
        <w:t xml:space="preserve">按以下第（</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）种方式确定中标人</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（1）评委会直接确定排名第一的中标候选人为中标人；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（2）采购人在评委会推荐的中标候选人中按顺序确定中标人。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按第二种方式确定中标人的，</w:t>
      </w:r>
      <w:r>
        <w:rPr>
          <w:rFonts w:hint="eastAsia" w:ascii="宋体" w:hAnsi="宋体" w:cs="Times New Roman"/>
          <w:color w:val="auto"/>
          <w:sz w:val="21"/>
          <w:szCs w:val="21"/>
          <w:lang w:val="zh-CN"/>
        </w:rPr>
        <w:t xml:space="preserve">代理公司</w:t>
      </w:r>
      <w:r>
        <w:rPr>
          <w:rFonts w:hint="eastAsia" w:ascii="宋体" w:hAnsi="宋体" w:eastAsia="宋体" w:cs="Times New Roman"/>
          <w:color w:val="auto"/>
          <w:sz w:val="21"/>
          <w:szCs w:val="21"/>
          <w:lang w:val="zh-CN"/>
        </w:rPr>
        <w:t xml:space="preserve">自评审结束之日起两个工作日内将评审报告送</w:t>
      </w:r>
      <w:r>
        <w:rPr>
          <w:rFonts w:hint="eastAsia" w:ascii="宋体" w:hAnsi="宋体" w:eastAsia="宋体" w:cs="Times New Roman"/>
          <w:color w:val="auto"/>
          <w:sz w:val="21"/>
          <w:szCs w:val="21"/>
          <w:lang w:val="en-US" w:eastAsia="zh-CN"/>
        </w:rPr>
        <w:t xml:space="preserve">达</w:t>
      </w:r>
      <w:r>
        <w:rPr>
          <w:rFonts w:hint="eastAsia" w:ascii="宋体" w:hAnsi="宋体" w:eastAsia="宋体" w:cs="Times New Roman"/>
          <w:color w:val="auto"/>
          <w:sz w:val="21"/>
          <w:szCs w:val="21"/>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.3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将在“江苏政府采购网”发布中标公告，公告期限为1个工作日。</w:t>
      </w:r>
      <w:r/>
    </w:p>
    <w:p>
      <w:pPr>
        <w:ind w:firstLine="420"/>
        <w:keepLines w:val="0"/>
        <w:keepNext w:val="0"/>
        <w:pageBreakBefore w:val="0"/>
        <w:spacing w:line="400" w:lineRule="exact"/>
        <w:widowControl w:val="off"/>
        <w:rPr>
          <w:rFonts w:hint="eastAsia" w:ascii="宋体" w:hAnsi="宋体" w:eastAsia="宋体" w:cs="Times New Roman"/>
          <w:b/>
          <w:bCs/>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b/>
          <w:bCs/>
          <w:color w:val="auto"/>
          <w:sz w:val="21"/>
          <w:szCs w:val="21"/>
          <w:lang w:val="zh-CN"/>
        </w:rPr>
        <w:t xml:space="preserve">若有充分证据证明中标人</w:t>
      </w:r>
      <w:r>
        <w:rPr>
          <w:rFonts w:hint="eastAsia" w:ascii="宋体" w:hAnsi="宋体" w:eastAsia="宋体" w:cs="Times New Roman"/>
          <w:b/>
          <w:bCs/>
          <w:color w:val="auto"/>
          <w:sz w:val="21"/>
          <w:szCs w:val="21"/>
          <w:lang w:val="en-US" w:eastAsia="zh-CN"/>
        </w:rPr>
        <w:t xml:space="preserve">有</w:t>
      </w:r>
      <w:r>
        <w:rPr>
          <w:rFonts w:hint="eastAsia" w:ascii="宋体" w:hAnsi="宋体" w:eastAsia="宋体" w:cs="Times New Roman"/>
          <w:b/>
          <w:bCs/>
          <w:color w:val="auto"/>
          <w:sz w:val="21"/>
          <w:szCs w:val="21"/>
          <w:lang w:val="zh-CN"/>
        </w:rPr>
        <w:t xml:space="preserve">下列情况之一的，一经查实将被取消中标资格：</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提供虚假材料谋取中标。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向评审专家、采购人或</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eastAsia="zh-CN"/>
        </w:rPr>
        <w:t xml:space="preserve">工作人员行贿或者提供其他不正当利益。</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与其他供应商、评审专家、采购人或</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eastAsia="zh-CN"/>
        </w:rPr>
        <w:t xml:space="preserve">工作人员恶意串通。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属于本文件规定的无效</w:t>
      </w:r>
      <w:r>
        <w:rPr>
          <w:rFonts w:hint="eastAsia" w:ascii="宋体" w:hAnsi="宋体" w:eastAsia="宋体" w:cs="Times New Roman"/>
          <w:color w:val="auto"/>
          <w:sz w:val="21"/>
          <w:szCs w:val="21"/>
          <w:lang w:val="en-US" w:eastAsia="zh-CN"/>
        </w:rPr>
        <w:t xml:space="preserve">投标情形</w:t>
      </w:r>
      <w:r>
        <w:rPr>
          <w:rFonts w:hint="eastAsia" w:ascii="宋体" w:hAnsi="宋体" w:eastAsia="宋体" w:cs="Times New Roman"/>
          <w:color w:val="auto"/>
          <w:sz w:val="21"/>
          <w:szCs w:val="21"/>
          <w:lang w:val="zh-CN"/>
        </w:rPr>
        <w:t xml:space="preserve">，但在评标过程中未被评委会发现。</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采取不正当手段诋毁、排挤其他供应商。</w:t>
      </w:r>
      <w:r/>
    </w:p>
    <w:p>
      <w:pPr>
        <w:ind w:firstLine="420"/>
        <w:keepLines w:val="0"/>
        <w:keepNext w:val="0"/>
        <w:pageBreakBefore w:val="0"/>
        <w:spacing w:line="400" w:lineRule="exact"/>
        <w:widowControl w:val="off"/>
        <w:rPr>
          <w:rFonts w:hint="eastAsia" w:ascii="宋体" w:hAnsi="宋体" w:eastAsia="宋体" w:cs="Times New Roman"/>
          <w:b/>
          <w:bCs/>
          <w:color w:val="auto"/>
          <w:sz w:val="21"/>
          <w:szCs w:val="21"/>
          <w:lang w:val="zh-CN"/>
        </w:rPr>
      </w:pPr>
      <w:r/>
      <w:bookmarkStart w:id="129" w:name="_Toc200451960"/>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b/>
          <w:bCs/>
          <w:color w:val="auto"/>
          <w:sz w:val="21"/>
          <w:szCs w:val="21"/>
          <w:lang w:val="zh-CN"/>
        </w:rPr>
        <w:t xml:space="preserve">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不同投标人的投标文件异常一致或者投标报价呈规律性差异。</w:t>
      </w:r>
      <w:bookmarkEnd w:id="129"/>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7.</w:t>
      </w:r>
      <w:r>
        <w:rPr>
          <w:rFonts w:hint="eastAsia" w:ascii="方正楷体_GBK" w:hAnsi="方正楷体_GBK" w:eastAsia="方正楷体_GBK" w:cs="方正楷体_GBK"/>
          <w:b/>
          <w:bCs/>
          <w:sz w:val="21"/>
          <w:szCs w:val="21"/>
        </w:rPr>
        <w:t xml:space="preserve">中标通知书</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.l 中标结果确定后，</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将向中标人发出《中标通知书》。中标人</w:t>
      </w:r>
      <w:r>
        <w:rPr>
          <w:rFonts w:hint="eastAsia" w:ascii="宋体" w:hAnsi="宋体" w:eastAsia="宋体" w:cs="Times New Roman"/>
          <w:color w:val="auto"/>
          <w:sz w:val="21"/>
          <w:szCs w:val="21"/>
          <w:lang w:val="en-US" w:eastAsia="zh-CN"/>
        </w:rPr>
        <w:t xml:space="preserve">可</w:t>
      </w:r>
      <w:r>
        <w:rPr>
          <w:rFonts w:hint="eastAsia" w:ascii="宋体" w:hAnsi="宋体" w:eastAsia="宋体" w:cs="Times New Roman"/>
          <w:color w:val="auto"/>
          <w:sz w:val="21"/>
          <w:szCs w:val="21"/>
          <w:lang w:val="zh-CN"/>
        </w:rPr>
        <w:t xml:space="preserve">在中标结果公告届满之日起三十日内，登录苏采云系统下载。</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中标通知书</w:t>
      </w:r>
      <w:r>
        <w:rPr>
          <w:rFonts w:hint="eastAsia" w:ascii="宋体" w:hAnsi="宋体" w:eastAsia="宋体" w:cs="Times New Roman"/>
          <w:color w:val="auto"/>
          <w:sz w:val="21"/>
          <w:szCs w:val="21"/>
          <w:lang w:val="en-US" w:eastAsia="zh-CN"/>
        </w:rPr>
        <w:t xml:space="preserve">》</w:t>
      </w:r>
      <w:r>
        <w:rPr>
          <w:rFonts w:hint="eastAsia" w:ascii="宋体" w:hAnsi="宋体" w:eastAsia="宋体" w:cs="Times New Roman"/>
          <w:color w:val="auto"/>
          <w:sz w:val="21"/>
          <w:szCs w:val="21"/>
          <w:lang w:val="zh-CN"/>
        </w:rPr>
        <w:t xml:space="preserve">是合同的一个组成部分，对采购人和中标人均具有法律效力。《中标通知书》发出后，采购人改变中标结果或者中标人放弃中标项目的，应当依法承担法律责任。</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130" w:name="_Toc16938552"/>
      <w:r/>
      <w:bookmarkStart w:id="131" w:name="_Toc120614220"/>
      <w:r/>
      <w:bookmarkStart w:id="132" w:name="_Toc20823308"/>
      <w:r/>
      <w:bookmarkStart w:id="133" w:name="_Toc513029236"/>
      <w:r>
        <w:rPr>
          <w:rFonts w:hint="eastAsia" w:ascii="方正黑体_GBK" w:hAnsi="方正黑体_GBK" w:eastAsia="方正黑体_GBK" w:cs="方正黑体_GBK"/>
          <w:b w:val="0"/>
          <w:bCs w:val="0"/>
          <w:color w:val="auto"/>
          <w:sz w:val="21"/>
          <w:szCs w:val="21"/>
        </w:rPr>
        <w:t xml:space="preserve">七、授予合同</w:t>
      </w:r>
      <w:bookmarkEnd w:id="130"/>
      <w:r/>
      <w:bookmarkEnd w:id="131"/>
      <w:r/>
      <w:bookmarkEnd w:id="132"/>
      <w:r/>
      <w:bookmarkEnd w:id="133"/>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lang w:eastAsia="zh-CN"/>
        </w:rPr>
        <w:t xml:space="preserve">2</w:t>
      </w:r>
      <w:r>
        <w:rPr>
          <w:rFonts w:hint="eastAsia" w:ascii="方正楷体_GBK" w:hAnsi="方正楷体_GBK" w:eastAsia="方正楷体_GBK" w:cs="方正楷体_GBK"/>
          <w:b/>
          <w:bCs/>
          <w:sz w:val="21"/>
          <w:szCs w:val="21"/>
          <w:lang w:val="en-US" w:eastAsia="zh-CN"/>
        </w:rPr>
        <w:t xml:space="preserve">8.</w:t>
      </w:r>
      <w:r>
        <w:rPr>
          <w:rFonts w:hint="eastAsia" w:ascii="方正楷体_GBK" w:hAnsi="方正楷体_GBK" w:eastAsia="方正楷体_GBK" w:cs="方正楷体_GBK"/>
          <w:b/>
          <w:bCs/>
          <w:sz w:val="21"/>
          <w:szCs w:val="21"/>
        </w:rPr>
        <w:t xml:space="preserve">签订合同</w:t>
      </w:r>
      <w:r/>
    </w:p>
    <w:p>
      <w:pPr>
        <w:ind w:firstLine="420"/>
        <w:keepLines w:val="0"/>
        <w:keepNext w:val="0"/>
        <w:pageBreakBefore w:val="0"/>
        <w:spacing w:line="400" w:lineRule="exact"/>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.l</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中标人应当</w:t>
      </w:r>
      <w:r>
        <w:rPr>
          <w:rFonts w:hint="eastAsia" w:ascii="宋体" w:hAnsi="宋体" w:eastAsia="宋体" w:cs="Times New Roman"/>
          <w:color w:val="auto"/>
          <w:sz w:val="21"/>
          <w:szCs w:val="21"/>
          <w:lang w:val="en-US" w:eastAsia="zh-CN"/>
        </w:rPr>
        <w:t xml:space="preserve">在</w:t>
      </w:r>
      <w:r>
        <w:rPr>
          <w:rFonts w:hint="eastAsia" w:ascii="宋体" w:hAnsi="宋体" w:eastAsia="宋体" w:cs="Times New Roman"/>
          <w:color w:val="auto"/>
          <w:sz w:val="21"/>
          <w:szCs w:val="21"/>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.2 招标文件、中标人的投标文件及招标过程中有关澄清、承诺文件均作为合同附件。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.4 中标人因自身原因拒绝与采购人签订合同的，不得参加采购人</w:t>
      </w:r>
      <w:r>
        <w:rPr>
          <w:rFonts w:hint="eastAsia" w:ascii="宋体" w:hAnsi="宋体" w:eastAsia="宋体" w:cs="Times New Roman"/>
          <w:color w:val="auto"/>
          <w:sz w:val="21"/>
          <w:szCs w:val="21"/>
          <w:lang w:val="en-US" w:eastAsia="zh-CN"/>
        </w:rPr>
        <w:t xml:space="preserve">重新组织的</w:t>
      </w:r>
      <w:r>
        <w:rPr>
          <w:rFonts w:hint="eastAsia" w:ascii="宋体" w:hAnsi="宋体" w:eastAsia="宋体" w:cs="Times New Roman"/>
          <w:color w:val="auto"/>
          <w:sz w:val="21"/>
          <w:szCs w:val="21"/>
          <w:lang w:val="zh-CN" w:eastAsia="zh-CN"/>
        </w:rPr>
        <w:t xml:space="preserve">采购活动</w:t>
      </w:r>
      <w:r>
        <w:rPr>
          <w:rFonts w:hint="eastAsia"/>
          <w:sz w:val="21"/>
          <w:szCs w:val="21"/>
          <w:lang w:eastAsia="zh-CN"/>
        </w:rPr>
        <w:t xml:space="preserve">，</w:t>
      </w:r>
      <w:r>
        <w:rPr>
          <w:rFonts w:hint="eastAsia" w:ascii="宋体" w:hAnsi="宋体" w:eastAsia="宋体" w:cs="Times New Roman"/>
          <w:color w:val="auto"/>
          <w:sz w:val="21"/>
          <w:szCs w:val="21"/>
          <w:lang w:val="en-US" w:eastAsia="zh-CN"/>
        </w:rPr>
        <w:t xml:space="preserve">且将可能被拒绝参加该采购人</w:t>
      </w:r>
      <w:r>
        <w:rPr>
          <w:rFonts w:hint="eastAsia" w:ascii="宋体" w:hAnsi="宋体" w:eastAsia="宋体" w:cs="Times New Roman"/>
          <w:color w:val="auto"/>
          <w:sz w:val="21"/>
          <w:szCs w:val="21"/>
          <w:lang w:val="zh-CN" w:eastAsia="zh-CN"/>
        </w:rPr>
        <w:t xml:space="preserve">一年内</w:t>
      </w:r>
      <w:r>
        <w:rPr>
          <w:rFonts w:hint="eastAsia" w:ascii="宋体" w:hAnsi="宋体" w:eastAsia="宋体" w:cs="Times New Roman"/>
          <w:color w:val="auto"/>
          <w:sz w:val="21"/>
          <w:szCs w:val="21"/>
          <w:lang w:val="en-US" w:eastAsia="zh-CN"/>
        </w:rPr>
        <w:t xml:space="preserve">的其他</w:t>
      </w:r>
      <w:r>
        <w:rPr>
          <w:rFonts w:hint="eastAsia" w:ascii="宋体" w:hAnsi="宋体" w:eastAsia="宋体" w:cs="Times New Roman"/>
          <w:color w:val="auto"/>
          <w:sz w:val="21"/>
          <w:szCs w:val="21"/>
          <w:lang w:val="zh-CN" w:eastAsia="zh-CN"/>
        </w:rPr>
        <w:t xml:space="preserve">政府采购活动。</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lang w:val="en-US" w:eastAsia="zh-CN"/>
        </w:rPr>
        <w:t xml:space="preserve">29.</w:t>
      </w:r>
      <w:r>
        <w:rPr>
          <w:rFonts w:hint="eastAsia" w:ascii="方正楷体_GBK" w:hAnsi="方正楷体_GBK" w:eastAsia="方正楷体_GBK" w:cs="方正楷体_GBK"/>
          <w:b/>
          <w:bCs/>
          <w:sz w:val="21"/>
          <w:szCs w:val="21"/>
          <w:lang w:eastAsia="zh-CN"/>
        </w:rPr>
        <w:t xml:space="preserve">标的物</w:t>
      </w:r>
      <w:r>
        <w:rPr>
          <w:rFonts w:hint="eastAsia" w:ascii="方正楷体_GBK" w:hAnsi="方正楷体_GBK" w:eastAsia="方正楷体_GBK" w:cs="方正楷体_GBK"/>
          <w:b/>
          <w:bCs/>
          <w:sz w:val="21"/>
          <w:szCs w:val="21"/>
        </w:rPr>
        <w:t xml:space="preserve">的追加</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29</w:t>
      </w:r>
      <w:r>
        <w:rPr>
          <w:rFonts w:hint="eastAsia" w:ascii="宋体" w:hAnsi="宋体" w:eastAsia="宋体" w:cs="Times New Roman"/>
          <w:color w:val="auto"/>
          <w:sz w:val="21"/>
          <w:szCs w:val="21"/>
          <w:lang w:val="zh-CN" w:eastAsia="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合同履行中，采购人需追加与合同标的相同的</w:t>
      </w:r>
      <w:r>
        <w:rPr>
          <w:rFonts w:hint="eastAsia" w:ascii="宋体" w:hAnsi="宋体" w:cs="Times New Roman"/>
          <w:color w:val="auto"/>
          <w:sz w:val="21"/>
          <w:szCs w:val="21"/>
          <w:lang w:val="zh-CN" w:eastAsia="zh-CN"/>
        </w:rPr>
        <w:t xml:space="preserve">服务</w:t>
      </w:r>
      <w:r>
        <w:rPr>
          <w:rFonts w:hint="eastAsia" w:ascii="宋体" w:hAnsi="宋体" w:eastAsia="宋体" w:cs="Times New Roman"/>
          <w:color w:val="auto"/>
          <w:sz w:val="21"/>
          <w:szCs w:val="21"/>
          <w:lang w:val="zh-CN" w:eastAsia="zh-CN"/>
        </w:rPr>
        <w:t xml:space="preserve">（包含与</w:t>
      </w:r>
      <w:r>
        <w:rPr>
          <w:rFonts w:hint="eastAsia" w:ascii="宋体" w:hAnsi="宋体" w:cs="Times New Roman"/>
          <w:color w:val="auto"/>
          <w:sz w:val="21"/>
          <w:szCs w:val="21"/>
          <w:lang w:val="zh-CN" w:eastAsia="zh-CN"/>
        </w:rPr>
        <w:t xml:space="preserve">服务</w:t>
      </w:r>
      <w:r>
        <w:rPr>
          <w:rFonts w:hint="eastAsia" w:ascii="宋体" w:hAnsi="宋体" w:eastAsia="宋体" w:cs="Times New Roman"/>
          <w:color w:val="auto"/>
          <w:sz w:val="21"/>
          <w:szCs w:val="21"/>
          <w:lang w:val="zh-CN" w:eastAsia="zh-CN"/>
        </w:rPr>
        <w:t xml:space="preserve">相关的</w:t>
      </w:r>
      <w:r>
        <w:rPr>
          <w:rFonts w:hint="eastAsia" w:ascii="宋体" w:hAnsi="宋体" w:cs="Times New Roman"/>
          <w:color w:val="auto"/>
          <w:sz w:val="21"/>
          <w:szCs w:val="21"/>
          <w:lang w:val="zh-CN" w:eastAsia="zh-CN"/>
        </w:rPr>
        <w:t xml:space="preserve">货物</w:t>
      </w:r>
      <w:r>
        <w:rPr>
          <w:rFonts w:hint="eastAsia" w:ascii="宋体" w:hAnsi="宋体" w:eastAsia="宋体" w:cs="Times New Roman"/>
          <w:color w:val="auto"/>
          <w:sz w:val="21"/>
          <w:szCs w:val="21"/>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eastAsia="zh-CN"/>
        </w:rPr>
        <w:t xml:space="preserve">10%。</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lang w:val="en-US"/>
        </w:rPr>
      </w:pPr>
      <w:r>
        <w:rPr>
          <w:rFonts w:hint="eastAsia" w:ascii="方正黑体_GBK" w:hAnsi="方正黑体_GBK" w:eastAsia="方正黑体_GBK" w:cs="方正黑体_GBK"/>
          <w:b w:val="0"/>
          <w:bCs w:val="0"/>
          <w:color w:val="auto"/>
          <w:sz w:val="21"/>
          <w:szCs w:val="21"/>
          <w:lang w:val="en-US" w:eastAsia="zh-CN"/>
        </w:rPr>
        <w:t xml:space="preserve">八、质疑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30.1提出质疑的投标人（以下简称质疑投标人）应当是参与所质疑项目采购活动的投标人。</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30.2.1对可以质疑的招标文件提出质疑的，为收到招标文件之日或者招标文件公告期限届满之日；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30.2.2对采购过程提出质疑的，为各采购程序环节结束之日；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30.2.3对中标结果提出质疑的，为中标结果公告期限届满之日。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投标人为自然人的，应当由本人签字；投标人为法人或者其他组织的，应当由法定代表人、主要负责人，或者其授权代表签字或者盖章，并加盖公章。</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30.5质疑函及证明材料应在法定质疑期内采用书面形式递交至下列地址：</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采购代理机构：</w:t>
      </w:r>
      <w:r>
        <w:rPr>
          <w:rFonts w:hint="eastAsia"/>
          <w:spacing w:val="8"/>
          <w:szCs w:val="21"/>
          <w:lang w:eastAsia="zh-CN"/>
        </w:rPr>
        <w:t xml:space="preserve">南京永辰工程咨询管理有限公司</w:t>
      </w:r>
      <w:r>
        <w:rPr>
          <w:rFonts w:hint="eastAsia"/>
          <w:spacing w:val="8"/>
          <w:szCs w:val="21"/>
        </w:rPr>
        <w:t xml:space="preserve"> </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联系人：</w:t>
      </w:r>
      <w:r>
        <w:rPr>
          <w:rFonts w:hint="eastAsia"/>
          <w:spacing w:val="8"/>
          <w:szCs w:val="21"/>
          <w:lang w:val="en-US" w:eastAsia="zh-CN"/>
        </w:rPr>
        <w:t xml:space="preserve">王超</w:t>
      </w:r>
      <w:r/>
    </w:p>
    <w:p>
      <w:pPr>
        <w:ind w:firstLine="420"/>
        <w:spacing w:line="400" w:lineRule="exact"/>
        <w:shd w:val="clear" w:color="auto" w:fill="ffffff"/>
        <w:widowControl/>
        <w:rPr>
          <w:rFonts w:hint="eastAsia" w:ascii="宋体" w:hAnsi="宋体" w:eastAsia="宋体" w:cs="宋体"/>
          <w:sz w:val="21"/>
          <w:szCs w:val="21"/>
          <w:lang w:eastAsia="zh-CN"/>
        </w:rPr>
      </w:pPr>
      <w:r>
        <w:rPr>
          <w:rFonts w:hint="eastAsia" w:ascii="宋体" w:hAnsi="宋体" w:cs="宋体"/>
          <w:sz w:val="21"/>
          <w:szCs w:val="21"/>
          <w:lang w:val="zh-CN"/>
        </w:rPr>
        <w:t xml:space="preserve">联系电话：</w:t>
      </w:r>
      <w:r>
        <w:rPr>
          <w:rFonts w:hint="eastAsia"/>
          <w:spacing w:val="8"/>
          <w:szCs w:val="21"/>
          <w:lang w:val="en-US" w:eastAsia="zh-CN"/>
        </w:rPr>
        <w:t xml:space="preserve">18014812158</w:t>
      </w:r>
      <w:r/>
    </w:p>
    <w:p>
      <w:pPr>
        <w:ind w:firstLine="420"/>
        <w:spacing w:line="400" w:lineRule="exact"/>
        <w:shd w:val="clear" w:color="auto" w:fill="ffffff"/>
        <w:widowControl/>
        <w:rPr>
          <w:rFonts w:hint="eastAsia"/>
          <w:spacing w:val="8"/>
          <w:szCs w:val="21"/>
        </w:rPr>
      </w:pPr>
      <w:r>
        <w:rPr>
          <w:rFonts w:hint="eastAsia" w:ascii="宋体" w:hAnsi="宋体" w:cs="宋体"/>
          <w:sz w:val="21"/>
          <w:szCs w:val="21"/>
          <w:lang w:val="zh-CN"/>
        </w:rPr>
        <w:t xml:space="preserve">地址：</w:t>
      </w:r>
      <w:r>
        <w:rPr>
          <w:rFonts w:hint="eastAsia"/>
          <w:spacing w:val="8"/>
          <w:szCs w:val="21"/>
        </w:rPr>
        <w:t xml:space="preserve">南京市江宁区科建路666号1栋6楼</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30.7以下情形的质疑不予受理：</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内容不符合《政府采购质疑和投诉办法》第十二条规定的质疑。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超出政府采购法定期限的质疑。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以传真、电子邮件等方式递交的非原件形式的质疑。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未参加投标活动的供应商或在投标活动中自身权益未受到损害的供应商所提出的质疑。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供应商组成联合体参加投标，联合体中任何一方或多方未按要求签字或签章、加盖公章的质疑。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法律法规规定的其他不予受理情形。</w:t>
      </w:r>
      <w:r/>
    </w:p>
    <w:p>
      <w:pPr>
        <w:ind w:firstLine="420"/>
        <w:spacing w:line="400" w:lineRule="exact"/>
        <w:shd w:val="clear" w:color="auto" w:fill="ffffff"/>
        <w:widowControl/>
        <w:rPr>
          <w:rFonts w:hint="eastAsia" w:ascii="宋体" w:hAnsi="宋体" w:cs="宋体"/>
          <w:sz w:val="21"/>
          <w:szCs w:val="21"/>
          <w:lang w:val="zh-CN"/>
        </w:rPr>
      </w:pPr>
      <w:r>
        <w:rPr>
          <w:rFonts w:hint="eastAsia" w:ascii="宋体" w:hAnsi="宋体" w:cs="宋体"/>
          <w:sz w:val="21"/>
          <w:szCs w:val="21"/>
          <w:lang w:val="zh-CN"/>
        </w:rPr>
        <w:t xml:space="preserve">供应商提出书面质疑必须有理、有据，不得捏造事实、提供虚假材料进行恶意质疑。否则，一经查实，</w:t>
      </w:r>
      <w:r>
        <w:rPr>
          <w:rFonts w:hint="eastAsia" w:ascii="宋体" w:hAnsi="宋体" w:cs="宋体"/>
          <w:sz w:val="21"/>
          <w:szCs w:val="21"/>
          <w:lang w:val="en-US" w:eastAsia="zh-CN"/>
        </w:rPr>
        <w:t xml:space="preserve">代理公司</w:t>
      </w:r>
      <w:r>
        <w:rPr>
          <w:rFonts w:hint="eastAsia" w:ascii="宋体" w:hAnsi="宋体" w:cs="宋体"/>
          <w:sz w:val="21"/>
          <w:szCs w:val="21"/>
          <w:lang w:val="zh-CN"/>
        </w:rPr>
        <w:t xml:space="preserve">或采购人有权依据政府采购的有关规定，报请政府采购监管部门对该供应商进行相应的行政处罚和记录该供应商的失信信息。</w:t>
      </w:r>
      <w:r/>
    </w:p>
    <w:p>
      <w:pPr>
        <w:ind w:firstLine="420"/>
        <w:spacing w:line="400" w:lineRule="exact"/>
        <w:shd w:val="clear" w:color="auto" w:fill="ffffff"/>
        <w:widowControl/>
        <w:rPr>
          <w:rFonts w:hint="eastAsia" w:ascii="方正黑体_GBK" w:hAnsi="方正黑体_GBK" w:eastAsia="方正黑体_GBK" w:cs="方正黑体_GBK"/>
          <w:b w:val="0"/>
          <w:bCs w:val="0"/>
          <w:color w:val="auto"/>
          <w:sz w:val="21"/>
          <w:szCs w:val="21"/>
          <w:lang w:val="en-US" w:eastAsia="zh-CN"/>
        </w:rPr>
      </w:pPr>
      <w:r>
        <w:rPr>
          <w:rFonts w:hint="eastAsia" w:ascii="方正黑体_GBK" w:hAnsi="方正黑体_GBK" w:eastAsia="方正黑体_GBK" w:cs="方正黑体_GBK"/>
          <w:b w:val="0"/>
          <w:bCs w:val="0"/>
          <w:color w:val="auto"/>
          <w:sz w:val="21"/>
          <w:szCs w:val="21"/>
          <w:lang w:val="en-US" w:eastAsia="zh-CN"/>
        </w:rPr>
        <w:t xml:space="preserve">九、政策功能落实</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37.促进中小企业发展</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37.1 本项目服务由中小企业承接的，投标供应商享受中小企业扶持政策。</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37.3 中小企业参加政府采购活动，应当出具《中小企业声明函》，否则不享受相关中小企业支持政策。</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37.4 以联合体形式参加政府采购活动，联合体各方均为中小企业的，联合体视同中小企业。其中，联合体各方均为小微企业的，联合体视同小微企业。</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30"/>
        <w:ind w:firstLine="0"/>
        <w:spacing w:line="360" w:lineRule="auto"/>
        <w:rPr>
          <w:sz w:val="21"/>
          <w:szCs w:val="21"/>
        </w:rPr>
      </w:pPr>
      <w:r>
        <w:rPr>
          <w:rFonts w:hint="eastAsia" w:ascii="宋体" w:hAnsi="宋体" w:cs="宋体"/>
          <w:sz w:val="21"/>
          <w:szCs w:val="21"/>
          <w:lang w:val="zh-CN" w:eastAsia="zh-CN"/>
        </w:rPr>
        <w:t xml:space="preserve">37.6 残疾人福利性单位视同小型、微型企业。按照《关于促进残疾人就业政府采购政策的通知》（财库〔2017〕141号）规定，残疾人福利单位需提供《残疾人福利性单位声明函》。</w:t>
      </w:r>
      <w:r/>
    </w:p>
    <w:p>
      <w:r/>
      <w:bookmarkStart w:id="134" w:name="_Toc11112"/>
      <w:r>
        <w:br w:type="page" w:clear="all"/>
      </w:r>
      <w:r/>
    </w:p>
    <w:p>
      <w:pPr>
        <w:pStyle w:val="814"/>
        <w:numPr>
          <w:ilvl w:val="0"/>
          <w:numId w:val="0"/>
        </w:numPr>
        <w:spacing w:before="0" w:after="0" w:line="240" w:lineRule="auto"/>
      </w:pPr>
      <w:r/>
      <w:bookmarkStart w:id="135" w:name="_Toc481057145"/>
      <w:r>
        <w:t xml:space="preserve">第三章 评标标准</w:t>
      </w:r>
      <w:bookmarkEnd w:id="134"/>
      <w:r/>
      <w:bookmarkEnd w:id="135"/>
      <w:r/>
      <w:r/>
    </w:p>
    <w:p>
      <w:pPr>
        <w:spacing w:line="360" w:lineRule="auto"/>
      </w:pPr>
      <w: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Style w:val="824"/>
        <w:tblW w:w="8542" w:type="dxa"/>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546"/>
        <w:gridCol w:w="1095"/>
        <w:gridCol w:w="5436"/>
        <w:gridCol w:w="565"/>
        <w:gridCol w:w="900"/>
      </w:tblGrid>
      <w:tr>
        <w:trPr>
          <w:jc w:val="center"/>
          <w:tblCellSpacing w:w="0" w:type="dxa"/>
          <w:trHeight w:val="793"/>
        </w:trPr>
        <w:tc>
          <w:tcPr>
            <w:shd w:val="clear" w:color="auto" w:fill="auto"/>
            <w:tcBorders>
              <w:top w:val="single" w:color="000000" w:sz="2" w:space="0"/>
              <w:left w:val="single" w:color="000000" w:sz="6"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评审因素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评审细则</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类型</w:t>
            </w:r>
            <w:r/>
          </w:p>
        </w:tc>
      </w:tr>
      <w:tr>
        <w:trPr>
          <w:jc w:val="center"/>
          <w:tblCellSpacing w:w="0" w:type="dxa"/>
          <w:trHeight w:val="460"/>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1.价格</w:t>
            </w:r>
            <w:r/>
          </w:p>
        </w:tc>
      </w:tr>
      <w:tr>
        <w:trPr>
          <w:jc w:val="center"/>
          <w:tblCellSpacing w:w="0" w:type="dxa"/>
          <w:trHeight w:val="1263"/>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价格分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1"/>
                <w:szCs w:val="21"/>
              </w:rPr>
              <w:t xml:space="preserve">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投标人的最终报价。</w:t>
            </w:r>
            <w:r>
              <w:rPr>
                <w:rFonts w:hint="eastAsia" w:ascii="宋体" w:hAnsi="宋体" w:eastAsia="宋体" w:cs="宋体"/>
                <w:color w:val="000000"/>
                <w:sz w:val="21"/>
                <w:szCs w:val="21"/>
              </w:rPr>
              <w:t xml:space="preserve">（小数点保留两位）</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30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both"/>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价格分</w:t>
            </w:r>
            <w:r/>
          </w:p>
        </w:tc>
      </w:tr>
      <w:tr>
        <w:trPr>
          <w:jc w:val="center"/>
          <w:tblCellSpacing w:w="0" w:type="dxa"/>
          <w:trHeight w:val="460"/>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2.技术</w:t>
            </w:r>
            <w:r/>
          </w:p>
        </w:tc>
      </w:tr>
      <w:tr>
        <w:trPr>
          <w:jc w:val="center"/>
          <w:tblCellSpacing w:w="0" w:type="dxa"/>
          <w:trHeight w:val="1035"/>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产品技术参数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1"/>
                <w:szCs w:val="21"/>
              </w:rPr>
              <w:t xml:space="preserve">产品技术参数全部满足招标要求的得满分，打★指标为必须满足项，如有负偏离将作为无效投标；打▲号指标，根据要求提供相应证明资料，如无法响应或负偏离，每有一项负偏离扣2分，其余指标有1项负偏离扣1分，扣完为止。</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563"/>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cs="宋体" w:eastAsiaTheme="minorEastAsia"/>
                <w:bCs/>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eastAsiaTheme="minorEastAsia"/>
                <w:bCs/>
                <w:sz w:val="21"/>
                <w:szCs w:val="21"/>
                <w:lang w:val="en-US" w:eastAsia="zh-CN" w:bidi="ar-SA"/>
              </w:rPr>
              <w:t xml:space="preserve">技术方案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投标人编制本项目技术方案，至少包含1.需求分析、2.监控点位布设、3.总体设计、4.详细设计，每项内容逐条阐述，评委根据下述标准进行评分：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 10分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 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 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1980"/>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cs="宋体" w:eastAsiaTheme="minorEastAsia"/>
                <w:bCs/>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eastAsiaTheme="minorEastAsia"/>
                <w:bCs/>
                <w:sz w:val="21"/>
                <w:szCs w:val="21"/>
                <w:lang w:val="en-US" w:eastAsia="zh-CN" w:bidi="ar-SA"/>
              </w:rPr>
              <w:t xml:space="preserve">实施方案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投标人编制本项目实施方案，至少包含1.实施组织架构、2.实施部署、3 安装调试、4.质量保障、5.档案管理，每项内容逐条阐述，评委根据下述标准进行评分：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 10分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 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 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70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spacing w:line="280" w:lineRule="exact"/>
              <w:rPr>
                <w:rFonts w:hint="eastAsia" w:ascii="宋体" w:hAnsi="宋体" w:cs="宋体"/>
                <w:bCs/>
                <w:szCs w:val="21"/>
              </w:rPr>
            </w:pPr>
            <w:r>
              <w:rPr>
                <w:rFonts w:hint="eastAsia" w:ascii="宋体" w:hAnsi="宋体" w:cs="宋体"/>
                <w:bCs/>
                <w:szCs w:val="21"/>
                <w:lang w:val="en-US" w:eastAsia="zh-CN"/>
              </w:rPr>
              <w:t xml:space="preserve">培训</w:t>
            </w:r>
            <w:r>
              <w:rPr>
                <w:rFonts w:hint="eastAsia" w:ascii="宋体" w:hAnsi="宋体" w:cs="宋体"/>
                <w:bCs/>
                <w:szCs w:val="21"/>
              </w:rPr>
              <w:t xml:space="preserve">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投标人编制本项目培训方案，至少包含1.培训计划、2.培训内容、3.培训实施、4.培训质量管理，每项内容逐条阐述，评委根据下述标准进行评分：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（1）上述各项内容完善、针对性强、内容把握准确、措施有力的，该项得10分；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472"/>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3.服务</w:t>
            </w:r>
            <w:r/>
          </w:p>
        </w:tc>
      </w:tr>
      <w:tr>
        <w:trPr>
          <w:jc w:val="center"/>
          <w:tblCellSpacing w:w="0" w:type="dxa"/>
          <w:trHeight w:val="3108"/>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w:t>
            </w:r>
            <w:r>
              <w:rPr>
                <w:rFonts w:hint="eastAsia" w:ascii="宋体" w:hAnsi="宋体" w:cs="宋体"/>
                <w:color w:val="000000"/>
                <w:sz w:val="21"/>
                <w:szCs w:val="21"/>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以上每项内容逐条阐述。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（1）上述各项内容完善、针对性强、内容把握准确、措施有力的，该项得10分；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455"/>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4.业绩</w:t>
            </w:r>
            <w:r/>
          </w:p>
        </w:tc>
      </w:tr>
      <w:tr>
        <w:trPr>
          <w:jc w:val="center"/>
          <w:tblCellSpacing w:w="0" w:type="dxa"/>
          <w:trHeight w:val="120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投标人业绩</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投标人提供2023年</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月1日（含）以来类似</w:t>
            </w:r>
            <w:r>
              <w:rPr>
                <w:rFonts w:hint="eastAsia" w:ascii="宋体" w:hAnsi="宋体" w:cs="宋体"/>
                <w:color w:val="000000"/>
                <w:sz w:val="21"/>
                <w:szCs w:val="21"/>
                <w:lang w:val="en-US" w:eastAsia="zh-CN"/>
              </w:rPr>
              <w:t xml:space="preserve">视频监控</w:t>
            </w:r>
            <w:r>
              <w:rPr>
                <w:rFonts w:hint="eastAsia" w:ascii="宋体" w:hAnsi="宋体" w:eastAsia="宋体" w:cs="宋体"/>
                <w:color w:val="000000"/>
                <w:sz w:val="21"/>
                <w:szCs w:val="21"/>
              </w:rPr>
              <w:t xml:space="preserve">业绩，每提供一个业绩得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分。（时间以合同签订时间为准，未提供或提供材料不全不得分。）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269"/>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5.履约能力</w:t>
            </w:r>
            <w:r/>
          </w:p>
        </w:tc>
      </w:tr>
      <w:tr>
        <w:trPr>
          <w:jc w:val="center"/>
          <w:tblCellSpacing w:w="0" w:type="dxa"/>
          <w:trHeight w:val="387"/>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ind w:left="0" w:right="0"/>
              <w:jc w:val="center"/>
              <w:keepLines w:val="0"/>
              <w:keepNext w:val="0"/>
              <w:spacing w:before="0" w:beforeAutospacing="0" w:after="0" w:afterAutospacing="0"/>
              <w:widowControl w:val="off"/>
              <w:rPr>
                <w:rFonts w:hint="eastAsia"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项目团队能力</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投标人拟投入本项目的团队成员中：</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(1)具有CISP注册信息安全专业人员证书，每提供一人得1分，最多得 1分 ；</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(2)具有高级IT运维工程师证书，每提供一人得1分，最多得1分；</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(3)具有ITSS IT服务工程师证书，每提供一人得1分，最多得1分；</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(4)具有高处作业车操作证，每提供一人得1分，最多得1分 </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本项最多得4分，</w:t>
            </w:r>
            <w:r>
              <w:rPr>
                <w:rFonts w:hint="eastAsia" w:ascii="宋体" w:hAnsi="宋体" w:cs="宋体"/>
                <w:color w:val="000000"/>
                <w:sz w:val="21"/>
                <w:szCs w:val="21"/>
                <w:lang w:val="en-US" w:eastAsia="zh-CN" w:bidi="ar"/>
              </w:rPr>
              <w:t xml:space="preserve">不</w:t>
            </w:r>
            <w:r>
              <w:rPr>
                <w:rFonts w:hint="eastAsia" w:ascii="宋体" w:hAnsi="宋体" w:eastAsia="宋体" w:cs="宋体"/>
                <w:color w:val="auto"/>
                <w:sz w:val="21"/>
                <w:szCs w:val="21"/>
                <w:highlight w:val="none"/>
                <w:lang w:val="en-US" w:eastAsia="zh-CN"/>
              </w:rPr>
              <w:t xml:space="preserve">允许一人兼得。</w:t>
            </w:r>
            <w:r/>
          </w:p>
          <w:p>
            <w:pPr>
              <w:pStyle w:val="845"/>
              <w:ind w:left="0" w:right="0"/>
              <w:keepLines w:val="0"/>
              <w:keepNext w:val="0"/>
              <w:spacing w:before="0" w:beforeAutospacing="0" w:after="0" w:afterAutospacing="0"/>
              <w:widowControl w:val="off"/>
              <w:rPr>
                <w:rFonts w:hint="eastAsia"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(本项须提供人员相关证书扫描件及近半年内任意一个月（不含投标截止日当月）在投标供应商单位正常缴纳社会保险证明材料扫描件，未提供不予认可。)。</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54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合计</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531"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6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100</w:t>
            </w:r>
            <w:r/>
          </w:p>
        </w:tc>
      </w:tr>
    </w:tbl>
    <w:p>
      <w:pPr>
        <w:ind w:firstLine="420"/>
        <w:spacing w:line="85" w:lineRule="atLeast"/>
        <w:shd w:val="clear" w:color="ffffff" w:fill="ffffff"/>
        <w:rPr>
          <w:rFonts w:ascii="宋体" w:hAnsi="宋体" w:cs="宋体"/>
          <w:color w:val="000000"/>
        </w:rPr>
      </w:pPr>
      <w:r>
        <w:rPr>
          <w:rFonts w:ascii="宋体" w:hAnsi="宋体" w:cs="宋体"/>
          <w:color w:val="000000"/>
        </w:rPr>
      </w:r>
      <w:r/>
    </w:p>
    <w:p>
      <w:pPr>
        <w:ind w:firstLine="420"/>
        <w:spacing w:line="85" w:lineRule="atLeast"/>
        <w:shd w:val="clear" w:color="ffffff" w:fill="ffffff"/>
      </w:pPr>
      <w:r>
        <w:rPr>
          <w:rFonts w:ascii="宋体" w:hAnsi="宋体" w:cs="宋体"/>
          <w:color w:val="000000"/>
        </w:rPr>
        <w:t xml:space="preserve">注：1.以上要求提供的材料，供应商未提供或虽提供但资料不完整、无法辨识的不得分。</w:t>
      </w:r>
      <w:r/>
    </w:p>
    <w:p>
      <w:pPr>
        <w:spacing w:line="360" w:lineRule="auto"/>
        <w:rPr>
          <w:bCs/>
          <w:sz w:val="22"/>
          <w:szCs w:val="28"/>
        </w:rPr>
      </w:pPr>
      <w:r>
        <w:rPr>
          <w:bCs/>
          <w:sz w:val="22"/>
          <w:szCs w:val="28"/>
        </w:rPr>
        <w:t xml:space="preserve">说明：</w:t>
      </w:r>
      <w:r/>
    </w:p>
    <w:p>
      <w:pPr>
        <w:spacing w:line="360" w:lineRule="auto"/>
        <w:rPr>
          <w:rFonts w:hint="eastAsia" w:ascii="Arial" w:hAnsi="Arial" w:cs="Arial"/>
          <w:bCs/>
        </w:rPr>
      </w:pPr>
      <w:r>
        <w:rPr>
          <w:rFonts w:hint="eastAsia" w:ascii="Arial" w:hAnsi="Arial" w:cs="Arial"/>
          <w:bCs/>
        </w:rPr>
      </w:r>
      <w:r/>
    </w:p>
    <w:p>
      <w:pPr>
        <w:spacing w:line="360" w:lineRule="auto"/>
        <w:rPr>
          <w:rFonts w:ascii="Arial" w:hAnsi="Arial" w:cs="Arial"/>
          <w:bCs/>
        </w:rPr>
      </w:pPr>
      <w:r>
        <w:rPr>
          <w:rFonts w:hint="eastAsia" w:ascii="Arial" w:hAnsi="Arial" w:cs="Arial"/>
          <w:bCs/>
        </w:rPr>
        <w:t xml:space="preserve">1.所有认证、证明和业绩均以有效清晰的证明文件的复印件为依据。</w:t>
      </w:r>
      <w:r/>
    </w:p>
    <w:p>
      <w:pPr>
        <w:ind w:left="315"/>
        <w:spacing w:line="360" w:lineRule="auto"/>
        <w:rPr>
          <w:rFonts w:hAnsi="宋体"/>
        </w:rPr>
      </w:pPr>
      <w:r>
        <w:rPr>
          <w:rFonts w:hAnsi="宋体"/>
        </w:rPr>
        <w:t xml:space="preserve">2.小微企业价格扣除</w:t>
      </w:r>
      <w:r/>
    </w:p>
    <w:p>
      <w:pPr>
        <w:ind w:left="315" w:firstLine="210"/>
        <w:spacing w:line="360" w:lineRule="auto"/>
        <w:rPr>
          <w:rFonts w:hAnsi="宋体"/>
        </w:rPr>
      </w:pPr>
      <w:r>
        <w:rPr>
          <w:rFonts w:hint="eastAsia" w:hAnsi="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315" w:firstLine="210"/>
        <w:spacing w:line="360" w:lineRule="auto"/>
        <w:rPr>
          <w:rFonts w:hAnsi="宋体"/>
        </w:rPr>
      </w:pPr>
      <w:r>
        <w:rPr>
          <w:rFonts w:hint="eastAsia" w:hAnsi="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315"/>
        <w:spacing w:line="360" w:lineRule="auto"/>
        <w:rPr>
          <w:rFonts w:hAnsi="宋体"/>
        </w:rPr>
      </w:pPr>
      <w:r>
        <w:rPr>
          <w:rFonts w:hint="eastAsia" w:hAnsi="宋体"/>
        </w:rPr>
        <w:t xml:space="preserve">3.监狱和戒毒企业的价格扣除</w:t>
      </w:r>
      <w:r/>
    </w:p>
    <w:p>
      <w:pPr>
        <w:ind w:left="315" w:firstLine="210"/>
        <w:spacing w:line="360" w:lineRule="auto"/>
        <w:rPr>
          <w:rFonts w:hAnsi="宋体"/>
        </w:rPr>
      </w:pPr>
      <w:r>
        <w:rPr>
          <w:rFonts w:hint="eastAsia" w:hAnsi="宋体"/>
        </w:rPr>
        <w:t xml:space="preserve">3.1 本项目对监狱和戒毒企业，给予10%的价格扣除，用扣除后的价格参与评审。</w:t>
      </w:r>
      <w:r/>
    </w:p>
    <w:p>
      <w:pPr>
        <w:ind w:left="315" w:firstLine="210"/>
        <w:spacing w:line="360" w:lineRule="auto"/>
        <w:rPr>
          <w:rFonts w:hAnsi="宋体"/>
        </w:rPr>
      </w:pPr>
      <w:r>
        <w:rPr>
          <w:rFonts w:hint="eastAsia" w:hAnsi="宋体"/>
        </w:rPr>
        <w:t xml:space="preserve">3.2 监狱企业需提供由省级以上监狱管理局、戒毒管理局（含新疆生产建设兵团）出具的属于监狱企业的证明文件。</w:t>
      </w:r>
      <w:r/>
    </w:p>
    <w:p>
      <w:pPr>
        <w:ind w:left="315" w:firstLine="210"/>
        <w:spacing w:line="360" w:lineRule="auto"/>
        <w:rPr>
          <w:rFonts w:hAnsi="宋体"/>
        </w:rPr>
      </w:pPr>
      <w:r>
        <w:rPr>
          <w:rFonts w:hint="eastAsia" w:hAnsi="宋体"/>
        </w:rPr>
        <w:t xml:space="preserve">3.3 监狱企业标准请参照《关于政府采购支持监狱企业发展有关问题的通知》（财库〔2014〕68号）。</w:t>
      </w:r>
      <w:r/>
    </w:p>
    <w:p>
      <w:pPr>
        <w:ind w:left="315"/>
        <w:spacing w:line="360" w:lineRule="auto"/>
        <w:rPr>
          <w:rFonts w:hAnsi="宋体"/>
        </w:rPr>
      </w:pPr>
      <w:r>
        <w:rPr>
          <w:rFonts w:hint="eastAsia" w:hAnsi="宋体"/>
        </w:rPr>
        <w:t xml:space="preserve">4.残疾人福利性单位的价格扣除</w:t>
      </w:r>
      <w:r/>
    </w:p>
    <w:p>
      <w:pPr>
        <w:ind w:left="315" w:firstLine="210"/>
        <w:spacing w:line="360" w:lineRule="auto"/>
        <w:rPr>
          <w:rFonts w:hAnsi="宋体"/>
        </w:rPr>
      </w:pPr>
      <w:r>
        <w:rPr>
          <w:rFonts w:hint="eastAsia" w:hAnsi="宋体"/>
        </w:rPr>
        <w:t xml:space="preserve">4.1 本项目对残疾人福利性单位，给予10%的价格扣除，用扣除后的价格参与评审。</w:t>
      </w:r>
      <w:r/>
    </w:p>
    <w:p>
      <w:pPr>
        <w:ind w:left="315" w:firstLine="210"/>
        <w:spacing w:line="360" w:lineRule="auto"/>
        <w:rPr>
          <w:rFonts w:hAnsi="宋体"/>
        </w:rPr>
      </w:pPr>
      <w:r>
        <w:rPr>
          <w:rFonts w:hint="eastAsia" w:hAnsi="宋体"/>
        </w:rPr>
        <w:t xml:space="preserve">4.2 残疾人福利性单位需提供《残疾人福利性单位声明函》。</w:t>
      </w:r>
      <w:r/>
    </w:p>
    <w:p>
      <w:pPr>
        <w:ind w:left="315" w:firstLine="210"/>
        <w:spacing w:line="360" w:lineRule="auto"/>
        <w:rPr>
          <w:rFonts w:hAnsi="宋体"/>
        </w:rPr>
      </w:pPr>
      <w:r>
        <w:rPr>
          <w:rFonts w:hint="eastAsia" w:hAnsi="宋体"/>
        </w:rPr>
        <w:t xml:space="preserve">4.3 残疾人福利性单位标准请参照《关于促进残疾人就业政府采购政策的通知》（财库〔2017〕141号）。</w:t>
      </w:r>
      <w:r/>
    </w:p>
    <w:p>
      <w:pPr>
        <w:ind w:left="315"/>
        <w:spacing w:line="360" w:lineRule="auto"/>
        <w:rPr>
          <w:rFonts w:hAnsi="宋体"/>
        </w:rPr>
      </w:pPr>
      <w:r>
        <w:rPr>
          <w:rFonts w:hint="eastAsia" w:hAnsi="宋体"/>
        </w:rPr>
        <w:t xml:space="preserve">5. 监狱企业、残疾人福利性单位属于小型、微型企业的，不重复享受政策。</w:t>
      </w:r>
      <w:r/>
    </w:p>
    <w:p>
      <w:pPr>
        <w:ind w:left="315"/>
        <w:spacing w:line="360" w:lineRule="auto"/>
        <w:rPr>
          <w:rFonts w:hint="eastAsia" w:hAnsi="宋体"/>
        </w:rPr>
      </w:pPr>
      <w:r>
        <w:rPr>
          <w:rFonts w:hint="eastAsia" w:hAnsi="宋体"/>
        </w:rPr>
        <w:t xml:space="preserve">6.本国产品的价格扣除</w:t>
      </w:r>
      <w:r/>
    </w:p>
    <w:p>
      <w:pPr>
        <w:ind w:left="315" w:firstLine="210"/>
        <w:spacing w:line="360" w:lineRule="auto"/>
        <w:rPr>
          <w:rFonts w:hint="eastAsia" w:hAnsi="宋体"/>
        </w:rPr>
      </w:pPr>
      <w:r>
        <w:rPr>
          <w:rFonts w:hint="eastAsia" w:hAnsi="宋体"/>
        </w:rPr>
        <w:t xml:space="preserve">6.1本国产品标准、本国产品标准的适用范围、对本国产品的支持政策等详见《国务院办公厅关于在政府采购中实施本国产品标准及相关政策的通知》（国办发〔2025〕34号）。</w:t>
      </w:r>
      <w:r/>
    </w:p>
    <w:p>
      <w:pPr>
        <w:ind w:left="315" w:firstLine="210"/>
        <w:spacing w:line="360" w:lineRule="auto"/>
        <w:rPr>
          <w:rFonts w:hint="eastAsia" w:hAnsi="宋体"/>
        </w:rPr>
      </w:pPr>
      <w:r>
        <w:rPr>
          <w:rFonts w:hint="eastAsia" w:hAnsi="宋体"/>
        </w:rPr>
        <w:t xml:space="preserve">6.2 政府采购活动中既有本国产品又有非本国产品参与竞争的，依法对本国产品给予价格评审优惠，对本国产品的报价给予20%的价格扣除，用扣除后的价格参与评审。</w:t>
      </w:r>
      <w:r/>
    </w:p>
    <w:p>
      <w:pPr>
        <w:ind w:left="315" w:firstLine="210"/>
        <w:spacing w:line="360" w:lineRule="auto"/>
        <w:rPr>
          <w:rFonts w:hAnsi="宋体"/>
        </w:rPr>
      </w:pPr>
      <w:r>
        <w:rPr>
          <w:rFonts w:hint="eastAsia" w:hAnsi="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r/>
      <w:r/>
    </w:p>
    <w:p>
      <w:pPr>
        <w:pStyle w:val="814"/>
        <w:numPr>
          <w:ilvl w:val="0"/>
          <w:numId w:val="0"/>
        </w:numPr>
        <w:spacing w:before="0" w:after="0" w:line="240" w:lineRule="auto"/>
      </w:pPr>
      <w:r/>
      <w:bookmarkStart w:id="136" w:name="_Toc23380"/>
      <w:r>
        <w:br w:type="page" w:clear="all"/>
      </w:r>
      <w:r>
        <w:t xml:space="preserve">第四章 采购需求</w:t>
      </w:r>
      <w:bookmarkEnd w:id="136"/>
      <w:r/>
      <w:bookmarkStart w:id="137" w:name="_Toc481057147"/>
      <w:r/>
      <w:r/>
    </w:p>
    <w:p>
      <w:pPr>
        <w:pStyle w:val="862"/>
        <w:jc w:val="left"/>
        <w:spacing w:before="0" w:after="0" w:line="360" w:lineRule="auto"/>
        <w:rPr>
          <w:rFonts w:ascii="宋体" w:hAnsi="宋体" w:cs="宋体"/>
          <w:sz w:val="24"/>
          <w:szCs w:val="44"/>
        </w:rPr>
      </w:pPr>
      <w:r>
        <w:rPr>
          <w:rFonts w:hint="eastAsia" w:ascii="宋体" w:hAnsi="宋体" w:cs="宋体"/>
          <w:sz w:val="24"/>
          <w:szCs w:val="44"/>
        </w:rPr>
        <w:t xml:space="preserve">一、采购内容:</w:t>
      </w:r>
      <w:r/>
    </w:p>
    <w:p>
      <w:pPr>
        <w:ind w:firstLine="420"/>
        <w:spacing w:line="360" w:lineRule="auto"/>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lang w:eastAsia="zh-CN"/>
        </w:rPr>
        <w:t xml:space="preserve">麒麟街道监控设备采购</w:t>
      </w:r>
      <w:r>
        <w:rPr>
          <w:rFonts w:hint="eastAsia" w:ascii="宋体" w:hAnsi="宋体" w:eastAsia="宋体" w:cs="宋体"/>
        </w:rPr>
        <w:t xml:space="preserve">所需的全部设备、材料、随设备提供的备品配件及专用工具，运抵采购人项目现场，负责安装、调试，直至甲、乙双方检测、验收合格交付采购人使用。</w:t>
      </w:r>
      <w:r/>
    </w:p>
    <w:p>
      <w:pPr>
        <w:ind w:firstLine="420"/>
        <w:spacing w:line="360" w:lineRule="auto"/>
        <w:rPr>
          <w:rFonts w:hint="eastAsia" w:ascii="宋体" w:hAnsi="宋体" w:eastAsia="宋体" w:cs="宋体"/>
        </w:rPr>
      </w:pPr>
      <w:r>
        <w:rPr>
          <w:rFonts w:hint="eastAsia" w:ascii="宋体" w:hAnsi="宋体" w:eastAsia="宋体" w:cs="宋体"/>
        </w:rPr>
        <w:t xml:space="preserve">1.2响应报价，应包括本次招标范围内全部设备、材料、随设备提供的备品配件及专用工具的价格、全部税、包装费、运杂费（运抵采购人项目现场）、保险费、安装费、调试费、验收检定费及供应商认为需要的其他费用等。</w:t>
      </w:r>
      <w:r/>
    </w:p>
    <w:p>
      <w:pPr>
        <w:ind w:firstLine="420"/>
        <w:spacing w:line="360" w:lineRule="auto"/>
        <w:rPr>
          <w:rFonts w:hint="eastAsia" w:ascii="宋体" w:hAnsi="宋体" w:eastAsia="宋体" w:cs="宋体"/>
        </w:rPr>
      </w:pPr>
      <w:r>
        <w:rPr>
          <w:rFonts w:hint="eastAsia" w:ascii="宋体" w:hAnsi="宋体" w:eastAsia="宋体" w:cs="宋体"/>
        </w:rPr>
        <w:t xml:space="preserve">1.3 响应报价，以人民币元或万元为单位报价。</w:t>
      </w:r>
      <w:r/>
    </w:p>
    <w:p>
      <w:pPr>
        <w:ind w:firstLine="420"/>
        <w:spacing w:line="360" w:lineRule="auto"/>
        <w:rPr>
          <w:rFonts w:hint="default"/>
          <w:lang w:val="en-US" w:eastAsia="zh-CN"/>
        </w:rPr>
      </w:pPr>
      <w:r>
        <w:rPr>
          <w:rFonts w:hint="eastAsia" w:ascii="宋体" w:hAnsi="宋体" w:eastAsia="宋体" w:cs="宋体"/>
          <w:lang w:val="en-US" w:eastAsia="zh-CN"/>
        </w:rPr>
        <w:t xml:space="preserve">1.4项目背景：</w:t>
      </w:r>
      <w:r>
        <w:rPr>
          <w:rFonts w:hint="eastAsia" w:ascii="宋体" w:hAnsi="宋体" w:eastAsia="宋体" w:cs="宋体"/>
          <w:lang w:val="zh-CN"/>
        </w:rPr>
        <w:t xml:space="preserve">目前</w:t>
      </w:r>
      <w:r>
        <w:rPr>
          <w:rFonts w:hint="eastAsia" w:ascii="宋体" w:hAnsi="宋体" w:eastAsia="宋体" w:cs="宋体"/>
        </w:rPr>
        <w:t xml:space="preserve">麒麟</w:t>
      </w:r>
      <w:r>
        <w:rPr>
          <w:rFonts w:hint="eastAsia" w:ascii="宋体" w:hAnsi="宋体" w:eastAsia="宋体" w:cs="宋体"/>
          <w:lang w:val="zh-CN"/>
        </w:rPr>
        <w:t xml:space="preserve">街道已建</w:t>
      </w:r>
      <w:r>
        <w:rPr>
          <w:rFonts w:hint="eastAsia" w:ascii="宋体" w:hAnsi="宋体" w:eastAsia="宋体" w:cs="宋体"/>
        </w:rPr>
        <w:t xml:space="preserve">成八十余</w:t>
      </w:r>
      <w:r>
        <w:rPr>
          <w:rFonts w:hint="eastAsia" w:ascii="宋体" w:hAnsi="宋体" w:eastAsia="宋体" w:cs="宋体"/>
          <w:lang w:val="zh-CN"/>
        </w:rPr>
        <w:t xml:space="preserve">路视频监控。随着</w:t>
      </w:r>
      <w:r>
        <w:rPr>
          <w:rFonts w:hint="eastAsia" w:ascii="宋体" w:hAnsi="宋体" w:eastAsia="宋体" w:cs="宋体"/>
        </w:rPr>
        <w:t xml:space="preserve">街道</w:t>
      </w:r>
      <w:r>
        <w:rPr>
          <w:rFonts w:hint="eastAsia" w:ascii="宋体" w:hAnsi="宋体" w:eastAsia="宋体" w:cs="宋体"/>
          <w:lang w:val="zh-CN"/>
        </w:rPr>
        <w:t xml:space="preserve">建设持续推进，现有监控覆盖范围有限，存在较多监控盲区，无法对核心区域、交通枢纽周边、人员密集场所等关键位置实现全面覆盖，一方面难以及时发现治安、交通类突发事件，另一方面事件发生后也无法有效调取完整视频证据。为补齐安防短板，拟实施本项目视频监控补盲建设。</w:t>
      </w:r>
      <w:r/>
    </w:p>
    <w:p>
      <w:pPr>
        <w:numPr>
          <w:ilvl w:val="0"/>
          <w:numId w:val="5"/>
        </w:numPr>
        <w:spacing w:line="500" w:lineRule="exact"/>
        <w:rPr>
          <w:rFonts w:hint="eastAsia" w:ascii="宋体" w:hAnsi="宋体" w:cs="宋体"/>
          <w:b/>
          <w:sz w:val="24"/>
        </w:rPr>
      </w:pPr>
      <w:r>
        <w:rPr>
          <w:rFonts w:hint="eastAsia" w:ascii="宋体" w:hAnsi="宋体" w:cs="宋体"/>
          <w:b/>
          <w:sz w:val="24"/>
        </w:rPr>
        <w:t xml:space="preserve">采购清单:</w:t>
      </w:r>
      <w:r/>
    </w:p>
    <w:tbl>
      <w:tblPr>
        <w:tblStyle w:val="919"/>
        <w:tblW w:w="7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668"/>
        <w:gridCol w:w="921"/>
        <w:gridCol w:w="720"/>
        <w:gridCol w:w="930"/>
        <w:gridCol w:w="900"/>
        <w:gridCol w:w="1020"/>
        <w:gridCol w:w="1096"/>
      </w:tblGrid>
      <w:tr>
        <w:trPr>
          <w:jc w:val="center"/>
          <w:trHeight w:val="1218"/>
        </w:trPr>
        <w:tc>
          <w:tcPr>
            <w:tcW w:w="623"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序号</w:t>
            </w:r>
            <w:r/>
          </w:p>
        </w:tc>
        <w:tc>
          <w:tcPr>
            <w:tcW w:w="1668"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名称</w:t>
            </w:r>
            <w:r/>
          </w:p>
        </w:tc>
        <w:tc>
          <w:tcPr>
            <w:tcW w:w="921"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数量</w:t>
            </w:r>
            <w:r/>
          </w:p>
        </w:tc>
        <w:tc>
          <w:tcPr>
            <w:tcW w:w="72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单位</w:t>
            </w:r>
            <w:r/>
          </w:p>
        </w:tc>
        <w:tc>
          <w:tcPr>
            <w:tcW w:w="930" w:type="dxa"/>
            <w:vAlign w:val="center"/>
            <w:textDirection w:val="lrTb"/>
            <w:noWrap w:val="false"/>
          </w:tcPr>
          <w:p>
            <w:pPr>
              <w:pStyle w:val="883"/>
              <w:ind w:firstLine="0"/>
              <w:jc w:val="center"/>
              <w:spacing w:line="240" w:lineRule="auto"/>
              <w:widowControl/>
              <w:rPr>
                <w:rFonts w:hint="default" w:eastAsia="宋体"/>
                <w:b/>
                <w:bCs/>
                <w:sz w:val="20"/>
                <w:szCs w:val="20"/>
                <w:lang w:val="en-US" w:eastAsia="zh-CN"/>
              </w:rPr>
            </w:pPr>
            <w:r>
              <w:rPr>
                <w:rFonts w:hint="eastAsia"/>
                <w:b/>
                <w:bCs/>
                <w:sz w:val="20"/>
                <w:szCs w:val="20"/>
                <w:lang w:val="en-US" w:eastAsia="zh-CN"/>
              </w:rPr>
              <w:t xml:space="preserve">所属行业</w:t>
            </w:r>
            <w:r/>
          </w:p>
        </w:tc>
        <w:tc>
          <w:tcPr>
            <w:tcW w:w="90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属性</w:t>
            </w:r>
            <w:r/>
          </w:p>
        </w:tc>
        <w:tc>
          <w:tcPr>
            <w:tcW w:w="1020" w:type="dxa"/>
            <w:vAlign w:val="center"/>
            <w:textDirection w:val="lrTb"/>
            <w:noWrap w:val="false"/>
          </w:tcPr>
          <w:p>
            <w:pPr>
              <w:pStyle w:val="883"/>
              <w:ind w:firstLine="0"/>
              <w:jc w:val="center"/>
              <w:spacing w:line="240" w:lineRule="auto"/>
              <w:widowControl/>
              <w:rPr>
                <w:rFonts w:hint="eastAsia"/>
                <w:b/>
                <w:bCs/>
                <w:sz w:val="20"/>
                <w:szCs w:val="20"/>
              </w:rPr>
            </w:pPr>
            <w:r>
              <w:rPr>
                <w:rFonts w:hint="eastAsia"/>
                <w:b/>
                <w:bCs/>
                <w:sz w:val="20"/>
                <w:szCs w:val="20"/>
              </w:rPr>
              <w:t xml:space="preserve">政府强制采购节能产品</w:t>
            </w:r>
            <w:r/>
          </w:p>
        </w:tc>
        <w:tc>
          <w:tcPr>
            <w:tcW w:w="1096" w:type="dxa"/>
            <w:vAlign w:val="center"/>
            <w:textDirection w:val="lrTb"/>
            <w:noWrap w:val="false"/>
          </w:tcPr>
          <w:p>
            <w:pPr>
              <w:pStyle w:val="883"/>
              <w:ind w:firstLine="0"/>
              <w:jc w:val="center"/>
              <w:spacing w:line="240" w:lineRule="auto"/>
              <w:widowControl/>
              <w:rPr>
                <w:rFonts w:hint="eastAsia" w:eastAsia="宋体"/>
                <w:b/>
                <w:bCs/>
                <w:sz w:val="20"/>
                <w:szCs w:val="20"/>
                <w:lang w:val="en-US" w:eastAsia="zh-CN"/>
              </w:rPr>
            </w:pPr>
            <w:r>
              <w:rPr>
                <w:rFonts w:hint="eastAsia"/>
                <w:b/>
                <w:bCs/>
                <w:sz w:val="20"/>
                <w:szCs w:val="20"/>
                <w:lang w:val="en-US" w:eastAsia="zh-CN"/>
              </w:rPr>
              <w:t xml:space="preserve">备注</w:t>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高清摄像机</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2</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视频监控设备</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3</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视频存储设备</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核心设备、货物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4</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硬盘</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14</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5</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监控支架</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6</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二合一防雷器</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7</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指挥调度显示终端</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8</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横臂</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9</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监控交换机</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62</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10</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监控立杆</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100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根</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11</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室外防水箱</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12</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UPS供电电池</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13</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网线</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915</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米</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14</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电线</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1580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米</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15</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安装调试集成</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项</w:t>
            </w:r>
            <w:r/>
          </w:p>
        </w:tc>
        <w:tc>
          <w:tcPr>
            <w:tcW w:w="930" w:type="dxa"/>
            <w:vAlign w:val="top"/>
            <w:textDirection w:val="lrTb"/>
            <w:noWrap w:val="false"/>
          </w:tcPr>
          <w:p>
            <w:pPr>
              <w:pStyle w:val="883"/>
              <w:ind w:firstLine="0"/>
              <w:jc w:val="center"/>
              <w:spacing w:line="240" w:lineRule="auto"/>
              <w:widowControl/>
              <w:rPr>
                <w:rFonts w:hint="eastAsia"/>
                <w:sz w:val="20"/>
                <w:szCs w:val="20"/>
              </w:rPr>
            </w:pPr>
            <w:r>
              <w:rPr>
                <w:rFonts w:ascii="宋体" w:hAnsi="宋体" w:cs="宋体"/>
                <w:color w:val="000000"/>
                <w:szCs w:val="21"/>
              </w:rPr>
              <w:t xml:space="preserve">软件和信息技术服务业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服务</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56"/>
        </w:trPr>
        <w:tc>
          <w:tcPr>
            <w:tcW w:w="623" w:type="dxa"/>
            <w:vAlign w:val="center"/>
            <w:textDirection w:val="lrTb"/>
            <w:noWrap w:val="false"/>
          </w:tcPr>
          <w:p>
            <w:pPr>
              <w:ind w:firstLine="0"/>
              <w:jc w:val="center"/>
              <w:spacing w:line="240" w:lineRule="auto"/>
            </w:pPr>
            <w:r>
              <w:rPr>
                <w:rFonts w:hint="eastAsia"/>
              </w:rPr>
              <w:t xml:space="preserve">16</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123</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pStyle w:val="883"/>
              <w:ind w:firstLine="0"/>
              <w:jc w:val="center"/>
              <w:spacing w:line="240" w:lineRule="auto"/>
              <w:widowControl/>
              <w:rPr>
                <w:rFonts w:hint="eastAsia"/>
                <w:sz w:val="20"/>
                <w:szCs w:val="20"/>
              </w:rPr>
            </w:pPr>
            <w:r>
              <w:rPr>
                <w:rFonts w:ascii="宋体" w:hAnsi="宋体" w:cs="宋体"/>
                <w:color w:val="000000"/>
                <w:szCs w:val="21"/>
              </w:rPr>
              <w:t xml:space="preserve">软件和信息技术服务业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服务</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bl>
    <w:p>
      <w:pPr>
        <w:spacing w:line="500" w:lineRule="exact"/>
        <w:rPr>
          <w:rFonts w:hint="eastAsia" w:ascii="宋体" w:hAnsi="宋体" w:cs="宋体"/>
          <w:b/>
          <w:color w:val="000000"/>
          <w:sz w:val="24"/>
        </w:rPr>
      </w:pPr>
      <w:r>
        <w:rPr>
          <w:rFonts w:hint="eastAsia" w:ascii="宋体" w:hAnsi="宋体" w:cs="宋体"/>
          <w:b/>
          <w:color w:val="000000"/>
          <w:sz w:val="24"/>
        </w:rPr>
      </w:r>
      <w:r/>
    </w:p>
    <w:p>
      <w:pPr>
        <w:spacing w:line="500" w:lineRule="exact"/>
        <w:rPr>
          <w:rFonts w:hint="eastAsia" w:ascii="宋体" w:hAnsi="宋体" w:eastAsia="宋体" w:cs="仿宋"/>
          <w:sz w:val="24"/>
          <w:szCs w:val="24"/>
          <w:lang w:val="en-US"/>
        </w:rPr>
      </w:pPr>
      <w:r>
        <w:rPr>
          <w:rFonts w:hint="eastAsia" w:ascii="宋体" w:hAnsi="宋体" w:cs="宋体"/>
          <w:b/>
          <w:color w:val="000000"/>
          <w:sz w:val="24"/>
        </w:rPr>
        <w:t xml:space="preserve">三、商务要求：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1.报价要求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（2）供应商的任何错漏、优惠、竞争性报价不得作为减轻责任、减少服务、增加收费、降低服务质量的理由。</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2.安全实施要求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中标人须严格遵守国家及地方有关安全生产的法律法规，建立健全安全生产管理制度，落实安全责任制，确保实施过程中人员、设备和公共设施的安全。</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3.售后要求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（1）质保期限</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中标人须对所供全部货物提供不少于3年的免费质保服务，质保期自项目最终验收合格之日起计算。</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（2）售后响应</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质保期内，中标人须提供7×24小时售后服务热线。采购人报修后，中标人须在3小时内予以响应，了解故障情况并提供初步技术指导。</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经远程排查无法解决的故障，中标人须在12小时内派技术人员到达现场进行维修处理。对于影响监控覆盖的关键设备故障，须优先处理，尽快恢复系统正常运行。现场维修需更换零部件或设备的，由中标人免费提供并更换。故障设备原则上应在到场后24小时内修复完毕；特殊情况无法当场修复的，中标人须提供同型号或同等性能的备用设备先行替换，确保监控系统不中断运行。</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质保期内，中标人须每季度至少进行1次现场巡检，检查设备运行状态、网络连接情况、存储系统容量及健康度等。安防管理平台及设备固件的版本升级、安全补丁更新等由中标人免费提供，确保系统功能持续完善、安全漏洞及时修复。</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4.验收要求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全部货物交付并完成安装调试集成后，中标人须向采购人提交初验申请。采购人组织相关人员对设备数量、规格型号、安装位置、系统功能等进行检查核对，确认验收资料齐全，系统满足合同及招标文件要求后签署初验报告。初验合格后系统进入试运行阶段，试运行期不少于3个月。</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试运行期满且系统运行稳定后，中标人须向采购人提交终验申请。采购人组织相关人员对系统运行情况等进行全面评估，确认验收资料齐全、各项技术指标满足要求后签署终验报告。终验合格后系统正式投入运行，质保期自终验合格之日起计算。</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5.培训要求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在项目中间验收前，为采购人使用及维护人员提供不少于1次集中培训。培训对象、培训人数和具体名单由采购人确定。除集中培训外，若采购人个别人员存在学习需求，中标人应配合提供小范围指导服务。</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6.接入要求</w:t>
      </w:r>
      <w:r/>
    </w:p>
    <w:p>
      <w:pPr>
        <w:ind w:firstLine="420"/>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投标人需承诺所建设视频监控系统可接入江宁区公安视频综合管理应用平台，接入完成后应每月登录公安视频综合管理应用平台，对公安视频综合管理应用平台系统运行情况、设备在线情况、图像传输质量和效果进行日常检查，发现问题，应立即解决。（提供承诺函并加盖供应商公章，格式自拟）</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7.其他要求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中标人须保证所供货物及软件不存在任何知识产权纠纷。因知识产权问题引发的一切法律责任和经济赔偿由中标人承担。</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中标人须对在项目实施过程中获取的采购人相关信息严格保密，未经采购人书面同意不得向任何第三方泄露。保密义务在本项目合同终止后继续有效。</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8.交付时间</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合同签订后90日内完成供货、安装及调试。</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9.交付地点</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采购人指定。</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10.付款方式</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（1）合同签订后30日内，采购人支付合同价的30%预付款；</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（2）项目初验后30日内，支付至合同款的60%；</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（3）项目终验并出具验收报告后30日内，支付至合同款的95%；</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（4）质保期满后支付该项目尾款。</w:t>
      </w:r>
      <w:r/>
    </w:p>
    <w:p>
      <w:pPr>
        <w:ind w:firstLine="420"/>
        <w:spacing w:line="360" w:lineRule="auto"/>
        <w:rPr>
          <w:rFonts w:hint="eastAsia" w:ascii="宋体" w:hAnsi="宋体"/>
          <w:b/>
          <w:bCs/>
          <w:szCs w:val="21"/>
        </w:rPr>
      </w:pPr>
      <w:r>
        <w:rPr>
          <w:rFonts w:hint="eastAsia" w:ascii="宋体" w:hAnsi="宋体"/>
          <w:b/>
          <w:bCs/>
          <w:szCs w:val="21"/>
        </w:rPr>
        <w:t xml:space="preserve">四、履约验收方案</w:t>
      </w:r>
      <w:r/>
    </w:p>
    <w:p>
      <w:pPr>
        <w:ind w:firstLine="495"/>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、验收内容（包括每项技术和商务要求）：</w:t>
      </w:r>
      <w:r/>
    </w:p>
    <w:p>
      <w:pPr>
        <w:ind w:firstLine="420"/>
        <w:spacing w:line="360" w:lineRule="auto"/>
        <w:rPr>
          <w:rFonts w:hint="eastAsia" w:ascii="宋体" w:hAnsi="宋体" w:cs="仿宋"/>
          <w:szCs w:val="21"/>
        </w:rPr>
      </w:pPr>
      <w:r>
        <w:rPr>
          <w:rFonts w:hint="eastAsia" w:ascii="宋体" w:hAnsi="宋体" w:cs="仿宋"/>
          <w:szCs w:val="21"/>
        </w:rPr>
        <w:t xml:space="preserve">（1）产品的数量。</w:t>
      </w:r>
      <w:r/>
    </w:p>
    <w:p>
      <w:pPr>
        <w:ind w:firstLine="420"/>
        <w:spacing w:line="360" w:lineRule="auto"/>
        <w:rPr>
          <w:rFonts w:hint="eastAsia" w:ascii="宋体" w:hAnsi="宋体" w:cs="仿宋"/>
          <w:szCs w:val="21"/>
        </w:rPr>
      </w:pPr>
      <w:r>
        <w:rPr>
          <w:rFonts w:hint="eastAsia" w:ascii="宋体" w:hAnsi="宋体" w:cs="仿宋"/>
          <w:szCs w:val="21"/>
        </w:rPr>
        <w:t xml:space="preserve">（2）所有技术和商务要求的履约情况。</w:t>
      </w:r>
      <w:r/>
    </w:p>
    <w:p>
      <w:pPr>
        <w:ind w:firstLine="420"/>
        <w:spacing w:line="360" w:lineRule="auto"/>
        <w:rPr>
          <w:rFonts w:hint="eastAsia" w:ascii="宋体" w:hAnsi="宋体" w:cs="仿宋"/>
          <w:szCs w:val="21"/>
        </w:rPr>
      </w:pPr>
      <w:r>
        <w:rPr>
          <w:rFonts w:hint="eastAsia" w:ascii="宋体" w:hAnsi="宋体" w:cs="仿宋"/>
          <w:szCs w:val="21"/>
        </w:rPr>
        <w:t xml:space="preserve">（</w:t>
      </w:r>
      <w:r>
        <w:rPr>
          <w:rFonts w:ascii="宋体" w:hAnsi="宋体" w:cs="仿宋"/>
          <w:szCs w:val="21"/>
        </w:rPr>
        <w:t xml:space="preserve">3）</w:t>
      </w:r>
      <w:bookmarkStart w:id="138" w:name="_Hlk202259222"/>
      <w:r>
        <w:rPr>
          <w:rFonts w:ascii="宋体" w:hAnsi="宋体" w:cs="仿宋"/>
          <w:szCs w:val="21"/>
        </w:rPr>
        <w:t xml:space="preserve">文件、资料的提供：</w:t>
      </w:r>
      <w:r/>
    </w:p>
    <w:p>
      <w:pPr>
        <w:ind w:firstLine="420"/>
        <w:spacing w:line="360" w:lineRule="auto"/>
        <w:rPr>
          <w:rFonts w:hint="eastAsia" w:ascii="宋体" w:hAnsi="宋体" w:cs="仿宋"/>
          <w:szCs w:val="21"/>
        </w:rPr>
      </w:pPr>
      <w:r>
        <w:rPr>
          <w:rFonts w:ascii="宋体" w:hAnsi="宋体" w:cs="仿宋"/>
          <w:szCs w:val="21"/>
        </w:rPr>
        <w:t xml:space="preserve">1）中标人在到货前，</w:t>
      </w:r>
      <w:r>
        <w:rPr>
          <w:rFonts w:ascii="宋体" w:hAnsi="宋体" w:cs="仿宋"/>
          <w:sz w:val="24"/>
          <w:szCs w:val="24"/>
        </w:rPr>
        <w:t xml:space="preserve">向</w:t>
      </w:r>
      <w:r>
        <w:rPr>
          <w:rFonts w:hint="eastAsia" w:ascii="宋体" w:hAnsi="宋体" w:cs="仿宋"/>
          <w:sz w:val="24"/>
          <w:szCs w:val="24"/>
        </w:rPr>
        <w:t xml:space="preserve">采购人</w:t>
      </w:r>
      <w:r>
        <w:rPr>
          <w:rFonts w:ascii="宋体" w:hAnsi="宋体" w:cs="仿宋"/>
          <w:sz w:val="24"/>
          <w:szCs w:val="24"/>
        </w:rPr>
        <w:t xml:space="preserve">提供安装所需的资料，操作规程和使用说明书、维护手册和保养所需的各种资料。</w:t>
      </w:r>
      <w:r/>
    </w:p>
    <w:p>
      <w:pPr>
        <w:ind w:firstLine="420"/>
        <w:spacing w:line="360" w:lineRule="auto"/>
        <w:rPr>
          <w:rFonts w:hint="eastAsia" w:ascii="宋体" w:hAnsi="宋体" w:cs="仿宋"/>
          <w:szCs w:val="21"/>
        </w:rPr>
      </w:pPr>
      <w:r>
        <w:rPr>
          <w:rFonts w:ascii="宋体" w:hAnsi="宋体" w:cs="仿宋"/>
          <w:szCs w:val="21"/>
        </w:rPr>
        <w:t xml:space="preserve">2）中标人在交货时，应同时提供装箱清单、有关测试报告、产品合格证书，所提供的设备、部件或材料。</w:t>
      </w:r>
      <w:r/>
    </w:p>
    <w:p>
      <w:pPr>
        <w:ind w:firstLine="420"/>
        <w:spacing w:line="360" w:lineRule="auto"/>
        <w:rPr>
          <w:rFonts w:hint="eastAsia" w:ascii="宋体" w:hAnsi="宋体" w:cs="仿宋"/>
          <w:szCs w:val="21"/>
        </w:rPr>
      </w:pPr>
      <w:r>
        <w:rPr>
          <w:rFonts w:ascii="宋体" w:hAnsi="宋体" w:cs="仿宋"/>
          <w:szCs w:val="21"/>
        </w:rPr>
        <w:t xml:space="preserve">3）中标人供给采购人的设备、材料及中标人自己的施工用具，进入采购人工地现场后的保管，由中标人负责；中标人在采购人工地现场安装、调试、验收人员的水电（费用）、安全、保险、食宿、交通等由中标人负责；现场施工与其他单位的配合与协调由中标人负责，为交钥匙项目。</w:t>
      </w:r>
      <w:bookmarkEnd w:id="138"/>
      <w:r/>
      <w:r/>
    </w:p>
    <w:p>
      <w:pPr>
        <w:ind w:firstLine="495"/>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、验收标准（包括所有客观、量化指标）：</w:t>
      </w:r>
      <w:r/>
    </w:p>
    <w:p>
      <w:pPr>
        <w:ind w:firstLine="420"/>
        <w:spacing w:line="360" w:lineRule="auto"/>
        <w:rPr>
          <w:rFonts w:hint="eastAsia" w:ascii="宋体" w:hAnsi="宋体" w:cs="仿宋"/>
          <w:szCs w:val="21"/>
        </w:rPr>
      </w:pPr>
      <w:r>
        <w:rPr>
          <w:rFonts w:hint="eastAsia" w:ascii="宋体" w:hAnsi="宋体" w:cs="仿宋"/>
          <w:szCs w:val="21"/>
        </w:rPr>
        <w:t xml:space="preserve">（1）国家或行业相关标准；</w:t>
      </w:r>
      <w:r/>
    </w:p>
    <w:p>
      <w:pPr>
        <w:ind w:firstLine="420"/>
        <w:spacing w:line="360" w:lineRule="auto"/>
        <w:rPr>
          <w:rFonts w:hint="eastAsia" w:ascii="宋体" w:hAnsi="宋体" w:cs="仿宋"/>
          <w:szCs w:val="21"/>
        </w:rPr>
      </w:pPr>
      <w:r>
        <w:rPr>
          <w:rFonts w:hint="eastAsia" w:ascii="宋体" w:hAnsi="宋体" w:cs="仿宋"/>
          <w:szCs w:val="21"/>
        </w:rPr>
        <w:t xml:space="preserve">（2）合同、招标采购文件的要求、投标/响应等文件的承诺。</w:t>
      </w:r>
      <w:r/>
    </w:p>
    <w:p>
      <w:pPr>
        <w:pStyle w:val="847"/>
        <w:ind w:left="0" w:firstLine="0"/>
        <w:rPr>
          <w:rFonts w:hint="default" w:ascii="宋体" w:hAnsi="宋体" w:eastAsia="黑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五、拟采购标的技术参数</w:t>
      </w:r>
      <w:r/>
    </w:p>
    <w:tbl>
      <w:tblPr>
        <w:tblStyle w:val="919"/>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685"/>
        <w:gridCol w:w="5389"/>
        <w:gridCol w:w="1140"/>
        <w:gridCol w:w="714"/>
      </w:tblGrid>
      <w:tr>
        <w:trPr>
          <w:jc w:val="center"/>
          <w:trHeight w:val="1218"/>
        </w:trPr>
        <w:tc>
          <w:tcPr>
            <w:tcW w:w="592"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序号</w:t>
            </w:r>
            <w:r/>
          </w:p>
        </w:tc>
        <w:tc>
          <w:tcPr>
            <w:tcW w:w="685"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名称</w:t>
            </w:r>
            <w:r/>
          </w:p>
        </w:tc>
        <w:tc>
          <w:tcPr>
            <w:tcW w:w="5389"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参数要求</w:t>
            </w:r>
            <w:r/>
          </w:p>
        </w:tc>
        <w:tc>
          <w:tcPr>
            <w:tcW w:w="114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数量</w:t>
            </w:r>
            <w:r/>
          </w:p>
        </w:tc>
        <w:tc>
          <w:tcPr>
            <w:tcW w:w="714"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单位</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高清摄像机</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400万变焦筒型网络摄像机</w:t>
            </w:r>
            <w:r/>
          </w:p>
          <w:p>
            <w:pPr>
              <w:ind w:firstLine="0"/>
              <w:jc w:val="left"/>
              <w:spacing w:line="240" w:lineRule="auto"/>
              <w:widowControl/>
              <w:rPr>
                <w:rFonts w:hint="eastAsia" w:ascii="宋体" w:hAnsi="宋体" w:eastAsia="宋体" w:cs="宋体"/>
                <w:color w:val="000000"/>
                <w:sz w:val="22"/>
                <w:szCs w:val="22"/>
                <w:lang w:eastAsia="zh-CN" w:bidi="ar"/>
              </w:rPr>
            </w:pPr>
            <w:r>
              <w:rPr>
                <w:rFonts w:hint="eastAsia" w:ascii="宋体" w:hAnsi="宋体" w:cs="宋体"/>
                <w:color w:val="000000"/>
                <w:sz w:val="22"/>
                <w:szCs w:val="22"/>
                <w:lang w:bidi="ar"/>
              </w:rPr>
              <w:t xml:space="preserve">▲1、靶面尺寸为1/2.7英寸，内置1个麦克风，具有1个RJ45 网络接口，1路音频输入、1路音频输出、1路报警输入、1路报警输出、1 个复位按钮、1个 SD 卡槽、1个 DC12V 电压输出接口。</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2、支持输出图像分辨率不低于2560x1440。</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▲3、最低照度彩色：0.005 lx，最大亮度鉴别等级不小于11级。</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4、补光距离：红外不低于50 m，白光不低于30 m。</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▲5、支持电动变焦，焦距不低于2.7~13.5 mm。</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6、支持背光补偿，强光抑制，3D数字降噪，数字宽动态。</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具备区域入侵、越界、进入区域、离开区域、人员聚集、快速移动、徘徊、物品移除、物品遗留、停车智能分析功能，当以上智能分析行为达到设定的阈值时，可通过客户端软件或IE浏览器给出报警提示。（提供封面具有CNAS或CMA标志的国家级检测中心检验报告复印件证明并加盖原厂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8、支持H.264、H.265视频编码格式，且具有High Profile编码能力。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9、支持电源电源在DC12V±25%范围内变化时正常工作，支持POE。</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▲10、IP67防护等级。（提供封面具有CNAS或CMA标志的国家级检测中心检验报告复印件证明并加盖公章)</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2</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视频监控设备</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1、提供350路视频监控接入授权，提供350路视频在离线监测授权；</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2、提供视频点位联网服务能力，用于平台域间视频联网，基于视频通用标准协议（GB/T28181-2011,GB/T28181-2016）与外域平台互联互通，实现平台视频资源点位推送等操作控制；</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3、提供门户首页内容自定义能力，支持自定义快捷入口、自定义菜单内容、自定义页面元素设置；支持门户展示元素自定义，包括页面logo图标、修改网站标题、设置并添加网站外部链接；</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4、提供统一的认证、鉴权管理、应用管理、菜单管理、用户管理、角色管理、组织管理、资源管理等能力；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▲5、支持配置不同角色权限，包括菜单权限、组织权限、区域权限、资源权限、功能控制权限；（提供封面具有CNAS或CMA标志的国家级检测中心检验报告复印件证明并加盖公章)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6、提供用户权限管理能力，包括菜单权限、组织权限、区域权限、资源权限、功能控制权限；</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7、支持视频实时预览能力，实现预览窗口布局切换、预览画面自适应及全屏切换；</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8、支持云台控制、实时抓图、紧急录像、即时回放、主子码流切换、声音开启\关闭、辅屏预览（1个辅屏）的能力；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9、支持录像计划管理能力，支持实时录像计划、录像回传计划；</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▲10、支持客户端预览记忆功能，包括当前预览的监控点和当前分屏状态。（提供封面具有CNAS或CMA标志的国家级检测中心检验报告复印件证明并加盖公章)                                                                                                                                                                                    </w:t>
            </w:r>
            <w:r>
              <w:rPr>
                <w:rFonts w:ascii="宋体" w:hAnsi="宋体" w:cs="宋体"/>
                <w:color w:val="000000"/>
                <w:sz w:val="22"/>
                <w:szCs w:val="22"/>
                <w:lang w:bidi="ar"/>
              </w:rPr>
              <w:t xml:space="preserve">            </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11、提供统一的认证、鉴权管理、应用管理、菜单管理、用户管理、角色管理、组织管理、资源管理等能力；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12、提供用户权限管理能力，包括菜单权限、组织权限、区域权限、资源权限、功能控制权限；</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13、提供组织、区域、设备、人员、卡片、车辆等资源统一管理；</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14、提供用户安全管理，支持账户绑定用户mac地址及IP地址能力，提供账户安全设置，支持账户密码有效期设置，支持登录类型（Web端、PC客户端、移动端）和认证方式（密码、PKI）的配置；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15、提供NTP校时服务能力，支持对设备和服务器统一校时;</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16、提供数据、服务等统一开放能力；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17、提供系统运行状态监测能力，包括运行服务监控、运行服务统计、运行数据报告和运行服务解析概览。                                                             18、支持录像计划管理能力，支持实时录像计划、录像回传计划；</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19、支持录像回放能力，支持多画面同步回放和异步回放切换、超高倍速回放、分段回放、录像下载、录像剪辑、录像标签、录像锁定、录像抓图；                20、支持视频预览与图片实时监控模式切换能力，实现图片监控模式；</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21、支持图片查询回放能力，实现按监控点、时间段展示抓拍图片；</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22、支持图片自动播放能力，支持图片自动播放速度可设置；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23、支持图片下载能力；</w:t>
            </w:r>
            <w:r/>
          </w:p>
          <w:p>
            <w:pPr>
              <w:pStyle w:val="847"/>
              <w:ind w:firstLine="0"/>
              <w:rPr>
                <w:rFonts w:hint="eastAsia"/>
                <w:lang w:val="en-US" w:bidi="ar"/>
              </w:rPr>
            </w:pPr>
            <w:r>
              <w:rPr>
                <w:rFonts w:hint="eastAsia"/>
                <w:lang w:val="en-US" w:bidi="ar"/>
              </w:rPr>
              <w:t xml:space="preserve">24、硬盘：配置2块600G 10K 2.5英寸 SAS盘，最高支持前置3块3.5寸（兼容2.5寸）热插拔SATA/SAS硬盘</w:t>
            </w:r>
            <w:r/>
          </w:p>
          <w:p>
            <w:pPr>
              <w:pStyle w:val="847"/>
              <w:ind w:firstLine="0"/>
              <w:rPr>
                <w:rFonts w:hint="eastAsia"/>
                <w:lang w:val="en-US" w:bidi="ar"/>
              </w:rPr>
            </w:pPr>
            <w:r>
              <w:rPr>
                <w:rFonts w:hint="eastAsia"/>
                <w:lang w:val="en-US" w:bidi="ar"/>
              </w:rPr>
              <w:t xml:space="preserve">25、阵列卡：配置1块SAS_HBA卡(支持RAID 0/1/10)</w:t>
            </w:r>
            <w:r/>
          </w:p>
          <w:p>
            <w:pPr>
              <w:pStyle w:val="847"/>
              <w:ind w:firstLine="0"/>
              <w:rPr>
                <w:lang w:val="en-US" w:bidi="ar"/>
              </w:rPr>
            </w:pPr>
            <w:r>
              <w:rPr>
                <w:rFonts w:hint="eastAsia"/>
                <w:lang w:val="en-US" w:bidi="ar"/>
              </w:rPr>
              <w:t xml:space="preserve">26、网口：板载2个千兆电口</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3</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视频存储设备</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机架式36盘位网络存储设备，</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★1、磁盘接口：36个SATA接口，支持硬盘热插拔</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提供承诺函，承诺</w:t>
            </w:r>
            <w:r>
              <w:rPr>
                <w:rFonts w:ascii="宋体" w:hAnsi="宋体" w:cs="宋体"/>
                <w:color w:val="000000"/>
                <w:szCs w:val="21"/>
              </w:rPr>
              <w:t xml:space="preserve">签订合同时提供技术支持资料，包括但不限于白皮书、彩页、手册、官网截图、第三方检测报告等相关证明材料</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承诺函格式自拟</w:t>
            </w:r>
            <w:r>
              <w:rPr>
                <w:rFonts w:hint="eastAsia" w:ascii="宋体" w:hAnsi="宋体" w:cs="宋体"/>
                <w:color w:val="000000"/>
                <w:sz w:val="22"/>
                <w:szCs w:val="22"/>
                <w:lang w:eastAsia="zh-CN" w:bidi="ar"/>
              </w:rPr>
              <w:t xml:space="preserve">）</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▲2、具有1个RS232串口/CONSOLE接口，1个VGA接口，1个HDMI接口，2个USB2.0接口，2个USB3.0接口，3个2.5G网口，1个2.5G管理网口，1个Esata接口，采用可热插拔1+1AC220V电源</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3、视频性能：最大支持接入450路</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4、回放性能：最大支持45路2Mbps</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5、支持视频流直写</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6、支持ONVIF、GB/T 28181、RTSP等标准协议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7、支持VRAID、RAID0、1、5、6、10、50等多种RAID模式</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8、支持局部重构，原盘或其克隆盘拔出设备后再插回，未被覆盖数据可快速恢复    </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4</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硬盘</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▲1、8TB容量，3.5英寸，SATA3.0接口，7200RPM</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2、空气盘， CMR传统磁记录</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3、传输速率267 MB/s，256MB高速缓存，流畅存储视频有效防止丢帧</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4、MTBF可达2,000,000小时</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5、支持3年有限质保服务</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14</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5</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监控支架</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材质：铝合金，机器折弯，全热镀锌喷塑，尺寸：120MM*110MM*3MM</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6</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二合一防雷器</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rPr>
              <w:t xml:space="preserve">网络+电源，放电电流10KA，额定电压：60V，保护电压：150V，工作温度：-40度至80度</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7</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指挥调度显示终端</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底座高度：200-1200mm</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后拉杆长度：0-1800mm</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颜色：黑色</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表面处理：静电喷塑，涂层厚度&gt;60微米</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物理分辨率：1920 × 1080@60Hz（向下兼容）</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亮度：500 ± 10% cd/m²</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HDMI 1.4 × 1, DVI × 1, USB 2.0 × 1</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音视频输出接口：无</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控制接口：RS-232 IN × 1, RS-232 OUT × 1, IR IN x 1 </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产品尺寸：1213.93(W) mm × 684.78 (H) mm × 51.43 (D) mm   </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8</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横臂</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1、材质选用优质低碳钢Q235-A型，ф76MM壁厚2.5mm，臂长2M，横杆整体热镀锌喷塑后表面聚酯粉体涂装色泽鲜艳，防腐防锈。法兰底座。</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2、含配套固定件及辅材。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9</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监控交换机</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支持5个10/100/1000Base-T电口,交换容量：10GB，包转发：7.4Mpps</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汇聚上联，端口隔离</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62</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10</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监控立杆</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1、材质选用优质低碳钢Q235-A型，总高6米，上口100mm，下口185mm，壁厚3.0mm，臂长1.2M，立杆整体热镀锌喷塑后表面聚酯粉体涂装色泽鲜艳，防腐防锈。法兰对角350*350*18个厚。</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2、含配套混凝土预埋件及辅材。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11</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室外防水箱</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国标304不锈钢材质箱体450MM*300MM*250MM，含插排、空开等，含配套辅材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12</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UPS供电电池</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功率： 200W  输出电压：DC12V，动力锂电池12V100AH，续航工作时间：72小时，含光伏发电系统及配套支架辅材等</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13</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网线</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单股线径：0.5MM，线规：24AWG纯铜</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915</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14</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电线</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ZA-RVV2*1.0,导体材质：国标无氧铜，绝缘材质：阻燃聚氯乙烯护套</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1580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15</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安装调试集成</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系统安装、调试与集成等技术服务</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r>
      <w:tr>
        <w:trPr>
          <w:jc w:val="center"/>
          <w:trHeight w:val="356"/>
        </w:trPr>
        <w:tc>
          <w:tcPr>
            <w:tcW w:w="592" w:type="dxa"/>
            <w:vAlign w:val="center"/>
            <w:textDirection w:val="lrTb"/>
            <w:noWrap w:val="false"/>
          </w:tcPr>
          <w:p>
            <w:pPr>
              <w:ind w:firstLine="0"/>
              <w:jc w:val="center"/>
              <w:spacing w:line="240" w:lineRule="auto"/>
            </w:pPr>
            <w:r>
              <w:rPr>
                <w:rFonts w:hint="eastAsia"/>
              </w:rPr>
              <w:t xml:space="preserve">16</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 100M VPN宽带，服务期不少于3年。</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123</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bl>
    <w:p>
      <w:pPr>
        <w:pStyle w:val="814"/>
        <w:numPr>
          <w:ilvl w:val="0"/>
          <w:numId w:val="6"/>
        </w:numPr>
      </w:pPr>
      <w:r>
        <w:rPr>
          <w:rFonts w:ascii="宋体" w:hAnsi="宋体" w:eastAsia="Arial" w:cs="宋体"/>
          <w:sz w:val="24"/>
          <w:shd w:val="clear" w:color="auto" w:fill="ffffff"/>
        </w:rPr>
        <w:br w:type="page" w:clear="all"/>
      </w:r>
      <w:bookmarkStart w:id="139" w:name="_Toc15239"/>
      <w:r>
        <w:t xml:space="preserve">合同主要条款及格式</w:t>
      </w:r>
      <w:bookmarkEnd w:id="137"/>
      <w:r/>
      <w:bookmarkEnd w:id="139"/>
      <w:r/>
      <w:r/>
    </w:p>
    <w:p>
      <w:pPr>
        <w:jc w:val="center"/>
        <w:spacing w:line="360" w:lineRule="auto"/>
        <w:rPr>
          <w:rFonts w:ascii="宋体" w:hAnsi="宋体"/>
          <w:b/>
          <w:bCs/>
          <w:sz w:val="32"/>
          <w:szCs w:val="32"/>
        </w:rPr>
      </w:pPr>
      <w:r>
        <w:rPr>
          <w:rFonts w:hint="eastAsia" w:ascii="宋体" w:hAnsi="宋体" w:cs="宋体"/>
          <w:b/>
          <w:bCs/>
          <w:sz w:val="32"/>
          <w:szCs w:val="32"/>
          <w:lang w:val="zh-CN"/>
        </w:rPr>
        <w:t xml:space="preserve">麒麟街道监控设备采购</w:t>
      </w:r>
      <w:r>
        <w:rPr>
          <w:rFonts w:hint="eastAsia" w:ascii="宋体" w:hAnsi="宋体"/>
          <w:b/>
          <w:bCs/>
          <w:sz w:val="32"/>
          <w:szCs w:val="32"/>
        </w:rPr>
        <w:t xml:space="preserve">合同</w:t>
      </w:r>
      <w:r/>
    </w:p>
    <w:p>
      <w:pPr>
        <w:pStyle w:val="1225"/>
        <w:ind w:firstLine="0"/>
        <w:jc w:val="center"/>
        <w:rPr>
          <w:sz w:val="32"/>
          <w:szCs w:val="32"/>
        </w:rPr>
      </w:pPr>
      <w:r>
        <w:rPr>
          <w:rFonts w:hint="eastAsia"/>
          <w:sz w:val="32"/>
          <w:szCs w:val="32"/>
        </w:rPr>
        <w:t xml:space="preserve">（仅供参考）</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spacing w:line="360" w:lineRule="auto"/>
        <w:rPr>
          <w:sz w:val="32"/>
          <w:szCs w:val="32"/>
        </w:rPr>
      </w:pPr>
      <w:r>
        <w:rPr>
          <w:rFonts w:hint="eastAsia" w:ascii="宋体" w:hAnsi="宋体"/>
          <w:sz w:val="32"/>
          <w:szCs w:val="32"/>
        </w:rPr>
        <w:t xml:space="preserve"> </w:t>
      </w:r>
      <w:r/>
    </w:p>
    <w:p>
      <w:pP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cs="宋体"/>
          <w:b/>
          <w:bCs/>
          <w:sz w:val="32"/>
          <w:szCs w:val="32"/>
          <w:lang w:val="zh-CN"/>
        </w:rPr>
        <w:t xml:space="preserve">麒麟街道监控设备采购</w:t>
      </w:r>
      <w:r/>
    </w:p>
    <w:p>
      <w:pPr>
        <w:spacing w:line="360" w:lineRule="auto"/>
        <w:rPr>
          <w:rFonts w:hint="eastAsia" w:ascii="宋体" w:hAnsi="宋体" w:eastAsia="宋体"/>
          <w:b/>
          <w:sz w:val="32"/>
          <w:szCs w:val="32"/>
          <w:lang w:eastAsia="zh-CN"/>
        </w:rPr>
      </w:pPr>
      <w:r>
        <w:rPr>
          <w:rFonts w:hint="eastAsia" w:ascii="宋体" w:hAnsi="宋体"/>
          <w:b/>
          <w:sz w:val="32"/>
          <w:szCs w:val="32"/>
        </w:rPr>
        <w:t xml:space="preserve">甲    方：</w:t>
      </w:r>
      <w:r>
        <w:rPr>
          <w:rFonts w:hint="eastAsia" w:ascii="宋体" w:hAnsi="宋体"/>
          <w:b/>
          <w:sz w:val="32"/>
          <w:szCs w:val="32"/>
          <w:lang w:eastAsia="zh-CN"/>
        </w:rPr>
        <w:t xml:space="preserve">南京市江宁区人民政府麒麟街道办事处</w:t>
      </w:r>
      <w:r/>
    </w:p>
    <w:p>
      <w:pPr>
        <w:spacing w:line="360" w:lineRule="auto"/>
        <w:rPr>
          <w:rFonts w:ascii="宋体" w:hAnsi="宋体"/>
          <w:b/>
          <w:sz w:val="32"/>
          <w:szCs w:val="32"/>
        </w:rPr>
      </w:pPr>
      <w:r>
        <w:rPr>
          <w:rFonts w:hint="eastAsia" w:ascii="宋体" w:hAnsi="宋体"/>
          <w:b/>
          <w:sz w:val="32"/>
          <w:szCs w:val="32"/>
        </w:rPr>
        <w:t xml:space="preserve">乙    方：</w:t>
      </w:r>
      <w:r>
        <w:rPr>
          <w:rFonts w:hint="eastAsia" w:ascii="宋体" w:hAnsi="宋体"/>
          <w:b/>
          <w:sz w:val="32"/>
          <w:szCs w:val="32"/>
          <w:u w:val="single"/>
        </w:rPr>
        <w:t xml:space="preserve">           </w:t>
      </w:r>
      <w:r/>
    </w:p>
    <w:p>
      <w:pPr>
        <w:spacing w:line="360" w:lineRule="auto"/>
        <w:rPr>
          <w:rFonts w:ascii="宋体" w:hAnsi="宋体"/>
          <w:b/>
          <w:sz w:val="32"/>
          <w:szCs w:val="32"/>
        </w:rPr>
      </w:pPr>
      <w:r>
        <w:rPr>
          <w:rFonts w:hint="eastAsia" w:ascii="宋体" w:hAnsi="宋体"/>
          <w:b/>
          <w:sz w:val="32"/>
          <w:szCs w:val="32"/>
        </w:rPr>
        <w:t xml:space="preserve">签订日期：</w:t>
      </w:r>
      <w:r>
        <w:rPr>
          <w:rFonts w:hint="eastAsia" w:ascii="宋体" w:hAnsi="宋体"/>
          <w:b/>
          <w:sz w:val="32"/>
          <w:szCs w:val="32"/>
          <w:u w:val="single"/>
        </w:rPr>
        <w:t xml:space="preserve">           </w:t>
      </w:r>
      <w:r/>
    </w:p>
    <w:p>
      <w:pPr>
        <w:jc w:val="left"/>
        <w:widowControl/>
        <w:rPr>
          <w:rFonts w:ascii="宋体" w:hAnsi="宋体"/>
        </w:rPr>
      </w:pPr>
      <w:r>
        <w:rPr>
          <w:rFonts w:hint="eastAsia" w:ascii="宋体" w:hAnsi="宋体"/>
        </w:rPr>
        <w:br w:type="page" w:clear="all"/>
      </w:r>
      <w:r>
        <w:rPr>
          <w:rFonts w:hint="eastAsia" w:ascii="宋体" w:hAnsi="宋体"/>
        </w:rPr>
        <w:t xml:space="preserve">合同编号：</w:t>
      </w:r>
      <w:r/>
    </w:p>
    <w:p>
      <w:pPr>
        <w:spacing w:line="360" w:lineRule="auto"/>
        <w:rPr>
          <w:rFonts w:ascii="宋体" w:hAnsi="宋体"/>
        </w:rPr>
      </w:pPr>
      <w:r>
        <w:rPr>
          <w:rFonts w:hint="eastAsia" w:ascii="宋体" w:hAnsi="宋体"/>
        </w:rPr>
        <w:t xml:space="preserve">政府采购计划号：</w:t>
      </w:r>
      <w:r/>
    </w:p>
    <w:p>
      <w:pPr>
        <w:spacing w:line="360" w:lineRule="auto"/>
        <w:rPr>
          <w:rFonts w:ascii="宋体" w:hAnsi="宋体"/>
        </w:rPr>
      </w:pPr>
      <w:r>
        <w:rPr>
          <w:rFonts w:hint="eastAsia" w:ascii="宋体" w:hAnsi="宋体"/>
        </w:rPr>
        <w:t xml:space="preserve"> </w:t>
      </w:r>
      <w:r/>
    </w:p>
    <w:tbl>
      <w:tblPr>
        <w:tblStyle w:val="82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jc w:val="cente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spacing w:line="360" w:lineRule="auto"/>
              <w:rPr>
                <w:rFonts w:hint="eastAsia" w:ascii="宋体" w:hAnsi="宋体" w:eastAsia="宋体"/>
                <w:szCs w:val="21"/>
                <w:lang w:eastAsia="zh-CN"/>
              </w:rPr>
            </w:pPr>
            <w:r>
              <w:rPr>
                <w:rFonts w:hint="eastAsia" w:ascii="宋体" w:hAnsi="宋体"/>
              </w:rPr>
              <w:t xml:space="preserve">采购人（以下称甲方）：</w:t>
            </w:r>
            <w:r>
              <w:rPr>
                <w:rFonts w:hint="eastAsia" w:ascii="宋体" w:hAnsi="宋体"/>
                <w:lang w:eastAsia="zh-CN"/>
              </w:rPr>
              <w:t xml:space="preserve">南京市江宁区人民政府麒麟街道办事处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spacing w:line="360" w:lineRule="auto"/>
              <w:rPr>
                <w:rFonts w:ascii="宋体" w:hAnsi="宋体"/>
                <w:szCs w:val="21"/>
              </w:rPr>
            </w:pPr>
            <w:r>
              <w:rPr>
                <w:rFonts w:hint="eastAsia" w:ascii="宋体" w:hAnsi="宋体"/>
              </w:rPr>
              <w:t xml:space="preserve">供应商单位（以下称乙方）：</w:t>
            </w:r>
            <w:r/>
          </w:p>
        </w:tc>
      </w:tr>
      <w:tr>
        <w:trPr>
          <w:jc w:val="cente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spacing w:line="360" w:lineRule="auto"/>
              <w:rPr>
                <w:rFonts w:ascii="宋体" w:hAnsi="宋体"/>
                <w:szCs w:val="21"/>
              </w:rPr>
            </w:pPr>
            <w:r>
              <w:rPr>
                <w:rFonts w:hint="eastAsia" w:ascii="宋体" w:hAnsi="宋体"/>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spacing w:line="360" w:lineRule="auto"/>
              <w:rPr>
                <w:rFonts w:ascii="宋体" w:hAnsi="宋体"/>
                <w:szCs w:val="21"/>
              </w:rPr>
            </w:pPr>
            <w:r>
              <w:rPr>
                <w:rFonts w:hint="eastAsia" w:ascii="宋体" w:hAnsi="宋体"/>
              </w:rPr>
              <w:t xml:space="preserve">住所地：</w:t>
            </w:r>
            <w:r/>
          </w:p>
        </w:tc>
      </w:tr>
    </w:tbl>
    <w:p>
      <w:pPr>
        <w:spacing w:line="360" w:lineRule="auto"/>
        <w:rPr>
          <w:rFonts w:ascii="宋体" w:hAnsi="宋体"/>
          <w:szCs w:val="21"/>
        </w:rPr>
      </w:pPr>
      <w:r>
        <w:rPr>
          <w:rFonts w:hint="eastAsia" w:ascii="宋体" w:hAnsi="宋体"/>
        </w:rPr>
        <w:t xml:space="preserve"> </w:t>
      </w:r>
      <w:r/>
    </w:p>
    <w:p>
      <w:pPr>
        <w:ind w:firstLine="420"/>
        <w:spacing w:line="360" w:lineRule="auto"/>
      </w:pPr>
      <w:r>
        <w:rPr>
          <w:rFonts w:hint="eastAsia" w:ascii="宋体" w:hAnsi="宋体"/>
        </w:rPr>
        <w:t xml:space="preserve">根据《中华人民共和国政府采购法》《中华人民共和国民法典》等法律法规的规定，甲乙双方按照</w:t>
      </w:r>
      <w:r>
        <w:rPr>
          <w:rFonts w:hint="eastAsia" w:ascii="宋体" w:hAnsi="宋体"/>
          <w:szCs w:val="21"/>
        </w:rPr>
        <w:t xml:space="preserve">项目名称：      （采购编号：      ）采购文件、响应文件规定条款和成交供应商承诺</w:t>
      </w:r>
      <w:r>
        <w:rPr>
          <w:rFonts w:hint="eastAsia" w:ascii="宋体" w:hAnsi="宋体"/>
        </w:rPr>
        <w:t xml:space="preserve">签订本合同。</w:t>
      </w:r>
      <w:r/>
    </w:p>
    <w:p>
      <w:pPr>
        <w:ind w:firstLine="422"/>
        <w:spacing w:line="360" w:lineRule="auto"/>
        <w:rPr>
          <w:rFonts w:ascii="宋体" w:hAnsi="宋体"/>
          <w:b/>
        </w:rPr>
      </w:pPr>
      <w:r>
        <w:rPr>
          <w:rFonts w:hint="eastAsia" w:ascii="宋体" w:hAnsi="宋体"/>
          <w:b/>
        </w:rPr>
        <w:t xml:space="preserve">第一条 合同标的</w:t>
      </w:r>
      <w:r/>
    </w:p>
    <w:p>
      <w:pPr>
        <w:ind w:firstLine="420"/>
        <w:spacing w:line="360" w:lineRule="auto"/>
        <w:rPr>
          <w:rFonts w:hint="eastAsia" w:ascii="宋体" w:hAnsi="宋体"/>
        </w:rPr>
      </w:pPr>
      <w:r>
        <w:rPr>
          <w:rFonts w:hint="eastAsia" w:ascii="宋体" w:hAnsi="宋体"/>
        </w:rPr>
        <w:t xml:space="preserve">乙方根据甲方要求提供下列项目：</w:t>
      </w:r>
      <w:r>
        <w:rPr>
          <w:rFonts w:hint="eastAsia" w:ascii="宋体" w:hAnsi="宋体"/>
          <w:u w:val="single"/>
        </w:rPr>
        <w:t xml:space="preserve">           </w:t>
      </w:r>
      <w:r>
        <w:rPr>
          <w:rFonts w:hint="eastAsia" w:ascii="宋体" w:hAnsi="宋体"/>
        </w:rPr>
        <w:t xml:space="preserve">（项目内容）详见乙方响应文件等。</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rPr>
                <w:rFonts w:hint="eastAsia" w:cs="Arial"/>
              </w:rPr>
            </w:pPr>
            <w:r>
              <w:rPr>
                <w:rFonts w:cs="Arial"/>
              </w:rPr>
              <w:t xml:space="preserve">序号</w:t>
            </w:r>
            <w:r/>
          </w:p>
        </w:tc>
        <w:tc>
          <w:tcPr>
            <w:tcW w:w="1199" w:type="dxa"/>
            <w:vAlign w:val="center"/>
            <w:textDirection w:val="lrTb"/>
            <w:noWrap w:val="false"/>
          </w:tcPr>
          <w:p>
            <w:pPr>
              <w:jc w:val="center"/>
              <w:rPr>
                <w:rFonts w:hint="eastAsia" w:cs="Arial"/>
              </w:rPr>
            </w:pPr>
            <w:r>
              <w:rPr>
                <w:rFonts w:cs="Arial"/>
              </w:rPr>
              <w:t xml:space="preserve">货物名称</w:t>
            </w:r>
            <w:r/>
          </w:p>
        </w:tc>
        <w:tc>
          <w:tcPr>
            <w:tcW w:w="1200" w:type="dxa"/>
            <w:vAlign w:val="center"/>
            <w:textDirection w:val="lrTb"/>
            <w:noWrap w:val="false"/>
          </w:tcPr>
          <w:p>
            <w:pPr>
              <w:jc w:val="center"/>
              <w:rPr>
                <w:rFonts w:hint="eastAsia" w:cs="Arial"/>
              </w:rPr>
            </w:pPr>
            <w:r>
              <w:rPr>
                <w:rFonts w:cs="Arial"/>
              </w:rPr>
              <w:t xml:space="preserve">商标品牌</w:t>
            </w:r>
            <w:r/>
          </w:p>
        </w:tc>
        <w:tc>
          <w:tcPr>
            <w:tcW w:w="1200" w:type="dxa"/>
            <w:vAlign w:val="center"/>
            <w:textDirection w:val="lrTb"/>
            <w:noWrap w:val="false"/>
          </w:tcPr>
          <w:p>
            <w:pPr>
              <w:jc w:val="center"/>
              <w:rPr>
                <w:rFonts w:hint="eastAsia" w:cs="Arial"/>
              </w:rPr>
            </w:pPr>
            <w:r>
              <w:rPr>
                <w:rFonts w:cs="Arial"/>
              </w:rPr>
              <w:t xml:space="preserve">规格型号</w:t>
            </w:r>
            <w:r/>
          </w:p>
        </w:tc>
        <w:tc>
          <w:tcPr>
            <w:tcW w:w="1199" w:type="dxa"/>
            <w:vAlign w:val="center"/>
            <w:textDirection w:val="lrTb"/>
            <w:noWrap w:val="false"/>
          </w:tcPr>
          <w:p>
            <w:pPr>
              <w:jc w:val="center"/>
              <w:rPr>
                <w:rFonts w:hint="eastAsia" w:cs="Arial"/>
              </w:rPr>
            </w:pPr>
            <w:r>
              <w:rPr>
                <w:rFonts w:cs="Arial"/>
              </w:rPr>
              <w:t xml:space="preserve">生产厂家</w:t>
            </w:r>
            <w:r/>
          </w:p>
        </w:tc>
        <w:tc>
          <w:tcPr>
            <w:tcW w:w="1200" w:type="dxa"/>
            <w:vAlign w:val="center"/>
            <w:textDirection w:val="lrTb"/>
            <w:noWrap w:val="false"/>
          </w:tcPr>
          <w:p>
            <w:pPr>
              <w:jc w:val="center"/>
              <w:rPr>
                <w:rFonts w:hint="eastAsia" w:cs="Arial"/>
              </w:rPr>
            </w:pPr>
            <w:r>
              <w:rPr>
                <w:rFonts w:cs="Arial"/>
              </w:rPr>
              <w:t xml:space="preserve">数量</w:t>
            </w:r>
            <w:r/>
          </w:p>
          <w:p>
            <w:pPr>
              <w:jc w:val="center"/>
              <w:rPr>
                <w:rFonts w:hint="eastAsia" w:cs="Arial"/>
              </w:rPr>
            </w:pPr>
            <w:r>
              <w:rPr>
                <w:rFonts w:cs="Arial"/>
              </w:rPr>
              <w:t xml:space="preserve">及单位</w:t>
            </w:r>
            <w:r/>
          </w:p>
        </w:tc>
        <w:tc>
          <w:tcPr>
            <w:tcW w:w="1200" w:type="dxa"/>
            <w:vAlign w:val="center"/>
            <w:textDirection w:val="lrTb"/>
            <w:noWrap w:val="false"/>
          </w:tcPr>
          <w:p>
            <w:pPr>
              <w:jc w:val="center"/>
              <w:rPr>
                <w:rFonts w:hint="eastAsia" w:cs="Arial"/>
              </w:rPr>
            </w:pPr>
            <w:r>
              <w:rPr>
                <w:rFonts w:cs="Arial"/>
              </w:rPr>
              <w:t xml:space="preserve">单价</w:t>
            </w:r>
            <w:r/>
          </w:p>
          <w:p>
            <w:pPr>
              <w:jc w:val="center"/>
              <w:rPr>
                <w:rFonts w:hint="eastAsia" w:cs="Arial"/>
              </w:rPr>
            </w:pPr>
            <w:r>
              <w:rPr>
                <w:rFonts w:cs="Arial"/>
              </w:rPr>
              <w:t xml:space="preserve">（元）</w:t>
            </w:r>
            <w:r/>
          </w:p>
        </w:tc>
        <w:tc>
          <w:tcPr>
            <w:tcW w:w="1200" w:type="dxa"/>
            <w:vAlign w:val="center"/>
            <w:textDirection w:val="lrTb"/>
            <w:noWrap w:val="false"/>
          </w:tcPr>
          <w:p>
            <w:pPr>
              <w:jc w:val="center"/>
              <w:rPr>
                <w:rFonts w:hint="eastAsia" w:cs="Arial"/>
              </w:rPr>
            </w:pPr>
            <w:r>
              <w:rPr>
                <w:rFonts w:cs="Arial"/>
              </w:rPr>
              <w:t xml:space="preserve">金额</w:t>
            </w:r>
            <w:r/>
          </w:p>
          <w:p>
            <w:pPr>
              <w:jc w:val="center"/>
              <w:rPr>
                <w:rFonts w:hint="eastAsia" w:cs="Arial"/>
              </w:rPr>
            </w:pPr>
            <w:r>
              <w:rPr>
                <w:rFonts w:cs="Arial"/>
              </w:rPr>
              <w:t xml:space="preserve">（元）</w:t>
            </w:r>
            <w:r/>
          </w:p>
        </w:tc>
      </w:tr>
      <w:tr>
        <w:trPr>
          <w:cantSplit/>
          <w:jc w:val="center"/>
          <w:trHeight w:val="465"/>
        </w:trPr>
        <w:tc>
          <w:tcPr>
            <w:tcW w:w="497" w:type="dxa"/>
            <w:vAlign w:val="center"/>
            <w:textDirection w:val="lrTb"/>
            <w:noWrap w:val="false"/>
          </w:tcPr>
          <w:p>
            <w:pPr>
              <w:jc w:val="center"/>
              <w:rPr>
                <w:rFonts w:hint="eastAsia" w:cs="Arial"/>
              </w:rPr>
            </w:pPr>
            <w:r>
              <w:rPr>
                <w:rFonts w:cs="Arial"/>
              </w:rPr>
              <w:t xml:space="preserve">1</w:t>
            </w:r>
            <w:r/>
          </w:p>
        </w:tc>
        <w:tc>
          <w:tcPr>
            <w:tcW w:w="1199"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199" w:type="dxa"/>
            <w:vAlign w:val="top"/>
            <w:textDirection w:val="lrTb"/>
            <w:noWrap w:val="false"/>
          </w:tcPr>
          <w:p>
            <w:pPr>
              <w:jc w:val="center"/>
              <w:rPr>
                <w:rFonts w:hint="eastAsia" w:cs="Arial"/>
              </w:rPr>
            </w:pPr>
            <w:r>
              <w:rPr>
                <w:rFonts w:hint="eastAsia" w:cs="Arial"/>
              </w:rPr>
            </w:r>
            <w:r/>
          </w:p>
        </w:tc>
        <w:tc>
          <w:tcPr>
            <w:tcW w:w="1200" w:type="dxa"/>
            <w:vAlign w:val="top"/>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r>
      <w:tr>
        <w:trPr>
          <w:cantSplit/>
          <w:jc w:val="center"/>
          <w:trHeight w:val="465"/>
        </w:trPr>
        <w:tc>
          <w:tcPr>
            <w:tcW w:w="497" w:type="dxa"/>
            <w:vAlign w:val="center"/>
            <w:textDirection w:val="lrTb"/>
            <w:noWrap w:val="false"/>
          </w:tcPr>
          <w:p>
            <w:pPr>
              <w:jc w:val="center"/>
              <w:rPr>
                <w:rFonts w:hint="eastAsia" w:cs="Arial"/>
              </w:rPr>
            </w:pPr>
            <w:r>
              <w:rPr>
                <w:rFonts w:cs="Arial"/>
              </w:rPr>
              <w:t xml:space="preserve">2</w:t>
            </w:r>
            <w:r/>
          </w:p>
        </w:tc>
        <w:tc>
          <w:tcPr>
            <w:tcW w:w="1199"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199" w:type="dxa"/>
            <w:vAlign w:val="top"/>
            <w:textDirection w:val="lrTb"/>
            <w:noWrap w:val="false"/>
          </w:tcPr>
          <w:p>
            <w:pPr>
              <w:jc w:val="center"/>
              <w:rPr>
                <w:rFonts w:hint="eastAsia" w:cs="Arial"/>
              </w:rPr>
            </w:pPr>
            <w:r>
              <w:rPr>
                <w:rFonts w:hint="eastAsia" w:cs="Arial"/>
              </w:rPr>
            </w:r>
            <w:r/>
          </w:p>
        </w:tc>
        <w:tc>
          <w:tcPr>
            <w:tcW w:w="1200" w:type="dxa"/>
            <w:vAlign w:val="top"/>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r>
      <w:tr>
        <w:trPr>
          <w:cantSplit/>
          <w:jc w:val="center"/>
          <w:trHeight w:val="465"/>
        </w:trPr>
        <w:tc>
          <w:tcPr>
            <w:gridSpan w:val="8"/>
            <w:tcW w:w="8895" w:type="dxa"/>
            <w:vAlign w:val="center"/>
            <w:textDirection w:val="lrTb"/>
            <w:noWrap w:val="false"/>
          </w:tcPr>
          <w:p>
            <w:pPr>
              <w:rPr>
                <w:rFonts w:hint="eastAsia" w:cs="Arial"/>
              </w:rPr>
            </w:pPr>
            <w:r>
              <w:rPr>
                <w:rFonts w:cs="Arial"/>
              </w:rPr>
              <w:t xml:space="preserve">人民币合计金额</w:t>
            </w:r>
            <w:r>
              <w:rPr>
                <w:rFonts w:hint="eastAsia" w:cs="Arial"/>
              </w:rPr>
              <w:t xml:space="preserve">：</w:t>
            </w:r>
            <w:r>
              <w:rPr>
                <w:rFonts w:cs="Arial"/>
                <w:u w:val="single"/>
              </w:rPr>
              <w:t xml:space="preserve">（大写）</w:t>
            </w:r>
            <w:r>
              <w:rPr>
                <w:rFonts w:hint="eastAsia" w:cs="Arial"/>
                <w:u w:val="single"/>
              </w:rPr>
              <w:t xml:space="preserve">   </w:t>
            </w:r>
            <w:r>
              <w:rPr>
                <w:rFonts w:cs="Arial"/>
                <w:u w:val="single"/>
              </w:rPr>
              <w:t xml:space="preserve">元</w:t>
            </w:r>
            <w:r>
              <w:rPr>
                <w:rFonts w:hint="eastAsia" w:cs="Arial"/>
                <w:u w:val="single"/>
              </w:rPr>
              <w:t xml:space="preserve">整；</w:t>
            </w:r>
            <w:r>
              <w:rPr>
                <w:rFonts w:cs="Arial"/>
                <w:u w:val="single"/>
              </w:rPr>
              <w:t xml:space="preserve">（小写）</w:t>
            </w:r>
            <w:r>
              <w:rPr>
                <w:rFonts w:hint="eastAsia" w:cs="Arial"/>
                <w:u w:val="single"/>
              </w:rPr>
              <w:t xml:space="preserve">   </w:t>
            </w:r>
            <w:r>
              <w:rPr>
                <w:rFonts w:cs="Arial"/>
                <w:u w:val="single"/>
              </w:rPr>
              <w:t xml:space="preserve">元</w:t>
            </w:r>
            <w:r>
              <w:rPr>
                <w:rFonts w:hint="eastAsia" w:cs="Arial"/>
                <w:u w:val="single"/>
              </w:rPr>
              <w:t xml:space="preserve">整</w:t>
            </w:r>
            <w:r/>
          </w:p>
        </w:tc>
      </w:tr>
    </w:tbl>
    <w:p>
      <w:pPr>
        <w:ind w:firstLine="422"/>
        <w:spacing w:line="360" w:lineRule="auto"/>
        <w:rPr>
          <w:rFonts w:ascii="宋体" w:hAnsi="宋体"/>
          <w:b/>
        </w:rPr>
      </w:pPr>
      <w:r>
        <w:rPr>
          <w:rFonts w:hint="eastAsia" w:ascii="宋体" w:hAnsi="宋体"/>
          <w:b/>
        </w:rPr>
        <w:t xml:space="preserve">第二条 合同总价款</w:t>
      </w:r>
      <w:r/>
    </w:p>
    <w:p>
      <w:pPr>
        <w:ind w:firstLine="420"/>
        <w:spacing w:line="360" w:lineRule="auto"/>
        <w:rPr>
          <w:rFonts w:ascii="宋体" w:hAnsi="宋体"/>
        </w:rPr>
      </w:pPr>
      <w:r>
        <w:rPr>
          <w:rFonts w:hint="eastAsia" w:ascii="宋体" w:hAnsi="宋体"/>
        </w:rPr>
        <w:t xml:space="preserve">本合同项下总价款为</w:t>
      </w:r>
      <w:r>
        <w:rPr>
          <w:rFonts w:hint="eastAsia" w:ascii="宋体" w:hAnsi="宋体"/>
          <w:u w:val="single"/>
        </w:rPr>
        <w:t xml:space="preserve">        </w:t>
      </w:r>
      <w:r>
        <w:rPr>
          <w:rFonts w:hint="eastAsia" w:ascii="宋体" w:hAnsi="宋体"/>
        </w:rPr>
        <w:t xml:space="preserve">（大写）人民币，分项价款在“分项报价表”中有明确规定。</w:t>
      </w:r>
      <w:r/>
    </w:p>
    <w:p>
      <w:pPr>
        <w:ind w:firstLine="422"/>
        <w:spacing w:line="360" w:lineRule="auto"/>
        <w:rPr>
          <w:rFonts w:hint="default" w:ascii="宋体" w:hAnsi="宋体" w:eastAsia="宋体"/>
          <w:b/>
          <w:color w:val="ff0000"/>
          <w:lang w:val="en-US" w:eastAsia="zh-CN"/>
        </w:rPr>
      </w:pPr>
      <w:r>
        <w:rPr>
          <w:rFonts w:hint="eastAsia" w:ascii="宋体" w:hAnsi="宋体"/>
          <w:b/>
          <w:color w:val="ff0000"/>
        </w:rPr>
        <w:t xml:space="preserve">第三条 </w:t>
      </w:r>
      <w:r>
        <w:rPr>
          <w:rFonts w:hint="eastAsia" w:ascii="宋体" w:hAnsi="宋体"/>
          <w:b/>
          <w:color w:val="ff0000"/>
          <w:lang w:val="en-US" w:eastAsia="zh-CN"/>
        </w:rPr>
        <w:t xml:space="preserve">技术资料</w:t>
      </w:r>
      <w:r/>
    </w:p>
    <w:p>
      <w:pPr>
        <w:pStyle w:val="845"/>
        <w:ind w:left="426" w:right="0" w:firstLine="10"/>
        <w:jc w:val="both"/>
        <w:keepLines w:val="0"/>
        <w:keepNext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1.乙方应按招标文件规定的时间向甲方提供使用货物(包含与货物相关的服务)的有关技术资料。</w:t>
      </w:r>
      <w:r/>
    </w:p>
    <w:p>
      <w:pPr>
        <w:pStyle w:val="845"/>
        <w:ind w:left="426" w:firstLine="10"/>
        <w:jc w:val="both"/>
        <w:keepLines w:val="0"/>
        <w:keepNext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b/>
          <w:color w:val="ff0000"/>
        </w:rPr>
      </w:pPr>
      <w:r>
        <w:rPr>
          <w:rFonts w:hint="eastAsia" w:ascii="宋体" w:hAnsi="宋体"/>
          <w:b/>
          <w:color w:val="ff0000"/>
        </w:rPr>
        <w:t xml:space="preserve">第四条 权利保证</w:t>
      </w:r>
      <w:r/>
    </w:p>
    <w:p>
      <w:pPr>
        <w:ind w:firstLine="420"/>
        <w:spacing w:line="360" w:lineRule="auto"/>
        <w:rPr>
          <w:rFonts w:hint="eastAsia" w:ascii="宋体" w:hAnsi="宋体" w:cs="Times New Roman"/>
          <w:color w:val="ff0000"/>
        </w:rPr>
      </w:pPr>
      <w:r>
        <w:rPr>
          <w:rFonts w:hint="eastAsia" w:ascii="宋体" w:hAnsi="宋体" w:cs="Times New Roman"/>
          <w:color w:val="ff0000"/>
          <w:lang w:val="en-US" w:eastAsia="zh-CN"/>
        </w:rPr>
        <w:t xml:space="preserve">1.</w:t>
      </w:r>
      <w:r>
        <w:rPr>
          <w:rFonts w:hint="default" w:ascii="宋体" w:hAnsi="宋体" w:cs="Times New Roman"/>
          <w:color w:val="ff0000"/>
        </w:rPr>
        <w:t xml:space="preserve">乙</w:t>
      </w:r>
      <w:r>
        <w:rPr>
          <w:rFonts w:hint="eastAsia" w:ascii="宋体" w:hAnsi="宋体" w:cs="Times New Roman"/>
          <w:color w:val="ff0000"/>
        </w:rPr>
        <w:t xml:space="preserve">方应保证甲方在使用、接受本合同货物</w:t>
      </w:r>
      <w:r>
        <w:rPr>
          <w:rFonts w:hint="default" w:ascii="宋体" w:hAnsi="宋体" w:cs="Times New Roman"/>
          <w:color w:val="ff0000"/>
        </w:rPr>
        <w:t xml:space="preserve">（包含与货物相关的服务）</w:t>
      </w:r>
      <w:r>
        <w:rPr>
          <w:rFonts w:hint="eastAsia" w:ascii="宋体" w:hAnsi="宋体" w:cs="Times New Roman"/>
          <w:color w:val="ff0000"/>
        </w:rPr>
        <w:t xml:space="preserve">或其任何一部分时不受第三方提出侵犯其专利权、版权、商标权和工业设计权等知识产权的起诉。一旦出现侵权，由乙方负全部责任。</w:t>
      </w:r>
      <w:r/>
    </w:p>
    <w:p>
      <w:pPr>
        <w:ind w:firstLine="420"/>
        <w:spacing w:line="360" w:lineRule="auto"/>
        <w:rPr>
          <w:rFonts w:hint="default" w:ascii="宋体" w:hAnsi="宋体" w:cs="Times New Roman"/>
          <w:color w:val="ff0000"/>
          <w:lang w:val="en-US" w:eastAsia="zh-CN"/>
        </w:rPr>
      </w:pPr>
      <w:r>
        <w:rPr>
          <w:rFonts w:hint="eastAsia" w:ascii="宋体" w:hAnsi="宋体" w:cs="Times New Roman"/>
          <w:color w:val="ff0000"/>
          <w:lang w:val="en-US" w:eastAsia="zh-CN"/>
        </w:rPr>
        <w:t xml:space="preserve">2.</w:t>
      </w:r>
      <w:r>
        <w:rPr>
          <w:rFonts w:hint="eastAsia" w:ascii="宋体" w:hAnsi="宋体" w:cs="Times New Roman"/>
          <w:color w:val="ff0000"/>
        </w:rPr>
        <w:t xml:space="preserve">乙方保证所交付的货物（包含与货物相关的服务）的所有权完全属于乙方且无任何抵押、查封等产权瑕疵。</w:t>
      </w:r>
      <w:r/>
    </w:p>
    <w:p>
      <w:pPr>
        <w:ind w:firstLine="422"/>
        <w:spacing w:line="360" w:lineRule="auto"/>
        <w:rPr>
          <w:rFonts w:ascii="宋体" w:hAnsi="宋体"/>
          <w:b/>
        </w:rPr>
      </w:pPr>
      <w:r>
        <w:rPr>
          <w:rFonts w:hint="eastAsia" w:ascii="宋体" w:hAnsi="宋体"/>
          <w:b/>
        </w:rPr>
        <w:t xml:space="preserve">第五条 </w:t>
      </w:r>
      <w:r>
        <w:rPr>
          <w:rFonts w:hint="eastAsia" w:ascii="宋体" w:hAnsi="宋体" w:cs="Times New Roman"/>
          <w:b/>
        </w:rPr>
        <w:t xml:space="preserve">质量保修范围和保修期及售后服务</w:t>
      </w:r>
      <w:r/>
    </w:p>
    <w:p>
      <w:pPr>
        <w:pStyle w:val="845"/>
        <w:ind w:righ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1.乙方应按招标文件规定的货物性能、技术要求、质量标准向甲方提供未经使用的全新产品。</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2.乙方提供的货物在质量期内因货物本身的质量问题发生故障，乙方应负责免费更换。对达不到技术要求者，根据实际情况，经双方协商，可按以下办法处理：</w:t>
      </w:r>
      <w:r/>
    </w:p>
    <w:p>
      <w:pPr>
        <w:pStyle w:val="845"/>
        <w:ind w:lef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⑴更换：由乙方承担所发生的全部费用。</w:t>
      </w:r>
      <w:r/>
    </w:p>
    <w:p>
      <w:pPr>
        <w:pStyle w:val="845"/>
        <w:ind w:lef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⑵贬值处理：由甲乙双方合议定价。</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⑶退货处理：乙方应退还甲方支付的合同款，同时应承担该货物的直接费用（运输、保险、检验、货款利息及银行手续费等）。</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3.如在使用过程中发生质量问题，乙方在接到甲方通知后在_________小时内到达甲方现场。</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4.在质保期内，乙方应对货物出现的质量及安全问题负责处理解决并承担一切费用。</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5.上述的货物免费保修期为     年（自交货验收合格之日起计），因人为因素出现的故障不在免费保修范围内。超过保修期的机器设备，终生维修，维修时只收部件成本费。</w:t>
      </w:r>
      <w:r/>
    </w:p>
    <w:p>
      <w:pPr>
        <w:ind w:firstLine="422"/>
        <w:spacing w:line="360" w:lineRule="auto"/>
        <w:rPr>
          <w:rFonts w:ascii="宋体" w:hAnsi="宋体"/>
          <w:b/>
        </w:rPr>
      </w:pPr>
      <w:r>
        <w:rPr>
          <w:rFonts w:hint="eastAsia" w:ascii="宋体" w:hAnsi="宋体"/>
          <w:b/>
        </w:rPr>
        <w:t xml:space="preserve">第六条 交付使用和验收</w:t>
      </w:r>
      <w:r/>
    </w:p>
    <w:p>
      <w:pPr>
        <w:ind w:firstLine="420"/>
        <w:spacing w:line="360" w:lineRule="auto"/>
        <w:rPr>
          <w:rFonts w:hint="eastAsia" w:ascii="宋体" w:hAnsi="宋体"/>
        </w:rPr>
      </w:pPr>
      <w:r>
        <w:rPr>
          <w:rFonts w:hint="eastAsia" w:ascii="宋体" w:hAnsi="宋体"/>
        </w:rPr>
        <w:t xml:space="preserve">1.乙方应当在本合同生效后</w:t>
      </w:r>
      <w:r>
        <w:rPr>
          <w:rFonts w:hint="eastAsia" w:ascii="宋体" w:hAnsi="宋体"/>
          <w:u w:val="single"/>
        </w:rPr>
        <w:t xml:space="preserve">    </w:t>
      </w:r>
      <w:r>
        <w:rPr>
          <w:rFonts w:hint="eastAsia" w:ascii="宋体" w:hAnsi="宋体"/>
        </w:rPr>
        <w:t xml:space="preserve">天内完成采购文件规定的项目并交付甲方使用。采购文件有约定的，从其约定。</w:t>
      </w:r>
      <w:r/>
    </w:p>
    <w:p>
      <w:pPr>
        <w:ind w:firstLine="420"/>
        <w:spacing w:line="360" w:lineRule="auto"/>
        <w:rPr>
          <w:rFonts w:hint="eastAsia" w:ascii="宋体" w:hAnsi="宋体"/>
        </w:rPr>
      </w:pPr>
      <w:r>
        <w:rPr>
          <w:rFonts w:hint="eastAsia" w:ascii="宋体" w:hAnsi="宋体"/>
        </w:rPr>
        <w:t xml:space="preserve">2.甲方依法组织履约验收工作。</w:t>
      </w:r>
      <w:r/>
    </w:p>
    <w:p>
      <w:pPr>
        <w:ind w:firstLine="420"/>
        <w:spacing w:line="360" w:lineRule="auto"/>
        <w:rPr>
          <w:rFonts w:hint="eastAsia" w:ascii="宋体" w:hAnsi="宋体"/>
        </w:rPr>
      </w:pPr>
      <w:r>
        <w:rPr>
          <w:rFonts w:hint="eastAsia" w:ascii="宋体" w:hAnsi="宋体"/>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rPr>
      </w:pPr>
      <w:r>
        <w:rPr>
          <w:rFonts w:hint="eastAsia" w:ascii="宋体" w:hAnsi="宋体"/>
        </w:rPr>
        <w:t xml:space="preserve">4.对于实际使用人和甲方分离的项目，甲方邀请实际使用人参与验收。</w:t>
      </w:r>
      <w:r/>
    </w:p>
    <w:p>
      <w:pPr>
        <w:ind w:firstLine="420"/>
        <w:spacing w:line="360" w:lineRule="auto"/>
        <w:rPr>
          <w:rFonts w:hint="eastAsia" w:ascii="宋体" w:hAnsi="宋体"/>
        </w:rPr>
      </w:pPr>
      <w:r>
        <w:rPr>
          <w:rFonts w:hint="eastAsia" w:ascii="宋体" w:hAnsi="宋体"/>
        </w:rPr>
        <w:t xml:space="preserve">5.如有必要，甲方邀请参加本项目的其他供应商或第三方专业机构及专家参与验收，相关意见将作为验收书的参考资料。</w:t>
      </w:r>
      <w:r/>
    </w:p>
    <w:p>
      <w:pPr>
        <w:ind w:firstLine="420"/>
        <w:spacing w:line="360" w:lineRule="auto"/>
        <w:rPr>
          <w:rFonts w:hint="eastAsia" w:ascii="宋体" w:hAnsi="宋体"/>
        </w:rPr>
      </w:pPr>
      <w:r>
        <w:rPr>
          <w:rFonts w:hint="eastAsia" w:ascii="宋体" w:hAnsi="宋体"/>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宋体" w:hAnsi="宋体"/>
        </w:rPr>
      </w:pPr>
      <w:r>
        <w:rPr>
          <w:rFonts w:hint="eastAsia" w:ascii="宋体" w:hAnsi="宋体"/>
        </w:rPr>
        <w:t xml:space="preserve">7.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line="360" w:lineRule="auto"/>
        <w:rPr>
          <w:rFonts w:ascii="宋体" w:hAnsi="宋体"/>
          <w:b/>
        </w:rPr>
      </w:pPr>
      <w:r>
        <w:rPr>
          <w:rFonts w:hint="eastAsia" w:ascii="宋体" w:hAnsi="宋体"/>
          <w:b/>
        </w:rPr>
        <w:t xml:space="preserve">第七条 履约保证金</w:t>
      </w:r>
      <w:r/>
    </w:p>
    <w:p>
      <w:pPr>
        <w:ind w:firstLine="420"/>
        <w:spacing w:line="360" w:lineRule="auto"/>
        <w:rPr>
          <w:rFonts w:ascii="宋体" w:hAnsi="宋体"/>
        </w:rPr>
      </w:pPr>
      <w:r>
        <w:rPr>
          <w:rFonts w:hint="eastAsia" w:ascii="宋体" w:hAnsi="宋体"/>
        </w:rPr>
        <w:t xml:space="preserve">无。</w:t>
      </w:r>
      <w:r/>
    </w:p>
    <w:p>
      <w:pPr>
        <w:ind w:firstLine="422"/>
        <w:spacing w:line="360" w:lineRule="auto"/>
        <w:rPr>
          <w:rFonts w:ascii="宋体" w:hAnsi="宋体"/>
          <w:b/>
        </w:rPr>
      </w:pPr>
      <w:r>
        <w:rPr>
          <w:rFonts w:hint="eastAsia" w:ascii="宋体" w:hAnsi="宋体"/>
          <w:b/>
        </w:rPr>
        <w:t xml:space="preserve">第八条 合同款支付</w:t>
      </w:r>
      <w:r/>
    </w:p>
    <w:p>
      <w:pPr>
        <w:ind w:firstLine="420"/>
        <w:spacing w:line="360" w:lineRule="auto"/>
        <w:rPr>
          <w:rFonts w:hint="eastAsia" w:ascii="宋体" w:hAnsi="宋体" w:cs="Times New Roman"/>
        </w:rPr>
      </w:pPr>
      <w:r>
        <w:rPr>
          <w:rFonts w:hint="eastAsia" w:ascii="宋体" w:hAnsi="宋体" w:cs="Times New Roman"/>
        </w:rPr>
        <w:t xml:space="preserve">1.本合同项下所有款项均以人民币支付。</w:t>
      </w:r>
      <w:r/>
    </w:p>
    <w:p>
      <w:pPr>
        <w:ind w:firstLine="420"/>
        <w:spacing w:line="360" w:lineRule="auto"/>
        <w:rPr>
          <w:rFonts w:hint="eastAsia" w:ascii="宋体" w:hAnsi="宋体" w:cs="Times New Roman"/>
        </w:rPr>
      </w:pPr>
      <w:r>
        <w:rPr>
          <w:rFonts w:hint="eastAsia" w:ascii="宋体" w:hAnsi="宋体" w:cs="Times New Roman"/>
        </w:rPr>
        <w:t xml:space="preserve">2.本合同项下的采购资金由甲方自行支付，每次付款前，乙方应向甲方开具发票。</w:t>
      </w:r>
      <w:r/>
    </w:p>
    <w:p>
      <w:pPr>
        <w:ind w:firstLine="420"/>
        <w:spacing w:line="360" w:lineRule="auto"/>
        <w:rPr>
          <w:rFonts w:hint="default" w:ascii="宋体" w:hAnsi="宋体" w:cs="Times New Roman"/>
          <w:color w:val="ff0000"/>
          <w:lang w:val="en-US" w:eastAsia="zh-CN"/>
        </w:rPr>
      </w:pPr>
      <w:r>
        <w:rPr>
          <w:rFonts w:hint="eastAsia" w:ascii="宋体" w:hAnsi="宋体" w:cs="Times New Roman"/>
          <w:color w:val="ff0000"/>
          <w:lang w:val="en-US" w:eastAsia="zh-CN"/>
        </w:rPr>
        <w:t xml:space="preserve">3.</w:t>
      </w:r>
      <w:r>
        <w:rPr>
          <w:rFonts w:hint="eastAsia" w:ascii="宋体" w:hAnsi="宋体" w:cs="Times New Roman"/>
          <w:color w:val="ff0000"/>
        </w:rPr>
        <w:t xml:space="preserve">当采购数量与实际使用数量不一致时，乙方应根据实际使用量供货，合同的最终结</w:t>
      </w:r>
      <w:bookmarkStart w:id="154" w:name="_GoBack"/>
      <w:r/>
      <w:bookmarkEnd w:id="154"/>
      <w:r>
        <w:rPr>
          <w:rFonts w:hint="eastAsia" w:ascii="宋体" w:hAnsi="宋体" w:cs="Times New Roman"/>
          <w:color w:val="ff0000"/>
        </w:rPr>
        <w:t xml:space="preserve">算金额按实际使用量乘以成交单价进行计算。</w:t>
      </w:r>
      <w:r/>
    </w:p>
    <w:p>
      <w:pPr>
        <w:ind w:firstLine="420"/>
        <w:spacing w:line="360" w:lineRule="auto"/>
        <w:rPr>
          <w:rFonts w:hint="eastAsia" w:ascii="宋体" w:hAnsi="宋体"/>
          <w:b/>
        </w:rPr>
      </w:pPr>
      <w:r>
        <w:rPr>
          <w:rFonts w:hint="eastAsia" w:ascii="宋体" w:hAnsi="宋体"/>
          <w:lang w:val="en-US" w:eastAsia="zh-CN"/>
        </w:rPr>
        <w:t xml:space="preserve">4</w:t>
      </w:r>
      <w:r>
        <w:rPr>
          <w:rFonts w:hint="eastAsia" w:ascii="宋体" w:hAnsi="宋体"/>
        </w:rPr>
        <w:t xml:space="preserve">.</w:t>
      </w:r>
      <w:r>
        <w:rPr>
          <w:rFonts w:hint="eastAsia" w:ascii="宋体" w:hAnsi="宋体"/>
          <w:b/>
        </w:rPr>
        <w:t xml:space="preserve">付款条件：</w:t>
      </w:r>
      <w:r/>
    </w:p>
    <w:p>
      <w:pPr>
        <w:ind w:firstLine="420"/>
        <w:spacing w:line="360" w:lineRule="auto"/>
        <w:rPr>
          <w:rFonts w:hint="eastAsia" w:ascii="宋体" w:hAnsi="宋体"/>
          <w:b/>
        </w:rPr>
      </w:pPr>
      <w:r>
        <w:rPr>
          <w:rStyle w:val="1231"/>
        </w:rPr>
        <w:t xml:space="preserve">本合同货物在规定的时间内安装、调试并交付使用，经验收合格后，由乙方向甲方提交完备</w:t>
      </w:r>
      <w:r>
        <w:rPr>
          <w:rFonts w:ascii="宋体" w:hAnsi="宋体" w:cs="宋体"/>
          <w:szCs w:val="21"/>
          <w:lang w:val="zh-CN"/>
        </w:rPr>
        <w:t xml:space="preserve">有效单据（合同文件、验收书）后</w:t>
      </w:r>
      <w:r>
        <w:rPr>
          <w:rFonts w:hint="eastAsia" w:ascii="宋体" w:hAnsi="宋体" w:cs="宋体"/>
          <w:szCs w:val="21"/>
          <w:lang w:val="en-US" w:eastAsia="zh-CN"/>
        </w:rPr>
        <w:t xml:space="preserve">并</w:t>
      </w:r>
      <w:r>
        <w:rPr>
          <w:rFonts w:hint="eastAsia" w:ascii="宋体" w:hAnsi="宋体" w:cs="宋体"/>
          <w:szCs w:val="21"/>
          <w:lang w:val="zh-CN" w:eastAsia="zh-CN"/>
        </w:rPr>
        <w:t xml:space="preserve">开具符合财务规定的全款正式发票</w:t>
      </w:r>
      <w:r>
        <w:rPr>
          <w:rFonts w:ascii="宋体" w:hAnsi="宋体" w:cs="宋体"/>
          <w:szCs w:val="21"/>
          <w:lang w:val="zh-CN"/>
        </w:rPr>
        <w:t xml:space="preserve">，甲方按照以下付款方式付款：</w:t>
      </w:r>
      <w:r/>
    </w:p>
    <w:p>
      <w:pPr>
        <w:ind w:firstLine="420"/>
        <w:spacing w:line="360" w:lineRule="auto"/>
        <w:rPr>
          <w:rFonts w:hint="eastAsia" w:ascii="宋体" w:hAnsi="宋体"/>
          <w:color w:val="000000"/>
        </w:rPr>
      </w:pPr>
      <w:r>
        <w:rPr>
          <w:rFonts w:hint="eastAsia" w:ascii="宋体" w:hAnsi="宋体"/>
          <w:color w:val="000000"/>
        </w:rPr>
        <w:t xml:space="preserve">（1）</w:t>
      </w:r>
      <w:r>
        <w:rPr>
          <w:rFonts w:hint="eastAsia" w:ascii="宋体" w:hAnsi="宋体" w:cs="宋体"/>
          <w:bCs/>
          <w:color w:val="auto"/>
          <w:sz w:val="21"/>
          <w:szCs w:val="21"/>
          <w:highlight w:val="none"/>
        </w:rPr>
        <w:t xml:space="preserve"> 自本合同签订生效，且甲方收到合同等额合规发票后起</w:t>
      </w:r>
      <w:r>
        <w:rPr>
          <w:rFonts w:hint="eastAsia" w:ascii="宋体" w:hAnsi="宋体" w:cs="宋体"/>
          <w:bCs/>
          <w:color w:val="auto"/>
          <w:sz w:val="21"/>
          <w:szCs w:val="21"/>
          <w:highlight w:val="none"/>
        </w:rPr>
        <w:t xml:space="preserve">10个工作日内</w:t>
      </w:r>
      <w:r>
        <w:rPr>
          <w:rFonts w:hint="eastAsia" w:ascii="宋体" w:hAnsi="宋体"/>
          <w:color w:val="000000"/>
        </w:rPr>
        <w:t xml:space="preserve">支付合同总价款的30%；</w:t>
      </w:r>
      <w:r/>
    </w:p>
    <w:p>
      <w:pPr>
        <w:ind w:firstLine="420"/>
        <w:spacing w:line="360" w:lineRule="auto"/>
        <w:rPr>
          <w:rFonts w:hint="eastAsia" w:ascii="宋体" w:hAnsi="宋体"/>
          <w:color w:val="000000"/>
        </w:rPr>
      </w:pPr>
      <w:r>
        <w:rPr>
          <w:rFonts w:hint="eastAsia" w:ascii="宋体" w:hAnsi="宋体"/>
          <w:color w:val="000000"/>
        </w:rPr>
        <w:t xml:space="preserve">（2）货物到达</w:t>
      </w:r>
      <w:r>
        <w:rPr>
          <w:rFonts w:hint="eastAsia" w:ascii="宋体" w:hAnsi="宋体"/>
          <w:color w:val="000000"/>
          <w:lang w:val="en-US" w:eastAsia="zh-CN"/>
        </w:rPr>
        <w:t xml:space="preserve">甲方指定</w:t>
      </w:r>
      <w:r>
        <w:rPr>
          <w:rFonts w:hint="eastAsia" w:ascii="宋体" w:hAnsi="宋体"/>
          <w:color w:val="000000"/>
        </w:rPr>
        <w:t xml:space="preserve">交货地点且经甲方验收合格后</w:t>
      </w:r>
      <w:r>
        <w:rPr>
          <w:rFonts w:hint="eastAsia" w:ascii="宋体" w:hAnsi="宋体"/>
          <w:color w:val="000000"/>
          <w:lang w:eastAsia="zh-CN"/>
        </w:rPr>
        <w:t xml:space="preserve">，</w:t>
      </w:r>
      <w:r>
        <w:rPr>
          <w:rFonts w:hint="eastAsia" w:ascii="宋体" w:hAnsi="宋体" w:cs="宋体"/>
          <w:bCs/>
          <w:color w:val="auto"/>
          <w:sz w:val="21"/>
          <w:szCs w:val="21"/>
          <w:highlight w:val="none"/>
        </w:rPr>
        <w:t xml:space="preserve">且甲方足额收齐合同全额合规发票</w:t>
      </w:r>
      <w:r>
        <w:rPr>
          <w:rFonts w:hint="eastAsia" w:ascii="宋体" w:hAnsi="宋体" w:cs="宋体"/>
          <w:bCs/>
          <w:color w:val="auto"/>
          <w:sz w:val="21"/>
          <w:szCs w:val="21"/>
          <w:highlight w:val="none"/>
        </w:rPr>
        <w:t xml:space="preserve">10个工作日内</w:t>
      </w:r>
      <w:r>
        <w:rPr>
          <w:rFonts w:hint="eastAsia" w:ascii="宋体" w:hAnsi="宋体"/>
          <w:color w:val="000000"/>
        </w:rPr>
        <w:t xml:space="preserve">支付合同总价款的40%；</w:t>
      </w:r>
      <w:r/>
    </w:p>
    <w:p>
      <w:pPr>
        <w:ind w:firstLine="420"/>
        <w:spacing w:line="360" w:lineRule="auto"/>
        <w:rPr>
          <w:rFonts w:hint="eastAsia" w:ascii="宋体" w:hAnsi="宋体"/>
          <w:color w:val="000000"/>
        </w:rPr>
      </w:pPr>
      <w:r>
        <w:rPr>
          <w:rFonts w:hint="eastAsia" w:ascii="宋体" w:hAnsi="宋体"/>
          <w:color w:val="000000"/>
        </w:rPr>
        <w:t xml:space="preserve">（3）完成货物交付(含安装服务)且经甲方验收合格后</w:t>
      </w:r>
      <w:r>
        <w:rPr>
          <w:rFonts w:hint="eastAsia" w:ascii="宋体" w:hAnsi="宋体"/>
          <w:color w:val="000000"/>
          <w:lang w:eastAsia="zh-CN"/>
        </w:rPr>
        <w:t xml:space="preserve">，</w:t>
      </w:r>
      <w:r>
        <w:rPr>
          <w:rFonts w:hint="eastAsia" w:ascii="宋体" w:hAnsi="宋体" w:cs="宋体"/>
          <w:bCs/>
          <w:color w:val="auto"/>
          <w:sz w:val="21"/>
          <w:szCs w:val="21"/>
          <w:highlight w:val="none"/>
        </w:rPr>
        <w:t xml:space="preserve">且甲方足额收齐合同全额合规发票、完整验收资料后10个工作日内</w:t>
      </w:r>
      <w:r>
        <w:rPr>
          <w:rFonts w:hint="eastAsia" w:ascii="宋体" w:hAnsi="宋体"/>
          <w:color w:val="000000"/>
        </w:rPr>
        <w:t xml:space="preserve">支付合同总价款的25%；</w:t>
      </w:r>
      <w:r/>
    </w:p>
    <w:p>
      <w:pPr>
        <w:ind w:firstLine="420"/>
        <w:spacing w:line="360" w:lineRule="auto"/>
        <w:rPr>
          <w:rFonts w:hint="eastAsia" w:ascii="宋体" w:hAnsi="宋体"/>
          <w:color w:val="000000"/>
        </w:rPr>
      </w:pPr>
      <w:r>
        <w:rPr>
          <w:rFonts w:hint="eastAsia" w:ascii="宋体" w:hAnsi="宋体"/>
          <w:color w:val="000000"/>
        </w:rPr>
        <w:t xml:space="preserve">（4）质保期满后支付合同总价款的5%。</w:t>
      </w:r>
      <w:r/>
    </w:p>
    <w:p>
      <w:pPr>
        <w:ind w:firstLine="422"/>
        <w:spacing w:line="360" w:lineRule="auto"/>
        <w:rPr>
          <w:rFonts w:ascii="宋体" w:hAnsi="宋体"/>
          <w:b/>
        </w:rPr>
      </w:pPr>
      <w:r>
        <w:rPr>
          <w:rFonts w:hint="eastAsia" w:ascii="宋体" w:hAnsi="宋体"/>
          <w:b/>
        </w:rPr>
        <w:t xml:space="preserve">第九条 违约责任</w:t>
      </w:r>
      <w:r/>
    </w:p>
    <w:p>
      <w:pPr>
        <w:ind w:firstLine="420"/>
        <w:spacing w:line="360" w:lineRule="auto"/>
        <w:rPr>
          <w:rFonts w:hint="eastAsia" w:ascii="宋体" w:hAnsi="宋体"/>
        </w:rPr>
      </w:pPr>
      <w:r>
        <w:rPr>
          <w:rFonts w:hint="eastAsia" w:ascii="宋体" w:hAnsi="宋体"/>
        </w:rPr>
        <w:t xml:space="preserve">1.乙方不能按期交付的，每逾期1天，乙方向甲方支付合同总额的1%的违约金。乙方逾期交付达10天，甲方有权解除合同，乙方应退还全部已付合同款，并向甲方支付本合同约定合同总金额20%的违约金及由此给甲方带来的所有损失，解除合同的通知自到达乙方时生效。</w:t>
      </w:r>
      <w:r/>
    </w:p>
    <w:p>
      <w:pPr>
        <w:ind w:firstLine="420"/>
        <w:spacing w:line="360" w:lineRule="auto"/>
        <w:rPr>
          <w:rFonts w:ascii="宋体" w:hAnsi="宋体"/>
        </w:rPr>
      </w:pPr>
      <w:r>
        <w:rPr>
          <w:rFonts w:hint="eastAsia" w:ascii="宋体" w:hAnsi="宋体"/>
        </w:rPr>
        <w:t xml:space="preserve">2.乙方在承担违约责任后，仍应继续履行合同规定的义务（甲方解除合同的除外）。甲方未能及时追究乙方的任何一项违约责任并不表明甲方放弃追究乙方该项或其他违约责任。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rPr>
      </w:pPr>
      <w:r>
        <w:rPr>
          <w:rFonts w:hint="eastAsia" w:ascii="宋体" w:hAnsi="宋体"/>
        </w:rPr>
        <w:t xml:space="preserve">3.乙方虚假承诺，或经权威部门检测提供的货物和服务不能满足采购文件要求，或是由于乙方的过错造成合同无法继续履行的，乙方履约保证金不予退还外，还应向甲方支付不少于合同总价30%赔偿金及由此给甲方带来的所有损失。</w:t>
      </w:r>
      <w:r/>
    </w:p>
    <w:p>
      <w:pPr>
        <w:ind w:firstLine="420"/>
        <w:spacing w:line="360" w:lineRule="auto"/>
        <w:rPr>
          <w:rFonts w:hint="eastAsia" w:ascii="宋体" w:hAnsi="宋体"/>
        </w:rPr>
      </w:pPr>
      <w:r>
        <w:rPr>
          <w:rFonts w:hint="eastAsia" w:ascii="宋体" w:hAnsi="宋体"/>
        </w:rPr>
        <w:t xml:space="preserve">4.不能按照“</w:t>
      </w:r>
      <w:r>
        <w:rPr>
          <w:rFonts w:ascii="宋体" w:hAnsi="宋体"/>
          <w:szCs w:val="21"/>
        </w:rPr>
        <w:t xml:space="preserve">4小时内派技术人员到达现场处理、维修。一般性设备故障的最大修复时间不得超过8小时；重大设备故障的最大修复时间不得超过48小时。</w:t>
      </w:r>
      <w:r>
        <w:rPr>
          <w:rFonts w:hint="eastAsia" w:ascii="宋体" w:hAnsi="宋体"/>
        </w:rPr>
        <w:t xml:space="preserve">”时间 进行售后响应的，每发生一次，罚款5000元；累计超过3次，甲方有权扣除尾款，并向乙方索赔。</w:t>
      </w:r>
      <w:r/>
    </w:p>
    <w:p>
      <w:pPr>
        <w:ind w:firstLine="420"/>
        <w:spacing w:line="360" w:lineRule="auto"/>
        <w:rPr>
          <w:rFonts w:ascii="宋体" w:hAnsi="宋体"/>
        </w:rPr>
      </w:pPr>
      <w:r>
        <w:rPr>
          <w:rFonts w:hint="eastAsia" w:ascii="宋体" w:hAnsi="宋体"/>
        </w:rPr>
        <w:t xml:space="preserve">5.因项目位置特殊，安装过程中需满足成品保护要求和处理好游客及周围居民的安全，由此带来的损失由乙方自行负责，若由乙方原因产生的投诉，由乙方自行负责，并承担所有责任。</w:t>
      </w:r>
      <w:r/>
    </w:p>
    <w:p>
      <w:pPr>
        <w:ind w:firstLine="420"/>
        <w:spacing w:line="360" w:lineRule="auto"/>
        <w:rPr>
          <w:rFonts w:ascii="宋体" w:hAnsi="宋体"/>
        </w:rPr>
      </w:pPr>
      <w:r>
        <w:rPr>
          <w:rFonts w:hint="eastAsia" w:ascii="宋体" w:hAnsi="宋体"/>
        </w:rPr>
        <w:t xml:space="preserve">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仲裁费、保全费、保全担保费、律师费、公证费、鉴定费、差旅费）。</w:t>
      </w:r>
      <w:r/>
    </w:p>
    <w:p>
      <w:pPr>
        <w:ind w:firstLine="422"/>
        <w:spacing w:line="360" w:lineRule="auto"/>
        <w:rPr>
          <w:rFonts w:ascii="宋体" w:hAnsi="宋体"/>
          <w:b/>
        </w:rPr>
      </w:pPr>
      <w:r>
        <w:rPr>
          <w:rFonts w:hint="eastAsia" w:ascii="宋体" w:hAnsi="宋体"/>
          <w:b/>
        </w:rPr>
        <w:t xml:space="preserve">第十条 合同的变更和终止</w:t>
      </w:r>
      <w:r/>
    </w:p>
    <w:p>
      <w:pPr>
        <w:ind w:firstLine="420"/>
        <w:spacing w:line="360" w:lineRule="auto"/>
        <w:rPr>
          <w:rFonts w:ascii="宋体" w:hAnsi="宋体"/>
        </w:rPr>
      </w:pPr>
      <w:r>
        <w:rPr>
          <w:rFonts w:hint="eastAsia" w:ascii="宋体" w:hAnsi="宋体"/>
        </w:rPr>
        <w:t xml:space="preserve">1.除《中华人民共和国政府采购法》第49条、第50条第二款规定的情形外，本合同一经签订，甲乙双方不得擅自变更、中止或终止合同。</w:t>
      </w:r>
      <w:r/>
    </w:p>
    <w:p>
      <w:pPr>
        <w:ind w:firstLine="420"/>
        <w:spacing w:line="360" w:lineRule="auto"/>
        <w:rPr>
          <w:rFonts w:ascii="宋体" w:hAnsi="宋体"/>
        </w:rPr>
      </w:pPr>
      <w:r>
        <w:rPr>
          <w:rFonts w:hint="eastAsia" w:ascii="宋体" w:hAnsi="宋体"/>
        </w:rPr>
        <w:t xml:space="preserve">2.乙方不得将本项目进行转包或分包，否则甲方有权单方解除本合同。</w:t>
      </w:r>
      <w:r/>
    </w:p>
    <w:p>
      <w:pPr>
        <w:ind w:firstLine="420"/>
        <w:spacing w:line="360" w:lineRule="auto"/>
        <w:rPr>
          <w:rFonts w:ascii="宋体" w:hAnsi="宋体"/>
        </w:rPr>
      </w:pPr>
      <w:r>
        <w:rPr>
          <w:rFonts w:hint="eastAsia" w:ascii="宋体" w:hAnsi="宋体"/>
        </w:rPr>
        <w:t xml:space="preserve">3.除发生法律规定的不能预见、不能避免并不能克服的客观情况外，甲乙双方不得放弃或拒绝履行合同。乙方放弃或拒绝履行合同，在三年内不得参加</w:t>
      </w:r>
      <w:r>
        <w:rPr>
          <w:rFonts w:hint="eastAsia" w:ascii="宋体" w:hAnsi="宋体"/>
          <w:lang w:eastAsia="zh-CN"/>
        </w:rPr>
        <w:t xml:space="preserve">南京市江宁区人民政府麒麟街道办事处</w:t>
      </w:r>
      <w:r>
        <w:rPr>
          <w:rFonts w:hint="eastAsia" w:ascii="宋体" w:hAnsi="宋体"/>
        </w:rPr>
        <w:t xml:space="preserve">组织的政府采购活动。</w:t>
      </w:r>
      <w:r/>
    </w:p>
    <w:p>
      <w:pPr>
        <w:ind w:firstLine="422"/>
        <w:spacing w:line="360" w:lineRule="auto"/>
        <w:rPr>
          <w:rFonts w:ascii="宋体" w:hAnsi="宋体"/>
          <w:b/>
        </w:rPr>
      </w:pPr>
      <w:r>
        <w:rPr>
          <w:rFonts w:hint="eastAsia" w:ascii="宋体" w:hAnsi="宋体"/>
          <w:b/>
        </w:rPr>
        <w:t xml:space="preserve">第十一条 合同的转让</w:t>
      </w:r>
      <w:r/>
    </w:p>
    <w:p>
      <w:pPr>
        <w:ind w:firstLine="420"/>
        <w:spacing w:line="360" w:lineRule="auto"/>
        <w:rPr>
          <w:rFonts w:ascii="宋体" w:hAnsi="宋体"/>
        </w:rPr>
      </w:pPr>
      <w:r>
        <w:rPr>
          <w:rFonts w:hint="eastAsia" w:ascii="宋体" w:hAnsi="宋体"/>
        </w:rPr>
        <w:t xml:space="preserve">乙方不得擅自部分或全部转让其应履行的合同义务。</w:t>
      </w:r>
      <w:r/>
    </w:p>
    <w:p>
      <w:pPr>
        <w:ind w:firstLine="422"/>
        <w:spacing w:line="360" w:lineRule="auto"/>
        <w:rPr>
          <w:rFonts w:ascii="宋体" w:hAnsi="宋体"/>
          <w:b/>
        </w:rPr>
      </w:pPr>
      <w:r>
        <w:rPr>
          <w:rFonts w:hint="eastAsia" w:ascii="宋体" w:hAnsi="宋体"/>
          <w:b/>
        </w:rPr>
        <w:t xml:space="preserve">第十二条 争议的解决</w:t>
      </w:r>
      <w:r/>
    </w:p>
    <w:p>
      <w:pPr>
        <w:ind w:firstLine="420"/>
        <w:spacing w:line="360" w:lineRule="auto"/>
        <w:rPr>
          <w:rFonts w:ascii="宋体" w:hAnsi="宋体"/>
        </w:rPr>
      </w:pPr>
      <w:r>
        <w:rPr>
          <w:rFonts w:hint="eastAsia" w:ascii="宋体" w:hAnsi="宋体"/>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宋体" w:hAnsi="宋体"/>
        </w:rPr>
      </w:pPr>
      <w:r>
        <w:rPr>
          <w:rFonts w:hint="eastAsia" w:ascii="宋体" w:hAnsi="宋体"/>
        </w:rPr>
        <w:t xml:space="preserve">（1）向甲方所在地有管辖权的人民法院提起诉讼；</w:t>
      </w:r>
      <w:r/>
    </w:p>
    <w:p>
      <w:pPr>
        <w:ind w:firstLine="420"/>
        <w:spacing w:line="360" w:lineRule="auto"/>
        <w:rPr>
          <w:rFonts w:ascii="宋体" w:hAnsi="宋体"/>
        </w:rPr>
      </w:pPr>
      <w:r>
        <w:rPr>
          <w:rFonts w:hint="eastAsia" w:ascii="宋体" w:hAnsi="宋体"/>
        </w:rPr>
        <w:t xml:space="preserve">（2）向南京仲裁委员会按其仲裁规则申请仲裁。</w:t>
      </w:r>
      <w:r/>
    </w:p>
    <w:p>
      <w:pPr>
        <w:ind w:firstLine="420"/>
        <w:spacing w:line="360" w:lineRule="auto"/>
        <w:rPr>
          <w:rFonts w:ascii="宋体" w:hAnsi="宋体"/>
        </w:rPr>
      </w:pPr>
      <w:r>
        <w:rPr>
          <w:rFonts w:hint="eastAsia" w:ascii="宋体" w:hAnsi="宋体"/>
        </w:rPr>
        <w:t xml:space="preserve">如没有约定，默认采取第2种方式解决争议。</w:t>
      </w:r>
      <w:r/>
    </w:p>
    <w:p>
      <w:pPr>
        <w:ind w:firstLine="420"/>
        <w:spacing w:line="360" w:lineRule="auto"/>
        <w:rPr>
          <w:rFonts w:ascii="宋体" w:hAnsi="宋体"/>
        </w:rPr>
      </w:pPr>
      <w:r>
        <w:rPr>
          <w:rFonts w:hint="eastAsia" w:ascii="宋体" w:hAnsi="宋体"/>
        </w:rPr>
        <w:t xml:space="preserve">2.在诉讼或仲裁期间，本合同应继续履行。</w:t>
      </w:r>
      <w:r/>
    </w:p>
    <w:p>
      <w:pPr>
        <w:ind w:firstLine="422"/>
        <w:spacing w:line="360" w:lineRule="auto"/>
        <w:rPr>
          <w:rFonts w:ascii="宋体" w:hAnsi="宋体"/>
          <w:b/>
        </w:rPr>
      </w:pPr>
      <w:r>
        <w:rPr>
          <w:rFonts w:hint="eastAsia" w:ascii="宋体" w:hAnsi="宋体"/>
          <w:b/>
        </w:rPr>
        <w:t xml:space="preserve">第十三条 诚实信用与保密</w:t>
      </w:r>
      <w:r/>
    </w:p>
    <w:p>
      <w:pPr>
        <w:ind w:firstLine="420"/>
        <w:spacing w:line="360" w:lineRule="auto"/>
        <w:rPr>
          <w:rFonts w:ascii="宋体" w:hAnsi="宋体"/>
        </w:rPr>
      </w:pPr>
      <w:r>
        <w:rPr>
          <w:rFonts w:hint="eastAsia" w:ascii="宋体" w:hAnsi="宋体"/>
        </w:rPr>
        <w:t xml:space="preserve">1.乙方应诚实信用，严格按照采购文件要求和承诺履行合同，不向甲方进行商业贿赂或者提供不正当利益。</w:t>
      </w:r>
      <w:r/>
    </w:p>
    <w:p>
      <w:pPr>
        <w:ind w:firstLine="420"/>
        <w:spacing w:line="360" w:lineRule="auto"/>
        <w:rPr>
          <w:rFonts w:ascii="宋体" w:hAnsi="宋体"/>
        </w:rPr>
      </w:pPr>
      <w:r>
        <w:rPr>
          <w:rFonts w:hint="eastAsia" w:ascii="宋体" w:hAnsi="宋体"/>
        </w:rPr>
        <w:t xml:space="preserve">2.乙方应对甲方提供的资料具有保密义务，未经甲方同意，不得将与本合同的相关内容资料提供给任何第三方，否则甲方有权解除合同，并由乙方赔偿由此造成的甲方全部损失。</w:t>
      </w:r>
      <w:r/>
    </w:p>
    <w:p>
      <w:pPr>
        <w:ind w:firstLine="422"/>
        <w:spacing w:line="360" w:lineRule="auto"/>
        <w:rPr>
          <w:rFonts w:ascii="宋体" w:hAnsi="宋体"/>
          <w:b/>
        </w:rPr>
      </w:pPr>
      <w:r>
        <w:rPr>
          <w:rFonts w:hint="eastAsia" w:ascii="宋体" w:hAnsi="宋体"/>
          <w:b/>
        </w:rPr>
        <w:t xml:space="preserve">第十四条 合同生效及其他</w:t>
      </w:r>
      <w:r/>
    </w:p>
    <w:p>
      <w:pPr>
        <w:ind w:firstLine="420"/>
        <w:spacing w:line="360" w:lineRule="auto"/>
        <w:rPr>
          <w:rFonts w:ascii="宋体" w:hAnsi="宋体"/>
        </w:rPr>
      </w:pPr>
      <w:r>
        <w:rPr>
          <w:rFonts w:hint="eastAsia" w:ascii="宋体" w:hAnsi="宋体"/>
        </w:rPr>
        <w:t xml:space="preserve">1.本合同自双方加盖公章之日起生效。</w:t>
      </w:r>
      <w:r/>
    </w:p>
    <w:p>
      <w:pPr>
        <w:ind w:firstLine="420"/>
        <w:spacing w:line="360" w:lineRule="auto"/>
        <w:rPr>
          <w:rFonts w:ascii="宋体" w:hAnsi="宋体"/>
        </w:rPr>
      </w:pPr>
      <w:r>
        <w:rPr>
          <w:rFonts w:hint="eastAsia" w:ascii="宋体" w:hAnsi="宋体"/>
        </w:rPr>
        <w:t xml:space="preserve">2.本合同一式</w:t>
      </w:r>
      <w:r>
        <w:rPr>
          <w:rFonts w:hint="eastAsia" w:ascii="宋体" w:hAnsi="宋体"/>
          <w:u w:val="single"/>
        </w:rPr>
        <w:t xml:space="preserve">    </w:t>
      </w:r>
      <w:r>
        <w:rPr>
          <w:rFonts w:hint="eastAsia" w:ascii="宋体" w:hAnsi="宋体"/>
        </w:rPr>
        <w:t xml:space="preserve">份，甲乙双方各执</w:t>
      </w:r>
      <w:r>
        <w:rPr>
          <w:rFonts w:hint="eastAsia" w:ascii="宋体" w:hAnsi="宋体"/>
          <w:u w:val="single"/>
        </w:rPr>
        <w:t xml:space="preserve">    </w:t>
      </w:r>
      <w:r>
        <w:rPr>
          <w:rFonts w:hint="eastAsia" w:ascii="宋体" w:hAnsi="宋体"/>
        </w:rPr>
        <w:t xml:space="preserve">份，</w:t>
      </w:r>
      <w:r>
        <w:rPr>
          <w:rFonts w:hint="eastAsia" w:ascii="宋体" w:hAnsi="宋体"/>
          <w:u w:val="single"/>
        </w:rPr>
        <w:t xml:space="preserve">  </w:t>
      </w:r>
      <w:r>
        <w:rPr>
          <w:rFonts w:hint="eastAsia" w:ascii="宋体" w:hAnsi="宋体"/>
        </w:rPr>
        <w:t xml:space="preserve">份交代理机构存档。</w:t>
      </w:r>
      <w:r/>
    </w:p>
    <w:p>
      <w:pPr>
        <w:ind w:firstLine="420"/>
        <w:spacing w:line="360" w:lineRule="auto"/>
        <w:rPr>
          <w:rFonts w:ascii="宋体" w:hAnsi="宋体"/>
        </w:rPr>
      </w:pPr>
      <w:r>
        <w:rPr>
          <w:rFonts w:hint="eastAsia" w:ascii="宋体" w:hAnsi="宋体"/>
        </w:rPr>
        <w:t xml:space="preserve">3.本合同应按照中华人民共和国的现行法律进行解释。</w:t>
      </w:r>
      <w:r/>
    </w:p>
    <w:p>
      <w:pPr>
        <w:spacing w:line="360" w:lineRule="auto"/>
        <w:rPr>
          <w:rFonts w:ascii="宋体" w:hAnsi="宋体"/>
        </w:rPr>
      </w:pP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甲方（采购人）：    （盖章）       乙方（供应商）：    （盖章）</w:t>
      </w:r>
      <w:r/>
    </w:p>
    <w:p>
      <w:pPr>
        <w:ind w:firstLine="420"/>
        <w:spacing w:line="360" w:lineRule="auto"/>
        <w:rPr>
          <w:rFonts w:ascii="宋体" w:hAnsi="宋体"/>
        </w:rPr>
      </w:pPr>
      <w:r>
        <w:rPr>
          <w:rFonts w:hint="eastAsia" w:ascii="宋体" w:hAnsi="宋体"/>
        </w:rPr>
        <w:t xml:space="preserve">法定代表人：                       法定代表人：</w:t>
      </w:r>
      <w:r/>
    </w:p>
    <w:p>
      <w:pPr>
        <w:ind w:firstLine="420"/>
        <w:spacing w:line="360" w:lineRule="auto"/>
        <w:rPr>
          <w:rFonts w:ascii="宋体" w:hAnsi="宋体"/>
        </w:rPr>
      </w:pPr>
      <w:r>
        <w:rPr>
          <w:rFonts w:hint="eastAsia" w:ascii="宋体" w:hAnsi="宋体"/>
        </w:rPr>
        <w:t xml:space="preserve">委托代理人：                       委托代理人：</w:t>
      </w:r>
      <w:r/>
    </w:p>
    <w:p>
      <w:pPr>
        <w:ind w:firstLine="420"/>
        <w:spacing w:line="360" w:lineRule="auto"/>
        <w:rPr>
          <w:rFonts w:ascii="宋体" w:hAnsi="宋体"/>
        </w:rPr>
      </w:pPr>
      <w:r>
        <w:rPr>
          <w:rFonts w:hint="eastAsia" w:ascii="宋体" w:hAnsi="宋体"/>
        </w:rPr>
        <w:t xml:space="preserve">电话：                             电话：</w:t>
      </w:r>
      <w:r/>
    </w:p>
    <w:p>
      <w:pPr>
        <w:ind w:firstLine="420"/>
        <w:spacing w:line="360" w:lineRule="auto"/>
        <w:rPr>
          <w:rFonts w:ascii="宋体" w:hAnsi="宋体"/>
        </w:rPr>
      </w:pPr>
      <w:r>
        <w:rPr>
          <w:rFonts w:hint="eastAsia" w:ascii="宋体" w:hAnsi="宋体"/>
        </w:rPr>
        <w:t xml:space="preserve">开户银行：                         开户银行：</w:t>
      </w:r>
      <w:r/>
    </w:p>
    <w:p>
      <w:pPr>
        <w:ind w:firstLine="420"/>
        <w:spacing w:line="360" w:lineRule="auto"/>
        <w:rPr>
          <w:rFonts w:ascii="宋体" w:hAnsi="宋体"/>
        </w:rPr>
      </w:pPr>
      <w:r>
        <w:rPr>
          <w:rFonts w:hint="eastAsia" w:ascii="宋体" w:hAnsi="宋体"/>
        </w:rPr>
        <w:t xml:space="preserve">账号：                             账号：</w:t>
      </w:r>
      <w:r/>
    </w:p>
    <w:p>
      <w:pPr>
        <w:ind w:firstLine="420"/>
        <w:spacing w:line="360" w:lineRule="auto"/>
        <w:rPr>
          <w:rFonts w:ascii="宋体" w:hAnsi="宋体"/>
        </w:rPr>
      </w:pPr>
      <w:r>
        <w:rPr>
          <w:rFonts w:hint="eastAsia" w:ascii="宋体" w:hAnsi="宋体"/>
        </w:rPr>
        <w:t xml:space="preserve">单位地址：                         单位地址：</w:t>
      </w:r>
      <w:r/>
    </w:p>
    <w:p>
      <w:pPr>
        <w:ind w:firstLine="420"/>
        <w:spacing w:line="360" w:lineRule="auto"/>
        <w:rPr>
          <w:b/>
          <w:bCs/>
          <w:sz w:val="36"/>
          <w:szCs w:val="36"/>
        </w:rPr>
      </w:pPr>
      <w:r>
        <w:rPr>
          <w:rFonts w:hint="eastAsia" w:ascii="宋体" w:hAnsi="宋体"/>
        </w:rPr>
        <w:t xml:space="preserve">日期：    年   月   日             日期：    年   月   日</w:t>
      </w:r>
      <w:r/>
    </w:p>
    <w:p>
      <w:pPr>
        <w:pStyle w:val="814"/>
        <w:numPr>
          <w:ilvl w:val="0"/>
          <w:numId w:val="0"/>
        </w:numPr>
      </w:pPr>
      <w:r>
        <w:rPr>
          <w:b w:val="0"/>
          <w:bCs w:val="0"/>
          <w:sz w:val="36"/>
          <w:szCs w:val="36"/>
        </w:rPr>
        <w:br w:type="page" w:clear="all"/>
      </w:r>
      <w:bookmarkStart w:id="140" w:name="_Toc6328"/>
      <w:r>
        <w:t xml:space="preserve">第六章 投标文件格式及附件</w:t>
      </w:r>
      <w:bookmarkEnd w:id="140"/>
      <w:r/>
      <w:r/>
    </w:p>
    <w:p>
      <w:pPr>
        <w:jc w:val="left"/>
        <w:spacing w:line="240" w:lineRule="atLeast"/>
        <w:widowControl/>
        <w:rPr>
          <w:b/>
          <w:bCs/>
          <w:szCs w:val="21"/>
        </w:rPr>
      </w:pPr>
      <w:r>
        <w:rPr>
          <w:b/>
          <w:bCs/>
          <w:szCs w:val="21"/>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color w:val="000000"/>
          <w:sz w:val="36"/>
          <w:szCs w:val="21"/>
          <w:u w:val="single"/>
        </w:rPr>
        <w:sectPr>
          <w:footnotePr/>
          <w:endnotePr/>
          <w:type w:val="nextPage"/>
          <w:pgSz w:w="11906" w:h="16838" w:orient="portrait"/>
          <w:pgMar w:top="1440" w:right="1286" w:bottom="1440" w:left="1380" w:header="851" w:footer="992" w:gutter="0"/>
          <w:cols w:num="1" w:sep="0" w:space="720" w:equalWidth="1"/>
          <w:docGrid w:linePitch="360"/>
        </w:sectPr>
      </w:pPr>
      <w:r>
        <w:rPr>
          <w:rFonts w:ascii="宋体" w:hAnsi="宋体"/>
          <w:b/>
          <w:color w:val="000000"/>
          <w:sz w:val="36"/>
          <w:szCs w:val="21"/>
          <w:u w:val="single"/>
        </w:rPr>
        <w:br w:type="page" w:clear="all"/>
      </w:r>
      <w:r/>
    </w:p>
    <w:p>
      <w:pPr>
        <w:jc w:val="center"/>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jc w:val="center"/>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14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232"/>
        <w:rPr>
          <w:sz w:val="24"/>
        </w:rPr>
      </w:pPr>
      <w:r>
        <w:rPr>
          <w:sz w:val="24"/>
        </w:rPr>
      </w:r>
      <w:r/>
    </w:p>
    <w:p>
      <w:pPr>
        <w:pStyle w:val="1232"/>
        <w:rPr>
          <w:sz w:val="24"/>
        </w:rPr>
      </w:pPr>
      <w:r>
        <w:rPr>
          <w:sz w:val="24"/>
        </w:rPr>
      </w:r>
      <w:r/>
    </w:p>
    <w:p>
      <w:pPr>
        <w:pStyle w:val="1232"/>
        <w:rPr>
          <w:sz w:val="24"/>
        </w:rPr>
      </w:pPr>
      <w:r>
        <w:rPr>
          <w:sz w:val="24"/>
        </w:rPr>
      </w:r>
      <w:r/>
    </w:p>
    <w:p>
      <w:pPr>
        <w:pStyle w:val="1232"/>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sectPr>
          <w:footnotePr/>
          <w:endnotePr/>
          <w:type w:val="nextPage"/>
          <w:pgSz w:w="11906" w:h="16838" w:orient="portrait"/>
          <w:pgMar w:top="1440" w:right="1286" w:bottom="1440" w:left="1380" w:header="851" w:footer="992" w:gutter="0"/>
          <w:cols w:num="1" w:sep="0" w:space="720" w:equalWidth="1"/>
          <w:docGrid w:linePitch="360"/>
        </w:sectPr>
      </w:pPr>
      <w:r>
        <w:rPr>
          <w:rFonts w:ascii="黑体" w:hAnsi="黑体" w:eastAsia="黑体"/>
          <w:sz w:val="32"/>
          <w:szCs w:val="32"/>
        </w:rPr>
      </w:r>
      <w:r/>
    </w:p>
    <w:p>
      <w:pPr>
        <w:jc w:val="left"/>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黑体" w:hAnsi="黑体" w:eastAsia="黑体"/>
          <w:sz w:val="32"/>
          <w:szCs w:val="32"/>
        </w:rPr>
        <w:t xml:space="preserve">一、</w:t>
      </w:r>
      <w:r>
        <w:rPr>
          <w:rFonts w:hint="eastAsia" w:ascii="黑体" w:hAnsi="黑体" w:eastAsia="黑体" w:cs="Times New Roman"/>
          <w:sz w:val="32"/>
          <w:szCs w:val="3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84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left"/>
        <w:spacing w:line="360" w:lineRule="auto"/>
        <w:rPr>
          <w:rFonts w:ascii="黑体" w:hAnsi="黑体" w:eastAsia="黑体"/>
          <w:sz w:val="32"/>
          <w:szCs w:val="32"/>
        </w:rPr>
      </w:pPr>
      <w:r>
        <w:rPr>
          <w:rFonts w:ascii="黑体" w:hAnsi="黑体" w:eastAsia="黑体"/>
          <w:sz w:val="32"/>
          <w:szCs w:val="32"/>
        </w:rPr>
      </w:r>
      <w:r/>
    </w:p>
    <w:p>
      <w:pPr>
        <w:rPr>
          <w:sz w:val="24"/>
        </w:rPr>
      </w:pPr>
      <w:r>
        <w:rPr>
          <w:sz w:val="24"/>
        </w:rPr>
      </w:r>
      <w:r/>
    </w:p>
    <w:p>
      <w:pPr>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172"/>
        <w:ind w:firstLine="480"/>
        <w:tabs>
          <w:tab w:val="left" w:pos="360" w:leader="none"/>
        </w:tabs>
        <w:rPr>
          <w:rFonts w:ascii="Times New Roman" w:hAnsi="Times New Roman"/>
          <w:sz w:val="24"/>
          <w:szCs w:val="24"/>
          <w:lang w:eastAsia="zh-CN"/>
        </w:rPr>
      </w:pPr>
      <w:r>
        <w:rPr>
          <w:rFonts w:hint="eastAsia" w:ascii="Times New Roman" w:hAnsi="Times New Roman"/>
          <w:sz w:val="24"/>
          <w:szCs w:val="24"/>
          <w:lang w:eastAsia="zh-CN"/>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5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172"/>
        <w:ind w:firstLine="480"/>
        <w:spacing w:line="420" w:lineRule="exact"/>
        <w:tabs>
          <w:tab w:val="left" w:pos="360" w:leader="none"/>
        </w:tabs>
        <w:rPr>
          <w:sz w:val="24"/>
          <w:szCs w:val="24"/>
          <w:lang w:eastAsia="zh-CN"/>
        </w:rPr>
      </w:pPr>
      <w:r>
        <w:rPr>
          <w:sz w:val="24"/>
          <w:szCs w:val="24"/>
          <w:lang w:eastAsia="zh-CN"/>
        </w:rPr>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本授权书声明：</w:t>
      </w:r>
      <w:r>
        <w:rPr>
          <w:rFonts w:hint="eastAsia" w:ascii="宋体" w:hAnsi="宋体" w:cs="宋体"/>
          <w:sz w:val="24"/>
          <w:szCs w:val="24"/>
          <w:u w:val="single"/>
          <w:lang w:eastAsia="zh-CN"/>
        </w:rPr>
        <w:t xml:space="preserve">            </w:t>
      </w:r>
      <w:r>
        <w:rPr>
          <w:rFonts w:hint="eastAsia"/>
          <w:sz w:val="24"/>
          <w:szCs w:val="24"/>
          <w:lang w:eastAsia="zh-CN"/>
        </w:rPr>
        <w:t xml:space="preserve">（投标人名称）授权</w:t>
      </w:r>
      <w:r>
        <w:rPr>
          <w:rFonts w:hint="eastAsia" w:ascii="宋体" w:hAnsi="宋体" w:cs="宋体"/>
          <w:sz w:val="24"/>
          <w:szCs w:val="24"/>
          <w:u w:val="single"/>
          <w:lang w:eastAsia="zh-CN"/>
        </w:rPr>
        <w:t xml:space="preserve">                 </w:t>
      </w:r>
      <w:r>
        <w:rPr>
          <w:rFonts w:hint="eastAsia"/>
          <w:sz w:val="24"/>
          <w:szCs w:val="24"/>
          <w:lang w:eastAsia="zh-CN"/>
        </w:rPr>
        <w:t xml:space="preserve">（被授权人姓名）作为我方参加编号为</w:t>
      </w:r>
      <w:r>
        <w:rPr>
          <w:rFonts w:hint="eastAsia" w:ascii="宋体" w:hAnsi="宋体"/>
          <w:color w:val="000000"/>
          <w:sz w:val="24"/>
          <w:szCs w:val="24"/>
          <w:u w:val="single"/>
          <w:lang w:eastAsia="zh-CN"/>
        </w:rPr>
        <w:t xml:space="preserve">                             </w:t>
      </w:r>
      <w:r>
        <w:rPr>
          <w:rFonts w:hint="eastAsia"/>
          <w:sz w:val="24"/>
          <w:szCs w:val="24"/>
          <w:lang w:eastAsia="zh-CN"/>
        </w:rPr>
        <w:t xml:space="preserve">项目采购活动的合法代理人，以本单位名义全权处理一切与该项目采购有关的事务。</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172"/>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172"/>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172"/>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142" w:name="_格式3__银行出具的资信证明"/>
      <w:r/>
      <w:bookmarkEnd w:id="142"/>
      <w:r/>
      <w:bookmarkStart w:id="143" w:name="_Hlt26955070"/>
      <w:r/>
      <w:bookmarkEnd w:id="143"/>
      <w:r/>
      <w:bookmarkStart w:id="144" w:name="_Hlt26671380"/>
      <w:r/>
      <w:bookmarkEnd w:id="144"/>
      <w:r/>
      <w:r/>
    </w:p>
    <w:p>
      <w:pPr>
        <w:pStyle w:val="825"/>
        <w:rPr>
          <w:i/>
          <w:szCs w:val="24"/>
          <w:u w:val="single"/>
        </w:rPr>
      </w:pPr>
      <w:r>
        <w:rPr>
          <w:i/>
          <w:szCs w:val="24"/>
          <w:u w:val="single"/>
        </w:rPr>
      </w:r>
      <w:r/>
    </w:p>
    <w:p>
      <w:pPr>
        <w:pStyle w:val="825"/>
        <w:ind w:firstLine="0"/>
      </w:pPr>
      <w:r/>
      <w:r/>
    </w:p>
    <w:p>
      <w:pPr>
        <w:spacing w:line="460" w:lineRule="exact"/>
        <w:rPr>
          <w:rFonts w:ascii="楷体" w:hAnsi="楷体" w:eastAsia="楷体"/>
          <w:bCs/>
          <w:sz w:val="24"/>
        </w:rPr>
      </w:pPr>
      <w:r>
        <w:rPr>
          <w:rFonts w:ascii="楷体" w:hAnsi="楷体" w:eastAsia="楷体"/>
          <w:bCs/>
          <w:sz w:val="24"/>
        </w:rPr>
      </w:r>
      <w:r/>
    </w:p>
    <w:p>
      <w:pPr>
        <w:spacing w:line="460" w:lineRule="exact"/>
        <w:rPr>
          <w:rFonts w:ascii="宋体" w:hAnsi="宋体"/>
          <w:bCs/>
          <w:sz w:val="24"/>
        </w:rPr>
      </w:pPr>
      <w:r>
        <w:rPr>
          <w:rFonts w:ascii="宋体" w:hAnsi="宋体"/>
          <w:bCs/>
          <w:sz w:val="24"/>
        </w:rPr>
      </w:r>
      <w:r/>
    </w:p>
    <w:p>
      <w:pPr>
        <w:pStyle w:val="1232"/>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193"/>
        <w:spacing w:before="0" w:after="0" w:line="420" w:lineRule="exact"/>
        <w:rPr>
          <w:rFonts w:hint="default" w:ascii="宋体" w:hAnsi="宋体" w:eastAsia="宋体"/>
          <w:szCs w:val="21"/>
          <w:lang w:val="en-US" w:eastAsia="zh-CN"/>
        </w:rPr>
      </w:pPr>
      <w:r>
        <w:rPr>
          <w:rFonts w:hint="eastAsia" w:ascii="宋体" w:hAnsi="宋体"/>
          <w:szCs w:val="21"/>
        </w:rPr>
        <w:t xml:space="preserve">致：</w:t>
      </w:r>
      <w:r>
        <w:rPr>
          <w:rFonts w:hint="eastAsia" w:ascii="宋体" w:hAnsi="宋体"/>
          <w:szCs w:val="21"/>
          <w:lang w:val="en-US" w:eastAsia="zh-CN"/>
        </w:rPr>
        <w:t xml:space="preserve">南京市江宁区人民政府麒麟街道办事处</w:t>
      </w:r>
      <w:r/>
    </w:p>
    <w:p>
      <w:pPr>
        <w:pStyle w:val="1193"/>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193"/>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19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9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9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9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9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rPr>
      </w:pPr>
      <w:r>
        <w:rPr>
          <w:rFonts w:hint="eastAsia" w:ascii="宋体" w:hAnsi="宋体"/>
          <w:sz w:val="24"/>
        </w:rPr>
        <w:t xml:space="preserve">7.我方为：</w:t>
      </w:r>
      <w:r>
        <w:rPr>
          <w:rFonts w:ascii="Wingdings" w:hAnsi="Wingdings" w:eastAsia="Wingdings" w:cs="Wingdings"/>
          <w:sz w:val="24"/>
        </w:rPr>
        <w:t xml:space="preserve">¨</w:t>
      </w:r>
      <w:r>
        <w:rPr>
          <w:rFonts w:hint="eastAsia" w:ascii="宋体" w:hAnsi="宋体"/>
          <w:sz w:val="24"/>
        </w:rPr>
        <w:t xml:space="preserve">大型企业 </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微型企业（在对应</w:t>
      </w:r>
      <w:r>
        <w:rPr>
          <w:rFonts w:ascii="Wingdings" w:hAnsi="Wingdings" w:eastAsia="Wingdings" w:cs="Wingdings"/>
          <w:sz w:val="24"/>
        </w:rPr>
        <w:t xml:space="preserve">¨</w:t>
      </w:r>
      <w:r>
        <w:rPr>
          <w:rFonts w:hint="eastAsia" w:ascii="宋体" w:hAnsi="宋体" w:cs="宋体"/>
          <w:color w:val="000000"/>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pStyle w:val="1193"/>
        <w:spacing w:before="0" w:after="0" w:line="420" w:lineRule="exact"/>
        <w:rPr>
          <w:rFonts w:ascii="宋体" w:hAnsi="宋体"/>
          <w:szCs w:val="21"/>
        </w:rPr>
      </w:pPr>
      <w:r>
        <w:rPr>
          <w:rFonts w:hint="eastAsia" w:ascii="宋体" w:hAnsi="宋体"/>
          <w:szCs w:val="21"/>
        </w:rPr>
        <w:t xml:space="preserve">8.我方与本次投标有关信息</w:t>
      </w:r>
      <w:r/>
    </w:p>
    <w:p>
      <w:pPr>
        <w:pStyle w:val="1193"/>
        <w:spacing w:before="0" w:after="0" w:line="420" w:lineRule="exact"/>
        <w:rPr>
          <w:rFonts w:ascii="宋体" w:hAnsi="宋体"/>
          <w:szCs w:val="21"/>
        </w:rPr>
      </w:pPr>
      <w:r>
        <w:rPr>
          <w:rFonts w:hint="eastAsia" w:ascii="宋体" w:hAnsi="宋体"/>
          <w:szCs w:val="21"/>
        </w:rPr>
        <w:t xml:space="preserve">地  址：</w:t>
      </w:r>
      <w:r/>
    </w:p>
    <w:p>
      <w:pPr>
        <w:pStyle w:val="1193"/>
        <w:spacing w:before="0" w:after="0" w:line="420" w:lineRule="exact"/>
        <w:rPr>
          <w:rFonts w:ascii="宋体" w:hAnsi="宋体"/>
          <w:szCs w:val="21"/>
        </w:rPr>
      </w:pPr>
      <w:r>
        <w:rPr>
          <w:rFonts w:hint="eastAsia" w:ascii="宋体" w:hAnsi="宋体"/>
          <w:szCs w:val="21"/>
        </w:rPr>
        <w:t xml:space="preserve">邮  编：</w:t>
      </w:r>
      <w:r/>
    </w:p>
    <w:p>
      <w:pPr>
        <w:pStyle w:val="1193"/>
        <w:spacing w:before="0" w:after="0" w:line="420" w:lineRule="exact"/>
        <w:rPr>
          <w:rFonts w:ascii="宋体" w:hAnsi="宋体"/>
          <w:szCs w:val="21"/>
          <w:u w:val="single"/>
        </w:rPr>
      </w:pPr>
      <w:r>
        <w:rPr>
          <w:rFonts w:hint="eastAsia" w:ascii="宋体" w:hAnsi="宋体"/>
          <w:szCs w:val="21"/>
        </w:rPr>
        <w:t xml:space="preserve">电  话：</w:t>
      </w:r>
      <w:r/>
    </w:p>
    <w:p>
      <w:pPr>
        <w:pStyle w:val="1193"/>
        <w:spacing w:before="0" w:after="0" w:line="420" w:lineRule="exact"/>
        <w:rPr>
          <w:rFonts w:ascii="宋体" w:hAnsi="宋体"/>
          <w:szCs w:val="21"/>
          <w:u w:val="single"/>
        </w:rPr>
      </w:pPr>
      <w:r>
        <w:rPr>
          <w:rFonts w:hint="eastAsia" w:ascii="宋体" w:hAnsi="宋体"/>
          <w:szCs w:val="21"/>
        </w:rPr>
        <w:t xml:space="preserve">传  真：</w:t>
      </w:r>
      <w:r/>
    </w:p>
    <w:p>
      <w:pPr>
        <w:pStyle w:val="1193"/>
        <w:spacing w:before="0" w:after="0" w:line="420" w:lineRule="exact"/>
        <w:rPr>
          <w:rFonts w:ascii="宋体" w:hAnsi="宋体"/>
          <w:szCs w:val="21"/>
          <w:u w:val="single"/>
        </w:rPr>
      </w:pPr>
      <w:r>
        <w:rPr>
          <w:rFonts w:hint="eastAsia" w:ascii="宋体" w:hAnsi="宋体"/>
          <w:szCs w:val="21"/>
        </w:rPr>
        <w:t xml:space="preserve">开户行：</w:t>
      </w:r>
      <w:r/>
    </w:p>
    <w:p>
      <w:pPr>
        <w:pStyle w:val="1193"/>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rPr>
      </w:pPr>
      <w:r>
        <w:rPr>
          <w:rFonts w:hint="eastAsia" w:ascii="宋体" w:hAnsi="宋体"/>
          <w:sz w:val="24"/>
        </w:rPr>
        <w:t xml:space="preserve">投标人名称：（加盖电子公章）</w:t>
      </w:r>
      <w:r/>
    </w:p>
    <w:p>
      <w:pPr>
        <w:pStyle w:val="1193"/>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82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193"/>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lang w:val="en-US" w:eastAsia="zh-CN"/>
        </w:rPr>
      </w:pPr>
      <w:r>
        <w:rPr>
          <w:rFonts w:hint="eastAsia"/>
          <w:lang w:val="en-US" w:eastAsia="zh-CN"/>
        </w:rPr>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sz w:val="32"/>
          <w:szCs w:val="32"/>
          <w:lang w:val="en-US" w:eastAsia="zh-CN"/>
        </w:rPr>
        <w:t xml:space="preserve">六</w:t>
      </w:r>
      <w:r>
        <w:rPr>
          <w:rFonts w:hint="eastAsia" w:ascii="黑体" w:hAnsi="黑体" w:eastAsia="黑体"/>
          <w:sz w:val="32"/>
          <w:szCs w:val="32"/>
        </w:rPr>
        <w:t xml:space="preserve">、</w:t>
      </w:r>
      <w:r>
        <w:rPr>
          <w:rFonts w:hint="eastAsia" w:ascii="黑体" w:hAnsi="黑体" w:eastAsia="黑体" w:cs="Times New Roman"/>
          <w:i w:val="0"/>
          <w:sz w:val="32"/>
          <w:szCs w:val="32"/>
          <w:u w:val="none"/>
          <w:lang w:val="en-US" w:eastAsia="zh-CN"/>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bookmarkEnd w:id="141"/>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49"/>
        <w:gridCol w:w="1010"/>
        <w:gridCol w:w="927"/>
        <w:gridCol w:w="1341"/>
        <w:gridCol w:w="759"/>
        <w:gridCol w:w="940"/>
        <w:gridCol w:w="707"/>
        <w:gridCol w:w="1302"/>
        <w:gridCol w:w="1187"/>
      </w:tblGrid>
      <w:tr>
        <w:trPr>
          <w:tblCellSpacing w:w="0" w:type="dxa"/>
          <w:trHeight w:val="54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r/>
          </w:p>
        </w:tc>
      </w:tr>
      <w:tr>
        <w:trPr>
          <w:tblCellSpacing w:w="0" w:type="dxa"/>
          <w:trHeight w:val="29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产品</w:t>
            </w:r>
            <w:r/>
          </w:p>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名称</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品牌</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规格</w:t>
            </w:r>
            <w:r/>
          </w:p>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型号</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产地</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分项单价</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分项总价</w:t>
            </w:r>
            <w:r/>
          </w:p>
        </w:tc>
      </w:tr>
      <w:tr>
        <w:trPr>
          <w:tblCellSpacing w:w="0" w:type="dxa"/>
          <w:trHeight w:val="696"/>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72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40"/>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80"/>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030"/>
        </w:trPr>
        <w:tc>
          <w:tcPr>
            <w:gridSpan w:val="8"/>
            <w:shd w:val="clear" w:color="auto"/>
            <w:tcBorders>
              <w:top w:val="single" w:color="000000" w:sz="2" w:space="0"/>
              <w:left w:val="single" w:color="000000" w:sz="4" w:space="0"/>
              <w:bottom w:val="single" w:color="000000" w:sz="2" w:space="0"/>
              <w:right w:val="single" w:color="000000" w:sz="2" w:space="0"/>
            </w:tcBorders>
            <w:tcW w:w="783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4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投标分项报价表</w:t>
      </w:r>
      <w:r>
        <w:rPr>
          <w:rFonts w:hint="default" w:ascii="Times New Roman" w:hAnsi="Times New Roman" w:cs="Times New Roman"/>
          <w:color w:val="000000"/>
          <w:sz w:val="21"/>
          <w:szCs w:val="21"/>
        </w:rPr>
        <w:t xml:space="preserve">”</w:t>
      </w:r>
      <w:r>
        <w:rPr>
          <w:rFonts w:hint="eastAsia" w:ascii="宋体" w:hAnsi="宋体" w:eastAsia="宋体" w:cs="宋体"/>
          <w:color w:val="000000"/>
          <w:sz w:val="24"/>
          <w:szCs w:val="24"/>
        </w:rPr>
        <w:t xml:space="preserve">中“投标总报价”数额应当与“开标一览表”中“投标总报价”数额一致。</w:t>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pPr>
            <w:r/>
            <w:r/>
          </w:p>
          <w:p>
            <w:pPr>
              <w:pStyle w:val="847"/>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4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4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145" w:name="_Hlt26955054"/>
      <w:r/>
      <w:bookmarkEnd w:id="145"/>
      <w:r/>
      <w:r/>
    </w:p>
    <w:p>
      <w:pPr>
        <w:pStyle w:val="847"/>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pStyle w:val="847"/>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146" w:name="_Hlt26671372"/>
            <w:r/>
            <w:bookmarkEnd w:id="146"/>
            <w:r/>
            <w:bookmarkStart w:id="147" w:name="_Hlt26955064"/>
            <w:r/>
            <w:bookmarkEnd w:id="147"/>
            <w:r/>
            <w:bookmarkStart w:id="148" w:name="_Hlt24879081"/>
            <w:r/>
            <w:bookmarkEnd w:id="148"/>
            <w:r/>
            <w:bookmarkStart w:id="149" w:name="_Hlt26609391"/>
            <w:r/>
            <w:bookmarkEnd w:id="149"/>
            <w:r/>
            <w:bookmarkStart w:id="150" w:name="_Hlt26782999"/>
            <w:r/>
            <w:bookmarkEnd w:id="150"/>
            <w:r/>
            <w:bookmarkStart w:id="151" w:name="_Hlt26580838"/>
            <w:r/>
            <w:bookmarkEnd w:id="151"/>
            <w:r/>
            <w:bookmarkStart w:id="152" w:name="_Hlt26671343"/>
            <w:r/>
            <w:bookmarkEnd w:id="152"/>
            <w:r/>
            <w:bookmarkStart w:id="153" w:name="_Hlt26955056"/>
            <w:r/>
            <w:bookmarkEnd w:id="153"/>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pPr>
            <w:r/>
            <w:r/>
          </w:p>
          <w:p>
            <w:pPr>
              <w:pStyle w:val="847"/>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4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4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79"/>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4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4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87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w:t>
      </w:r>
      <w:r>
        <w:rPr>
          <w:rFonts w:hint="default" w:ascii="宋体" w:hAnsi="宋体" w:eastAsia="宋体" w:cs="Times New Roman"/>
          <w:sz w:val="24"/>
          <w:szCs w:val="24"/>
          <w:lang w:val="en-US" w:eastAsia="zh-CN"/>
        </w:rPr>
        <w:t xml:space="preserve">服务</w:t>
      </w:r>
      <w:r>
        <w:rPr>
          <w:rFonts w:hint="eastAsia" w:ascii="宋体" w:hAnsi="宋体" w:eastAsia="宋体" w:cs="Times New Roman"/>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87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4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7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47"/>
        <w:rPr>
          <w:rFonts w:hint="eastAsia"/>
        </w:rPr>
      </w:pPr>
      <w:r>
        <w:rPr>
          <w:rFonts w:hint="eastAsia"/>
        </w:rPr>
      </w:r>
      <w:r/>
    </w:p>
    <w:p>
      <w:pPr>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847"/>
        <w:ind w:left="0" w:firstLine="0"/>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47"/>
        <w:rPr>
          <w:rFonts w:hint="eastAsia" w:ascii="宋体" w:hAnsi="宋体"/>
          <w:b w:val="0"/>
          <w:bCs/>
          <w:sz w:val="24"/>
          <w:szCs w:val="24"/>
          <w:lang w:val="en-US" w:eastAsia="zh-CN"/>
        </w:rPr>
      </w:pPr>
      <w:r>
        <w:rPr>
          <w:rFonts w:hint="eastAsia" w:ascii="宋体" w:hAnsi="宋体"/>
          <w:b w:val="0"/>
          <w:bCs/>
          <w:sz w:val="24"/>
          <w:szCs w:val="24"/>
          <w:lang w:val="en-US" w:eastAsia="zh-CN"/>
        </w:rPr>
      </w:r>
      <w:r/>
    </w:p>
    <w:p>
      <w:pPr>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47"/>
        <w:rPr>
          <w:rFonts w:hint="eastAsia"/>
          <w:lang w:val="en-US" w:eastAsia="zh-CN"/>
        </w:rPr>
      </w:pPr>
      <w:r>
        <w:rPr>
          <w:rFonts w:hint="eastAsia"/>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footerReference w:type="default" r:id="rId14"/>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等线">
    <w:panose1 w:val="02010600030101010101"/>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黑体_GBK">
    <w:panose1 w:val="020B0503020202020204"/>
  </w:font>
  <w:font w:name="方正仿宋_GBK">
    <w:panose1 w:val="020B0503020202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6"/>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6"/>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6"/>
      <w:isLgl w:val="false"/>
      <w:suff w:val="tab"/>
      <w:lvlText w:val="%1.%2"/>
      <w:lvlJc w:val="left"/>
      <w:pPr>
        <w:ind w:left="425" w:hanging="425"/>
      </w:pPr>
      <w:rPr>
        <w:rFonts w:hint="eastAsia" w:ascii="Arial Unicode MS" w:hAnsi="Arial Unicode MS" w:eastAsia="微软雅黑"/>
        <w:b/>
        <w:i w:val="0"/>
      </w:rPr>
    </w:lvl>
    <w:lvl w:ilvl="2">
      <w:start w:val="1"/>
      <w:numFmt w:val="decimal"/>
      <w:pStyle w:val="1190"/>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isLgl w:val="false"/>
      <w:suff w:val="nothing"/>
      <w:lvlText w:val="第%1章"/>
      <w:lvlJc w:val="left"/>
      <w:pPr/>
      <w:rPr>
        <w:rFonts w:cs="Times New Roman"/>
      </w:rPr>
    </w:lvl>
    <w:lvl w:ilvl="1">
      <w:start w:val="1"/>
      <w:numFmt w:val="decimal"/>
      <w:pStyle w:val="862"/>
      <w:isLgl w:val="false"/>
      <w:suff w:val="nothing"/>
      <w:lvlText w:val=""/>
      <w:lvlJc w:val="left"/>
      <w:pPr/>
      <w:rPr>
        <w:rFonts w:cs="Times New Roman"/>
      </w:rPr>
    </w:lvl>
    <w:lvl w:ilvl="2">
      <w:start w:val="1"/>
      <w:numFmt w:val="decimal"/>
      <w:pStyle w:val="863"/>
      <w:isLgl w:val="false"/>
      <w:suff w:val="nothing"/>
      <w:lvlText w:val=""/>
      <w:lvlJc w:val="left"/>
      <w:pPr/>
      <w:rPr>
        <w:rFonts w:cs="Times New Roman"/>
      </w:rPr>
    </w:lvl>
    <w:lvl w:ilvl="3">
      <w:start w:val="1"/>
      <w:numFmt w:val="decimal"/>
      <w:isLgl w:val="false"/>
      <w:suff w:val="nothing"/>
      <w:lvlText w:val=""/>
      <w:lvlJc w:val="left"/>
      <w:pPr/>
      <w:rPr>
        <w:rFonts w:cs="Times New Roman"/>
      </w:rPr>
    </w:lvl>
    <w:lvl w:ilvl="4">
      <w:start w:val="1"/>
      <w:numFmt w:val="decimal"/>
      <w:isLgl w:val="false"/>
      <w:suff w:val="nothing"/>
      <w:lvlText w:val=""/>
      <w:lvlJc w:val="left"/>
      <w:pPr/>
      <w:rPr>
        <w:rFonts w:cs="Times New Roman"/>
      </w:rPr>
    </w:lvl>
    <w:lvl w:ilvl="5">
      <w:start w:val="1"/>
      <w:numFmt w:val="decimal"/>
      <w:isLgl w:val="false"/>
      <w:suff w:val="nothing"/>
      <w:lvlText w:val=""/>
      <w:lvlJc w:val="left"/>
      <w:pPr/>
      <w:rPr>
        <w:rFonts w:cs="Times New Roman"/>
      </w:rPr>
    </w:lvl>
    <w:lvl w:ilvl="6">
      <w:start w:val="1"/>
      <w:numFmt w:val="decimal"/>
      <w:isLgl w:val="false"/>
      <w:suff w:val="nothing"/>
      <w:lvlText w:val=""/>
      <w:lvlJc w:val="left"/>
      <w:pPr/>
      <w:rPr>
        <w:rFonts w:cs="Times New Roman"/>
      </w:rPr>
    </w:lvl>
    <w:lvl w:ilvl="7">
      <w:start w:val="1"/>
      <w:numFmt w:val="decimal"/>
      <w:isLgl w:val="false"/>
      <w:suff w:val="nothing"/>
      <w:lvlText w:val=""/>
      <w:lvlJc w:val="left"/>
      <w:pPr/>
      <w:rPr>
        <w:rFonts w:cs="Times New Roman"/>
      </w:rPr>
    </w:lvl>
    <w:lvl w:ilvl="8">
      <w:start w:val="1"/>
      <w:numFmt w:val="decimal"/>
      <w:isLgl w:val="false"/>
      <w:suff w:val="nothing"/>
      <w:lvlText w:val=""/>
      <w:lvlJc w:val="left"/>
      <w:pPr/>
      <w:rPr>
        <w:rFonts w:cs="Times New Roman"/>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814"/>
      <w:isLgl w:val="false"/>
      <w:suff w:val="nothing"/>
      <w:lvlText w:val="第%1章"/>
      <w:lvlJc w:val="left"/>
      <w:pPr>
        <w:ind w:left="0" w:firstLine="0"/>
      </w:pPr>
    </w:lvl>
    <w:lvl w:ilvl="1">
      <w:start w:val="1"/>
      <w:numFmt w:val="decimal"/>
      <w:pStyle w:val="815"/>
      <w:isLgl w:val="false"/>
      <w:suff w:val="nothing"/>
      <w:lvlText w:val=""/>
      <w:lvlJc w:val="left"/>
      <w:pPr>
        <w:ind w:left="0" w:firstLine="0"/>
      </w:pPr>
    </w:lvl>
    <w:lvl w:ilvl="2">
      <w:start w:val="1"/>
      <w:numFmt w:val="decimal"/>
      <w:pStyle w:val="816"/>
      <w:isLgl w:val="false"/>
      <w:suff w:val="nothing"/>
      <w:lvlText w:val=""/>
      <w:lvlJc w:val="left"/>
      <w:pPr>
        <w:ind w:left="0" w:firstLine="0"/>
      </w:pPr>
    </w:lvl>
    <w:lvl w:ilvl="3">
      <w:start w:val="1"/>
      <w:numFmt w:val="decimal"/>
      <w:pStyle w:val="817"/>
      <w:isLgl w:val="false"/>
      <w:suff w:val="nothing"/>
      <w:lvlText w:val=""/>
      <w:lvlJc w:val="left"/>
      <w:pPr>
        <w:ind w:left="0" w:firstLine="0"/>
      </w:pPr>
    </w:lvl>
    <w:lvl w:ilvl="4">
      <w:start w:val="1"/>
      <w:numFmt w:val="decimal"/>
      <w:pStyle w:val="818"/>
      <w:isLgl w:val="false"/>
      <w:suff w:val="nothing"/>
      <w:lvlText w:val=""/>
      <w:lvlJc w:val="left"/>
      <w:pPr>
        <w:ind w:left="0" w:firstLine="0"/>
      </w:pPr>
    </w:lvl>
    <w:lvl w:ilvl="5">
      <w:start w:val="1"/>
      <w:numFmt w:val="decimal"/>
      <w:pStyle w:val="819"/>
      <w:isLgl w:val="false"/>
      <w:suff w:val="nothing"/>
      <w:lvlText w:val=""/>
      <w:lvlJc w:val="left"/>
      <w:pPr>
        <w:ind w:left="0" w:firstLine="0"/>
      </w:pPr>
    </w:lvl>
    <w:lvl w:ilvl="6">
      <w:start w:val="1"/>
      <w:numFmt w:val="decimal"/>
      <w:pStyle w:val="820"/>
      <w:isLgl w:val="false"/>
      <w:suff w:val="nothing"/>
      <w:lvlText w:val=""/>
      <w:lvlJc w:val="left"/>
      <w:pPr>
        <w:ind w:left="0" w:firstLine="0"/>
      </w:pPr>
    </w:lvl>
    <w:lvl w:ilvl="7">
      <w:start w:val="1"/>
      <w:numFmt w:val="decimal"/>
      <w:pStyle w:val="821"/>
      <w:isLgl w:val="false"/>
      <w:suff w:val="nothing"/>
      <w:lvlText w:val=""/>
      <w:lvlJc w:val="left"/>
      <w:pPr>
        <w:ind w:left="0" w:firstLine="0"/>
      </w:pPr>
    </w:lvl>
    <w:lvl w:ilvl="8">
      <w:start w:val="1"/>
      <w:numFmt w:val="decimal"/>
      <w:pStyle w:val="822"/>
      <w:isLgl w:val="false"/>
      <w:suff w:val="nothing"/>
      <w:lvlText w:val=""/>
      <w:lvlJc w:val="left"/>
      <w:pPr>
        <w:ind w:left="0" w:firstLine="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2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1076"/>
    <w:uiPriority w:val="0"/>
    <w:qFormat/>
    <w:pPr>
      <w:numPr>
        <w:ilvl w:val="0"/>
        <w:numId w:val="1"/>
      </w:numPr>
      <w:jc w:val="center"/>
      <w:keepLines/>
      <w:keepNext/>
      <w:spacing w:before="340" w:after="330" w:line="578" w:lineRule="auto"/>
      <w:outlineLvl w:val="0"/>
    </w:pPr>
    <w:rPr>
      <w:b/>
      <w:bCs/>
      <w:sz w:val="32"/>
      <w:szCs w:val="44"/>
    </w:rPr>
  </w:style>
  <w:style w:type="paragraph" w:styleId="815">
    <w:name w:val="Heading 2"/>
    <w:basedOn w:val="813"/>
    <w:next w:val="813"/>
    <w:link w:val="107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6">
    <w:name w:val="Heading 3"/>
    <w:basedOn w:val="813"/>
    <w:next w:val="825"/>
    <w:link w:val="1078"/>
    <w:uiPriority w:val="0"/>
    <w:qFormat/>
    <w:pPr>
      <w:numPr>
        <w:ilvl w:val="2"/>
        <w:numId w:val="1"/>
      </w:numPr>
      <w:keepLines/>
      <w:keepNext/>
      <w:spacing w:before="260" w:after="260" w:line="416" w:lineRule="auto"/>
      <w:outlineLvl w:val="2"/>
    </w:pPr>
    <w:rPr>
      <w:b/>
      <w:bCs/>
      <w:sz w:val="32"/>
      <w:szCs w:val="32"/>
    </w:rPr>
  </w:style>
  <w:style w:type="paragraph" w:styleId="817">
    <w:name w:val="Heading 4"/>
    <w:basedOn w:val="813"/>
    <w:next w:val="813"/>
    <w:link w:val="107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18">
    <w:name w:val="Heading 5"/>
    <w:basedOn w:val="813"/>
    <w:next w:val="813"/>
    <w:link w:val="1080"/>
    <w:uiPriority w:val="0"/>
    <w:qFormat/>
    <w:pPr>
      <w:numPr>
        <w:ilvl w:val="4"/>
        <w:numId w:val="1"/>
      </w:numPr>
      <w:keepLines/>
      <w:keepNext/>
      <w:spacing w:before="280" w:after="290" w:line="376" w:lineRule="auto"/>
      <w:outlineLvl w:val="4"/>
    </w:pPr>
    <w:rPr>
      <w:b/>
      <w:bCs/>
      <w:sz w:val="28"/>
      <w:szCs w:val="28"/>
    </w:rPr>
  </w:style>
  <w:style w:type="paragraph" w:styleId="819">
    <w:name w:val="Heading 6"/>
    <w:basedOn w:val="813"/>
    <w:next w:val="813"/>
    <w:link w:val="1081"/>
    <w:uiPriority w:val="0"/>
    <w:qFormat/>
    <w:pPr>
      <w:numPr>
        <w:ilvl w:val="5"/>
        <w:numId w:val="1"/>
      </w:numPr>
      <w:keepLines/>
      <w:keepNext/>
      <w:spacing w:before="240" w:after="64" w:line="320" w:lineRule="auto"/>
      <w:outlineLvl w:val="5"/>
    </w:pPr>
    <w:rPr>
      <w:rFonts w:ascii="Cambria" w:hAnsi="Cambria"/>
      <w:b/>
      <w:bCs/>
      <w:sz w:val="24"/>
    </w:rPr>
  </w:style>
  <w:style w:type="paragraph" w:styleId="820">
    <w:name w:val="Heading 7"/>
    <w:basedOn w:val="813"/>
    <w:next w:val="813"/>
    <w:link w:val="1082"/>
    <w:uiPriority w:val="0"/>
    <w:qFormat/>
    <w:pPr>
      <w:numPr>
        <w:ilvl w:val="6"/>
        <w:numId w:val="1"/>
      </w:numPr>
      <w:keepLines/>
      <w:keepNext/>
      <w:spacing w:before="240" w:after="64" w:line="320" w:lineRule="auto"/>
      <w:outlineLvl w:val="6"/>
    </w:pPr>
    <w:rPr>
      <w:b/>
      <w:bCs/>
      <w:sz w:val="24"/>
    </w:rPr>
  </w:style>
  <w:style w:type="paragraph" w:styleId="821">
    <w:name w:val="Heading 8"/>
    <w:basedOn w:val="813"/>
    <w:next w:val="813"/>
    <w:link w:val="1083"/>
    <w:uiPriority w:val="0"/>
    <w:qFormat/>
    <w:pPr>
      <w:numPr>
        <w:ilvl w:val="7"/>
        <w:numId w:val="1"/>
      </w:numPr>
      <w:keepLines/>
      <w:keepNext/>
      <w:spacing w:before="240" w:after="64" w:line="320" w:lineRule="auto"/>
      <w:outlineLvl w:val="7"/>
    </w:pPr>
    <w:rPr>
      <w:rFonts w:ascii="Cambria" w:hAnsi="Cambria"/>
      <w:sz w:val="24"/>
    </w:rPr>
  </w:style>
  <w:style w:type="paragraph" w:styleId="822">
    <w:name w:val="Heading 9"/>
    <w:basedOn w:val="813"/>
    <w:next w:val="813"/>
    <w:link w:val="1084"/>
    <w:uiPriority w:val="0"/>
    <w:qFormat/>
    <w:pPr>
      <w:numPr>
        <w:ilvl w:val="8"/>
        <w:numId w:val="1"/>
      </w:numPr>
      <w:keepLines/>
      <w:keepNext/>
      <w:spacing w:before="240" w:after="64" w:line="320" w:lineRule="auto"/>
      <w:outlineLvl w:val="8"/>
    </w:pPr>
    <w:rPr>
      <w:rFonts w:ascii="Cambria" w:hAnsi="Cambria"/>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Normal Indent"/>
    <w:basedOn w:val="813"/>
    <w:uiPriority w:val="99"/>
    <w:unhideWhenUsed/>
    <w:qFormat/>
    <w:pPr>
      <w:ind w:firstLine="420"/>
    </w:pPr>
    <w:rPr>
      <w:b/>
      <w:sz w:val="24"/>
      <w:szCs w:val="20"/>
    </w:rPr>
  </w:style>
  <w:style w:type="paragraph" w:styleId="826">
    <w:name w:val="toc 7"/>
    <w:basedOn w:val="813"/>
    <w:next w:val="813"/>
    <w:uiPriority w:val="39"/>
    <w:unhideWhenUsed/>
    <w:qFormat/>
    <w:pPr>
      <w:ind w:left="1701" w:right="0" w:firstLine="0"/>
      <w:spacing w:after="57"/>
    </w:pPr>
  </w:style>
  <w:style w:type="paragraph" w:styleId="827">
    <w:name w:val="Caption"/>
    <w:basedOn w:val="813"/>
    <w:next w:val="813"/>
    <w:uiPriority w:val="35"/>
    <w:semiHidden/>
    <w:unhideWhenUsed/>
    <w:qFormat/>
    <w:pPr>
      <w:spacing w:line="276" w:lineRule="auto"/>
    </w:pPr>
    <w:rPr>
      <w:b/>
      <w:bCs/>
      <w:color w:val="4f81bd" w:themeColor="accent1"/>
      <w:sz w:val="18"/>
      <w:szCs w:val="18"/>
    </w:rPr>
  </w:style>
  <w:style w:type="paragraph" w:styleId="828">
    <w:name w:val="Body Text"/>
    <w:basedOn w:val="813"/>
    <w:uiPriority w:val="1"/>
    <w:qFormat/>
    <w:pPr>
      <w:ind w:firstLine="1044"/>
      <w:spacing w:before="100" w:after="100" w:line="300" w:lineRule="auto"/>
      <w:widowControl w:val="off"/>
    </w:pPr>
    <w:rPr>
      <w:sz w:val="24"/>
    </w:rPr>
  </w:style>
  <w:style w:type="paragraph" w:styleId="829">
    <w:name w:val="Body Text Indent"/>
    <w:basedOn w:val="813"/>
    <w:next w:val="830"/>
    <w:uiPriority w:val="0"/>
    <w:unhideWhenUsed/>
    <w:qFormat/>
    <w:pPr>
      <w:ind w:left="420"/>
      <w:spacing w:after="120"/>
    </w:pPr>
  </w:style>
  <w:style w:type="paragraph" w:styleId="830">
    <w:name w:val="envelope return"/>
    <w:basedOn w:val="813"/>
    <w:uiPriority w:val="0"/>
    <w:qFormat/>
    <w:rPr>
      <w:rFonts w:ascii="Arial" w:hAnsi="Arial" w:cs="宋体"/>
    </w:rPr>
  </w:style>
  <w:style w:type="paragraph" w:styleId="831">
    <w:name w:val="toc 5"/>
    <w:basedOn w:val="813"/>
    <w:next w:val="813"/>
    <w:uiPriority w:val="39"/>
    <w:unhideWhenUsed/>
    <w:qFormat/>
    <w:pPr>
      <w:ind w:left="1134" w:right="0" w:firstLine="0"/>
      <w:spacing w:after="57"/>
    </w:pPr>
  </w:style>
  <w:style w:type="paragraph" w:styleId="832">
    <w:name w:val="toc 3"/>
    <w:basedOn w:val="813"/>
    <w:next w:val="813"/>
    <w:uiPriority w:val="39"/>
    <w:unhideWhenUsed/>
    <w:qFormat/>
    <w:pPr>
      <w:ind w:left="567" w:right="0" w:firstLine="0"/>
      <w:spacing w:after="57"/>
    </w:pPr>
  </w:style>
  <w:style w:type="paragraph" w:styleId="833">
    <w:name w:val="toc 8"/>
    <w:basedOn w:val="813"/>
    <w:next w:val="813"/>
    <w:uiPriority w:val="39"/>
    <w:unhideWhenUsed/>
    <w:qFormat/>
    <w:pPr>
      <w:ind w:left="1984" w:right="0" w:firstLine="0"/>
      <w:spacing w:after="57"/>
    </w:pPr>
  </w:style>
  <w:style w:type="paragraph" w:styleId="834">
    <w:name w:val="endnote text"/>
    <w:basedOn w:val="813"/>
    <w:link w:val="860"/>
    <w:uiPriority w:val="99"/>
    <w:semiHidden/>
    <w:unhideWhenUsed/>
    <w:qFormat/>
    <w:pPr>
      <w:spacing w:after="0" w:line="240" w:lineRule="auto"/>
    </w:pPr>
    <w:rPr>
      <w:sz w:val="20"/>
    </w:rPr>
  </w:style>
  <w:style w:type="paragraph" w:styleId="835">
    <w:name w:val="Footer"/>
    <w:basedOn w:val="813"/>
    <w:uiPriority w:val="99"/>
    <w:unhideWhenUsed/>
    <w:qFormat/>
    <w:pPr>
      <w:spacing w:after="0" w:line="240" w:lineRule="auto"/>
      <w:tabs>
        <w:tab w:val="center" w:pos="7143" w:leader="none"/>
        <w:tab w:val="right" w:pos="14287" w:leader="none"/>
      </w:tabs>
    </w:pPr>
  </w:style>
  <w:style w:type="paragraph" w:styleId="836">
    <w:name w:val="Header"/>
    <w:basedOn w:val="813"/>
    <w:uiPriority w:val="99"/>
    <w:unhideWhenUsed/>
    <w:qFormat/>
    <w:pPr>
      <w:spacing w:after="0" w:line="240" w:lineRule="auto"/>
      <w:tabs>
        <w:tab w:val="center" w:pos="7143" w:leader="none"/>
        <w:tab w:val="right" w:pos="14287" w:leader="none"/>
      </w:tabs>
    </w:pPr>
  </w:style>
  <w:style w:type="paragraph" w:styleId="837">
    <w:name w:val="toc 1"/>
    <w:basedOn w:val="813"/>
    <w:next w:val="813"/>
    <w:uiPriority w:val="39"/>
    <w:unhideWhenUsed/>
    <w:qFormat/>
    <w:pPr>
      <w:ind w:left="0" w:right="0" w:firstLine="0"/>
      <w:spacing w:after="57"/>
    </w:pPr>
  </w:style>
  <w:style w:type="paragraph" w:styleId="838">
    <w:name w:val="toc 4"/>
    <w:basedOn w:val="813"/>
    <w:next w:val="813"/>
    <w:uiPriority w:val="39"/>
    <w:unhideWhenUsed/>
    <w:qFormat/>
    <w:pPr>
      <w:ind w:left="850" w:right="0" w:firstLine="0"/>
      <w:spacing w:after="57"/>
    </w:pPr>
  </w:style>
  <w:style w:type="paragraph" w:styleId="839">
    <w:name w:val="Subtitle"/>
    <w:basedOn w:val="813"/>
    <w:next w:val="813"/>
    <w:uiPriority w:val="11"/>
    <w:qFormat/>
    <w:pPr>
      <w:spacing w:before="200" w:after="200"/>
    </w:pPr>
    <w:rPr>
      <w:sz w:val="24"/>
      <w:szCs w:val="24"/>
    </w:rPr>
  </w:style>
  <w:style w:type="paragraph" w:styleId="840">
    <w:name w:val="footnote text"/>
    <w:basedOn w:val="813"/>
    <w:link w:val="859"/>
    <w:uiPriority w:val="99"/>
    <w:semiHidden/>
    <w:unhideWhenUsed/>
    <w:qFormat/>
    <w:pPr>
      <w:spacing w:after="40" w:line="240" w:lineRule="auto"/>
    </w:pPr>
    <w:rPr>
      <w:sz w:val="18"/>
    </w:rPr>
  </w:style>
  <w:style w:type="paragraph" w:styleId="841">
    <w:name w:val="toc 6"/>
    <w:basedOn w:val="813"/>
    <w:next w:val="813"/>
    <w:uiPriority w:val="39"/>
    <w:unhideWhenUsed/>
    <w:qFormat/>
    <w:pPr>
      <w:ind w:left="1417" w:right="0" w:firstLine="0"/>
      <w:spacing w:after="57"/>
    </w:pPr>
  </w:style>
  <w:style w:type="paragraph" w:styleId="842">
    <w:name w:val="table of figures"/>
    <w:basedOn w:val="813"/>
    <w:next w:val="813"/>
    <w:uiPriority w:val="99"/>
    <w:unhideWhenUsed/>
    <w:qFormat/>
    <w:pPr>
      <w:spacing w:after="0" w:afterAutospacing="0"/>
    </w:pPr>
  </w:style>
  <w:style w:type="paragraph" w:styleId="843">
    <w:name w:val="toc 2"/>
    <w:basedOn w:val="813"/>
    <w:next w:val="813"/>
    <w:uiPriority w:val="39"/>
    <w:unhideWhenUsed/>
    <w:qFormat/>
    <w:pPr>
      <w:ind w:left="283" w:right="0" w:firstLine="0"/>
      <w:spacing w:after="57"/>
    </w:pPr>
  </w:style>
  <w:style w:type="paragraph" w:styleId="844">
    <w:name w:val="toc 9"/>
    <w:basedOn w:val="813"/>
    <w:next w:val="813"/>
    <w:uiPriority w:val="39"/>
    <w:unhideWhenUsed/>
    <w:qFormat/>
    <w:pPr>
      <w:ind w:left="2268" w:right="0" w:firstLine="0"/>
      <w:spacing w:after="57"/>
    </w:pPr>
  </w:style>
  <w:style w:type="paragraph" w:styleId="845">
    <w:name w:val="Normal (Web)"/>
    <w:basedOn w:val="813"/>
    <w:uiPriority w:val="0"/>
    <w:qFormat/>
    <w:pPr>
      <w:ind w:left="0" w:right="0"/>
      <w:jc w:val="left"/>
      <w:spacing w:before="0" w:beforeAutospacing="1" w:after="0" w:afterAutospacing="1"/>
    </w:pPr>
    <w:rPr>
      <w:sz w:val="24"/>
      <w:lang w:val="en-US" w:eastAsia="zh-CN" w:bidi="ar"/>
    </w:rPr>
  </w:style>
  <w:style w:type="paragraph" w:styleId="846">
    <w:name w:val="Title"/>
    <w:basedOn w:val="813"/>
    <w:next w:val="813"/>
    <w:uiPriority w:val="10"/>
    <w:qFormat/>
    <w:pPr>
      <w:contextualSpacing/>
      <w:spacing w:before="300" w:after="200"/>
    </w:pPr>
    <w:rPr>
      <w:sz w:val="48"/>
      <w:szCs w:val="48"/>
    </w:rPr>
  </w:style>
  <w:style w:type="paragraph" w:styleId="847">
    <w:name w:val="Body Text First Indent 2"/>
    <w:basedOn w:val="829"/>
    <w:next w:val="813"/>
    <w:uiPriority w:val="0"/>
    <w:qFormat/>
    <w:pPr>
      <w:ind w:left="0" w:firstLine="420"/>
      <w:spacing w:after="0" w:line="288" w:lineRule="auto"/>
    </w:pPr>
    <w:rPr>
      <w:rFonts w:ascii="宋体" w:hAnsi="宋体" w:cs="宋体"/>
      <w:sz w:val="24"/>
      <w:szCs w:val="20"/>
      <w:lang w:val="zh-CN"/>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rPr>
  </w:style>
  <w:style w:type="character" w:styleId="851">
    <w:name w:val="footnote reference"/>
    <w:uiPriority w:val="99"/>
    <w:unhideWhenUsed/>
    <w:qFormat/>
    <w:rPr>
      <w:vertAlign w:val="superscript"/>
    </w:rPr>
  </w:style>
  <w:style w:type="paragraph" w:styleId="852" w:customStyle="1">
    <w:name w:val="正文文本1"/>
    <w:basedOn w:val="813"/>
    <w:next w:val="813"/>
    <w:link w:val="875"/>
    <w:uiPriority w:val="0"/>
    <w:qFormat/>
    <w:pPr>
      <w:jc w:val="center"/>
    </w:pPr>
    <w:rPr>
      <w:rFonts w:eastAsia="幼圆"/>
      <w:b/>
      <w:bCs/>
      <w:sz w:val="44"/>
    </w:rPr>
  </w:style>
  <w:style w:type="paragraph" w:styleId="853">
    <w:name w:val="List Paragraph"/>
    <w:basedOn w:val="813"/>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813"/>
    <w:next w:val="813"/>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813"/>
    <w:next w:val="813"/>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Footnote Text Char"/>
    <w:link w:val="840"/>
    <w:uiPriority w:val="99"/>
    <w:qFormat/>
    <w:rPr>
      <w:sz w:val="18"/>
    </w:rPr>
  </w:style>
  <w:style w:type="character" w:styleId="860" w:customStyle="1">
    <w:name w:val="Endnote Text Char"/>
    <w:link w:val="834"/>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211"/>
    <w:basedOn w:val="813"/>
    <w:next w:val="813"/>
    <w:uiPriority w:val="0"/>
    <w:qFormat/>
    <w:pPr>
      <w:numPr>
        <w:ilvl w:val="1"/>
        <w:numId w:val="2"/>
      </w:numPr>
      <w:keepLines/>
      <w:keepNext/>
      <w:spacing w:before="260" w:after="260" w:line="415" w:lineRule="auto"/>
      <w:outlineLvl w:val="1"/>
    </w:pPr>
    <w:rPr>
      <w:rFonts w:ascii="Cambria" w:hAnsi="Cambria"/>
      <w:b/>
      <w:bCs/>
      <w:sz w:val="32"/>
      <w:szCs w:val="32"/>
    </w:rPr>
  </w:style>
  <w:style w:type="paragraph" w:styleId="863" w:customStyle="1">
    <w:name w:val="标题 31"/>
    <w:basedOn w:val="813"/>
    <w:next w:val="813"/>
    <w:uiPriority w:val="9"/>
    <w:qFormat/>
    <w:pPr>
      <w:numPr>
        <w:ilvl w:val="2"/>
        <w:numId w:val="3"/>
      </w:numPr>
      <w:keepLines/>
      <w:keepNext/>
      <w:spacing w:before="260" w:after="260" w:line="416" w:lineRule="auto"/>
      <w:outlineLvl w:val="2"/>
    </w:pPr>
    <w:rPr>
      <w:b/>
      <w:sz w:val="32"/>
      <w:szCs w:val="20"/>
    </w:rPr>
  </w:style>
  <w:style w:type="character" w:styleId="864" w:customStyle="1">
    <w:name w:val="默认段落字体1"/>
    <w:link w:val="813"/>
    <w:uiPriority w:val="1"/>
    <w:unhideWhenUsed/>
    <w:qFormat/>
  </w:style>
  <w:style w:type="table" w:styleId="865" w:customStyle="1">
    <w:name w:val="普通表格1"/>
    <w:uiPriority w:val="99"/>
    <w:unhideWhenUsed/>
    <w:qFormat/>
    <w:tblPr/>
  </w:style>
  <w:style w:type="paragraph" w:styleId="866" w:customStyle="1">
    <w:name w:val="列表 31"/>
    <w:basedOn w:val="813"/>
    <w:uiPriority w:val="99"/>
    <w:unhideWhenUsed/>
    <w:qFormat/>
    <w:pPr>
      <w:ind w:left="1260" w:hanging="420"/>
      <w:spacing w:before="100" w:beforeAutospacing="1" w:after="100" w:afterAutospacing="1"/>
    </w:pPr>
    <w:rPr>
      <w:szCs w:val="21"/>
    </w:rPr>
  </w:style>
  <w:style w:type="paragraph" w:styleId="867" w:customStyle="1">
    <w:name w:val="目录 71"/>
    <w:basedOn w:val="813"/>
    <w:next w:val="813"/>
    <w:uiPriority w:val="39"/>
    <w:unhideWhenUsed/>
    <w:qFormat/>
    <w:pPr>
      <w:ind w:left="2520"/>
    </w:pPr>
    <w:rPr>
      <w:rFonts w:ascii="Calibri" w:hAnsi="Calibri"/>
      <w:szCs w:val="22"/>
    </w:rPr>
  </w:style>
  <w:style w:type="paragraph" w:styleId="868" w:customStyle="1">
    <w:name w:val="正文缩进1"/>
    <w:basedOn w:val="813"/>
    <w:uiPriority w:val="0"/>
    <w:qFormat/>
    <w:pPr>
      <w:ind w:firstLine="420"/>
    </w:pPr>
    <w:rPr>
      <w:b/>
      <w:sz w:val="24"/>
      <w:szCs w:val="20"/>
    </w:rPr>
  </w:style>
  <w:style w:type="paragraph" w:styleId="869" w:customStyle="1">
    <w:name w:val="文档结构图1"/>
    <w:basedOn w:val="813"/>
    <w:link w:val="870"/>
    <w:uiPriority w:val="0"/>
    <w:qFormat/>
    <w:rPr>
      <w:rFonts w:ascii="宋体"/>
      <w:sz w:val="18"/>
      <w:szCs w:val="18"/>
    </w:rPr>
  </w:style>
  <w:style w:type="character" w:styleId="870" w:customStyle="1">
    <w:name w:val="文档结构图 字符"/>
    <w:link w:val="869"/>
    <w:uiPriority w:val="0"/>
    <w:qFormat/>
    <w:rPr>
      <w:rFonts w:ascii="宋体"/>
      <w:sz w:val="18"/>
      <w:szCs w:val="18"/>
    </w:rPr>
  </w:style>
  <w:style w:type="paragraph" w:styleId="871" w:customStyle="1">
    <w:name w:val="批注文字1"/>
    <w:basedOn w:val="813"/>
    <w:link w:val="872"/>
    <w:uiPriority w:val="99"/>
    <w:qFormat/>
    <w:pPr>
      <w:jc w:val="left"/>
    </w:pPr>
  </w:style>
  <w:style w:type="character" w:styleId="872" w:customStyle="1">
    <w:name w:val="批注文字 字符"/>
    <w:link w:val="871"/>
    <w:uiPriority w:val="99"/>
    <w:qFormat/>
    <w:rPr>
      <w:sz w:val="21"/>
      <w:szCs w:val="24"/>
    </w:rPr>
  </w:style>
  <w:style w:type="paragraph" w:styleId="873" w:customStyle="1">
    <w:name w:val="正文文本 31"/>
    <w:basedOn w:val="813"/>
    <w:link w:val="874"/>
    <w:uiPriority w:val="0"/>
    <w:qFormat/>
    <w:rPr>
      <w:rFonts w:ascii="宋体"/>
      <w:sz w:val="24"/>
      <w:szCs w:val="20"/>
    </w:rPr>
  </w:style>
  <w:style w:type="character" w:styleId="874" w:customStyle="1">
    <w:name w:val="正文文本 3 字符"/>
    <w:link w:val="873"/>
    <w:uiPriority w:val="0"/>
    <w:qFormat/>
    <w:rPr>
      <w:rFonts w:ascii="宋体"/>
      <w:sz w:val="24"/>
    </w:rPr>
  </w:style>
  <w:style w:type="character" w:styleId="875" w:customStyle="1">
    <w:name w:val="正文文本 字符"/>
    <w:link w:val="852"/>
    <w:uiPriority w:val="0"/>
    <w:qFormat/>
    <w:rPr>
      <w:rFonts w:eastAsia="幼圆"/>
      <w:b/>
      <w:bCs/>
      <w:sz w:val="44"/>
      <w:szCs w:val="24"/>
    </w:rPr>
  </w:style>
  <w:style w:type="paragraph" w:styleId="876" w:customStyle="1">
    <w:name w:val="正文文本缩进1"/>
    <w:basedOn w:val="813"/>
    <w:link w:val="877"/>
    <w:uiPriority w:val="0"/>
    <w:qFormat/>
    <w:pPr>
      <w:ind w:left="420"/>
      <w:spacing w:after="120"/>
    </w:pPr>
  </w:style>
  <w:style w:type="character" w:styleId="877" w:customStyle="1">
    <w:name w:val="正文文本缩进 字符"/>
    <w:link w:val="876"/>
    <w:uiPriority w:val="0"/>
    <w:qFormat/>
    <w:rPr>
      <w:sz w:val="21"/>
      <w:szCs w:val="24"/>
    </w:rPr>
  </w:style>
  <w:style w:type="paragraph" w:styleId="878" w:customStyle="1">
    <w:name w:val="文本块1"/>
    <w:basedOn w:val="813"/>
    <w:uiPriority w:val="99"/>
    <w:unhideWhenUsed/>
    <w:qFormat/>
    <w:pPr>
      <w:ind w:left="1440" w:right="1440"/>
      <w:spacing w:after="120"/>
    </w:pPr>
  </w:style>
  <w:style w:type="paragraph" w:styleId="879" w:customStyle="1">
    <w:name w:val="索引 41"/>
    <w:basedOn w:val="813"/>
    <w:next w:val="813"/>
    <w:uiPriority w:val="0"/>
    <w:qFormat/>
    <w:pPr>
      <w:ind w:left="600"/>
    </w:pPr>
    <w:rPr>
      <w:rFonts w:ascii="Calibri" w:hAnsi="Calibri"/>
    </w:rPr>
  </w:style>
  <w:style w:type="paragraph" w:styleId="880" w:customStyle="1">
    <w:name w:val="目录 51"/>
    <w:basedOn w:val="813"/>
    <w:next w:val="813"/>
    <w:uiPriority w:val="39"/>
    <w:unhideWhenUsed/>
    <w:qFormat/>
    <w:pPr>
      <w:ind w:left="1680"/>
    </w:pPr>
    <w:rPr>
      <w:rFonts w:ascii="Calibri" w:hAnsi="Calibri"/>
      <w:szCs w:val="22"/>
    </w:rPr>
  </w:style>
  <w:style w:type="paragraph" w:styleId="881" w:customStyle="1">
    <w:name w:val="目录 31"/>
    <w:basedOn w:val="813"/>
    <w:next w:val="813"/>
    <w:uiPriority w:val="39"/>
    <w:qFormat/>
    <w:pPr>
      <w:ind w:left="840"/>
    </w:pPr>
    <w:rPr>
      <w:rFonts w:ascii="Calibri" w:hAnsi="Calibri"/>
      <w:szCs w:val="22"/>
    </w:rPr>
  </w:style>
  <w:style w:type="paragraph" w:styleId="882" w:customStyle="1">
    <w:name w:val="纯文本1"/>
    <w:basedOn w:val="883"/>
    <w:link w:val="884"/>
    <w:uiPriority w:val="0"/>
    <w:qFormat/>
    <w:rPr>
      <w:rFonts w:ascii="Ari"/>
      <w:sz w:val="20"/>
      <w:szCs w:val="20"/>
    </w:rPr>
  </w:style>
  <w:style w:type="paragraph" w:styleId="883" w:customStyle="1">
    <w:name w:val="列表段落"/>
    <w:basedOn w:val="813"/>
    <w:uiPriority w:val="99"/>
    <w:qFormat/>
    <w:pPr>
      <w:ind w:firstLine="420"/>
    </w:pPr>
  </w:style>
  <w:style w:type="character" w:styleId="884" w:customStyle="1">
    <w:name w:val="纯文本 字符"/>
    <w:link w:val="882"/>
    <w:uiPriority w:val="0"/>
    <w:qFormat/>
    <w:rPr>
      <w:rFonts w:ascii="Ari"/>
      <w:lang w:val="en-US" w:eastAsia="zh-CN" w:bidi="ar-SA"/>
    </w:rPr>
  </w:style>
  <w:style w:type="paragraph" w:styleId="885" w:customStyle="1">
    <w:name w:val="目录 81"/>
    <w:basedOn w:val="813"/>
    <w:next w:val="813"/>
    <w:uiPriority w:val="39"/>
    <w:unhideWhenUsed/>
    <w:qFormat/>
    <w:pPr>
      <w:ind w:left="2940"/>
    </w:pPr>
    <w:rPr>
      <w:rFonts w:ascii="Calibri" w:hAnsi="Calibri"/>
      <w:szCs w:val="22"/>
    </w:rPr>
  </w:style>
  <w:style w:type="paragraph" w:styleId="886" w:customStyle="1">
    <w:name w:val="日期1"/>
    <w:basedOn w:val="813"/>
    <w:next w:val="813"/>
    <w:link w:val="887"/>
    <w:uiPriority w:val="0"/>
    <w:unhideWhenUsed/>
    <w:qFormat/>
  </w:style>
  <w:style w:type="character" w:styleId="887" w:customStyle="1">
    <w:name w:val="日期 字符"/>
    <w:link w:val="886"/>
    <w:uiPriority w:val="0"/>
    <w:qFormat/>
    <w:rPr>
      <w:sz w:val="21"/>
      <w:szCs w:val="24"/>
    </w:rPr>
  </w:style>
  <w:style w:type="paragraph" w:styleId="888" w:customStyle="1">
    <w:name w:val="正文文本缩进 21"/>
    <w:basedOn w:val="813"/>
    <w:link w:val="889"/>
    <w:uiPriority w:val="99"/>
    <w:unhideWhenUsed/>
    <w:qFormat/>
    <w:pPr>
      <w:ind w:firstLine="525"/>
      <w:spacing w:line="420" w:lineRule="exact"/>
    </w:pPr>
    <w:rPr>
      <w:rFonts w:ascii="宋体"/>
      <w:sz w:val="20"/>
      <w:szCs w:val="20"/>
    </w:rPr>
  </w:style>
  <w:style w:type="character" w:styleId="889" w:customStyle="1">
    <w:name w:val="正文文本缩进 2 字符"/>
    <w:link w:val="888"/>
    <w:uiPriority w:val="99"/>
    <w:qFormat/>
    <w:rPr>
      <w:rFonts w:ascii="宋体"/>
    </w:rPr>
  </w:style>
  <w:style w:type="paragraph" w:styleId="890" w:customStyle="1">
    <w:name w:val="尾注文本1"/>
    <w:basedOn w:val="813"/>
    <w:link w:val="891"/>
    <w:uiPriority w:val="99"/>
    <w:unhideWhenUsed/>
    <w:qFormat/>
    <w:pPr>
      <w:spacing w:after="0" w:line="240" w:lineRule="auto"/>
    </w:pPr>
    <w:rPr>
      <w:sz w:val="20"/>
      <w:szCs w:val="20"/>
    </w:rPr>
  </w:style>
  <w:style w:type="character" w:styleId="891" w:customStyle="1">
    <w:name w:val="尾注文本 字符"/>
    <w:link w:val="890"/>
    <w:uiPriority w:val="99"/>
    <w:qFormat/>
    <w:rPr>
      <w:sz w:val="20"/>
    </w:rPr>
  </w:style>
  <w:style w:type="paragraph" w:styleId="892" w:customStyle="1">
    <w:name w:val="批注框文本1"/>
    <w:basedOn w:val="813"/>
    <w:link w:val="893"/>
    <w:uiPriority w:val="0"/>
    <w:qFormat/>
    <w:rPr>
      <w:sz w:val="18"/>
      <w:szCs w:val="18"/>
    </w:rPr>
  </w:style>
  <w:style w:type="character" w:styleId="893" w:customStyle="1">
    <w:name w:val="批注框文本 字符"/>
    <w:link w:val="892"/>
    <w:uiPriority w:val="0"/>
    <w:qFormat/>
    <w:rPr>
      <w:sz w:val="18"/>
      <w:szCs w:val="18"/>
    </w:rPr>
  </w:style>
  <w:style w:type="paragraph" w:styleId="894" w:customStyle="1">
    <w:name w:val="页脚1"/>
    <w:basedOn w:val="813"/>
    <w:link w:val="895"/>
    <w:uiPriority w:val="99"/>
    <w:unhideWhenUsed/>
    <w:qFormat/>
    <w:pPr>
      <w:jc w:val="left"/>
      <w:tabs>
        <w:tab w:val="center" w:pos="4153" w:leader="none"/>
        <w:tab w:val="right" w:pos="8306" w:leader="none"/>
      </w:tabs>
    </w:pPr>
    <w:rPr>
      <w:sz w:val="18"/>
      <w:szCs w:val="18"/>
    </w:rPr>
  </w:style>
  <w:style w:type="character" w:styleId="895" w:customStyle="1">
    <w:name w:val="页脚 字符"/>
    <w:link w:val="894"/>
    <w:uiPriority w:val="99"/>
    <w:semiHidden/>
    <w:qFormat/>
    <w:rPr>
      <w:sz w:val="18"/>
      <w:szCs w:val="18"/>
    </w:rPr>
  </w:style>
  <w:style w:type="paragraph" w:styleId="896" w:customStyle="1">
    <w:name w:val="寄信人地址1"/>
    <w:basedOn w:val="813"/>
    <w:uiPriority w:val="99"/>
    <w:unhideWhenUsed/>
    <w:qFormat/>
    <w:rPr>
      <w:rFonts w:ascii="Arial" w:hAnsi="Arial"/>
    </w:rPr>
  </w:style>
  <w:style w:type="paragraph" w:styleId="897" w:customStyle="1">
    <w:name w:val="页眉1"/>
    <w:basedOn w:val="813"/>
    <w:link w:val="89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8" w:customStyle="1">
    <w:name w:val="页眉 字符"/>
    <w:link w:val="897"/>
    <w:uiPriority w:val="99"/>
    <w:semiHidden/>
    <w:qFormat/>
    <w:rPr>
      <w:sz w:val="18"/>
      <w:szCs w:val="18"/>
    </w:rPr>
  </w:style>
  <w:style w:type="paragraph" w:styleId="899" w:customStyle="1">
    <w:name w:val="目录 11"/>
    <w:basedOn w:val="813"/>
    <w:next w:val="813"/>
    <w:uiPriority w:val="39"/>
    <w:qFormat/>
  </w:style>
  <w:style w:type="paragraph" w:styleId="900" w:customStyle="1">
    <w:name w:val="目录 41"/>
    <w:basedOn w:val="813"/>
    <w:next w:val="813"/>
    <w:uiPriority w:val="39"/>
    <w:unhideWhenUsed/>
    <w:qFormat/>
    <w:pPr>
      <w:ind w:left="1260"/>
    </w:pPr>
    <w:rPr>
      <w:rFonts w:ascii="Calibri" w:hAnsi="Calibri"/>
      <w:szCs w:val="22"/>
    </w:rPr>
  </w:style>
  <w:style w:type="paragraph" w:styleId="901" w:customStyle="1">
    <w:name w:val="副标题1"/>
    <w:basedOn w:val="813"/>
    <w:next w:val="813"/>
    <w:link w:val="902"/>
    <w:uiPriority w:val="0"/>
    <w:qFormat/>
    <w:pPr>
      <w:jc w:val="center"/>
      <w:spacing w:before="240" w:after="60" w:line="312" w:lineRule="auto"/>
      <w:outlineLvl w:val="1"/>
    </w:pPr>
    <w:rPr>
      <w:rFonts w:ascii="Cambria" w:hAnsi="Cambria"/>
      <w:b/>
      <w:bCs/>
      <w:sz w:val="32"/>
      <w:szCs w:val="32"/>
    </w:rPr>
  </w:style>
  <w:style w:type="character" w:styleId="902" w:customStyle="1">
    <w:name w:val="副标题 字符"/>
    <w:link w:val="901"/>
    <w:uiPriority w:val="0"/>
    <w:qFormat/>
    <w:rPr>
      <w:rFonts w:ascii="Cambria" w:hAnsi="Cambria"/>
      <w:b/>
      <w:bCs/>
      <w:sz w:val="32"/>
      <w:szCs w:val="32"/>
    </w:rPr>
  </w:style>
  <w:style w:type="paragraph" w:styleId="903" w:customStyle="1">
    <w:name w:val="脚注文本1"/>
    <w:basedOn w:val="813"/>
    <w:link w:val="904"/>
    <w:uiPriority w:val="99"/>
    <w:unhideWhenUsed/>
    <w:qFormat/>
    <w:pPr>
      <w:spacing w:after="40" w:line="240" w:lineRule="auto"/>
    </w:pPr>
    <w:rPr>
      <w:sz w:val="18"/>
      <w:szCs w:val="20"/>
    </w:rPr>
  </w:style>
  <w:style w:type="character" w:styleId="904" w:customStyle="1">
    <w:name w:val="脚注文本 字符"/>
    <w:link w:val="903"/>
    <w:uiPriority w:val="99"/>
    <w:qFormat/>
    <w:rPr>
      <w:sz w:val="18"/>
    </w:rPr>
  </w:style>
  <w:style w:type="paragraph" w:styleId="905" w:customStyle="1">
    <w:name w:val="目录 61"/>
    <w:basedOn w:val="813"/>
    <w:next w:val="813"/>
    <w:uiPriority w:val="39"/>
    <w:unhideWhenUsed/>
    <w:qFormat/>
    <w:pPr>
      <w:ind w:left="2100"/>
    </w:pPr>
    <w:rPr>
      <w:rFonts w:ascii="Calibri" w:hAnsi="Calibri"/>
      <w:szCs w:val="22"/>
    </w:rPr>
  </w:style>
  <w:style w:type="paragraph" w:styleId="906" w:customStyle="1">
    <w:name w:val="正文文本缩进 31"/>
    <w:basedOn w:val="813"/>
    <w:link w:val="907"/>
    <w:uiPriority w:val="0"/>
    <w:qFormat/>
    <w:pPr>
      <w:ind w:left="420"/>
      <w:spacing w:after="120"/>
    </w:pPr>
    <w:rPr>
      <w:sz w:val="16"/>
      <w:szCs w:val="20"/>
    </w:rPr>
  </w:style>
  <w:style w:type="character" w:styleId="907" w:customStyle="1">
    <w:name w:val="正文文本缩进 3 字符"/>
    <w:link w:val="906"/>
    <w:uiPriority w:val="0"/>
    <w:qFormat/>
    <w:rPr>
      <w:sz w:val="16"/>
    </w:rPr>
  </w:style>
  <w:style w:type="paragraph" w:styleId="908" w:customStyle="1">
    <w:name w:val="图表目录1"/>
    <w:basedOn w:val="813"/>
    <w:next w:val="813"/>
    <w:uiPriority w:val="99"/>
    <w:unhideWhenUsed/>
    <w:qFormat/>
    <w:pPr>
      <w:spacing w:after="0" w:afterAutospacing="0"/>
    </w:pPr>
  </w:style>
  <w:style w:type="paragraph" w:styleId="909" w:customStyle="1">
    <w:name w:val="目录 21"/>
    <w:basedOn w:val="813"/>
    <w:next w:val="813"/>
    <w:uiPriority w:val="39"/>
    <w:qFormat/>
    <w:pPr>
      <w:ind w:left="420"/>
    </w:pPr>
    <w:rPr>
      <w:rFonts w:ascii="Calibri" w:hAnsi="Calibri"/>
      <w:szCs w:val="22"/>
    </w:rPr>
  </w:style>
  <w:style w:type="paragraph" w:styleId="910" w:customStyle="1">
    <w:name w:val="目录 91"/>
    <w:basedOn w:val="813"/>
    <w:next w:val="813"/>
    <w:uiPriority w:val="39"/>
    <w:unhideWhenUsed/>
    <w:qFormat/>
    <w:pPr>
      <w:ind w:left="3360"/>
    </w:pPr>
    <w:rPr>
      <w:rFonts w:ascii="Calibri" w:hAnsi="Calibri"/>
      <w:szCs w:val="22"/>
    </w:rPr>
  </w:style>
  <w:style w:type="paragraph" w:styleId="911" w:customStyle="1">
    <w:name w:val="HTML 预设格式1"/>
    <w:basedOn w:val="8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2" w:customStyle="1">
    <w:name w:val="普通(网站)1"/>
    <w:basedOn w:val="813"/>
    <w:uiPriority w:val="99"/>
    <w:qFormat/>
    <w:pPr>
      <w:jc w:val="left"/>
      <w:spacing w:before="100" w:beforeAutospacing="1" w:after="100" w:afterAutospacing="1"/>
      <w:widowControl/>
    </w:pPr>
    <w:rPr>
      <w:rFonts w:ascii="宋体" w:hAnsi="宋体" w:cs="宋体"/>
      <w:sz w:val="24"/>
    </w:rPr>
  </w:style>
  <w:style w:type="paragraph" w:styleId="913" w:customStyle="1">
    <w:name w:val="索引 11"/>
    <w:basedOn w:val="813"/>
    <w:next w:val="813"/>
    <w:uiPriority w:val="0"/>
    <w:qFormat/>
    <w:pPr>
      <w:jc w:val="center"/>
      <w:spacing w:line="220" w:lineRule="exact"/>
    </w:pPr>
    <w:rPr>
      <w:rFonts w:ascii="仿宋_GB2312" w:hAnsi="Calibri" w:eastAsia="仿宋_GB2312"/>
      <w:szCs w:val="22"/>
    </w:rPr>
  </w:style>
  <w:style w:type="paragraph" w:styleId="914" w:customStyle="1">
    <w:name w:val="标题1"/>
    <w:basedOn w:val="813"/>
    <w:link w:val="915"/>
    <w:uiPriority w:val="0"/>
    <w:qFormat/>
    <w:pPr>
      <w:jc w:val="center"/>
      <w:spacing w:before="240" w:after="60" w:line="420" w:lineRule="atLeast"/>
      <w:outlineLvl w:val="0"/>
    </w:pPr>
    <w:rPr>
      <w:rFonts w:ascii="Arial" w:hAnsi="Arial"/>
      <w:b/>
      <w:sz w:val="32"/>
      <w:szCs w:val="20"/>
    </w:rPr>
  </w:style>
  <w:style w:type="character" w:styleId="915" w:customStyle="1">
    <w:name w:val="标题 字符"/>
    <w:link w:val="914"/>
    <w:uiPriority w:val="0"/>
    <w:qFormat/>
    <w:rPr>
      <w:rFonts w:ascii="Arial" w:hAnsi="Arial"/>
      <w:b/>
      <w:sz w:val="32"/>
    </w:rPr>
  </w:style>
  <w:style w:type="paragraph" w:styleId="916" w:customStyle="1">
    <w:name w:val="批注主题1"/>
    <w:basedOn w:val="871"/>
    <w:next w:val="871"/>
    <w:link w:val="917"/>
    <w:uiPriority w:val="0"/>
    <w:qFormat/>
    <w:rPr>
      <w:b/>
      <w:bCs/>
    </w:rPr>
  </w:style>
  <w:style w:type="character" w:styleId="917" w:customStyle="1">
    <w:name w:val="批注主题 字符"/>
    <w:link w:val="916"/>
    <w:uiPriority w:val="0"/>
    <w:qFormat/>
    <w:rPr>
      <w:b/>
      <w:bCs/>
      <w:sz w:val="21"/>
      <w:szCs w:val="24"/>
    </w:rPr>
  </w:style>
  <w:style w:type="paragraph" w:styleId="918" w:customStyle="1">
    <w:name w:val="正文首行缩进 21"/>
    <w:basedOn w:val="876"/>
    <w:next w:val="813"/>
    <w:uiPriority w:val="99"/>
    <w:qFormat/>
    <w:pPr>
      <w:ind w:left="0" w:firstLine="420"/>
      <w:jc w:val="left"/>
      <w:spacing w:after="0" w:line="360" w:lineRule="auto"/>
    </w:pPr>
    <w:rPr>
      <w:rFonts w:ascii="宋体" w:hAnsi="宋体" w:cs="宋体"/>
      <w:sz w:val="20"/>
      <w:szCs w:val="20"/>
      <w:lang w:val="zh-CN" w:bidi="zh-CN"/>
    </w:rPr>
  </w:style>
  <w:style w:type="table" w:styleId="919" w:customStyle="1">
    <w:name w:val="网格型1"/>
    <w:basedOn w:val="865"/>
    <w:uiPriority w:val="99"/>
    <w:qFormat/>
    <w:tblPr/>
  </w:style>
  <w:style w:type="character" w:styleId="920" w:customStyle="1">
    <w:name w:val="要点1"/>
    <w:link w:val="813"/>
    <w:uiPriority w:val="0"/>
    <w:qFormat/>
    <w:rPr>
      <w:rFonts w:cs="Times New Roman"/>
      <w:b/>
    </w:rPr>
  </w:style>
  <w:style w:type="character" w:styleId="921" w:customStyle="1">
    <w:name w:val="尾注引用1"/>
    <w:link w:val="813"/>
    <w:uiPriority w:val="99"/>
    <w:unhideWhenUsed/>
    <w:qFormat/>
    <w:rPr>
      <w:vertAlign w:val="superscript"/>
    </w:rPr>
  </w:style>
  <w:style w:type="character" w:styleId="922" w:customStyle="1">
    <w:name w:val="页码1"/>
    <w:link w:val="813"/>
    <w:uiPriority w:val="0"/>
    <w:qFormat/>
    <w:rPr>
      <w:rFonts w:eastAsia="宋体"/>
      <w:b/>
      <w:spacing w:val="0"/>
      <w:sz w:val="24"/>
      <w:szCs w:val="24"/>
      <w:vertAlign w:val="baseline"/>
      <w:lang w:val="en-US" w:eastAsia="zh-CN" w:bidi="ar-SA"/>
    </w:rPr>
  </w:style>
  <w:style w:type="character" w:styleId="923" w:customStyle="1">
    <w:name w:val="已访问的超链接1"/>
    <w:link w:val="813"/>
    <w:uiPriority w:val="0"/>
    <w:qFormat/>
    <w:rPr>
      <w:color w:val="800080"/>
      <w:u w:val="single"/>
    </w:rPr>
  </w:style>
  <w:style w:type="character" w:styleId="924" w:customStyle="1">
    <w:name w:val="强调1"/>
    <w:link w:val="813"/>
    <w:uiPriority w:val="0"/>
    <w:qFormat/>
    <w:rPr>
      <w:color w:val="cc0000"/>
    </w:rPr>
  </w:style>
  <w:style w:type="character" w:styleId="925" w:customStyle="1">
    <w:name w:val="超链接1"/>
    <w:link w:val="813"/>
    <w:uiPriority w:val="99"/>
    <w:qFormat/>
    <w:rPr>
      <w:color w:val="0000ff"/>
      <w:u w:val="single"/>
    </w:rPr>
  </w:style>
  <w:style w:type="character" w:styleId="926" w:customStyle="1">
    <w:name w:val="批注引用1"/>
    <w:link w:val="813"/>
    <w:uiPriority w:val="99"/>
    <w:qFormat/>
    <w:rPr>
      <w:sz w:val="21"/>
      <w:szCs w:val="21"/>
    </w:rPr>
  </w:style>
  <w:style w:type="character" w:styleId="927" w:customStyle="1">
    <w:name w:val="HTML 引文1"/>
    <w:link w:val="813"/>
    <w:uiPriority w:val="0"/>
    <w:qFormat/>
    <w:rPr>
      <w:color w:val="008000"/>
    </w:rPr>
  </w:style>
  <w:style w:type="character" w:styleId="928" w:customStyle="1">
    <w:name w:val="脚注引用1"/>
    <w:link w:val="813"/>
    <w:uiPriority w:val="99"/>
    <w:unhideWhenUsed/>
    <w:qFormat/>
    <w:rPr>
      <w:vertAlign w:val="superscript"/>
    </w:rPr>
  </w:style>
  <w:style w:type="paragraph" w:styleId="9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0" w:customStyle="1">
    <w:name w:val="列表段落1"/>
    <w:basedOn w:val="813"/>
    <w:uiPriority w:val="99"/>
    <w:qFormat/>
    <w:pPr>
      <w:ind w:firstLine="420"/>
    </w:pPr>
    <w:rPr>
      <w:szCs w:val="20"/>
    </w:rPr>
  </w:style>
  <w:style w:type="character" w:styleId="931" w:customStyle="1">
    <w:name w:val="Heading 1 Char"/>
    <w:link w:val="813"/>
    <w:uiPriority w:val="9"/>
    <w:qFormat/>
    <w:rPr>
      <w:rFonts w:ascii="Arial" w:hAnsi="Arial" w:eastAsia="Arial" w:cs="Arial"/>
      <w:sz w:val="40"/>
      <w:szCs w:val="40"/>
    </w:rPr>
  </w:style>
  <w:style w:type="character" w:styleId="932" w:customStyle="1">
    <w:name w:val="Heading 2 Char"/>
    <w:link w:val="813"/>
    <w:uiPriority w:val="9"/>
    <w:qFormat/>
    <w:rPr>
      <w:rFonts w:ascii="Arial" w:hAnsi="Arial" w:eastAsia="Arial" w:cs="Arial"/>
      <w:sz w:val="34"/>
    </w:rPr>
  </w:style>
  <w:style w:type="character" w:styleId="933" w:customStyle="1">
    <w:name w:val="Heading 3 Char"/>
    <w:link w:val="813"/>
    <w:uiPriority w:val="9"/>
    <w:qFormat/>
    <w:rPr>
      <w:rFonts w:ascii="Arial" w:hAnsi="Arial" w:eastAsia="Arial" w:cs="Arial"/>
      <w:sz w:val="30"/>
      <w:szCs w:val="30"/>
    </w:rPr>
  </w:style>
  <w:style w:type="character" w:styleId="934" w:customStyle="1">
    <w:name w:val="Heading 4 Char"/>
    <w:link w:val="813"/>
    <w:uiPriority w:val="9"/>
    <w:qFormat/>
    <w:rPr>
      <w:rFonts w:ascii="Arial" w:hAnsi="Arial" w:eastAsia="Arial" w:cs="Arial"/>
      <w:b/>
      <w:bCs/>
      <w:sz w:val="26"/>
      <w:szCs w:val="26"/>
    </w:rPr>
  </w:style>
  <w:style w:type="character" w:styleId="935" w:customStyle="1">
    <w:name w:val="Heading 5 Char"/>
    <w:link w:val="813"/>
    <w:uiPriority w:val="9"/>
    <w:qFormat/>
    <w:rPr>
      <w:rFonts w:ascii="Arial" w:hAnsi="Arial" w:eastAsia="Arial" w:cs="Arial"/>
      <w:b/>
      <w:bCs/>
      <w:sz w:val="24"/>
      <w:szCs w:val="24"/>
    </w:rPr>
  </w:style>
  <w:style w:type="character" w:styleId="936" w:customStyle="1">
    <w:name w:val="Heading 6 Char"/>
    <w:link w:val="813"/>
    <w:uiPriority w:val="9"/>
    <w:qFormat/>
    <w:rPr>
      <w:rFonts w:ascii="Arial" w:hAnsi="Arial" w:eastAsia="Arial" w:cs="Arial"/>
      <w:b/>
      <w:bCs/>
      <w:sz w:val="22"/>
      <w:szCs w:val="22"/>
    </w:rPr>
  </w:style>
  <w:style w:type="character" w:styleId="937" w:customStyle="1">
    <w:name w:val="Heading 7 Char"/>
    <w:link w:val="813"/>
    <w:uiPriority w:val="9"/>
    <w:qFormat/>
    <w:rPr>
      <w:rFonts w:ascii="Arial" w:hAnsi="Arial" w:eastAsia="Arial" w:cs="Arial"/>
      <w:b/>
      <w:bCs/>
      <w:i/>
      <w:iCs/>
      <w:sz w:val="22"/>
      <w:szCs w:val="22"/>
    </w:rPr>
  </w:style>
  <w:style w:type="character" w:styleId="938" w:customStyle="1">
    <w:name w:val="Heading 8 Char"/>
    <w:link w:val="813"/>
    <w:uiPriority w:val="9"/>
    <w:qFormat/>
    <w:rPr>
      <w:rFonts w:ascii="Arial" w:hAnsi="Arial" w:eastAsia="Arial" w:cs="Arial"/>
      <w:i/>
      <w:iCs/>
      <w:sz w:val="22"/>
      <w:szCs w:val="22"/>
    </w:rPr>
  </w:style>
  <w:style w:type="character" w:styleId="939" w:customStyle="1">
    <w:name w:val="Heading 9 Char"/>
    <w:link w:val="813"/>
    <w:uiPriority w:val="9"/>
    <w:qFormat/>
    <w:rPr>
      <w:rFonts w:ascii="Arial" w:hAnsi="Arial" w:eastAsia="Arial" w:cs="Arial"/>
      <w:i/>
      <w:iCs/>
      <w:sz w:val="21"/>
      <w:szCs w:val="21"/>
    </w:rPr>
  </w:style>
  <w:style w:type="paragraph" w:styleId="940" w:customStyle="1">
    <w:name w:val="无间隔"/>
    <w:uiPriority w:val="1"/>
    <w:qFormat/>
    <w:rPr>
      <w:rFonts w:hint="default" w:ascii="Times New Roman" w:hAnsi="Times New Roman" w:eastAsia="宋体" w:cs="Times New Roman"/>
      <w:lang w:val="en-US" w:eastAsia="zh-CN" w:bidi="ar-SA"/>
    </w:rPr>
  </w:style>
  <w:style w:type="character" w:styleId="941" w:customStyle="1">
    <w:name w:val="Title Char"/>
    <w:link w:val="813"/>
    <w:uiPriority w:val="10"/>
    <w:qFormat/>
    <w:rPr>
      <w:sz w:val="48"/>
      <w:szCs w:val="48"/>
    </w:rPr>
  </w:style>
  <w:style w:type="character" w:styleId="942" w:customStyle="1">
    <w:name w:val="Subtitle Char"/>
    <w:link w:val="813"/>
    <w:uiPriority w:val="11"/>
    <w:qFormat/>
    <w:rPr>
      <w:sz w:val="24"/>
      <w:szCs w:val="24"/>
    </w:rPr>
  </w:style>
  <w:style w:type="paragraph" w:styleId="943" w:customStyle="1">
    <w:name w:val="引用"/>
    <w:basedOn w:val="813"/>
    <w:next w:val="813"/>
    <w:link w:val="944"/>
    <w:uiPriority w:val="29"/>
    <w:qFormat/>
    <w:pPr>
      <w:ind w:left="720" w:right="720"/>
    </w:pPr>
    <w:rPr>
      <w:i/>
      <w:sz w:val="20"/>
      <w:szCs w:val="20"/>
    </w:rPr>
  </w:style>
  <w:style w:type="character" w:styleId="944" w:customStyle="1">
    <w:name w:val="引用 字符"/>
    <w:link w:val="943"/>
    <w:uiPriority w:val="29"/>
    <w:qFormat/>
    <w:rPr>
      <w:i/>
    </w:rPr>
  </w:style>
  <w:style w:type="paragraph" w:styleId="945" w:customStyle="1">
    <w:name w:val="明显引用"/>
    <w:basedOn w:val="813"/>
    <w:next w:val="813"/>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6" w:customStyle="1">
    <w:name w:val="明显引用 字符"/>
    <w:link w:val="945"/>
    <w:uiPriority w:val="30"/>
    <w:qFormat/>
    <w:rPr>
      <w:i/>
    </w:rPr>
  </w:style>
  <w:style w:type="character" w:styleId="947" w:customStyle="1">
    <w:name w:val="Header Char"/>
    <w:link w:val="813"/>
    <w:uiPriority w:val="99"/>
    <w:qFormat/>
  </w:style>
  <w:style w:type="character" w:styleId="948" w:customStyle="1">
    <w:name w:val="Footer Char"/>
    <w:link w:val="813"/>
    <w:uiPriority w:val="99"/>
    <w:qFormat/>
  </w:style>
  <w:style w:type="character" w:styleId="949" w:customStyle="1">
    <w:name w:val="Caption Char"/>
    <w:link w:val="813"/>
    <w:uiPriority w:val="99"/>
    <w:qFormat/>
  </w:style>
  <w:style w:type="table" w:styleId="950" w:customStyle="1">
    <w:name w:val="Table Grid Light"/>
    <w:basedOn w:val="865"/>
    <w:uiPriority w:val="59"/>
    <w:qFormat/>
    <w:pPr>
      <w:spacing w:after="0" w:line="240" w:lineRule="auto"/>
    </w:pPr>
    <w:tblPr/>
  </w:style>
  <w:style w:type="table" w:styleId="951" w:customStyle="1">
    <w:name w:val="Plain Table 1"/>
    <w:basedOn w:val="865"/>
    <w:uiPriority w:val="59"/>
    <w:qFormat/>
    <w:pPr>
      <w:spacing w:after="0" w:line="240" w:lineRule="auto"/>
    </w:pPr>
    <w:tblPr/>
  </w:style>
  <w:style w:type="table" w:styleId="952" w:customStyle="1">
    <w:name w:val="Plain Table 2"/>
    <w:basedOn w:val="865"/>
    <w:uiPriority w:val="59"/>
    <w:qFormat/>
    <w:pPr>
      <w:spacing w:after="0" w:line="240" w:lineRule="auto"/>
    </w:pPr>
    <w:tblPr/>
  </w:style>
  <w:style w:type="table" w:styleId="953" w:customStyle="1">
    <w:name w:val="Plain Table 3"/>
    <w:basedOn w:val="865"/>
    <w:uiPriority w:val="99"/>
    <w:qFormat/>
    <w:pPr>
      <w:spacing w:after="0" w:line="240" w:lineRule="auto"/>
    </w:pPr>
    <w:tblPr/>
  </w:style>
  <w:style w:type="table" w:styleId="954" w:customStyle="1">
    <w:name w:val="Plain Table 4"/>
    <w:basedOn w:val="865"/>
    <w:uiPriority w:val="99"/>
    <w:qFormat/>
    <w:pPr>
      <w:spacing w:after="0" w:line="240" w:lineRule="auto"/>
    </w:pPr>
    <w:tblPr/>
  </w:style>
  <w:style w:type="table" w:styleId="955" w:customStyle="1">
    <w:name w:val="Plain Table 5"/>
    <w:basedOn w:val="865"/>
    <w:uiPriority w:val="99"/>
    <w:qFormat/>
    <w:pPr>
      <w:spacing w:after="0" w:line="240" w:lineRule="auto"/>
    </w:pPr>
    <w:tblPr/>
  </w:style>
  <w:style w:type="table" w:styleId="956" w:customStyle="1">
    <w:name w:val="Grid Table 1 Light"/>
    <w:basedOn w:val="865"/>
    <w:uiPriority w:val="99"/>
    <w:qFormat/>
    <w:pPr>
      <w:spacing w:after="0" w:line="240" w:lineRule="auto"/>
    </w:pPr>
    <w:tblPr/>
  </w:style>
  <w:style w:type="table" w:styleId="957" w:customStyle="1">
    <w:name w:val="Grid Table 1 Light - Accent 1"/>
    <w:basedOn w:val="865"/>
    <w:uiPriority w:val="99"/>
    <w:qFormat/>
    <w:pPr>
      <w:spacing w:after="0" w:line="240" w:lineRule="auto"/>
    </w:pPr>
    <w:tblPr/>
  </w:style>
  <w:style w:type="table" w:styleId="958" w:customStyle="1">
    <w:name w:val="Grid Table 1 Light - Accent 2"/>
    <w:basedOn w:val="865"/>
    <w:uiPriority w:val="99"/>
    <w:qFormat/>
    <w:pPr>
      <w:spacing w:after="0" w:line="240" w:lineRule="auto"/>
    </w:pPr>
    <w:tblPr/>
  </w:style>
  <w:style w:type="table" w:styleId="959" w:customStyle="1">
    <w:name w:val="Grid Table 1 Light - Accent 3"/>
    <w:basedOn w:val="865"/>
    <w:uiPriority w:val="99"/>
    <w:qFormat/>
    <w:pPr>
      <w:spacing w:after="0" w:line="240" w:lineRule="auto"/>
    </w:pPr>
    <w:tblPr/>
  </w:style>
  <w:style w:type="table" w:styleId="960" w:customStyle="1">
    <w:name w:val="Grid Table 1 Light - Accent 4"/>
    <w:basedOn w:val="865"/>
    <w:uiPriority w:val="99"/>
    <w:qFormat/>
    <w:pPr>
      <w:spacing w:after="0" w:line="240" w:lineRule="auto"/>
    </w:pPr>
    <w:tblPr/>
  </w:style>
  <w:style w:type="table" w:styleId="961" w:customStyle="1">
    <w:name w:val="Grid Table 1 Light - Accent 5"/>
    <w:basedOn w:val="865"/>
    <w:uiPriority w:val="99"/>
    <w:qFormat/>
    <w:pPr>
      <w:spacing w:after="0" w:line="240" w:lineRule="auto"/>
    </w:pPr>
    <w:tblPr/>
  </w:style>
  <w:style w:type="table" w:styleId="962" w:customStyle="1">
    <w:name w:val="Grid Table 1 Light - Accent 6"/>
    <w:basedOn w:val="865"/>
    <w:uiPriority w:val="99"/>
    <w:qFormat/>
    <w:pPr>
      <w:spacing w:after="0" w:line="240" w:lineRule="auto"/>
    </w:pPr>
    <w:tblPr/>
  </w:style>
  <w:style w:type="table" w:styleId="963" w:customStyle="1">
    <w:name w:val="Grid Table 2"/>
    <w:basedOn w:val="865"/>
    <w:uiPriority w:val="99"/>
    <w:qFormat/>
    <w:pPr>
      <w:spacing w:after="0" w:line="240" w:lineRule="auto"/>
    </w:pPr>
    <w:tblPr/>
  </w:style>
  <w:style w:type="table" w:styleId="964" w:customStyle="1">
    <w:name w:val="Grid Table 2 - Accent 1"/>
    <w:basedOn w:val="865"/>
    <w:uiPriority w:val="99"/>
    <w:qFormat/>
    <w:pPr>
      <w:spacing w:after="0" w:line="240" w:lineRule="auto"/>
    </w:pPr>
    <w:tblPr/>
  </w:style>
  <w:style w:type="table" w:styleId="965" w:customStyle="1">
    <w:name w:val="Grid Table 2 - Accent 2"/>
    <w:basedOn w:val="865"/>
    <w:uiPriority w:val="99"/>
    <w:qFormat/>
    <w:pPr>
      <w:spacing w:after="0" w:line="240" w:lineRule="auto"/>
    </w:pPr>
    <w:tblPr/>
  </w:style>
  <w:style w:type="table" w:styleId="966" w:customStyle="1">
    <w:name w:val="Grid Table 2 - Accent 3"/>
    <w:basedOn w:val="865"/>
    <w:uiPriority w:val="99"/>
    <w:qFormat/>
    <w:pPr>
      <w:spacing w:after="0" w:line="240" w:lineRule="auto"/>
    </w:pPr>
    <w:tblPr/>
  </w:style>
  <w:style w:type="table" w:styleId="967" w:customStyle="1">
    <w:name w:val="Grid Table 2 - Accent 4"/>
    <w:basedOn w:val="865"/>
    <w:uiPriority w:val="99"/>
    <w:qFormat/>
    <w:pPr>
      <w:spacing w:after="0" w:line="240" w:lineRule="auto"/>
    </w:pPr>
    <w:tblPr/>
  </w:style>
  <w:style w:type="table" w:styleId="968" w:customStyle="1">
    <w:name w:val="Grid Table 2 - Accent 5"/>
    <w:basedOn w:val="865"/>
    <w:uiPriority w:val="99"/>
    <w:qFormat/>
    <w:pPr>
      <w:spacing w:after="0" w:line="240" w:lineRule="auto"/>
    </w:pPr>
    <w:tblPr/>
  </w:style>
  <w:style w:type="table" w:styleId="969" w:customStyle="1">
    <w:name w:val="Grid Table 2 - Accent 6"/>
    <w:basedOn w:val="865"/>
    <w:uiPriority w:val="99"/>
    <w:qFormat/>
    <w:pPr>
      <w:spacing w:after="0" w:line="240" w:lineRule="auto"/>
    </w:pPr>
    <w:tblPr/>
  </w:style>
  <w:style w:type="table" w:styleId="970" w:customStyle="1">
    <w:name w:val="Grid Table 3"/>
    <w:basedOn w:val="865"/>
    <w:uiPriority w:val="99"/>
    <w:qFormat/>
    <w:pPr>
      <w:spacing w:after="0" w:line="240" w:lineRule="auto"/>
    </w:pPr>
    <w:tblPr/>
  </w:style>
  <w:style w:type="table" w:styleId="971" w:customStyle="1">
    <w:name w:val="Grid Table 3 - Accent 1"/>
    <w:basedOn w:val="865"/>
    <w:uiPriority w:val="99"/>
    <w:qFormat/>
    <w:pPr>
      <w:spacing w:after="0" w:line="240" w:lineRule="auto"/>
    </w:pPr>
    <w:tblPr/>
  </w:style>
  <w:style w:type="table" w:styleId="972" w:customStyle="1">
    <w:name w:val="Grid Table 3 - Accent 2"/>
    <w:basedOn w:val="865"/>
    <w:uiPriority w:val="99"/>
    <w:qFormat/>
    <w:pPr>
      <w:spacing w:after="0" w:line="240" w:lineRule="auto"/>
    </w:pPr>
    <w:tblPr/>
  </w:style>
  <w:style w:type="table" w:styleId="973" w:customStyle="1">
    <w:name w:val="Grid Table 3 - Accent 3"/>
    <w:basedOn w:val="865"/>
    <w:uiPriority w:val="99"/>
    <w:qFormat/>
    <w:pPr>
      <w:spacing w:after="0" w:line="240" w:lineRule="auto"/>
    </w:pPr>
    <w:tblPr/>
  </w:style>
  <w:style w:type="table" w:styleId="974" w:customStyle="1">
    <w:name w:val="Grid Table 3 - Accent 4"/>
    <w:basedOn w:val="865"/>
    <w:uiPriority w:val="99"/>
    <w:qFormat/>
    <w:pPr>
      <w:spacing w:after="0" w:line="240" w:lineRule="auto"/>
    </w:pPr>
    <w:tblPr/>
  </w:style>
  <w:style w:type="table" w:styleId="975" w:customStyle="1">
    <w:name w:val="Grid Table 3 - Accent 5"/>
    <w:basedOn w:val="865"/>
    <w:uiPriority w:val="99"/>
    <w:qFormat/>
    <w:pPr>
      <w:spacing w:after="0" w:line="240" w:lineRule="auto"/>
    </w:pPr>
    <w:tblPr/>
  </w:style>
  <w:style w:type="table" w:styleId="976" w:customStyle="1">
    <w:name w:val="Grid Table 3 - Accent 6"/>
    <w:basedOn w:val="865"/>
    <w:uiPriority w:val="99"/>
    <w:qFormat/>
    <w:pPr>
      <w:spacing w:after="0" w:line="240" w:lineRule="auto"/>
    </w:pPr>
    <w:tblPr/>
  </w:style>
  <w:style w:type="table" w:styleId="977" w:customStyle="1">
    <w:name w:val="Grid Table 4"/>
    <w:basedOn w:val="865"/>
    <w:uiPriority w:val="59"/>
    <w:qFormat/>
    <w:pPr>
      <w:spacing w:after="0" w:line="240" w:lineRule="auto"/>
    </w:pPr>
    <w:tblPr/>
  </w:style>
  <w:style w:type="table" w:styleId="978" w:customStyle="1">
    <w:name w:val="Grid Table 4 - Accent 1"/>
    <w:basedOn w:val="865"/>
    <w:uiPriority w:val="59"/>
    <w:qFormat/>
    <w:pPr>
      <w:spacing w:after="0" w:line="240" w:lineRule="auto"/>
    </w:pPr>
    <w:tblPr/>
  </w:style>
  <w:style w:type="table" w:styleId="979" w:customStyle="1">
    <w:name w:val="Grid Table 4 - Accent 2"/>
    <w:basedOn w:val="865"/>
    <w:uiPriority w:val="59"/>
    <w:qFormat/>
    <w:pPr>
      <w:spacing w:after="0" w:line="240" w:lineRule="auto"/>
    </w:pPr>
    <w:tblPr/>
  </w:style>
  <w:style w:type="table" w:styleId="980" w:customStyle="1">
    <w:name w:val="Grid Table 4 - Accent 3"/>
    <w:basedOn w:val="865"/>
    <w:uiPriority w:val="59"/>
    <w:qFormat/>
    <w:pPr>
      <w:spacing w:after="0" w:line="240" w:lineRule="auto"/>
    </w:pPr>
    <w:tblPr/>
  </w:style>
  <w:style w:type="table" w:styleId="981" w:customStyle="1">
    <w:name w:val="Grid Table 4 - Accent 4"/>
    <w:basedOn w:val="865"/>
    <w:uiPriority w:val="59"/>
    <w:qFormat/>
    <w:pPr>
      <w:spacing w:after="0" w:line="240" w:lineRule="auto"/>
    </w:pPr>
    <w:tblPr/>
  </w:style>
  <w:style w:type="table" w:styleId="982" w:customStyle="1">
    <w:name w:val="Grid Table 4 - Accent 5"/>
    <w:basedOn w:val="865"/>
    <w:uiPriority w:val="59"/>
    <w:qFormat/>
    <w:pPr>
      <w:spacing w:after="0" w:line="240" w:lineRule="auto"/>
    </w:pPr>
    <w:tblPr/>
  </w:style>
  <w:style w:type="table" w:styleId="983" w:customStyle="1">
    <w:name w:val="Grid Table 4 - Accent 6"/>
    <w:basedOn w:val="865"/>
    <w:uiPriority w:val="59"/>
    <w:qFormat/>
    <w:pPr>
      <w:spacing w:after="0" w:line="240" w:lineRule="auto"/>
    </w:pPr>
    <w:tblPr/>
  </w:style>
  <w:style w:type="table" w:styleId="984" w:customStyle="1">
    <w:name w:val="Grid Table 5 Dark"/>
    <w:basedOn w:val="865"/>
    <w:uiPriority w:val="99"/>
    <w:qFormat/>
    <w:pPr>
      <w:spacing w:after="0" w:line="240" w:lineRule="auto"/>
    </w:pPr>
    <w:tblPr/>
  </w:style>
  <w:style w:type="table" w:styleId="985" w:customStyle="1">
    <w:name w:val="Grid Table 5 Dark- Accent 1"/>
    <w:basedOn w:val="865"/>
    <w:uiPriority w:val="99"/>
    <w:qFormat/>
    <w:pPr>
      <w:spacing w:after="0" w:line="240" w:lineRule="auto"/>
    </w:pPr>
    <w:tblPr/>
  </w:style>
  <w:style w:type="table" w:styleId="986" w:customStyle="1">
    <w:name w:val="Grid Table 5 Dark - Accent 2"/>
    <w:basedOn w:val="865"/>
    <w:uiPriority w:val="99"/>
    <w:qFormat/>
    <w:pPr>
      <w:spacing w:after="0" w:line="240" w:lineRule="auto"/>
    </w:pPr>
    <w:tblPr/>
  </w:style>
  <w:style w:type="table" w:styleId="987" w:customStyle="1">
    <w:name w:val="Grid Table 5 Dark - Accent 3"/>
    <w:basedOn w:val="865"/>
    <w:uiPriority w:val="99"/>
    <w:qFormat/>
    <w:pPr>
      <w:spacing w:after="0" w:line="240" w:lineRule="auto"/>
    </w:pPr>
    <w:tblPr/>
  </w:style>
  <w:style w:type="table" w:styleId="988" w:customStyle="1">
    <w:name w:val="Grid Table 5 Dark- Accent 4"/>
    <w:basedOn w:val="865"/>
    <w:uiPriority w:val="99"/>
    <w:qFormat/>
    <w:pPr>
      <w:spacing w:after="0" w:line="240" w:lineRule="auto"/>
    </w:pPr>
    <w:tblPr/>
  </w:style>
  <w:style w:type="table" w:styleId="989" w:customStyle="1">
    <w:name w:val="Grid Table 5 Dark - Accent 5"/>
    <w:basedOn w:val="865"/>
    <w:uiPriority w:val="99"/>
    <w:qFormat/>
    <w:pPr>
      <w:spacing w:after="0" w:line="240" w:lineRule="auto"/>
    </w:pPr>
    <w:tblPr/>
  </w:style>
  <w:style w:type="table" w:styleId="990" w:customStyle="1">
    <w:name w:val="Grid Table 5 Dark - Accent 6"/>
    <w:basedOn w:val="865"/>
    <w:uiPriority w:val="99"/>
    <w:qFormat/>
    <w:pPr>
      <w:spacing w:after="0" w:line="240" w:lineRule="auto"/>
    </w:pPr>
    <w:tblPr/>
  </w:style>
  <w:style w:type="table" w:styleId="991" w:customStyle="1">
    <w:name w:val="Grid Table 6 Colorful"/>
    <w:basedOn w:val="865"/>
    <w:uiPriority w:val="99"/>
    <w:qFormat/>
    <w:pPr>
      <w:spacing w:after="0" w:line="240" w:lineRule="auto"/>
    </w:pPr>
    <w:tblPr/>
  </w:style>
  <w:style w:type="table" w:styleId="992" w:customStyle="1">
    <w:name w:val="Grid Table 6 Colorful - Accent 1"/>
    <w:basedOn w:val="865"/>
    <w:uiPriority w:val="99"/>
    <w:qFormat/>
    <w:pPr>
      <w:spacing w:after="0" w:line="240" w:lineRule="auto"/>
    </w:pPr>
    <w:tblPr/>
  </w:style>
  <w:style w:type="table" w:styleId="993" w:customStyle="1">
    <w:name w:val="Grid Table 6 Colorful - Accent 2"/>
    <w:basedOn w:val="865"/>
    <w:uiPriority w:val="99"/>
    <w:qFormat/>
    <w:pPr>
      <w:spacing w:after="0" w:line="240" w:lineRule="auto"/>
    </w:pPr>
    <w:tblPr/>
  </w:style>
  <w:style w:type="table" w:styleId="994" w:customStyle="1">
    <w:name w:val="Grid Table 6 Colorful - Accent 3"/>
    <w:basedOn w:val="865"/>
    <w:uiPriority w:val="99"/>
    <w:qFormat/>
    <w:pPr>
      <w:spacing w:after="0" w:line="240" w:lineRule="auto"/>
    </w:pPr>
    <w:tblPr/>
  </w:style>
  <w:style w:type="table" w:styleId="995" w:customStyle="1">
    <w:name w:val="Grid Table 6 Colorful - Accent 4"/>
    <w:basedOn w:val="865"/>
    <w:uiPriority w:val="99"/>
    <w:qFormat/>
    <w:pPr>
      <w:spacing w:after="0" w:line="240" w:lineRule="auto"/>
    </w:pPr>
    <w:tblPr/>
  </w:style>
  <w:style w:type="table" w:styleId="996" w:customStyle="1">
    <w:name w:val="Grid Table 6 Colorful - Accent 5"/>
    <w:basedOn w:val="865"/>
    <w:uiPriority w:val="99"/>
    <w:qFormat/>
    <w:pPr>
      <w:spacing w:after="0" w:line="240" w:lineRule="auto"/>
    </w:pPr>
    <w:tblPr/>
  </w:style>
  <w:style w:type="table" w:styleId="997" w:customStyle="1">
    <w:name w:val="Grid Table 6 Colorful - Accent 6"/>
    <w:basedOn w:val="865"/>
    <w:uiPriority w:val="99"/>
    <w:qFormat/>
    <w:pPr>
      <w:spacing w:after="0" w:line="240" w:lineRule="auto"/>
    </w:pPr>
    <w:tblPr/>
  </w:style>
  <w:style w:type="table" w:styleId="998" w:customStyle="1">
    <w:name w:val="Grid Table 7 Colorful"/>
    <w:basedOn w:val="865"/>
    <w:uiPriority w:val="99"/>
    <w:qFormat/>
    <w:pPr>
      <w:spacing w:after="0" w:line="240" w:lineRule="auto"/>
    </w:pPr>
    <w:tblPr/>
  </w:style>
  <w:style w:type="table" w:styleId="999" w:customStyle="1">
    <w:name w:val="Grid Table 7 Colorful - Accent 1"/>
    <w:basedOn w:val="865"/>
    <w:uiPriority w:val="99"/>
    <w:qFormat/>
    <w:pPr>
      <w:spacing w:after="0" w:line="240" w:lineRule="auto"/>
    </w:pPr>
    <w:tblPr/>
  </w:style>
  <w:style w:type="table" w:styleId="1000" w:customStyle="1">
    <w:name w:val="Grid Table 7 Colorful - Accent 2"/>
    <w:basedOn w:val="865"/>
    <w:uiPriority w:val="99"/>
    <w:qFormat/>
    <w:pPr>
      <w:spacing w:after="0" w:line="240" w:lineRule="auto"/>
    </w:pPr>
    <w:tblPr/>
  </w:style>
  <w:style w:type="table" w:styleId="1001" w:customStyle="1">
    <w:name w:val="Grid Table 7 Colorful - Accent 3"/>
    <w:basedOn w:val="865"/>
    <w:uiPriority w:val="99"/>
    <w:qFormat/>
    <w:pPr>
      <w:spacing w:after="0" w:line="240" w:lineRule="auto"/>
    </w:pPr>
    <w:tblPr/>
  </w:style>
  <w:style w:type="table" w:styleId="1002" w:customStyle="1">
    <w:name w:val="Grid Table 7 Colorful - Accent 4"/>
    <w:basedOn w:val="865"/>
    <w:uiPriority w:val="99"/>
    <w:qFormat/>
    <w:pPr>
      <w:spacing w:after="0" w:line="240" w:lineRule="auto"/>
    </w:pPr>
    <w:tblPr/>
  </w:style>
  <w:style w:type="table" w:styleId="1003" w:customStyle="1">
    <w:name w:val="Grid Table 7 Colorful - Accent 5"/>
    <w:basedOn w:val="865"/>
    <w:uiPriority w:val="99"/>
    <w:qFormat/>
    <w:pPr>
      <w:spacing w:after="0" w:line="240" w:lineRule="auto"/>
    </w:pPr>
    <w:tblPr/>
  </w:style>
  <w:style w:type="table" w:styleId="1004" w:customStyle="1">
    <w:name w:val="Grid Table 7 Colorful - Accent 6"/>
    <w:basedOn w:val="865"/>
    <w:uiPriority w:val="99"/>
    <w:qFormat/>
    <w:pPr>
      <w:spacing w:after="0" w:line="240" w:lineRule="auto"/>
    </w:pPr>
    <w:tblPr/>
  </w:style>
  <w:style w:type="table" w:styleId="1005" w:customStyle="1">
    <w:name w:val="List Table 1 Light"/>
    <w:basedOn w:val="865"/>
    <w:uiPriority w:val="99"/>
    <w:qFormat/>
    <w:pPr>
      <w:spacing w:after="0" w:line="240" w:lineRule="auto"/>
    </w:pPr>
    <w:tblPr/>
  </w:style>
  <w:style w:type="table" w:styleId="1006" w:customStyle="1">
    <w:name w:val="List Table 1 Light - Accent 1"/>
    <w:basedOn w:val="865"/>
    <w:uiPriority w:val="99"/>
    <w:qFormat/>
    <w:pPr>
      <w:spacing w:after="0" w:line="240" w:lineRule="auto"/>
    </w:pPr>
    <w:tblPr/>
  </w:style>
  <w:style w:type="table" w:styleId="1007" w:customStyle="1">
    <w:name w:val="List Table 1 Light - Accent 2"/>
    <w:basedOn w:val="865"/>
    <w:uiPriority w:val="99"/>
    <w:qFormat/>
    <w:pPr>
      <w:spacing w:after="0" w:line="240" w:lineRule="auto"/>
    </w:pPr>
    <w:tblPr/>
  </w:style>
  <w:style w:type="table" w:styleId="1008" w:customStyle="1">
    <w:name w:val="List Table 1 Light - Accent 3"/>
    <w:basedOn w:val="865"/>
    <w:uiPriority w:val="99"/>
    <w:qFormat/>
    <w:pPr>
      <w:spacing w:after="0" w:line="240" w:lineRule="auto"/>
    </w:pPr>
    <w:tblPr/>
  </w:style>
  <w:style w:type="table" w:styleId="1009" w:customStyle="1">
    <w:name w:val="List Table 1 Light - Accent 4"/>
    <w:basedOn w:val="865"/>
    <w:uiPriority w:val="99"/>
    <w:qFormat/>
    <w:pPr>
      <w:spacing w:after="0" w:line="240" w:lineRule="auto"/>
    </w:pPr>
    <w:tblPr/>
  </w:style>
  <w:style w:type="table" w:styleId="1010" w:customStyle="1">
    <w:name w:val="List Table 1 Light - Accent 5"/>
    <w:basedOn w:val="865"/>
    <w:uiPriority w:val="99"/>
    <w:qFormat/>
    <w:pPr>
      <w:spacing w:after="0" w:line="240" w:lineRule="auto"/>
    </w:pPr>
    <w:tblPr/>
  </w:style>
  <w:style w:type="table" w:styleId="1011" w:customStyle="1">
    <w:name w:val="List Table 1 Light - Accent 6"/>
    <w:basedOn w:val="865"/>
    <w:uiPriority w:val="99"/>
    <w:qFormat/>
    <w:pPr>
      <w:spacing w:after="0" w:line="240" w:lineRule="auto"/>
    </w:pPr>
    <w:tblPr/>
  </w:style>
  <w:style w:type="table" w:styleId="1012" w:customStyle="1">
    <w:name w:val="List Table 2"/>
    <w:basedOn w:val="865"/>
    <w:uiPriority w:val="99"/>
    <w:qFormat/>
    <w:pPr>
      <w:spacing w:after="0" w:line="240" w:lineRule="auto"/>
    </w:pPr>
    <w:tblPr/>
  </w:style>
  <w:style w:type="table" w:styleId="1013" w:customStyle="1">
    <w:name w:val="List Table 2 - Accent 1"/>
    <w:basedOn w:val="865"/>
    <w:uiPriority w:val="99"/>
    <w:qFormat/>
    <w:pPr>
      <w:spacing w:after="0" w:line="240" w:lineRule="auto"/>
    </w:pPr>
    <w:tblPr/>
  </w:style>
  <w:style w:type="table" w:styleId="1014" w:customStyle="1">
    <w:name w:val="List Table 2 - Accent 2"/>
    <w:basedOn w:val="865"/>
    <w:uiPriority w:val="99"/>
    <w:qFormat/>
    <w:pPr>
      <w:spacing w:after="0" w:line="240" w:lineRule="auto"/>
    </w:pPr>
    <w:tblPr/>
  </w:style>
  <w:style w:type="table" w:styleId="1015" w:customStyle="1">
    <w:name w:val="List Table 2 - Accent 3"/>
    <w:basedOn w:val="865"/>
    <w:uiPriority w:val="99"/>
    <w:qFormat/>
    <w:pPr>
      <w:spacing w:after="0" w:line="240" w:lineRule="auto"/>
    </w:pPr>
    <w:tblPr/>
  </w:style>
  <w:style w:type="table" w:styleId="1016" w:customStyle="1">
    <w:name w:val="List Table 2 - Accent 4"/>
    <w:basedOn w:val="865"/>
    <w:uiPriority w:val="99"/>
    <w:qFormat/>
    <w:pPr>
      <w:spacing w:after="0" w:line="240" w:lineRule="auto"/>
    </w:pPr>
    <w:tblPr/>
  </w:style>
  <w:style w:type="table" w:styleId="1017" w:customStyle="1">
    <w:name w:val="List Table 2 - Accent 5"/>
    <w:basedOn w:val="865"/>
    <w:uiPriority w:val="99"/>
    <w:qFormat/>
    <w:pPr>
      <w:spacing w:after="0" w:line="240" w:lineRule="auto"/>
    </w:pPr>
    <w:tblPr/>
  </w:style>
  <w:style w:type="table" w:styleId="1018" w:customStyle="1">
    <w:name w:val="List Table 2 - Accent 6"/>
    <w:basedOn w:val="865"/>
    <w:uiPriority w:val="99"/>
    <w:qFormat/>
    <w:pPr>
      <w:spacing w:after="0" w:line="240" w:lineRule="auto"/>
    </w:pPr>
    <w:tblPr/>
  </w:style>
  <w:style w:type="table" w:styleId="1019" w:customStyle="1">
    <w:name w:val="List Table 3"/>
    <w:basedOn w:val="865"/>
    <w:uiPriority w:val="99"/>
    <w:qFormat/>
    <w:pPr>
      <w:spacing w:after="0" w:line="240" w:lineRule="auto"/>
    </w:pPr>
    <w:tblPr/>
  </w:style>
  <w:style w:type="table" w:styleId="1020" w:customStyle="1">
    <w:name w:val="List Table 3 - Accent 1"/>
    <w:basedOn w:val="865"/>
    <w:uiPriority w:val="99"/>
    <w:qFormat/>
    <w:pPr>
      <w:spacing w:after="0" w:line="240" w:lineRule="auto"/>
    </w:pPr>
    <w:tblPr/>
  </w:style>
  <w:style w:type="table" w:styleId="1021" w:customStyle="1">
    <w:name w:val="List Table 3 - Accent 2"/>
    <w:basedOn w:val="865"/>
    <w:uiPriority w:val="99"/>
    <w:qFormat/>
    <w:pPr>
      <w:spacing w:after="0" w:line="240" w:lineRule="auto"/>
    </w:pPr>
    <w:tblPr/>
  </w:style>
  <w:style w:type="table" w:styleId="1022" w:customStyle="1">
    <w:name w:val="List Table 3 - Accent 3"/>
    <w:basedOn w:val="865"/>
    <w:uiPriority w:val="99"/>
    <w:qFormat/>
    <w:pPr>
      <w:spacing w:after="0" w:line="240" w:lineRule="auto"/>
    </w:pPr>
    <w:tblPr/>
  </w:style>
  <w:style w:type="table" w:styleId="1023" w:customStyle="1">
    <w:name w:val="List Table 3 - Accent 4"/>
    <w:basedOn w:val="865"/>
    <w:uiPriority w:val="99"/>
    <w:qFormat/>
    <w:pPr>
      <w:spacing w:after="0" w:line="240" w:lineRule="auto"/>
    </w:pPr>
    <w:tblPr/>
  </w:style>
  <w:style w:type="table" w:styleId="1024" w:customStyle="1">
    <w:name w:val="List Table 3 - Accent 5"/>
    <w:basedOn w:val="865"/>
    <w:uiPriority w:val="99"/>
    <w:qFormat/>
    <w:pPr>
      <w:spacing w:after="0" w:line="240" w:lineRule="auto"/>
    </w:pPr>
    <w:tblPr/>
  </w:style>
  <w:style w:type="table" w:styleId="1025" w:customStyle="1">
    <w:name w:val="List Table 3 - Accent 6"/>
    <w:basedOn w:val="865"/>
    <w:uiPriority w:val="99"/>
    <w:qFormat/>
    <w:pPr>
      <w:spacing w:after="0" w:line="240" w:lineRule="auto"/>
    </w:pPr>
    <w:tblPr/>
  </w:style>
  <w:style w:type="table" w:styleId="1026" w:customStyle="1">
    <w:name w:val="List Table 4"/>
    <w:basedOn w:val="865"/>
    <w:uiPriority w:val="99"/>
    <w:qFormat/>
    <w:pPr>
      <w:spacing w:after="0" w:line="240" w:lineRule="auto"/>
    </w:pPr>
    <w:tblPr/>
  </w:style>
  <w:style w:type="table" w:styleId="1027" w:customStyle="1">
    <w:name w:val="List Table 4 - Accent 1"/>
    <w:basedOn w:val="865"/>
    <w:uiPriority w:val="99"/>
    <w:qFormat/>
    <w:pPr>
      <w:spacing w:after="0" w:line="240" w:lineRule="auto"/>
    </w:pPr>
    <w:tblPr/>
  </w:style>
  <w:style w:type="table" w:styleId="1028" w:customStyle="1">
    <w:name w:val="List Table 4 - Accent 2"/>
    <w:basedOn w:val="865"/>
    <w:uiPriority w:val="99"/>
    <w:qFormat/>
    <w:pPr>
      <w:spacing w:after="0" w:line="240" w:lineRule="auto"/>
    </w:pPr>
    <w:tblPr/>
  </w:style>
  <w:style w:type="table" w:styleId="1029" w:customStyle="1">
    <w:name w:val="List Table 4 - Accent 3"/>
    <w:basedOn w:val="865"/>
    <w:uiPriority w:val="99"/>
    <w:qFormat/>
    <w:pPr>
      <w:spacing w:after="0" w:line="240" w:lineRule="auto"/>
    </w:pPr>
    <w:tblPr/>
  </w:style>
  <w:style w:type="table" w:styleId="1030" w:customStyle="1">
    <w:name w:val="List Table 4 - Accent 4"/>
    <w:basedOn w:val="865"/>
    <w:uiPriority w:val="99"/>
    <w:qFormat/>
    <w:pPr>
      <w:spacing w:after="0" w:line="240" w:lineRule="auto"/>
    </w:pPr>
    <w:tblPr/>
  </w:style>
  <w:style w:type="table" w:styleId="1031" w:customStyle="1">
    <w:name w:val="List Table 4 - Accent 5"/>
    <w:basedOn w:val="865"/>
    <w:uiPriority w:val="99"/>
    <w:qFormat/>
    <w:pPr>
      <w:spacing w:after="0" w:line="240" w:lineRule="auto"/>
    </w:pPr>
    <w:tblPr/>
  </w:style>
  <w:style w:type="table" w:styleId="1032" w:customStyle="1">
    <w:name w:val="List Table 4 - Accent 6"/>
    <w:basedOn w:val="865"/>
    <w:uiPriority w:val="99"/>
    <w:qFormat/>
    <w:pPr>
      <w:spacing w:after="0" w:line="240" w:lineRule="auto"/>
    </w:pPr>
    <w:tblPr/>
  </w:style>
  <w:style w:type="table" w:styleId="1033" w:customStyle="1">
    <w:name w:val="List Table 5 Dark"/>
    <w:basedOn w:val="865"/>
    <w:uiPriority w:val="99"/>
    <w:qFormat/>
    <w:pPr>
      <w:spacing w:after="0" w:line="240" w:lineRule="auto"/>
    </w:pPr>
    <w:tblPr/>
  </w:style>
  <w:style w:type="table" w:styleId="1034" w:customStyle="1">
    <w:name w:val="List Table 5 Dark - Accent 1"/>
    <w:basedOn w:val="865"/>
    <w:uiPriority w:val="99"/>
    <w:qFormat/>
    <w:pPr>
      <w:spacing w:after="0" w:line="240" w:lineRule="auto"/>
    </w:pPr>
    <w:tblPr/>
  </w:style>
  <w:style w:type="table" w:styleId="1035" w:customStyle="1">
    <w:name w:val="List Table 5 Dark - Accent 2"/>
    <w:basedOn w:val="865"/>
    <w:uiPriority w:val="99"/>
    <w:qFormat/>
    <w:pPr>
      <w:spacing w:after="0" w:line="240" w:lineRule="auto"/>
    </w:pPr>
    <w:tblPr/>
  </w:style>
  <w:style w:type="table" w:styleId="1036" w:customStyle="1">
    <w:name w:val="List Table 5 Dark - Accent 3"/>
    <w:basedOn w:val="865"/>
    <w:uiPriority w:val="99"/>
    <w:qFormat/>
    <w:pPr>
      <w:spacing w:after="0" w:line="240" w:lineRule="auto"/>
    </w:pPr>
    <w:tblPr/>
  </w:style>
  <w:style w:type="table" w:styleId="1037" w:customStyle="1">
    <w:name w:val="List Table 5 Dark - Accent 4"/>
    <w:basedOn w:val="865"/>
    <w:uiPriority w:val="99"/>
    <w:qFormat/>
    <w:pPr>
      <w:spacing w:after="0" w:line="240" w:lineRule="auto"/>
    </w:pPr>
    <w:tblPr/>
  </w:style>
  <w:style w:type="table" w:styleId="1038" w:customStyle="1">
    <w:name w:val="List Table 5 Dark - Accent 5"/>
    <w:basedOn w:val="865"/>
    <w:uiPriority w:val="99"/>
    <w:qFormat/>
    <w:pPr>
      <w:spacing w:after="0" w:line="240" w:lineRule="auto"/>
    </w:pPr>
    <w:tblPr/>
  </w:style>
  <w:style w:type="table" w:styleId="1039" w:customStyle="1">
    <w:name w:val="List Table 5 Dark - Accent 6"/>
    <w:basedOn w:val="865"/>
    <w:uiPriority w:val="99"/>
    <w:qFormat/>
    <w:pPr>
      <w:spacing w:after="0" w:line="240" w:lineRule="auto"/>
    </w:pPr>
    <w:tblPr/>
  </w:style>
  <w:style w:type="table" w:styleId="1040" w:customStyle="1">
    <w:name w:val="List Table 6 Colorful"/>
    <w:basedOn w:val="865"/>
    <w:uiPriority w:val="99"/>
    <w:qFormat/>
    <w:pPr>
      <w:spacing w:after="0" w:line="240" w:lineRule="auto"/>
    </w:pPr>
    <w:tblPr/>
  </w:style>
  <w:style w:type="table" w:styleId="1041" w:customStyle="1">
    <w:name w:val="List Table 6 Colorful - Accent 1"/>
    <w:basedOn w:val="865"/>
    <w:uiPriority w:val="99"/>
    <w:qFormat/>
    <w:pPr>
      <w:spacing w:after="0" w:line="240" w:lineRule="auto"/>
    </w:pPr>
    <w:tblPr/>
  </w:style>
  <w:style w:type="table" w:styleId="1042" w:customStyle="1">
    <w:name w:val="List Table 6 Colorful - Accent 2"/>
    <w:basedOn w:val="865"/>
    <w:uiPriority w:val="99"/>
    <w:qFormat/>
    <w:pPr>
      <w:spacing w:after="0" w:line="240" w:lineRule="auto"/>
    </w:pPr>
    <w:tblPr/>
  </w:style>
  <w:style w:type="table" w:styleId="1043" w:customStyle="1">
    <w:name w:val="List Table 6 Colorful - Accent 3"/>
    <w:basedOn w:val="865"/>
    <w:uiPriority w:val="99"/>
    <w:qFormat/>
    <w:pPr>
      <w:spacing w:after="0" w:line="240" w:lineRule="auto"/>
    </w:pPr>
    <w:tblPr/>
  </w:style>
  <w:style w:type="table" w:styleId="1044" w:customStyle="1">
    <w:name w:val="List Table 6 Colorful - Accent 4"/>
    <w:basedOn w:val="865"/>
    <w:uiPriority w:val="99"/>
    <w:qFormat/>
    <w:pPr>
      <w:spacing w:after="0" w:line="240" w:lineRule="auto"/>
    </w:pPr>
    <w:tblPr/>
  </w:style>
  <w:style w:type="table" w:styleId="1045" w:customStyle="1">
    <w:name w:val="List Table 6 Colorful - Accent 5"/>
    <w:basedOn w:val="865"/>
    <w:uiPriority w:val="99"/>
    <w:qFormat/>
    <w:pPr>
      <w:spacing w:after="0" w:line="240" w:lineRule="auto"/>
    </w:pPr>
    <w:tblPr/>
  </w:style>
  <w:style w:type="table" w:styleId="1046" w:customStyle="1">
    <w:name w:val="List Table 6 Colorful - Accent 6"/>
    <w:basedOn w:val="865"/>
    <w:uiPriority w:val="99"/>
    <w:qFormat/>
    <w:pPr>
      <w:spacing w:after="0" w:line="240" w:lineRule="auto"/>
    </w:pPr>
    <w:tblPr/>
  </w:style>
  <w:style w:type="table" w:styleId="1047" w:customStyle="1">
    <w:name w:val="List Table 7 Colorful"/>
    <w:basedOn w:val="865"/>
    <w:uiPriority w:val="99"/>
    <w:qFormat/>
    <w:pPr>
      <w:spacing w:after="0" w:line="240" w:lineRule="auto"/>
    </w:pPr>
    <w:tblPr/>
  </w:style>
  <w:style w:type="table" w:styleId="1048" w:customStyle="1">
    <w:name w:val="List Table 7 Colorful - Accent 1"/>
    <w:basedOn w:val="865"/>
    <w:uiPriority w:val="99"/>
    <w:qFormat/>
    <w:pPr>
      <w:spacing w:after="0" w:line="240" w:lineRule="auto"/>
    </w:pPr>
    <w:tblPr/>
  </w:style>
  <w:style w:type="table" w:styleId="1049" w:customStyle="1">
    <w:name w:val="List Table 7 Colorful - Accent 2"/>
    <w:basedOn w:val="865"/>
    <w:uiPriority w:val="99"/>
    <w:qFormat/>
    <w:pPr>
      <w:spacing w:after="0" w:line="240" w:lineRule="auto"/>
    </w:pPr>
    <w:tblPr/>
  </w:style>
  <w:style w:type="table" w:styleId="1050" w:customStyle="1">
    <w:name w:val="List Table 7 Colorful - Accent 3"/>
    <w:basedOn w:val="865"/>
    <w:uiPriority w:val="99"/>
    <w:qFormat/>
    <w:pPr>
      <w:spacing w:after="0" w:line="240" w:lineRule="auto"/>
    </w:pPr>
    <w:tblPr/>
  </w:style>
  <w:style w:type="table" w:styleId="1051" w:customStyle="1">
    <w:name w:val="List Table 7 Colorful - Accent 4"/>
    <w:basedOn w:val="865"/>
    <w:uiPriority w:val="99"/>
    <w:qFormat/>
    <w:pPr>
      <w:spacing w:after="0" w:line="240" w:lineRule="auto"/>
    </w:pPr>
    <w:tblPr/>
  </w:style>
  <w:style w:type="table" w:styleId="1052" w:customStyle="1">
    <w:name w:val="List Table 7 Colorful - Accent 5"/>
    <w:basedOn w:val="865"/>
    <w:uiPriority w:val="99"/>
    <w:qFormat/>
    <w:pPr>
      <w:spacing w:after="0" w:line="240" w:lineRule="auto"/>
    </w:pPr>
    <w:tblPr/>
  </w:style>
  <w:style w:type="table" w:styleId="1053" w:customStyle="1">
    <w:name w:val="List Table 7 Colorful - Accent 6"/>
    <w:basedOn w:val="865"/>
    <w:uiPriority w:val="99"/>
    <w:qFormat/>
    <w:pPr>
      <w:spacing w:after="0" w:line="240" w:lineRule="auto"/>
    </w:pPr>
    <w:tblPr/>
  </w:style>
  <w:style w:type="table" w:styleId="1054" w:customStyle="1">
    <w:name w:val="Lined - Accent"/>
    <w:basedOn w:val="865"/>
    <w:uiPriority w:val="99"/>
    <w:qFormat/>
    <w:pPr>
      <w:spacing w:after="0" w:line="240" w:lineRule="auto"/>
    </w:pPr>
    <w:rPr>
      <w:color w:val="404040"/>
    </w:rPr>
    <w:tblPr/>
  </w:style>
  <w:style w:type="table" w:styleId="1055" w:customStyle="1">
    <w:name w:val="Lined - Accent 1"/>
    <w:basedOn w:val="865"/>
    <w:uiPriority w:val="99"/>
    <w:qFormat/>
    <w:pPr>
      <w:spacing w:after="0" w:line="240" w:lineRule="auto"/>
    </w:pPr>
    <w:rPr>
      <w:color w:val="404040"/>
    </w:rPr>
    <w:tblPr/>
  </w:style>
  <w:style w:type="table" w:styleId="1056" w:customStyle="1">
    <w:name w:val="Lined - Accent 2"/>
    <w:basedOn w:val="865"/>
    <w:uiPriority w:val="99"/>
    <w:qFormat/>
    <w:pPr>
      <w:spacing w:after="0" w:line="240" w:lineRule="auto"/>
    </w:pPr>
    <w:rPr>
      <w:color w:val="404040"/>
    </w:rPr>
    <w:tblPr/>
  </w:style>
  <w:style w:type="table" w:styleId="1057" w:customStyle="1">
    <w:name w:val="Lined - Accent 3"/>
    <w:basedOn w:val="865"/>
    <w:uiPriority w:val="99"/>
    <w:qFormat/>
    <w:pPr>
      <w:spacing w:after="0" w:line="240" w:lineRule="auto"/>
    </w:pPr>
    <w:rPr>
      <w:color w:val="404040"/>
    </w:rPr>
    <w:tblPr/>
  </w:style>
  <w:style w:type="table" w:styleId="1058" w:customStyle="1">
    <w:name w:val="Lined - Accent 4"/>
    <w:basedOn w:val="865"/>
    <w:uiPriority w:val="99"/>
    <w:qFormat/>
    <w:pPr>
      <w:spacing w:after="0" w:line="240" w:lineRule="auto"/>
    </w:pPr>
    <w:rPr>
      <w:color w:val="404040"/>
    </w:rPr>
    <w:tblPr/>
  </w:style>
  <w:style w:type="table" w:styleId="1059" w:customStyle="1">
    <w:name w:val="Lined - Accent 5"/>
    <w:basedOn w:val="865"/>
    <w:uiPriority w:val="99"/>
    <w:qFormat/>
    <w:pPr>
      <w:spacing w:after="0" w:line="240" w:lineRule="auto"/>
    </w:pPr>
    <w:rPr>
      <w:color w:val="404040"/>
    </w:rPr>
    <w:tblPr/>
  </w:style>
  <w:style w:type="table" w:styleId="1060" w:customStyle="1">
    <w:name w:val="Lined - Accent 6"/>
    <w:basedOn w:val="865"/>
    <w:uiPriority w:val="99"/>
    <w:qFormat/>
    <w:pPr>
      <w:spacing w:after="0" w:line="240" w:lineRule="auto"/>
    </w:pPr>
    <w:rPr>
      <w:color w:val="404040"/>
    </w:rPr>
    <w:tblPr/>
  </w:style>
  <w:style w:type="table" w:styleId="1061" w:customStyle="1">
    <w:name w:val="Bordered &amp; Lined - Accent"/>
    <w:basedOn w:val="865"/>
    <w:uiPriority w:val="99"/>
    <w:qFormat/>
    <w:pPr>
      <w:spacing w:after="0" w:line="240" w:lineRule="auto"/>
    </w:pPr>
    <w:rPr>
      <w:color w:val="404040"/>
    </w:rPr>
    <w:tblPr/>
  </w:style>
  <w:style w:type="table" w:styleId="1062" w:customStyle="1">
    <w:name w:val="Bordered &amp; Lined - Accent 1"/>
    <w:basedOn w:val="865"/>
    <w:uiPriority w:val="99"/>
    <w:qFormat/>
    <w:pPr>
      <w:spacing w:after="0" w:line="240" w:lineRule="auto"/>
    </w:pPr>
    <w:rPr>
      <w:color w:val="404040"/>
    </w:rPr>
    <w:tblPr/>
  </w:style>
  <w:style w:type="table" w:styleId="1063" w:customStyle="1">
    <w:name w:val="Bordered &amp; Lined - Accent 2"/>
    <w:basedOn w:val="865"/>
    <w:uiPriority w:val="99"/>
    <w:qFormat/>
    <w:pPr>
      <w:spacing w:after="0" w:line="240" w:lineRule="auto"/>
    </w:pPr>
    <w:rPr>
      <w:color w:val="404040"/>
    </w:rPr>
    <w:tblPr/>
  </w:style>
  <w:style w:type="table" w:styleId="1064" w:customStyle="1">
    <w:name w:val="Bordered &amp; Lined - Accent 3"/>
    <w:basedOn w:val="865"/>
    <w:uiPriority w:val="99"/>
    <w:qFormat/>
    <w:pPr>
      <w:spacing w:after="0" w:line="240" w:lineRule="auto"/>
    </w:pPr>
    <w:rPr>
      <w:color w:val="404040"/>
    </w:rPr>
    <w:tblPr/>
  </w:style>
  <w:style w:type="table" w:styleId="1065" w:customStyle="1">
    <w:name w:val="Bordered &amp; Lined - Accent 4"/>
    <w:basedOn w:val="865"/>
    <w:uiPriority w:val="99"/>
    <w:qFormat/>
    <w:pPr>
      <w:spacing w:after="0" w:line="240" w:lineRule="auto"/>
    </w:pPr>
    <w:rPr>
      <w:color w:val="404040"/>
    </w:rPr>
    <w:tblPr/>
  </w:style>
  <w:style w:type="table" w:styleId="1066" w:customStyle="1">
    <w:name w:val="Bordered &amp; Lined - Accent 5"/>
    <w:basedOn w:val="865"/>
    <w:uiPriority w:val="99"/>
    <w:qFormat/>
    <w:pPr>
      <w:spacing w:after="0" w:line="240" w:lineRule="auto"/>
    </w:pPr>
    <w:rPr>
      <w:color w:val="404040"/>
    </w:rPr>
    <w:tblPr/>
  </w:style>
  <w:style w:type="table" w:styleId="1067" w:customStyle="1">
    <w:name w:val="Bordered &amp; Lined - Accent 6"/>
    <w:basedOn w:val="865"/>
    <w:uiPriority w:val="99"/>
    <w:qFormat/>
    <w:pPr>
      <w:spacing w:after="0" w:line="240" w:lineRule="auto"/>
    </w:pPr>
    <w:rPr>
      <w:color w:val="404040"/>
    </w:rPr>
    <w:tblPr/>
  </w:style>
  <w:style w:type="table" w:styleId="1068" w:customStyle="1">
    <w:name w:val="Bordered"/>
    <w:basedOn w:val="865"/>
    <w:uiPriority w:val="99"/>
    <w:qFormat/>
    <w:pPr>
      <w:spacing w:after="0" w:line="240" w:lineRule="auto"/>
    </w:pPr>
    <w:tblPr/>
  </w:style>
  <w:style w:type="table" w:styleId="1069" w:customStyle="1">
    <w:name w:val="Bordered - Accent 1"/>
    <w:basedOn w:val="865"/>
    <w:uiPriority w:val="99"/>
    <w:qFormat/>
    <w:pPr>
      <w:spacing w:after="0" w:line="240" w:lineRule="auto"/>
    </w:pPr>
    <w:tblPr/>
  </w:style>
  <w:style w:type="table" w:styleId="1070" w:customStyle="1">
    <w:name w:val="Bordered - Accent 2"/>
    <w:basedOn w:val="865"/>
    <w:uiPriority w:val="99"/>
    <w:qFormat/>
    <w:pPr>
      <w:spacing w:after="0" w:line="240" w:lineRule="auto"/>
    </w:pPr>
    <w:tblPr/>
  </w:style>
  <w:style w:type="table" w:styleId="1071" w:customStyle="1">
    <w:name w:val="Bordered - Accent 3"/>
    <w:basedOn w:val="865"/>
    <w:uiPriority w:val="99"/>
    <w:qFormat/>
    <w:pPr>
      <w:spacing w:after="0" w:line="240" w:lineRule="auto"/>
    </w:pPr>
    <w:tblPr/>
  </w:style>
  <w:style w:type="table" w:styleId="1072" w:customStyle="1">
    <w:name w:val="Bordered - Accent 4"/>
    <w:basedOn w:val="865"/>
    <w:uiPriority w:val="99"/>
    <w:qFormat/>
    <w:pPr>
      <w:spacing w:after="0" w:line="240" w:lineRule="auto"/>
    </w:pPr>
    <w:tblPr/>
  </w:style>
  <w:style w:type="table" w:styleId="1073" w:customStyle="1">
    <w:name w:val="Bordered - Accent 5"/>
    <w:basedOn w:val="865"/>
    <w:uiPriority w:val="99"/>
    <w:qFormat/>
    <w:pPr>
      <w:spacing w:after="0" w:line="240" w:lineRule="auto"/>
    </w:pPr>
    <w:tblPr/>
  </w:style>
  <w:style w:type="table" w:styleId="1074" w:customStyle="1">
    <w:name w:val="Bordered - Accent 6"/>
    <w:basedOn w:val="865"/>
    <w:uiPriority w:val="99"/>
    <w:qFormat/>
    <w:pPr>
      <w:spacing w:after="0" w:line="240" w:lineRule="auto"/>
    </w:pPr>
    <w:tblPr/>
  </w:style>
  <w:style w:type="paragraph" w:styleId="1075" w:customStyle="1">
    <w:name w:val="TOC 标题"/>
    <w:uiPriority w:val="39"/>
    <w:qFormat/>
    <w:rPr>
      <w:rFonts w:hint="default" w:ascii="Times New Roman" w:hAnsi="Times New Roman" w:eastAsia="宋体" w:cs="Times New Roman"/>
      <w:lang w:val="en-US" w:eastAsia="zh-CN" w:bidi="ar-SA"/>
    </w:rPr>
  </w:style>
  <w:style w:type="character" w:styleId="1076" w:customStyle="1">
    <w:name w:val="标题 1 Char1"/>
    <w:link w:val="814"/>
    <w:uiPriority w:val="0"/>
    <w:qFormat/>
    <w:rPr>
      <w:rFonts w:ascii="Times New Roman" w:hAnsi="Times New Roman" w:eastAsia="宋体" w:cs="Times New Roman"/>
      <w:b/>
      <w:bCs/>
      <w:sz w:val="32"/>
      <w:szCs w:val="44"/>
    </w:rPr>
  </w:style>
  <w:style w:type="character" w:styleId="1077" w:customStyle="1">
    <w:name w:val="标题 2 Char"/>
    <w:link w:val="815"/>
    <w:uiPriority w:val="0"/>
    <w:qFormat/>
    <w:rPr>
      <w:rFonts w:ascii="Cambria" w:hAnsi="Cambria"/>
      <w:b/>
      <w:bCs/>
      <w:sz w:val="32"/>
      <w:szCs w:val="32"/>
    </w:rPr>
  </w:style>
  <w:style w:type="character" w:styleId="1078" w:customStyle="1">
    <w:name w:val="标题 3 Char"/>
    <w:link w:val="816"/>
    <w:uiPriority w:val="0"/>
    <w:qFormat/>
    <w:rPr>
      <w:b/>
      <w:bCs/>
      <w:sz w:val="32"/>
      <w:szCs w:val="32"/>
    </w:rPr>
  </w:style>
  <w:style w:type="character" w:styleId="1079" w:customStyle="1">
    <w:name w:val="标题 4 Char"/>
    <w:link w:val="817"/>
    <w:uiPriority w:val="0"/>
    <w:qFormat/>
    <w:rPr>
      <w:rFonts w:ascii="Cambria" w:hAnsi="Cambria" w:eastAsia="宋体" w:cs="Times New Roman"/>
      <w:b/>
      <w:bCs/>
      <w:sz w:val="28"/>
      <w:szCs w:val="28"/>
    </w:rPr>
  </w:style>
  <w:style w:type="character" w:styleId="1080" w:customStyle="1">
    <w:name w:val="标题 5 Char"/>
    <w:link w:val="818"/>
    <w:uiPriority w:val="0"/>
    <w:qFormat/>
    <w:rPr>
      <w:b/>
      <w:bCs/>
      <w:sz w:val="28"/>
      <w:szCs w:val="28"/>
    </w:rPr>
  </w:style>
  <w:style w:type="character" w:styleId="1081" w:customStyle="1">
    <w:name w:val="标题 6 Char"/>
    <w:link w:val="819"/>
    <w:uiPriority w:val="0"/>
    <w:qFormat/>
    <w:rPr>
      <w:rFonts w:ascii="Cambria" w:hAnsi="Cambria" w:eastAsia="宋体" w:cs="Times New Roman"/>
      <w:b/>
      <w:bCs/>
      <w:sz w:val="24"/>
      <w:szCs w:val="24"/>
    </w:rPr>
  </w:style>
  <w:style w:type="character" w:styleId="1082" w:customStyle="1">
    <w:name w:val="标题 7 Char"/>
    <w:link w:val="820"/>
    <w:uiPriority w:val="0"/>
    <w:qFormat/>
    <w:rPr>
      <w:b/>
      <w:bCs/>
      <w:sz w:val="24"/>
      <w:szCs w:val="24"/>
    </w:rPr>
  </w:style>
  <w:style w:type="character" w:styleId="1083" w:customStyle="1">
    <w:name w:val="标题 8 Char"/>
    <w:link w:val="821"/>
    <w:uiPriority w:val="0"/>
    <w:qFormat/>
    <w:rPr>
      <w:rFonts w:ascii="Cambria" w:hAnsi="Cambria" w:eastAsia="宋体" w:cs="Times New Roman"/>
      <w:sz w:val="24"/>
      <w:szCs w:val="24"/>
    </w:rPr>
  </w:style>
  <w:style w:type="character" w:styleId="1084" w:customStyle="1">
    <w:name w:val="标题 9 Char"/>
    <w:link w:val="822"/>
    <w:uiPriority w:val="0"/>
    <w:qFormat/>
    <w:rPr>
      <w:rFonts w:ascii="Cambria" w:hAnsi="Cambria" w:eastAsia="宋体" w:cs="Times New Roman"/>
      <w:sz w:val="21"/>
      <w:szCs w:val="21"/>
    </w:rPr>
  </w:style>
  <w:style w:type="paragraph" w:styleId="1085" w:customStyle="1">
    <w:name w:val="Caption1"/>
    <w:basedOn w:val="813"/>
    <w:next w:val="813"/>
    <w:uiPriority w:val="0"/>
    <w:qFormat/>
    <w:rPr>
      <w:rFonts w:ascii="Cambria" w:hAnsi="Cambria" w:eastAsia="黑体"/>
      <w:sz w:val="20"/>
      <w:szCs w:val="22"/>
    </w:rPr>
  </w:style>
  <w:style w:type="paragraph" w:styleId="1086" w:customStyle="1">
    <w:name w:val="Footer1"/>
    <w:basedOn w:val="813"/>
    <w:link w:val="1087"/>
    <w:uiPriority w:val="99"/>
    <w:qFormat/>
    <w:pPr>
      <w:jc w:val="left"/>
      <w:tabs>
        <w:tab w:val="center" w:pos="4153" w:leader="none"/>
        <w:tab w:val="right" w:pos="8306" w:leader="none"/>
      </w:tabs>
    </w:pPr>
    <w:rPr>
      <w:sz w:val="18"/>
      <w:szCs w:val="18"/>
    </w:rPr>
  </w:style>
  <w:style w:type="character" w:styleId="1087" w:customStyle="1">
    <w:name w:val="页脚 Char"/>
    <w:link w:val="1086"/>
    <w:uiPriority w:val="99"/>
    <w:qFormat/>
    <w:rPr>
      <w:sz w:val="18"/>
      <w:szCs w:val="18"/>
    </w:rPr>
  </w:style>
  <w:style w:type="paragraph" w:styleId="1088" w:customStyle="1">
    <w:name w:val="Header1"/>
    <w:basedOn w:val="813"/>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
    <w:link w:val="1088"/>
    <w:uiPriority w:val="0"/>
    <w:qFormat/>
    <w:rPr>
      <w:sz w:val="18"/>
      <w:szCs w:val="18"/>
    </w:rPr>
  </w:style>
  <w:style w:type="character" w:styleId="1090" w:customStyle="1">
    <w:name w:val="明显强调1"/>
    <w:link w:val="813"/>
    <w:uiPriority w:val="0"/>
    <w:qFormat/>
    <w:rPr>
      <w:b/>
      <w:bCs/>
      <w:i/>
      <w:iCs/>
      <w:color w:val="4f81bd"/>
    </w:rPr>
  </w:style>
  <w:style w:type="character" w:styleId="1091" w:customStyle="1">
    <w:name w:val="批注文字 Char2"/>
    <w:link w:val="813"/>
    <w:uiPriority w:val="0"/>
    <w:qFormat/>
    <w:rPr>
      <w:sz w:val="21"/>
    </w:rPr>
  </w:style>
  <w:style w:type="character" w:styleId="1092" w:customStyle="1">
    <w:name w:val="标题 3 Char_0"/>
    <w:link w:val="1093"/>
    <w:uiPriority w:val="0"/>
    <w:qFormat/>
    <w:rPr>
      <w:b/>
      <w:bCs/>
      <w:sz w:val="32"/>
      <w:szCs w:val="32"/>
    </w:rPr>
  </w:style>
  <w:style w:type="paragraph" w:styleId="1093" w:customStyle="1">
    <w:name w:val="标题 3_0"/>
    <w:basedOn w:val="1094"/>
    <w:next w:val="1094"/>
    <w:link w:val="1092"/>
    <w:uiPriority w:val="0"/>
    <w:qFormat/>
    <w:pPr>
      <w:keepLines/>
      <w:keepNext/>
      <w:spacing w:before="260" w:after="260" w:line="416" w:lineRule="auto"/>
      <w:outlineLvl w:val="2"/>
    </w:pPr>
    <w:rPr>
      <w:b/>
      <w:bCs/>
      <w:sz w:val="32"/>
      <w:szCs w:val="32"/>
    </w:rPr>
  </w:style>
  <w:style w:type="paragraph" w:styleId="109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5" w:customStyle="1">
    <w:name w:val="正文文本 Char2"/>
    <w:link w:val="813"/>
    <w:uiPriority w:val="99"/>
    <w:semiHidden/>
    <w:qFormat/>
    <w:rPr>
      <w:rFonts w:ascii="Calibri" w:hAnsi="Calibri" w:eastAsia="宋体" w:cs="Times New Roman"/>
    </w:rPr>
  </w:style>
  <w:style w:type="character" w:styleId="1096" w:customStyle="1">
    <w:name w:val="页脚 Char1"/>
    <w:link w:val="813"/>
    <w:uiPriority w:val="99"/>
    <w:semiHidden/>
    <w:qFormat/>
    <w:rPr>
      <w:rFonts w:ascii="Calibri" w:hAnsi="Calibri" w:eastAsia="宋体" w:cs="Times New Roman"/>
      <w:sz w:val="18"/>
      <w:szCs w:val="18"/>
    </w:rPr>
  </w:style>
  <w:style w:type="character" w:styleId="1097" w:customStyle="1">
    <w:name w:val="明显引用 Char2"/>
    <w:link w:val="813"/>
    <w:uiPriority w:val="99"/>
    <w:qFormat/>
    <w:rPr>
      <w:b/>
      <w:bCs/>
      <w:i/>
      <w:iCs/>
      <w:color w:val="4f81bd"/>
      <w:sz w:val="21"/>
      <w:szCs w:val="24"/>
    </w:rPr>
  </w:style>
  <w:style w:type="character" w:styleId="1098" w:customStyle="1">
    <w:name w:val="引用 Char"/>
    <w:link w:val="1099"/>
    <w:uiPriority w:val="0"/>
    <w:qFormat/>
    <w:rPr>
      <w:i/>
      <w:iCs/>
      <w:color w:val="000000"/>
    </w:rPr>
  </w:style>
  <w:style w:type="paragraph" w:styleId="1099" w:customStyle="1">
    <w:name w:val="引用1"/>
    <w:basedOn w:val="813"/>
    <w:next w:val="813"/>
    <w:link w:val="1098"/>
    <w:uiPriority w:val="0"/>
    <w:qFormat/>
    <w:rPr>
      <w:i/>
      <w:iCs/>
      <w:color w:val="000000"/>
      <w:sz w:val="20"/>
      <w:szCs w:val="20"/>
    </w:rPr>
  </w:style>
  <w:style w:type="character" w:styleId="1100" w:customStyle="1">
    <w:name w:val="标题 1 Char_0"/>
    <w:link w:val="1101"/>
    <w:uiPriority w:val="0"/>
    <w:qFormat/>
    <w:rPr>
      <w:b/>
      <w:bCs/>
      <w:sz w:val="44"/>
      <w:szCs w:val="44"/>
    </w:rPr>
  </w:style>
  <w:style w:type="paragraph" w:styleId="1101" w:customStyle="1">
    <w:name w:val="标题 1_0"/>
    <w:basedOn w:val="1094"/>
    <w:next w:val="1094"/>
    <w:link w:val="1100"/>
    <w:uiPriority w:val="0"/>
    <w:qFormat/>
    <w:pPr>
      <w:keepLines/>
      <w:keepNext/>
      <w:spacing w:before="340" w:after="330" w:line="578" w:lineRule="auto"/>
      <w:outlineLvl w:val="0"/>
    </w:pPr>
    <w:rPr>
      <w:b/>
      <w:bCs/>
      <w:sz w:val="44"/>
      <w:szCs w:val="44"/>
    </w:rPr>
  </w:style>
  <w:style w:type="character" w:styleId="1102" w:customStyle="1">
    <w:name w:val="正文文本缩进 3 Char1"/>
    <w:link w:val="813"/>
    <w:uiPriority w:val="99"/>
    <w:semiHidden/>
    <w:qFormat/>
    <w:rPr>
      <w:sz w:val="16"/>
      <w:szCs w:val="16"/>
    </w:rPr>
  </w:style>
  <w:style w:type="character" w:styleId="1103" w:customStyle="1">
    <w:name w:val="引用 Char1"/>
    <w:link w:val="813"/>
    <w:uiPriority w:val="29"/>
    <w:qFormat/>
    <w:rPr>
      <w:i/>
      <w:iCs/>
      <w:color w:val="000000"/>
      <w:sz w:val="21"/>
    </w:rPr>
  </w:style>
  <w:style w:type="character" w:styleId="1104" w:customStyle="1">
    <w:name w:val="font161"/>
    <w:link w:val="813"/>
    <w:uiPriority w:val="0"/>
    <w:qFormat/>
    <w:rPr>
      <w:b/>
      <w:sz w:val="32"/>
    </w:rPr>
  </w:style>
  <w:style w:type="character" w:styleId="1105" w:customStyle="1">
    <w:name w:val="标题 4 Char_0"/>
    <w:link w:val="1106"/>
    <w:uiPriority w:val="0"/>
    <w:qFormat/>
    <w:rPr>
      <w:rFonts w:ascii="Arial" w:hAnsi="Arial" w:eastAsia="黑体"/>
      <w:b/>
      <w:bCs/>
      <w:sz w:val="28"/>
      <w:szCs w:val="28"/>
    </w:rPr>
  </w:style>
  <w:style w:type="paragraph" w:styleId="1106" w:customStyle="1">
    <w:name w:val="标题 4_0"/>
    <w:basedOn w:val="1094"/>
    <w:next w:val="1094"/>
    <w:link w:val="1105"/>
    <w:uiPriority w:val="0"/>
    <w:qFormat/>
    <w:pPr>
      <w:keepLines/>
      <w:keepNext/>
      <w:spacing w:before="280" w:after="290" w:line="376" w:lineRule="auto"/>
      <w:outlineLvl w:val="3"/>
    </w:pPr>
    <w:rPr>
      <w:rFonts w:ascii="Arial" w:hAnsi="Arial" w:eastAsia="黑体"/>
      <w:b/>
      <w:bCs/>
      <w:sz w:val="28"/>
      <w:szCs w:val="28"/>
    </w:rPr>
  </w:style>
  <w:style w:type="character" w:styleId="1107" w:customStyle="1">
    <w:name w:val="引用 Char2"/>
    <w:link w:val="813"/>
    <w:uiPriority w:val="99"/>
    <w:qFormat/>
    <w:rPr>
      <w:i/>
      <w:iCs/>
      <w:color w:val="000000"/>
      <w:sz w:val="21"/>
      <w:szCs w:val="24"/>
    </w:rPr>
  </w:style>
  <w:style w:type="character" w:styleId="1108" w:customStyle="1">
    <w:name w:val="rvts11"/>
    <w:link w:val="813"/>
    <w:uiPriority w:val="0"/>
    <w:qFormat/>
    <w:rPr>
      <w:rFonts w:ascii="KNLe" w:hAnsi="KNLe"/>
      <w:sz w:val="24"/>
      <w:szCs w:val="24"/>
      <w:u w:val="single"/>
    </w:rPr>
  </w:style>
  <w:style w:type="character" w:styleId="1109" w:customStyle="1">
    <w:name w:val="标题5 Char Char"/>
    <w:link w:val="1110"/>
    <w:uiPriority w:val="0"/>
    <w:qFormat/>
    <w:rPr>
      <w:rFonts w:ascii="Arial" w:hAnsi="Arial"/>
      <w:b/>
      <w:bCs/>
      <w:sz w:val="24"/>
      <w:szCs w:val="32"/>
    </w:rPr>
  </w:style>
  <w:style w:type="paragraph" w:styleId="1110" w:customStyle="1">
    <w:name w:val="标题5"/>
    <w:basedOn w:val="816"/>
    <w:link w:val="1109"/>
    <w:uiPriority w:val="0"/>
    <w:qFormat/>
    <w:pPr>
      <w:numPr>
        <w:ilvl w:val="0"/>
        <w:numId w:val="0"/>
      </w:numPr>
      <w:spacing w:line="413" w:lineRule="auto"/>
    </w:pPr>
    <w:rPr>
      <w:rFonts w:ascii="Arial" w:hAnsi="Arial"/>
      <w:sz w:val="24"/>
    </w:rPr>
  </w:style>
  <w:style w:type="character" w:styleId="1111" w:customStyle="1">
    <w:name w:val="副标题 Char2"/>
    <w:link w:val="813"/>
    <w:uiPriority w:val="11"/>
    <w:qFormat/>
    <w:rPr>
      <w:rFonts w:ascii="Cambria" w:hAnsi="Cambria" w:cs="Times New Roman"/>
      <w:b/>
      <w:bCs/>
      <w:sz w:val="32"/>
      <w:szCs w:val="32"/>
    </w:rPr>
  </w:style>
  <w:style w:type="character" w:styleId="1112" w:customStyle="1">
    <w:name w:val="批注主题 Char1"/>
    <w:link w:val="813"/>
    <w:uiPriority w:val="0"/>
    <w:qFormat/>
    <w:rPr>
      <w:b/>
      <w:bCs/>
      <w:sz w:val="21"/>
      <w:szCs w:val="22"/>
    </w:rPr>
  </w:style>
  <w:style w:type="character" w:styleId="1113" w:customStyle="1">
    <w:name w:val="font31"/>
    <w:link w:val="813"/>
    <w:uiPriority w:val="0"/>
    <w:qFormat/>
    <w:rPr>
      <w:rFonts w:hint="eastAsia" w:ascii="宋体" w:hAnsi="宋体" w:eastAsia="宋体" w:cs="宋体"/>
      <w:color w:val="000000"/>
      <w:sz w:val="20"/>
      <w:szCs w:val="20"/>
      <w:u w:val="none"/>
    </w:rPr>
  </w:style>
  <w:style w:type="character" w:styleId="1114" w:customStyle="1">
    <w:name w:val="明显引用 Char"/>
    <w:link w:val="1115"/>
    <w:uiPriority w:val="0"/>
    <w:qFormat/>
    <w:rPr>
      <w:b/>
      <w:bCs/>
      <w:i/>
      <w:iCs/>
      <w:color w:val="4f81bd"/>
    </w:rPr>
  </w:style>
  <w:style w:type="paragraph" w:styleId="1115" w:customStyle="1">
    <w:name w:val="明显引用1"/>
    <w:basedOn w:val="813"/>
    <w:next w:val="813"/>
    <w:link w:val="1114"/>
    <w:uiPriority w:val="0"/>
    <w:qFormat/>
    <w:pPr>
      <w:ind w:left="936" w:right="936"/>
      <w:spacing w:before="200" w:after="280"/>
      <w:pBdr>
        <w:bottom w:val="single" w:color="4F81BD" w:sz="4" w:space="4"/>
      </w:pBdr>
    </w:pPr>
    <w:rPr>
      <w:b/>
      <w:bCs/>
      <w:i/>
      <w:iCs/>
      <w:color w:val="4f81bd"/>
      <w:sz w:val="20"/>
      <w:szCs w:val="20"/>
    </w:rPr>
  </w:style>
  <w:style w:type="character" w:styleId="1116" w:customStyle="1">
    <w:name w:val="日期 Char1"/>
    <w:link w:val="813"/>
    <w:uiPriority w:val="0"/>
    <w:qFormat/>
    <w:rPr>
      <w:rFonts w:ascii="Calibri" w:hAnsi="Calibri" w:eastAsia="宋体" w:cs="Times New Roman"/>
    </w:rPr>
  </w:style>
  <w:style w:type="character" w:styleId="1117" w:customStyle="1">
    <w:name w:val="批注框文本 Char1"/>
    <w:link w:val="813"/>
    <w:uiPriority w:val="0"/>
    <w:qFormat/>
    <w:rPr>
      <w:sz w:val="18"/>
      <w:szCs w:val="18"/>
    </w:rPr>
  </w:style>
  <w:style w:type="character" w:styleId="1118" w:customStyle="1">
    <w:name w:val="标题 Char1"/>
    <w:link w:val="813"/>
    <w:uiPriority w:val="10"/>
    <w:qFormat/>
    <w:rPr>
      <w:rFonts w:ascii="Cambria" w:hAnsi="Cambria" w:eastAsia="宋体" w:cs="Times New Roman"/>
      <w:b/>
      <w:bCs/>
      <w:sz w:val="32"/>
      <w:szCs w:val="32"/>
    </w:rPr>
  </w:style>
  <w:style w:type="character" w:styleId="1119" w:customStyle="1">
    <w:name w:val="不明显参考1"/>
    <w:link w:val="813"/>
    <w:uiPriority w:val="0"/>
    <w:qFormat/>
    <w:rPr>
      <w:smallCaps/>
      <w:color w:val="c0504d"/>
      <w:u w:val="single"/>
    </w:rPr>
  </w:style>
  <w:style w:type="character" w:styleId="1120" w:customStyle="1">
    <w:name w:val="批注文字 Char1"/>
    <w:link w:val="813"/>
    <w:uiPriority w:val="0"/>
    <w:qFormat/>
    <w:rPr>
      <w:rFonts w:ascii="Calibri" w:hAnsi="Calibri" w:eastAsia="宋体" w:cs="Times New Roman"/>
    </w:rPr>
  </w:style>
  <w:style w:type="character" w:styleId="1121" w:customStyle="1">
    <w:name w:val="标题 Char2"/>
    <w:link w:val="813"/>
    <w:uiPriority w:val="10"/>
    <w:qFormat/>
    <w:rPr>
      <w:rFonts w:ascii="Cambria" w:hAnsi="Cambria" w:cs="Times New Roman"/>
      <w:b/>
      <w:bCs/>
      <w:sz w:val="32"/>
      <w:szCs w:val="32"/>
    </w:rPr>
  </w:style>
  <w:style w:type="character" w:styleId="1122" w:customStyle="1">
    <w:name w:val="正文文本 3 Char1"/>
    <w:link w:val="813"/>
    <w:uiPriority w:val="99"/>
    <w:semiHidden/>
    <w:qFormat/>
    <w:rPr>
      <w:sz w:val="16"/>
      <w:szCs w:val="16"/>
    </w:rPr>
  </w:style>
  <w:style w:type="character" w:styleId="1123" w:customStyle="1">
    <w:name w:val="批注主题 Char2"/>
    <w:link w:val="813"/>
    <w:uiPriority w:val="0"/>
    <w:qFormat/>
    <w:rPr>
      <w:b/>
      <w:bCs/>
      <w:sz w:val="21"/>
    </w:rPr>
  </w:style>
  <w:style w:type="character" w:styleId="1124" w:customStyle="1">
    <w:name w:val="正文文本 Char_0"/>
    <w:link w:val="1125"/>
    <w:uiPriority w:val="0"/>
    <w:qFormat/>
    <w:rPr>
      <w:szCs w:val="24"/>
    </w:rPr>
  </w:style>
  <w:style w:type="paragraph" w:styleId="1125" w:customStyle="1">
    <w:name w:val="正文文本_0"/>
    <w:basedOn w:val="1094"/>
    <w:link w:val="1124"/>
    <w:uiPriority w:val="0"/>
    <w:qFormat/>
    <w:pPr>
      <w:spacing w:after="120"/>
    </w:pPr>
    <w:rPr>
      <w:sz w:val="20"/>
    </w:rPr>
  </w:style>
  <w:style w:type="character" w:styleId="1126" w:customStyle="1">
    <w:name w:val="bookmark"/>
    <w:link w:val="813"/>
    <w:uiPriority w:val="0"/>
    <w:qFormat/>
  </w:style>
  <w:style w:type="character" w:styleId="1127" w:customStyle="1">
    <w:name w:val="标题 5 Char_0"/>
    <w:link w:val="1128"/>
    <w:uiPriority w:val="0"/>
    <w:qFormat/>
    <w:rPr>
      <w:rFonts w:ascii="Calibri" w:hAnsi="Calibri"/>
      <w:b/>
      <w:bCs/>
      <w:sz w:val="28"/>
      <w:szCs w:val="28"/>
    </w:rPr>
  </w:style>
  <w:style w:type="paragraph" w:styleId="1128" w:customStyle="1">
    <w:name w:val="标题 5_0"/>
    <w:basedOn w:val="1094"/>
    <w:next w:val="1094"/>
    <w:link w:val="1127"/>
    <w:uiPriority w:val="0"/>
    <w:qFormat/>
    <w:pPr>
      <w:keepLines/>
      <w:keepNext/>
      <w:spacing w:before="280" w:after="290" w:line="372" w:lineRule="auto"/>
      <w:outlineLvl w:val="4"/>
    </w:pPr>
    <w:rPr>
      <w:rFonts w:ascii="Calibri" w:hAnsi="Calibri"/>
      <w:b/>
      <w:bCs/>
      <w:sz w:val="28"/>
      <w:szCs w:val="28"/>
    </w:rPr>
  </w:style>
  <w:style w:type="character" w:styleId="1129" w:customStyle="1">
    <w:name w:val="font11"/>
    <w:link w:val="813"/>
    <w:uiPriority w:val="0"/>
    <w:qFormat/>
    <w:rPr>
      <w:rFonts w:hint="eastAsia" w:ascii="宋体" w:hAnsi="宋体" w:eastAsia="宋体" w:cs="宋体"/>
      <w:color w:val="000000"/>
      <w:sz w:val="20"/>
      <w:szCs w:val="20"/>
      <w:u w:val="none"/>
    </w:rPr>
  </w:style>
  <w:style w:type="character" w:styleId="1130" w:customStyle="1">
    <w:name w:val="明显参考1"/>
    <w:link w:val="813"/>
    <w:uiPriority w:val="0"/>
    <w:qFormat/>
    <w:rPr>
      <w:b/>
      <w:bCs/>
      <w:smallCaps/>
      <w:color w:val="c0504d"/>
      <w:spacing w:val="5"/>
      <w:u w:val="single"/>
    </w:rPr>
  </w:style>
  <w:style w:type="character" w:styleId="1131" w:customStyle="1">
    <w:name w:val="超链接_0"/>
    <w:link w:val="813"/>
    <w:uiPriority w:val="99"/>
    <w:qFormat/>
    <w:rPr>
      <w:rFonts w:ascii="Calibri" w:hAnsi="Calibri"/>
      <w:color w:val="0000ff"/>
      <w:u w:val="single"/>
    </w:rPr>
  </w:style>
  <w:style w:type="character" w:styleId="1132" w:customStyle="1">
    <w:name w:val="文档结构图 Char2"/>
    <w:link w:val="813"/>
    <w:uiPriority w:val="99"/>
    <w:semiHidden/>
    <w:qFormat/>
    <w:rPr>
      <w:rFonts w:ascii="宋体" w:hAnsi="Calibri" w:eastAsia="宋体" w:cs="Times New Roman"/>
      <w:sz w:val="18"/>
      <w:szCs w:val="18"/>
    </w:rPr>
  </w:style>
  <w:style w:type="character" w:styleId="1133" w:customStyle="1">
    <w:name w:val="textcontents"/>
    <w:link w:val="813"/>
    <w:uiPriority w:val="0"/>
    <w:qFormat/>
    <w:rPr>
      <w:rFonts w:cs="Times New Roman"/>
    </w:rPr>
  </w:style>
  <w:style w:type="character" w:styleId="1134" w:customStyle="1">
    <w:name w:val="标题 1 Char"/>
    <w:link w:val="813"/>
    <w:uiPriority w:val="0"/>
    <w:qFormat/>
    <w:rPr>
      <w:b/>
      <w:bCs/>
      <w:sz w:val="32"/>
      <w:szCs w:val="44"/>
    </w:rPr>
  </w:style>
  <w:style w:type="character" w:styleId="1135" w:customStyle="1">
    <w:name w:val="副标题 Char1"/>
    <w:link w:val="813"/>
    <w:uiPriority w:val="11"/>
    <w:qFormat/>
    <w:rPr>
      <w:rFonts w:ascii="Cambria" w:hAnsi="Cambria" w:cs="Times New Roman"/>
      <w:b/>
      <w:bCs/>
      <w:sz w:val="32"/>
      <w:szCs w:val="32"/>
    </w:rPr>
  </w:style>
  <w:style w:type="character" w:styleId="1136" w:customStyle="1">
    <w:name w:val="书籍标题1"/>
    <w:link w:val="813"/>
    <w:uiPriority w:val="0"/>
    <w:qFormat/>
    <w:rPr>
      <w:b/>
      <w:bCs/>
      <w:smallCaps/>
      <w:spacing w:val="5"/>
    </w:rPr>
  </w:style>
  <w:style w:type="character" w:styleId="1137" w:customStyle="1">
    <w:name w:val="标题4 Char Char"/>
    <w:link w:val="1138"/>
    <w:uiPriority w:val="0"/>
    <w:qFormat/>
    <w:rPr>
      <w:rFonts w:ascii="Arial" w:hAnsi="Arial"/>
      <w:b/>
      <w:bCs/>
      <w:sz w:val="24"/>
      <w:szCs w:val="32"/>
    </w:rPr>
  </w:style>
  <w:style w:type="paragraph" w:styleId="1138" w:customStyle="1">
    <w:name w:val="标题4"/>
    <w:basedOn w:val="815"/>
    <w:next w:val="879"/>
    <w:link w:val="1137"/>
    <w:uiPriority w:val="0"/>
    <w:qFormat/>
    <w:pPr>
      <w:numPr>
        <w:ilvl w:val="0"/>
        <w:numId w:val="0"/>
      </w:numPr>
      <w:spacing w:line="413" w:lineRule="auto"/>
    </w:pPr>
    <w:rPr>
      <w:rFonts w:ascii="Arial" w:hAnsi="Arial"/>
      <w:sz w:val="24"/>
    </w:rPr>
  </w:style>
  <w:style w:type="character" w:styleId="1139" w:customStyle="1">
    <w:name w:val="正文文本 Char1"/>
    <w:link w:val="813"/>
    <w:uiPriority w:val="0"/>
    <w:qFormat/>
    <w:rPr>
      <w:rFonts w:ascii="Calibri" w:hAnsi="Calibri" w:eastAsia="宋体" w:cs="Times New Roman"/>
    </w:rPr>
  </w:style>
  <w:style w:type="character" w:styleId="1140" w:customStyle="1">
    <w:name w:val="明显引用 Char1"/>
    <w:link w:val="813"/>
    <w:uiPriority w:val="30"/>
    <w:qFormat/>
    <w:rPr>
      <w:b/>
      <w:bCs/>
      <w:i/>
      <w:iCs/>
      <w:color w:val="4f81bd"/>
      <w:sz w:val="21"/>
    </w:rPr>
  </w:style>
  <w:style w:type="character" w:styleId="1141" w:customStyle="1">
    <w:name w:val="页眉 Char1"/>
    <w:link w:val="813"/>
    <w:uiPriority w:val="99"/>
    <w:semiHidden/>
    <w:qFormat/>
    <w:rPr>
      <w:rFonts w:ascii="Calibri" w:hAnsi="Calibri" w:eastAsia="宋体" w:cs="Times New Roman"/>
      <w:sz w:val="18"/>
      <w:szCs w:val="18"/>
    </w:rPr>
  </w:style>
  <w:style w:type="character" w:styleId="1142" w:customStyle="1">
    <w:name w:val="不明显强调1"/>
    <w:link w:val="813"/>
    <w:uiPriority w:val="0"/>
    <w:qFormat/>
    <w:rPr>
      <w:i/>
      <w:iCs/>
      <w:color w:val="808080"/>
    </w:rPr>
  </w:style>
  <w:style w:type="character" w:styleId="1143" w:customStyle="1">
    <w:name w:val="font21"/>
    <w:link w:val="813"/>
    <w:uiPriority w:val="0"/>
    <w:qFormat/>
    <w:rPr>
      <w:rFonts w:hint="eastAsia" w:ascii="宋体" w:hAnsi="宋体" w:eastAsia="宋体" w:cs="宋体"/>
      <w:color w:val="000000"/>
      <w:sz w:val="20"/>
      <w:szCs w:val="20"/>
      <w:u w:val="none"/>
    </w:rPr>
  </w:style>
  <w:style w:type="character" w:styleId="1144" w:customStyle="1">
    <w:name w:val="文档结构图 Char1"/>
    <w:link w:val="813"/>
    <w:uiPriority w:val="0"/>
    <w:qFormat/>
    <w:rPr>
      <w:rFonts w:ascii="宋体" w:hAnsi="Calibri" w:eastAsia="宋体" w:cs="Times New Roman"/>
      <w:sz w:val="18"/>
      <w:szCs w:val="18"/>
    </w:rPr>
  </w:style>
  <w:style w:type="character" w:styleId="1145" w:customStyle="1">
    <w:name w:val="标题 2 Char_0"/>
    <w:link w:val="1146"/>
    <w:uiPriority w:val="0"/>
    <w:qFormat/>
    <w:rPr>
      <w:rFonts w:ascii="Cambria" w:hAnsi="Cambria"/>
      <w:b/>
      <w:bCs/>
      <w:sz w:val="32"/>
      <w:szCs w:val="32"/>
    </w:rPr>
  </w:style>
  <w:style w:type="paragraph" w:styleId="1146" w:customStyle="1">
    <w:name w:val="标题 2_0"/>
    <w:basedOn w:val="1094"/>
    <w:next w:val="1094"/>
    <w:link w:val="1145"/>
    <w:uiPriority w:val="0"/>
    <w:unhideWhenUsed/>
    <w:qFormat/>
    <w:pPr>
      <w:keepLines/>
      <w:keepNext/>
      <w:spacing w:before="260" w:after="260" w:line="416" w:lineRule="auto"/>
      <w:outlineLvl w:val="1"/>
    </w:pPr>
    <w:rPr>
      <w:rFonts w:ascii="Cambria" w:hAnsi="Cambria"/>
      <w:b/>
      <w:bCs/>
      <w:sz w:val="32"/>
      <w:szCs w:val="32"/>
    </w:rPr>
  </w:style>
  <w:style w:type="character" w:styleId="1147" w:customStyle="1">
    <w:name w:val="日期 Char2"/>
    <w:link w:val="813"/>
    <w:uiPriority w:val="99"/>
    <w:semiHidden/>
    <w:qFormat/>
    <w:rPr>
      <w:rFonts w:ascii="Calibri" w:hAnsi="Calibri" w:eastAsia="宋体" w:cs="Times New Roman"/>
    </w:rPr>
  </w:style>
  <w:style w:type="character" w:styleId="1148" w:customStyle="1">
    <w:name w:val="批注框文本 Char2"/>
    <w:link w:val="813"/>
    <w:uiPriority w:val="99"/>
    <w:semiHidden/>
    <w:qFormat/>
    <w:rPr>
      <w:rFonts w:ascii="Calibri" w:hAnsi="Calibri" w:eastAsia="宋体" w:cs="Times New Roman"/>
      <w:sz w:val="18"/>
      <w:szCs w:val="18"/>
    </w:rPr>
  </w:style>
  <w:style w:type="character" w:styleId="1149" w:customStyle="1">
    <w:name w:val="列出段落 Char"/>
    <w:link w:val="1150"/>
    <w:uiPriority w:val="99"/>
    <w:qFormat/>
    <w:rPr>
      <w:sz w:val="21"/>
      <w:szCs w:val="24"/>
    </w:rPr>
  </w:style>
  <w:style w:type="paragraph" w:styleId="1150" w:customStyle="1">
    <w:name w:val="List Paragraph1"/>
    <w:basedOn w:val="813"/>
    <w:link w:val="1149"/>
    <w:uiPriority w:val="99"/>
    <w:qFormat/>
    <w:pPr>
      <w:ind w:firstLine="420"/>
    </w:pPr>
  </w:style>
  <w:style w:type="paragraph" w:styleId="1151" w:customStyle="1">
    <w:name w:val="样式 标题 3 + (中文) 黑体 小四 非加粗 段前: 7.8 磅 段后: 0 磅 行距: 固定值 20 磅"/>
    <w:basedOn w:val="816"/>
    <w:next w:val="813"/>
    <w:uiPriority w:val="0"/>
    <w:qFormat/>
    <w:pPr>
      <w:spacing w:before="0" w:after="0" w:line="400" w:lineRule="exact"/>
    </w:pPr>
    <w:rPr>
      <w:rFonts w:eastAsia="黑体" w:cs="宋体"/>
      <w:b w:val="0"/>
      <w:bCs w:val="0"/>
      <w:sz w:val="24"/>
      <w:szCs w:val="20"/>
    </w:rPr>
  </w:style>
  <w:style w:type="paragraph" w:styleId="1152" w:customStyle="1">
    <w:name w:val="_Style 34"/>
    <w:next w:val="813"/>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4" w:customStyle="1">
    <w:name w:val="_Style 36"/>
    <w:next w:val="813"/>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空半行"/>
    <w:basedOn w:val="813"/>
    <w:uiPriority w:val="0"/>
    <w:qFormat/>
    <w:pPr>
      <w:spacing w:line="120" w:lineRule="exact"/>
    </w:pPr>
    <w:rPr>
      <w:rFonts w:ascii="Calibri" w:hAnsi="Calibri" w:eastAsia="仿宋_GB2312"/>
      <w:color w:val="ffffff"/>
      <w:sz w:val="30"/>
      <w:szCs w:val="22"/>
    </w:rPr>
  </w:style>
  <w:style w:type="paragraph" w:styleId="1156" w:customStyle="1">
    <w:name w:val="1方案格式1"/>
    <w:basedOn w:val="814"/>
    <w:uiPriority w:val="0"/>
    <w:qFormat/>
    <w:pPr>
      <w:numPr>
        <w:numId w:val="4"/>
      </w:numPr>
      <w:ind w:left="0" w:firstLine="0"/>
      <w:spacing w:line="360" w:lineRule="auto"/>
      <w:tabs>
        <w:tab w:val="left" w:pos="360" w:leader="none"/>
      </w:tabs>
    </w:pPr>
    <w:rPr>
      <w:rFonts w:eastAsia="微软雅黑"/>
      <w:bCs w:val="0"/>
      <w:sz w:val="48"/>
    </w:rPr>
  </w:style>
  <w:style w:type="paragraph" w:styleId="1157" w:customStyle="1">
    <w:name w:val="格式３"/>
    <w:basedOn w:val="813"/>
    <w:uiPriority w:val="0"/>
    <w:qFormat/>
    <w:pPr>
      <w:ind w:left="600" w:hanging="600"/>
      <w:spacing w:line="420" w:lineRule="exact"/>
    </w:pPr>
    <w:rPr>
      <w:rFonts w:ascii="宋体" w:hAnsi="宋体"/>
      <w:color w:val="000000"/>
      <w:sz w:val="24"/>
      <w:szCs w:val="20"/>
    </w:rPr>
  </w:style>
  <w:style w:type="paragraph" w:styleId="1158" w:customStyle="1">
    <w:name w:val="正文1"/>
    <w:uiPriority w:val="0"/>
    <w:qFormat/>
    <w:pPr>
      <w:jc w:val="both"/>
      <w:widowControl w:val="off"/>
    </w:pPr>
    <w:rPr>
      <w:rFonts w:hint="default" w:ascii="Calibri" w:hAnsi="Calibri" w:eastAsia="宋体" w:cs="Times New Roman"/>
      <w:lang w:val="en-US" w:eastAsia="zh-CN" w:bidi="ar-SA"/>
    </w:rPr>
  </w:style>
  <w:style w:type="paragraph" w:styleId="1159" w:customStyle="1">
    <w:name w:val="列出段落1"/>
    <w:basedOn w:val="813"/>
    <w:uiPriority w:val="99"/>
    <w:qFormat/>
    <w:pPr>
      <w:contextualSpacing/>
      <w:ind w:left="720"/>
      <w:jc w:val="left"/>
      <w:widowControl/>
    </w:pPr>
    <w:rPr>
      <w:rFonts w:ascii="Arial" w:hAnsi="Arial" w:eastAsia="黑体"/>
      <w:sz w:val="24"/>
      <w:lang w:eastAsia="en-US"/>
    </w:rPr>
  </w:style>
  <w:style w:type="paragraph" w:styleId="1160" w:customStyle="1">
    <w:name w:val="正文空2字"/>
    <w:basedOn w:val="813"/>
    <w:uiPriority w:val="0"/>
    <w:qFormat/>
    <w:pPr>
      <w:ind w:firstLine="200"/>
      <w:spacing w:line="360" w:lineRule="auto"/>
    </w:pPr>
    <w:rPr>
      <w:sz w:val="24"/>
      <w:lang w:bidi="en-US"/>
    </w:rPr>
  </w:style>
  <w:style w:type="paragraph" w:styleId="116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62" w:customStyle="1">
    <w:name w:val="目录 5_0"/>
    <w:basedOn w:val="1094"/>
    <w:next w:val="1094"/>
    <w:uiPriority w:val="39"/>
    <w:qFormat/>
    <w:pPr>
      <w:ind w:left="1680"/>
    </w:pPr>
    <w:rPr>
      <w:rFonts w:ascii="Calibri" w:hAnsi="Calibri"/>
    </w:rPr>
  </w:style>
  <w:style w:type="paragraph" w:styleId="1163" w:customStyle="1">
    <w:name w:val="修订1"/>
    <w:uiPriority w:val="0"/>
    <w:qFormat/>
    <w:rPr>
      <w:rFonts w:hint="default" w:ascii="Times New Roman" w:hAnsi="Times New Roman" w:eastAsia="宋体" w:cs="Times New Roman"/>
      <w:sz w:val="21"/>
      <w:szCs w:val="24"/>
      <w:lang w:val="en-US" w:eastAsia="zh-CN" w:bidi="ar-SA"/>
    </w:rPr>
  </w:style>
  <w:style w:type="paragraph" w:styleId="1164" w:customStyle="1">
    <w:name w:val="标题 11"/>
    <w:basedOn w:val="1158"/>
    <w:next w:val="115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5" w:customStyle="1">
    <w:name w:val="正文 + 行距: 固定值 20 磅"/>
    <w:basedOn w:val="813"/>
    <w:uiPriority w:val="0"/>
    <w:qFormat/>
    <w:pPr>
      <w:ind w:firstLine="716"/>
      <w:spacing w:line="400" w:lineRule="exact"/>
    </w:pPr>
    <w:rPr>
      <w:rFonts w:ascii="Calibri" w:hAnsi="Calibri"/>
      <w:szCs w:val="22"/>
    </w:rPr>
  </w:style>
  <w:style w:type="paragraph" w:styleId="1166" w:customStyle="1">
    <w:name w:val="TOC 标题1"/>
    <w:basedOn w:val="814"/>
    <w:next w:val="813"/>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67" w:customStyle="1">
    <w:name w:val="表格文字"/>
    <w:basedOn w:val="813"/>
    <w:link w:val="1168"/>
    <w:uiPriority w:val="0"/>
    <w:qFormat/>
    <w:pPr>
      <w:jc w:val="left"/>
      <w:spacing w:line="420" w:lineRule="atLeast"/>
    </w:pPr>
    <w:rPr>
      <w:rFonts w:ascii="Calibri" w:hAnsi="Calibri"/>
      <w:szCs w:val="22"/>
    </w:rPr>
  </w:style>
  <w:style w:type="character" w:styleId="1168" w:customStyle="1">
    <w:name w:val="表格文字 字符"/>
    <w:link w:val="1167"/>
    <w:uiPriority w:val="0"/>
    <w:qFormat/>
    <w:rPr>
      <w:rFonts w:ascii="Calibri" w:hAnsi="Calibri" w:eastAsia="宋体" w:cs="Times New Roman"/>
      <w:sz w:val="21"/>
      <w:szCs w:val="22"/>
    </w:rPr>
  </w:style>
  <w:style w:type="paragraph" w:styleId="1169" w:customStyle="1">
    <w:name w:val="flNote"/>
    <w:basedOn w:val="813"/>
    <w:uiPriority w:val="0"/>
    <w:qFormat/>
    <w:pPr>
      <w:jc w:val="center"/>
      <w:spacing w:before="320" w:after="160" w:line="360" w:lineRule="atLeast"/>
    </w:pPr>
    <w:rPr>
      <w:rFonts w:ascii="Arial" w:hAnsi="Calibri" w:eastAsia="黑体"/>
      <w:sz w:val="30"/>
      <w:szCs w:val="22"/>
    </w:rPr>
  </w:style>
  <w:style w:type="paragraph" w:styleId="1170" w:customStyle="1">
    <w:name w:val="文章正文"/>
    <w:basedOn w:val="813"/>
    <w:uiPriority w:val="99"/>
    <w:qFormat/>
    <w:pPr>
      <w:ind w:firstLine="480"/>
      <w:spacing w:line="360" w:lineRule="auto"/>
    </w:pPr>
    <w:rPr>
      <w:rFonts w:ascii="仿宋_GB2312" w:hAnsi="宋体" w:eastAsia="仿宋_GB2312"/>
      <w:color w:val="ff0000"/>
      <w:sz w:val="24"/>
    </w:rPr>
  </w:style>
  <w:style w:type="paragraph" w:styleId="1171" w:customStyle="1">
    <w:name w:val="表格"/>
    <w:basedOn w:val="813"/>
    <w:uiPriority w:val="0"/>
    <w:qFormat/>
    <w:pPr>
      <w:jc w:val="center"/>
    </w:pPr>
    <w:rPr>
      <w:rFonts w:ascii="华文细黑" w:hAnsi="华文细黑"/>
      <w:szCs w:val="22"/>
    </w:rPr>
  </w:style>
  <w:style w:type="paragraph" w:styleId="1172" w:customStyle="1">
    <w:name w:val="Char"/>
    <w:basedOn w:val="813"/>
    <w:uiPriority w:val="0"/>
    <w:qFormat/>
    <w:pPr>
      <w:jc w:val="left"/>
      <w:spacing w:after="160" w:line="240" w:lineRule="exact"/>
      <w:widowControl/>
    </w:pPr>
    <w:rPr>
      <w:rFonts w:ascii="Verdana" w:hAnsi="Verdana"/>
      <w:sz w:val="20"/>
      <w:szCs w:val="20"/>
      <w:lang w:eastAsia="en-US"/>
    </w:rPr>
  </w:style>
  <w:style w:type="paragraph" w:styleId="1173" w:customStyle="1">
    <w:name w:val="列出段落2"/>
    <w:basedOn w:val="813"/>
    <w:uiPriority w:val="99"/>
    <w:qFormat/>
    <w:pPr>
      <w:ind w:firstLine="420"/>
    </w:pPr>
  </w:style>
  <w:style w:type="paragraph" w:styleId="1174" w:customStyle="1">
    <w:name w:val="6'"/>
    <w:basedOn w:val="813"/>
    <w:uiPriority w:val="0"/>
    <w:qFormat/>
    <w:pPr>
      <w:jc w:val="center"/>
      <w:spacing w:line="320" w:lineRule="exact"/>
    </w:pPr>
    <w:rPr>
      <w:rFonts w:ascii="Calibri" w:hAnsi="Calibri"/>
      <w:spacing w:val="20"/>
      <w:szCs w:val="22"/>
    </w:rPr>
  </w:style>
  <w:style w:type="paragraph" w:styleId="1175" w:customStyle="1">
    <w:name w:val="Char Char Char Char Char Char Char"/>
    <w:basedOn w:val="813"/>
    <w:uiPriority w:val="0"/>
    <w:qFormat/>
    <w:pPr>
      <w:spacing w:line="360" w:lineRule="auto"/>
    </w:pPr>
    <w:rPr>
      <w:sz w:val="24"/>
      <w:szCs w:val="20"/>
    </w:rPr>
  </w:style>
  <w:style w:type="paragraph" w:styleId="1176" w:customStyle="1">
    <w:name w:val="2方案格式2"/>
    <w:basedOn w:val="1156"/>
    <w:uiPriority w:val="0"/>
    <w:qFormat/>
    <w:pPr>
      <w:numPr>
        <w:ilvl w:val="1"/>
      </w:numPr>
      <w:spacing w:before="50" w:after="50" w:line="240" w:lineRule="auto"/>
      <w:outlineLvl w:val="1"/>
    </w:pPr>
    <w:rPr>
      <w:sz w:val="44"/>
    </w:rPr>
  </w:style>
  <w:style w:type="paragraph" w:styleId="117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文档正文"/>
    <w:basedOn w:val="813"/>
    <w:uiPriority w:val="0"/>
    <w:qFormat/>
    <w:pPr>
      <w:ind w:firstLine="567"/>
      <w:spacing w:line="480" w:lineRule="atLeast"/>
    </w:pPr>
    <w:rPr>
      <w:rFonts w:ascii="Ari" w:eastAsia="Ari"/>
      <w:sz w:val="28"/>
      <w:szCs w:val="20"/>
    </w:rPr>
  </w:style>
  <w:style w:type="paragraph" w:styleId="1179" w:customStyle="1">
    <w:name w:val="txt"/>
    <w:basedOn w:val="813"/>
    <w:uiPriority w:val="0"/>
    <w:qFormat/>
    <w:pPr>
      <w:jc w:val="left"/>
      <w:spacing w:before="100" w:beforeAutospacing="1" w:after="100" w:afterAutospacing="1"/>
      <w:widowControl/>
    </w:pPr>
    <w:rPr>
      <w:rFonts w:ascii="宋体" w:hAnsi="宋体" w:cs="宋体"/>
      <w:sz w:val="24"/>
    </w:rPr>
  </w:style>
  <w:style w:type="paragraph" w:styleId="1180" w:customStyle="1">
    <w:name w:val="目录 4_0"/>
    <w:basedOn w:val="1094"/>
    <w:next w:val="1094"/>
    <w:uiPriority w:val="39"/>
    <w:qFormat/>
    <w:pPr>
      <w:ind w:left="1260"/>
    </w:pPr>
    <w:rPr>
      <w:rFonts w:ascii="Calibri" w:hAnsi="Calibri"/>
    </w:rPr>
  </w:style>
  <w:style w:type="paragraph" w:styleId="1181" w:customStyle="1">
    <w:name w:val="目录 3_0"/>
    <w:basedOn w:val="1094"/>
    <w:next w:val="1094"/>
    <w:uiPriority w:val="39"/>
    <w:qFormat/>
    <w:pPr>
      <w:ind w:left="840"/>
    </w:pPr>
    <w:rPr>
      <w:rFonts w:ascii="Calibri" w:hAnsi="Calibri"/>
    </w:rPr>
  </w:style>
  <w:style w:type="paragraph" w:styleId="1182" w:customStyle="1">
    <w:name w:val="样式 标题 1 + 黑体 三号 非加粗 居中 段前: 6 磅 段后: 6 磅 行距: 固定值 20 磅"/>
    <w:basedOn w:val="814"/>
    <w:uiPriority w:val="0"/>
    <w:qFormat/>
    <w:pPr>
      <w:numPr>
        <w:ilvl w:val="0"/>
        <w:numId w:val="0"/>
      </w:numPr>
      <w:spacing w:before="120" w:after="120" w:line="400" w:lineRule="exact"/>
    </w:pPr>
    <w:rPr>
      <w:rFonts w:ascii="黑体" w:hAnsi="黑体" w:eastAsia="黑体"/>
      <w:b w:val="0"/>
      <w:bCs w:val="0"/>
      <w:szCs w:val="20"/>
    </w:rPr>
  </w:style>
  <w:style w:type="paragraph" w:styleId="1183" w:customStyle="1">
    <w:name w:val="1"/>
    <w:basedOn w:val="813"/>
    <w:next w:val="813"/>
    <w:uiPriority w:val="0"/>
    <w:qFormat/>
    <w:rPr>
      <w:rFonts w:ascii="Calibri" w:hAnsi="Calibri"/>
      <w:szCs w:val="22"/>
    </w:rPr>
  </w:style>
  <w:style w:type="paragraph" w:styleId="1184" w:customStyle="1">
    <w:name w:val="Blockquote_0"/>
    <w:basedOn w:val="1094"/>
    <w:uiPriority w:val="0"/>
    <w:qFormat/>
    <w:pPr>
      <w:ind w:left="360" w:right="360"/>
      <w:jc w:val="left"/>
      <w:spacing w:before="100" w:after="100"/>
    </w:pPr>
    <w:rPr>
      <w:rFonts w:ascii="Calibri" w:hAnsi="Calibri" w:eastAsia="Times New Roman"/>
      <w:sz w:val="24"/>
      <w:szCs w:val="20"/>
    </w:rPr>
  </w:style>
  <w:style w:type="paragraph" w:styleId="1185" w:customStyle="1">
    <w:name w:val="列出段落11"/>
    <w:basedOn w:val="813"/>
    <w:uiPriority w:val="0"/>
    <w:qFormat/>
    <w:pPr>
      <w:contextualSpacing/>
      <w:ind w:left="720"/>
      <w:jc w:val="left"/>
      <w:widowControl/>
    </w:pPr>
    <w:rPr>
      <w:rFonts w:ascii="Arial" w:hAnsi="Arial" w:eastAsia="黑体"/>
      <w:sz w:val="24"/>
      <w:lang w:eastAsia="en-US"/>
    </w:rPr>
  </w:style>
  <w:style w:type="paragraph" w:styleId="1186" w:customStyle="1">
    <w:name w:val="样式 标题 2 + Times New Roman 四号 非加粗 段前: 5 磅 段后: 0 磅 行距: 固定值 20..._0"/>
    <w:basedOn w:val="813"/>
    <w:uiPriority w:val="0"/>
    <w:qFormat/>
    <w:pPr>
      <w:keepLines/>
      <w:keepNext/>
      <w:spacing w:before="100" w:line="360" w:lineRule="auto"/>
      <w:outlineLvl w:val="1"/>
    </w:pPr>
    <w:rPr>
      <w:rFonts w:eastAsia="Times New Roman" w:cs="宋体"/>
      <w:sz w:val="28"/>
      <w:szCs w:val="20"/>
    </w:rPr>
  </w:style>
  <w:style w:type="paragraph" w:styleId="1187" w:customStyle="1">
    <w:name w:val="op_mapdots_left"/>
    <w:basedOn w:val="813"/>
    <w:uiPriority w:val="0"/>
    <w:qFormat/>
    <w:pPr>
      <w:jc w:val="left"/>
      <w:spacing w:before="100" w:beforeAutospacing="1" w:after="100" w:afterAutospacing="1"/>
      <w:widowControl/>
    </w:pPr>
    <w:rPr>
      <w:rFonts w:ascii="宋体" w:hAnsi="宋体" w:cs="宋体"/>
      <w:sz w:val="24"/>
    </w:rPr>
  </w:style>
  <w:style w:type="paragraph" w:styleId="1188" w:customStyle="1">
    <w:name w:val="p0"/>
    <w:basedOn w:val="813"/>
    <w:uiPriority w:val="0"/>
    <w:qFormat/>
    <w:pPr>
      <w:widowControl/>
    </w:pPr>
    <w:rPr>
      <w:b/>
      <w:bCs/>
      <w:sz w:val="24"/>
    </w:rPr>
  </w:style>
  <w:style w:type="paragraph" w:styleId="1189" w:customStyle="1">
    <w:name w:val="Blockquote"/>
    <w:basedOn w:val="813"/>
    <w:uiPriority w:val="0"/>
    <w:qFormat/>
    <w:pPr>
      <w:ind w:left="360" w:right="360"/>
      <w:jc w:val="left"/>
      <w:spacing w:before="100" w:after="100"/>
    </w:pPr>
    <w:rPr>
      <w:rFonts w:ascii="Calibri" w:hAnsi="Calibri"/>
      <w:sz w:val="24"/>
      <w:szCs w:val="22"/>
    </w:rPr>
  </w:style>
  <w:style w:type="paragraph" w:styleId="1190" w:customStyle="1">
    <w:name w:val="3方案格式3"/>
    <w:basedOn w:val="1176"/>
    <w:uiPriority w:val="0"/>
    <w:qFormat/>
    <w:pPr>
      <w:numPr>
        <w:ilvl w:val="2"/>
      </w:numPr>
      <w:outlineLvl w:val="2"/>
    </w:pPr>
    <w:rPr>
      <w:sz w:val="32"/>
    </w:rPr>
  </w:style>
  <w:style w:type="paragraph" w:styleId="1191" w:customStyle="1">
    <w:name w:val="样式 标题 2 + Times New Roman 四号 非加粗 段前: 5 磅 段后: 0 磅 行距: 固定值 20..."/>
    <w:basedOn w:val="81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2" w:customStyle="1">
    <w:name w:val="标题2"/>
    <w:basedOn w:val="815"/>
    <w:next w:val="852"/>
    <w:uiPriority w:val="0"/>
    <w:qFormat/>
    <w:pPr>
      <w:spacing w:before="156" w:after="156" w:line="360" w:lineRule="auto"/>
    </w:pPr>
    <w:rPr>
      <w:bCs w:val="0"/>
      <w:sz w:val="24"/>
    </w:rPr>
  </w:style>
  <w:style w:type="paragraph" w:styleId="1193" w:customStyle="1">
    <w:name w:val="普通正文"/>
    <w:basedOn w:val="813"/>
    <w:uiPriority w:val="0"/>
    <w:qFormat/>
    <w:pPr>
      <w:ind w:firstLine="480"/>
      <w:jc w:val="left"/>
      <w:spacing w:before="120" w:after="120" w:line="360" w:lineRule="auto"/>
    </w:pPr>
    <w:rPr>
      <w:rFonts w:ascii="Arial" w:hAnsi="Arial"/>
      <w:sz w:val="24"/>
    </w:rPr>
  </w:style>
  <w:style w:type="paragraph" w:styleId="1194" w:customStyle="1">
    <w:name w:val="正文11"/>
    <w:uiPriority w:val="0"/>
    <w:qFormat/>
    <w:rPr>
      <w:rFonts w:hint="default" w:ascii="Calibri" w:hAnsi="Calibri" w:eastAsia="宋体" w:cs="Calibri"/>
      <w:sz w:val="24"/>
      <w:szCs w:val="24"/>
      <w:lang w:val="en-US" w:eastAsia="zh-CN" w:bidi="ar-SA"/>
    </w:rPr>
  </w:style>
  <w:style w:type="paragraph" w:styleId="1195" w:customStyle="1">
    <w:name w:val="正文2"/>
    <w:uiPriority w:val="0"/>
    <w:qFormat/>
    <w:rPr>
      <w:rFonts w:hint="default" w:ascii="Times New Roman" w:hAnsi="Times New Roman" w:eastAsia="微软雅黑" w:cs="Times New Roman"/>
      <w:sz w:val="24"/>
      <w:szCs w:val="24"/>
      <w:lang w:val="en-US" w:eastAsia="zh-CN" w:bidi="ar-SA"/>
    </w:rPr>
  </w:style>
  <w:style w:type="paragraph" w:styleId="1196" w:customStyle="1">
    <w:name w:val="列出段落3"/>
    <w:basedOn w:val="813"/>
    <w:uiPriority w:val="0"/>
    <w:qFormat/>
    <w:pPr>
      <w:ind w:firstLine="420"/>
      <w:jc w:val="left"/>
      <w:spacing w:after="200"/>
      <w:widowControl/>
    </w:pPr>
    <w:rPr>
      <w:rFonts w:ascii="Tahoma" w:hAnsi="Tahoma" w:eastAsia="微软雅黑"/>
      <w:sz w:val="22"/>
      <w:szCs w:val="22"/>
    </w:rPr>
  </w:style>
  <w:style w:type="paragraph" w:styleId="1197" w:customStyle="1">
    <w:name w:val="纯文本2"/>
    <w:basedOn w:val="813"/>
    <w:uiPriority w:val="0"/>
    <w:qFormat/>
    <w:pPr>
      <w:jc w:val="left"/>
    </w:pPr>
    <w:rPr>
      <w:rFonts w:hint="eastAsia" w:ascii="宋体" w:hAnsi="宋体" w:cs="Courier New"/>
      <w:sz w:val="24"/>
      <w:szCs w:val="20"/>
      <w:lang w:bidi="hi-IN"/>
    </w:rPr>
  </w:style>
  <w:style w:type="paragraph" w:styleId="1198" w:customStyle="1">
    <w:name w:val="trs_editor"/>
    <w:basedOn w:val="813"/>
    <w:uiPriority w:val="0"/>
    <w:qFormat/>
    <w:pPr>
      <w:jc w:val="left"/>
      <w:spacing w:before="100" w:beforeAutospacing="1" w:after="100" w:afterAutospacing="1"/>
      <w:widowControl/>
    </w:pPr>
    <w:rPr>
      <w:rFonts w:ascii="宋体" w:hAnsi="宋体" w:cs="宋体"/>
      <w:sz w:val="24"/>
    </w:rPr>
  </w:style>
  <w:style w:type="paragraph" w:styleId="1199" w:customStyle="1">
    <w:name w:val="正文缩进11"/>
    <w:basedOn w:val="813"/>
    <w:uiPriority w:val="99"/>
    <w:qFormat/>
    <w:pPr>
      <w:ind w:firstLine="420"/>
    </w:pPr>
    <w:rPr>
      <w:sz w:val="20"/>
      <w:szCs w:val="20"/>
    </w:rPr>
  </w:style>
  <w:style w:type="paragraph" w:styleId="1200" w:customStyle="1">
    <w:name w:val="标题 21"/>
    <w:basedOn w:val="813"/>
    <w:next w:val="813"/>
    <w:uiPriority w:val="8"/>
    <w:qFormat/>
    <w:pPr>
      <w:outlineLvl w:val="1"/>
    </w:pPr>
  </w:style>
  <w:style w:type="paragraph" w:styleId="1201" w:customStyle="1">
    <w:name w:val="仿宋GBK正文"/>
    <w:basedOn w:val="813"/>
    <w:uiPriority w:val="0"/>
    <w:qFormat/>
    <w:pPr>
      <w:spacing w:line="520" w:lineRule="exact"/>
    </w:pPr>
  </w:style>
  <w:style w:type="paragraph" w:styleId="1202" w:customStyle="1">
    <w:name w:val="1.1.1.1"/>
    <w:uiPriority w:val="0"/>
    <w:qFormat/>
    <w:pPr>
      <w:ind w:firstLine="200"/>
      <w:keepLines/>
      <w:spacing w:line="520" w:lineRule="exact"/>
      <w:outlineLvl w:val="3"/>
    </w:pPr>
    <w:rPr>
      <w:rFonts w:hint="default" w:ascii="Times New Roman" w:hAnsi="Times New Roman" w:eastAsia="方正仿宋_GBK" w:cs="Times New Roman"/>
      <w:b/>
      <w:sz w:val="24"/>
      <w:szCs w:val="22"/>
      <w:lang w:val="en-US" w:eastAsia="zh-CN" w:bidi="ar-SA"/>
    </w:rPr>
  </w:style>
  <w:style w:type="paragraph" w:styleId="1203" w:customStyle="1">
    <w:name w:val="p1"/>
    <w:basedOn w:val="813"/>
    <w:uiPriority w:val="0"/>
    <w:qFormat/>
    <w:pPr>
      <w:jc w:val="left"/>
    </w:pPr>
    <w:rPr>
      <w:rFonts w:ascii="Helvetica" w:hAnsi="Helvetica" w:eastAsia="Helvetica"/>
      <w:sz w:val="24"/>
    </w:rPr>
  </w:style>
  <w:style w:type="paragraph" w:styleId="1204"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character" w:styleId="1205" w:customStyle="1">
    <w:name w:val="font91"/>
    <w:link w:val="813"/>
    <w:uiPriority w:val="0"/>
    <w:qFormat/>
    <w:rPr>
      <w:rFonts w:hint="eastAsia" w:ascii="宋体" w:hAnsi="宋体" w:eastAsia="宋体" w:cs="宋体"/>
      <w:b/>
      <w:color w:val="000000"/>
      <w:sz w:val="18"/>
      <w:szCs w:val="18"/>
      <w:u w:val="none"/>
    </w:rPr>
  </w:style>
  <w:style w:type="character" w:styleId="1206" w:customStyle="1">
    <w:name w:val="font41"/>
    <w:link w:val="813"/>
    <w:uiPriority w:val="0"/>
    <w:qFormat/>
    <w:rPr>
      <w:rFonts w:hint="eastAsia" w:ascii="宋体" w:hAnsi="宋体" w:eastAsia="宋体" w:cs="宋体"/>
      <w:color w:val="70ad47"/>
      <w:sz w:val="18"/>
      <w:szCs w:val="18"/>
      <w:u w:val="none"/>
    </w:rPr>
  </w:style>
  <w:style w:type="character" w:styleId="1207" w:customStyle="1">
    <w:name w:val="font81"/>
    <w:link w:val="813"/>
    <w:uiPriority w:val="0"/>
    <w:qFormat/>
    <w:rPr>
      <w:rFonts w:ascii="Times New Roman" w:hAnsi="Times New Roman" w:cs="Times New Roman"/>
      <w:color w:val="000000"/>
      <w:sz w:val="18"/>
      <w:szCs w:val="18"/>
      <w:u w:val="none"/>
    </w:rPr>
  </w:style>
  <w:style w:type="character" w:styleId="1208" w:customStyle="1">
    <w:name w:val="font61"/>
    <w:link w:val="813"/>
    <w:uiPriority w:val="0"/>
    <w:qFormat/>
    <w:rPr>
      <w:rFonts w:hint="eastAsia" w:ascii="等线" w:hAnsi="等线" w:eastAsia="等线" w:cs="等线"/>
      <w:color w:val="000000"/>
      <w:sz w:val="22"/>
      <w:szCs w:val="22"/>
      <w:u w:val="none"/>
    </w:rPr>
  </w:style>
  <w:style w:type="character" w:styleId="1209" w:customStyle="1">
    <w:name w:val="font51"/>
    <w:link w:val="813"/>
    <w:uiPriority w:val="0"/>
    <w:qFormat/>
    <w:rPr>
      <w:rFonts w:ascii="方正仿宋_GBK" w:hAnsi="方正仿宋_GBK" w:eastAsia="方正仿宋_GBK" w:cs="方正仿宋_GBK"/>
      <w:color w:val="000000"/>
      <w:sz w:val="28"/>
      <w:szCs w:val="28"/>
      <w:u w:val="none"/>
    </w:rPr>
  </w:style>
  <w:style w:type="character" w:styleId="1210" w:customStyle="1">
    <w:name w:val="font01"/>
    <w:link w:val="813"/>
    <w:uiPriority w:val="0"/>
    <w:qFormat/>
    <w:rPr>
      <w:rFonts w:hint="eastAsia" w:ascii="宋体" w:hAnsi="宋体" w:eastAsia="宋体" w:cs="宋体"/>
      <w:color w:val="000000"/>
      <w:sz w:val="20"/>
      <w:szCs w:val="20"/>
      <w:u w:val="none"/>
    </w:rPr>
  </w:style>
  <w:style w:type="character" w:styleId="1211" w:customStyle="1">
    <w:name w:val="font71"/>
    <w:link w:val="813"/>
    <w:uiPriority w:val="0"/>
    <w:qFormat/>
    <w:rPr>
      <w:rFonts w:hint="eastAsia" w:ascii="方正仿宋_GBK" w:hAnsi="方正仿宋_GBK" w:eastAsia="方正仿宋_GBK" w:cs="方正仿宋_GBK"/>
      <w:b/>
      <w:color w:val="000000"/>
      <w:sz w:val="28"/>
      <w:szCs w:val="28"/>
      <w:u w:val="none"/>
    </w:rPr>
  </w:style>
  <w:style w:type="character" w:styleId="1212" w:customStyle="1">
    <w:name w:val="font121"/>
    <w:link w:val="813"/>
    <w:uiPriority w:val="0"/>
    <w:qFormat/>
    <w:rPr>
      <w:rFonts w:hint="eastAsia" w:ascii="宋体" w:hAnsi="宋体" w:eastAsia="宋体" w:cs="宋体"/>
      <w:color w:val="000000"/>
      <w:sz w:val="18"/>
      <w:szCs w:val="18"/>
      <w:u w:val="none"/>
    </w:rPr>
  </w:style>
  <w:style w:type="character" w:styleId="1213" w:customStyle="1">
    <w:name w:val="font131"/>
    <w:link w:val="813"/>
    <w:uiPriority w:val="0"/>
    <w:qFormat/>
    <w:rPr>
      <w:rFonts w:hint="eastAsia" w:ascii="宋体" w:hAnsi="宋体" w:eastAsia="宋体" w:cs="宋体"/>
      <w:color w:val="000000"/>
      <w:sz w:val="18"/>
      <w:szCs w:val="18"/>
      <w:u w:val="none"/>
    </w:rPr>
  </w:style>
  <w:style w:type="character" w:styleId="1214" w:customStyle="1">
    <w:name w:val="font101"/>
    <w:link w:val="813"/>
    <w:uiPriority w:val="0"/>
    <w:qFormat/>
    <w:rPr>
      <w:rFonts w:hint="eastAsia" w:ascii="宋体" w:hAnsi="宋体" w:eastAsia="宋体" w:cs="宋体"/>
      <w:color w:val="ff0000"/>
      <w:sz w:val="18"/>
      <w:szCs w:val="18"/>
      <w:u w:val="none"/>
    </w:rPr>
  </w:style>
  <w:style w:type="paragraph" w:styleId="1215" w:customStyle="1">
    <w:name w:val="段"/>
    <w:next w:val="813"/>
    <w:uiPriority w:val="0"/>
    <w:qFormat/>
    <w:pPr>
      <w:ind w:firstLine="200"/>
      <w:jc w:val="both"/>
    </w:pPr>
    <w:rPr>
      <w:rFonts w:hint="default" w:ascii="宋体" w:hAnsi="Times New Roman" w:eastAsia="宋体" w:cs="Times New Roman"/>
      <w:sz w:val="21"/>
      <w:szCs w:val="22"/>
      <w:lang w:val="en-US" w:eastAsia="zh-CN" w:bidi="ar-SA"/>
    </w:rPr>
  </w:style>
  <w:style w:type="paragraph" w:styleId="1216" w:customStyle="1">
    <w:name w:val="BodyText1I21"/>
    <w:basedOn w:val="1217"/>
    <w:uiPriority w:val="0"/>
    <w:semiHidden/>
    <w:qFormat/>
    <w:pPr>
      <w:ind w:firstLine="420"/>
    </w:pPr>
  </w:style>
  <w:style w:type="paragraph" w:styleId="1217" w:customStyle="1">
    <w:name w:val="BodyTextIndent1"/>
    <w:basedOn w:val="813"/>
    <w:uiPriority w:val="0"/>
    <w:semiHidden/>
    <w:qFormat/>
    <w:pPr>
      <w:ind w:left="420"/>
      <w:spacing w:after="120"/>
      <w:widowControl/>
    </w:pPr>
  </w:style>
  <w:style w:type="paragraph" w:styleId="1218" w:customStyle="1">
    <w:name w:val="!正文"/>
    <w:basedOn w:val="868"/>
    <w:uiPriority w:val="0"/>
    <w:qFormat/>
    <w:pPr>
      <w:ind w:firstLine="480"/>
      <w:spacing w:line="360" w:lineRule="auto"/>
    </w:pPr>
    <w:rPr>
      <w:rFonts w:ascii="Calibri" w:hAnsi="Calibri"/>
      <w:szCs w:val="24"/>
      <w:lang w:val="zh-CN"/>
    </w:rPr>
  </w:style>
  <w:style w:type="paragraph" w:styleId="1219" w:customStyle="1">
    <w:name w:val="表格内容"/>
    <w:uiPriority w:val="0"/>
    <w:qFormat/>
    <w:rPr>
      <w:rFonts w:hint="default" w:ascii="Times New Roman" w:hAnsi="Times New Roman" w:eastAsia="Arial" w:cs="Arial"/>
      <w:sz w:val="21"/>
      <w:szCs w:val="21"/>
      <w:lang w:val="en-US" w:eastAsia="zh-CN" w:bidi="ar-SA"/>
    </w:rPr>
  </w:style>
  <w:style w:type="paragraph" w:styleId="1220" w:customStyle="1">
    <w:name w:val="正文首行缩进 211"/>
    <w:basedOn w:val="1221"/>
    <w:next w:val="813"/>
    <w:uiPriority w:val="0"/>
    <w:qFormat/>
    <w:pPr>
      <w:ind w:left="0" w:firstLine="420"/>
      <w:spacing w:after="0" w:line="360" w:lineRule="auto"/>
    </w:pPr>
    <w:rPr>
      <w:rFonts w:ascii="宋体" w:hAnsi="宋体"/>
      <w:szCs w:val="20"/>
    </w:rPr>
  </w:style>
  <w:style w:type="paragraph" w:styleId="1221" w:customStyle="1">
    <w:name w:val="正文文本缩进111"/>
    <w:basedOn w:val="813"/>
    <w:next w:val="1222"/>
    <w:uiPriority w:val="0"/>
    <w:qFormat/>
    <w:pPr>
      <w:ind w:firstLine="645"/>
    </w:pPr>
    <w:rPr>
      <w:rFonts w:ascii="楷体_GB2312" w:eastAsia="楷体_GB2312"/>
      <w:sz w:val="32"/>
      <w:szCs w:val="32"/>
    </w:rPr>
  </w:style>
  <w:style w:type="paragraph" w:styleId="1222" w:customStyle="1">
    <w:name w:val="寄信人地址11"/>
    <w:basedOn w:val="813"/>
    <w:uiPriority w:val="0"/>
    <w:qFormat/>
    <w:rPr>
      <w:rFonts w:ascii="Arial" w:hAnsi="Arial" w:eastAsia="宋体" w:cs="宋体"/>
    </w:rPr>
  </w:style>
  <w:style w:type="paragraph" w:styleId="1223" w:customStyle="1">
    <w:name w:val="正文文本缩进11"/>
    <w:basedOn w:val="813"/>
    <w:next w:val="1220"/>
    <w:uiPriority w:val="0"/>
    <w:unhideWhenUsed/>
    <w:qFormat/>
    <w:pPr>
      <w:ind w:left="420"/>
      <w:spacing w:after="120"/>
    </w:pPr>
  </w:style>
  <w:style w:type="character" w:styleId="1224" w:customStyle="1">
    <w:name w:val="UserStyle_2"/>
    <w:link w:val="813"/>
    <w:uiPriority w:val="0"/>
    <w:qFormat/>
  </w:style>
  <w:style w:type="paragraph" w:styleId="1225" w:customStyle="1">
    <w:name w:val="首行缩进"/>
    <w:basedOn w:val="813"/>
    <w:uiPriority w:val="0"/>
    <w:qFormat/>
    <w:pPr>
      <w:ind w:firstLine="480"/>
      <w:jc w:val="left"/>
      <w:spacing w:line="360" w:lineRule="auto"/>
    </w:pPr>
    <w:rPr>
      <w:rFonts w:ascii="宋体" w:hAnsi="宋体"/>
      <w:sz w:val="24"/>
    </w:rPr>
  </w:style>
  <w:style w:type="paragraph" w:styleId="1226" w:customStyle="1">
    <w:name w:val="xl53"/>
    <w:basedOn w:val="813"/>
    <w:next w:val="813"/>
    <w:uiPriority w:val="0"/>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1227" w:customStyle="1">
    <w:name w:val="Table Paragraph"/>
    <w:basedOn w:val="813"/>
    <w:uiPriority w:val="1"/>
    <w:qFormat/>
    <w:pPr>
      <w:jc w:val="left"/>
    </w:pPr>
    <w:rPr>
      <w:sz w:val="24"/>
    </w:rPr>
  </w:style>
  <w:style w:type="paragraph" w:styleId="1228" w:customStyle="1">
    <w:name w:val="修订"/>
    <w:uiPriority w:val="99"/>
    <w:unhideWhenUsed/>
    <w:qFormat/>
    <w:rPr>
      <w:rFonts w:hint="default" w:ascii="Times New Roman" w:hAnsi="Times New Roman" w:eastAsia="宋体" w:cs="Times New Roman"/>
      <w:sz w:val="21"/>
      <w:szCs w:val="24"/>
      <w:lang w:val="en-US" w:eastAsia="zh-CN" w:bidi="ar-SA"/>
    </w:rPr>
  </w:style>
  <w:style w:type="table" w:styleId="1229" w:customStyle="1">
    <w:name w:val="Table Normal"/>
    <w:uiPriority w:val="0"/>
    <w:qFormat/>
    <w:rPr>
      <w:rFonts w:ascii="Times New Roman" w:hAnsi="Times New Roman" w:eastAsia="宋体" w:cs="Times New Roman"/>
    </w:rPr>
    <w:tblPr>
      <w:tblCellMar>
        <w:left w:w="0" w:type="dxa"/>
        <w:top w:w="0" w:type="dxa"/>
        <w:right w:w="0" w:type="dxa"/>
        <w:bottom w:w="0" w:type="dxa"/>
      </w:tblCellMar>
    </w:tblPr>
  </w:style>
  <w:style w:type="paragraph" w:styleId="1230" w:customStyle="1">
    <w:name w:val="标题 41"/>
    <w:basedOn w:val="813"/>
    <w:next w:val="868"/>
    <w:uiPriority w:val="0"/>
    <w:qFormat/>
    <w:pPr>
      <w:keepLines/>
      <w:keepNext/>
      <w:spacing w:before="280" w:after="290" w:line="376" w:lineRule="auto"/>
      <w:outlineLvl w:val="3"/>
    </w:pPr>
    <w:rPr>
      <w:rFonts w:ascii="Arial" w:hAnsi="Arial" w:eastAsia="黑体" w:cs="Arial"/>
      <w:b/>
      <w:bCs/>
      <w:sz w:val="28"/>
      <w:szCs w:val="28"/>
    </w:rPr>
  </w:style>
  <w:style w:type="character" w:styleId="1231" w:customStyle="1">
    <w:name w:val="style4"/>
    <w:uiPriority w:val="0"/>
    <w:qFormat/>
  </w:style>
  <w:style w:type="paragraph" w:styleId="1232" w:customStyle="1">
    <w:name w:val="正文文本12"/>
    <w:basedOn w:val="813"/>
    <w:uiPriority w:val="1"/>
    <w:qFormat/>
    <w:pPr>
      <w:ind w:left="120"/>
    </w:pPr>
    <w:rPr>
      <w:rFonts w:ascii="宋体" w:hAnsi="宋体" w:cs="宋体"/>
      <w:szCs w:val="21"/>
      <w:lang w:val="zh-CN" w:bidi="zh-CN"/>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陶佳</cp:lastModifiedBy>
  <cp:revision>5</cp:revision>
  <dcterms:created xsi:type="dcterms:W3CDTF">2026-03-23T06:21:00Z</dcterms:created>
  <dcterms:modified xsi:type="dcterms:W3CDTF">2026-09-04T09:37:17Z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eyJoZGlkIjoiZjAyYjY0ZTUzODFkYjAxYjU5YTk3M2YwOTMwNWJiM2MiLCJ1c2VySWQiOiIxNDYyMjcyMjY5In0=</vt:lpwstr>
  </property>
  <property fmtid="{D5CDD505-2E9C-101B-9397-08002B2CF9AE}" pid="3" name="KSOProductBuildVer">
    <vt:lpwstr>2052-12.1.0.28043</vt:lpwstr>
  </property>
  <property fmtid="{D5CDD505-2E9C-101B-9397-08002B2CF9AE}" pid="4" name="ICV">
    <vt:lpwstr>CA63F14018D142E486926214AE3E24E1_12</vt:lpwstr>
  </property>
</Properties>
</file>