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9F7CED">
      <w:pPr>
        <w:jc w:val="center"/>
        <w:rPr>
          <w:rFonts w:hint="eastAsia" w:ascii="宋体" w:hAnsi="宋体" w:cs="宋体"/>
          <w:b/>
          <w:bCs/>
          <w:color w:val="auto"/>
          <w:sz w:val="56"/>
          <w:szCs w:val="56"/>
          <w:highlight w:val="none"/>
        </w:rPr>
      </w:pPr>
      <w:r>
        <w:rPr>
          <w:rFonts w:hint="eastAsia" w:ascii="宋体" w:hAnsi="宋体" w:cs="宋体"/>
          <w:b/>
          <w:bCs/>
          <w:color w:val="auto"/>
          <w:sz w:val="56"/>
          <w:szCs w:val="56"/>
          <w:highlight w:val="none"/>
          <w:lang w:eastAsia="zh-CN"/>
        </w:rPr>
        <w:t>‌南京医科大学第二附属医院GE MR等设备维保服务采购项目</w:t>
      </w:r>
    </w:p>
    <w:p w14:paraId="2A14EBB1">
      <w:pPr>
        <w:jc w:val="center"/>
        <w:rPr>
          <w:rFonts w:hint="eastAsia" w:ascii="黑体" w:hAnsi="黑体" w:eastAsia="黑体" w:cs="黑体"/>
          <w:b/>
          <w:bCs/>
          <w:color w:val="auto"/>
          <w:sz w:val="48"/>
          <w:szCs w:val="48"/>
          <w:highlight w:val="none"/>
        </w:rPr>
      </w:pPr>
    </w:p>
    <w:p w14:paraId="39A0E8E2">
      <w:pPr>
        <w:jc w:val="center"/>
        <w:rPr>
          <w:rFonts w:ascii="华文琥珀" w:eastAsia="华文琥珀"/>
          <w:color w:val="auto"/>
          <w:sz w:val="36"/>
          <w:szCs w:val="36"/>
          <w:highlight w:val="none"/>
        </w:rPr>
      </w:pPr>
      <w:r>
        <w:rPr>
          <w:rFonts w:hint="eastAsia" w:ascii="黑体" w:hAnsi="黑体" w:eastAsia="黑体" w:cs="黑体"/>
          <w:b/>
          <w:bCs/>
          <w:color w:val="auto"/>
          <w:sz w:val="32"/>
          <w:szCs w:val="32"/>
          <w:highlight w:val="none"/>
        </w:rPr>
        <w:t>项目编号：JSZC-320000-JSHY-G2026-0175</w:t>
      </w:r>
    </w:p>
    <w:p w14:paraId="043FA34F">
      <w:pPr>
        <w:jc w:val="center"/>
        <w:rPr>
          <w:rFonts w:hint="eastAsia" w:ascii="宋体" w:hAnsi="宋体" w:cs="宋体"/>
          <w:color w:val="auto"/>
          <w:sz w:val="40"/>
          <w:szCs w:val="40"/>
          <w:highlight w:val="none"/>
        </w:rPr>
      </w:pPr>
      <w:r>
        <w:rPr>
          <w:rFonts w:hint="eastAsia" w:ascii="黑体" w:hAnsi="黑体" w:eastAsia="黑体" w:cs="黑体"/>
          <w:b/>
          <w:bCs/>
          <w:color w:val="auto"/>
          <w:sz w:val="32"/>
          <w:szCs w:val="32"/>
          <w:highlight w:val="none"/>
        </w:rPr>
        <w:t>招标代理编号：</w:t>
      </w:r>
      <w:r>
        <w:rPr>
          <w:rFonts w:hint="eastAsia" w:ascii="黑体" w:hAnsi="黑体" w:eastAsia="黑体" w:cs="黑体"/>
          <w:b/>
          <w:bCs/>
          <w:color w:val="auto"/>
          <w:sz w:val="32"/>
          <w:szCs w:val="32"/>
          <w:highlight w:val="none"/>
          <w:lang w:eastAsia="zh-CN"/>
        </w:rPr>
        <w:t>1009-2641HOLLY</w:t>
      </w:r>
      <w:r>
        <w:rPr>
          <w:rFonts w:hint="eastAsia" w:ascii="黑体" w:hAnsi="黑体" w:eastAsia="黑体" w:cs="黑体"/>
          <w:b/>
          <w:bCs/>
          <w:color w:val="auto"/>
          <w:sz w:val="32"/>
          <w:szCs w:val="32"/>
          <w:highlight w:val="none"/>
          <w:lang w:val="en-US" w:eastAsia="zh-CN"/>
        </w:rPr>
        <w:t>09E</w:t>
      </w:r>
      <w:r>
        <w:rPr>
          <w:rFonts w:hint="eastAsia" w:ascii="宋体" w:hAnsi="宋体" w:cs="宋体"/>
          <w:color w:val="auto"/>
          <w:sz w:val="40"/>
          <w:szCs w:val="40"/>
          <w:highlight w:val="none"/>
          <w:lang w:eastAsia="zh-CN"/>
        </w:rPr>
        <w:t xml:space="preserve"> </w:t>
      </w:r>
      <w:r>
        <w:rPr>
          <w:rFonts w:hint="eastAsia" w:ascii="宋体" w:hAnsi="宋体" w:cs="宋体"/>
          <w:color w:val="auto"/>
          <w:sz w:val="40"/>
          <w:szCs w:val="40"/>
          <w:highlight w:val="none"/>
        </w:rPr>
        <w:t xml:space="preserve"> </w:t>
      </w:r>
      <w:bookmarkStart w:id="191" w:name="_GoBack"/>
      <w:bookmarkEnd w:id="191"/>
    </w:p>
    <w:p w14:paraId="74E50E6A">
      <w:pPr>
        <w:jc w:val="center"/>
        <w:rPr>
          <w:rFonts w:ascii="方正大标宋简体" w:eastAsia="方正大标宋简体"/>
          <w:b/>
          <w:color w:val="auto"/>
          <w:sz w:val="18"/>
          <w:szCs w:val="18"/>
          <w:highlight w:val="none"/>
        </w:rPr>
      </w:pPr>
    </w:p>
    <w:p w14:paraId="3AA1D5CB">
      <w:pPr>
        <w:jc w:val="center"/>
        <w:rPr>
          <w:rFonts w:ascii="方正大标宋简体" w:eastAsia="方正大标宋简体"/>
          <w:b/>
          <w:color w:val="auto"/>
          <w:sz w:val="18"/>
          <w:szCs w:val="18"/>
          <w:highlight w:val="none"/>
        </w:rPr>
      </w:pPr>
    </w:p>
    <w:p w14:paraId="1C22ADE4">
      <w:pPr>
        <w:jc w:val="center"/>
        <w:rPr>
          <w:rFonts w:ascii="方正大标宋简体" w:eastAsia="方正大标宋简体"/>
          <w:b/>
          <w:color w:val="auto"/>
          <w:sz w:val="18"/>
          <w:szCs w:val="18"/>
          <w:highlight w:val="none"/>
        </w:rPr>
      </w:pPr>
    </w:p>
    <w:p w14:paraId="45212F54">
      <w:pPr>
        <w:jc w:val="center"/>
        <w:rPr>
          <w:rFonts w:ascii="方正大标宋简体" w:eastAsia="方正大标宋简体"/>
          <w:b/>
          <w:color w:val="auto"/>
          <w:sz w:val="18"/>
          <w:szCs w:val="18"/>
          <w:highlight w:val="none"/>
        </w:rPr>
      </w:pPr>
    </w:p>
    <w:p w14:paraId="00FC6B8D">
      <w:pPr>
        <w:jc w:val="center"/>
        <w:rPr>
          <w:rFonts w:ascii="方正大标宋简体" w:eastAsia="方正大标宋简体"/>
          <w:b/>
          <w:color w:val="auto"/>
          <w:sz w:val="18"/>
          <w:szCs w:val="18"/>
          <w:highlight w:val="none"/>
        </w:rPr>
      </w:pPr>
    </w:p>
    <w:p w14:paraId="5D73B549">
      <w:pPr>
        <w:jc w:val="center"/>
        <w:rPr>
          <w:rFonts w:ascii="黑体" w:eastAsia="黑体"/>
          <w:color w:val="auto"/>
          <w:sz w:val="82"/>
          <w:szCs w:val="72"/>
          <w:highlight w:val="none"/>
        </w:rPr>
      </w:pPr>
      <w:r>
        <w:rPr>
          <w:rFonts w:hint="eastAsia" w:ascii="黑体" w:eastAsia="黑体"/>
          <w:color w:val="auto"/>
          <w:sz w:val="82"/>
          <w:szCs w:val="72"/>
          <w:highlight w:val="none"/>
        </w:rPr>
        <w:t>招  标  文  件</w:t>
      </w:r>
    </w:p>
    <w:p w14:paraId="40115F67">
      <w:pPr>
        <w:spacing w:line="500" w:lineRule="exact"/>
        <w:ind w:firstLine="1980"/>
        <w:jc w:val="left"/>
        <w:rPr>
          <w:rFonts w:ascii="华文楷体" w:eastAsia="华文楷体"/>
          <w:color w:val="auto"/>
          <w:sz w:val="36"/>
          <w:szCs w:val="36"/>
          <w:highlight w:val="none"/>
        </w:rPr>
      </w:pPr>
    </w:p>
    <w:p w14:paraId="3D78A4E9">
      <w:pPr>
        <w:spacing w:line="500" w:lineRule="exact"/>
        <w:ind w:firstLine="1980"/>
        <w:jc w:val="left"/>
        <w:rPr>
          <w:rFonts w:ascii="华文楷体" w:eastAsia="华文楷体"/>
          <w:color w:val="auto"/>
          <w:sz w:val="36"/>
          <w:szCs w:val="36"/>
          <w:highlight w:val="none"/>
        </w:rPr>
      </w:pPr>
    </w:p>
    <w:p w14:paraId="3CFFCF4A">
      <w:pPr>
        <w:spacing w:line="500" w:lineRule="exact"/>
        <w:jc w:val="left"/>
        <w:rPr>
          <w:rFonts w:ascii="华文楷体" w:eastAsia="华文楷体"/>
          <w:color w:val="auto"/>
          <w:sz w:val="36"/>
          <w:szCs w:val="36"/>
          <w:highlight w:val="none"/>
        </w:rPr>
      </w:pPr>
    </w:p>
    <w:p w14:paraId="3835A9E2">
      <w:pPr>
        <w:rPr>
          <w:color w:val="auto"/>
          <w:highlight w:val="none"/>
        </w:rPr>
      </w:pPr>
    </w:p>
    <w:p w14:paraId="2EC47363">
      <w:pPr>
        <w:rPr>
          <w:color w:val="auto"/>
          <w:highlight w:val="none"/>
        </w:rPr>
      </w:pPr>
    </w:p>
    <w:p w14:paraId="55F74A82">
      <w:pPr>
        <w:rPr>
          <w:color w:val="auto"/>
          <w:highlight w:val="none"/>
        </w:rPr>
      </w:pPr>
    </w:p>
    <w:p w14:paraId="5A6418E8">
      <w:pPr>
        <w:rPr>
          <w:color w:val="auto"/>
          <w:highlight w:val="none"/>
        </w:rPr>
      </w:pPr>
    </w:p>
    <w:p w14:paraId="27881E98">
      <w:pPr>
        <w:rPr>
          <w:color w:val="auto"/>
          <w:highlight w:val="none"/>
        </w:rPr>
      </w:pPr>
    </w:p>
    <w:p w14:paraId="6103E0E7">
      <w:pPr>
        <w:rPr>
          <w:color w:val="auto"/>
          <w:highlight w:val="none"/>
        </w:rPr>
      </w:pPr>
    </w:p>
    <w:tbl>
      <w:tblPr>
        <w:tblStyle w:val="35"/>
        <w:tblW w:w="0" w:type="auto"/>
        <w:jc w:val="center"/>
        <w:tblLayout w:type="fixed"/>
        <w:tblCellMar>
          <w:top w:w="0" w:type="dxa"/>
          <w:left w:w="108" w:type="dxa"/>
          <w:bottom w:w="0" w:type="dxa"/>
          <w:right w:w="108" w:type="dxa"/>
        </w:tblCellMar>
      </w:tblPr>
      <w:tblGrid>
        <w:gridCol w:w="2522"/>
        <w:gridCol w:w="5280"/>
      </w:tblGrid>
      <w:tr w14:paraId="246AF415">
        <w:trPr>
          <w:jc w:val="center"/>
        </w:trPr>
        <w:tc>
          <w:tcPr>
            <w:tcW w:w="2522" w:type="dxa"/>
            <w:tcBorders>
              <w:top w:val="nil"/>
              <w:left w:val="nil"/>
              <w:bottom w:val="nil"/>
              <w:right w:val="nil"/>
            </w:tcBorders>
            <w:noWrap w:val="0"/>
          </w:tcPr>
          <w:p w14:paraId="41CCAB75">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采购人：</w:t>
            </w:r>
          </w:p>
        </w:tc>
        <w:tc>
          <w:tcPr>
            <w:tcW w:w="5280" w:type="dxa"/>
            <w:tcBorders>
              <w:top w:val="nil"/>
              <w:left w:val="nil"/>
              <w:bottom w:val="nil"/>
              <w:right w:val="nil"/>
            </w:tcBorders>
            <w:noWrap w:val="0"/>
          </w:tcPr>
          <w:p w14:paraId="52090863">
            <w:pPr>
              <w:rPr>
                <w:rFonts w:hint="eastAsia" w:ascii="黑体" w:hAnsi="黑体" w:eastAsia="黑体" w:cs="黑体"/>
                <w:b/>
                <w:bCs/>
                <w:color w:val="auto"/>
                <w:sz w:val="32"/>
                <w:szCs w:val="32"/>
                <w:highlight w:val="none"/>
                <w:lang w:eastAsia="zh-CN"/>
              </w:rPr>
            </w:pPr>
            <w:r>
              <w:rPr>
                <w:rFonts w:hint="eastAsia" w:ascii="黑体" w:hAnsi="黑体" w:eastAsia="黑体" w:cs="黑体"/>
                <w:b/>
                <w:bCs/>
                <w:color w:val="auto"/>
                <w:sz w:val="32"/>
                <w:szCs w:val="32"/>
                <w:highlight w:val="none"/>
                <w:lang w:eastAsia="zh-CN"/>
              </w:rPr>
              <w:t>‌南京医科大学第二附属医院</w:t>
            </w:r>
          </w:p>
        </w:tc>
      </w:tr>
      <w:tr w14:paraId="07335CE9">
        <w:tblPrEx>
          <w:tblCellMar>
            <w:top w:w="0" w:type="dxa"/>
            <w:left w:w="108" w:type="dxa"/>
            <w:bottom w:w="0" w:type="dxa"/>
            <w:right w:w="108" w:type="dxa"/>
          </w:tblCellMar>
        </w:tblPrEx>
        <w:trPr>
          <w:jc w:val="center"/>
        </w:trPr>
        <w:tc>
          <w:tcPr>
            <w:tcW w:w="2522" w:type="dxa"/>
            <w:tcBorders>
              <w:top w:val="nil"/>
              <w:left w:val="nil"/>
              <w:bottom w:val="nil"/>
              <w:right w:val="nil"/>
            </w:tcBorders>
            <w:noWrap w:val="0"/>
          </w:tcPr>
          <w:p w14:paraId="6EDC03DB">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采购代理机构：</w:t>
            </w:r>
          </w:p>
        </w:tc>
        <w:tc>
          <w:tcPr>
            <w:tcW w:w="5280" w:type="dxa"/>
            <w:tcBorders>
              <w:top w:val="nil"/>
              <w:left w:val="nil"/>
              <w:bottom w:val="nil"/>
              <w:right w:val="nil"/>
            </w:tcBorders>
            <w:noWrap w:val="0"/>
          </w:tcPr>
          <w:p w14:paraId="77ADA3B7">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江苏弘业国际技术工程有限公司</w:t>
            </w:r>
          </w:p>
        </w:tc>
      </w:tr>
      <w:tr w14:paraId="375D4967">
        <w:tblPrEx>
          <w:tblCellMar>
            <w:top w:w="0" w:type="dxa"/>
            <w:left w:w="108" w:type="dxa"/>
            <w:bottom w:w="0" w:type="dxa"/>
            <w:right w:w="108" w:type="dxa"/>
          </w:tblCellMar>
        </w:tblPrEx>
        <w:trPr>
          <w:jc w:val="center"/>
        </w:trPr>
        <w:tc>
          <w:tcPr>
            <w:tcW w:w="2522" w:type="dxa"/>
            <w:tcBorders>
              <w:top w:val="nil"/>
              <w:left w:val="nil"/>
              <w:bottom w:val="nil"/>
              <w:right w:val="nil"/>
            </w:tcBorders>
            <w:noWrap w:val="0"/>
          </w:tcPr>
          <w:p w14:paraId="7AC6467F">
            <w:pPr>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日  期：</w:t>
            </w:r>
          </w:p>
        </w:tc>
        <w:tc>
          <w:tcPr>
            <w:tcW w:w="5280" w:type="dxa"/>
            <w:tcBorders>
              <w:top w:val="nil"/>
              <w:left w:val="nil"/>
              <w:bottom w:val="nil"/>
              <w:right w:val="nil"/>
            </w:tcBorders>
            <w:noWrap w:val="0"/>
          </w:tcPr>
          <w:p w14:paraId="736451B1">
            <w:pPr>
              <w:rPr>
                <w:rFonts w:hint="eastAsia" w:ascii="黑体" w:hAnsi="黑体" w:eastAsia="黑体" w:cs="黑体"/>
                <w:b/>
                <w:bCs/>
                <w:color w:val="auto"/>
                <w:sz w:val="32"/>
                <w:szCs w:val="32"/>
                <w:highlight w:val="none"/>
              </w:rPr>
            </w:pPr>
            <w:bookmarkStart w:id="0" w:name="EB011e21966a4746ceac4488705cfdd813"/>
            <w:r>
              <w:rPr>
                <w:rFonts w:hint="eastAsia" w:ascii="黑体" w:hAnsi="黑体" w:eastAsia="黑体" w:cs="黑体"/>
                <w:b/>
                <w:bCs/>
                <w:color w:val="auto"/>
                <w:sz w:val="32"/>
                <w:szCs w:val="32"/>
                <w:highlight w:val="none"/>
              </w:rPr>
              <w:t>202</w:t>
            </w:r>
            <w:r>
              <w:rPr>
                <w:rFonts w:hint="eastAsia" w:ascii="黑体" w:hAnsi="黑体" w:eastAsia="黑体" w:cs="黑体"/>
                <w:b/>
                <w:bCs/>
                <w:color w:val="auto"/>
                <w:sz w:val="32"/>
                <w:szCs w:val="32"/>
                <w:highlight w:val="none"/>
                <w:lang w:val="en-US" w:eastAsia="zh-CN"/>
              </w:rPr>
              <w:t>6</w:t>
            </w:r>
            <w:r>
              <w:rPr>
                <w:rFonts w:hint="eastAsia" w:ascii="黑体" w:hAnsi="黑体" w:eastAsia="黑体" w:cs="黑体"/>
                <w:b/>
                <w:bCs/>
                <w:color w:val="auto"/>
                <w:sz w:val="32"/>
                <w:szCs w:val="32"/>
                <w:highlight w:val="none"/>
              </w:rPr>
              <w:t>年</w:t>
            </w:r>
            <w:r>
              <w:rPr>
                <w:rFonts w:hint="eastAsia" w:ascii="黑体" w:hAnsi="黑体" w:eastAsia="黑体" w:cs="黑体"/>
                <w:b/>
                <w:bCs/>
                <w:color w:val="auto"/>
                <w:sz w:val="32"/>
                <w:szCs w:val="32"/>
                <w:highlight w:val="none"/>
                <w:lang w:val="en-US" w:eastAsia="zh-CN"/>
              </w:rPr>
              <w:t>8</w:t>
            </w:r>
            <w:r>
              <w:rPr>
                <w:rFonts w:hint="eastAsia" w:ascii="黑体" w:hAnsi="黑体" w:eastAsia="黑体" w:cs="黑体"/>
                <w:b/>
                <w:bCs/>
                <w:color w:val="auto"/>
                <w:sz w:val="32"/>
                <w:szCs w:val="32"/>
                <w:highlight w:val="none"/>
              </w:rPr>
              <w:t>月</w:t>
            </w:r>
            <w:bookmarkEnd w:id="0"/>
          </w:p>
        </w:tc>
      </w:tr>
    </w:tbl>
    <w:p w14:paraId="27A322E1">
      <w:pPr>
        <w:rPr>
          <w:color w:val="auto"/>
          <w:highlight w:val="none"/>
        </w:rPr>
      </w:pPr>
    </w:p>
    <w:p w14:paraId="29090AD5">
      <w:pPr>
        <w:rPr>
          <w:color w:val="auto"/>
          <w:highlight w:val="none"/>
        </w:rPr>
      </w:pPr>
    </w:p>
    <w:p w14:paraId="7F0E1909">
      <w:pPr>
        <w:rPr>
          <w:color w:val="auto"/>
          <w:highlight w:val="none"/>
        </w:rPr>
      </w:pPr>
    </w:p>
    <w:p w14:paraId="554232E4">
      <w:pPr>
        <w:rPr>
          <w:color w:val="auto"/>
          <w:highlight w:val="none"/>
        </w:rPr>
      </w:pPr>
    </w:p>
    <w:p w14:paraId="39E18B5A">
      <w:pPr>
        <w:rPr>
          <w:color w:val="auto"/>
          <w:highlight w:val="none"/>
        </w:rPr>
      </w:pPr>
    </w:p>
    <w:p w14:paraId="47AF28D2">
      <w:pPr>
        <w:pStyle w:val="97"/>
        <w:tabs>
          <w:tab w:val="left" w:pos="6527"/>
        </w:tabs>
        <w:rPr>
          <w:color w:val="auto"/>
          <w:highlight w:val="none"/>
        </w:rPr>
      </w:pPr>
      <w:bookmarkStart w:id="1" w:name="EB06f4f849a067447382c5c19bd1747a07"/>
      <w:r>
        <w:rPr>
          <w:rFonts w:hint="eastAsia"/>
          <w:color w:val="auto"/>
          <w:sz w:val="20"/>
          <w:highlight w:val="none"/>
        </w:rPr>
        <w:t xml:space="preserve"> </w:t>
      </w:r>
      <w:bookmarkEnd w:id="1"/>
      <w:r>
        <w:rPr>
          <w:rFonts w:hint="eastAsia"/>
          <w:color w:val="auto"/>
          <w:highlight w:val="none"/>
        </w:rPr>
        <w:tab/>
      </w:r>
    </w:p>
    <w:p w14:paraId="1612CE42">
      <w:pPr>
        <w:widowControl/>
        <w:jc w:val="left"/>
        <w:rPr>
          <w:rFonts w:hint="eastAsia" w:ascii="宋体" w:hAnsi="宋体"/>
          <w:b/>
          <w:bCs/>
          <w:color w:val="auto"/>
          <w:sz w:val="24"/>
          <w:szCs w:val="28"/>
          <w:highlight w:val="none"/>
        </w:rPr>
      </w:pPr>
      <w:r>
        <w:rPr>
          <w:rFonts w:hint="eastAsia" w:ascii="宋体" w:hAnsi="宋体"/>
          <w:b/>
          <w:bCs/>
          <w:color w:val="auto"/>
          <w:sz w:val="24"/>
          <w:szCs w:val="28"/>
          <w:highlight w:val="none"/>
        </w:rPr>
        <w:br w:type="page" w:clear="all"/>
      </w:r>
    </w:p>
    <w:p w14:paraId="42481A4D">
      <w:pPr>
        <w:jc w:val="center"/>
        <w:rPr>
          <w:rFonts w:eastAsia="仿宋_GB2312"/>
          <w:color w:val="auto"/>
          <w:highlight w:val="none"/>
        </w:rPr>
      </w:pPr>
      <w:r>
        <w:rPr>
          <w:rFonts w:ascii="宋体" w:hAnsi="宋体"/>
          <w:b/>
          <w:bCs/>
          <w:color w:val="auto"/>
          <w:sz w:val="24"/>
          <w:szCs w:val="28"/>
          <w:highlight w:val="none"/>
        </w:rPr>
        <w:t>目</w:t>
      </w:r>
      <w:r>
        <w:rPr>
          <w:rFonts w:hint="eastAsia" w:ascii="宋体" w:hAnsi="宋体"/>
          <w:b/>
          <w:bCs/>
          <w:color w:val="auto"/>
          <w:sz w:val="24"/>
          <w:szCs w:val="28"/>
          <w:highlight w:val="none"/>
        </w:rPr>
        <w:t xml:space="preserve">  </w:t>
      </w:r>
      <w:r>
        <w:rPr>
          <w:rFonts w:ascii="宋体" w:hAnsi="宋体"/>
          <w:b/>
          <w:bCs/>
          <w:color w:val="auto"/>
          <w:sz w:val="24"/>
          <w:szCs w:val="28"/>
          <w:highlight w:val="none"/>
        </w:rPr>
        <w:t>录</w:t>
      </w:r>
    </w:p>
    <w:p w14:paraId="110FAE03">
      <w:pPr>
        <w:pStyle w:val="392"/>
        <w:tabs>
          <w:tab w:val="right" w:leader="dot" w:pos="8844"/>
        </w:tabs>
        <w:spacing w:line="440" w:lineRule="exact"/>
        <w:rPr>
          <w:rFonts w:hint="eastAsia" w:ascii="宋体" w:hAnsi="宋体" w:cs="宋体"/>
          <w:color w:val="auto"/>
          <w:sz w:val="24"/>
          <w:szCs w:val="24"/>
          <w:highlight w:val="none"/>
        </w:rPr>
      </w:pPr>
      <w:r>
        <w:rPr>
          <w:rFonts w:hint="eastAsia" w:ascii="宋体" w:hAnsi="宋体" w:cs="宋体"/>
          <w:b/>
          <w:color w:val="auto"/>
          <w:sz w:val="24"/>
          <w:szCs w:val="24"/>
          <w:highlight w:val="none"/>
        </w:rPr>
        <w:fldChar w:fldCharType="begin"/>
      </w:r>
      <w:r>
        <w:rPr>
          <w:rFonts w:hint="eastAsia" w:ascii="宋体" w:hAnsi="宋体" w:cs="宋体"/>
          <w:b/>
          <w:color w:val="auto"/>
          <w:sz w:val="24"/>
          <w:szCs w:val="24"/>
          <w:highlight w:val="none"/>
        </w:rPr>
        <w:instrText xml:space="preserve">TOC \o "1-2" \h \u </w:instrText>
      </w:r>
      <w:r>
        <w:rPr>
          <w:rFonts w:hint="eastAsia" w:ascii="宋体" w:hAnsi="宋体" w:cs="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"_Toc14268" </w:instrText>
      </w:r>
      <w:r>
        <w:rPr>
          <w:color w:val="auto"/>
          <w:highlight w:val="none"/>
        </w:rPr>
        <w:fldChar w:fldCharType="separate"/>
      </w:r>
      <w:r>
        <w:rPr>
          <w:rFonts w:hint="eastAsia" w:ascii="宋体" w:hAnsi="宋体" w:cs="宋体"/>
          <w:b/>
          <w:color w:val="auto"/>
          <w:sz w:val="24"/>
          <w:szCs w:val="24"/>
          <w:highlight w:val="none"/>
        </w:rPr>
        <w:t>第一部分  招标公告</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_Toc14268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p>
    <w:p w14:paraId="0F91A124">
      <w:pPr>
        <w:pStyle w:val="392"/>
        <w:tabs>
          <w:tab w:val="right" w:leader="dot" w:pos="8844"/>
        </w:tabs>
        <w:spacing w:line="440" w:lineRule="exact"/>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"_Toc1881" </w:instrText>
      </w:r>
      <w:r>
        <w:rPr>
          <w:color w:val="auto"/>
          <w:highlight w:val="none"/>
        </w:rPr>
        <w:fldChar w:fldCharType="separate"/>
      </w:r>
      <w:r>
        <w:rPr>
          <w:rFonts w:hint="eastAsia" w:ascii="宋体" w:hAnsi="宋体" w:cs="宋体"/>
          <w:b/>
          <w:color w:val="auto"/>
          <w:sz w:val="24"/>
          <w:szCs w:val="24"/>
          <w:highlight w:val="none"/>
        </w:rPr>
        <w:t>第二部分  投标人须知</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7</w:t>
      </w:r>
      <w:r>
        <w:rPr>
          <w:rFonts w:hint="eastAsia" w:ascii="宋体" w:hAnsi="宋体" w:cs="宋体"/>
          <w:color w:val="auto"/>
          <w:sz w:val="24"/>
          <w:szCs w:val="24"/>
          <w:highlight w:val="none"/>
        </w:rPr>
        <w:fldChar w:fldCharType="end"/>
      </w:r>
    </w:p>
    <w:p w14:paraId="36E77644">
      <w:pPr>
        <w:pStyle w:val="392"/>
        <w:tabs>
          <w:tab w:val="right" w:leader="dot" w:pos="8844"/>
        </w:tabs>
        <w:spacing w:line="440" w:lineRule="exact"/>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"_Toc22015" </w:instrText>
      </w:r>
      <w:r>
        <w:rPr>
          <w:color w:val="auto"/>
          <w:highlight w:val="none"/>
        </w:rPr>
        <w:fldChar w:fldCharType="separate"/>
      </w:r>
      <w:r>
        <w:rPr>
          <w:rFonts w:hint="eastAsia" w:ascii="宋体" w:hAnsi="宋体" w:cs="宋体"/>
          <w:b/>
          <w:color w:val="auto"/>
          <w:sz w:val="24"/>
          <w:szCs w:val="24"/>
          <w:highlight w:val="none"/>
        </w:rPr>
        <w:t>第三部分  评标方法和标准</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4</w:t>
      </w:r>
    </w:p>
    <w:p w14:paraId="39149CB5">
      <w:pPr>
        <w:pStyle w:val="392"/>
        <w:tabs>
          <w:tab w:val="right" w:leader="dot" w:pos="8844"/>
        </w:tabs>
        <w:spacing w:line="440" w:lineRule="exact"/>
        <w:rPr>
          <w:rFonts w:hint="eastAsia"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"_Toc1505" </w:instrText>
      </w:r>
      <w:r>
        <w:rPr>
          <w:color w:val="auto"/>
          <w:highlight w:val="none"/>
        </w:rPr>
        <w:fldChar w:fldCharType="separate"/>
      </w:r>
      <w:r>
        <w:rPr>
          <w:rFonts w:hint="eastAsia" w:ascii="宋体" w:hAnsi="宋体" w:cs="宋体"/>
          <w:b/>
          <w:color w:val="auto"/>
          <w:sz w:val="24"/>
          <w:szCs w:val="24"/>
          <w:highlight w:val="none"/>
        </w:rPr>
        <w:t>第四部分  采购需求</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2</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9</w:t>
      </w:r>
    </w:p>
    <w:p w14:paraId="38B4FD8D">
      <w:pPr>
        <w:pStyle w:val="392"/>
        <w:tabs>
          <w:tab w:val="right" w:leader="dot" w:pos="8844"/>
        </w:tabs>
        <w:spacing w:line="440" w:lineRule="exact"/>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"_Toc9306" </w:instrText>
      </w:r>
      <w:r>
        <w:rPr>
          <w:color w:val="auto"/>
          <w:highlight w:val="none"/>
        </w:rPr>
        <w:fldChar w:fldCharType="separate"/>
      </w:r>
      <w:r>
        <w:rPr>
          <w:rFonts w:hint="eastAsia" w:ascii="宋体" w:hAnsi="宋体" w:cs="宋体"/>
          <w:b/>
          <w:color w:val="auto"/>
          <w:sz w:val="24"/>
          <w:szCs w:val="24"/>
          <w:highlight w:val="none"/>
        </w:rPr>
        <w:t>第五部分  合同格式及条款</w:t>
      </w:r>
      <w:r>
        <w:rPr>
          <w:rFonts w:hint="eastAsia" w:ascii="宋体" w:hAnsi="宋体" w:cs="宋体"/>
          <w:b/>
          <w:color w:val="auto"/>
          <w:sz w:val="24"/>
          <w:szCs w:val="24"/>
          <w:highlight w:val="none"/>
        </w:rPr>
        <w:tab/>
      </w:r>
      <w:r>
        <w:rPr>
          <w:rFonts w:hint="eastAsia" w:ascii="宋体" w:hAnsi="宋体" w:cs="宋体"/>
          <w:color w:val="auto"/>
          <w:sz w:val="24"/>
          <w:szCs w:val="24"/>
          <w:highlight w:val="none"/>
        </w:rPr>
        <w:t>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8</w:t>
      </w:r>
    </w:p>
    <w:p w14:paraId="5E9291CA">
      <w:pPr>
        <w:pStyle w:val="392"/>
        <w:tabs>
          <w:tab w:val="right" w:leader="dot" w:pos="8844"/>
        </w:tabs>
        <w:spacing w:line="440" w:lineRule="exact"/>
        <w:rPr>
          <w:rFonts w:hint="eastAsia" w:ascii="宋体" w:hAnsi="宋体" w:cs="宋体"/>
          <w:b/>
          <w:color w:val="auto"/>
          <w:sz w:val="24"/>
          <w:szCs w:val="24"/>
          <w:highlight w:val="none"/>
        </w:rPr>
      </w:pPr>
      <w:r>
        <w:rPr>
          <w:color w:val="auto"/>
          <w:highlight w:val="none"/>
        </w:rPr>
        <w:fldChar w:fldCharType="begin"/>
      </w:r>
      <w:r>
        <w:rPr>
          <w:color w:val="auto"/>
          <w:highlight w:val="none"/>
        </w:rPr>
        <w:instrText xml:space="preserve"> HYPERLINK \l "_Toc12366" </w:instrText>
      </w:r>
      <w:r>
        <w:rPr>
          <w:color w:val="auto"/>
          <w:highlight w:val="none"/>
        </w:rPr>
        <w:fldChar w:fldCharType="separate"/>
      </w:r>
      <w:r>
        <w:rPr>
          <w:rFonts w:hint="eastAsia" w:ascii="宋体" w:hAnsi="宋体" w:cs="宋体"/>
          <w:b/>
          <w:color w:val="auto"/>
          <w:sz w:val="24"/>
          <w:szCs w:val="24"/>
          <w:highlight w:val="none"/>
        </w:rPr>
        <w:t>第六部分  投标文件格式</w:t>
      </w:r>
      <w:r>
        <w:rPr>
          <w:rFonts w:hint="eastAsia" w:ascii="宋体" w:hAnsi="宋体" w:cs="宋体"/>
          <w:b/>
          <w:color w:val="auto"/>
          <w:sz w:val="24"/>
          <w:szCs w:val="24"/>
          <w:highlight w:val="none"/>
        </w:rPr>
        <w:tab/>
      </w:r>
      <w:r>
        <w:rPr>
          <w:rFonts w:hint="eastAsia" w:ascii="宋体" w:hAnsi="宋体" w:cs="宋体"/>
          <w:b/>
          <w:color w:val="auto"/>
          <w:sz w:val="24"/>
          <w:szCs w:val="24"/>
          <w:highlight w:val="none"/>
        </w:rPr>
        <w:fldChar w:fldCharType="end"/>
      </w:r>
      <w:r>
        <w:rPr>
          <w:rFonts w:hint="eastAsia" w:ascii="宋体" w:hAnsi="宋体" w:cs="宋体"/>
          <w:bCs/>
          <w:color w:val="auto"/>
          <w:sz w:val="24"/>
          <w:szCs w:val="24"/>
          <w:highlight w:val="none"/>
        </w:rPr>
        <w:t>50</w:t>
      </w:r>
    </w:p>
    <w:p w14:paraId="04C4A915">
      <w:pPr>
        <w:pStyle w:val="439"/>
        <w:tabs>
          <w:tab w:val="right" w:leader="dot" w:pos="8844"/>
        </w:tabs>
        <w:spacing w:line="440" w:lineRule="exact"/>
        <w:ind w:left="420"/>
        <w:rPr>
          <w:rFonts w:hint="eastAsia" w:ascii="宋体" w:hAnsi="宋体" w:cs="宋体"/>
          <w:color w:val="auto"/>
          <w:sz w:val="24"/>
          <w:szCs w:val="24"/>
          <w:highlight w:val="none"/>
        </w:rPr>
      </w:pPr>
    </w:p>
    <w:p w14:paraId="1C463D8E">
      <w:pPr>
        <w:tabs>
          <w:tab w:val="left" w:pos="5655"/>
        </w:tabs>
        <w:jc w:val="left"/>
        <w:rPr>
          <w:color w:val="auto"/>
          <w:highlight w:val="none"/>
        </w:rPr>
      </w:pPr>
      <w:r>
        <w:rPr>
          <w:rFonts w:hint="eastAsia"/>
          <w:color w:val="auto"/>
          <w:highlight w:val="none"/>
        </w:rPr>
        <w:tab/>
      </w:r>
    </w:p>
    <w:p w14:paraId="533FD58A">
      <w:pPr>
        <w:keepNext/>
        <w:keepLines/>
        <w:pageBreakBefore/>
        <w:jc w:val="center"/>
        <w:outlineLvl w:val="0"/>
        <w:rPr>
          <w:b/>
          <w:color w:val="auto"/>
          <w:sz w:val="32"/>
          <w:highlight w:val="none"/>
        </w:rPr>
      </w:pPr>
      <w:r>
        <w:rPr>
          <w:rFonts w:hint="eastAsia" w:ascii="宋体" w:hAnsi="宋体" w:cs="宋体"/>
          <w:b/>
          <w:color w:val="auto"/>
          <w:sz w:val="24"/>
          <w:szCs w:val="24"/>
          <w:highlight w:val="none"/>
        </w:rPr>
        <w:fldChar w:fldCharType="end"/>
      </w:r>
      <w:bookmarkStart w:id="2" w:name="_Toc14268"/>
      <w:bookmarkStart w:id="3" w:name="_Toc514054470"/>
      <w:r>
        <w:rPr>
          <w:rFonts w:hint="eastAsia"/>
          <w:b/>
          <w:color w:val="auto"/>
          <w:sz w:val="44"/>
          <w:szCs w:val="44"/>
          <w:highlight w:val="none"/>
        </w:rPr>
        <w:t>第一部分  招标公告</w:t>
      </w:r>
      <w:bookmarkEnd w:id="2"/>
      <w:bookmarkEnd w:id="3"/>
    </w:p>
    <w:tbl>
      <w:tblPr>
        <w:tblStyle w:val="35"/>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CD19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7" w:hRule="atLeast"/>
        </w:trPr>
        <w:tc>
          <w:tcPr>
            <w:tcW w:w="9241" w:type="dxa"/>
            <w:noWrap w:val="0"/>
          </w:tcPr>
          <w:p w14:paraId="3C668BD2">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5B2CED84">
            <w:pPr>
              <w:spacing w:line="360" w:lineRule="auto"/>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‌南京医科大学第二附属医院GE MR等设备维保服务采购项目</w:t>
            </w:r>
            <w:r>
              <w:rPr>
                <w:rFonts w:hint="eastAsia" w:ascii="宋体" w:hAnsi="宋体" w:cs="宋体"/>
                <w:color w:val="auto"/>
                <w:sz w:val="24"/>
                <w:szCs w:val="24"/>
                <w:highlight w:val="none"/>
              </w:rPr>
              <w:t>的潜在投标人应在</w:t>
            </w:r>
            <w:bookmarkStart w:id="4" w:name="OLE_LINK1"/>
            <w:r>
              <w:rPr>
                <w:rFonts w:hint="eastAsia" w:ascii="宋体" w:hAnsi="宋体" w:cs="宋体"/>
                <w:color w:val="auto"/>
                <w:sz w:val="24"/>
                <w:szCs w:val="24"/>
                <w:highlight w:val="none"/>
              </w:rPr>
              <w:t>江苏政府采购网-苏采云平台http://jszfcg.jscz.gov.cn/jszc/login</w:t>
            </w:r>
            <w:bookmarkEnd w:id="4"/>
            <w:r>
              <w:rPr>
                <w:rFonts w:hint="eastAsia" w:ascii="宋体" w:hAnsi="宋体" w:cs="宋体"/>
                <w:color w:val="auto"/>
                <w:sz w:val="24"/>
                <w:szCs w:val="24"/>
                <w:highlight w:val="none"/>
              </w:rPr>
              <w:t>上获取招标文件，并于</w:t>
            </w:r>
            <w:r>
              <w:rPr>
                <w:rFonts w:hint="eastAsia" w:ascii="宋体" w:hAnsi="宋体" w:cs="宋体"/>
                <w:color w:val="auto"/>
                <w:sz w:val="24"/>
                <w:szCs w:val="24"/>
                <w:highlight w:val="none"/>
                <w:lang w:eastAsia="zh-CN"/>
              </w:rPr>
              <w:t xml:space="preserve">2026年 </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lang w:eastAsia="zh-CN"/>
              </w:rPr>
              <w:t>分</w:t>
            </w:r>
            <w:r>
              <w:rPr>
                <w:rFonts w:hint="eastAsia" w:ascii="宋体" w:hAnsi="宋体" w:cs="宋体"/>
                <w:color w:val="auto"/>
                <w:sz w:val="24"/>
                <w:szCs w:val="24"/>
                <w:highlight w:val="none"/>
              </w:rPr>
              <w:t>（北京时间）前递交投标文件。</w:t>
            </w:r>
          </w:p>
        </w:tc>
      </w:tr>
    </w:tbl>
    <w:p w14:paraId="6BF3B3D2">
      <w:pPr>
        <w:pStyle w:val="469"/>
        <w:tabs>
          <w:tab w:val="left" w:pos="1134"/>
          <w:tab w:val="left" w:pos="5612"/>
        </w:tabs>
        <w:spacing w:line="312" w:lineRule="auto"/>
        <w:ind w:firstLine="480"/>
        <w:outlineLvl w:val="1"/>
        <w:rPr>
          <w:rFonts w:hint="eastAsia" w:ascii="宋体" w:hAnsi="宋体" w:cs="宋体"/>
          <w:color w:val="auto"/>
          <w:sz w:val="24"/>
          <w:szCs w:val="24"/>
          <w:highlight w:val="none"/>
        </w:rPr>
      </w:pPr>
      <w:bookmarkStart w:id="5" w:name="_Toc2298"/>
      <w:r>
        <w:rPr>
          <w:rFonts w:hint="eastAsia" w:ascii="宋体" w:hAnsi="宋体" w:cs="宋体"/>
          <w:b/>
          <w:bCs/>
          <w:color w:val="auto"/>
          <w:sz w:val="24"/>
          <w:szCs w:val="24"/>
          <w:highlight w:val="none"/>
        </w:rPr>
        <w:t>一、项目基本情况</w:t>
      </w:r>
      <w:bookmarkEnd w:id="5"/>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p>
    <w:p w14:paraId="3F58D441">
      <w:pPr>
        <w:spacing w:line="360" w:lineRule="auto"/>
        <w:ind w:left="420" w:firstLine="420"/>
        <w:rPr>
          <w:rFonts w:hint="eastAsia" w:ascii="宋体" w:hAnsi="宋体" w:eastAsia="宋体" w:cs="宋体"/>
          <w:color w:val="auto"/>
          <w:sz w:val="22"/>
          <w:szCs w:val="22"/>
          <w:highlight w:val="none"/>
          <w:lang w:eastAsia="zh-CN"/>
        </w:rPr>
      </w:pPr>
      <w:bookmarkStart w:id="6" w:name="_Toc3038"/>
      <w:r>
        <w:rPr>
          <w:rFonts w:hint="eastAsia" w:ascii="宋体" w:hAnsi="宋体" w:cs="宋体"/>
          <w:color w:val="auto"/>
          <w:sz w:val="22"/>
          <w:szCs w:val="22"/>
          <w:highlight w:val="none"/>
        </w:rPr>
        <w:t>1.项目编号：JSZC-320000-JSHY-G2026-0175</w:t>
      </w:r>
    </w:p>
    <w:p w14:paraId="46B4F548">
      <w:pPr>
        <w:spacing w:line="360" w:lineRule="auto"/>
        <w:ind w:left="420" w:firstLine="420"/>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2.项目名称：</w:t>
      </w:r>
      <w:r>
        <w:rPr>
          <w:rFonts w:hint="eastAsia" w:ascii="宋体" w:hAnsi="宋体" w:cs="宋体"/>
          <w:color w:val="auto"/>
          <w:sz w:val="22"/>
          <w:szCs w:val="22"/>
          <w:highlight w:val="none"/>
          <w:lang w:val="zh-CN"/>
        </w:rPr>
        <w:t>‌南京医科大学第二附属医院GE MR等设备维保服务采购项目</w:t>
      </w:r>
    </w:p>
    <w:p w14:paraId="079EC032">
      <w:pPr>
        <w:spacing w:line="360" w:lineRule="auto"/>
        <w:ind w:firstLine="840"/>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3.采购方式：</w:t>
      </w:r>
      <w:r>
        <w:rPr>
          <w:rFonts w:hint="eastAsia" w:ascii="宋体" w:hAnsi="宋体" w:cs="宋体"/>
          <w:color w:val="auto"/>
          <w:sz w:val="22"/>
          <w:szCs w:val="22"/>
          <w:highlight w:val="none"/>
          <w:lang w:val="en-US" w:eastAsia="zh-CN"/>
        </w:rPr>
        <w:t>公开招标</w:t>
      </w:r>
    </w:p>
    <w:p w14:paraId="3F38A9B2">
      <w:pPr>
        <w:spacing w:line="360" w:lineRule="auto"/>
        <w:ind w:left="420" w:firstLine="420"/>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4.</w:t>
      </w:r>
      <w:r>
        <w:rPr>
          <w:rFonts w:hint="eastAsia" w:ascii="宋体" w:hAnsi="宋体" w:cs="宋体"/>
          <w:color w:val="auto"/>
          <w:sz w:val="22"/>
          <w:szCs w:val="22"/>
          <w:highlight w:val="none"/>
          <w:lang w:val="zh-CN"/>
        </w:rPr>
        <w:t>预算金额：</w:t>
      </w:r>
      <w:r>
        <w:rPr>
          <w:rFonts w:hint="eastAsia" w:ascii="宋体" w:hAnsi="宋体" w:cs="宋体"/>
          <w:color w:val="auto"/>
          <w:sz w:val="22"/>
          <w:szCs w:val="22"/>
          <w:highlight w:val="none"/>
          <w:lang w:val="en-US" w:eastAsia="zh-CN"/>
        </w:rPr>
        <w:t>624.00</w:t>
      </w:r>
      <w:r>
        <w:rPr>
          <w:rFonts w:hint="eastAsia" w:ascii="宋体" w:hAnsi="宋体" w:cs="宋体"/>
          <w:color w:val="auto"/>
          <w:sz w:val="22"/>
          <w:szCs w:val="22"/>
          <w:highlight w:val="none"/>
          <w:lang w:val="zh-CN"/>
        </w:rPr>
        <w:t>万元（</w:t>
      </w:r>
      <w:r>
        <w:rPr>
          <w:rFonts w:hint="eastAsia" w:ascii="宋体" w:hAnsi="宋体" w:cs="宋体"/>
          <w:color w:val="auto"/>
          <w:sz w:val="22"/>
          <w:szCs w:val="22"/>
          <w:highlight w:val="none"/>
          <w:lang w:val="en-US" w:eastAsia="zh-CN"/>
        </w:rPr>
        <w:t>三年)</w:t>
      </w:r>
    </w:p>
    <w:p w14:paraId="721BF864">
      <w:pPr>
        <w:spacing w:line="360" w:lineRule="auto"/>
        <w:ind w:left="420" w:firstLine="420"/>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5.</w:t>
      </w:r>
      <w:r>
        <w:rPr>
          <w:rFonts w:hint="eastAsia" w:ascii="宋体" w:hAnsi="宋体" w:cs="宋体"/>
          <w:color w:val="auto"/>
          <w:sz w:val="22"/>
          <w:szCs w:val="22"/>
          <w:highlight w:val="none"/>
          <w:lang w:val="zh-CN"/>
        </w:rPr>
        <w:t>最高限价：</w:t>
      </w:r>
      <w:r>
        <w:rPr>
          <w:rFonts w:hint="eastAsia" w:ascii="宋体" w:hAnsi="宋体" w:cs="宋体"/>
          <w:color w:val="auto"/>
          <w:sz w:val="22"/>
          <w:szCs w:val="22"/>
          <w:highlight w:val="none"/>
          <w:lang w:val="en-US" w:eastAsia="zh-CN"/>
        </w:rPr>
        <w:t>208</w:t>
      </w:r>
      <w:r>
        <w:rPr>
          <w:rFonts w:hint="eastAsia" w:ascii="宋体" w:hAnsi="宋体" w:cs="宋体"/>
          <w:color w:val="auto"/>
          <w:sz w:val="22"/>
          <w:szCs w:val="22"/>
          <w:highlight w:val="none"/>
        </w:rPr>
        <w:t>.00万元</w:t>
      </w:r>
      <w:r>
        <w:rPr>
          <w:rFonts w:hint="eastAsia" w:ascii="宋体" w:hAnsi="宋体" w:cs="宋体"/>
          <w:color w:val="auto"/>
          <w:sz w:val="22"/>
          <w:szCs w:val="22"/>
          <w:highlight w:val="none"/>
          <w:lang w:val="en-US" w:eastAsia="zh-CN"/>
        </w:rPr>
        <w:t>/年</w:t>
      </w:r>
    </w:p>
    <w:p w14:paraId="7704A562">
      <w:pPr>
        <w:widowControl/>
        <w:spacing w:line="360" w:lineRule="auto"/>
        <w:ind w:left="420" w:firstLine="420"/>
        <w:jc w:val="left"/>
        <w:rPr>
          <w:rFonts w:hint="eastAsia" w:ascii="宋体" w:hAnsi="宋体" w:cs="宋体"/>
          <w:color w:val="auto"/>
          <w:sz w:val="22"/>
          <w:szCs w:val="22"/>
          <w:highlight w:val="none"/>
        </w:rPr>
      </w:pPr>
      <w:r>
        <w:rPr>
          <w:rFonts w:hint="eastAsia" w:ascii="宋体" w:hAnsi="宋体" w:cs="宋体"/>
          <w:color w:val="auto"/>
          <w:sz w:val="22"/>
          <w:szCs w:val="22"/>
          <w:highlight w:val="none"/>
        </w:rPr>
        <w:t>6.采购需求：</w:t>
      </w:r>
      <w:r>
        <w:rPr>
          <w:rFonts w:hint="eastAsia" w:ascii="宋体" w:hAnsi="宋体" w:cs="宋体"/>
          <w:color w:val="auto"/>
          <w:sz w:val="22"/>
          <w:szCs w:val="22"/>
          <w:highlight w:val="none"/>
          <w:lang w:eastAsia="zh-CN"/>
        </w:rPr>
        <w:t>‌南京医科大学第二附属医院GE MR等设备维保服务采购项目</w:t>
      </w:r>
      <w:r>
        <w:rPr>
          <w:rFonts w:hint="eastAsia" w:ascii="宋体" w:hAnsi="宋体" w:cs="宋体"/>
          <w:color w:val="auto"/>
          <w:sz w:val="22"/>
          <w:szCs w:val="22"/>
          <w:highlight w:val="none"/>
          <w:lang w:val="zh-CN"/>
        </w:rPr>
        <w:t>，维保期</w:t>
      </w:r>
      <w:r>
        <w:rPr>
          <w:rFonts w:hint="eastAsia" w:ascii="宋体" w:hAnsi="宋体" w:cs="宋体"/>
          <w:color w:val="auto"/>
          <w:sz w:val="22"/>
          <w:szCs w:val="22"/>
          <w:highlight w:val="none"/>
          <w:u w:val="single"/>
          <w:lang w:val="en-US" w:eastAsia="zh-CN"/>
        </w:rPr>
        <w:t>3</w:t>
      </w:r>
      <w:r>
        <w:rPr>
          <w:rFonts w:hint="eastAsia" w:ascii="宋体" w:hAnsi="宋体" w:cs="宋体"/>
          <w:color w:val="auto"/>
          <w:sz w:val="22"/>
          <w:szCs w:val="22"/>
          <w:highlight w:val="none"/>
          <w:lang w:val="zh-CN"/>
        </w:rPr>
        <w:t>年。</w:t>
      </w:r>
    </w:p>
    <w:p w14:paraId="30A00E40">
      <w:pPr>
        <w:spacing w:line="360" w:lineRule="auto"/>
        <w:ind w:left="420" w:firstLine="420"/>
        <w:rPr>
          <w:rFonts w:hint="eastAsia" w:ascii="宋体" w:hAnsi="宋体" w:cs="宋体"/>
          <w:color w:val="auto"/>
          <w:sz w:val="22"/>
          <w:szCs w:val="22"/>
          <w:highlight w:val="none"/>
          <w:u w:val="single"/>
        </w:rPr>
      </w:pPr>
      <w:r>
        <w:rPr>
          <w:rFonts w:hint="eastAsia" w:ascii="宋体" w:hAnsi="宋体" w:cs="宋体"/>
          <w:color w:val="auto"/>
          <w:sz w:val="22"/>
          <w:szCs w:val="22"/>
          <w:highlight w:val="none"/>
        </w:rPr>
        <w:t>7.合同履行期限：</w:t>
      </w:r>
      <w:r>
        <w:rPr>
          <w:rFonts w:hint="eastAsia" w:ascii="宋体" w:hAnsi="宋体" w:cs="宋体"/>
          <w:color w:val="auto"/>
          <w:sz w:val="22"/>
          <w:szCs w:val="22"/>
          <w:highlight w:val="none"/>
          <w:lang w:val="zh-CN"/>
        </w:rPr>
        <w:t>服务期</w:t>
      </w:r>
      <w:r>
        <w:rPr>
          <w:rFonts w:hint="eastAsia" w:ascii="宋体" w:hAnsi="宋体" w:cs="宋体"/>
          <w:color w:val="auto"/>
          <w:sz w:val="22"/>
          <w:szCs w:val="22"/>
          <w:highlight w:val="none"/>
          <w:u w:val="single"/>
          <w:lang w:val="en-US" w:eastAsia="zh-CN"/>
        </w:rPr>
        <w:t xml:space="preserve"> 3 </w:t>
      </w:r>
      <w:r>
        <w:rPr>
          <w:rFonts w:hint="eastAsia" w:ascii="宋体" w:hAnsi="宋体" w:cs="宋体"/>
          <w:color w:val="auto"/>
          <w:sz w:val="22"/>
          <w:szCs w:val="22"/>
          <w:highlight w:val="none"/>
          <w:lang w:val="zh-CN"/>
        </w:rPr>
        <w:t>年</w:t>
      </w:r>
    </w:p>
    <w:p w14:paraId="0C8974DE">
      <w:pPr>
        <w:spacing w:line="360" w:lineRule="auto"/>
        <w:ind w:left="420" w:firstLine="420"/>
        <w:rPr>
          <w:rFonts w:hint="eastAsia" w:ascii="宋体" w:hAnsi="宋体" w:cs="宋体"/>
          <w:color w:val="auto"/>
          <w:sz w:val="22"/>
          <w:szCs w:val="22"/>
          <w:highlight w:val="none"/>
        </w:rPr>
      </w:pPr>
      <w:r>
        <w:rPr>
          <w:rFonts w:hint="eastAsia" w:ascii="宋体" w:hAnsi="宋体" w:cs="宋体"/>
          <w:color w:val="auto"/>
          <w:sz w:val="22"/>
          <w:szCs w:val="22"/>
          <w:highlight w:val="none"/>
        </w:rPr>
        <w:t>8.本项目不接收联合体响应。</w:t>
      </w:r>
    </w:p>
    <w:p w14:paraId="7756B199">
      <w:pPr>
        <w:pStyle w:val="469"/>
        <w:tabs>
          <w:tab w:val="left" w:pos="1134"/>
        </w:tabs>
        <w:spacing w:line="312" w:lineRule="auto"/>
        <w:ind w:left="567" w:firstLine="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二、申请人的资格要求：</w:t>
      </w:r>
      <w:bookmarkEnd w:id="6"/>
    </w:p>
    <w:p w14:paraId="07DCFE4B">
      <w:pPr>
        <w:pStyle w:val="505"/>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1.满足《中华人民共和国政府采购法》第二十二条规定；</w:t>
      </w:r>
    </w:p>
    <w:p w14:paraId="3F382761">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w:t>
      </w:r>
      <w:r>
        <w:rPr>
          <w:rFonts w:hint="eastAsia" w:ascii="宋体" w:hAnsi="宋体" w:cs="宋体"/>
          <w:b/>
          <w:bCs/>
          <w:color w:val="auto"/>
          <w:sz w:val="24"/>
          <w:szCs w:val="24"/>
          <w:highlight w:val="none"/>
        </w:rPr>
        <w:t>（提供法人或者其他组织的营业执照等证明文件；供应商为自然人的，提供其身份证）</w:t>
      </w:r>
      <w:r>
        <w:rPr>
          <w:rFonts w:hint="eastAsia" w:ascii="宋体" w:hAnsi="宋体" w:cs="宋体"/>
          <w:color w:val="auto"/>
          <w:sz w:val="24"/>
          <w:szCs w:val="24"/>
          <w:highlight w:val="none"/>
        </w:rPr>
        <w:t>；</w:t>
      </w:r>
    </w:p>
    <w:p w14:paraId="7CEB0E8A">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w:t>
      </w:r>
      <w:r>
        <w:rPr>
          <w:rFonts w:hint="eastAsia" w:ascii="宋体" w:hAnsi="宋体" w:cs="宋体"/>
          <w:b/>
          <w:bCs/>
          <w:color w:val="auto"/>
          <w:sz w:val="24"/>
          <w:szCs w:val="24"/>
          <w:highlight w:val="none"/>
        </w:rPr>
        <w:t>（</w:t>
      </w:r>
      <w:bookmarkStart w:id="7" w:name="OLE_LINK3"/>
      <w:r>
        <w:rPr>
          <w:rFonts w:hint="eastAsia" w:ascii="宋体" w:hAnsi="宋体" w:cs="宋体"/>
          <w:b/>
          <w:bCs/>
          <w:color w:val="auto"/>
          <w:sz w:val="24"/>
          <w:szCs w:val="24"/>
          <w:highlight w:val="none"/>
        </w:rPr>
        <w:t>提供</w:t>
      </w:r>
      <w:r>
        <w:rPr>
          <w:rFonts w:hint="eastAsia" w:ascii="宋体" w:hAnsi="宋体" w:cs="宋体"/>
          <w:b/>
          <w:bCs/>
          <w:color w:val="auto"/>
          <w:sz w:val="24"/>
          <w:szCs w:val="24"/>
          <w:highlight w:val="none"/>
          <w:lang w:eastAsia="zh-CN"/>
        </w:rPr>
        <w:t>2025年度财务报告</w:t>
      </w:r>
      <w:r>
        <w:rPr>
          <w:rFonts w:hint="eastAsia" w:ascii="宋体" w:hAnsi="宋体" w:cs="宋体"/>
          <w:b/>
          <w:bCs/>
          <w:color w:val="auto"/>
          <w:sz w:val="24"/>
          <w:szCs w:val="24"/>
          <w:highlight w:val="none"/>
        </w:rPr>
        <w:t>，至少包含资产负债表、利润表，或投标截止时间前六个月内银行出具的资信证明，成立不满一年的无须提供</w:t>
      </w:r>
      <w:bookmarkEnd w:id="7"/>
      <w:r>
        <w:rPr>
          <w:rFonts w:hint="eastAsia" w:ascii="宋体" w:hAnsi="宋体" w:cs="宋体"/>
          <w:b/>
          <w:bCs/>
          <w:color w:val="auto"/>
          <w:sz w:val="24"/>
          <w:szCs w:val="24"/>
          <w:highlight w:val="none"/>
        </w:rPr>
        <w:t>）；</w:t>
      </w:r>
    </w:p>
    <w:p w14:paraId="0DED3FE5">
      <w:pPr>
        <w:spacing w:line="329" w:lineRule="auto"/>
        <w:ind w:left="1134"/>
        <w:rPr>
          <w:rFonts w:hint="eastAsia" w:ascii="宋体" w:hAnsi="宋体" w:cs="宋体"/>
          <w:color w:val="auto"/>
          <w:sz w:val="24"/>
          <w:szCs w:val="24"/>
          <w:highlight w:val="none"/>
        </w:rPr>
      </w:pPr>
      <w:r>
        <w:rPr>
          <w:rFonts w:hint="eastAsia" w:ascii="宋体" w:hAnsi="宋体" w:cs="宋体"/>
          <w:color w:val="auto"/>
          <w:sz w:val="24"/>
          <w:szCs w:val="24"/>
          <w:highlight w:val="none"/>
        </w:rPr>
        <w:t>3）具有履行合同所必需的设备和专业技术能力</w:t>
      </w:r>
      <w:r>
        <w:rPr>
          <w:rFonts w:hint="eastAsia" w:ascii="宋体" w:hAnsi="宋体" w:cs="宋体"/>
          <w:b/>
          <w:bCs/>
          <w:color w:val="auto"/>
          <w:sz w:val="24"/>
          <w:szCs w:val="24"/>
          <w:highlight w:val="none"/>
        </w:rPr>
        <w:t>（供应商根据履行采购项目合同需要，提供履行合同所必需的设备和专业技术能力的声明函或证明材料）；</w:t>
      </w:r>
    </w:p>
    <w:p w14:paraId="2981E66B">
      <w:pPr>
        <w:spacing w:line="329" w:lineRule="auto"/>
        <w:ind w:left="1134"/>
        <w:rPr>
          <w:rFonts w:hint="eastAsia" w:ascii="宋体" w:hAnsi="宋体" w:cs="宋体"/>
          <w:b/>
          <w:bCs/>
          <w:color w:val="auto"/>
          <w:sz w:val="24"/>
          <w:szCs w:val="24"/>
          <w:highlight w:val="none"/>
        </w:rPr>
      </w:pPr>
      <w:r>
        <w:rPr>
          <w:rFonts w:hint="eastAsia" w:ascii="宋体" w:hAnsi="宋体" w:cs="宋体"/>
          <w:color w:val="auto"/>
          <w:sz w:val="24"/>
          <w:szCs w:val="24"/>
          <w:highlight w:val="none"/>
        </w:rPr>
        <w:t>4）</w:t>
      </w:r>
      <w:bookmarkStart w:id="8" w:name="OLE_LINK8"/>
      <w:bookmarkStart w:id="9" w:name="OLE_LINK20"/>
      <w:r>
        <w:rPr>
          <w:rFonts w:hint="eastAsia" w:ascii="宋体" w:hAnsi="宋体" w:cs="宋体"/>
          <w:color w:val="auto"/>
          <w:sz w:val="24"/>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8"/>
      <w:r>
        <w:rPr>
          <w:rFonts w:hint="eastAsia" w:ascii="宋体" w:hAnsi="宋体" w:cs="宋体"/>
          <w:color w:val="auto"/>
          <w:sz w:val="24"/>
          <w:szCs w:val="24"/>
          <w:highlight w:val="none"/>
        </w:rPr>
        <w:t>。</w:t>
      </w:r>
      <w:bookmarkEnd w:id="9"/>
    </w:p>
    <w:p w14:paraId="5305CB84">
      <w:pPr>
        <w:spacing w:line="329" w:lineRule="auto"/>
        <w:ind w:left="1134"/>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rPr>
        <w:t>5）参加政府采购活动前三年内，在经营活动中没有重大违法记录</w:t>
      </w:r>
      <w:r>
        <w:rPr>
          <w:rFonts w:hint="eastAsia" w:ascii="宋体" w:hAnsi="宋体" w:cs="宋体"/>
          <w:b/>
          <w:bCs/>
          <w:color w:val="auto"/>
          <w:sz w:val="24"/>
          <w:szCs w:val="24"/>
          <w:highlight w:val="none"/>
        </w:rPr>
        <w:t>（提供承诺书）</w:t>
      </w:r>
      <w:r>
        <w:rPr>
          <w:rFonts w:hint="eastAsia" w:ascii="宋体" w:hAnsi="宋体" w:cs="宋体"/>
          <w:b w:val="0"/>
          <w:bCs w:val="0"/>
          <w:color w:val="auto"/>
          <w:sz w:val="24"/>
          <w:szCs w:val="24"/>
          <w:highlight w:val="none"/>
          <w:lang w:eastAsia="zh-CN"/>
        </w:rPr>
        <w:t>。</w:t>
      </w:r>
    </w:p>
    <w:p w14:paraId="5EA3C727">
      <w:pPr>
        <w:pStyle w:val="97"/>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2.落实政府采购政策满足的资格要求：</w:t>
      </w:r>
    </w:p>
    <w:p w14:paraId="649BBFE6">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3CB35C0E">
      <w:pPr>
        <w:pStyle w:val="505"/>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3.本项目的特定资格要求：</w:t>
      </w:r>
    </w:p>
    <w:p w14:paraId="7DFEEC82">
      <w:pPr>
        <w:pStyle w:val="505"/>
        <w:numPr>
          <w:ilvl w:val="0"/>
          <w:numId w:val="5"/>
        </w:numPr>
        <w:spacing w:line="329" w:lineRule="auto"/>
        <w:ind w:left="1560" w:hanging="426"/>
        <w:rPr>
          <w:rFonts w:hint="eastAsia" w:ascii="宋体" w:hAnsi="宋体" w:cs="宋体"/>
          <w:bCs/>
          <w:color w:val="auto"/>
          <w:sz w:val="24"/>
          <w:szCs w:val="24"/>
          <w:highlight w:val="none"/>
        </w:rPr>
      </w:pPr>
      <w:bookmarkStart w:id="10" w:name="OLE_LINK4"/>
      <w:r>
        <w:rPr>
          <w:rFonts w:hint="eastAsia" w:ascii="宋体" w:hAnsi="宋体" w:cs="宋体"/>
          <w:bCs/>
          <w:color w:val="auto"/>
          <w:sz w:val="24"/>
          <w:szCs w:val="24"/>
          <w:highlight w:val="none"/>
        </w:rPr>
        <w:t>拒绝被“信用中国”（www.creditchina.gov.cn）、“中国政府采购网”(www.ccgp.gov.cn）列入失信被执行人、重大税收违法案件当事人、政府采购严重失信行为的供应商参加投标。</w:t>
      </w:r>
      <w:bookmarkEnd w:id="10"/>
    </w:p>
    <w:p w14:paraId="1627F8C0">
      <w:pPr>
        <w:pStyle w:val="505"/>
        <w:spacing w:line="329" w:lineRule="auto"/>
        <w:ind w:left="709" w:firstLine="0"/>
        <w:outlineLvl w:val="2"/>
        <w:rPr>
          <w:rFonts w:hint="eastAsia" w:ascii="宋体" w:hAnsi="宋体" w:cs="宋体"/>
          <w:b/>
          <w:bCs/>
          <w:color w:val="auto"/>
          <w:sz w:val="24"/>
          <w:szCs w:val="24"/>
          <w:highlight w:val="none"/>
        </w:rPr>
      </w:pPr>
      <w:bookmarkStart w:id="11" w:name="_Toc26697"/>
      <w:r>
        <w:rPr>
          <w:rFonts w:hint="eastAsia" w:ascii="宋体" w:hAnsi="宋体" w:cs="宋体"/>
          <w:b/>
          <w:bCs/>
          <w:color w:val="auto"/>
          <w:sz w:val="24"/>
          <w:szCs w:val="24"/>
          <w:highlight w:val="none"/>
        </w:rPr>
        <w:t>注：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30DA15E7">
      <w:pPr>
        <w:pStyle w:val="505"/>
        <w:spacing w:line="329" w:lineRule="auto"/>
        <w:ind w:left="709" w:firstLine="0"/>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三、获取招标文件</w:t>
      </w:r>
      <w:bookmarkEnd w:id="11"/>
    </w:p>
    <w:p w14:paraId="0D50C3DD">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1、时间：自公告发布之日起5个工作日。</w:t>
      </w:r>
    </w:p>
    <w:p w14:paraId="3B750AB6">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2、地点：“江苏政府采购网”</w:t>
      </w:r>
    </w:p>
    <w:p w14:paraId="2004B7B8">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3、方式：本项目采用网上注册登记方式免费获取。</w:t>
      </w:r>
    </w:p>
    <w:p w14:paraId="10F9EA66">
      <w:pPr>
        <w:pStyle w:val="469"/>
        <w:tabs>
          <w:tab w:val="left" w:pos="1134"/>
        </w:tabs>
        <w:spacing w:line="360" w:lineRule="exact"/>
        <w:ind w:left="709" w:firstLine="0"/>
        <w:outlineLvl w:val="1"/>
        <w:rPr>
          <w:rFonts w:hint="eastAsia" w:ascii="宋体" w:hAnsi="宋体" w:cs="宋体"/>
          <w:b/>
          <w:bCs/>
          <w:color w:val="auto"/>
          <w:sz w:val="24"/>
          <w:szCs w:val="24"/>
          <w:highlight w:val="none"/>
        </w:rPr>
      </w:pPr>
      <w:bookmarkStart w:id="12" w:name="_Toc2291"/>
      <w:r>
        <w:rPr>
          <w:rFonts w:hint="eastAsia" w:ascii="宋体" w:hAnsi="宋体" w:cs="宋体"/>
          <w:b/>
          <w:bCs/>
          <w:color w:val="auto"/>
          <w:sz w:val="24"/>
          <w:szCs w:val="24"/>
          <w:highlight w:val="none"/>
        </w:rPr>
        <w:t>四、提交投标文件截止时间、开标时间和地点</w:t>
      </w:r>
      <w:bookmarkEnd w:id="12"/>
    </w:p>
    <w:p w14:paraId="1C77E319">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投标文件截止时间及开标时间：</w:t>
      </w:r>
      <w:r>
        <w:rPr>
          <w:rFonts w:hint="eastAsia" w:ascii="宋体" w:hAnsi="宋体" w:cs="宋体"/>
          <w:color w:val="auto"/>
          <w:sz w:val="24"/>
          <w:szCs w:val="24"/>
          <w:highlight w:val="none"/>
          <w:lang w:eastAsia="zh-CN"/>
        </w:rPr>
        <w:t xml:space="preserve">2026年 </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00</w:t>
      </w:r>
      <w:r>
        <w:rPr>
          <w:rFonts w:hint="eastAsia" w:ascii="宋体" w:hAnsi="宋体" w:cs="宋体"/>
          <w:color w:val="auto"/>
          <w:sz w:val="24"/>
          <w:szCs w:val="24"/>
          <w:highlight w:val="none"/>
          <w:lang w:eastAsia="zh-CN"/>
        </w:rPr>
        <w:t>分</w:t>
      </w:r>
      <w:r>
        <w:rPr>
          <w:rFonts w:hint="eastAsia" w:ascii="宋体" w:hAnsi="宋体" w:cs="宋体"/>
          <w:color w:val="auto"/>
          <w:sz w:val="24"/>
          <w:szCs w:val="24"/>
          <w:highlight w:val="none"/>
        </w:rPr>
        <w:t>（北京时间）</w:t>
      </w:r>
    </w:p>
    <w:p w14:paraId="362BC313">
      <w:pPr>
        <w:pStyle w:val="505"/>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地点：“苏采云”政府采购交易系统网上开标大厅。</w:t>
      </w:r>
    </w:p>
    <w:p w14:paraId="2DD816ED">
      <w:pPr>
        <w:pStyle w:val="469"/>
        <w:tabs>
          <w:tab w:val="left" w:pos="1134"/>
        </w:tabs>
        <w:spacing w:line="312" w:lineRule="auto"/>
        <w:ind w:left="708" w:firstLine="0"/>
        <w:outlineLvl w:val="1"/>
        <w:rPr>
          <w:rFonts w:hint="eastAsia" w:ascii="宋体" w:hAnsi="宋体" w:cs="宋体"/>
          <w:b/>
          <w:bCs/>
          <w:color w:val="auto"/>
          <w:sz w:val="24"/>
          <w:szCs w:val="24"/>
          <w:highlight w:val="none"/>
        </w:rPr>
      </w:pPr>
      <w:bookmarkStart w:id="13" w:name="_Toc5544"/>
      <w:r>
        <w:rPr>
          <w:rFonts w:hint="eastAsia" w:ascii="宋体" w:hAnsi="宋体" w:cs="宋体"/>
          <w:b/>
          <w:bCs/>
          <w:color w:val="auto"/>
          <w:sz w:val="24"/>
          <w:szCs w:val="24"/>
          <w:highlight w:val="none"/>
        </w:rPr>
        <w:t>五、公告期限</w:t>
      </w:r>
      <w:bookmarkEnd w:id="13"/>
    </w:p>
    <w:p w14:paraId="26966F54">
      <w:pPr>
        <w:pStyle w:val="469"/>
        <w:tabs>
          <w:tab w:val="left" w:pos="1276"/>
        </w:tabs>
        <w:spacing w:line="312"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4529370B">
      <w:pPr>
        <w:pStyle w:val="469"/>
        <w:tabs>
          <w:tab w:val="left" w:pos="1134"/>
        </w:tabs>
        <w:spacing w:line="360" w:lineRule="exact"/>
        <w:ind w:left="709" w:firstLine="0"/>
        <w:outlineLvl w:val="1"/>
        <w:rPr>
          <w:rFonts w:hint="eastAsia" w:ascii="宋体" w:hAnsi="宋体" w:cs="宋体"/>
          <w:b/>
          <w:bCs/>
          <w:color w:val="auto"/>
          <w:sz w:val="24"/>
          <w:szCs w:val="24"/>
          <w:highlight w:val="none"/>
        </w:rPr>
      </w:pPr>
      <w:bookmarkStart w:id="14" w:name="_Toc12830"/>
      <w:r>
        <w:rPr>
          <w:rFonts w:hint="eastAsia" w:ascii="宋体" w:hAnsi="宋体" w:cs="宋体"/>
          <w:b/>
          <w:bCs/>
          <w:color w:val="auto"/>
          <w:sz w:val="24"/>
          <w:szCs w:val="24"/>
          <w:highlight w:val="none"/>
        </w:rPr>
        <w:t>六、其他补充事宜</w:t>
      </w:r>
      <w:bookmarkEnd w:id="14"/>
    </w:p>
    <w:p w14:paraId="58C0C8F4">
      <w:pPr>
        <w:spacing w:line="360" w:lineRule="auto"/>
        <w:ind w:firstLine="964"/>
        <w:rPr>
          <w:rFonts w:hint="eastAsia" w:ascii="宋体" w:hAnsi="宋体" w:cs="宋体"/>
          <w:b/>
          <w:color w:val="auto"/>
          <w:sz w:val="24"/>
          <w:szCs w:val="24"/>
          <w:highlight w:val="none"/>
        </w:rPr>
      </w:pPr>
      <w:bookmarkStart w:id="15" w:name="OLE_LINK5"/>
      <w:bookmarkStart w:id="16" w:name="_Toc10479"/>
      <w:r>
        <w:rPr>
          <w:rFonts w:hint="eastAsia" w:ascii="宋体" w:hAnsi="宋体"/>
          <w:b/>
          <w:color w:val="auto"/>
          <w:sz w:val="24"/>
          <w:szCs w:val="24"/>
          <w:highlight w:val="none"/>
        </w:rPr>
        <w:t>1、</w:t>
      </w:r>
      <w:r>
        <w:rPr>
          <w:rFonts w:hint="eastAsia" w:ascii="宋体" w:hAnsi="宋体" w:cs="宋体"/>
          <w:b/>
          <w:color w:val="auto"/>
          <w:sz w:val="24"/>
          <w:szCs w:val="24"/>
          <w:highlight w:val="none"/>
        </w:rPr>
        <w:t>潜在供应商访问政府采购管理交易系统（苏采云）的网络地址和方法：</w:t>
      </w:r>
    </w:p>
    <w:p w14:paraId="380943F0">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CE1C2D3">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（2）“CA数字证书”的获取：供应商需办理CA锁，“苏采云”系统目前仅支持“苏采云”系统下的政务CA，省内各地区办理的“苏采云”系统下的政务CA全省通用。</w:t>
      </w:r>
    </w:p>
    <w:p w14:paraId="49E0687A">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（3）“CA数字证书”的办理材料以及供应商操作手册详见：http://jsxcmm.com/help/gys.html。</w:t>
      </w:r>
    </w:p>
    <w:p w14:paraId="03BF064B">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（4）潜在供应商访问“苏采云”系统的网络地址和方法：“苏采云”系统的网址：http://jszfcg.jsczt.cn/jszc/login。</w:t>
      </w:r>
    </w:p>
    <w:p w14:paraId="4594A148">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（5）采购文件（后缀名为“.kedt”）、供应商操作手册及政府采购客户端工具也可通过“苏采云”系统--已报名项目--报名详情页面内相应链接进行下载。</w:t>
      </w:r>
    </w:p>
    <w:p w14:paraId="74A892D0">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（6）招标代理机构（采购代理机构）将数据电文形式的采购文件加载至“苏采云”系统，供潜在供应商下载或者查阅。    </w:t>
      </w:r>
    </w:p>
    <w:p w14:paraId="0D568418">
      <w:pPr>
        <w:spacing w:line="360" w:lineRule="auto"/>
        <w:ind w:left="218" w:firstLine="379"/>
        <w:jc w:val="left"/>
        <w:rPr>
          <w:rFonts w:hint="eastAsia" w:ascii="宋体" w:hAnsi="宋体"/>
          <w:bCs/>
          <w:color w:val="auto"/>
          <w:sz w:val="24"/>
          <w:szCs w:val="24"/>
          <w:highlight w:val="none"/>
        </w:rPr>
      </w:pPr>
      <w:r>
        <w:rPr>
          <w:rFonts w:hint="eastAsia" w:ascii="宋体" w:hAnsi="宋体"/>
          <w:bCs/>
          <w:color w:val="auto"/>
          <w:sz w:val="24"/>
          <w:szCs w:val="24"/>
          <w:highlight w:val="none"/>
        </w:rPr>
        <w:t>（7）苏采云系统使用谷歌浏览器参与不见面开标。</w:t>
      </w:r>
    </w:p>
    <w:p w14:paraId="34BEDB4C">
      <w:pPr>
        <w:spacing w:line="360" w:lineRule="auto"/>
        <w:ind w:firstLine="420"/>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.有关本次采购的事项若存在变动或修改，敬请及时关注“江苏政府采购网”发布的信息。</w:t>
      </w:r>
      <w:bookmarkEnd w:id="15"/>
    </w:p>
    <w:p w14:paraId="151B6CB8">
      <w:pPr>
        <w:pStyle w:val="469"/>
        <w:numPr>
          <w:ilvl w:val="0"/>
          <w:numId w:val="6"/>
        </w:numPr>
        <w:tabs>
          <w:tab w:val="left" w:pos="1276"/>
        </w:tabs>
        <w:spacing w:line="312" w:lineRule="auto"/>
        <w:ind w:firstLine="723"/>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对本次招标提出询问，请按以下方式联系。</w:t>
      </w:r>
      <w:bookmarkEnd w:id="16"/>
    </w:p>
    <w:p w14:paraId="3143E6DC">
      <w:pPr>
        <w:pStyle w:val="469"/>
        <w:tabs>
          <w:tab w:val="left" w:pos="1276"/>
        </w:tabs>
        <w:spacing w:line="329" w:lineRule="auto"/>
        <w:ind w:left="709" w:firstLine="560"/>
        <w:rPr>
          <w:rFonts w:hint="eastAsia" w:ascii="宋体" w:hAnsi="宋体" w:cs="宋体"/>
          <w:color w:val="auto"/>
          <w:sz w:val="24"/>
          <w:szCs w:val="24"/>
          <w:highlight w:val="none"/>
        </w:rPr>
      </w:pPr>
      <w:bookmarkStart w:id="17" w:name="_Toc25617"/>
      <w:r>
        <w:rPr>
          <w:rFonts w:hint="eastAsia" w:ascii="宋体" w:hAnsi="宋体" w:cs="宋体"/>
          <w:color w:val="auto"/>
          <w:sz w:val="24"/>
          <w:szCs w:val="24"/>
          <w:highlight w:val="none"/>
        </w:rPr>
        <w:t>1.采购人信息</w:t>
      </w:r>
    </w:p>
    <w:p w14:paraId="1DB0C55E">
      <w:pPr>
        <w:pStyle w:val="469"/>
        <w:tabs>
          <w:tab w:val="left" w:pos="1276"/>
        </w:tabs>
        <w:spacing w:line="329" w:lineRule="auto"/>
        <w:ind w:left="709" w:firstLine="560"/>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rPr>
        <w:t>采购人：</w:t>
      </w:r>
      <w:r>
        <w:rPr>
          <w:rFonts w:hint="eastAsia" w:ascii="宋体" w:hAnsi="宋体" w:cs="宋体"/>
          <w:color w:val="auto"/>
          <w:sz w:val="24"/>
          <w:szCs w:val="24"/>
          <w:highlight w:val="none"/>
          <w:shd w:val="clear" w:color="auto" w:fill="FFFFFF"/>
          <w:lang w:eastAsia="zh-CN"/>
        </w:rPr>
        <w:t>‌南京医科大学第二附属医院</w:t>
      </w:r>
    </w:p>
    <w:p w14:paraId="4A8A1A35">
      <w:pPr>
        <w:pStyle w:val="469"/>
        <w:tabs>
          <w:tab w:val="left" w:pos="1276"/>
        </w:tabs>
        <w:spacing w:line="329" w:lineRule="auto"/>
        <w:ind w:left="709" w:firstLine="56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采购人地址： 江苏省南京市鼓楼区姜家园121号 </w:t>
      </w:r>
    </w:p>
    <w:p w14:paraId="3EF83F75">
      <w:pPr>
        <w:pStyle w:val="469"/>
        <w:tabs>
          <w:tab w:val="left" w:pos="1276"/>
        </w:tabs>
        <w:spacing w:line="329" w:lineRule="auto"/>
        <w:ind w:left="709" w:firstLine="56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联系方式：025-58509946</w:t>
      </w:r>
    </w:p>
    <w:p w14:paraId="6033F21D">
      <w:pPr>
        <w:pStyle w:val="469"/>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shd w:val="clear" w:color="auto" w:fill="FFFFFF"/>
        </w:rPr>
        <w:t>2.采购</w:t>
      </w:r>
      <w:r>
        <w:rPr>
          <w:rFonts w:hint="eastAsia" w:ascii="宋体" w:hAnsi="宋体" w:cs="宋体"/>
          <w:color w:val="auto"/>
          <w:sz w:val="24"/>
          <w:szCs w:val="24"/>
          <w:highlight w:val="none"/>
        </w:rPr>
        <w:t>代理机构信息</w:t>
      </w:r>
    </w:p>
    <w:p w14:paraId="41D59853">
      <w:pPr>
        <w:pStyle w:val="469"/>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名称：江苏弘业国际技术工程有限公司</w:t>
      </w:r>
    </w:p>
    <w:p w14:paraId="77413501">
      <w:pPr>
        <w:pStyle w:val="469"/>
        <w:tabs>
          <w:tab w:val="left" w:pos="1276"/>
        </w:tabs>
        <w:spacing w:line="329" w:lineRule="auto"/>
        <w:ind w:left="709" w:firstLine="56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rPr>
        <w:t>地址：南京市中华路50号弘业大厦10楼</w:t>
      </w:r>
    </w:p>
    <w:p w14:paraId="7CE12479">
      <w:pPr>
        <w:pStyle w:val="469"/>
        <w:tabs>
          <w:tab w:val="left" w:pos="1276"/>
        </w:tabs>
        <w:spacing w:line="329" w:lineRule="auto"/>
        <w:ind w:left="709" w:firstLine="560"/>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rPr>
        <w:t>联系方式：025-52278370</w:t>
      </w:r>
    </w:p>
    <w:p w14:paraId="59A9322E">
      <w:pPr>
        <w:pStyle w:val="469"/>
        <w:tabs>
          <w:tab w:val="left" w:pos="1276"/>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传  真：025-52278761</w:t>
      </w:r>
    </w:p>
    <w:p w14:paraId="664146B3">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邮箱：</w:t>
      </w:r>
      <w:r>
        <w:rPr>
          <w:color w:val="auto"/>
          <w:highlight w:val="none"/>
        </w:rPr>
        <w:fldChar w:fldCharType="begin"/>
      </w:r>
      <w:r>
        <w:rPr>
          <w:color w:val="auto"/>
          <w:highlight w:val="none"/>
        </w:rPr>
        <w:instrText xml:space="preserve"> HYPERLINK "mailto:hollyzbzy@artall.com" </w:instrText>
      </w:r>
      <w:r>
        <w:rPr>
          <w:color w:val="auto"/>
          <w:highlight w:val="none"/>
        </w:rPr>
        <w:fldChar w:fldCharType="separate"/>
      </w:r>
      <w:r>
        <w:rPr>
          <w:rFonts w:hint="eastAsia" w:ascii="宋体" w:hAnsi="宋体" w:cs="宋体"/>
          <w:color w:val="auto"/>
          <w:sz w:val="24"/>
          <w:szCs w:val="24"/>
          <w:highlight w:val="none"/>
        </w:rPr>
        <w:t>hollyzbzy@artall.com</w:t>
      </w:r>
      <w:r>
        <w:rPr>
          <w:rFonts w:hint="eastAsia" w:ascii="宋体" w:hAnsi="宋体" w:cs="宋体"/>
          <w:color w:val="auto"/>
          <w:sz w:val="24"/>
          <w:szCs w:val="24"/>
          <w:highlight w:val="none"/>
        </w:rPr>
        <w:fldChar w:fldCharType="end"/>
      </w:r>
    </w:p>
    <w:p w14:paraId="52B63295">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shd w:val="clear" w:color="auto" w:fill="FFFFFF"/>
        </w:rPr>
        <w:t>.</w:t>
      </w:r>
      <w:r>
        <w:rPr>
          <w:rFonts w:hint="eastAsia" w:ascii="宋体" w:hAnsi="宋体" w:cs="宋体"/>
          <w:color w:val="auto"/>
          <w:sz w:val="24"/>
          <w:szCs w:val="24"/>
          <w:highlight w:val="none"/>
        </w:rPr>
        <w:t>项目联系方式</w:t>
      </w:r>
    </w:p>
    <w:p w14:paraId="107ACFBE">
      <w:pPr>
        <w:pStyle w:val="469"/>
        <w:tabs>
          <w:tab w:val="left" w:pos="1276"/>
        </w:tabs>
        <w:spacing w:line="329" w:lineRule="auto"/>
        <w:ind w:left="709"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项目联系人：徐玥妮</w:t>
      </w:r>
    </w:p>
    <w:p w14:paraId="2FE14852">
      <w:pPr>
        <w:pStyle w:val="469"/>
        <w:tabs>
          <w:tab w:val="left" w:pos="1134"/>
        </w:tabs>
        <w:spacing w:line="329" w:lineRule="auto"/>
        <w:ind w:left="709" w:firstLine="560"/>
        <w:rPr>
          <w:rFonts w:hint="eastAsia" w:ascii="宋体" w:hAnsi="宋体" w:cs="宋体"/>
          <w:color w:val="auto"/>
          <w:sz w:val="24"/>
          <w:szCs w:val="24"/>
          <w:highlight w:val="none"/>
        </w:rPr>
      </w:pPr>
      <w:r>
        <w:rPr>
          <w:rFonts w:hint="eastAsia" w:ascii="宋体" w:hAnsi="宋体" w:cs="宋体"/>
          <w:color w:val="auto"/>
          <w:sz w:val="24"/>
          <w:szCs w:val="24"/>
          <w:highlight w:val="none"/>
        </w:rPr>
        <w:t>电话：025-52278370</w:t>
      </w:r>
      <w:bookmarkEnd w:id="17"/>
    </w:p>
    <w:p w14:paraId="36F5E31F">
      <w:pPr>
        <w:pStyle w:val="469"/>
        <w:tabs>
          <w:tab w:val="left" w:pos="1134"/>
        </w:tabs>
        <w:spacing w:line="329" w:lineRule="auto"/>
        <w:ind w:left="709" w:firstLine="560"/>
        <w:rPr>
          <w:rFonts w:hint="eastAsia" w:ascii="宋体" w:hAnsi="宋体" w:cs="宋体"/>
          <w:color w:val="auto"/>
          <w:sz w:val="24"/>
          <w:szCs w:val="24"/>
          <w:highlight w:val="none"/>
        </w:rPr>
      </w:pPr>
    </w:p>
    <w:p w14:paraId="1884EFE5">
      <w:pPr>
        <w:pStyle w:val="469"/>
        <w:tabs>
          <w:tab w:val="left" w:pos="1134"/>
        </w:tabs>
        <w:spacing w:line="329" w:lineRule="auto"/>
        <w:ind w:left="709" w:firstLine="56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江苏弘业国际技术工程有限公司</w:t>
      </w:r>
    </w:p>
    <w:p w14:paraId="4F6407AD">
      <w:pPr>
        <w:pStyle w:val="469"/>
        <w:tabs>
          <w:tab w:val="left" w:pos="1134"/>
        </w:tabs>
        <w:spacing w:line="329" w:lineRule="auto"/>
        <w:ind w:left="709" w:firstLine="560"/>
        <w:rPr>
          <w:rFonts w:hint="eastAsia" w:ascii="宋体" w:hAnsi="宋体" w:cs="宋体"/>
          <w:color w:val="auto"/>
          <w:sz w:val="24"/>
          <w:szCs w:val="24"/>
          <w:highlight w:val="none"/>
        </w:rPr>
      </w:pPr>
    </w:p>
    <w:p w14:paraId="779E761D">
      <w:pPr>
        <w:pStyle w:val="97"/>
        <w:rPr>
          <w:rFonts w:hint="eastAsia" w:ascii="宋体" w:hAnsi="宋体" w:eastAsia="宋体" w:cs="宋体"/>
          <w:color w:val="auto"/>
          <w:sz w:val="24"/>
          <w:szCs w:val="24"/>
          <w:highlight w:val="none"/>
        </w:rPr>
      </w:pPr>
    </w:p>
    <w:p w14:paraId="564DE6EF">
      <w:pPr>
        <w:pStyle w:val="291"/>
        <w:ind w:left="420" w:firstLine="480"/>
        <w:rPr>
          <w:color w:val="auto"/>
          <w:highlight w:val="none"/>
        </w:rPr>
      </w:pPr>
      <w:bookmarkStart w:id="18" w:name="_Toc1881"/>
    </w:p>
    <w:p w14:paraId="7482FF82">
      <w:pPr>
        <w:jc w:val="center"/>
        <w:outlineLvl w:val="0"/>
        <w:rPr>
          <w:b/>
          <w:color w:val="auto"/>
          <w:sz w:val="44"/>
          <w:szCs w:val="44"/>
          <w:highlight w:val="none"/>
        </w:rPr>
      </w:pPr>
      <w:r>
        <w:rPr>
          <w:rFonts w:hint="eastAsia"/>
          <w:b/>
          <w:color w:val="auto"/>
          <w:sz w:val="44"/>
          <w:szCs w:val="44"/>
          <w:highlight w:val="none"/>
        </w:rPr>
        <w:br w:type="page" w:clear="all"/>
      </w:r>
      <w:r>
        <w:rPr>
          <w:rFonts w:hint="eastAsia"/>
          <w:b/>
          <w:color w:val="auto"/>
          <w:sz w:val="44"/>
          <w:szCs w:val="44"/>
          <w:highlight w:val="none"/>
        </w:rPr>
        <w:t>第二部分  投标人须知</w:t>
      </w:r>
      <w:bookmarkEnd w:id="18"/>
    </w:p>
    <w:p w14:paraId="5310BA75">
      <w:pPr>
        <w:pStyle w:val="222"/>
        <w:keepNext w:val="0"/>
        <w:keepLines w:val="0"/>
        <w:spacing w:before="0" w:after="0" w:line="240" w:lineRule="auto"/>
        <w:jc w:val="center"/>
        <w:rPr>
          <w:color w:val="auto"/>
          <w:highlight w:val="none"/>
        </w:rPr>
      </w:pPr>
      <w:bookmarkStart w:id="19" w:name="_Toc514054471"/>
      <w:bookmarkStart w:id="20" w:name="_Toc17705"/>
      <w:r>
        <w:rPr>
          <w:rFonts w:hint="eastAsia"/>
          <w:color w:val="auto"/>
          <w:highlight w:val="none"/>
        </w:rPr>
        <w:t>投标人须知前附表</w:t>
      </w:r>
      <w:bookmarkEnd w:id="19"/>
      <w:bookmarkEnd w:id="20"/>
    </w:p>
    <w:tbl>
      <w:tblPr>
        <w:tblStyle w:val="35"/>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40B85A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395A14CF">
            <w:pPr>
              <w:jc w:val="center"/>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序号</w:t>
            </w:r>
          </w:p>
        </w:tc>
        <w:tc>
          <w:tcPr>
            <w:tcW w:w="2519" w:type="dxa"/>
            <w:noWrap w:val="0"/>
            <w:vAlign w:val="center"/>
          </w:tcPr>
          <w:p w14:paraId="4A740C26">
            <w:pPr>
              <w:jc w:val="center"/>
              <w:rPr>
                <w:rFonts w:hint="eastAsia" w:ascii="仿宋_GB2312" w:hAnsi="仿宋" w:eastAsia="仿宋_GB2312"/>
                <w:b/>
                <w:color w:val="auto"/>
                <w:sz w:val="24"/>
                <w:szCs w:val="24"/>
                <w:highlight w:val="none"/>
              </w:rPr>
            </w:pPr>
            <w:r>
              <w:rPr>
                <w:rFonts w:hint="eastAsia" w:ascii="仿宋_GB2312" w:hAnsi="仿宋" w:eastAsia="仿宋_GB2312"/>
                <w:b/>
                <w:color w:val="auto"/>
                <w:sz w:val="24"/>
                <w:szCs w:val="24"/>
                <w:highlight w:val="none"/>
              </w:rPr>
              <w:t>内容</w:t>
            </w:r>
          </w:p>
        </w:tc>
        <w:tc>
          <w:tcPr>
            <w:tcW w:w="6297" w:type="dxa"/>
            <w:noWrap w:val="0"/>
            <w:vAlign w:val="center"/>
          </w:tcPr>
          <w:p w14:paraId="322D67C4">
            <w:pPr>
              <w:jc w:val="center"/>
              <w:rPr>
                <w:rFonts w:hint="eastAsia" w:ascii="仿宋_GB2312" w:hAnsi="仿宋" w:eastAsia="仿宋_GB2312"/>
                <w:b/>
                <w:bCs/>
                <w:color w:val="auto"/>
                <w:sz w:val="24"/>
                <w:szCs w:val="24"/>
                <w:highlight w:val="none"/>
              </w:rPr>
            </w:pPr>
            <w:r>
              <w:rPr>
                <w:rFonts w:hint="eastAsia" w:ascii="仿宋_GB2312" w:hAnsi="仿宋" w:eastAsia="仿宋_GB2312"/>
                <w:b/>
                <w:bCs/>
                <w:color w:val="auto"/>
                <w:sz w:val="24"/>
                <w:szCs w:val="24"/>
                <w:highlight w:val="none"/>
              </w:rPr>
              <w:t>说明及要求</w:t>
            </w:r>
          </w:p>
        </w:tc>
      </w:tr>
      <w:tr w14:paraId="49D9F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0D1AA42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519" w:type="dxa"/>
            <w:noWrap w:val="0"/>
            <w:vAlign w:val="center"/>
          </w:tcPr>
          <w:p w14:paraId="76D59C1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特别说明</w:t>
            </w:r>
          </w:p>
        </w:tc>
        <w:tc>
          <w:tcPr>
            <w:tcW w:w="6297" w:type="dxa"/>
            <w:noWrap w:val="0"/>
            <w:vAlign w:val="center"/>
          </w:tcPr>
          <w:p w14:paraId="3CB07C90">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若有内容与投标人须知前附表内容不一致时，以投标人须知前附表为准。</w:t>
            </w:r>
          </w:p>
        </w:tc>
      </w:tr>
      <w:tr w14:paraId="70DF4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7EE101F7">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519" w:type="dxa"/>
            <w:noWrap w:val="0"/>
            <w:vAlign w:val="center"/>
          </w:tcPr>
          <w:p w14:paraId="0C5AA55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297" w:type="dxa"/>
            <w:noWrap w:val="0"/>
            <w:vAlign w:val="center"/>
          </w:tcPr>
          <w:p w14:paraId="0636049D">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本项目不收取投标保证金</w:t>
            </w:r>
          </w:p>
        </w:tc>
      </w:tr>
      <w:tr w14:paraId="41FA9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48307B5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519" w:type="dxa"/>
            <w:noWrap w:val="0"/>
            <w:vAlign w:val="center"/>
          </w:tcPr>
          <w:p w14:paraId="29B1DFB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297" w:type="dxa"/>
            <w:noWrap w:val="0"/>
            <w:vAlign w:val="center"/>
          </w:tcPr>
          <w:p w14:paraId="12717FC6">
            <w:pPr>
              <w:widowControl/>
              <w:rPr>
                <w:rFonts w:hint="eastAsia" w:ascii="宋体" w:hAnsi="宋体" w:cs="宋体"/>
                <w:color w:val="auto"/>
                <w:sz w:val="24"/>
                <w:szCs w:val="24"/>
                <w:highlight w:val="none"/>
              </w:rPr>
            </w:pPr>
            <w:bookmarkStart w:id="21" w:name="EBd40b5fb42f2944a3b45e579ce3941f02"/>
            <w:r>
              <w:rPr>
                <w:rFonts w:hint="eastAsia" w:ascii="宋体" w:hAnsi="宋体" w:cs="宋体"/>
                <w:color w:val="auto"/>
                <w:sz w:val="24"/>
                <w:szCs w:val="24"/>
                <w:highlight w:val="none"/>
              </w:rPr>
              <w:t>90</w:t>
            </w:r>
            <w:bookmarkEnd w:id="21"/>
            <w:r>
              <w:rPr>
                <w:rFonts w:hint="eastAsia" w:ascii="宋体" w:hAnsi="宋体" w:cs="宋体"/>
                <w:color w:val="auto"/>
                <w:sz w:val="24"/>
                <w:szCs w:val="24"/>
                <w:highlight w:val="none"/>
              </w:rPr>
              <w:t>日（从提交投标文件截止之日起算）</w:t>
            </w:r>
          </w:p>
        </w:tc>
      </w:tr>
      <w:tr w14:paraId="32D5B4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066785AA">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519" w:type="dxa"/>
            <w:noWrap w:val="0"/>
            <w:vAlign w:val="center"/>
          </w:tcPr>
          <w:p w14:paraId="2841021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297" w:type="dxa"/>
            <w:noWrap w:val="0"/>
            <w:vAlign w:val="center"/>
          </w:tcPr>
          <w:p w14:paraId="39F1C718">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p w14:paraId="1D85600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具体评标办法详见招标文件第三部分。</w:t>
            </w:r>
          </w:p>
          <w:p w14:paraId="44E60773">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评标委员会按照招标文件规定的评标办法和标准，确定各投标人经评审后的得分，并按得分由高到低进行排序。</w:t>
            </w:r>
          </w:p>
        </w:tc>
      </w:tr>
      <w:tr w14:paraId="7BCB49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0F2088F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519" w:type="dxa"/>
            <w:noWrap w:val="0"/>
            <w:vAlign w:val="center"/>
          </w:tcPr>
          <w:p w14:paraId="13C96B9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中标通知书领取</w:t>
            </w:r>
          </w:p>
        </w:tc>
        <w:tc>
          <w:tcPr>
            <w:tcW w:w="6297" w:type="dxa"/>
            <w:noWrap w:val="0"/>
            <w:vAlign w:val="center"/>
          </w:tcPr>
          <w:p w14:paraId="5DB2F607">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领取地址：南京市中华路50号弘业大厦10楼</w:t>
            </w:r>
          </w:p>
          <w:p w14:paraId="59953B2F">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需提供材料：中标服务费缴纳截图</w:t>
            </w:r>
          </w:p>
        </w:tc>
      </w:tr>
      <w:tr w14:paraId="1D94A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noWrap w:val="0"/>
            <w:vAlign w:val="center"/>
          </w:tcPr>
          <w:p w14:paraId="5051787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519" w:type="dxa"/>
            <w:noWrap w:val="0"/>
            <w:vAlign w:val="center"/>
          </w:tcPr>
          <w:p w14:paraId="685FD6E1">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中标服务费的收取</w:t>
            </w:r>
          </w:p>
        </w:tc>
        <w:tc>
          <w:tcPr>
            <w:tcW w:w="6297" w:type="dxa"/>
            <w:noWrap w:val="0"/>
            <w:vAlign w:val="center"/>
          </w:tcPr>
          <w:p w14:paraId="47994DC7">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本</w:t>
            </w:r>
            <w:r>
              <w:rPr>
                <w:rFonts w:hint="eastAsia" w:ascii="宋体" w:hAnsi="宋体" w:eastAsia="宋体" w:cs="宋体"/>
                <w:color w:val="auto"/>
                <w:sz w:val="24"/>
                <w:szCs w:val="24"/>
                <w:highlight w:val="none"/>
              </w:rPr>
              <w:t>项目中标服务费</w:t>
            </w:r>
            <w:r>
              <w:rPr>
                <w:rFonts w:hint="eastAsia" w:ascii="宋体" w:hAnsi="宋体" w:eastAsia="宋体" w:cs="宋体"/>
                <w:color w:val="auto"/>
                <w:sz w:val="24"/>
                <w:szCs w:val="24"/>
                <w:highlight w:val="none"/>
                <w:lang w:val="en-US" w:eastAsia="zh-CN"/>
              </w:rPr>
              <w:t>按照（2002）1980 号文件规定收费标准的 40% 执行，</w:t>
            </w:r>
            <w:r>
              <w:rPr>
                <w:rFonts w:hint="eastAsia" w:ascii="宋体" w:hAnsi="宋体" w:eastAsia="宋体" w:cs="宋体"/>
                <w:color w:val="auto"/>
                <w:sz w:val="24"/>
                <w:szCs w:val="24"/>
                <w:highlight w:val="none"/>
              </w:rPr>
              <w:t>中标人应在领取中标通知书前缴纳。</w:t>
            </w:r>
          </w:p>
          <w:p w14:paraId="6AE94077">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账户信息：</w:t>
            </w:r>
          </w:p>
          <w:p w14:paraId="049844F2">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户    名：江苏弘业国际技术工程有限公司</w:t>
            </w:r>
          </w:p>
          <w:p w14:paraId="4FD764A4">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开户银行：中国银行南京市中华路支行   </w:t>
            </w:r>
          </w:p>
          <w:p w14:paraId="09FBE146">
            <w:pPr>
              <w:widowControl/>
              <w:rPr>
                <w:color w:val="auto"/>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账    号：527460884999</w:t>
            </w:r>
          </w:p>
        </w:tc>
      </w:tr>
      <w:tr w14:paraId="32701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noWrap w:val="0"/>
            <w:vAlign w:val="center"/>
          </w:tcPr>
          <w:p w14:paraId="56B08E7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519" w:type="dxa"/>
            <w:noWrap w:val="0"/>
            <w:vAlign w:val="center"/>
          </w:tcPr>
          <w:p w14:paraId="493AB6B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297" w:type="dxa"/>
            <w:noWrap w:val="0"/>
            <w:vAlign w:val="center"/>
          </w:tcPr>
          <w:p w14:paraId="2CB89E7F">
            <w:pPr>
              <w:rPr>
                <w:color w:val="auto"/>
                <w:highlight w:val="none"/>
              </w:rPr>
            </w:pPr>
            <w:r>
              <w:rPr>
                <w:rFonts w:hint="eastAsia" w:ascii="宋体" w:hAnsi="宋体" w:cs="宋体"/>
                <w:color w:val="auto"/>
                <w:sz w:val="24"/>
                <w:szCs w:val="24"/>
                <w:highlight w:val="none"/>
              </w:rPr>
              <w:t>本项目不适用。</w:t>
            </w:r>
          </w:p>
        </w:tc>
      </w:tr>
      <w:tr w14:paraId="614AF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noWrap w:val="0"/>
            <w:vAlign w:val="center"/>
          </w:tcPr>
          <w:p w14:paraId="6C751121">
            <w:pPr>
              <w:jc w:val="center"/>
              <w:rPr>
                <w:rFonts w:hint="eastAsia" w:ascii="宋体" w:hAnsi="宋体" w:cs="宋体"/>
                <w:color w:val="auto"/>
                <w:sz w:val="24"/>
                <w:szCs w:val="24"/>
                <w:highlight w:val="none"/>
              </w:rPr>
            </w:pPr>
            <w:bookmarkStart w:id="22" w:name="_Toc25522"/>
            <w:bookmarkStart w:id="23" w:name="_Toc514054472"/>
            <w:r>
              <w:rPr>
                <w:rFonts w:hint="eastAsia" w:ascii="宋体" w:hAnsi="宋体" w:cs="宋体"/>
                <w:color w:val="auto"/>
                <w:sz w:val="24"/>
                <w:szCs w:val="24"/>
                <w:highlight w:val="none"/>
              </w:rPr>
              <w:t>8</w:t>
            </w:r>
          </w:p>
        </w:tc>
        <w:tc>
          <w:tcPr>
            <w:tcW w:w="2519" w:type="dxa"/>
            <w:noWrap w:val="0"/>
            <w:vAlign w:val="center"/>
          </w:tcPr>
          <w:p w14:paraId="3F8B5ED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采购标的所属行业</w:t>
            </w:r>
          </w:p>
        </w:tc>
        <w:tc>
          <w:tcPr>
            <w:tcW w:w="6297" w:type="dxa"/>
            <w:noWrap w:val="0"/>
            <w:vAlign w:val="center"/>
          </w:tcPr>
          <w:p w14:paraId="25004AC9">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本项目采购标的对应的行业主要为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其他未列明行业</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tc>
      </w:tr>
    </w:tbl>
    <w:p w14:paraId="5EBF5795">
      <w:pPr>
        <w:pStyle w:val="625"/>
        <w:outlineLvl w:val="1"/>
        <w:rPr>
          <w:rFonts w:hint="eastAsia" w:ascii="宋体" w:hAnsi="宋体" w:eastAsia="宋体" w:cs="宋体"/>
          <w:color w:val="auto"/>
          <w:highlight w:val="none"/>
        </w:rPr>
      </w:pPr>
      <w:r>
        <w:rPr>
          <w:rFonts w:hint="eastAsia" w:ascii="宋体" w:hAnsi="宋体" w:eastAsia="宋体" w:cs="宋体"/>
          <w:color w:val="auto"/>
          <w:highlight w:val="none"/>
        </w:rPr>
        <w:t>一、总 则</w:t>
      </w:r>
      <w:bookmarkEnd w:id="22"/>
      <w:bookmarkEnd w:id="23"/>
    </w:p>
    <w:p w14:paraId="7334852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1、招标方式</w:t>
      </w:r>
    </w:p>
    <w:p w14:paraId="4B6075F1">
      <w:pPr>
        <w:pStyle w:val="251"/>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本次招标采取公开招标方式。</w:t>
      </w:r>
    </w:p>
    <w:p w14:paraId="171A47BD">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2、合格的投标人</w:t>
      </w:r>
    </w:p>
    <w:p w14:paraId="42326B98">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2.1合格的投标人必须是有能力按照本招标文件规定的要求提供货物和相关服务，且具有独立承担民事等法律责任的法人或其它经济组织等。</w:t>
      </w:r>
    </w:p>
    <w:p w14:paraId="444762C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2.2合格的投标人必须符合招标文件第一部分《招标公告》第二条及须知前附表相关规定，且具备独立完成本项目的能力，中标后不允许分包、转包。</w:t>
      </w:r>
    </w:p>
    <w:p w14:paraId="63D8002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2.3合格的投标人应遵守《中华人民共和国政府采购法》、《中华人民共和国政府采购法实施条例》、《政府采购货物和服务招标投标管理办法》等法律、行政法规、部门规章和规范性文件。</w:t>
      </w:r>
    </w:p>
    <w:p w14:paraId="7A810D5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3、适用法律</w:t>
      </w:r>
    </w:p>
    <w:p w14:paraId="4893816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本次招标及由本次招标产生的合同受中华人民共和国的相关法律、法规制约和保护。</w:t>
      </w:r>
    </w:p>
    <w:p w14:paraId="6E40A4A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4、投标费用</w:t>
      </w:r>
    </w:p>
    <w:p w14:paraId="2E8360A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投标人应自行承担所有参加投标有关的费用。</w:t>
      </w:r>
    </w:p>
    <w:p w14:paraId="12B66C26">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5、招标文件的约束力</w:t>
      </w:r>
    </w:p>
    <w:p w14:paraId="4BFB0C3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投标人一旦参加本项目投标，即被认为接受了本招标文件的所有条件和规定。</w:t>
      </w:r>
    </w:p>
    <w:p w14:paraId="6B3F122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6、相同品牌产品投标</w:t>
      </w:r>
    </w:p>
    <w:p w14:paraId="135BB67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0A2D7B4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31AE41C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6.3、非单一产品采购项目，采购人确定核心产品，并在招标文件中载明。多家投标人提供的核心产品品牌全部相同的，按前两款规定处理。</w:t>
      </w:r>
    </w:p>
    <w:p w14:paraId="245C46A8">
      <w:pPr>
        <w:pStyle w:val="625"/>
        <w:outlineLvl w:val="1"/>
        <w:rPr>
          <w:rFonts w:hint="eastAsia" w:ascii="宋体" w:hAnsi="宋体" w:eastAsia="宋体" w:cs="宋体"/>
          <w:color w:val="auto"/>
          <w:highlight w:val="none"/>
        </w:rPr>
      </w:pPr>
      <w:bookmarkStart w:id="24" w:name="_Toc21335"/>
      <w:bookmarkStart w:id="25" w:name="_Toc514054473"/>
      <w:r>
        <w:rPr>
          <w:rFonts w:hint="eastAsia" w:ascii="宋体" w:hAnsi="宋体" w:eastAsia="宋体" w:cs="宋体"/>
          <w:color w:val="auto"/>
          <w:highlight w:val="none"/>
        </w:rPr>
        <w:t>二、招标文件</w:t>
      </w:r>
      <w:bookmarkEnd w:id="24"/>
      <w:bookmarkEnd w:id="25"/>
    </w:p>
    <w:p w14:paraId="1AE73A5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7、招标文件构成</w:t>
      </w:r>
    </w:p>
    <w:p w14:paraId="0A4CEA4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第一部分：招标公告；</w:t>
      </w:r>
    </w:p>
    <w:p w14:paraId="57AC635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p>
    <w:p w14:paraId="702AF07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第三部分：评标方法和标准；</w:t>
      </w:r>
    </w:p>
    <w:p w14:paraId="10B6230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第四部分：采购需求；</w:t>
      </w:r>
    </w:p>
    <w:p w14:paraId="0F497AD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第五部分：合同格式及条款；</w:t>
      </w:r>
    </w:p>
    <w:p w14:paraId="3FC8759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第六部分：投标文件格式。</w:t>
      </w:r>
    </w:p>
    <w:p w14:paraId="5C60E6F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8、招标文件的澄清</w:t>
      </w:r>
    </w:p>
    <w:p w14:paraId="46B1E63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任何要求对招标文件澄清的投标人，均应在法律法规规定的时间内提出，采购代理机构对规定时间内收到的澄清要求予以答复，答复不包括问题的来源。</w:t>
      </w:r>
    </w:p>
    <w:p w14:paraId="3CC60D5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9、招标文件的修改</w:t>
      </w:r>
    </w:p>
    <w:p w14:paraId="241F119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9.1在投标文件接收截止日期15日前，采购代理机构可以更正公告或补充文件的形式对招标文件进行修改。</w:t>
      </w:r>
    </w:p>
    <w:p w14:paraId="70D132D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9.2</w:t>
      </w:r>
      <w:r>
        <w:rPr>
          <w:rFonts w:hint="eastAsia" w:ascii="宋体" w:hAnsi="宋体"/>
          <w:color w:val="auto"/>
          <w:sz w:val="24"/>
          <w:highlight w:val="none"/>
        </w:rPr>
        <w:t>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color w:val="auto"/>
          <w:sz w:val="24"/>
          <w:highlight w:val="none"/>
        </w:rPr>
        <w:t xml:space="preserve"> </w:t>
      </w:r>
    </w:p>
    <w:p w14:paraId="4FF0A62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9.3为使投标人有充分的时间对招标文件的修改部分进行分析、研究，采购代理机构有权推迟投标文件接收截止日期和开标日期，并将此变更通知所有已获取招标文件的投标人。</w:t>
      </w:r>
    </w:p>
    <w:p w14:paraId="359A15C4">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26" w:name="EB453bde7f4ddc418fae2aad9fbcd82554"/>
      <w:r>
        <w:rPr>
          <w:rFonts w:hint="eastAsia" w:ascii="宋体" w:hAnsi="宋体" w:cs="宋体"/>
          <w:color w:val="auto"/>
          <w:sz w:val="20"/>
          <w:highlight w:val="none"/>
        </w:rPr>
        <w:t xml:space="preserve"> </w:t>
      </w:r>
      <w:bookmarkEnd w:id="26"/>
      <w:bookmarkStart w:id="27" w:name="EBec71fc1696a240c4b620fe1e00b2ce58"/>
      <w:r>
        <w:rPr>
          <w:rFonts w:hint="eastAsia" w:ascii="宋体" w:hAnsi="宋体" w:cs="宋体"/>
          <w:color w:val="auto"/>
          <w:sz w:val="20"/>
          <w:highlight w:val="none"/>
        </w:rPr>
        <w:t xml:space="preserve"> </w:t>
      </w:r>
      <w:bookmarkEnd w:id="27"/>
    </w:p>
    <w:p w14:paraId="5774C367">
      <w:pPr>
        <w:pStyle w:val="625"/>
        <w:outlineLvl w:val="1"/>
        <w:rPr>
          <w:rFonts w:hint="eastAsia" w:ascii="宋体" w:hAnsi="宋体" w:eastAsia="宋体" w:cs="宋体"/>
          <w:color w:val="auto"/>
          <w:highlight w:val="none"/>
        </w:rPr>
      </w:pPr>
      <w:bookmarkStart w:id="28" w:name="_Toc26908"/>
      <w:bookmarkStart w:id="29" w:name="_Toc514054474"/>
      <w:r>
        <w:rPr>
          <w:rFonts w:hint="eastAsia" w:ascii="宋体" w:hAnsi="宋体" w:eastAsia="宋体" w:cs="宋体"/>
          <w:color w:val="auto"/>
          <w:highlight w:val="none"/>
        </w:rPr>
        <w:t>三、投标文件的编制</w:t>
      </w:r>
      <w:bookmarkEnd w:id="28"/>
      <w:bookmarkEnd w:id="29"/>
    </w:p>
    <w:p w14:paraId="1124F86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10、投标文件的编制要求</w:t>
      </w:r>
    </w:p>
    <w:p w14:paraId="25C4D8E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4BCAED3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10.2投标文件应当对招标文件有关交货期、投标有效期、质量要求、技术标准和要求、招标范围、付款方式等实质性内容作出响应。</w:t>
      </w:r>
    </w:p>
    <w:p w14:paraId="708ABC55">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11、投标文件构成</w:t>
      </w:r>
    </w:p>
    <w:p w14:paraId="17132B9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11.1资格证明文件；</w:t>
      </w:r>
    </w:p>
    <w:p w14:paraId="3BB5DBA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11.1.1具有独立承担民事责任的能力（</w:t>
      </w:r>
      <w:r>
        <w:rPr>
          <w:rFonts w:hint="eastAsia" w:ascii="宋体" w:hAnsi="宋体" w:cs="宋体"/>
          <w:color w:val="auto"/>
          <w:sz w:val="24"/>
          <w:szCs w:val="24"/>
          <w:highlight w:val="none"/>
        </w:rPr>
        <w:t>提供法人或者其他组织的营业执照等证明文件；供应商为自然人的，提供其身份证</w:t>
      </w:r>
      <w:r>
        <w:rPr>
          <w:rFonts w:hint="eastAsia" w:ascii="宋体" w:hAnsi="宋体" w:cs="宋体"/>
          <w:color w:val="auto"/>
          <w:sz w:val="24"/>
          <w:highlight w:val="none"/>
        </w:rPr>
        <w:t>）；</w:t>
      </w:r>
    </w:p>
    <w:p w14:paraId="408E24E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11.1.2具有良好的商业信誉和健全的财务会计制度（提供</w:t>
      </w:r>
      <w:r>
        <w:rPr>
          <w:rFonts w:hint="eastAsia" w:ascii="宋体" w:hAnsi="宋体" w:cs="宋体"/>
          <w:color w:val="auto"/>
          <w:sz w:val="24"/>
          <w:highlight w:val="none"/>
          <w:lang w:eastAsia="zh-CN"/>
        </w:rPr>
        <w:t>2025年度财务报告</w:t>
      </w:r>
      <w:r>
        <w:rPr>
          <w:rFonts w:hint="eastAsia" w:ascii="宋体" w:hAnsi="宋体" w:cs="宋体"/>
          <w:color w:val="auto"/>
          <w:sz w:val="24"/>
          <w:highlight w:val="none"/>
        </w:rPr>
        <w:t>，至少包含资产负债表、利润表，或投标截止时间前六个月内银行出具的资信证明，成立不满一年的无须提供）；</w:t>
      </w:r>
    </w:p>
    <w:p w14:paraId="1B919E1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11.1.3具有履行合同所必需的设备和专业技术能力（供应商根据履行采购项目合同需要，提供履行合同所必需的设备和专业技术能力的声明函或证明材料）；</w:t>
      </w:r>
    </w:p>
    <w:p w14:paraId="5D60BB23">
      <w:pPr>
        <w:spacing w:line="329" w:lineRule="auto"/>
        <w:ind w:firstLine="480"/>
        <w:rPr>
          <w:rFonts w:hint="eastAsia" w:ascii="宋体" w:hAnsi="宋体" w:cs="宋体"/>
          <w:color w:val="auto"/>
          <w:sz w:val="24"/>
          <w:highlight w:val="none"/>
        </w:rPr>
      </w:pPr>
      <w:r>
        <w:rPr>
          <w:rFonts w:hint="eastAsia" w:ascii="宋体" w:hAnsi="宋体" w:cs="宋体"/>
          <w:color w:val="auto"/>
          <w:sz w:val="24"/>
          <w:highlight w:val="none"/>
        </w:rPr>
        <w:t>11.1.4有依法缴纳税收和社会保障资金的良好记录（参加本次政府采购活动前6个月内至少一个月缴纳税收及缴纳社会保障资金的证明材料，投标人依法享受缓缴、免缴税收、社会保障资金的，需提供证明材料）；</w:t>
      </w:r>
    </w:p>
    <w:p w14:paraId="512939F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11.1.5参加政府采购活动前三年内，在经营活动中没有重大违法记录（提供承诺书）；</w:t>
      </w:r>
    </w:p>
    <w:p w14:paraId="28407FF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11.1.6法律、行政法规规定的其他条件。</w:t>
      </w:r>
    </w:p>
    <w:p w14:paraId="76269D2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11.1.7</w:t>
      </w:r>
      <w:r>
        <w:rPr>
          <w:rFonts w:hint="eastAsia"/>
          <w:color w:val="auto"/>
          <w:highlight w:val="none"/>
        </w:rPr>
        <w:t xml:space="preserve"> </w:t>
      </w:r>
      <w:r>
        <w:rPr>
          <w:rFonts w:hint="eastAsia" w:ascii="宋体" w:hAnsi="宋体" w:cs="宋体"/>
          <w:color w:val="auto"/>
          <w:sz w:val="24"/>
          <w:highlight w:val="none"/>
        </w:rPr>
        <w:t>拒绝被“信用中国”（www.creditchina.gov.cn）、“中国政府采购网”(www.ccgp.gov.cn）列入失信被执行人、重大税收违法案件当事人、政府采购严重失信行为的供应商参加投标。</w:t>
      </w:r>
    </w:p>
    <w:p w14:paraId="33BFFAB9">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11.2投标函；</w:t>
      </w:r>
    </w:p>
    <w:p w14:paraId="049B788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11.3法定代表人身份证明或法定代表人授权委托</w:t>
      </w:r>
      <w:bookmarkStart w:id="30" w:name="EB1a77376dbd044d229c365f6951816069"/>
      <w:r>
        <w:rPr>
          <w:rFonts w:hint="eastAsia" w:ascii="宋体" w:hAnsi="宋体" w:cs="宋体"/>
          <w:bCs/>
          <w:color w:val="auto"/>
          <w:sz w:val="24"/>
          <w:szCs w:val="24"/>
          <w:highlight w:val="none"/>
        </w:rPr>
        <w:t>书（并按要求提供法定代表人或授权委托人居民身份证复印件加盖公章；如为授权委托人参加投标的，须提供开标前6个月内任意一个月投标人单位为授权委托人缴纳的社保证明材料）；</w:t>
      </w:r>
      <w:bookmarkEnd w:id="30"/>
    </w:p>
    <w:p w14:paraId="764740A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11.4报价文件</w:t>
      </w:r>
    </w:p>
    <w:p w14:paraId="2DAF834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11.4.1开标一览表；</w:t>
      </w:r>
    </w:p>
    <w:p w14:paraId="7A2B5D2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11.4.2明细报价表。</w:t>
      </w:r>
    </w:p>
    <w:p w14:paraId="04ABAE0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11.5技术文件</w:t>
      </w:r>
    </w:p>
    <w:p w14:paraId="3395DDD4">
      <w:pPr>
        <w:spacing w:line="500" w:lineRule="exact"/>
        <w:ind w:firstLine="480"/>
        <w:rPr>
          <w:rFonts w:hint="eastAsia" w:ascii="宋体" w:hAnsi="宋体" w:cs="宋体"/>
          <w:color w:val="auto"/>
          <w:sz w:val="24"/>
          <w:highlight w:val="none"/>
        </w:rPr>
      </w:pPr>
      <w:bookmarkStart w:id="31" w:name="EB7f6b24a996964930b08d6b290b36e3fd"/>
      <w:r>
        <w:rPr>
          <w:rFonts w:hint="eastAsia" w:ascii="宋体" w:hAnsi="宋体" w:cs="宋体"/>
          <w:color w:val="auto"/>
          <w:sz w:val="24"/>
          <w:highlight w:val="none"/>
        </w:rPr>
        <w:t>11.5.1技术响应偏差表</w:t>
      </w:r>
      <w:bookmarkEnd w:id="31"/>
      <w:r>
        <w:rPr>
          <w:rFonts w:hint="eastAsia" w:ascii="宋体" w:hAnsi="宋体" w:cs="宋体"/>
          <w:color w:val="auto"/>
          <w:sz w:val="24"/>
          <w:highlight w:val="none"/>
        </w:rPr>
        <w:t>,商务</w:t>
      </w:r>
      <w:r>
        <w:rPr>
          <w:rFonts w:ascii="宋体" w:hAnsi="宋体" w:cs="宋体"/>
          <w:color w:val="auto"/>
          <w:sz w:val="24"/>
          <w:highlight w:val="none"/>
        </w:rPr>
        <w:t>响应偏差表。</w:t>
      </w:r>
    </w:p>
    <w:p w14:paraId="7A298E14">
      <w:pPr>
        <w:spacing w:line="500" w:lineRule="exact"/>
        <w:ind w:firstLine="480"/>
        <w:rPr>
          <w:rFonts w:hint="eastAsia" w:ascii="宋体" w:hAnsi="宋体"/>
          <w:bCs/>
          <w:color w:val="auto"/>
          <w:sz w:val="24"/>
          <w:szCs w:val="24"/>
          <w:highlight w:val="none"/>
        </w:rPr>
      </w:pPr>
      <w:r>
        <w:rPr>
          <w:rFonts w:hint="eastAsia" w:ascii="宋体" w:hAnsi="宋体" w:cs="宋体"/>
          <w:color w:val="auto"/>
          <w:sz w:val="24"/>
          <w:highlight w:val="none"/>
        </w:rPr>
        <w:t>11.5.2</w:t>
      </w:r>
      <w:r>
        <w:rPr>
          <w:rFonts w:hint="eastAsia" w:ascii="宋体" w:hAnsi="宋体"/>
          <w:bCs/>
          <w:color w:val="auto"/>
          <w:sz w:val="24"/>
          <w:szCs w:val="24"/>
          <w:highlight w:val="none"/>
        </w:rPr>
        <w:t>其他技术文件（根据评分点自行提供）</w:t>
      </w:r>
    </w:p>
    <w:p w14:paraId="7AAD5F8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11.6商务文件</w:t>
      </w:r>
    </w:p>
    <w:p w14:paraId="5641850A">
      <w:pPr>
        <w:spacing w:line="500" w:lineRule="exact"/>
        <w:ind w:firstLine="480"/>
        <w:rPr>
          <w:rFonts w:hint="eastAsia" w:ascii="宋体" w:hAnsi="宋体" w:cs="宋体"/>
          <w:color w:val="auto"/>
          <w:sz w:val="24"/>
          <w:highlight w:val="none"/>
        </w:rPr>
      </w:pPr>
      <w:bookmarkStart w:id="32" w:name="EBdc2c24f6358343e896cd43bd6621a619"/>
      <w:r>
        <w:rPr>
          <w:rFonts w:hint="eastAsia" w:ascii="宋体" w:hAnsi="宋体" w:cs="宋体"/>
          <w:color w:val="auto"/>
          <w:sz w:val="24"/>
          <w:highlight w:val="none"/>
        </w:rPr>
        <w:t>11.6.1投标人承担的业绩一览表，提供合同相关资料；</w:t>
      </w:r>
    </w:p>
    <w:p w14:paraId="71F8BC1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11.6.2其他商务文件。</w:t>
      </w:r>
      <w:bookmarkEnd w:id="32"/>
    </w:p>
    <w:p w14:paraId="794738FC">
      <w:pPr>
        <w:numPr>
          <w:ilvl w:val="0"/>
          <w:numId w:val="7"/>
        </w:num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投标文件构成资料为非中文时应提供中文译版，并以中文为准，否则可视为未提供；</w:t>
      </w:r>
    </w:p>
    <w:p w14:paraId="4EC75441">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13、投标报价</w:t>
      </w:r>
    </w:p>
    <w:p w14:paraId="6ED26891">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13.1本项目不接受备选的投标方案或有选择的报价，只允许有一个报价。投标报价内容包括：</w:t>
      </w:r>
      <w:bookmarkStart w:id="33" w:name="EB54dd097a55df4796bd5f9b6bdf2ddc40"/>
      <w:r>
        <w:rPr>
          <w:rFonts w:hint="eastAsia" w:ascii="宋体" w:hAnsi="宋体" w:cs="宋体"/>
          <w:color w:val="auto"/>
          <w:sz w:val="24"/>
          <w:highlight w:val="none"/>
        </w:rPr>
        <w:t>设备本身、安装调试费、人工费、服务费、税金以及交付使用过程中涉及到的其他一切费用。</w:t>
      </w:r>
      <w:bookmarkEnd w:id="33"/>
    </w:p>
    <w:p w14:paraId="56C8F6D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13.3报价注意事项：</w:t>
      </w:r>
    </w:p>
    <w:p w14:paraId="3AEC103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13.3.1价格一律以人民币计算；</w:t>
      </w:r>
    </w:p>
    <w:p w14:paraId="501704F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13.3.2投标人报价时应充分考虑所有可能影响到报价的因素，一旦评标结束最终中标，如发生漏、缺、少项，都将被认为是中标人的报价让利行为，损失自负。</w:t>
      </w:r>
    </w:p>
    <w:p w14:paraId="757706C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14、投标保证金</w:t>
      </w:r>
    </w:p>
    <w:p w14:paraId="56DBA335">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本项目不收取投标保证金。</w:t>
      </w:r>
    </w:p>
    <w:p w14:paraId="70697D4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15.招标代理服务费</w:t>
      </w:r>
    </w:p>
    <w:p w14:paraId="6EBB3F1B">
      <w:pPr>
        <w:spacing w:line="500" w:lineRule="exact"/>
        <w:ind w:firstLine="482"/>
        <w:rPr>
          <w:rFonts w:hint="eastAsia" w:ascii="宋体" w:hAnsi="宋体" w:cs="宋体"/>
          <w:color w:val="auto"/>
          <w:sz w:val="24"/>
          <w:highlight w:val="none"/>
        </w:rPr>
      </w:pPr>
      <w:r>
        <w:rPr>
          <w:rFonts w:hint="eastAsia" w:ascii="宋体" w:hAnsi="宋体" w:cs="宋体"/>
          <w:color w:val="auto"/>
          <w:sz w:val="24"/>
          <w:highlight w:val="none"/>
        </w:rPr>
        <w:t>15.1本项目中标服务费</w:t>
      </w:r>
      <w:r>
        <w:rPr>
          <w:rFonts w:hint="eastAsia" w:ascii="宋体" w:hAnsi="宋体" w:cs="宋体"/>
          <w:color w:val="auto"/>
          <w:sz w:val="24"/>
          <w:highlight w:val="none"/>
          <w:lang w:val="en-US" w:eastAsia="zh-CN"/>
        </w:rPr>
        <w:t>按照（2002）1980 号文件规定收费标准的 40% 执行，</w:t>
      </w:r>
      <w:r>
        <w:rPr>
          <w:rFonts w:hint="eastAsia" w:ascii="宋体" w:hAnsi="宋体" w:cs="宋体"/>
          <w:color w:val="auto"/>
          <w:sz w:val="24"/>
          <w:highlight w:val="none"/>
        </w:rPr>
        <w:t>中标人应在领取中标通知书前缴纳。</w:t>
      </w:r>
    </w:p>
    <w:p w14:paraId="1D15F56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16、投标有效期</w:t>
      </w:r>
    </w:p>
    <w:p w14:paraId="669E774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p>
    <w:p w14:paraId="0816FBDB">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34" w:name="EB12ed6b870f334fa092f7ed1f9a9dbab8"/>
      <w:r>
        <w:rPr>
          <w:rFonts w:hint="eastAsia" w:ascii="宋体" w:hAnsi="宋体" w:cs="宋体"/>
          <w:color w:val="auto"/>
          <w:sz w:val="20"/>
          <w:highlight w:val="none"/>
        </w:rPr>
        <w:t xml:space="preserve"> </w:t>
      </w:r>
      <w:bookmarkEnd w:id="34"/>
      <w:bookmarkStart w:id="35" w:name="EB5d36e8077cc64e309c0c0f0cd8a6f496"/>
      <w:r>
        <w:rPr>
          <w:rFonts w:hint="eastAsia" w:ascii="宋体" w:hAnsi="宋体" w:cs="宋体"/>
          <w:color w:val="auto"/>
          <w:sz w:val="20"/>
          <w:highlight w:val="none"/>
        </w:rPr>
        <w:t xml:space="preserve"> </w:t>
      </w:r>
      <w:bookmarkEnd w:id="35"/>
    </w:p>
    <w:p w14:paraId="607C6D06">
      <w:pPr>
        <w:pStyle w:val="625"/>
        <w:outlineLvl w:val="1"/>
        <w:rPr>
          <w:rFonts w:hint="eastAsia" w:ascii="宋体" w:hAnsi="宋体" w:eastAsia="宋体" w:cs="宋体"/>
          <w:color w:val="auto"/>
          <w:highlight w:val="none"/>
        </w:rPr>
      </w:pPr>
      <w:bookmarkStart w:id="36" w:name="_Toc514054475"/>
      <w:bookmarkStart w:id="37" w:name="_Toc26211"/>
      <w:r>
        <w:rPr>
          <w:rFonts w:hint="eastAsia" w:ascii="宋体" w:hAnsi="宋体" w:eastAsia="宋体" w:cs="宋体"/>
          <w:color w:val="auto"/>
          <w:highlight w:val="none"/>
        </w:rPr>
        <w:t>四、投标文件的提交</w:t>
      </w:r>
      <w:bookmarkEnd w:id="36"/>
      <w:bookmarkEnd w:id="37"/>
    </w:p>
    <w:p w14:paraId="2AAA6842">
      <w:pPr>
        <w:spacing w:line="500" w:lineRule="exact"/>
        <w:ind w:firstLine="482"/>
        <w:rPr>
          <w:rFonts w:hint="eastAsia" w:ascii="宋体" w:hAnsi="宋体" w:cs="宋体"/>
          <w:b/>
          <w:color w:val="auto"/>
          <w:sz w:val="24"/>
          <w:highlight w:val="none"/>
        </w:rPr>
      </w:pPr>
      <w:bookmarkStart w:id="38" w:name="_Toc514054476"/>
      <w:bookmarkStart w:id="39" w:name="_Toc11452"/>
      <w:r>
        <w:rPr>
          <w:rFonts w:hint="eastAsia" w:ascii="宋体" w:hAnsi="宋体" w:cs="宋体"/>
          <w:b/>
          <w:color w:val="auto"/>
          <w:sz w:val="24"/>
          <w:highlight w:val="none"/>
        </w:rPr>
        <w:t>17.1、投标文件的提交</w:t>
      </w:r>
    </w:p>
    <w:p w14:paraId="25359DC8">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17.1.1 电子投标文件的递交</w:t>
      </w:r>
    </w:p>
    <w:p w14:paraId="4CA8F845">
      <w:pPr>
        <w:spacing w:line="520" w:lineRule="exact"/>
        <w:ind w:firstLine="480"/>
        <w:rPr>
          <w:rFonts w:hint="eastAsia" w:ascii="宋体" w:hAnsi="宋体"/>
          <w:color w:val="auto"/>
          <w:sz w:val="24"/>
          <w:highlight w:val="none"/>
        </w:rPr>
      </w:pPr>
      <w:r>
        <w:rPr>
          <w:rFonts w:hint="eastAsia" w:ascii="宋体" w:hAnsi="宋体"/>
          <w:color w:val="auto"/>
          <w:sz w:val="24"/>
          <w:highlight w:val="none"/>
        </w:rPr>
        <w:t>投标人应当按照《操作手册》规定，在投标截止时间前制作并上传电子投标文件。</w:t>
      </w:r>
      <w:bookmarkStart w:id="40" w:name="_Toc20823298"/>
      <w:bookmarkEnd w:id="40"/>
      <w:bookmarkStart w:id="41" w:name="_Toc16938542"/>
      <w:bookmarkEnd w:id="41"/>
    </w:p>
    <w:p w14:paraId="491ECDF5">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17.2、投标截止时间</w:t>
      </w:r>
    </w:p>
    <w:p w14:paraId="4160BF41">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17.2.1投标人上传电子投标文件的时间不得迟于招标公告中规定的投标截止时间。</w:t>
      </w:r>
    </w:p>
    <w:p w14:paraId="3CD64958">
      <w:pPr>
        <w:spacing w:line="520" w:lineRule="exact"/>
        <w:ind w:firstLine="480"/>
        <w:rPr>
          <w:rFonts w:hint="eastAsia" w:ascii="宋体" w:hAnsi="宋体"/>
          <w:color w:val="auto"/>
          <w:sz w:val="24"/>
          <w:highlight w:val="none"/>
        </w:rPr>
      </w:pPr>
      <w:r>
        <w:rPr>
          <w:rFonts w:hint="eastAsia" w:ascii="宋体" w:hAnsi="宋体"/>
          <w:color w:val="auto"/>
          <w:sz w:val="24"/>
          <w:highlight w:val="none"/>
        </w:rPr>
        <w:t>投标人应充分考虑到网络环境、网络带宽等风险因素，如因投标人自身原因造成的电子投标文件上传不成功的按照本招标文件第二部分第18.1.2条 规定做无效投标处理。</w:t>
      </w:r>
    </w:p>
    <w:p w14:paraId="2C5EC197">
      <w:pPr>
        <w:spacing w:line="520" w:lineRule="exact"/>
        <w:ind w:firstLine="480"/>
        <w:rPr>
          <w:color w:val="auto"/>
          <w:highlight w:val="none"/>
        </w:rPr>
      </w:pPr>
      <w:r>
        <w:rPr>
          <w:rFonts w:hint="eastAsia" w:ascii="宋体" w:hAnsi="宋体"/>
          <w:color w:val="auto"/>
          <w:sz w:val="24"/>
          <w:highlight w:val="none"/>
        </w:rPr>
        <w:t>17.2.2采购代理机构可以按照规定，通过修改招标文件酌情延长投标截止时间，在此情况下，投标人的所有权利和义务以及投标人受制的截止时间均应以延长后新的截止时间为准。</w:t>
      </w:r>
    </w:p>
    <w:p w14:paraId="36329781">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17.3、投标文件被拒绝接收的情形</w:t>
      </w:r>
    </w:p>
    <w:p w14:paraId="004BA52D">
      <w:pPr>
        <w:spacing w:line="520" w:lineRule="exact"/>
        <w:ind w:firstLine="480"/>
        <w:rPr>
          <w:rFonts w:hint="eastAsia" w:ascii="宋体" w:hAnsi="宋体" w:cs="宋体"/>
          <w:color w:val="auto"/>
          <w:sz w:val="20"/>
          <w:highlight w:val="none"/>
        </w:rPr>
      </w:pPr>
      <w:r>
        <w:rPr>
          <w:rFonts w:hint="eastAsia" w:ascii="宋体" w:hAnsi="宋体" w:cs="宋体"/>
          <w:color w:val="auto"/>
          <w:sz w:val="24"/>
          <w:highlight w:val="none"/>
        </w:rPr>
        <w:t>17.3.1</w:t>
      </w:r>
      <w:bookmarkStart w:id="42" w:name="EB200c38d7a1c345f29b604b38d510a951"/>
      <w:r>
        <w:rPr>
          <w:rFonts w:hint="eastAsia" w:ascii="宋体" w:hAnsi="宋体"/>
          <w:color w:val="auto"/>
          <w:sz w:val="24"/>
          <w:highlight w:val="none"/>
        </w:rPr>
        <w:t>采购代理机构拒绝接收在其规定的投标截止时间后上传的任何投标文件。</w:t>
      </w:r>
      <w:r>
        <w:rPr>
          <w:rFonts w:hint="eastAsia" w:ascii="宋体" w:hAnsi="宋体" w:cs="宋体"/>
          <w:color w:val="auto"/>
          <w:sz w:val="20"/>
          <w:highlight w:val="none"/>
        </w:rPr>
        <w:t xml:space="preserve"> </w:t>
      </w:r>
      <w:bookmarkEnd w:id="42"/>
    </w:p>
    <w:p w14:paraId="74502F85">
      <w:pPr>
        <w:spacing w:line="520" w:lineRule="exact"/>
        <w:ind w:firstLine="480"/>
        <w:rPr>
          <w:rFonts w:hint="eastAsia" w:ascii="宋体" w:hAnsi="宋体"/>
          <w:b/>
          <w:bCs/>
          <w:color w:val="auto"/>
          <w:sz w:val="24"/>
          <w:highlight w:val="none"/>
        </w:rPr>
      </w:pPr>
      <w:bookmarkStart w:id="43" w:name="_Toc16938544"/>
      <w:bookmarkStart w:id="44" w:name="_Toc513029228"/>
      <w:bookmarkStart w:id="45" w:name="_Toc20823300"/>
      <w:r>
        <w:rPr>
          <w:rFonts w:hint="eastAsia" w:ascii="宋体" w:hAnsi="宋体"/>
          <w:b/>
          <w:bCs/>
          <w:color w:val="auto"/>
          <w:sz w:val="24"/>
          <w:highlight w:val="none"/>
        </w:rPr>
        <w:t>17.4、投标文件的撤回和修改</w:t>
      </w:r>
      <w:bookmarkEnd w:id="43"/>
      <w:bookmarkEnd w:id="44"/>
      <w:bookmarkEnd w:id="45"/>
    </w:p>
    <w:p w14:paraId="0D3BA621">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17.4.1投标文件的撤回</w:t>
      </w:r>
    </w:p>
    <w:p w14:paraId="54976C39">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17.4.1.1电子投标文件的撤回</w:t>
      </w:r>
    </w:p>
    <w:p w14:paraId="27E8AEF6">
      <w:pPr>
        <w:spacing w:line="52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2271D68F">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17.4.1.2投标人撤回电子投标文件，则认为其不再参与本项目投标活动。</w:t>
      </w:r>
    </w:p>
    <w:p w14:paraId="4EC66897">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17.4.2 投标文件的修改</w:t>
      </w:r>
    </w:p>
    <w:p w14:paraId="3B100567">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17.4.2.1投标人可在投标截止时间前，对其电子投标文件进行修改，具体操作方法见《操作手册》。</w:t>
      </w:r>
    </w:p>
    <w:p w14:paraId="37C3B245">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17.4.2.2在投标截止时间之后，投标人不得对其电子投标文件作任何修改。</w:t>
      </w:r>
    </w:p>
    <w:p w14:paraId="4A5E9273">
      <w:pPr>
        <w:spacing w:line="520" w:lineRule="exact"/>
        <w:ind w:firstLine="480"/>
        <w:rPr>
          <w:rFonts w:hint="eastAsia" w:ascii="宋体" w:hAnsi="宋体"/>
          <w:color w:val="auto"/>
          <w:sz w:val="24"/>
          <w:highlight w:val="none"/>
        </w:rPr>
      </w:pPr>
      <w:r>
        <w:rPr>
          <w:rFonts w:hint="eastAsia" w:ascii="宋体" w:hAnsi="宋体"/>
          <w:color w:val="auto"/>
          <w:sz w:val="24"/>
          <w:highlight w:val="none"/>
        </w:rPr>
        <w:t>17.4.3在投标截止时间至招标文件中规定的投标有效期满之间的这段时间内，投标人不得撤回其投标。</w:t>
      </w:r>
    </w:p>
    <w:p w14:paraId="18026C56">
      <w:pPr>
        <w:pStyle w:val="625"/>
        <w:outlineLvl w:val="1"/>
        <w:rPr>
          <w:rFonts w:hint="eastAsia" w:ascii="宋体" w:hAnsi="宋体" w:eastAsia="宋体" w:cs="宋体"/>
          <w:color w:val="auto"/>
          <w:highlight w:val="none"/>
        </w:rPr>
      </w:pPr>
      <w:r>
        <w:rPr>
          <w:rFonts w:hint="eastAsia" w:ascii="宋体" w:hAnsi="宋体" w:eastAsia="宋体" w:cs="宋体"/>
          <w:color w:val="auto"/>
          <w:highlight w:val="none"/>
        </w:rPr>
        <w:t>五、无效标、投标被拒绝、串通投标认定条款</w:t>
      </w:r>
      <w:bookmarkEnd w:id="38"/>
      <w:bookmarkEnd w:id="39"/>
    </w:p>
    <w:p w14:paraId="585B4BDD">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18、以下情形将视为无效投标</w:t>
      </w:r>
      <w:bookmarkStart w:id="46" w:name="EB94942e5430df4fb8a077f3cf7667f212"/>
    </w:p>
    <w:p w14:paraId="77E2E670">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18.1.1投标人在苏采云系统规定的时间内未成功解密电子投标文件的。</w:t>
      </w:r>
    </w:p>
    <w:p w14:paraId="0B99611B">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18.1.2投标人未按照招标文件要求上传电子投标文件的。</w:t>
      </w:r>
    </w:p>
    <w:p w14:paraId="29BD31D9">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18.1.3同一投标人提交两个（含两个）以上不同的投标报价的。</w:t>
      </w:r>
    </w:p>
    <w:p w14:paraId="68025348">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18.1.4投标人不具备招标文件中规定资格要求的。</w:t>
      </w:r>
    </w:p>
    <w:p w14:paraId="59A9881F">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18.1.5投标人的报价超过了采购预算或最高限价的。</w:t>
      </w:r>
    </w:p>
    <w:p w14:paraId="0A3EEB8D">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18.1.6未通过符合性审查的。</w:t>
      </w:r>
    </w:p>
    <w:p w14:paraId="0E0C6970">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18.1.7不符合招标文件中规定的实质性要求和条件的。</w:t>
      </w:r>
    </w:p>
    <w:p w14:paraId="4CE73E2E">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E2E858D">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18.1.9投标文件含有采购人不能接受的附加条件的。</w:t>
      </w:r>
    </w:p>
    <w:p w14:paraId="782EE61B">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6BF9FA22">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18.1.11</w:t>
      </w:r>
      <w:r>
        <w:rPr>
          <w:rFonts w:ascii="宋体" w:hAnsi="宋体"/>
          <w:color w:val="auto"/>
          <w:sz w:val="24"/>
          <w:highlight w:val="none"/>
        </w:rPr>
        <w:t>本项目采购产品</w:t>
      </w:r>
      <w:r>
        <w:rPr>
          <w:rFonts w:hint="eastAsia" w:ascii="宋体" w:hAnsi="宋体"/>
          <w:color w:val="auto"/>
          <w:sz w:val="24"/>
          <w:highlight w:val="none"/>
        </w:rPr>
        <w:t>如</w:t>
      </w:r>
      <w:r>
        <w:rPr>
          <w:rFonts w:ascii="宋体" w:hAnsi="宋体"/>
          <w:color w:val="auto"/>
          <w:sz w:val="24"/>
          <w:highlight w:val="none"/>
        </w:rPr>
        <w:t>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0F8AA6A">
      <w:pPr>
        <w:spacing w:line="520" w:lineRule="exact"/>
        <w:ind w:firstLine="480"/>
        <w:rPr>
          <w:rFonts w:hint="eastAsia" w:ascii="宋体" w:hAnsi="宋体"/>
          <w:color w:val="auto"/>
          <w:sz w:val="24"/>
          <w:highlight w:val="none"/>
        </w:rPr>
      </w:pPr>
      <w:r>
        <w:rPr>
          <w:rFonts w:hint="eastAsia" w:ascii="宋体" w:hAnsi="宋体"/>
          <w:color w:val="auto"/>
          <w:sz w:val="24"/>
          <w:highlight w:val="none"/>
        </w:rPr>
        <w:t>18.1.12投标文件未按照招标文件要求加盖公章的。</w:t>
      </w:r>
    </w:p>
    <w:p w14:paraId="6B40F920">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18.1.13</w:t>
      </w:r>
      <w:r>
        <w:rPr>
          <w:rFonts w:hint="eastAsia" w:ascii="宋体" w:hAnsi="宋体" w:cs="宋体"/>
          <w:color w:val="auto"/>
          <w:sz w:val="24"/>
          <w:highlight w:val="none"/>
        </w:rPr>
        <w:t>投标文件含有采购人不能接受的附加条件的；</w:t>
      </w:r>
    </w:p>
    <w:p w14:paraId="61F9F19D">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18.1.14</w:t>
      </w:r>
      <w:r>
        <w:rPr>
          <w:rFonts w:hint="eastAsia" w:ascii="宋体" w:hAnsi="宋体" w:cs="宋体"/>
          <w:color w:val="auto"/>
          <w:sz w:val="24"/>
          <w:highlight w:val="none"/>
        </w:rPr>
        <w:t>投标人有本招标文件规定的恶意串通投标情形的；</w:t>
      </w:r>
    </w:p>
    <w:p w14:paraId="746F280C">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18.1.15</w:t>
      </w:r>
      <w:r>
        <w:rPr>
          <w:rFonts w:hint="eastAsia" w:ascii="宋体" w:hAnsi="宋体" w:cs="宋体"/>
          <w:color w:val="auto"/>
          <w:sz w:val="24"/>
          <w:highlight w:val="none"/>
        </w:rPr>
        <w:t>其它评标委员会认为有必要取消的投标；</w:t>
      </w:r>
    </w:p>
    <w:p w14:paraId="3E8768F9">
      <w:pPr>
        <w:spacing w:line="500" w:lineRule="exact"/>
        <w:ind w:firstLine="480"/>
        <w:rPr>
          <w:rFonts w:hint="eastAsia" w:ascii="宋体" w:hAnsi="宋体" w:cs="宋体"/>
          <w:color w:val="auto"/>
          <w:sz w:val="24"/>
          <w:highlight w:val="none"/>
        </w:rPr>
      </w:pPr>
      <w:r>
        <w:rPr>
          <w:rFonts w:hint="eastAsia" w:ascii="宋体" w:hAnsi="宋体"/>
          <w:color w:val="auto"/>
          <w:sz w:val="24"/>
          <w:highlight w:val="none"/>
        </w:rPr>
        <w:t>18.1.16其他法律、法规及本招标文件规定的属无效投标的情形。</w:t>
      </w:r>
      <w:bookmarkEnd w:id="46"/>
    </w:p>
    <w:p w14:paraId="75FFD457">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19、以下情形投标将被拒绝</w:t>
      </w:r>
    </w:p>
    <w:p w14:paraId="43515F6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19.1符合专业条件的供应商或者对招标文件作实质响应的供应商不足三家的（20条规定情形除外）；</w:t>
      </w:r>
    </w:p>
    <w:p w14:paraId="3AAF4DD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19.2出现影响采购公正的违法、违规行为的；</w:t>
      </w:r>
    </w:p>
    <w:p w14:paraId="09D9C02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19.3因重大变故，采购任务取消的。</w:t>
      </w:r>
    </w:p>
    <w:p w14:paraId="2EE03D03">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19.4评标委员会认定招标文件存在歧义、重大缺陷导致评审工作无法进行。</w:t>
      </w:r>
    </w:p>
    <w:p w14:paraId="5DA33818">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19.5因苏采云系统故障原因造成开标不成功的。</w:t>
      </w:r>
    </w:p>
    <w:p w14:paraId="0AE74E6F">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19.6投标截止时间结束后参加投标的供应商不足三家的处理：</w:t>
      </w:r>
    </w:p>
    <w:p w14:paraId="54A704B7">
      <w:pPr>
        <w:spacing w:line="520" w:lineRule="exact"/>
        <w:ind w:firstLine="480"/>
        <w:rPr>
          <w:rFonts w:hint="eastAsia" w:ascii="宋体" w:hAnsi="宋体"/>
          <w:color w:val="auto"/>
          <w:sz w:val="24"/>
          <w:highlight w:val="none"/>
        </w:rPr>
      </w:pPr>
      <w:r>
        <w:rPr>
          <w:rFonts w:hint="eastAsia" w:ascii="宋体" w:hAnsi="宋体"/>
          <w:color w:val="auto"/>
          <w:sz w:val="24"/>
          <w:highlight w:val="none"/>
        </w:rPr>
        <w:t>19.7如出现投标截止时间结束后参加投标的供应商或者在评标期间对招标文件做出实质响应的供应商不足三家情况，按政府采购相关规定执行。</w:t>
      </w:r>
    </w:p>
    <w:p w14:paraId="332E23B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20、投标人不足三家情形处理</w:t>
      </w:r>
    </w:p>
    <w:p w14:paraId="37BBE89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14:paraId="041757E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21、凡有以下情形者，一经查实，取消中标候选人资格条款</w:t>
      </w:r>
    </w:p>
    <w:p w14:paraId="3FAC8CB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21.1提供虚假材料谋取中标的；</w:t>
      </w:r>
    </w:p>
    <w:p w14:paraId="619115B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21.2采取不正当手段诋毁、排挤其他投标人的；</w:t>
      </w:r>
    </w:p>
    <w:p w14:paraId="46A64AF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21.3与采购人、其他投标人或者采购代理机构恶意串通的；</w:t>
      </w:r>
    </w:p>
    <w:p w14:paraId="47280D1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21.4向采购人、采购代理机构行贿或者提供其他不正当利益的；</w:t>
      </w:r>
    </w:p>
    <w:p w14:paraId="4E7A62F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21.5未在规定时间内与采购人签订采购合同的；</w:t>
      </w:r>
    </w:p>
    <w:p w14:paraId="2EF21D2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21.6法律、法规规定的其它情况。</w:t>
      </w:r>
    </w:p>
    <w:p w14:paraId="4A03214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22、恶意串通投标的情形</w:t>
      </w:r>
    </w:p>
    <w:p w14:paraId="19A527D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22.1供应商直接或间接从采购人或采购代理机构处获得其他供应商的投标情况，并修改其投标文件；</w:t>
      </w:r>
    </w:p>
    <w:p w14:paraId="5FCDAA0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22.2评审活动开始前供应商直接或间接从采购人或采购代理机构处获得评标委员会组成人员情况；</w:t>
      </w:r>
    </w:p>
    <w:p w14:paraId="75ADAF9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22.3供应商接受采购人或采购代理机构授意撤换、修改投标文件；</w:t>
      </w:r>
    </w:p>
    <w:p w14:paraId="6D2F80E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22.4供应商之间协商投标报价、技术方案等投标文件实质性内容；</w:t>
      </w:r>
    </w:p>
    <w:p w14:paraId="05F7F63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22.5属于同一集团、协会、商会等组织成员的供应商按照该组织要求协同投标；</w:t>
      </w:r>
    </w:p>
    <w:p w14:paraId="3F87A23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22.6供应商之间事先约定由某一特定供应商中标、成交；</w:t>
      </w:r>
    </w:p>
    <w:p w14:paraId="626FB59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22.7供应商之间商定部分供应商放弃投标或者放弃中标、成交；</w:t>
      </w:r>
    </w:p>
    <w:p w14:paraId="3948645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22.8供应商与采购人或采购代理机构之间、供应商相互之间为谋求特定供应商中标成交或者排斥其他供应商的其他串通行为；</w:t>
      </w:r>
    </w:p>
    <w:p w14:paraId="5980464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22.9不同投标人的投标文件由同一单位或者个人编制；</w:t>
      </w:r>
    </w:p>
    <w:p w14:paraId="72F74DB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22.10不同投标人委托同一单位或者个人办理投标事宜；</w:t>
      </w:r>
    </w:p>
    <w:p w14:paraId="6E48045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22.11不同投标人的投标文件载明的项目管理成员或者联系人员为同一人；</w:t>
      </w:r>
    </w:p>
    <w:p w14:paraId="2DFCE97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22.12不同投标人的投标文件异常一致或者投标报价呈规律性差异；</w:t>
      </w:r>
    </w:p>
    <w:p w14:paraId="0EA1D58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22.13不同投标人的投标文件相互混装；</w:t>
      </w:r>
    </w:p>
    <w:p w14:paraId="46E83F8E">
      <w:pPr>
        <w:pStyle w:val="625"/>
        <w:outlineLvl w:val="1"/>
        <w:rPr>
          <w:rFonts w:hint="eastAsia" w:ascii="宋体" w:hAnsi="宋体" w:eastAsia="宋体" w:cs="宋体"/>
          <w:color w:val="auto"/>
          <w:highlight w:val="none"/>
        </w:rPr>
      </w:pPr>
      <w:bookmarkStart w:id="47" w:name="_Toc514054477"/>
      <w:bookmarkStart w:id="48" w:name="_Toc29013"/>
      <w:r>
        <w:rPr>
          <w:rFonts w:hint="eastAsia" w:ascii="宋体" w:hAnsi="宋体" w:eastAsia="宋体" w:cs="宋体"/>
          <w:color w:val="auto"/>
          <w:highlight w:val="none"/>
        </w:rPr>
        <w:t>六、开标、资格审查、评标程序</w:t>
      </w:r>
      <w:bookmarkEnd w:id="47"/>
      <w:bookmarkEnd w:id="48"/>
    </w:p>
    <w:p w14:paraId="58EAFAB1">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23、开标会议</w:t>
      </w:r>
    </w:p>
    <w:p w14:paraId="5142FAAD">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23.1采购代理机构将在招标公告中规定的时间和地点组织公开开标。投标人应当按照《操作手册》规定，参加开标活动和在苏采云系统规定的时间内对投标文件进行解密。</w:t>
      </w:r>
    </w:p>
    <w:p w14:paraId="441E2DB8">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23.2开标仪式由采购代理机构组织。苏采云系统将自动对项目进行开标，并宣布各投标人名称和投标价格。</w:t>
      </w:r>
    </w:p>
    <w:p w14:paraId="7929D0CF">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23.3投标人在开标过程中涉及到的投标文件解密、开标结果确认等工作，应按照《操作手册》规定执行。</w:t>
      </w:r>
    </w:p>
    <w:p w14:paraId="6D33CF66">
      <w:pPr>
        <w:spacing w:line="520" w:lineRule="exact"/>
        <w:ind w:firstLine="480"/>
        <w:rPr>
          <w:rFonts w:hint="eastAsia" w:ascii="宋体" w:hAnsi="宋体"/>
          <w:color w:val="auto"/>
          <w:sz w:val="24"/>
          <w:highlight w:val="none"/>
        </w:rPr>
      </w:pPr>
      <w:r>
        <w:rPr>
          <w:rFonts w:hint="eastAsia" w:ascii="宋体" w:hAnsi="宋体"/>
          <w:color w:val="auto"/>
          <w:sz w:val="24"/>
          <w:highlight w:val="none"/>
        </w:rPr>
        <w:t>23.4投标人如果对开标过程和开标记录有疑义，应当根据《操作手册》规定提出，如苏采云系统中《开标记录表》宣布后规定时间内未提出的，视同认可开标结果。</w:t>
      </w:r>
    </w:p>
    <w:p w14:paraId="067667E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24、资格审查</w:t>
      </w:r>
    </w:p>
    <w:p w14:paraId="60D02E7E">
      <w:pPr>
        <w:spacing w:line="500" w:lineRule="exact"/>
        <w:ind w:firstLine="480"/>
        <w:rPr>
          <w:rFonts w:hint="eastAsia" w:ascii="宋体" w:hAnsi="宋体" w:cs="宋体"/>
          <w:color w:val="auto"/>
          <w:sz w:val="24"/>
          <w:highlight w:val="none"/>
        </w:rPr>
      </w:pPr>
      <w:bookmarkStart w:id="49" w:name="EBa9c0a2c9e523494487594c65b2a92370"/>
      <w:r>
        <w:rPr>
          <w:rFonts w:hint="eastAsia" w:ascii="宋体" w:hAnsi="宋体" w:cs="宋体"/>
          <w:color w:val="auto"/>
          <w:sz w:val="24"/>
          <w:highlight w:val="none"/>
        </w:rPr>
        <w:t>开标结束后，采购人或经采购人委托的采购代理机构依法据招标文件规定对投标人的资格证明文件等进行审查。</w:t>
      </w:r>
      <w:bookmarkEnd w:id="49"/>
    </w:p>
    <w:p w14:paraId="71B825D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25、评标委员会</w:t>
      </w:r>
    </w:p>
    <w:p w14:paraId="5DF9533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采购人应根据本项目的特点依法组建评标委员会。评标委员会负责具体评标事务，对资格审查合格的投标人进行评标，并独立履行相关职责。</w:t>
      </w:r>
    </w:p>
    <w:p w14:paraId="01EAF0A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26、评标原则</w:t>
      </w:r>
    </w:p>
    <w:p w14:paraId="696F86E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“公平、公正、客观、择优”为评标的基本原则，评标委员会将根据这一原则，公正、平等地对待各投标人。</w:t>
      </w:r>
    </w:p>
    <w:p w14:paraId="40B51D3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27、评标过程的保密与公正</w:t>
      </w:r>
    </w:p>
    <w:p w14:paraId="6A961133">
      <w:pPr>
        <w:spacing w:line="500" w:lineRule="exact"/>
        <w:ind w:firstLine="480"/>
        <w:rPr>
          <w:rFonts w:hint="eastAsia" w:ascii="宋体" w:hAnsi="宋体"/>
          <w:color w:val="auto"/>
          <w:sz w:val="24"/>
          <w:highlight w:val="none"/>
        </w:rPr>
      </w:pPr>
      <w:r>
        <w:rPr>
          <w:rFonts w:hint="eastAsia" w:ascii="宋体" w:hAnsi="宋体"/>
          <w:color w:val="auto"/>
          <w:sz w:val="24"/>
          <w:highlight w:val="none"/>
        </w:rPr>
        <w:t>27.1凡是与审查、澄清、评价和比较投标的有关资料以及授标建议等，采购人、评委、采购代理机构均不得向投标人或与评标无关的其他人员透露。</w:t>
      </w:r>
    </w:p>
    <w:p w14:paraId="434FF79D">
      <w:pPr>
        <w:spacing w:line="520" w:lineRule="exact"/>
        <w:ind w:firstLine="480"/>
        <w:rPr>
          <w:rFonts w:hint="eastAsia" w:ascii="宋体" w:hAnsi="宋体"/>
          <w:color w:val="auto"/>
          <w:sz w:val="24"/>
          <w:highlight w:val="none"/>
        </w:rPr>
      </w:pPr>
      <w:r>
        <w:rPr>
          <w:rFonts w:hint="eastAsia" w:ascii="宋体" w:hAnsi="宋体"/>
          <w:color w:val="auto"/>
          <w:sz w:val="24"/>
          <w:highlight w:val="none"/>
        </w:rPr>
        <w:t>27.2在评标过程中，投标人不得以任何行为影响评标过程，否则其投标文件将被作为无效投标文件。</w:t>
      </w:r>
    </w:p>
    <w:p w14:paraId="62C81140">
      <w:pPr>
        <w:spacing w:line="520" w:lineRule="exact"/>
        <w:ind w:firstLine="480"/>
        <w:rPr>
          <w:rFonts w:hint="eastAsia" w:ascii="宋体" w:hAnsi="宋体"/>
          <w:color w:val="auto"/>
          <w:sz w:val="24"/>
          <w:highlight w:val="none"/>
        </w:rPr>
      </w:pPr>
      <w:r>
        <w:rPr>
          <w:rFonts w:hint="eastAsia" w:ascii="宋体" w:hAnsi="宋体"/>
          <w:color w:val="auto"/>
          <w:sz w:val="24"/>
          <w:highlight w:val="none"/>
        </w:rPr>
        <w:t>27.3采购代理机构和评标委员会不向未中标的投标人解释未中标原因，也不公布评标过程中的相关细节。</w:t>
      </w:r>
    </w:p>
    <w:p w14:paraId="25052A26">
      <w:pPr>
        <w:spacing w:line="520" w:lineRule="exact"/>
        <w:ind w:firstLine="480"/>
        <w:rPr>
          <w:color w:val="auto"/>
          <w:highlight w:val="none"/>
        </w:rPr>
      </w:pPr>
      <w:r>
        <w:rPr>
          <w:rFonts w:hint="eastAsia" w:ascii="宋体" w:hAnsi="宋体"/>
          <w:color w:val="auto"/>
          <w:sz w:val="24"/>
          <w:highlight w:val="none"/>
        </w:rPr>
        <w:t>27.4采用综合评分法的项目，未中标的投标人可于中标结果公告期限届满之日起通过苏采云系统查看自己的评审得分及排序情况。</w:t>
      </w:r>
    </w:p>
    <w:p w14:paraId="2BDF5491">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28、评标程序</w:t>
      </w:r>
    </w:p>
    <w:p w14:paraId="17523EA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0" w:name="EB48e5ba2667fe4390bf237677a47020dd"/>
      <w:r>
        <w:rPr>
          <w:rFonts w:hint="eastAsia" w:ascii="宋体" w:hAnsi="宋体" w:cs="宋体"/>
          <w:color w:val="auto"/>
          <w:sz w:val="24"/>
          <w:highlight w:val="none"/>
        </w:rPr>
        <w:t>所谓重大偏离是指投标人投标文件中所述设备质量、技术规格、数量、交货期和服务等明显不能满足招标文件要求。</w:t>
      </w:r>
      <w:bookmarkEnd w:id="50"/>
      <w:r>
        <w:rPr>
          <w:rFonts w:hint="eastAsia" w:ascii="宋体" w:hAnsi="宋体" w:cs="宋体"/>
          <w:color w:val="auto"/>
          <w:sz w:val="24"/>
          <w:highlight w:val="none"/>
        </w:rPr>
        <w:t>重大偏离的认定须经评标委员会三分之二以上同意。</w:t>
      </w:r>
    </w:p>
    <w:p w14:paraId="7FFDBC2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132C788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28.2澄清有关问题。</w:t>
      </w:r>
    </w:p>
    <w:p w14:paraId="468171A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3AD7434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评标委员会并非对每个投标人都做澄清要求。</w:t>
      </w:r>
    </w:p>
    <w:p w14:paraId="7D4687F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EAEF53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28.2.3接到评委会澄清、说明和补正要求的投标人如未按规定做出澄清、说明和补正，其风险由投标人自行承担。</w:t>
      </w:r>
    </w:p>
    <w:p w14:paraId="0F3ACC63">
      <w:pPr>
        <w:spacing w:line="500" w:lineRule="exact"/>
        <w:ind w:firstLine="600"/>
        <w:rPr>
          <w:rFonts w:hint="eastAsia" w:ascii="宋体" w:hAnsi="宋体" w:cs="宋体"/>
          <w:color w:val="auto"/>
          <w:sz w:val="24"/>
          <w:highlight w:val="none"/>
        </w:rPr>
      </w:pPr>
      <w:r>
        <w:rPr>
          <w:rFonts w:hint="eastAsia" w:ascii="宋体" w:hAnsi="宋体" w:cs="宋体"/>
          <w:color w:val="auto"/>
          <w:sz w:val="24"/>
          <w:highlight w:val="none"/>
        </w:rPr>
        <w:t>28.2.4投标文件报价出现前后不一致的，除招标文件另有规定外，按照下列规定修正：</w:t>
      </w:r>
    </w:p>
    <w:p w14:paraId="3A5555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14:paraId="03C0313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14:paraId="1E07ECF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14:paraId="4C9D75B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14:paraId="141F888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同时出现两种以上不一致的，按照前款规定的顺序修正。修正后的报价，经投标人确认后产生约束力，投标人不确认的，其投标无效。</w:t>
      </w:r>
    </w:p>
    <w:p w14:paraId="34A1C59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FA0DE8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28.4比较。评标委员会将按招标文件中规定的评标方法和标准，对符合性检查合格的投标文件进行商务和技术评比。</w:t>
      </w:r>
    </w:p>
    <w:p w14:paraId="775BD4B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28.5推荐中标候选人。评标委员会按照招标文件中规定的评标方法和标准推荐中标候选人。</w:t>
      </w:r>
      <w:bookmarkStart w:id="51" w:name="EB66024636071342209da8bda483232040"/>
      <w:r>
        <w:rPr>
          <w:rFonts w:hint="eastAsia" w:ascii="宋体" w:hAnsi="宋体" w:cs="宋体"/>
          <w:color w:val="auto"/>
          <w:sz w:val="24"/>
          <w:highlight w:val="none"/>
        </w:rPr>
        <w:t xml:space="preserve"> </w:t>
      </w:r>
      <w:bookmarkEnd w:id="51"/>
    </w:p>
    <w:p w14:paraId="3B3E8D85">
      <w:pPr>
        <w:numPr>
          <w:ilvl w:val="0"/>
          <w:numId w:val="8"/>
        </w:numPr>
        <w:spacing w:line="500" w:lineRule="exact"/>
        <w:ind w:firstLine="482"/>
        <w:rPr>
          <w:rFonts w:hint="eastAsia" w:ascii="宋体" w:hAnsi="宋体" w:cs="宋体"/>
          <w:b/>
          <w:bCs/>
          <w:color w:val="auto"/>
          <w:sz w:val="24"/>
          <w:highlight w:val="none"/>
        </w:rPr>
      </w:pPr>
      <w:bookmarkStart w:id="52" w:name="EBf6bd108017b14bde8ec3ea4804c87c27"/>
      <w:r>
        <w:rPr>
          <w:rFonts w:hint="eastAsia" w:ascii="宋体" w:hAnsi="宋体" w:cs="宋体"/>
          <w:b/>
          <w:bCs/>
          <w:color w:val="auto"/>
          <w:sz w:val="24"/>
          <w:highlight w:val="none"/>
        </w:rPr>
        <w:t>政府采购政策功能落实</w:t>
      </w:r>
    </w:p>
    <w:p w14:paraId="574D9F55">
      <w:pPr>
        <w:spacing w:line="500" w:lineRule="exact"/>
        <w:ind w:firstLine="480"/>
        <w:rPr>
          <w:rFonts w:hint="eastAsia" w:ascii="宋体" w:hAnsi="宋体" w:cs="宋体"/>
          <w:color w:val="auto"/>
          <w:sz w:val="24"/>
          <w:highlight w:val="none"/>
        </w:rPr>
      </w:pPr>
      <w:bookmarkStart w:id="53" w:name="EBd9bc59d5f2ed4fb8a64ee2e373d8cc72"/>
      <w:r>
        <w:rPr>
          <w:rFonts w:hint="eastAsia" w:ascii="宋体" w:hAnsi="宋体" w:cs="宋体"/>
          <w:color w:val="auto"/>
          <w:sz w:val="24"/>
          <w:highlight w:val="none"/>
        </w:rPr>
        <w:t>29.1 政府采购促进中小企业发展，在政府采购活动中，供应商提供的货物、工程或者服务符合下列情形的，享受中小企业扶持政策：</w:t>
      </w:r>
    </w:p>
    <w:p w14:paraId="4A0552A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78DEAF1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3FE7F91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1991393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36A75BA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42A113F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中小企业供应商参加政府采购活动，应当出具《中小企业声明函》（格式见后附件），否则不得享受相关中小企业扶持政策。</w:t>
      </w:r>
    </w:p>
    <w:p w14:paraId="0FABDC2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中小企业，是指在中华人民共和国境内依法设立，依据国务院批准的中小企业划分标准（详见《关于印发中小企业划型标准规定的通知》</w:t>
      </w:r>
    </w:p>
    <w:p w14:paraId="04DEB9B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0683DEF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0318D4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367D597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D8D0D3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29.5 提供的产品属于信息安全产品的，供应商应当选择经国家认证的信息安全产品投标，并提供由中国网络安全审查技术与认证中心按国家标准认证颁发的有效认证证书复印件。</w:t>
      </w:r>
    </w:p>
    <w:p w14:paraId="45C5AAB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29.6 提供的产品属于政府强制采购节能产品的，供应商应当选择依据国家标准中二级能效（水效）指标认证的节能产品投标，并提供有效的节能产品认证证书复印件。</w:t>
      </w:r>
    </w:p>
    <w:p w14:paraId="6AF3DBA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29.7提供的产品属于环境标志产品的,供应商应当选择依据相关标准的最新版本认证的环境标志产品投标,并提供有效的环境标志产品认证证书复印件。 </w:t>
      </w:r>
      <w:bookmarkEnd w:id="53"/>
    </w:p>
    <w:p w14:paraId="63D4346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29.8进口产品政策</w:t>
      </w:r>
    </w:p>
    <w:p w14:paraId="4282D2A7">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（1）除招标公告载明接受进口产品参加外，不允许进口产品参加。进口产品认定依照《财政部关于政府采购进口产品管理有关问题的通知》（财办库〔2008〕248号）的规定。</w:t>
      </w:r>
    </w:p>
    <w:p w14:paraId="1880CDBF">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（2）允许进口产品参加的，满足需求的国内产品可以参加。</w:t>
      </w:r>
    </w:p>
    <w:p w14:paraId="6038A59D">
      <w:pPr>
        <w:spacing w:line="500" w:lineRule="exact"/>
        <w:ind w:firstLine="240"/>
        <w:rPr>
          <w:rFonts w:hint="eastAsia" w:ascii="宋体" w:hAnsi="宋体" w:cs="宋体"/>
          <w:color w:val="auto"/>
          <w:sz w:val="24"/>
          <w:highlight w:val="none"/>
        </w:rPr>
      </w:pPr>
      <w:r>
        <w:rPr>
          <w:rFonts w:hint="eastAsia" w:ascii="宋体" w:hAnsi="宋体" w:cs="宋体"/>
          <w:color w:val="auto"/>
          <w:sz w:val="24"/>
          <w:highlight w:val="none"/>
        </w:rPr>
        <w:t>（3）允许进口产品参加的，优先采购向我国企业转让技术、与我国企业签订消化吸收再创新方案的供应商的进口产品。</w:t>
      </w:r>
    </w:p>
    <w:p w14:paraId="4A830D5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29.9落实政府采购《商品包装政府采购需求标准(试行)》、《快递包装政府采购需求标准（试行）》（财办库〔2020〕123号〕、《绿色数据中心政府采购需求标准（试行）》（财库〔2023]7号）等需求标准。</w:t>
      </w:r>
    </w:p>
    <w:p w14:paraId="7260A21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29.9.1 商品包装环保要求：应当按《关于印发〈商品包装政府采购需求标准（试行）〉、〈快递包装政府采购需求标准（试行）〉的通知》（财办库〔2020〕123号）文件执行。</w:t>
      </w:r>
    </w:p>
    <w:p w14:paraId="209DA46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（1）商品包装层数不得超过3层，空隙率不大于40%；</w:t>
      </w:r>
    </w:p>
    <w:p w14:paraId="27CFC63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（2）商品包装尽可能使用单一材质的包装材料，如因功能需求必需使用不同材质，不同材质间应便于分离；</w:t>
      </w:r>
    </w:p>
    <w:p w14:paraId="08AEE28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（3）商品包装中铅、汞、镉、六价铬的总含量应不大于100mg/kg；</w:t>
      </w:r>
    </w:p>
    <w:p w14:paraId="1F4A203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（4）商品包装印刷使用的油墨中挥发性有机化合物(VOCs)含量应不大于 5%（以重量计）；</w:t>
      </w:r>
    </w:p>
    <w:p w14:paraId="7D303F9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（5）塑料材质商品包装上呈现的印刷颜色不得超过 6 色；</w:t>
      </w:r>
    </w:p>
    <w:p w14:paraId="466D78A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（6）纸质商品包装应使用 75%以上的可再生纤维原料生产；</w:t>
      </w:r>
    </w:p>
    <w:p w14:paraId="2D65AA6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（7）木质商品包装的原料应来源于可持续性森林。</w:t>
      </w:r>
    </w:p>
    <w:p w14:paraId="7543B4C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29.9.2 快递包装环保要求：</w:t>
      </w:r>
    </w:p>
    <w:p w14:paraId="067269F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（1）快递包装中重金属（铅、汞、镉、六价铬）总量应不大于 100mg/kg；</w:t>
      </w:r>
    </w:p>
    <w:p w14:paraId="7AE6A62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（2）快递包装印刷使用的油墨中不应添加邻苯二甲酸酯，其挥发性有机化合物(VOCs)含量应不大于5%（以重量计）；</w:t>
      </w:r>
    </w:p>
    <w:p w14:paraId="112DAE3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（3）快递包装中使用纸基材的包装材料，纸基材中的有机氯的含量应不大于 150 mg/kg；</w:t>
      </w:r>
    </w:p>
    <w:p w14:paraId="1418BFB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（4）快递包装中使用塑料基材的包装材料不得使用邻苯二甲酸二异壬酯、邻苯二甲酸二正辛酯、邻苯二甲酸二(2-乙基)己酯、邻苯二甲酸二异癸酯、邻苯二甲酸丁基苄基酯、邻苯二甲酸二丁酯等作为增塑剂；</w:t>
      </w:r>
    </w:p>
    <w:p w14:paraId="7FF13BC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（5）快递中使用的塑料包装袋不得使用聚氯乙烯作为原料，且原料应为单一材质制成，生物分解率大于60%；</w:t>
      </w:r>
    </w:p>
    <w:p w14:paraId="3D406FD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（6）快递中使用的充气类填充物不得使用聚氯乙烯作为 原料，且原料为单一材质制成，生物分解率大于60%；</w:t>
      </w:r>
    </w:p>
    <w:p w14:paraId="1D50741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（7）快递中使用的集装袋应为单一材质制成，其重复使用次数应不小于 80 次；</w:t>
      </w:r>
    </w:p>
    <w:p w14:paraId="0B57263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（8）快递中应使用幅宽不大于45mm 的生物降解胶带；</w:t>
      </w:r>
    </w:p>
    <w:p w14:paraId="27DA22B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（9）快递包装中不得使用溶剂型胶粘剂；</w:t>
      </w:r>
    </w:p>
    <w:p w14:paraId="1A499D5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（11）快递应使用电子面单；</w:t>
      </w:r>
    </w:p>
    <w:p w14:paraId="4AD8208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（12）直接使用商品包装作为快递包装的商品，其商品包装满足《商品包装政府采购需求标准（试行）》即可；</w:t>
      </w:r>
    </w:p>
    <w:p w14:paraId="73D994F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（13）快递包装产品质量和封装方式应符合相关国家或行业标准技术指标要求。</w:t>
      </w:r>
    </w:p>
    <w:p w14:paraId="2CD8C6A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29.10 绿色低碳管理目标和服务要求：在物业、合同能源管理等服务类采购项目需求中，要强化绿色低碳管理目标和服务要求，促进绿色产品和服务推广应用。</w:t>
      </w:r>
    </w:p>
    <w:p w14:paraId="012F45B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29.11低挥发性有机化合物产品：</w:t>
      </w:r>
      <w:r>
        <w:rPr>
          <w:rFonts w:hint="eastAsia" w:ascii="宋体" w:hAnsi="宋体" w:cs="宋体"/>
          <w:color w:val="auto"/>
          <w:sz w:val="24"/>
          <w:highlight w:val="none"/>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highlight w:val="none"/>
        </w:rPr>
        <w:t>予以评审优惠。</w:t>
      </w:r>
      <w:r>
        <w:rPr>
          <w:rFonts w:hint="eastAsia" w:ascii="宋体" w:hAnsi="宋体" w:cs="宋体"/>
          <w:color w:val="auto"/>
          <w:sz w:val="24"/>
          <w:highlight w:val="none"/>
          <w:lang w:val="zh-CN"/>
        </w:rPr>
        <w:t>在通用类货物、家具、印刷、公务车辆维修等采购项目中，供应商</w:t>
      </w:r>
      <w:r>
        <w:rPr>
          <w:rFonts w:hint="eastAsia" w:ascii="宋体" w:hAnsi="宋体" w:cs="宋体"/>
          <w:color w:val="auto"/>
          <w:sz w:val="24"/>
          <w:highlight w:val="none"/>
        </w:rPr>
        <w:t>应</w:t>
      </w:r>
      <w:r>
        <w:rPr>
          <w:rFonts w:hint="eastAsia" w:ascii="宋体" w:hAnsi="宋体" w:cs="宋体"/>
          <w:color w:val="auto"/>
          <w:sz w:val="24"/>
          <w:highlight w:val="none"/>
          <w:lang w:val="zh-CN"/>
        </w:rPr>
        <w:t>优先使用低挥发性原辅材料</w:t>
      </w:r>
      <w:r>
        <w:rPr>
          <w:rFonts w:hint="eastAsia" w:ascii="宋体" w:hAnsi="宋体" w:cs="宋体"/>
          <w:color w:val="auto"/>
          <w:sz w:val="24"/>
          <w:highlight w:val="none"/>
        </w:rPr>
        <w:t>，将使用低</w:t>
      </w:r>
      <w:r>
        <w:rPr>
          <w:rFonts w:hint="eastAsia" w:ascii="宋体" w:hAnsi="宋体" w:cs="宋体"/>
          <w:color w:val="auto"/>
          <w:sz w:val="24"/>
          <w:highlight w:val="none"/>
          <w:lang w:val="zh-CN"/>
        </w:rPr>
        <w:t>VOCs含量的</w:t>
      </w:r>
      <w:r>
        <w:rPr>
          <w:rFonts w:hint="eastAsia" w:ascii="宋体" w:hAnsi="宋体" w:cs="宋体"/>
          <w:color w:val="auto"/>
          <w:sz w:val="24"/>
          <w:highlight w:val="none"/>
        </w:rPr>
        <w:t>涂料、</w:t>
      </w:r>
      <w:r>
        <w:rPr>
          <w:rFonts w:hint="eastAsia" w:ascii="宋体" w:hAnsi="宋体" w:cs="宋体"/>
          <w:color w:val="auto"/>
          <w:sz w:val="24"/>
          <w:highlight w:val="none"/>
          <w:lang w:val="zh-CN"/>
        </w:rPr>
        <w:t>胶黏剂</w:t>
      </w:r>
      <w:r>
        <w:rPr>
          <w:rFonts w:hint="eastAsia" w:ascii="宋体" w:hAnsi="宋体" w:cs="宋体"/>
          <w:color w:val="auto"/>
          <w:sz w:val="24"/>
          <w:highlight w:val="none"/>
        </w:rPr>
        <w:t>等纳入合同条款。</w:t>
      </w:r>
    </w:p>
    <w:p w14:paraId="25A98A2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29.12落实政府采购《绿色建筑和绿色建材政府采购需求标准》（财库〔2022〕35号文）和《政府采购支持绿色建材促进建筑品质提升政策项目实施指南》（财办库〔2023〕52号）文件标准。</w:t>
      </w:r>
    </w:p>
    <w:p w14:paraId="0DA51D0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29.13脱贫攻坚支持政策根据《关于运用政府采购政策支持脱贫攻坚的通知》（财库〔2019〕27 号），鼓励采用优先采购、预留采购份额方式采购贫困地区农副产品；鼓励优先采购聘用建档立卡贫困人员物业公司提供的物业服务。</w:t>
      </w:r>
    </w:p>
    <w:p w14:paraId="6E07496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29.14未按要求提供相关材料的，不享受相关政策。</w:t>
      </w:r>
    </w:p>
    <w:p w14:paraId="76C0DFE3">
      <w:pPr>
        <w:pStyle w:val="625"/>
        <w:outlineLvl w:val="1"/>
        <w:rPr>
          <w:rFonts w:hint="eastAsia" w:ascii="宋体" w:hAnsi="宋体" w:eastAsia="宋体" w:cs="宋体"/>
          <w:color w:val="auto"/>
          <w:highlight w:val="none"/>
        </w:rPr>
      </w:pPr>
      <w:bookmarkStart w:id="54" w:name="_Toc81493168"/>
      <w:bookmarkStart w:id="55" w:name="_Toc9744"/>
      <w:bookmarkStart w:id="56" w:name="_Toc514054478"/>
      <w:r>
        <w:rPr>
          <w:rFonts w:hint="eastAsia" w:ascii="宋体" w:hAnsi="宋体" w:eastAsia="宋体" w:cs="宋体"/>
          <w:color w:val="auto"/>
          <w:highlight w:val="none"/>
        </w:rPr>
        <w:t>七、中标及合同签订</w:t>
      </w:r>
      <w:bookmarkEnd w:id="54"/>
      <w:bookmarkEnd w:id="55"/>
      <w:bookmarkEnd w:id="56"/>
    </w:p>
    <w:p w14:paraId="0B707B55">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30、标后审查</w:t>
      </w:r>
    </w:p>
    <w:p w14:paraId="674D1FFD">
      <w:pPr>
        <w:spacing w:line="500" w:lineRule="exact"/>
        <w:ind w:firstLine="480"/>
        <w:rPr>
          <w:rFonts w:hint="eastAsia" w:ascii="宋体" w:hAnsi="宋体" w:cs="宋体"/>
          <w:color w:val="auto"/>
          <w:sz w:val="24"/>
          <w:highlight w:val="none"/>
        </w:rPr>
      </w:pPr>
      <w:bookmarkStart w:id="57" w:name="EB17cdacdfdd1244abbb73389fe0bfffe7"/>
      <w:r>
        <w:rPr>
          <w:rFonts w:hint="eastAsia" w:ascii="宋体" w:hAnsi="宋体" w:cs="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3489AA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57"/>
    </w:p>
    <w:p w14:paraId="334D6C2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31、确定中标人</w:t>
      </w:r>
    </w:p>
    <w:p w14:paraId="3E563CD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0288A98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31.2 在中标结果公告届满之前，中标人被列为失信被执行人的，取消其中标资格，并重新确定中标人。</w:t>
      </w:r>
    </w:p>
    <w:p w14:paraId="52FA131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31.3采购人不得通过对样品进行检测、对供应商进行考察等方式改变评审结果。</w:t>
      </w:r>
    </w:p>
    <w:p w14:paraId="0FC541A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17C3B15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32、中标通知书</w:t>
      </w:r>
    </w:p>
    <w:p w14:paraId="41FAF18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32.1中标结果在财政部门指定信息媒体上发布公告，招标代理机构将向中标人发出中标通知书。</w:t>
      </w:r>
    </w:p>
    <w:p w14:paraId="33E279C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32.2中标人应及时到招标代理机构领取中标通知书，中标通知书是签订合同的依据和组成部分。</w:t>
      </w:r>
    </w:p>
    <w:p w14:paraId="358678D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33、签订合同</w:t>
      </w:r>
    </w:p>
    <w:p w14:paraId="3E4E8C7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33.1中标人与采购人应当在中标通知书发出之日起30日内签订采购合同，并将合同送采购代理机构登记。招标文件、中标人的投标文件以及评标过程中有关澄清文件均作为合同附件。</w:t>
      </w:r>
    </w:p>
    <w:p w14:paraId="3A3816D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33.2中标人无正当理由未在规定时间内与采购人签订合同的，采购人有权建议取消其中标资格，监管部门将对其依法处理。</w:t>
      </w:r>
    </w:p>
    <w:p w14:paraId="1066A10D">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34、履约保证金</w:t>
      </w:r>
    </w:p>
    <w:p w14:paraId="4330FA64">
      <w:pPr>
        <w:ind w:firstLine="480"/>
        <w:rPr>
          <w:rFonts w:hint="eastAsia" w:ascii="宋体" w:hAnsi="宋体" w:cs="宋体"/>
          <w:color w:val="auto"/>
          <w:sz w:val="24"/>
          <w:szCs w:val="24"/>
          <w:highlight w:val="none"/>
        </w:rPr>
      </w:pPr>
      <w:bookmarkStart w:id="58" w:name="EB3094b551b51c42ca93e0255d679fb06f"/>
      <w:r>
        <w:rPr>
          <w:rFonts w:hint="eastAsia" w:ascii="宋体" w:hAnsi="宋体" w:cs="宋体"/>
          <w:color w:val="auto"/>
          <w:sz w:val="24"/>
          <w:szCs w:val="24"/>
          <w:highlight w:val="none"/>
        </w:rPr>
        <w:t xml:space="preserve">见前附表。 </w:t>
      </w:r>
      <w:bookmarkEnd w:id="58"/>
      <w:bookmarkStart w:id="59" w:name="EB0d6067c6e00d44b1ad5603550c455e87"/>
      <w:r>
        <w:rPr>
          <w:rFonts w:hint="eastAsia" w:ascii="宋体" w:hAnsi="宋体" w:cs="宋体"/>
          <w:color w:val="auto"/>
          <w:sz w:val="24"/>
          <w:szCs w:val="24"/>
          <w:highlight w:val="none"/>
        </w:rPr>
        <w:t xml:space="preserve"> </w:t>
      </w:r>
      <w:bookmarkEnd w:id="59"/>
    </w:p>
    <w:p w14:paraId="4A250E8F">
      <w:pPr>
        <w:pStyle w:val="625"/>
        <w:outlineLvl w:val="1"/>
        <w:rPr>
          <w:rFonts w:hint="eastAsia" w:ascii="宋体" w:hAnsi="宋体" w:eastAsia="宋体" w:cs="宋体"/>
          <w:color w:val="auto"/>
          <w:highlight w:val="none"/>
        </w:rPr>
      </w:pPr>
      <w:bookmarkStart w:id="60" w:name="_Toc514054479"/>
      <w:bookmarkStart w:id="61" w:name="_Toc25599"/>
      <w:bookmarkStart w:id="62" w:name="_Toc81493169"/>
      <w:r>
        <w:rPr>
          <w:rFonts w:hint="eastAsia" w:ascii="宋体" w:hAnsi="宋体" w:eastAsia="宋体" w:cs="宋体"/>
          <w:color w:val="auto"/>
          <w:highlight w:val="none"/>
        </w:rPr>
        <w:t>八、验收及付款</w:t>
      </w:r>
      <w:bookmarkEnd w:id="60"/>
      <w:bookmarkEnd w:id="61"/>
      <w:bookmarkEnd w:id="62"/>
    </w:p>
    <w:p w14:paraId="035232D5">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35、验收</w:t>
      </w:r>
    </w:p>
    <w:p w14:paraId="146026E3">
      <w:pPr>
        <w:spacing w:line="500" w:lineRule="exact"/>
        <w:ind w:firstLine="480"/>
        <w:rPr>
          <w:rFonts w:hint="eastAsia" w:ascii="宋体" w:hAnsi="宋体" w:cs="宋体"/>
          <w:color w:val="auto"/>
          <w:sz w:val="24"/>
          <w:highlight w:val="none"/>
        </w:rPr>
      </w:pPr>
      <w:bookmarkStart w:id="63" w:name="EBbbb2492ed6b84c9193a6bb6f72a512f3"/>
      <w:r>
        <w:rPr>
          <w:rFonts w:hint="eastAsia" w:ascii="宋体" w:hAnsi="宋体" w:cs="宋体"/>
          <w:color w:val="auto"/>
          <w:sz w:val="24"/>
          <w:highlight w:val="none"/>
        </w:rPr>
        <w:t>35.1由采购人组织验收，中标人配合。</w:t>
      </w:r>
      <w:bookmarkEnd w:id="63"/>
    </w:p>
    <w:p w14:paraId="50934637">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36、付款</w:t>
      </w:r>
    </w:p>
    <w:p w14:paraId="6B81A21A">
      <w:pPr>
        <w:spacing w:line="500" w:lineRule="exact"/>
        <w:ind w:firstLine="480"/>
        <w:rPr>
          <w:rFonts w:hint="eastAsia" w:ascii="宋体" w:hAnsi="宋体" w:cs="宋体"/>
          <w:color w:val="auto"/>
          <w:sz w:val="24"/>
          <w:highlight w:val="none"/>
        </w:rPr>
      </w:pPr>
      <w:bookmarkStart w:id="64" w:name="EBf0da31fab3a04ad0893de83144a87b34"/>
      <w:r>
        <w:rPr>
          <w:rFonts w:hint="eastAsia" w:ascii="宋体" w:hAnsi="宋体" w:cs="宋体"/>
          <w:color w:val="auto"/>
          <w:sz w:val="24"/>
          <w:highlight w:val="none"/>
        </w:rPr>
        <w:t>36.1</w:t>
      </w:r>
      <w:bookmarkEnd w:id="64"/>
      <w:r>
        <w:rPr>
          <w:rFonts w:hint="eastAsia" w:ascii="宋体" w:hAnsi="宋体" w:cs="宋体"/>
          <w:color w:val="auto"/>
          <w:sz w:val="24"/>
          <w:highlight w:val="none"/>
        </w:rPr>
        <w:t xml:space="preserve"> 采购人按招标文件要求办理采购款支付手续。</w:t>
      </w:r>
    </w:p>
    <w:p w14:paraId="737186C8">
      <w:pPr>
        <w:pStyle w:val="625"/>
        <w:outlineLvl w:val="1"/>
        <w:rPr>
          <w:rFonts w:hint="eastAsia" w:ascii="宋体" w:hAnsi="宋体" w:eastAsia="宋体" w:cs="宋体"/>
          <w:color w:val="auto"/>
          <w:highlight w:val="none"/>
        </w:rPr>
      </w:pPr>
      <w:bookmarkStart w:id="65" w:name="_Toc514054480"/>
      <w:bookmarkStart w:id="66" w:name="_Toc81493170"/>
      <w:bookmarkStart w:id="67" w:name="_Toc10945"/>
      <w:r>
        <w:rPr>
          <w:rFonts w:hint="eastAsia" w:ascii="宋体" w:hAnsi="宋体" w:eastAsia="宋体" w:cs="宋体"/>
          <w:color w:val="auto"/>
          <w:highlight w:val="none"/>
        </w:rPr>
        <w:t>九、质疑与投诉</w:t>
      </w:r>
      <w:bookmarkEnd w:id="65"/>
      <w:bookmarkEnd w:id="66"/>
      <w:bookmarkEnd w:id="67"/>
    </w:p>
    <w:p w14:paraId="1ADCB813">
      <w:pPr>
        <w:spacing w:line="500" w:lineRule="exact"/>
        <w:ind w:firstLine="422"/>
        <w:rPr>
          <w:rFonts w:hint="eastAsia" w:ascii="宋体" w:hAnsi="宋体" w:cs="宋体"/>
          <w:b/>
          <w:color w:val="auto"/>
          <w:highlight w:val="none"/>
        </w:rPr>
      </w:pPr>
      <w:r>
        <w:rPr>
          <w:rFonts w:hint="eastAsia" w:ascii="宋体" w:hAnsi="宋体" w:cs="宋体"/>
          <w:b/>
          <w:color w:val="auto"/>
          <w:highlight w:val="none"/>
        </w:rPr>
        <w:t>37、质疑与投诉</w:t>
      </w:r>
    </w:p>
    <w:p w14:paraId="3BB4AD1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11B7D41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37.2供应商应知其权益受到损害之日，是指：</w:t>
      </w:r>
    </w:p>
    <w:p w14:paraId="590C7DC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（1）对本项目采购文件提出质疑的，采购文件公告期限届满之日；</w:t>
      </w:r>
    </w:p>
    <w:p w14:paraId="3C83538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（2）对本项目采购过程提出质疑的，为各采购程序环节结束之日；</w:t>
      </w:r>
    </w:p>
    <w:p w14:paraId="7787451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（3）对本项目中标或者成交结果提出质疑的，为中标或者成交结果公告期限届满之日。</w:t>
      </w:r>
    </w:p>
    <w:p w14:paraId="7B0871D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7ED28A9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37.4供应商提出质疑应当提交质疑函和必要的证明材料。质疑函的必备内容：</w:t>
      </w:r>
    </w:p>
    <w:p w14:paraId="140F7C6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（1）供应商的姓名或者名称、地址、邮编、联系人及联系电话；</w:t>
      </w:r>
    </w:p>
    <w:p w14:paraId="5746CF4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1423A11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（3）具体、明确的质疑事项和质疑事项相关的请求；</w:t>
      </w:r>
    </w:p>
    <w:p w14:paraId="638D8BB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（4）事实依据；</w:t>
      </w:r>
    </w:p>
    <w:p w14:paraId="70F2FE5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49FADF1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5EC5F19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（7）供应商为自然人的，由本人签字；供应商为法人或者其他组织的，应当由法定代表人、主要负责人，或者其授权代表签字或者盖章，并加盖公章。</w:t>
      </w:r>
    </w:p>
    <w:p w14:paraId="4D3BB55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33753A5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37.5以联合体形式参加政府采购活动的，其质疑应当由组成联合体的所有供应商共同提出。</w:t>
      </w:r>
    </w:p>
    <w:p w14:paraId="0F4CA43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104A219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37.7采购人、采购代理机构在收到质疑函后7个工作日内作出答复，并以书面形式通知质疑供应商和其他有关供应商，但质疑答复的内容不涉及商业秘密。</w:t>
      </w:r>
    </w:p>
    <w:p w14:paraId="5DAAFAC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4E395BB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52"/>
    </w:p>
    <w:p w14:paraId="7BF37E7A">
      <w:pPr>
        <w:pStyle w:val="625"/>
        <w:outlineLvl w:val="1"/>
        <w:rPr>
          <w:rFonts w:hint="eastAsia" w:ascii="宋体" w:hAnsi="宋体" w:eastAsia="宋体" w:cs="宋体"/>
          <w:color w:val="auto"/>
          <w:highlight w:val="none"/>
        </w:rPr>
      </w:pPr>
      <w:bookmarkStart w:id="68" w:name="_Toc16938558"/>
      <w:bookmarkStart w:id="69" w:name="_Toc20823314"/>
      <w:bookmarkStart w:id="70" w:name="_Toc479757207"/>
      <w:bookmarkStart w:id="71" w:name="_Toc120614221"/>
      <w:bookmarkStart w:id="72" w:name="_Toc513029242"/>
      <w:r>
        <w:rPr>
          <w:rFonts w:hint="eastAsia" w:ascii="宋体" w:hAnsi="宋体" w:eastAsia="宋体" w:cs="宋体"/>
          <w:color w:val="auto"/>
          <w:highlight w:val="none"/>
        </w:rPr>
        <w:t>十、政府采购履约资金扶持政策</w:t>
      </w:r>
      <w:bookmarkEnd w:id="68"/>
      <w:bookmarkEnd w:id="69"/>
      <w:bookmarkEnd w:id="70"/>
      <w:bookmarkEnd w:id="71"/>
      <w:bookmarkEnd w:id="72"/>
    </w:p>
    <w:p w14:paraId="1AEFC6D9">
      <w:pPr>
        <w:pStyle w:val="240"/>
        <w:rPr>
          <w:rFonts w:hint="eastAsia" w:hAnsi="宋体" w:cs="宋体"/>
          <w:color w:val="auto"/>
          <w:szCs w:val="24"/>
          <w:highlight w:val="none"/>
        </w:rPr>
      </w:pPr>
      <w:r>
        <w:rPr>
          <w:rFonts w:hint="eastAsia" w:hAnsi="宋体" w:cs="宋体"/>
          <w:color w:val="auto"/>
          <w:szCs w:val="24"/>
          <w:highlight w:val="none"/>
        </w:rPr>
        <w:t>中标人可凭政府采购合同办理融资贷款，详情请见江苏政府采购网“政采贷”专栏。</w:t>
      </w:r>
    </w:p>
    <w:p w14:paraId="1FFD27BD">
      <w:pPr>
        <w:spacing w:line="520" w:lineRule="exact"/>
        <w:ind w:firstLine="480"/>
        <w:rPr>
          <w:rFonts w:hint="eastAsia" w:ascii="宋体" w:hAnsi="宋体"/>
          <w:color w:val="auto"/>
          <w:sz w:val="24"/>
          <w:highlight w:val="none"/>
        </w:rPr>
      </w:pPr>
      <w:r>
        <w:rPr>
          <w:rFonts w:hint="eastAsia" w:ascii="宋体" w:hAnsi="宋体"/>
          <w:color w:val="auto"/>
          <w:sz w:val="24"/>
          <w:highlight w:val="none"/>
        </w:rPr>
        <w:t> </w:t>
      </w:r>
    </w:p>
    <w:p w14:paraId="4273125D">
      <w:pPr>
        <w:jc w:val="center"/>
        <w:outlineLvl w:val="0"/>
        <w:rPr>
          <w:b/>
          <w:color w:val="auto"/>
          <w:sz w:val="44"/>
          <w:szCs w:val="44"/>
          <w:highlight w:val="none"/>
        </w:rPr>
      </w:pPr>
      <w:r>
        <w:rPr>
          <w:rFonts w:hint="eastAsia"/>
          <w:b/>
          <w:color w:val="auto"/>
          <w:sz w:val="44"/>
          <w:szCs w:val="44"/>
          <w:highlight w:val="none"/>
        </w:rPr>
        <w:br w:type="page" w:clear="all"/>
      </w:r>
      <w:bookmarkStart w:id="73" w:name="_Toc22015"/>
      <w:r>
        <w:rPr>
          <w:rFonts w:hint="eastAsia"/>
          <w:b/>
          <w:color w:val="auto"/>
          <w:sz w:val="44"/>
          <w:szCs w:val="44"/>
          <w:highlight w:val="none"/>
        </w:rPr>
        <w:t xml:space="preserve">第三部分  </w:t>
      </w:r>
      <w:bookmarkEnd w:id="73"/>
      <w:r>
        <w:rPr>
          <w:rFonts w:hint="eastAsia"/>
          <w:b/>
          <w:color w:val="auto"/>
          <w:sz w:val="44"/>
          <w:szCs w:val="44"/>
          <w:highlight w:val="none"/>
        </w:rPr>
        <w:t>评标方法和标准</w:t>
      </w:r>
    </w:p>
    <w:p w14:paraId="0C3E2144">
      <w:pPr>
        <w:spacing w:before="156" w:after="156"/>
        <w:ind w:firstLine="643"/>
        <w:outlineLvl w:val="1"/>
        <w:rPr>
          <w:b/>
          <w:color w:val="auto"/>
          <w:sz w:val="32"/>
          <w:szCs w:val="32"/>
          <w:highlight w:val="none"/>
        </w:rPr>
      </w:pPr>
      <w:bookmarkStart w:id="74" w:name="_Toc24217_WPSOffice_Level2"/>
      <w:bookmarkStart w:id="75" w:name="_Toc4647"/>
      <w:r>
        <w:rPr>
          <w:rFonts w:hint="eastAsia"/>
          <w:b/>
          <w:color w:val="auto"/>
          <w:sz w:val="32"/>
          <w:szCs w:val="32"/>
          <w:highlight w:val="none"/>
        </w:rPr>
        <w:t>一、资格审查</w:t>
      </w:r>
      <w:bookmarkEnd w:id="74"/>
      <w:bookmarkEnd w:id="75"/>
    </w:p>
    <w:p w14:paraId="47799256">
      <w:pPr>
        <w:ind w:firstLine="420"/>
        <w:rPr>
          <w:rFonts w:hint="eastAsia" w:ascii="宋体" w:hAnsi="宋体" w:cs="宋体"/>
          <w:color w:val="auto"/>
          <w:sz w:val="24"/>
          <w:highlight w:val="none"/>
        </w:rPr>
      </w:pPr>
      <w:r>
        <w:rPr>
          <w:rFonts w:hint="eastAsia" w:ascii="宋体" w:hAnsi="宋体" w:cs="宋体"/>
          <w:color w:val="auto"/>
          <w:sz w:val="24"/>
          <w:highlight w:val="none"/>
        </w:rPr>
        <w:t>采购人按照下列指标对各投标人的资格进行审查，未通过审查的为无效标，不参与评标。</w:t>
      </w:r>
    </w:p>
    <w:tbl>
      <w:tblPr>
        <w:tblStyle w:val="35"/>
        <w:tblW w:w="9161" w:type="dxa"/>
        <w:tblInd w:w="353"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3288"/>
        <w:gridCol w:w="3336"/>
        <w:gridCol w:w="2537"/>
      </w:tblGrid>
      <w:tr w14:paraId="6A79E7E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81"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384C95BA">
            <w:pPr>
              <w:jc w:val="center"/>
              <w:rPr>
                <w:rFonts w:cs="宋体"/>
                <w:color w:val="auto"/>
                <w:highlight w:val="none"/>
              </w:rPr>
            </w:pPr>
            <w:r>
              <w:rPr>
                <w:rFonts w:hint="eastAsia" w:cs="宋体"/>
                <w:color w:val="auto"/>
                <w:highlight w:val="none"/>
              </w:rPr>
              <w:t>资格审查因素</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3505E27E">
            <w:pPr>
              <w:jc w:val="center"/>
              <w:rPr>
                <w:rFonts w:cs="宋体"/>
                <w:color w:val="auto"/>
                <w:highlight w:val="none"/>
              </w:rPr>
            </w:pPr>
            <w:r>
              <w:rPr>
                <w:rFonts w:hint="eastAsia" w:cs="宋体"/>
                <w:color w:val="auto"/>
                <w:highlight w:val="none"/>
              </w:rPr>
              <w:t>审查标准</w:t>
            </w:r>
          </w:p>
        </w:tc>
      </w:tr>
      <w:tr w14:paraId="4DDE2C8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47100481">
            <w:pPr>
              <w:jc w:val="left"/>
              <w:rPr>
                <w:rFonts w:cs="宋体"/>
                <w:color w:val="auto"/>
                <w:highlight w:val="none"/>
              </w:rPr>
            </w:pPr>
            <w:r>
              <w:rPr>
                <w:rFonts w:hint="eastAsia" w:cs="Arial"/>
                <w:bCs/>
                <w:color w:val="auto"/>
                <w:highlight w:val="none"/>
              </w:rPr>
              <w:t>具有独立承担民事责任的能力</w:t>
            </w:r>
            <w:r>
              <w:rPr>
                <w:rFonts w:hint="eastAsia" w:eastAsia="Times New Roman" w:cs="Arial"/>
                <w:bCs/>
                <w:color w:val="auto"/>
                <w:highlight w:val="none"/>
              </w:rPr>
              <w:t>（企业“三证合一”营业执照副本（复印件）</w:t>
            </w:r>
            <w:r>
              <w:rPr>
                <w:rFonts w:hint="eastAsia" w:cs="宋体"/>
                <w:bCs/>
                <w:color w:val="auto"/>
                <w:highlight w:val="none"/>
              </w:rPr>
              <w:t>等</w:t>
            </w:r>
            <w:r>
              <w:rPr>
                <w:rFonts w:hint="eastAsia" w:eastAsia="Times New Roman" w:cs="Arial"/>
                <w:bCs/>
                <w:color w:val="auto"/>
                <w:highlight w:val="none"/>
              </w:rPr>
              <w:t>）</w:t>
            </w:r>
          </w:p>
        </w:tc>
        <w:tc>
          <w:tcPr>
            <w:tcW w:w="3336" w:type="dxa"/>
            <w:vMerge w:val="restart"/>
            <w:tcBorders>
              <w:top w:val="single" w:color="auto" w:sz="6" w:space="0"/>
              <w:left w:val="single" w:color="auto" w:sz="6" w:space="0"/>
              <w:right w:val="single" w:color="auto" w:sz="6" w:space="0"/>
            </w:tcBorders>
            <w:noWrap w:val="0"/>
            <w:vAlign w:val="center"/>
          </w:tcPr>
          <w:p w14:paraId="77C65137">
            <w:pPr>
              <w:jc w:val="left"/>
              <w:rPr>
                <w:rFonts w:cs="宋体"/>
                <w:color w:val="auto"/>
                <w:highlight w:val="none"/>
              </w:rPr>
            </w:pPr>
            <w:r>
              <w:rPr>
                <w:rFonts w:hint="eastAsia" w:cs="宋体"/>
                <w:color w:val="auto"/>
                <w:szCs w:val="21"/>
                <w:highlight w:val="none"/>
              </w:rPr>
              <w:t>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p>
        </w:tc>
        <w:tc>
          <w:tcPr>
            <w:tcW w:w="2537" w:type="dxa"/>
            <w:vMerge w:val="restart"/>
            <w:tcBorders>
              <w:top w:val="single" w:color="auto" w:sz="6" w:space="0"/>
              <w:left w:val="single" w:color="auto" w:sz="6" w:space="0"/>
              <w:bottom w:val="single" w:color="auto" w:sz="6" w:space="0"/>
              <w:right w:val="single" w:color="auto" w:sz="6" w:space="0"/>
            </w:tcBorders>
            <w:noWrap w:val="0"/>
            <w:vAlign w:val="center"/>
          </w:tcPr>
          <w:p w14:paraId="44FD9074">
            <w:pPr>
              <w:jc w:val="left"/>
              <w:rPr>
                <w:rFonts w:cs="宋体"/>
                <w:color w:val="auto"/>
                <w:highlight w:val="none"/>
              </w:rPr>
            </w:pPr>
            <w:r>
              <w:rPr>
                <w:rFonts w:hint="eastAsia" w:cs="宋体"/>
                <w:color w:val="auto"/>
                <w:highlight w:val="none"/>
              </w:rPr>
              <w:t>符合招标文件第11条“投标文件构成”的要求</w:t>
            </w:r>
          </w:p>
        </w:tc>
      </w:tr>
      <w:tr w14:paraId="5F72D1C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54A96B79">
            <w:pPr>
              <w:jc w:val="left"/>
              <w:rPr>
                <w:rFonts w:cs="宋体"/>
                <w:color w:val="auto"/>
                <w:highlight w:val="none"/>
              </w:rPr>
            </w:pPr>
            <w:r>
              <w:rPr>
                <w:rFonts w:hint="eastAsia" w:cs="Arial"/>
                <w:bCs/>
                <w:color w:val="auto"/>
                <w:highlight w:val="none"/>
              </w:rPr>
              <w:t>具有良好的商业信誉和健全的财务会计制度</w:t>
            </w:r>
          </w:p>
        </w:tc>
        <w:tc>
          <w:tcPr>
            <w:tcW w:w="3336" w:type="dxa"/>
            <w:vMerge w:val="continue"/>
            <w:tcBorders>
              <w:left w:val="single" w:color="auto" w:sz="6" w:space="0"/>
              <w:right w:val="single" w:color="auto" w:sz="6" w:space="0"/>
            </w:tcBorders>
            <w:noWrap w:val="0"/>
            <w:vAlign w:val="center"/>
          </w:tcPr>
          <w:p w14:paraId="0B10C067">
            <w:pPr>
              <w:jc w:val="left"/>
              <w:rPr>
                <w:rFonts w:cs="宋体"/>
                <w:color w:val="auto"/>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072BBD26">
            <w:pPr>
              <w:jc w:val="left"/>
              <w:rPr>
                <w:rFonts w:cs="宋体"/>
                <w:color w:val="auto"/>
                <w:highlight w:val="none"/>
              </w:rPr>
            </w:pPr>
          </w:p>
        </w:tc>
      </w:tr>
      <w:tr w14:paraId="466C259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0FF82F28">
            <w:pPr>
              <w:jc w:val="left"/>
              <w:rPr>
                <w:rFonts w:cs="宋体"/>
                <w:color w:val="auto"/>
                <w:highlight w:val="none"/>
              </w:rPr>
            </w:pPr>
            <w:r>
              <w:rPr>
                <w:rFonts w:hint="eastAsia" w:cs="Arial"/>
                <w:bCs/>
                <w:color w:val="auto"/>
                <w:highlight w:val="none"/>
              </w:rPr>
              <w:t>具有履行合同所必需的设备和专业技术能力</w:t>
            </w:r>
          </w:p>
        </w:tc>
        <w:tc>
          <w:tcPr>
            <w:tcW w:w="3336" w:type="dxa"/>
            <w:vMerge w:val="continue"/>
            <w:tcBorders>
              <w:left w:val="single" w:color="auto" w:sz="6" w:space="0"/>
              <w:right w:val="single" w:color="auto" w:sz="6" w:space="0"/>
            </w:tcBorders>
            <w:noWrap w:val="0"/>
            <w:vAlign w:val="center"/>
          </w:tcPr>
          <w:p w14:paraId="495355F0">
            <w:pPr>
              <w:jc w:val="left"/>
              <w:rPr>
                <w:rFonts w:cs="宋体"/>
                <w:color w:val="auto"/>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2AC8B23D">
            <w:pPr>
              <w:jc w:val="left"/>
              <w:rPr>
                <w:rFonts w:cs="宋体"/>
                <w:color w:val="auto"/>
                <w:highlight w:val="none"/>
              </w:rPr>
            </w:pPr>
          </w:p>
        </w:tc>
      </w:tr>
      <w:tr w14:paraId="7984EAB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1A561E7E">
            <w:pPr>
              <w:jc w:val="left"/>
              <w:rPr>
                <w:rFonts w:cs="宋体"/>
                <w:color w:val="auto"/>
                <w:highlight w:val="none"/>
              </w:rPr>
            </w:pPr>
            <w:r>
              <w:rPr>
                <w:rFonts w:hint="eastAsia" w:cs="Arial"/>
                <w:bCs/>
                <w:color w:val="auto"/>
                <w:highlight w:val="none"/>
              </w:rPr>
              <w:t>有依法缴纳税收和社会保障资金的良好记录</w:t>
            </w:r>
          </w:p>
        </w:tc>
        <w:tc>
          <w:tcPr>
            <w:tcW w:w="3336" w:type="dxa"/>
            <w:vMerge w:val="continue"/>
            <w:tcBorders>
              <w:left w:val="single" w:color="auto" w:sz="6" w:space="0"/>
              <w:right w:val="single" w:color="auto" w:sz="6" w:space="0"/>
            </w:tcBorders>
            <w:noWrap w:val="0"/>
            <w:vAlign w:val="center"/>
          </w:tcPr>
          <w:p w14:paraId="50387ECF">
            <w:pPr>
              <w:jc w:val="left"/>
              <w:rPr>
                <w:rFonts w:cs="宋体"/>
                <w:color w:val="auto"/>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7B31A2C8">
            <w:pPr>
              <w:jc w:val="left"/>
              <w:rPr>
                <w:rFonts w:cs="宋体"/>
                <w:color w:val="auto"/>
                <w:highlight w:val="none"/>
              </w:rPr>
            </w:pPr>
          </w:p>
        </w:tc>
      </w:tr>
      <w:tr w14:paraId="003B116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2B3C62C3">
            <w:pPr>
              <w:jc w:val="left"/>
              <w:rPr>
                <w:rFonts w:cs="宋体"/>
                <w:color w:val="auto"/>
                <w:highlight w:val="none"/>
              </w:rPr>
            </w:pPr>
            <w:r>
              <w:rPr>
                <w:rFonts w:hint="eastAsia" w:cs="宋体"/>
                <w:color w:val="auto"/>
                <w:highlight w:val="none"/>
              </w:rPr>
              <w:t>无重大违法行为声明</w:t>
            </w:r>
          </w:p>
        </w:tc>
        <w:tc>
          <w:tcPr>
            <w:tcW w:w="3336" w:type="dxa"/>
            <w:vMerge w:val="continue"/>
            <w:tcBorders>
              <w:left w:val="single" w:color="auto" w:sz="6" w:space="0"/>
              <w:right w:val="single" w:color="auto" w:sz="6" w:space="0"/>
            </w:tcBorders>
            <w:noWrap w:val="0"/>
            <w:vAlign w:val="center"/>
          </w:tcPr>
          <w:p w14:paraId="63FF12EA">
            <w:pPr>
              <w:jc w:val="left"/>
              <w:rPr>
                <w:rFonts w:cs="宋体"/>
                <w:color w:val="auto"/>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38456143">
            <w:pPr>
              <w:jc w:val="left"/>
              <w:rPr>
                <w:rFonts w:cs="宋体"/>
                <w:color w:val="auto"/>
                <w:highlight w:val="none"/>
              </w:rPr>
            </w:pPr>
          </w:p>
        </w:tc>
      </w:tr>
      <w:tr w14:paraId="151A5DC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3288" w:type="dxa"/>
            <w:tcBorders>
              <w:top w:val="single" w:color="auto" w:sz="6" w:space="0"/>
              <w:left w:val="single" w:color="auto" w:sz="6" w:space="0"/>
              <w:bottom w:val="single" w:color="auto" w:sz="6" w:space="0"/>
              <w:right w:val="single" w:color="auto" w:sz="6" w:space="0"/>
            </w:tcBorders>
            <w:noWrap w:val="0"/>
            <w:vAlign w:val="center"/>
          </w:tcPr>
          <w:p w14:paraId="4DBDF04D">
            <w:pPr>
              <w:jc w:val="left"/>
              <w:rPr>
                <w:rFonts w:cs="宋体"/>
                <w:color w:val="auto"/>
                <w:highlight w:val="none"/>
              </w:rPr>
            </w:pPr>
            <w:r>
              <w:rPr>
                <w:rFonts w:hint="eastAsia" w:cs="宋体"/>
                <w:color w:val="auto"/>
                <w:highlight w:val="none"/>
              </w:rPr>
              <w:t>法律、行政法规规定的其他条件</w:t>
            </w:r>
          </w:p>
        </w:tc>
        <w:tc>
          <w:tcPr>
            <w:tcW w:w="3336" w:type="dxa"/>
            <w:vMerge w:val="continue"/>
            <w:tcBorders>
              <w:left w:val="single" w:color="auto" w:sz="6" w:space="0"/>
              <w:bottom w:val="single" w:color="auto" w:sz="6" w:space="0"/>
              <w:right w:val="single" w:color="auto" w:sz="6" w:space="0"/>
            </w:tcBorders>
            <w:noWrap w:val="0"/>
            <w:vAlign w:val="center"/>
          </w:tcPr>
          <w:p w14:paraId="6045E610">
            <w:pPr>
              <w:jc w:val="left"/>
              <w:rPr>
                <w:rFonts w:cs="宋体"/>
                <w:color w:val="auto"/>
                <w:highlight w:val="none"/>
              </w:rPr>
            </w:pP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12F1F013">
            <w:pPr>
              <w:jc w:val="left"/>
              <w:rPr>
                <w:rFonts w:cs="宋体"/>
                <w:color w:val="auto"/>
                <w:highlight w:val="none"/>
              </w:rPr>
            </w:pPr>
          </w:p>
        </w:tc>
      </w:tr>
      <w:tr w14:paraId="51C8A63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PrEx>
        <w:trPr>
          <w:trHeight w:val="288"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089A1B7C">
            <w:pPr>
              <w:jc w:val="left"/>
              <w:rPr>
                <w:rFonts w:cs="宋体"/>
                <w:color w:val="auto"/>
                <w:highlight w:val="none"/>
              </w:rPr>
            </w:pPr>
            <w:r>
              <w:rPr>
                <w:rFonts w:hint="eastAsia" w:cs="宋体"/>
                <w:color w:val="auto"/>
                <w:highlight w:val="none"/>
              </w:rPr>
              <w:t>信用信息</w:t>
            </w: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0488346F">
            <w:pPr>
              <w:jc w:val="left"/>
              <w:rPr>
                <w:rFonts w:cs="宋体"/>
                <w:color w:val="auto"/>
                <w:highlight w:val="none"/>
              </w:rPr>
            </w:pPr>
          </w:p>
        </w:tc>
      </w:tr>
      <w:tr w14:paraId="73A47A6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6EA3455C">
            <w:pPr>
              <w:jc w:val="left"/>
              <w:rPr>
                <w:rFonts w:cs="宋体"/>
                <w:color w:val="auto"/>
                <w:highlight w:val="none"/>
              </w:rPr>
            </w:pPr>
            <w:r>
              <w:rPr>
                <w:rFonts w:hint="eastAsia" w:cs="宋体"/>
                <w:color w:val="auto"/>
                <w:highlight w:val="none"/>
              </w:rPr>
              <w:t>投标产品及投标人资质证书</w:t>
            </w:r>
          </w:p>
        </w:tc>
        <w:tc>
          <w:tcPr>
            <w:tcW w:w="2537" w:type="dxa"/>
            <w:vMerge w:val="continue"/>
            <w:tcBorders>
              <w:top w:val="single" w:color="auto" w:sz="6" w:space="0"/>
              <w:left w:val="single" w:color="auto" w:sz="6" w:space="0"/>
              <w:bottom w:val="single" w:color="auto" w:sz="6" w:space="0"/>
              <w:right w:val="single" w:color="auto" w:sz="6" w:space="0"/>
            </w:tcBorders>
            <w:noWrap w:val="0"/>
            <w:vAlign w:val="center"/>
          </w:tcPr>
          <w:p w14:paraId="20609123">
            <w:pPr>
              <w:jc w:val="left"/>
              <w:rPr>
                <w:rFonts w:cs="宋体"/>
                <w:color w:val="auto"/>
                <w:highlight w:val="none"/>
              </w:rPr>
            </w:pPr>
          </w:p>
        </w:tc>
      </w:tr>
      <w:tr w14:paraId="4917ACC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08"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07382884">
            <w:pPr>
              <w:jc w:val="left"/>
              <w:rPr>
                <w:rFonts w:cs="宋体"/>
                <w:color w:val="auto"/>
                <w:highlight w:val="none"/>
              </w:rPr>
            </w:pPr>
            <w:r>
              <w:rPr>
                <w:rFonts w:hint="eastAsia" w:cs="宋体"/>
                <w:color w:val="auto"/>
                <w:highlight w:val="none"/>
              </w:rPr>
              <w:t>投标人的关联性要求</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6FFC60F3">
            <w:pPr>
              <w:jc w:val="left"/>
              <w:rPr>
                <w:rFonts w:cs="宋体"/>
                <w:color w:val="auto"/>
                <w:highlight w:val="none"/>
              </w:rPr>
            </w:pPr>
            <w:r>
              <w:rPr>
                <w:rFonts w:hint="eastAsia" w:cs="宋体"/>
                <w:color w:val="auto"/>
                <w:highlight w:val="none"/>
              </w:rPr>
              <w:t>符合招标文件规定</w:t>
            </w:r>
          </w:p>
        </w:tc>
      </w:tr>
      <w:tr w14:paraId="1B76C60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65CFF524">
            <w:pPr>
              <w:jc w:val="left"/>
              <w:rPr>
                <w:rFonts w:cs="宋体"/>
                <w:color w:val="auto"/>
                <w:highlight w:val="none"/>
              </w:rPr>
            </w:pPr>
            <w:r>
              <w:rPr>
                <w:rFonts w:hint="eastAsia" w:cs="宋体"/>
                <w:color w:val="auto"/>
                <w:highlight w:val="none"/>
              </w:rPr>
              <w:t>符合联合体规定</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0B56B47D">
            <w:pPr>
              <w:jc w:val="left"/>
              <w:rPr>
                <w:rFonts w:cs="宋体"/>
                <w:color w:val="auto"/>
                <w:highlight w:val="none"/>
              </w:rPr>
            </w:pPr>
            <w:r>
              <w:rPr>
                <w:rFonts w:hint="eastAsia" w:cs="宋体"/>
                <w:color w:val="auto"/>
                <w:highlight w:val="none"/>
              </w:rPr>
              <w:t>符合招标文件规定</w:t>
            </w:r>
          </w:p>
        </w:tc>
      </w:tr>
      <w:tr w14:paraId="601BECF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322" w:hRule="atLeast"/>
        </w:trPr>
        <w:tc>
          <w:tcPr>
            <w:tcW w:w="6624" w:type="dxa"/>
            <w:gridSpan w:val="2"/>
            <w:tcBorders>
              <w:top w:val="single" w:color="auto" w:sz="6" w:space="0"/>
              <w:left w:val="single" w:color="auto" w:sz="6" w:space="0"/>
              <w:bottom w:val="single" w:color="auto" w:sz="6" w:space="0"/>
              <w:right w:val="single" w:color="auto" w:sz="6" w:space="0"/>
            </w:tcBorders>
            <w:noWrap w:val="0"/>
            <w:vAlign w:val="center"/>
          </w:tcPr>
          <w:p w14:paraId="6370FB4F">
            <w:pPr>
              <w:jc w:val="left"/>
              <w:rPr>
                <w:rFonts w:cs="宋体"/>
                <w:color w:val="auto"/>
                <w:highlight w:val="none"/>
              </w:rPr>
            </w:pPr>
            <w:r>
              <w:rPr>
                <w:rFonts w:hint="eastAsia" w:cs="宋体"/>
                <w:color w:val="auto"/>
                <w:highlight w:val="none"/>
              </w:rPr>
              <w:t>特定资格要求（如有）</w:t>
            </w:r>
          </w:p>
        </w:tc>
        <w:tc>
          <w:tcPr>
            <w:tcW w:w="2537" w:type="dxa"/>
            <w:tcBorders>
              <w:top w:val="single" w:color="auto" w:sz="6" w:space="0"/>
              <w:left w:val="single" w:color="auto" w:sz="6" w:space="0"/>
              <w:bottom w:val="single" w:color="auto" w:sz="6" w:space="0"/>
              <w:right w:val="single" w:color="auto" w:sz="6" w:space="0"/>
            </w:tcBorders>
            <w:noWrap w:val="0"/>
            <w:vAlign w:val="center"/>
          </w:tcPr>
          <w:p w14:paraId="24CD47BF">
            <w:pPr>
              <w:jc w:val="left"/>
              <w:rPr>
                <w:rFonts w:cs="宋体"/>
                <w:color w:val="auto"/>
                <w:highlight w:val="none"/>
              </w:rPr>
            </w:pPr>
            <w:r>
              <w:rPr>
                <w:rFonts w:hint="eastAsia" w:cs="宋体"/>
                <w:color w:val="auto"/>
                <w:highlight w:val="none"/>
              </w:rPr>
              <w:t>符合招标文件规定</w:t>
            </w:r>
          </w:p>
        </w:tc>
      </w:tr>
    </w:tbl>
    <w:p w14:paraId="3FC81801">
      <w:pPr>
        <w:ind w:firstLine="420"/>
        <w:rPr>
          <w:rFonts w:hint="eastAsia" w:ascii="宋体" w:hAnsi="宋体" w:cs="宋体"/>
          <w:color w:val="auto"/>
          <w:sz w:val="24"/>
          <w:highlight w:val="none"/>
        </w:rPr>
      </w:pPr>
    </w:p>
    <w:p w14:paraId="6D2A0802">
      <w:pPr>
        <w:spacing w:before="156" w:after="156"/>
        <w:ind w:firstLine="643"/>
        <w:outlineLvl w:val="1"/>
        <w:rPr>
          <w:b/>
          <w:color w:val="auto"/>
          <w:sz w:val="32"/>
          <w:szCs w:val="32"/>
          <w:highlight w:val="none"/>
        </w:rPr>
      </w:pPr>
      <w:r>
        <w:rPr>
          <w:rFonts w:hint="eastAsia"/>
          <w:b/>
          <w:color w:val="auto"/>
          <w:sz w:val="32"/>
          <w:szCs w:val="32"/>
          <w:highlight w:val="none"/>
        </w:rPr>
        <w:t>二、符合性审查</w:t>
      </w:r>
    </w:p>
    <w:p w14:paraId="35A00C1A">
      <w:pPr>
        <w:ind w:firstLine="420"/>
        <w:rPr>
          <w:rFonts w:hint="eastAsia"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4ADC8574">
      <w:pPr>
        <w:ind w:firstLine="420"/>
        <w:rPr>
          <w:rFonts w:hint="eastAsia" w:ascii="宋体" w:hAnsi="宋体" w:cs="宋体"/>
          <w:color w:val="auto"/>
          <w:sz w:val="24"/>
          <w:highlight w:val="none"/>
        </w:rPr>
      </w:pPr>
      <w:r>
        <w:rPr>
          <w:rFonts w:hint="eastAsia" w:ascii="宋体" w:hAnsi="宋体" w:cs="宋体"/>
          <w:color w:val="auto"/>
          <w:sz w:val="24"/>
          <w:highlight w:val="none"/>
        </w:rPr>
        <w:t>未通过审查的为无效标，不再参与评审。</w:t>
      </w:r>
    </w:p>
    <w:tbl>
      <w:tblPr>
        <w:tblStyle w:val="35"/>
        <w:tblW w:w="9203" w:type="dxa"/>
        <w:tblInd w:w="332"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618"/>
        <w:gridCol w:w="4585"/>
      </w:tblGrid>
      <w:tr w14:paraId="5B3329D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single" w:color="auto" w:sz="6" w:space="0"/>
              <w:left w:val="single" w:color="auto" w:sz="6" w:space="0"/>
              <w:bottom w:val="single" w:color="auto" w:sz="6" w:space="0"/>
              <w:right w:val="single" w:color="auto" w:sz="6" w:space="0"/>
            </w:tcBorders>
            <w:noWrap w:val="0"/>
            <w:vAlign w:val="center"/>
          </w:tcPr>
          <w:p w14:paraId="06437526">
            <w:pPr>
              <w:jc w:val="center"/>
              <w:rPr>
                <w:rFonts w:cs="宋体"/>
                <w:color w:val="auto"/>
                <w:highlight w:val="none"/>
              </w:rPr>
            </w:pPr>
            <w:r>
              <w:rPr>
                <w:rFonts w:hint="eastAsia" w:cs="宋体"/>
                <w:color w:val="auto"/>
                <w:highlight w:val="none"/>
              </w:rPr>
              <w:t>符合性审查因素</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228B8ABF">
            <w:pPr>
              <w:jc w:val="center"/>
              <w:rPr>
                <w:rFonts w:cs="宋体"/>
                <w:color w:val="auto"/>
                <w:highlight w:val="none"/>
              </w:rPr>
            </w:pPr>
            <w:r>
              <w:rPr>
                <w:rFonts w:hint="eastAsia" w:cs="宋体"/>
                <w:color w:val="auto"/>
                <w:highlight w:val="none"/>
              </w:rPr>
              <w:t>审查标准</w:t>
            </w:r>
          </w:p>
        </w:tc>
      </w:tr>
      <w:tr w14:paraId="5BBD2E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90" w:hRule="atLeast"/>
        </w:trPr>
        <w:tc>
          <w:tcPr>
            <w:tcW w:w="4618" w:type="dxa"/>
            <w:tcBorders>
              <w:top w:val="single" w:color="auto" w:sz="6" w:space="0"/>
              <w:left w:val="single" w:color="auto" w:sz="6" w:space="0"/>
              <w:bottom w:val="single" w:color="auto" w:sz="6" w:space="0"/>
              <w:right w:val="single" w:color="auto" w:sz="6" w:space="0"/>
            </w:tcBorders>
            <w:noWrap w:val="0"/>
            <w:vAlign w:val="center"/>
          </w:tcPr>
          <w:p w14:paraId="3B0A86D2">
            <w:pPr>
              <w:jc w:val="left"/>
              <w:rPr>
                <w:rFonts w:cs="宋体"/>
                <w:color w:val="auto"/>
                <w:highlight w:val="none"/>
              </w:rPr>
            </w:pPr>
            <w:r>
              <w:rPr>
                <w:rFonts w:hint="eastAsia" w:cs="宋体"/>
                <w:color w:val="auto"/>
                <w:highlight w:val="none"/>
              </w:rPr>
              <w:t>投标函</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00848CE9">
            <w:pPr>
              <w:jc w:val="left"/>
              <w:rPr>
                <w:rFonts w:cs="宋体"/>
                <w:color w:val="auto"/>
                <w:highlight w:val="none"/>
              </w:rPr>
            </w:pPr>
            <w:r>
              <w:rPr>
                <w:rFonts w:hint="eastAsia" w:cs="宋体"/>
                <w:color w:val="auto"/>
                <w:highlight w:val="none"/>
              </w:rPr>
              <w:t>符合招标文件第11.2条款的要求</w:t>
            </w:r>
          </w:p>
        </w:tc>
      </w:tr>
      <w:tr w14:paraId="0222EF5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87" w:hRule="atLeast"/>
        </w:trPr>
        <w:tc>
          <w:tcPr>
            <w:tcW w:w="4618" w:type="dxa"/>
            <w:tcBorders>
              <w:top w:val="single" w:color="auto" w:sz="6" w:space="0"/>
              <w:left w:val="single" w:color="auto" w:sz="6" w:space="0"/>
              <w:bottom w:val="single" w:color="auto" w:sz="6" w:space="0"/>
              <w:right w:val="single" w:color="auto" w:sz="6" w:space="0"/>
            </w:tcBorders>
            <w:noWrap w:val="0"/>
            <w:vAlign w:val="center"/>
          </w:tcPr>
          <w:p w14:paraId="65E15E0F">
            <w:pPr>
              <w:jc w:val="left"/>
              <w:rPr>
                <w:rFonts w:cs="宋体"/>
                <w:color w:val="auto"/>
                <w:highlight w:val="none"/>
              </w:rPr>
            </w:pPr>
            <w:r>
              <w:rPr>
                <w:rFonts w:hint="eastAsia" w:cs="宋体"/>
                <w:color w:val="auto"/>
                <w:highlight w:val="none"/>
              </w:rPr>
              <w:t>法定代表人身份证明或授权委托书</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364391FB">
            <w:pPr>
              <w:jc w:val="left"/>
              <w:rPr>
                <w:rFonts w:cs="宋体"/>
                <w:color w:val="auto"/>
                <w:highlight w:val="none"/>
              </w:rPr>
            </w:pPr>
            <w:r>
              <w:rPr>
                <w:rFonts w:hint="eastAsia" w:cs="宋体"/>
                <w:color w:val="auto"/>
                <w:highlight w:val="none"/>
              </w:rPr>
              <w:t>符合招标文件第11.3条款的要求</w:t>
            </w:r>
          </w:p>
        </w:tc>
      </w:tr>
      <w:tr w14:paraId="21FE6C9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287" w:hRule="atLeast"/>
        </w:trPr>
        <w:tc>
          <w:tcPr>
            <w:tcW w:w="4618" w:type="dxa"/>
            <w:tcBorders>
              <w:top w:val="single" w:color="auto" w:sz="6" w:space="0"/>
              <w:left w:val="single" w:color="auto" w:sz="6" w:space="0"/>
              <w:bottom w:val="single" w:color="auto" w:sz="6" w:space="0"/>
              <w:right w:val="single" w:color="auto" w:sz="6" w:space="0"/>
            </w:tcBorders>
            <w:noWrap w:val="0"/>
            <w:vAlign w:val="center"/>
          </w:tcPr>
          <w:p w14:paraId="27FDD590">
            <w:pPr>
              <w:jc w:val="left"/>
              <w:rPr>
                <w:rFonts w:cs="宋体"/>
                <w:color w:val="auto"/>
                <w:highlight w:val="none"/>
              </w:rPr>
            </w:pPr>
            <w:r>
              <w:rPr>
                <w:rFonts w:hint="eastAsia" w:cs="宋体"/>
                <w:color w:val="auto"/>
                <w:highlight w:val="none"/>
              </w:rPr>
              <w:t>签署和盖章符合要求</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583BC5E0">
            <w:pPr>
              <w:jc w:val="left"/>
              <w:rPr>
                <w:rFonts w:cs="宋体"/>
                <w:color w:val="auto"/>
                <w:highlight w:val="none"/>
              </w:rPr>
            </w:pPr>
            <w:r>
              <w:rPr>
                <w:rFonts w:hint="eastAsia" w:cs="宋体"/>
                <w:color w:val="auto"/>
                <w:highlight w:val="none"/>
              </w:rPr>
              <w:t>符合招标文件规定</w:t>
            </w:r>
          </w:p>
        </w:tc>
      </w:tr>
      <w:tr w14:paraId="578C4F2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single" w:color="auto" w:sz="6" w:space="0"/>
              <w:left w:val="single" w:color="auto" w:sz="6" w:space="0"/>
              <w:bottom w:val="single" w:color="auto" w:sz="6" w:space="0"/>
              <w:right w:val="single" w:color="auto" w:sz="6" w:space="0"/>
            </w:tcBorders>
            <w:noWrap w:val="0"/>
            <w:vAlign w:val="center"/>
          </w:tcPr>
          <w:p w14:paraId="0502E134">
            <w:pPr>
              <w:jc w:val="left"/>
              <w:rPr>
                <w:rFonts w:cs="宋体"/>
                <w:color w:val="auto"/>
                <w:highlight w:val="none"/>
              </w:rPr>
            </w:pPr>
            <w:r>
              <w:rPr>
                <w:rFonts w:hint="eastAsia" w:cs="宋体"/>
                <w:color w:val="auto"/>
                <w:highlight w:val="none"/>
              </w:rPr>
              <w:t xml:space="preserve">开标一览表及投标报价 </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318C577F">
            <w:pPr>
              <w:jc w:val="left"/>
              <w:rPr>
                <w:rFonts w:cs="宋体"/>
                <w:color w:val="auto"/>
                <w:highlight w:val="none"/>
              </w:rPr>
            </w:pPr>
            <w:r>
              <w:rPr>
                <w:rFonts w:hint="eastAsia" w:cs="宋体"/>
                <w:color w:val="auto"/>
                <w:highlight w:val="none"/>
              </w:rPr>
              <w:t>格式、填写要求符合招标文件规定（报价未超过预算或最高限价）</w:t>
            </w:r>
          </w:p>
        </w:tc>
      </w:tr>
      <w:tr w14:paraId="64E8815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618" w:type="dxa"/>
            <w:tcBorders>
              <w:top w:val="single" w:color="auto" w:sz="6" w:space="0"/>
              <w:left w:val="single" w:color="auto" w:sz="6" w:space="0"/>
              <w:bottom w:val="single" w:color="auto" w:sz="6" w:space="0"/>
              <w:right w:val="single" w:color="auto" w:sz="6" w:space="0"/>
            </w:tcBorders>
            <w:noWrap w:val="0"/>
            <w:vAlign w:val="center"/>
          </w:tcPr>
          <w:p w14:paraId="2A02E70B">
            <w:pPr>
              <w:jc w:val="left"/>
              <w:rPr>
                <w:rFonts w:cs="宋体"/>
                <w:color w:val="auto"/>
                <w:highlight w:val="none"/>
              </w:rPr>
            </w:pPr>
            <w:r>
              <w:rPr>
                <w:rFonts w:hint="eastAsia" w:cs="宋体"/>
                <w:color w:val="auto"/>
                <w:highlight w:val="none"/>
              </w:rPr>
              <w:t>投标文件对招标文件的实质性条款的响应性</w:t>
            </w:r>
          </w:p>
        </w:tc>
        <w:tc>
          <w:tcPr>
            <w:tcW w:w="4585" w:type="dxa"/>
            <w:tcBorders>
              <w:top w:val="single" w:color="auto" w:sz="6" w:space="0"/>
              <w:left w:val="single" w:color="auto" w:sz="6" w:space="0"/>
              <w:bottom w:val="single" w:color="auto" w:sz="6" w:space="0"/>
              <w:right w:val="single" w:color="auto" w:sz="6" w:space="0"/>
            </w:tcBorders>
            <w:noWrap w:val="0"/>
            <w:vAlign w:val="center"/>
          </w:tcPr>
          <w:p w14:paraId="6F05295D">
            <w:pPr>
              <w:jc w:val="left"/>
              <w:rPr>
                <w:rFonts w:cs="宋体"/>
                <w:color w:val="auto"/>
                <w:highlight w:val="none"/>
              </w:rPr>
            </w:pPr>
            <w:r>
              <w:rPr>
                <w:rFonts w:hint="eastAsia" w:cs="宋体"/>
                <w:color w:val="auto"/>
                <w:highlight w:val="none"/>
              </w:rPr>
              <w:t>符合招标文件规定</w:t>
            </w:r>
          </w:p>
        </w:tc>
      </w:tr>
    </w:tbl>
    <w:p w14:paraId="461E9A0C">
      <w:pPr>
        <w:ind w:firstLine="420"/>
        <w:rPr>
          <w:rFonts w:hint="eastAsia" w:ascii="宋体" w:hAnsi="宋体" w:cs="宋体"/>
          <w:color w:val="auto"/>
          <w:sz w:val="24"/>
          <w:highlight w:val="none"/>
        </w:rPr>
      </w:pPr>
    </w:p>
    <w:p w14:paraId="74A72CE9">
      <w:pPr>
        <w:outlineLvl w:val="1"/>
        <w:rPr>
          <w:rFonts w:hint="eastAsia" w:ascii="宋体" w:hAnsi="宋体" w:cs="宋体"/>
          <w:b/>
          <w:color w:val="auto"/>
          <w:sz w:val="32"/>
          <w:szCs w:val="32"/>
          <w:highlight w:val="none"/>
        </w:rPr>
      </w:pPr>
      <w:bookmarkStart w:id="76" w:name="_Toc11959"/>
      <w:r>
        <w:rPr>
          <w:rFonts w:hint="eastAsia" w:ascii="宋体" w:hAnsi="宋体" w:cs="宋体"/>
          <w:b/>
          <w:color w:val="auto"/>
          <w:sz w:val="32"/>
          <w:szCs w:val="32"/>
          <w:highlight w:val="none"/>
        </w:rPr>
        <w:t>三、评分办法—综合评分法</w:t>
      </w:r>
      <w:bookmarkEnd w:id="76"/>
    </w:p>
    <w:p w14:paraId="2EB33879">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p>
    <w:p w14:paraId="6B03F36D">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评标委员会根据评审后投标人排序推荐中标候选人。投标文件满足招标文件全部实质性要求，且评审后排序第一的投标人为第一中标候选人，依次类推。</w:t>
      </w:r>
    </w:p>
    <w:p w14:paraId="27F3675E">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综合评分保留至小数点后两位。 </w:t>
      </w:r>
    </w:p>
    <w:p w14:paraId="57C97921">
      <w:pPr>
        <w:numPr>
          <w:ilvl w:val="0"/>
          <w:numId w:val="9"/>
        </w:numPr>
        <w:spacing w:line="500" w:lineRule="exact"/>
        <w:ind w:firstLine="480"/>
        <w:jc w:val="left"/>
        <w:rPr>
          <w:rFonts w:hint="eastAsia" w:ascii="宋体" w:hAnsi="宋体" w:cs="宋体"/>
          <w:b/>
          <w:bCs/>
          <w:color w:val="auto"/>
          <w:sz w:val="24"/>
          <w:highlight w:val="none"/>
        </w:rPr>
      </w:pPr>
      <w:r>
        <w:rPr>
          <w:rFonts w:hint="eastAsia" w:ascii="宋体" w:hAnsi="宋体" w:cs="宋体"/>
          <w:color w:val="auto"/>
          <w:sz w:val="24"/>
          <w:highlight w:val="none"/>
        </w:rPr>
        <w:t>详细评审。评标委员会按照招标文件规定的评分标准，对各投标文件进行详细评审打分。评标委员会组长对各评审专家的打分情况进行复核无误后汇总，形成评审报告。</w:t>
      </w:r>
    </w:p>
    <w:tbl>
      <w:tblPr>
        <w:tblStyle w:val="35"/>
        <w:tblW w:w="8660" w:type="dxa"/>
        <w:jc w:val="center"/>
        <w:tblLayout w:type="autofit"/>
        <w:tblCellMar>
          <w:top w:w="0" w:type="dxa"/>
          <w:left w:w="108" w:type="dxa"/>
          <w:bottom w:w="0" w:type="dxa"/>
          <w:right w:w="108" w:type="dxa"/>
        </w:tblCellMar>
      </w:tblPr>
      <w:tblGrid>
        <w:gridCol w:w="1060"/>
        <w:gridCol w:w="6520"/>
        <w:gridCol w:w="1080"/>
      </w:tblGrid>
      <w:tr w14:paraId="43D22D79">
        <w:tblPrEx>
          <w:tblCellMar>
            <w:top w:w="0" w:type="dxa"/>
            <w:left w:w="108" w:type="dxa"/>
            <w:bottom w:w="0" w:type="dxa"/>
            <w:right w:w="108" w:type="dxa"/>
          </w:tblCellMar>
        </w:tblPrEx>
        <w:trPr>
          <w:trHeight w:val="285" w:hRule="atLeast"/>
          <w:jc w:val="center"/>
        </w:trPr>
        <w:tc>
          <w:tcPr>
            <w:tcW w:w="1060" w:type="dxa"/>
            <w:tcBorders>
              <w:top w:val="single" w:color="auto" w:sz="4" w:space="0"/>
              <w:left w:val="single" w:color="auto" w:sz="4" w:space="0"/>
              <w:bottom w:val="single" w:color="auto" w:sz="4" w:space="0"/>
              <w:right w:val="single" w:color="auto" w:sz="4" w:space="0"/>
            </w:tcBorders>
            <w:noWrap/>
            <w:vAlign w:val="center"/>
          </w:tcPr>
          <w:p w14:paraId="4962DBEC">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评审因素</w:t>
            </w:r>
          </w:p>
        </w:tc>
        <w:tc>
          <w:tcPr>
            <w:tcW w:w="6520" w:type="dxa"/>
            <w:tcBorders>
              <w:top w:val="single" w:color="auto" w:sz="4" w:space="0"/>
              <w:left w:val="nil"/>
              <w:bottom w:val="single" w:color="auto" w:sz="4" w:space="0"/>
              <w:right w:val="single" w:color="auto" w:sz="4" w:space="0"/>
            </w:tcBorders>
            <w:noWrap w:val="0"/>
            <w:vAlign w:val="center"/>
          </w:tcPr>
          <w:p w14:paraId="484938F5">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评审细则</w:t>
            </w:r>
          </w:p>
        </w:tc>
        <w:tc>
          <w:tcPr>
            <w:tcW w:w="1080" w:type="dxa"/>
            <w:tcBorders>
              <w:top w:val="single" w:color="auto" w:sz="4" w:space="0"/>
              <w:left w:val="nil"/>
              <w:bottom w:val="single" w:color="auto" w:sz="4" w:space="0"/>
              <w:right w:val="single" w:color="auto" w:sz="4" w:space="0"/>
            </w:tcBorders>
            <w:noWrap/>
            <w:vAlign w:val="center"/>
          </w:tcPr>
          <w:p w14:paraId="02CBC0D9">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分值</w:t>
            </w:r>
          </w:p>
        </w:tc>
      </w:tr>
      <w:tr w14:paraId="06901DF2">
        <w:tblPrEx>
          <w:tblCellMar>
            <w:top w:w="0" w:type="dxa"/>
            <w:left w:w="108" w:type="dxa"/>
            <w:bottom w:w="0" w:type="dxa"/>
            <w:right w:w="108" w:type="dxa"/>
          </w:tblCellMar>
        </w:tblPrEx>
        <w:trPr>
          <w:trHeight w:val="1140" w:hRule="atLeast"/>
          <w:jc w:val="center"/>
        </w:trPr>
        <w:tc>
          <w:tcPr>
            <w:tcW w:w="1060" w:type="dxa"/>
            <w:tcBorders>
              <w:top w:val="nil"/>
              <w:left w:val="single" w:color="auto" w:sz="4" w:space="0"/>
              <w:bottom w:val="single" w:color="auto" w:sz="4" w:space="0"/>
              <w:right w:val="single" w:color="auto" w:sz="4" w:space="0"/>
            </w:tcBorders>
            <w:noWrap/>
            <w:vAlign w:val="center"/>
          </w:tcPr>
          <w:p w14:paraId="361C0A2C">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价格</w:t>
            </w:r>
          </w:p>
        </w:tc>
        <w:tc>
          <w:tcPr>
            <w:tcW w:w="6520" w:type="dxa"/>
            <w:tcBorders>
              <w:top w:val="nil"/>
              <w:left w:val="nil"/>
              <w:bottom w:val="single" w:color="auto" w:sz="4" w:space="0"/>
              <w:right w:val="single" w:color="auto" w:sz="4" w:space="0"/>
            </w:tcBorders>
            <w:noWrap w:val="0"/>
            <w:vAlign w:val="center"/>
          </w:tcPr>
          <w:p w14:paraId="34E20030">
            <w:pPr>
              <w:widowControl/>
              <w:jc w:val="lef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进入详细评审的各投标人评标价的最低值为A值，A值为价格分的满分，即</w:t>
            </w:r>
            <w:r>
              <w:rPr>
                <w:rFonts w:hint="eastAsia" w:asciiTheme="minorEastAsia" w:hAnsiTheme="minorEastAsia" w:eastAsiaTheme="minorEastAsia" w:cstheme="minorEastAsia"/>
                <w:color w:val="auto"/>
                <w:sz w:val="22"/>
                <w:highlight w:val="none"/>
                <w:lang w:val="en-US" w:eastAsia="zh-CN"/>
              </w:rPr>
              <w:t>10</w:t>
            </w:r>
            <w:r>
              <w:rPr>
                <w:rFonts w:hint="eastAsia" w:asciiTheme="minorEastAsia" w:hAnsiTheme="minorEastAsia" w:eastAsiaTheme="minorEastAsia" w:cstheme="minorEastAsia"/>
                <w:color w:val="auto"/>
                <w:sz w:val="22"/>
                <w:highlight w:val="none"/>
              </w:rPr>
              <w:t>分。其他投标人的价格分统一按照以下公式计算：投标人评标价得分=（A／该投标人评标价）×</w:t>
            </w:r>
            <w:r>
              <w:rPr>
                <w:rFonts w:hint="eastAsia" w:asciiTheme="minorEastAsia" w:hAnsiTheme="minorEastAsia" w:eastAsiaTheme="minorEastAsia" w:cstheme="minorEastAsia"/>
                <w:color w:val="auto"/>
                <w:sz w:val="22"/>
                <w:highlight w:val="none"/>
                <w:lang w:val="en-US" w:eastAsia="zh-CN"/>
              </w:rPr>
              <w:t>10</w:t>
            </w:r>
            <w:r>
              <w:rPr>
                <w:rFonts w:hint="eastAsia" w:asciiTheme="minorEastAsia" w:hAnsiTheme="minorEastAsia" w:eastAsiaTheme="minorEastAsia" w:cstheme="minorEastAsia"/>
                <w:color w:val="auto"/>
                <w:sz w:val="22"/>
                <w:highlight w:val="none"/>
              </w:rPr>
              <w:t>。（保留小数点后两位）</w:t>
            </w:r>
          </w:p>
        </w:tc>
        <w:tc>
          <w:tcPr>
            <w:tcW w:w="1080" w:type="dxa"/>
            <w:tcBorders>
              <w:top w:val="nil"/>
              <w:left w:val="nil"/>
              <w:bottom w:val="single" w:color="auto" w:sz="4" w:space="0"/>
              <w:right w:val="single" w:color="auto" w:sz="4" w:space="0"/>
            </w:tcBorders>
            <w:noWrap/>
            <w:vAlign w:val="center"/>
          </w:tcPr>
          <w:p w14:paraId="74623BC1">
            <w:pPr>
              <w:widowControl/>
              <w:jc w:val="center"/>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10</w:t>
            </w:r>
          </w:p>
        </w:tc>
      </w:tr>
      <w:tr w14:paraId="3FAD5F75">
        <w:tblPrEx>
          <w:tblCellMar>
            <w:top w:w="0" w:type="dxa"/>
            <w:left w:w="108" w:type="dxa"/>
            <w:bottom w:w="0" w:type="dxa"/>
            <w:right w:w="108" w:type="dxa"/>
          </w:tblCellMar>
        </w:tblPrEx>
        <w:trPr>
          <w:trHeight w:val="2280" w:hRule="atLeast"/>
          <w:jc w:val="center"/>
        </w:trPr>
        <w:tc>
          <w:tcPr>
            <w:tcW w:w="1060" w:type="dxa"/>
            <w:tcBorders>
              <w:top w:val="nil"/>
              <w:left w:val="single" w:color="auto" w:sz="4" w:space="0"/>
              <w:bottom w:val="single" w:color="auto" w:sz="4" w:space="0"/>
              <w:right w:val="single" w:color="auto" w:sz="4" w:space="0"/>
            </w:tcBorders>
            <w:noWrap/>
            <w:vAlign w:val="center"/>
          </w:tcPr>
          <w:p w14:paraId="57E8ED21">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技术要求</w:t>
            </w:r>
          </w:p>
        </w:tc>
        <w:tc>
          <w:tcPr>
            <w:tcW w:w="6520" w:type="dxa"/>
            <w:tcBorders>
              <w:top w:val="nil"/>
              <w:left w:val="nil"/>
              <w:bottom w:val="single" w:color="auto" w:sz="4" w:space="0"/>
              <w:right w:val="single" w:color="auto" w:sz="4" w:space="0"/>
            </w:tcBorders>
            <w:noWrap w:val="0"/>
            <w:vAlign w:val="center"/>
          </w:tcPr>
          <w:p w14:paraId="1306E84A">
            <w:pPr>
              <w:widowControl/>
              <w:snapToGrid w:val="0"/>
              <w:jc w:val="left"/>
              <w:rPr>
                <w:rFonts w:hint="eastAsia" w:eastAsia="宋体" w:cs="宋体"/>
                <w:b w:val="0"/>
                <w:bCs w:val="0"/>
                <w:color w:val="auto"/>
                <w:sz w:val="21"/>
                <w:szCs w:val="21"/>
                <w:highlight w:val="none"/>
                <w:lang w:eastAsia="zh-CN"/>
              </w:rPr>
            </w:pPr>
            <w:r>
              <w:rPr>
                <w:rFonts w:hint="eastAsia" w:cs="宋体"/>
                <w:b w:val="0"/>
                <w:bCs w:val="0"/>
                <w:color w:val="auto"/>
                <w:sz w:val="21"/>
                <w:szCs w:val="21"/>
                <w:highlight w:val="none"/>
              </w:rPr>
              <w:t>投标人对招标文件具体需求的响应程度能够满足招标文件第四章项目需求二、技术要求部分中“</w:t>
            </w:r>
            <w:r>
              <w:rPr>
                <w:rFonts w:hint="eastAsia"/>
                <w:b w:val="0"/>
                <w:bCs w:val="0"/>
                <w:color w:val="auto"/>
                <w:sz w:val="21"/>
                <w:szCs w:val="21"/>
                <w:highlight w:val="none"/>
              </w:rPr>
              <w:t>维保要求</w:t>
            </w:r>
            <w:r>
              <w:rPr>
                <w:rFonts w:hint="eastAsia" w:cs="宋体"/>
                <w:b w:val="0"/>
                <w:bCs w:val="0"/>
                <w:color w:val="auto"/>
                <w:sz w:val="21"/>
                <w:szCs w:val="21"/>
                <w:highlight w:val="none"/>
              </w:rPr>
              <w:t>”的得</w:t>
            </w:r>
            <w:r>
              <w:rPr>
                <w:rFonts w:hint="eastAsia" w:ascii="宋体" w:hAnsi="宋体" w:cs="宋体"/>
                <w:b w:val="0"/>
                <w:bCs w:val="0"/>
                <w:color w:val="auto"/>
                <w:sz w:val="21"/>
                <w:szCs w:val="21"/>
                <w:highlight w:val="none"/>
                <w:shd w:val="clear" w:color="auto" w:fill="auto"/>
                <w:lang w:val="en-US" w:eastAsia="zh-CN"/>
              </w:rPr>
              <w:t>25</w:t>
            </w:r>
            <w:r>
              <w:rPr>
                <w:rFonts w:hint="eastAsia" w:cs="宋体"/>
                <w:b w:val="0"/>
                <w:bCs w:val="0"/>
                <w:color w:val="auto"/>
                <w:sz w:val="21"/>
                <w:szCs w:val="21"/>
                <w:highlight w:val="none"/>
              </w:rPr>
              <w:t>分</w:t>
            </w:r>
            <w:r>
              <w:rPr>
                <w:rFonts w:hint="eastAsia" w:cs="宋体"/>
                <w:b w:val="0"/>
                <w:bCs w:val="0"/>
                <w:color w:val="auto"/>
                <w:sz w:val="21"/>
                <w:szCs w:val="21"/>
                <w:highlight w:val="none"/>
                <w:lang w:eastAsia="zh-CN"/>
              </w:rPr>
              <w:t>。</w:t>
            </w:r>
          </w:p>
          <w:p w14:paraId="15F5795E">
            <w:pPr>
              <w:numPr>
                <w:ilvl w:val="0"/>
                <w:numId w:val="10"/>
              </w:numPr>
              <w:adjustRightInd w:val="0"/>
              <w:snapToGrid w:val="0"/>
              <w:spacing w:line="440" w:lineRule="exact"/>
              <w:ind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普通参数共计</w:t>
            </w:r>
            <w:r>
              <w:rPr>
                <w:rFonts w:hint="eastAsia" w:ascii="宋体" w:hAnsi="宋体" w:cs="宋体"/>
                <w:b w:val="0"/>
                <w:bCs w:val="0"/>
                <w:color w:val="auto"/>
                <w:sz w:val="21"/>
                <w:szCs w:val="21"/>
                <w:highlight w:val="none"/>
                <w:shd w:val="clear" w:color="auto" w:fill="auto"/>
                <w:lang w:val="en-US" w:eastAsia="zh-CN"/>
              </w:rPr>
              <w:t>29</w:t>
            </w:r>
            <w:r>
              <w:rPr>
                <w:rFonts w:hint="eastAsia" w:ascii="宋体" w:hAnsi="宋体" w:eastAsia="宋体" w:cs="宋体"/>
                <w:b w:val="0"/>
                <w:bCs w:val="0"/>
                <w:color w:val="auto"/>
                <w:sz w:val="21"/>
                <w:szCs w:val="21"/>
                <w:highlight w:val="none"/>
                <w:shd w:val="clear" w:color="auto" w:fill="auto"/>
                <w:lang w:val="en-US" w:eastAsia="zh-CN"/>
              </w:rPr>
              <w:t>项目；</w:t>
            </w:r>
          </w:p>
          <w:p w14:paraId="3768C627">
            <w:pPr>
              <w:numPr>
                <w:ilvl w:val="0"/>
                <w:numId w:val="10"/>
              </w:numPr>
              <w:adjustRightInd w:val="0"/>
              <w:snapToGrid w:val="0"/>
              <w:spacing w:line="440" w:lineRule="exact"/>
              <w:ind w:left="0" w:leftChars="0"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标记▲参数为重要参数，共计</w:t>
            </w:r>
            <w:r>
              <w:rPr>
                <w:rFonts w:hint="eastAsia" w:ascii="宋体" w:hAnsi="宋体" w:cs="宋体"/>
                <w:b w:val="0"/>
                <w:bCs w:val="0"/>
                <w:color w:val="auto"/>
                <w:sz w:val="21"/>
                <w:szCs w:val="21"/>
                <w:highlight w:val="none"/>
                <w:shd w:val="clear" w:color="auto" w:fill="auto"/>
                <w:lang w:val="en-US" w:eastAsia="zh-CN"/>
              </w:rPr>
              <w:t>7</w:t>
            </w:r>
            <w:r>
              <w:rPr>
                <w:rFonts w:hint="eastAsia" w:ascii="宋体" w:hAnsi="宋体" w:eastAsia="宋体" w:cs="宋体"/>
                <w:b w:val="0"/>
                <w:bCs w:val="0"/>
                <w:color w:val="auto"/>
                <w:sz w:val="21"/>
                <w:szCs w:val="21"/>
                <w:highlight w:val="none"/>
                <w:shd w:val="clear" w:color="auto" w:fill="auto"/>
                <w:lang w:val="en-US" w:eastAsia="zh-CN"/>
              </w:rPr>
              <w:t>项；</w:t>
            </w:r>
          </w:p>
          <w:p w14:paraId="7B3D8B6E">
            <w:pPr>
              <w:numPr>
                <w:ilvl w:val="0"/>
                <w:numId w:val="10"/>
              </w:numPr>
              <w:adjustRightInd w:val="0"/>
              <w:snapToGrid w:val="0"/>
              <w:spacing w:line="440" w:lineRule="exact"/>
              <w:ind w:left="0" w:leftChars="0"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标记★参数为实质性参数，共计2项；</w:t>
            </w:r>
          </w:p>
          <w:p w14:paraId="70C065DC">
            <w:pPr>
              <w:adjustRightInd w:val="0"/>
              <w:snapToGrid w:val="0"/>
              <w:spacing w:line="440" w:lineRule="exact"/>
              <w:ind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普通参数每有一项负偏离扣</w:t>
            </w:r>
            <w:r>
              <w:rPr>
                <w:rFonts w:hint="eastAsia" w:ascii="宋体" w:hAnsi="宋体" w:cs="宋体"/>
                <w:b w:val="0"/>
                <w:bCs w:val="0"/>
                <w:color w:val="auto"/>
                <w:sz w:val="21"/>
                <w:szCs w:val="21"/>
                <w:highlight w:val="none"/>
                <w:shd w:val="clear" w:color="auto" w:fill="auto"/>
                <w:lang w:val="en-US" w:eastAsia="zh-CN"/>
              </w:rPr>
              <w:t>0.5</w:t>
            </w:r>
            <w:r>
              <w:rPr>
                <w:rFonts w:hint="eastAsia" w:ascii="宋体" w:hAnsi="宋体" w:eastAsia="宋体" w:cs="宋体"/>
                <w:b w:val="0"/>
                <w:bCs w:val="0"/>
                <w:color w:val="auto"/>
                <w:sz w:val="21"/>
                <w:szCs w:val="21"/>
                <w:highlight w:val="none"/>
                <w:shd w:val="clear" w:color="auto" w:fill="auto"/>
                <w:lang w:val="en-US" w:eastAsia="zh-CN"/>
              </w:rPr>
              <w:t>分，满分</w:t>
            </w:r>
            <w:r>
              <w:rPr>
                <w:rFonts w:hint="eastAsia" w:ascii="宋体" w:hAnsi="宋体" w:cs="宋体"/>
                <w:b w:val="0"/>
                <w:bCs w:val="0"/>
                <w:color w:val="auto"/>
                <w:sz w:val="21"/>
                <w:szCs w:val="21"/>
                <w:highlight w:val="none"/>
                <w:shd w:val="clear" w:color="auto" w:fill="auto"/>
                <w:lang w:val="en-US" w:eastAsia="zh-CN"/>
              </w:rPr>
              <w:t>14.5</w:t>
            </w:r>
            <w:r>
              <w:rPr>
                <w:rFonts w:hint="eastAsia" w:ascii="宋体" w:hAnsi="宋体" w:eastAsia="宋体" w:cs="宋体"/>
                <w:b w:val="0"/>
                <w:bCs w:val="0"/>
                <w:color w:val="auto"/>
                <w:sz w:val="21"/>
                <w:szCs w:val="21"/>
                <w:highlight w:val="none"/>
                <w:shd w:val="clear" w:color="auto" w:fill="auto"/>
                <w:lang w:val="en-US" w:eastAsia="zh-CN"/>
              </w:rPr>
              <w:t>分。</w:t>
            </w:r>
          </w:p>
          <w:p w14:paraId="205C3076">
            <w:pPr>
              <w:adjustRightInd w:val="0"/>
              <w:snapToGrid w:val="0"/>
              <w:spacing w:line="440" w:lineRule="exact"/>
              <w:ind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shd w:val="clear" w:color="auto" w:fill="auto"/>
                <w:lang w:val="en-US" w:eastAsia="zh-CN"/>
              </w:rPr>
              <w:t>带▲参数每有一项负偏离扣</w:t>
            </w:r>
            <w:r>
              <w:rPr>
                <w:rFonts w:hint="eastAsia" w:ascii="宋体" w:hAnsi="宋体" w:cs="宋体"/>
                <w:b w:val="0"/>
                <w:bCs w:val="0"/>
                <w:color w:val="auto"/>
                <w:sz w:val="21"/>
                <w:szCs w:val="21"/>
                <w:highlight w:val="none"/>
                <w:shd w:val="clear" w:color="auto" w:fill="auto"/>
                <w:lang w:val="en-US" w:eastAsia="zh-CN"/>
              </w:rPr>
              <w:t>1.5</w:t>
            </w:r>
            <w:r>
              <w:rPr>
                <w:rFonts w:hint="eastAsia" w:ascii="宋体" w:hAnsi="宋体" w:eastAsia="宋体" w:cs="宋体"/>
                <w:b w:val="0"/>
                <w:bCs w:val="0"/>
                <w:color w:val="auto"/>
                <w:sz w:val="21"/>
                <w:szCs w:val="21"/>
                <w:highlight w:val="none"/>
                <w:shd w:val="clear" w:color="auto" w:fill="auto"/>
                <w:lang w:val="en-US" w:eastAsia="zh-CN"/>
              </w:rPr>
              <w:t>分，满分</w:t>
            </w:r>
            <w:r>
              <w:rPr>
                <w:rFonts w:hint="eastAsia" w:ascii="宋体" w:hAnsi="宋体" w:cs="宋体"/>
                <w:b w:val="0"/>
                <w:bCs w:val="0"/>
                <w:color w:val="auto"/>
                <w:sz w:val="21"/>
                <w:szCs w:val="21"/>
                <w:highlight w:val="none"/>
                <w:shd w:val="clear" w:color="auto" w:fill="auto"/>
                <w:lang w:val="en-US" w:eastAsia="zh-CN"/>
              </w:rPr>
              <w:t>10.5</w:t>
            </w:r>
            <w:r>
              <w:rPr>
                <w:rFonts w:hint="eastAsia" w:ascii="宋体" w:hAnsi="宋体" w:eastAsia="宋体" w:cs="宋体"/>
                <w:b w:val="0"/>
                <w:bCs w:val="0"/>
                <w:color w:val="auto"/>
                <w:sz w:val="21"/>
                <w:szCs w:val="21"/>
                <w:highlight w:val="none"/>
                <w:shd w:val="clear" w:color="auto" w:fill="auto"/>
                <w:lang w:val="en-US" w:eastAsia="zh-CN"/>
              </w:rPr>
              <w:t>分。</w:t>
            </w:r>
          </w:p>
          <w:p w14:paraId="4701A5A7">
            <w:pPr>
              <w:adjustRightInd w:val="0"/>
              <w:snapToGrid w:val="0"/>
              <w:spacing w:line="440" w:lineRule="exact"/>
              <w:ind w:firstLine="420" w:firstLineChars="200"/>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shd w:val="clear" w:color="auto" w:fill="auto"/>
              </w:rPr>
              <w:t>参数不允许负偏离</w:t>
            </w:r>
            <w:r>
              <w:rPr>
                <w:rFonts w:hint="eastAsia" w:ascii="宋体" w:hAnsi="宋体" w:eastAsia="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lang w:val="en-US" w:eastAsia="zh-CN"/>
              </w:rPr>
              <w:t>带★参数有一项负偏离视为无效文件。</w:t>
            </w:r>
          </w:p>
          <w:p w14:paraId="35E4F66A">
            <w:pPr>
              <w:adjustRightInd w:val="0"/>
              <w:snapToGrid w:val="0"/>
              <w:spacing w:before="156" w:beforeLines="50" w:line="440" w:lineRule="exact"/>
              <w:rPr>
                <w:rFonts w:hint="eastAsia" w:eastAsia="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shd w:val="clear" w:color="auto" w:fill="auto"/>
              </w:rPr>
              <w:t>注：</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shd w:val="clear" w:color="auto" w:fill="auto"/>
              </w:rPr>
              <w:t>参数不允许负偏离，</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shd w:val="clear" w:color="auto" w:fill="auto"/>
              </w:rPr>
              <w:t>、▲号参数需要提供技术支撑材料</w:t>
            </w:r>
            <w:r>
              <w:rPr>
                <w:rFonts w:hint="eastAsia" w:ascii="宋体" w:hAnsi="宋体" w:cs="宋体"/>
                <w:b w:val="0"/>
                <w:bCs w:val="0"/>
                <w:color w:val="auto"/>
                <w:sz w:val="21"/>
                <w:szCs w:val="21"/>
                <w:highlight w:val="none"/>
                <w:shd w:val="clear" w:color="auto" w:fill="auto"/>
                <w:lang w:eastAsia="zh-CN"/>
              </w:rPr>
              <w:t>，</w:t>
            </w:r>
            <w:r>
              <w:rPr>
                <w:rFonts w:hint="eastAsia" w:ascii="宋体" w:hAnsi="宋体" w:eastAsia="宋体" w:cs="宋体"/>
                <w:b w:val="0"/>
                <w:bCs w:val="0"/>
                <w:color w:val="auto"/>
                <w:sz w:val="21"/>
                <w:szCs w:val="21"/>
                <w:highlight w:val="none"/>
                <w:shd w:val="clear" w:color="auto" w:fill="auto"/>
              </w:rPr>
              <w:t>未提供证明材料的视为负偏离。</w:t>
            </w:r>
            <w:r>
              <w:rPr>
                <w:rFonts w:hint="eastAsia" w:ascii="宋体" w:hAnsi="宋体" w:cs="宋体"/>
                <w:b w:val="0"/>
                <w:bCs w:val="0"/>
                <w:color w:val="auto"/>
                <w:sz w:val="21"/>
                <w:szCs w:val="21"/>
                <w:highlight w:val="none"/>
                <w:shd w:val="clear" w:color="auto" w:fill="auto"/>
                <w:lang w:eastAsia="zh-CN"/>
              </w:rPr>
              <w:t>（</w:t>
            </w:r>
            <w:r>
              <w:rPr>
                <w:rFonts w:hint="eastAsia" w:ascii="宋体" w:hAnsi="宋体" w:cs="宋体"/>
                <w:b w:val="0"/>
                <w:bCs w:val="0"/>
                <w:color w:val="auto"/>
                <w:sz w:val="21"/>
                <w:szCs w:val="21"/>
                <w:highlight w:val="none"/>
                <w:shd w:val="clear" w:color="auto" w:fill="auto"/>
                <w:lang w:val="en-US" w:eastAsia="zh-CN"/>
              </w:rPr>
              <w:t>技术支撑材料为招标文件所要求的证明材料</w:t>
            </w:r>
            <w:r>
              <w:rPr>
                <w:rFonts w:hint="eastAsia" w:ascii="宋体" w:hAnsi="宋体" w:cs="宋体"/>
                <w:b w:val="0"/>
                <w:bCs w:val="0"/>
                <w:color w:val="auto"/>
                <w:sz w:val="21"/>
                <w:szCs w:val="21"/>
                <w:highlight w:val="none"/>
                <w:shd w:val="clear" w:color="auto" w:fill="auto"/>
                <w:lang w:eastAsia="zh-CN"/>
              </w:rPr>
              <w:t>）</w:t>
            </w:r>
          </w:p>
          <w:p w14:paraId="25DB2D07">
            <w:pPr>
              <w:widowControl/>
              <w:jc w:val="left"/>
              <w:rPr>
                <w:rFonts w:hint="eastAsia" w:asciiTheme="minorEastAsia" w:hAnsiTheme="minorEastAsia" w:eastAsiaTheme="minorEastAsia" w:cstheme="minorEastAsia"/>
                <w:color w:val="auto"/>
                <w:sz w:val="22"/>
                <w:highlight w:val="none"/>
              </w:rPr>
            </w:pPr>
            <w:r>
              <w:rPr>
                <w:rFonts w:hint="eastAsia" w:cs="宋体"/>
                <w:b w:val="0"/>
                <w:bCs w:val="0"/>
                <w:color w:val="auto"/>
                <w:sz w:val="21"/>
                <w:szCs w:val="21"/>
                <w:highlight w:val="none"/>
              </w:rPr>
              <w:t>（供应商需在“技术及商务要求响应及偏离表”中如实逐项填列所提供的技术及服务承诺，并按招标文件要求提供相应证明材料。供应商应在偏离表中注明证明材料所在投标文件的页码位置，否则评审小组有权做负偏离处理）</w:t>
            </w:r>
          </w:p>
        </w:tc>
        <w:tc>
          <w:tcPr>
            <w:tcW w:w="1080" w:type="dxa"/>
            <w:tcBorders>
              <w:top w:val="nil"/>
              <w:left w:val="nil"/>
              <w:bottom w:val="single" w:color="auto" w:sz="4" w:space="0"/>
              <w:right w:val="single" w:color="auto" w:sz="4" w:space="0"/>
            </w:tcBorders>
            <w:noWrap/>
            <w:vAlign w:val="center"/>
          </w:tcPr>
          <w:p w14:paraId="00EC9407">
            <w:pPr>
              <w:widowControl/>
              <w:jc w:val="center"/>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25</w:t>
            </w:r>
          </w:p>
        </w:tc>
      </w:tr>
      <w:tr w14:paraId="745174F0">
        <w:tblPrEx>
          <w:tblCellMar>
            <w:top w:w="0" w:type="dxa"/>
            <w:left w:w="108" w:type="dxa"/>
            <w:bottom w:w="0" w:type="dxa"/>
            <w:right w:w="108" w:type="dxa"/>
          </w:tblCellMar>
        </w:tblPrEx>
        <w:trPr>
          <w:trHeight w:val="570" w:hRule="atLeast"/>
          <w:jc w:val="center"/>
        </w:trPr>
        <w:tc>
          <w:tcPr>
            <w:tcW w:w="1060" w:type="dxa"/>
            <w:tcBorders>
              <w:top w:val="nil"/>
              <w:left w:val="single" w:color="auto" w:sz="4" w:space="0"/>
              <w:bottom w:val="single" w:color="auto" w:sz="4" w:space="0"/>
              <w:right w:val="single" w:color="auto" w:sz="4" w:space="0"/>
            </w:tcBorders>
            <w:noWrap/>
            <w:vAlign w:val="center"/>
          </w:tcPr>
          <w:p w14:paraId="30A3B626">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体系认证</w:t>
            </w:r>
          </w:p>
        </w:tc>
        <w:tc>
          <w:tcPr>
            <w:tcW w:w="6520" w:type="dxa"/>
            <w:tcBorders>
              <w:top w:val="nil"/>
              <w:left w:val="nil"/>
              <w:bottom w:val="single" w:color="auto" w:sz="4" w:space="0"/>
              <w:right w:val="single" w:color="auto" w:sz="4" w:space="0"/>
            </w:tcBorders>
            <w:noWrap w:val="0"/>
            <w:vAlign w:val="center"/>
          </w:tcPr>
          <w:p w14:paraId="7CC55B54">
            <w:pPr>
              <w:widowControl/>
              <w:jc w:val="lef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lang w:val="en-US" w:eastAsia="zh-CN"/>
              </w:rPr>
              <w:t>投标人</w:t>
            </w:r>
            <w:r>
              <w:rPr>
                <w:rFonts w:hint="eastAsia" w:asciiTheme="minorEastAsia" w:hAnsiTheme="minorEastAsia" w:eastAsiaTheme="minorEastAsia" w:cstheme="minorEastAsia"/>
                <w:color w:val="auto"/>
                <w:sz w:val="22"/>
                <w:highlight w:val="none"/>
              </w:rPr>
              <w:t>具有ISO13485医疗器械质量管理体系的得3分，未提供或提供的资料不全不得分。</w:t>
            </w:r>
          </w:p>
        </w:tc>
        <w:tc>
          <w:tcPr>
            <w:tcW w:w="1080" w:type="dxa"/>
            <w:tcBorders>
              <w:top w:val="nil"/>
              <w:left w:val="nil"/>
              <w:bottom w:val="single" w:color="auto" w:sz="4" w:space="0"/>
              <w:right w:val="single" w:color="auto" w:sz="4" w:space="0"/>
            </w:tcBorders>
            <w:noWrap/>
            <w:vAlign w:val="center"/>
          </w:tcPr>
          <w:p w14:paraId="7355362C">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3</w:t>
            </w:r>
          </w:p>
        </w:tc>
      </w:tr>
      <w:tr w14:paraId="2CED35EE">
        <w:tblPrEx>
          <w:tblCellMar>
            <w:top w:w="0" w:type="dxa"/>
            <w:left w:w="108" w:type="dxa"/>
            <w:bottom w:w="0" w:type="dxa"/>
            <w:right w:w="108" w:type="dxa"/>
          </w:tblCellMar>
        </w:tblPrEx>
        <w:trPr>
          <w:trHeight w:val="4845" w:hRule="atLeast"/>
          <w:jc w:val="center"/>
        </w:trPr>
        <w:tc>
          <w:tcPr>
            <w:tcW w:w="1060" w:type="dxa"/>
            <w:tcBorders>
              <w:top w:val="nil"/>
              <w:left w:val="single" w:color="auto" w:sz="4" w:space="0"/>
              <w:bottom w:val="single" w:color="auto" w:sz="4" w:space="0"/>
              <w:right w:val="single" w:color="auto" w:sz="4" w:space="0"/>
            </w:tcBorders>
            <w:noWrap/>
            <w:vAlign w:val="center"/>
          </w:tcPr>
          <w:p w14:paraId="3A51B78D">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企业实力</w:t>
            </w:r>
          </w:p>
        </w:tc>
        <w:tc>
          <w:tcPr>
            <w:tcW w:w="6520" w:type="dxa"/>
            <w:tcBorders>
              <w:top w:val="nil"/>
              <w:left w:val="nil"/>
              <w:bottom w:val="single" w:color="auto" w:sz="4" w:space="0"/>
              <w:right w:val="single" w:color="auto" w:sz="4" w:space="0"/>
            </w:tcBorders>
            <w:noWrap w:val="0"/>
            <w:vAlign w:val="center"/>
          </w:tcPr>
          <w:p w14:paraId="2770A7E2">
            <w:pPr>
              <w:widowControl/>
              <w:numPr>
                <w:ilvl w:val="0"/>
                <w:numId w:val="11"/>
              </w:numPr>
              <w:jc w:val="lef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工具配置及零配件储备情况（</w:t>
            </w:r>
            <w:r>
              <w:rPr>
                <w:rFonts w:hint="eastAsia" w:asciiTheme="minorEastAsia" w:hAnsiTheme="minorEastAsia" w:eastAsiaTheme="minorEastAsia" w:cstheme="minorEastAsia"/>
                <w:color w:val="auto"/>
                <w:sz w:val="22"/>
                <w:highlight w:val="none"/>
                <w:lang w:val="en-US" w:eastAsia="zh-CN"/>
              </w:rPr>
              <w:t>4</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投标人国内设有零备件库，提供仓库地址，并提供租赁合同或产权证明材料，未提供不得分。（</w:t>
            </w:r>
            <w:r>
              <w:rPr>
                <w:rFonts w:hint="eastAsia" w:asciiTheme="minorEastAsia" w:hAnsiTheme="minorEastAsia" w:eastAsiaTheme="minorEastAsia" w:cstheme="minorEastAsia"/>
                <w:color w:val="auto"/>
                <w:sz w:val="22"/>
                <w:highlight w:val="none"/>
                <w:lang w:val="en-US" w:eastAsia="zh-CN"/>
              </w:rPr>
              <w:t>4</w:t>
            </w:r>
            <w:r>
              <w:rPr>
                <w:rFonts w:hint="eastAsia" w:asciiTheme="minorEastAsia" w:hAnsiTheme="minorEastAsia" w:eastAsiaTheme="minorEastAsia" w:cstheme="minorEastAsia"/>
                <w:color w:val="auto"/>
                <w:sz w:val="22"/>
                <w:highlight w:val="none"/>
              </w:rPr>
              <w:t>分）（投标人如为具备厂家授权的代理商，或者与生产厂家签署维修服务合作协议的可使用厂家零备件库）</w:t>
            </w:r>
          </w:p>
          <w:p w14:paraId="692975C3">
            <w:pPr>
              <w:widowControl/>
              <w:numPr>
                <w:ilvl w:val="0"/>
                <w:numId w:val="0"/>
              </w:numPr>
              <w:ind w:leftChars="0"/>
              <w:jc w:val="left"/>
              <w:rPr>
                <w:rFonts w:hint="eastAsia"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2.维修证书（6分）</w:t>
            </w:r>
          </w:p>
          <w:p w14:paraId="379DB92C">
            <w:pPr>
              <w:widowControl/>
              <w:numPr>
                <w:ilvl w:val="0"/>
                <w:numId w:val="0"/>
              </w:numPr>
              <w:ind w:leftChars="0"/>
              <w:jc w:val="left"/>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投标人持有设备制造商出具的有效期内类似本项目设备维修证书，每提供一份得3分，满分6分。（提供维修证书扫描件）</w:t>
            </w:r>
          </w:p>
        </w:tc>
        <w:tc>
          <w:tcPr>
            <w:tcW w:w="1080" w:type="dxa"/>
            <w:tcBorders>
              <w:top w:val="nil"/>
              <w:left w:val="nil"/>
              <w:bottom w:val="single" w:color="auto" w:sz="4" w:space="0"/>
              <w:right w:val="single" w:color="auto" w:sz="4" w:space="0"/>
            </w:tcBorders>
            <w:noWrap/>
            <w:vAlign w:val="center"/>
          </w:tcPr>
          <w:p w14:paraId="31222065">
            <w:pPr>
              <w:widowControl/>
              <w:jc w:val="center"/>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10</w:t>
            </w:r>
          </w:p>
        </w:tc>
      </w:tr>
      <w:tr w14:paraId="3B864F3F">
        <w:tblPrEx>
          <w:tblCellMar>
            <w:top w:w="0" w:type="dxa"/>
            <w:left w:w="108" w:type="dxa"/>
            <w:bottom w:w="0" w:type="dxa"/>
            <w:right w:w="108" w:type="dxa"/>
          </w:tblCellMar>
        </w:tblPrEx>
        <w:trPr>
          <w:trHeight w:val="3990" w:hRule="atLeast"/>
          <w:jc w:val="center"/>
        </w:trPr>
        <w:tc>
          <w:tcPr>
            <w:tcW w:w="1060" w:type="dxa"/>
            <w:vMerge w:val="restart"/>
            <w:tcBorders>
              <w:top w:val="nil"/>
              <w:left w:val="single" w:color="auto" w:sz="4" w:space="0"/>
              <w:right w:val="single" w:color="auto" w:sz="4" w:space="0"/>
            </w:tcBorders>
            <w:noWrap/>
            <w:vAlign w:val="center"/>
          </w:tcPr>
          <w:p w14:paraId="5760DDED">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服务方案</w:t>
            </w:r>
          </w:p>
          <w:p w14:paraId="60081DAC">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w:t>
            </w:r>
          </w:p>
          <w:p w14:paraId="6804D3BB">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w:t>
            </w:r>
          </w:p>
          <w:p w14:paraId="6633829A">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w:t>
            </w:r>
          </w:p>
          <w:p w14:paraId="3E7607C1">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　</w:t>
            </w:r>
          </w:p>
        </w:tc>
        <w:tc>
          <w:tcPr>
            <w:tcW w:w="6520" w:type="dxa"/>
            <w:tcBorders>
              <w:top w:val="nil"/>
              <w:left w:val="nil"/>
              <w:bottom w:val="single" w:color="auto" w:sz="4" w:space="0"/>
              <w:right w:val="single" w:color="auto" w:sz="4" w:space="0"/>
            </w:tcBorders>
            <w:noWrap w:val="0"/>
            <w:vAlign w:val="center"/>
          </w:tcPr>
          <w:p w14:paraId="30265E5D">
            <w:pPr>
              <w:widowControl/>
              <w:spacing w:line="240" w:lineRule="auto"/>
              <w:jc w:val="lef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（1）提供合理的维保计划表、维保人员安排并承诺中标后按此执行（</w:t>
            </w:r>
            <w:r>
              <w:rPr>
                <w:rFonts w:hint="eastAsia" w:asciiTheme="minorEastAsia" w:hAnsiTheme="minorEastAsia" w:eastAsiaTheme="minorEastAsia" w:cstheme="minorEastAsia"/>
                <w:color w:val="auto"/>
                <w:sz w:val="22"/>
                <w:highlight w:val="none"/>
                <w:lang w:val="en-US" w:eastAsia="zh-CN"/>
              </w:rPr>
              <w:t>10</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a. 维保计划表及维保人员安排详细、具体、明确，对关键内容表述清晰完整，实施路径清晰可行，可操作性强的得</w:t>
            </w:r>
            <w:r>
              <w:rPr>
                <w:rFonts w:hint="eastAsia" w:asciiTheme="minorEastAsia" w:hAnsiTheme="minorEastAsia" w:eastAsiaTheme="minorEastAsia" w:cstheme="minorEastAsia"/>
                <w:color w:val="auto"/>
                <w:sz w:val="22"/>
                <w:highlight w:val="none"/>
                <w:lang w:val="en-US" w:eastAsia="zh-CN"/>
              </w:rPr>
              <w:t>10</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b. 维保计划表及维保人员安排较为详细和具体，关键内容表述清晰完整，实施路径较为明确，可操作性较强的得</w:t>
            </w:r>
            <w:r>
              <w:rPr>
                <w:rFonts w:hint="eastAsia" w:asciiTheme="minorEastAsia" w:hAnsiTheme="minorEastAsia" w:eastAsiaTheme="minorEastAsia" w:cstheme="minorEastAsia"/>
                <w:color w:val="auto"/>
                <w:sz w:val="22"/>
                <w:highlight w:val="none"/>
                <w:lang w:val="en-US" w:eastAsia="zh-CN"/>
              </w:rPr>
              <w:t>7</w:t>
            </w:r>
            <w:r>
              <w:rPr>
                <w:rFonts w:hint="eastAsia" w:asciiTheme="minorEastAsia" w:hAnsiTheme="minorEastAsia" w:eastAsiaTheme="minorEastAsia" w:cstheme="minorEastAsia"/>
                <w:color w:val="auto"/>
                <w:sz w:val="22"/>
                <w:highlight w:val="none"/>
              </w:rPr>
              <w:t xml:space="preserve">分； </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c. 维保计划表及维保人员安排较为简单，但内容基本完整，关键内容表述较清晰，实施路径基本明确，可操作性一般的得</w:t>
            </w:r>
            <w:r>
              <w:rPr>
                <w:rFonts w:hint="eastAsia" w:asciiTheme="minorEastAsia" w:hAnsiTheme="minorEastAsia" w:eastAsiaTheme="minorEastAsia" w:cstheme="minorEastAsia"/>
                <w:color w:val="auto"/>
                <w:sz w:val="22"/>
                <w:highlight w:val="none"/>
                <w:lang w:val="en-US" w:eastAsia="zh-CN"/>
              </w:rPr>
              <w:t>3</w:t>
            </w:r>
            <w:r>
              <w:rPr>
                <w:rFonts w:hint="eastAsia" w:asciiTheme="minorEastAsia" w:hAnsiTheme="minorEastAsia" w:eastAsiaTheme="minorEastAsia" w:cstheme="minorEastAsia"/>
                <w:color w:val="auto"/>
                <w:sz w:val="22"/>
                <w:highlight w:val="none"/>
              </w:rPr>
              <w:t xml:space="preserve">分； </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d. 维保计划表及维保人员安排描述不完整，对关键内容表述基本清晰但存在不足，实施路径不够清晰或存在一定缺陷，可操作性较弱，实施存在一定困难的，得</w:t>
            </w:r>
            <w:r>
              <w:rPr>
                <w:rFonts w:hint="eastAsia" w:asciiTheme="minorEastAsia" w:hAnsiTheme="minorEastAsia" w:eastAsiaTheme="minorEastAsia" w:cstheme="minorEastAsia"/>
                <w:color w:val="auto"/>
                <w:sz w:val="22"/>
                <w:highlight w:val="none"/>
                <w:lang w:val="en-US" w:eastAsia="zh-CN"/>
              </w:rPr>
              <w:t>1</w:t>
            </w:r>
            <w:r>
              <w:rPr>
                <w:rFonts w:hint="eastAsia" w:asciiTheme="minorEastAsia" w:hAnsiTheme="minorEastAsia" w:eastAsiaTheme="minorEastAsia" w:cstheme="minorEastAsia"/>
                <w:color w:val="auto"/>
                <w:sz w:val="22"/>
                <w:highlight w:val="none"/>
              </w:rPr>
              <w:t xml:space="preserve">分； </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e. 未提供维保计划表及维保人员安排，或内容极度简略、空洞，无法体现关键内容与实施路径的，得 0 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其余情况或未提供的不得分。</w:t>
            </w:r>
          </w:p>
        </w:tc>
        <w:tc>
          <w:tcPr>
            <w:tcW w:w="1080" w:type="dxa"/>
            <w:tcBorders>
              <w:top w:val="nil"/>
              <w:left w:val="nil"/>
              <w:bottom w:val="single" w:color="auto" w:sz="4" w:space="0"/>
              <w:right w:val="single" w:color="auto" w:sz="4" w:space="0"/>
            </w:tcBorders>
            <w:noWrap/>
            <w:vAlign w:val="center"/>
          </w:tcPr>
          <w:p w14:paraId="13813594">
            <w:pPr>
              <w:widowControl/>
              <w:jc w:val="center"/>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10</w:t>
            </w:r>
          </w:p>
        </w:tc>
      </w:tr>
      <w:tr w14:paraId="15154665">
        <w:tblPrEx>
          <w:tblCellMar>
            <w:top w:w="0" w:type="dxa"/>
            <w:left w:w="108" w:type="dxa"/>
            <w:bottom w:w="0" w:type="dxa"/>
            <w:right w:w="108" w:type="dxa"/>
          </w:tblCellMar>
        </w:tblPrEx>
        <w:trPr>
          <w:trHeight w:val="3135" w:hRule="atLeast"/>
          <w:jc w:val="center"/>
        </w:trPr>
        <w:tc>
          <w:tcPr>
            <w:tcW w:w="1060" w:type="dxa"/>
            <w:vMerge w:val="continue"/>
            <w:tcBorders>
              <w:left w:val="single" w:color="auto" w:sz="4" w:space="0"/>
              <w:right w:val="single" w:color="auto" w:sz="4" w:space="0"/>
            </w:tcBorders>
            <w:noWrap/>
            <w:vAlign w:val="center"/>
          </w:tcPr>
          <w:p w14:paraId="7A9720A6">
            <w:pPr>
              <w:widowControl/>
              <w:jc w:val="center"/>
              <w:rPr>
                <w:rFonts w:hint="eastAsia" w:asciiTheme="minorEastAsia" w:hAnsiTheme="minorEastAsia" w:eastAsiaTheme="minorEastAsia" w:cstheme="minorEastAsia"/>
                <w:color w:val="auto"/>
                <w:sz w:val="22"/>
                <w:highlight w:val="none"/>
              </w:rPr>
            </w:pPr>
          </w:p>
        </w:tc>
        <w:tc>
          <w:tcPr>
            <w:tcW w:w="6520" w:type="dxa"/>
            <w:tcBorders>
              <w:top w:val="nil"/>
              <w:left w:val="nil"/>
              <w:bottom w:val="single" w:color="auto" w:sz="4" w:space="0"/>
              <w:right w:val="single" w:color="auto" w:sz="4" w:space="0"/>
            </w:tcBorders>
            <w:noWrap w:val="0"/>
            <w:vAlign w:val="center"/>
          </w:tcPr>
          <w:p w14:paraId="1B6DCB0D">
            <w:pPr>
              <w:widowControl/>
              <w:jc w:val="lef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（2）应急预案：供应商须有能力应对突发事件应急预案，包括但不仅限于遭遇恶劣天气，医院临时要求等突发事件，根据应答情况评审（</w:t>
            </w:r>
            <w:r>
              <w:rPr>
                <w:rFonts w:hint="eastAsia" w:asciiTheme="minorEastAsia" w:hAnsiTheme="minorEastAsia" w:eastAsiaTheme="minorEastAsia" w:cstheme="minorEastAsia"/>
                <w:color w:val="auto"/>
                <w:sz w:val="22"/>
                <w:highlight w:val="none"/>
                <w:lang w:val="en-US" w:eastAsia="zh-CN"/>
              </w:rPr>
              <w:t>10</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a.方案全面、合理，具有针对性，科学合理且具备突出可执行性的，得</w:t>
            </w:r>
            <w:r>
              <w:rPr>
                <w:rFonts w:hint="eastAsia" w:asciiTheme="minorEastAsia" w:hAnsiTheme="minorEastAsia" w:eastAsiaTheme="minorEastAsia" w:cstheme="minorEastAsia"/>
                <w:color w:val="auto"/>
                <w:sz w:val="22"/>
                <w:highlight w:val="none"/>
                <w:lang w:val="en-US" w:eastAsia="zh-CN"/>
              </w:rPr>
              <w:t>10</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b.方案较为全面合理，具备良好可执行性，但个别环节的针对性或深度略有不足，得</w:t>
            </w:r>
            <w:r>
              <w:rPr>
                <w:rFonts w:hint="eastAsia" w:asciiTheme="minorEastAsia" w:hAnsiTheme="minorEastAsia" w:eastAsiaTheme="minorEastAsia" w:cstheme="minorEastAsia"/>
                <w:color w:val="auto"/>
                <w:sz w:val="22"/>
                <w:highlight w:val="none"/>
                <w:lang w:val="en-US" w:eastAsia="zh-CN"/>
              </w:rPr>
              <w:t>7</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c.方案考虑相对不够全面，但依旧具备基本可行性的，得</w:t>
            </w:r>
            <w:r>
              <w:rPr>
                <w:rFonts w:hint="eastAsia" w:asciiTheme="minorEastAsia" w:hAnsiTheme="minorEastAsia" w:eastAsiaTheme="minorEastAsia" w:cstheme="minorEastAsia"/>
                <w:color w:val="auto"/>
                <w:sz w:val="22"/>
                <w:highlight w:val="none"/>
                <w:lang w:val="en-US" w:eastAsia="zh-CN"/>
              </w:rPr>
              <w:t>3</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d.方案不全面、主要环节存在缺失或明显不合理，可执行性较弱的，得</w:t>
            </w:r>
            <w:r>
              <w:rPr>
                <w:rFonts w:hint="eastAsia" w:asciiTheme="minorEastAsia" w:hAnsiTheme="minorEastAsia" w:eastAsiaTheme="minorEastAsia" w:cstheme="minorEastAsia"/>
                <w:color w:val="auto"/>
                <w:sz w:val="22"/>
                <w:highlight w:val="none"/>
                <w:lang w:val="en-US" w:eastAsia="zh-CN"/>
              </w:rPr>
              <w:t>1</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e.未提供服务方案的不得分。</w:t>
            </w:r>
          </w:p>
        </w:tc>
        <w:tc>
          <w:tcPr>
            <w:tcW w:w="1080" w:type="dxa"/>
            <w:tcBorders>
              <w:top w:val="nil"/>
              <w:left w:val="nil"/>
              <w:bottom w:val="single" w:color="auto" w:sz="4" w:space="0"/>
              <w:right w:val="single" w:color="auto" w:sz="4" w:space="0"/>
            </w:tcBorders>
            <w:noWrap/>
            <w:vAlign w:val="center"/>
          </w:tcPr>
          <w:p w14:paraId="33AF8310">
            <w:pPr>
              <w:widowControl/>
              <w:jc w:val="center"/>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10</w:t>
            </w:r>
          </w:p>
        </w:tc>
      </w:tr>
      <w:tr w14:paraId="4A5E352F">
        <w:tblPrEx>
          <w:tblCellMar>
            <w:top w:w="0" w:type="dxa"/>
            <w:left w:w="108" w:type="dxa"/>
            <w:bottom w:w="0" w:type="dxa"/>
            <w:right w:w="108" w:type="dxa"/>
          </w:tblCellMar>
        </w:tblPrEx>
        <w:trPr>
          <w:trHeight w:val="2850" w:hRule="atLeast"/>
          <w:jc w:val="center"/>
        </w:trPr>
        <w:tc>
          <w:tcPr>
            <w:tcW w:w="1060" w:type="dxa"/>
            <w:vMerge w:val="continue"/>
            <w:tcBorders>
              <w:left w:val="single" w:color="auto" w:sz="4" w:space="0"/>
              <w:right w:val="single" w:color="auto" w:sz="4" w:space="0"/>
            </w:tcBorders>
            <w:noWrap/>
            <w:vAlign w:val="center"/>
          </w:tcPr>
          <w:p w14:paraId="4810040B">
            <w:pPr>
              <w:widowControl/>
              <w:jc w:val="center"/>
              <w:rPr>
                <w:rFonts w:hint="eastAsia" w:asciiTheme="minorEastAsia" w:hAnsiTheme="minorEastAsia" w:eastAsiaTheme="minorEastAsia" w:cstheme="minorEastAsia"/>
                <w:color w:val="auto"/>
                <w:sz w:val="22"/>
                <w:highlight w:val="none"/>
              </w:rPr>
            </w:pPr>
          </w:p>
        </w:tc>
        <w:tc>
          <w:tcPr>
            <w:tcW w:w="6520" w:type="dxa"/>
            <w:tcBorders>
              <w:top w:val="nil"/>
              <w:left w:val="nil"/>
              <w:bottom w:val="single" w:color="auto" w:sz="4" w:space="0"/>
              <w:right w:val="single" w:color="auto" w:sz="4" w:space="0"/>
            </w:tcBorders>
            <w:noWrap w:val="0"/>
            <w:vAlign w:val="center"/>
          </w:tcPr>
          <w:p w14:paraId="3D899D2C">
            <w:pPr>
              <w:widowControl/>
              <w:jc w:val="lef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（3）质量管控：供应商须有一系列保证服务质量的制度、实施方案和考核办法，根据应答情况评审（</w:t>
            </w:r>
            <w:r>
              <w:rPr>
                <w:rFonts w:hint="eastAsia" w:asciiTheme="minorEastAsia" w:hAnsiTheme="minorEastAsia" w:eastAsiaTheme="minorEastAsia" w:cstheme="minorEastAsia"/>
                <w:color w:val="auto"/>
                <w:sz w:val="22"/>
                <w:highlight w:val="none"/>
                <w:lang w:val="en-US" w:eastAsia="zh-CN"/>
              </w:rPr>
              <w:t>10</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a.方案全面、合理，具有针对性，科学合理且具备突出可执行性的，得</w:t>
            </w:r>
            <w:r>
              <w:rPr>
                <w:rFonts w:hint="eastAsia" w:asciiTheme="minorEastAsia" w:hAnsiTheme="minorEastAsia" w:eastAsiaTheme="minorEastAsia" w:cstheme="minorEastAsia"/>
                <w:color w:val="auto"/>
                <w:sz w:val="22"/>
                <w:highlight w:val="none"/>
                <w:lang w:val="en-US" w:eastAsia="zh-CN"/>
              </w:rPr>
              <w:t>10</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b.方案较为全面合理，具备良好可执行性，但个别环节的针对性或深度略有不足，得</w:t>
            </w:r>
            <w:r>
              <w:rPr>
                <w:rFonts w:hint="eastAsia" w:asciiTheme="minorEastAsia" w:hAnsiTheme="minorEastAsia" w:eastAsiaTheme="minorEastAsia" w:cstheme="minorEastAsia"/>
                <w:color w:val="auto"/>
                <w:sz w:val="22"/>
                <w:highlight w:val="none"/>
                <w:lang w:val="en-US" w:eastAsia="zh-CN"/>
              </w:rPr>
              <w:t>7</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c.方案考虑相对不够全面，但依旧具备基本可行性的，得</w:t>
            </w:r>
            <w:r>
              <w:rPr>
                <w:rFonts w:hint="eastAsia" w:asciiTheme="minorEastAsia" w:hAnsiTheme="minorEastAsia" w:eastAsiaTheme="minorEastAsia" w:cstheme="minorEastAsia"/>
                <w:color w:val="auto"/>
                <w:sz w:val="22"/>
                <w:highlight w:val="none"/>
                <w:lang w:val="en-US" w:eastAsia="zh-CN"/>
              </w:rPr>
              <w:t>3</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d.方案不全面、主要环节存在缺失或明显不合理，可执行性较弱的，得</w:t>
            </w:r>
            <w:r>
              <w:rPr>
                <w:rFonts w:hint="eastAsia" w:asciiTheme="minorEastAsia" w:hAnsiTheme="minorEastAsia" w:eastAsiaTheme="minorEastAsia" w:cstheme="minorEastAsia"/>
                <w:color w:val="auto"/>
                <w:sz w:val="22"/>
                <w:highlight w:val="none"/>
                <w:lang w:val="en-US" w:eastAsia="zh-CN"/>
              </w:rPr>
              <w:t>1</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e.未提供服务方案的不得分。</w:t>
            </w:r>
          </w:p>
        </w:tc>
        <w:tc>
          <w:tcPr>
            <w:tcW w:w="1080" w:type="dxa"/>
            <w:tcBorders>
              <w:top w:val="nil"/>
              <w:left w:val="nil"/>
              <w:bottom w:val="single" w:color="auto" w:sz="4" w:space="0"/>
              <w:right w:val="single" w:color="auto" w:sz="4" w:space="0"/>
            </w:tcBorders>
            <w:noWrap/>
            <w:vAlign w:val="center"/>
          </w:tcPr>
          <w:p w14:paraId="76BC6357">
            <w:pPr>
              <w:widowControl/>
              <w:jc w:val="center"/>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10</w:t>
            </w:r>
          </w:p>
        </w:tc>
      </w:tr>
      <w:tr w14:paraId="5F5CA1A9">
        <w:tblPrEx>
          <w:tblCellMar>
            <w:top w:w="0" w:type="dxa"/>
            <w:left w:w="108" w:type="dxa"/>
            <w:bottom w:w="0" w:type="dxa"/>
            <w:right w:w="108" w:type="dxa"/>
          </w:tblCellMar>
        </w:tblPrEx>
        <w:trPr>
          <w:trHeight w:val="2850" w:hRule="atLeast"/>
          <w:jc w:val="center"/>
        </w:trPr>
        <w:tc>
          <w:tcPr>
            <w:tcW w:w="1060" w:type="dxa"/>
            <w:vMerge w:val="continue"/>
            <w:tcBorders>
              <w:left w:val="single" w:color="auto" w:sz="4" w:space="0"/>
              <w:right w:val="single" w:color="auto" w:sz="4" w:space="0"/>
            </w:tcBorders>
            <w:noWrap/>
            <w:vAlign w:val="center"/>
          </w:tcPr>
          <w:p w14:paraId="02B26D29">
            <w:pPr>
              <w:widowControl/>
              <w:jc w:val="center"/>
              <w:rPr>
                <w:rFonts w:hint="eastAsia" w:asciiTheme="minorEastAsia" w:hAnsiTheme="minorEastAsia" w:eastAsiaTheme="minorEastAsia" w:cstheme="minorEastAsia"/>
                <w:color w:val="auto"/>
                <w:sz w:val="22"/>
                <w:highlight w:val="none"/>
              </w:rPr>
            </w:pPr>
          </w:p>
        </w:tc>
        <w:tc>
          <w:tcPr>
            <w:tcW w:w="6520" w:type="dxa"/>
            <w:tcBorders>
              <w:top w:val="nil"/>
              <w:left w:val="nil"/>
              <w:bottom w:val="single" w:color="auto" w:sz="4" w:space="0"/>
              <w:right w:val="single" w:color="auto" w:sz="4" w:space="0"/>
            </w:tcBorders>
            <w:noWrap w:val="0"/>
            <w:vAlign w:val="center"/>
          </w:tcPr>
          <w:p w14:paraId="7F01C8F5">
            <w:pPr>
              <w:widowControl/>
              <w:jc w:val="lef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（4）根据投标人提供的巡检保养方案进行评分(</w:t>
            </w:r>
            <w:r>
              <w:rPr>
                <w:rFonts w:hint="eastAsia" w:asciiTheme="minorEastAsia" w:hAnsiTheme="minorEastAsia" w:eastAsiaTheme="minorEastAsia" w:cstheme="minorEastAsia"/>
                <w:color w:val="auto"/>
                <w:sz w:val="22"/>
                <w:highlight w:val="none"/>
                <w:lang w:val="en-US" w:eastAsia="zh-CN"/>
              </w:rPr>
              <w:t>7</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a.巡检保养方案全面、合理，具有针对性，科学合理且具备突出可执行性的，得</w:t>
            </w:r>
            <w:r>
              <w:rPr>
                <w:rFonts w:hint="eastAsia" w:asciiTheme="minorEastAsia" w:hAnsiTheme="minorEastAsia" w:eastAsiaTheme="minorEastAsia" w:cstheme="minorEastAsia"/>
                <w:color w:val="auto"/>
                <w:sz w:val="22"/>
                <w:highlight w:val="none"/>
                <w:lang w:val="en-US" w:eastAsia="zh-CN"/>
              </w:rPr>
              <w:t>7</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b. 巡检保养方案较为全面合理，具备良好可执行性，但个别环节的针对性或深度略有不足，得</w:t>
            </w:r>
            <w:r>
              <w:rPr>
                <w:rFonts w:hint="eastAsia" w:asciiTheme="minorEastAsia" w:hAnsiTheme="minorEastAsia" w:eastAsiaTheme="minorEastAsia" w:cstheme="minorEastAsia"/>
                <w:color w:val="auto"/>
                <w:sz w:val="22"/>
                <w:highlight w:val="none"/>
                <w:lang w:val="en-US" w:eastAsia="zh-CN"/>
              </w:rPr>
              <w:t>5</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c. 巡检保养方案考虑相对不够全面，但依旧具备基本可行性的，得</w:t>
            </w:r>
            <w:r>
              <w:rPr>
                <w:rFonts w:hint="eastAsia" w:asciiTheme="minorEastAsia" w:hAnsiTheme="minorEastAsia" w:eastAsiaTheme="minorEastAsia" w:cstheme="minorEastAsia"/>
                <w:color w:val="auto"/>
                <w:sz w:val="22"/>
                <w:highlight w:val="none"/>
                <w:lang w:val="en-US" w:eastAsia="zh-CN"/>
              </w:rPr>
              <w:t>3</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d. 巡检保养方案不全面、主要环节存在缺失或明显不合理，可执行性较弱的，得1分。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e.未提供巡检保养方案的不得分。</w:t>
            </w:r>
          </w:p>
        </w:tc>
        <w:tc>
          <w:tcPr>
            <w:tcW w:w="1080" w:type="dxa"/>
            <w:tcBorders>
              <w:top w:val="nil"/>
              <w:left w:val="nil"/>
              <w:bottom w:val="single" w:color="auto" w:sz="4" w:space="0"/>
              <w:right w:val="single" w:color="auto" w:sz="4" w:space="0"/>
            </w:tcBorders>
            <w:noWrap/>
            <w:vAlign w:val="center"/>
          </w:tcPr>
          <w:p w14:paraId="02CB66FF">
            <w:pPr>
              <w:widowControl/>
              <w:jc w:val="center"/>
              <w:rPr>
                <w:rFonts w:hint="eastAsia" w:asciiTheme="minorEastAsia" w:hAnsiTheme="minorEastAsia" w:eastAsiaTheme="minorEastAsia" w:cstheme="minorEastAsia"/>
                <w:color w:val="auto"/>
                <w:sz w:val="22"/>
                <w:highlight w:val="none"/>
                <w:lang w:eastAsia="zh-CN"/>
              </w:rPr>
            </w:pPr>
            <w:r>
              <w:rPr>
                <w:rFonts w:hint="eastAsia" w:asciiTheme="minorEastAsia" w:hAnsiTheme="minorEastAsia" w:eastAsiaTheme="minorEastAsia" w:cstheme="minorEastAsia"/>
                <w:color w:val="auto"/>
                <w:sz w:val="22"/>
                <w:highlight w:val="none"/>
                <w:lang w:val="en-US" w:eastAsia="zh-CN"/>
              </w:rPr>
              <w:t>7</w:t>
            </w:r>
          </w:p>
        </w:tc>
      </w:tr>
      <w:tr w14:paraId="25AAA1BD">
        <w:tblPrEx>
          <w:tblCellMar>
            <w:top w:w="0" w:type="dxa"/>
            <w:left w:w="108" w:type="dxa"/>
            <w:bottom w:w="0" w:type="dxa"/>
            <w:right w:w="108" w:type="dxa"/>
          </w:tblCellMar>
        </w:tblPrEx>
        <w:trPr>
          <w:trHeight w:val="3420" w:hRule="atLeast"/>
          <w:jc w:val="center"/>
        </w:trPr>
        <w:tc>
          <w:tcPr>
            <w:tcW w:w="1060" w:type="dxa"/>
            <w:vMerge w:val="continue"/>
            <w:tcBorders>
              <w:left w:val="single" w:color="auto" w:sz="4" w:space="0"/>
              <w:bottom w:val="single" w:color="auto" w:sz="4" w:space="0"/>
              <w:right w:val="single" w:color="auto" w:sz="4" w:space="0"/>
            </w:tcBorders>
            <w:noWrap/>
            <w:vAlign w:val="center"/>
          </w:tcPr>
          <w:p w14:paraId="3CD2D551">
            <w:pPr>
              <w:widowControl/>
              <w:jc w:val="center"/>
              <w:rPr>
                <w:rFonts w:hint="eastAsia" w:asciiTheme="minorEastAsia" w:hAnsiTheme="minorEastAsia" w:eastAsiaTheme="minorEastAsia" w:cstheme="minorEastAsia"/>
                <w:color w:val="auto"/>
                <w:sz w:val="22"/>
                <w:highlight w:val="none"/>
              </w:rPr>
            </w:pPr>
          </w:p>
        </w:tc>
        <w:tc>
          <w:tcPr>
            <w:tcW w:w="6520" w:type="dxa"/>
            <w:tcBorders>
              <w:top w:val="nil"/>
              <w:left w:val="nil"/>
              <w:bottom w:val="single" w:color="auto" w:sz="4" w:space="0"/>
              <w:right w:val="single" w:color="auto" w:sz="4" w:space="0"/>
            </w:tcBorders>
            <w:noWrap w:val="0"/>
            <w:vAlign w:val="center"/>
          </w:tcPr>
          <w:p w14:paraId="796D8FBA">
            <w:pPr>
              <w:widowControl/>
              <w:jc w:val="lef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5）对本项目提出符合现场条件的合理化建议（</w:t>
            </w:r>
            <w:r>
              <w:rPr>
                <w:rFonts w:hint="eastAsia" w:asciiTheme="minorEastAsia" w:hAnsiTheme="minorEastAsia" w:eastAsiaTheme="minorEastAsia" w:cstheme="minorEastAsia"/>
                <w:color w:val="auto"/>
                <w:sz w:val="22"/>
                <w:highlight w:val="none"/>
                <w:lang w:val="en-US" w:eastAsia="zh-CN"/>
              </w:rPr>
              <w:t>6</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a.合理化建议描述详细、具体、明确，对关键内容表述清晰完整，逻辑严谨，对临床科室延长设备使用寿命有显著促进作用的，得</w:t>
            </w:r>
            <w:r>
              <w:rPr>
                <w:rFonts w:hint="eastAsia" w:asciiTheme="minorEastAsia" w:hAnsiTheme="minorEastAsia" w:eastAsiaTheme="minorEastAsia" w:cstheme="minorEastAsia"/>
                <w:color w:val="auto"/>
                <w:sz w:val="22"/>
                <w:highlight w:val="none"/>
                <w:lang w:val="en-US" w:eastAsia="zh-CN"/>
              </w:rPr>
              <w:t>6</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b.合理化建议描述较为详细，关键内容表述基本清晰完整，具有一定操作性，能较好支持临床科室设备维护与寿命延长的，得</w:t>
            </w:r>
            <w:r>
              <w:rPr>
                <w:rFonts w:hint="eastAsia" w:asciiTheme="minorEastAsia" w:hAnsiTheme="minorEastAsia" w:eastAsiaTheme="minorEastAsia" w:cstheme="minorEastAsia"/>
                <w:color w:val="auto"/>
                <w:sz w:val="22"/>
                <w:highlight w:val="none"/>
                <w:lang w:val="en-US" w:eastAsia="zh-CN"/>
              </w:rPr>
              <w:t>4</w:t>
            </w:r>
            <w:r>
              <w:rPr>
                <w:rFonts w:hint="eastAsia" w:asciiTheme="minorEastAsia" w:hAnsiTheme="minorEastAsia" w:eastAsiaTheme="minorEastAsia" w:cstheme="minorEastAsia"/>
                <w:color w:val="auto"/>
                <w:sz w:val="22"/>
                <w:highlight w:val="none"/>
              </w:rPr>
              <w:t>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c.合理化建议描述较为简单，内容较完整，关键内容表述较清晰，在一定程度上有利于设备使用管理的，得2分；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d.合理化建议描述不完整，关键内容表述模糊，可操作性较弱，对实际设备寿命延长支持有限的，得1分。</w:t>
            </w:r>
            <w:r>
              <w:rPr>
                <w:rFonts w:hint="eastAsia" w:asciiTheme="minorEastAsia" w:hAnsiTheme="minorEastAsia" w:eastAsiaTheme="minorEastAsia" w:cstheme="minorEastAsia"/>
                <w:color w:val="auto"/>
                <w:sz w:val="22"/>
                <w:highlight w:val="none"/>
              </w:rPr>
              <w:br w:type="textWrapping"/>
            </w:r>
            <w:r>
              <w:rPr>
                <w:rFonts w:hint="eastAsia" w:asciiTheme="minorEastAsia" w:hAnsiTheme="minorEastAsia" w:eastAsiaTheme="minorEastAsia" w:cstheme="minorEastAsia"/>
                <w:color w:val="auto"/>
                <w:sz w:val="22"/>
                <w:highlight w:val="none"/>
              </w:rPr>
              <w:t>e.未提供不得分。</w:t>
            </w:r>
          </w:p>
        </w:tc>
        <w:tc>
          <w:tcPr>
            <w:tcW w:w="1080" w:type="dxa"/>
            <w:tcBorders>
              <w:top w:val="nil"/>
              <w:left w:val="nil"/>
              <w:bottom w:val="single" w:color="auto" w:sz="4" w:space="0"/>
              <w:right w:val="single" w:color="auto" w:sz="4" w:space="0"/>
            </w:tcBorders>
            <w:noWrap/>
            <w:vAlign w:val="center"/>
          </w:tcPr>
          <w:p w14:paraId="7BC3D667">
            <w:pPr>
              <w:widowControl/>
              <w:jc w:val="center"/>
              <w:rPr>
                <w:rFonts w:hint="eastAsia" w:asciiTheme="minorEastAsia" w:hAnsiTheme="minorEastAsia" w:eastAsiaTheme="minorEastAsia" w:cstheme="minorEastAsia"/>
                <w:color w:val="auto"/>
                <w:sz w:val="22"/>
                <w:highlight w:val="none"/>
                <w:lang w:eastAsia="zh-CN"/>
              </w:rPr>
            </w:pPr>
            <w:r>
              <w:rPr>
                <w:rFonts w:hint="eastAsia" w:asciiTheme="minorEastAsia" w:hAnsiTheme="minorEastAsia" w:eastAsiaTheme="minorEastAsia" w:cstheme="minorEastAsia"/>
                <w:color w:val="auto"/>
                <w:sz w:val="22"/>
                <w:highlight w:val="none"/>
                <w:lang w:val="en-US" w:eastAsia="zh-CN"/>
              </w:rPr>
              <w:t>6</w:t>
            </w:r>
          </w:p>
        </w:tc>
      </w:tr>
      <w:tr w14:paraId="6E59118A">
        <w:tblPrEx>
          <w:tblCellMar>
            <w:top w:w="0" w:type="dxa"/>
            <w:left w:w="108" w:type="dxa"/>
            <w:bottom w:w="0" w:type="dxa"/>
            <w:right w:w="108" w:type="dxa"/>
          </w:tblCellMar>
        </w:tblPrEx>
        <w:trPr>
          <w:trHeight w:val="570" w:hRule="atLeast"/>
          <w:jc w:val="center"/>
        </w:trPr>
        <w:tc>
          <w:tcPr>
            <w:tcW w:w="1060" w:type="dxa"/>
            <w:tcBorders>
              <w:top w:val="nil"/>
              <w:left w:val="single" w:color="auto" w:sz="4" w:space="0"/>
              <w:bottom w:val="single" w:color="auto" w:sz="4" w:space="0"/>
              <w:right w:val="single" w:color="auto" w:sz="4" w:space="0"/>
            </w:tcBorders>
            <w:noWrap/>
            <w:vAlign w:val="center"/>
          </w:tcPr>
          <w:p w14:paraId="754F2D37">
            <w:pPr>
              <w:widowControl/>
              <w:jc w:val="center"/>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业绩</w:t>
            </w:r>
          </w:p>
        </w:tc>
        <w:tc>
          <w:tcPr>
            <w:tcW w:w="6520" w:type="dxa"/>
            <w:tcBorders>
              <w:top w:val="nil"/>
              <w:left w:val="nil"/>
              <w:bottom w:val="single" w:color="auto" w:sz="4" w:space="0"/>
              <w:right w:val="single" w:color="auto" w:sz="4" w:space="0"/>
            </w:tcBorders>
            <w:noWrap w:val="0"/>
            <w:vAlign w:val="center"/>
          </w:tcPr>
          <w:p w14:paraId="66E8F8F5">
            <w:pPr>
              <w:widowControl/>
              <w:jc w:val="left"/>
              <w:rPr>
                <w:rFonts w:hint="eastAsia" w:asciiTheme="minorEastAsia" w:hAnsiTheme="minorEastAsia" w:eastAsiaTheme="minorEastAsia" w:cstheme="minorEastAsia"/>
                <w:color w:val="auto"/>
                <w:sz w:val="22"/>
                <w:highlight w:val="none"/>
              </w:rPr>
            </w:pPr>
            <w:r>
              <w:rPr>
                <w:rFonts w:hint="eastAsia" w:asciiTheme="minorEastAsia" w:hAnsiTheme="minorEastAsia" w:eastAsiaTheme="minorEastAsia" w:cstheme="minorEastAsia"/>
                <w:color w:val="auto"/>
                <w:sz w:val="22"/>
                <w:highlight w:val="none"/>
              </w:rPr>
              <w:t>投标人具有自202</w:t>
            </w:r>
            <w:r>
              <w:rPr>
                <w:rFonts w:hint="eastAsia" w:asciiTheme="minorEastAsia" w:hAnsiTheme="minorEastAsia" w:eastAsiaTheme="minorEastAsia" w:cstheme="minorEastAsia"/>
                <w:color w:val="auto"/>
                <w:sz w:val="22"/>
                <w:highlight w:val="none"/>
                <w:lang w:val="en-US" w:eastAsia="zh-CN"/>
              </w:rPr>
              <w:t>3</w:t>
            </w:r>
            <w:r>
              <w:rPr>
                <w:rFonts w:hint="eastAsia" w:asciiTheme="minorEastAsia" w:hAnsiTheme="minorEastAsia" w:eastAsiaTheme="minorEastAsia" w:cstheme="minorEastAsia"/>
                <w:color w:val="auto"/>
                <w:sz w:val="22"/>
                <w:highlight w:val="none"/>
              </w:rPr>
              <w:t>年起，具有类似设备的维保业绩（以合同复印件为准）。有一份得</w:t>
            </w:r>
            <w:r>
              <w:rPr>
                <w:rFonts w:hint="eastAsia" w:asciiTheme="minorEastAsia" w:hAnsiTheme="minorEastAsia" w:eastAsiaTheme="minorEastAsia" w:cstheme="minorEastAsia"/>
                <w:color w:val="auto"/>
                <w:sz w:val="22"/>
                <w:highlight w:val="none"/>
                <w:lang w:val="en-US" w:eastAsia="zh-CN"/>
              </w:rPr>
              <w:t>3</w:t>
            </w:r>
            <w:r>
              <w:rPr>
                <w:rFonts w:hint="eastAsia" w:asciiTheme="minorEastAsia" w:hAnsiTheme="minorEastAsia" w:eastAsiaTheme="minorEastAsia" w:cstheme="minorEastAsia"/>
                <w:color w:val="auto"/>
                <w:sz w:val="22"/>
                <w:highlight w:val="none"/>
              </w:rPr>
              <w:t>分，最多得</w:t>
            </w:r>
            <w:r>
              <w:rPr>
                <w:rFonts w:hint="eastAsia" w:asciiTheme="minorEastAsia" w:hAnsiTheme="minorEastAsia" w:eastAsiaTheme="minorEastAsia" w:cstheme="minorEastAsia"/>
                <w:color w:val="auto"/>
                <w:sz w:val="22"/>
                <w:highlight w:val="none"/>
                <w:lang w:val="en-US" w:eastAsia="zh-CN"/>
              </w:rPr>
              <w:t>9</w:t>
            </w:r>
            <w:r>
              <w:rPr>
                <w:rFonts w:hint="eastAsia" w:asciiTheme="minorEastAsia" w:hAnsiTheme="minorEastAsia" w:eastAsiaTheme="minorEastAsia" w:cstheme="minorEastAsia"/>
                <w:color w:val="auto"/>
                <w:sz w:val="22"/>
                <w:highlight w:val="none"/>
              </w:rPr>
              <w:t>分。</w:t>
            </w:r>
          </w:p>
        </w:tc>
        <w:tc>
          <w:tcPr>
            <w:tcW w:w="1080" w:type="dxa"/>
            <w:tcBorders>
              <w:top w:val="nil"/>
              <w:left w:val="nil"/>
              <w:bottom w:val="single" w:color="auto" w:sz="4" w:space="0"/>
              <w:right w:val="single" w:color="auto" w:sz="4" w:space="0"/>
            </w:tcBorders>
            <w:noWrap/>
            <w:vAlign w:val="center"/>
          </w:tcPr>
          <w:p w14:paraId="1DBE0EF4">
            <w:pPr>
              <w:widowControl/>
              <w:jc w:val="center"/>
              <w:rPr>
                <w:rFonts w:hint="default" w:asciiTheme="minorEastAsia" w:hAnsiTheme="minorEastAsia" w:eastAsiaTheme="minorEastAsia" w:cstheme="minorEastAsia"/>
                <w:color w:val="auto"/>
                <w:sz w:val="22"/>
                <w:highlight w:val="none"/>
                <w:lang w:val="en-US" w:eastAsia="zh-CN"/>
              </w:rPr>
            </w:pPr>
            <w:r>
              <w:rPr>
                <w:rFonts w:hint="eastAsia" w:asciiTheme="minorEastAsia" w:hAnsiTheme="minorEastAsia" w:eastAsiaTheme="minorEastAsia" w:cstheme="minorEastAsia"/>
                <w:color w:val="auto"/>
                <w:sz w:val="22"/>
                <w:highlight w:val="none"/>
                <w:lang w:val="en-US" w:eastAsia="zh-CN"/>
              </w:rPr>
              <w:t>9</w:t>
            </w:r>
          </w:p>
        </w:tc>
      </w:tr>
    </w:tbl>
    <w:p w14:paraId="5A74CAD7">
      <w:pPr>
        <w:pStyle w:val="15"/>
        <w:rPr>
          <w:color w:val="auto"/>
          <w:highlight w:val="none"/>
        </w:rPr>
      </w:pPr>
    </w:p>
    <w:p w14:paraId="458F7CBC">
      <w:pPr>
        <w:spacing w:line="50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3、评标结果。评标委员会按照本办法规定推荐中标候选人，并形成评标报告。</w:t>
      </w:r>
    </w:p>
    <w:p w14:paraId="68D9CF12">
      <w:pPr>
        <w:spacing w:line="360" w:lineRule="auto"/>
        <w:ind w:right="-10" w:firstLine="80"/>
        <w:rPr>
          <w:rFonts w:hint="eastAsia" w:ascii="宋体" w:hAnsi="宋体" w:cs="宋体"/>
          <w:color w:val="auto"/>
          <w:sz w:val="4"/>
          <w:szCs w:val="2"/>
          <w:highlight w:val="none"/>
        </w:rPr>
      </w:pPr>
    </w:p>
    <w:p w14:paraId="4830B0C6">
      <w:pPr>
        <w:spacing w:line="400" w:lineRule="exact"/>
        <w:ind w:right="-10" w:firstLine="480"/>
        <w:rPr>
          <w:rFonts w:hint="eastAsia" w:ascii="宋体" w:hAnsi="宋体" w:cs="宋体"/>
          <w:color w:val="auto"/>
          <w:sz w:val="24"/>
          <w:highlight w:val="none"/>
        </w:rPr>
      </w:pPr>
      <w:r>
        <w:rPr>
          <w:rFonts w:hint="eastAsia" w:ascii="宋体" w:hAnsi="宋体" w:cs="宋体"/>
          <w:color w:val="auto"/>
          <w:sz w:val="24"/>
          <w:highlight w:val="none"/>
        </w:rPr>
        <w:t>说明：</w:t>
      </w:r>
    </w:p>
    <w:p w14:paraId="584F94F1">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1.小微型企业价格扣除</w:t>
      </w:r>
    </w:p>
    <w:p w14:paraId="3D9E9AB3">
      <w:pPr>
        <w:pStyle w:val="526"/>
        <w:spacing w:line="400" w:lineRule="exact"/>
        <w:ind w:firstLine="360"/>
        <w:rPr>
          <w:rFonts w:hint="eastAsia" w:hAnsi="宋体"/>
          <w:color w:val="auto"/>
          <w:sz w:val="24"/>
          <w:szCs w:val="24"/>
          <w:highlight w:val="none"/>
        </w:rPr>
      </w:pPr>
      <w:r>
        <w:rPr>
          <w:rFonts w:hint="eastAsia" w:hAnsi="宋体"/>
          <w:color w:val="auto"/>
          <w:sz w:val="24"/>
          <w:szCs w:val="24"/>
          <w:highlight w:val="none"/>
        </w:rPr>
        <w:t>（1）本项目对小型和微型企业产品给予10%的扣除价格，用扣除后的价格参与评审。</w:t>
      </w:r>
    </w:p>
    <w:p w14:paraId="5F474BF9">
      <w:pPr>
        <w:pStyle w:val="526"/>
        <w:spacing w:line="400" w:lineRule="exact"/>
        <w:ind w:firstLine="360"/>
        <w:rPr>
          <w:rFonts w:hint="eastAsia" w:hAnsi="宋体"/>
          <w:color w:val="auto"/>
          <w:sz w:val="24"/>
          <w:szCs w:val="24"/>
          <w:highlight w:val="none"/>
        </w:rPr>
      </w:pPr>
      <w:r>
        <w:rPr>
          <w:rFonts w:hint="eastAsia" w:hAnsi="宋体"/>
          <w:color w:val="auto"/>
          <w:sz w:val="24"/>
          <w:szCs w:val="24"/>
          <w:highlight w:val="none"/>
        </w:rPr>
        <w:t>（2）供应商需按照采购文件的要求提供相应的《企业声明函》。</w:t>
      </w:r>
    </w:p>
    <w:p w14:paraId="0A3123A6">
      <w:pPr>
        <w:pStyle w:val="526"/>
        <w:spacing w:line="400" w:lineRule="exact"/>
        <w:ind w:firstLine="360"/>
        <w:rPr>
          <w:rFonts w:hint="eastAsia" w:hAnsi="宋体"/>
          <w:color w:val="auto"/>
          <w:sz w:val="24"/>
          <w:szCs w:val="24"/>
          <w:highlight w:val="none"/>
        </w:rPr>
      </w:pPr>
      <w:r>
        <w:rPr>
          <w:rFonts w:hint="eastAsia" w:hAnsi="宋体"/>
          <w:color w:val="auto"/>
          <w:sz w:val="24"/>
          <w:szCs w:val="24"/>
          <w:highlight w:val="none"/>
        </w:rPr>
        <w:t>（3）企业标准请参照《关于印发中小企业划型标准规定的通知》（工信部联企业[2011]300号）文件规定自行填写。</w:t>
      </w:r>
    </w:p>
    <w:p w14:paraId="1BD57A4C">
      <w:pPr>
        <w:pStyle w:val="526"/>
        <w:spacing w:line="400" w:lineRule="exact"/>
        <w:ind w:firstLine="361"/>
        <w:rPr>
          <w:rFonts w:hint="eastAsia" w:hAnsi="宋体"/>
          <w:b w:val="0"/>
          <w:bCs w:val="0"/>
          <w:color w:val="auto"/>
          <w:sz w:val="24"/>
          <w:szCs w:val="24"/>
          <w:highlight w:val="none"/>
        </w:rPr>
      </w:pPr>
      <w:r>
        <w:rPr>
          <w:rFonts w:hint="eastAsia" w:hAnsi="宋体"/>
          <w:b w:val="0"/>
          <w:bCs w:val="0"/>
          <w:color w:val="auto"/>
          <w:sz w:val="24"/>
          <w:szCs w:val="24"/>
          <w:highlight w:val="none"/>
        </w:rPr>
        <w:t>（4）在货物采购项目中，供应商提供的货物既有中小企业制造货物，也有大型企业制造货物的，不享受本办法规定的中小企业扶持政策。</w:t>
      </w:r>
    </w:p>
    <w:p w14:paraId="7776E498">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2.残疾人福利单位价格扣除</w:t>
      </w:r>
    </w:p>
    <w:p w14:paraId="5E085957">
      <w:pPr>
        <w:pStyle w:val="526"/>
        <w:spacing w:line="400" w:lineRule="exact"/>
        <w:ind w:left="120" w:firstLine="360"/>
        <w:rPr>
          <w:rFonts w:hint="eastAsia" w:hAnsi="宋体"/>
          <w:color w:val="auto"/>
          <w:sz w:val="24"/>
          <w:szCs w:val="24"/>
          <w:highlight w:val="none"/>
        </w:rPr>
      </w:pPr>
      <w:r>
        <w:rPr>
          <w:rFonts w:hint="eastAsia" w:hAnsi="宋体"/>
          <w:color w:val="auto"/>
          <w:sz w:val="24"/>
          <w:szCs w:val="24"/>
          <w:highlight w:val="none"/>
        </w:rPr>
        <w:t>（1）本项目对残疾人福利性单位视同小型、微型企业，给予10%的价格扣除，用扣除后的价格参与评审。</w:t>
      </w:r>
    </w:p>
    <w:p w14:paraId="1FA0108F">
      <w:pPr>
        <w:pStyle w:val="526"/>
        <w:spacing w:line="400" w:lineRule="exact"/>
        <w:ind w:left="120" w:firstLine="360"/>
        <w:rPr>
          <w:rFonts w:hint="eastAsia" w:hAnsi="宋体"/>
          <w:color w:val="auto"/>
          <w:sz w:val="24"/>
          <w:szCs w:val="24"/>
          <w:highlight w:val="none"/>
        </w:rPr>
      </w:pPr>
      <w:r>
        <w:rPr>
          <w:rFonts w:hint="eastAsia" w:hAnsi="宋体"/>
          <w:color w:val="auto"/>
          <w:sz w:val="24"/>
          <w:szCs w:val="24"/>
          <w:highlight w:val="none"/>
        </w:rPr>
        <w:t>（2）残疾人福利单位需提供《残疾人福利性单位声明函》。</w:t>
      </w:r>
    </w:p>
    <w:p w14:paraId="3851CD86">
      <w:pPr>
        <w:pStyle w:val="526"/>
        <w:spacing w:line="400" w:lineRule="exact"/>
        <w:ind w:left="120" w:firstLine="360"/>
        <w:rPr>
          <w:rFonts w:hint="eastAsia" w:hAnsi="宋体"/>
          <w:color w:val="auto"/>
          <w:sz w:val="24"/>
          <w:szCs w:val="24"/>
          <w:highlight w:val="none"/>
        </w:rPr>
      </w:pPr>
      <w:r>
        <w:rPr>
          <w:rFonts w:hint="eastAsia" w:hAnsi="宋体"/>
          <w:color w:val="auto"/>
          <w:sz w:val="24"/>
          <w:szCs w:val="24"/>
          <w:highlight w:val="none"/>
        </w:rPr>
        <w:t>（3）残疾人福利单位标准请参照《关于促进残疾人就业政府采购政策的通知》（财库〔2017〕141号）。</w:t>
      </w:r>
    </w:p>
    <w:p w14:paraId="757E1688">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3.监狱和戒毒企业价格扣除</w:t>
      </w:r>
    </w:p>
    <w:p w14:paraId="43355686">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（1）本项目对监狱和戒毒企业（简称监狱企业）视同小型、微型企业，给予10%的价格扣除，用扣除后的价格参与评审。</w:t>
      </w:r>
    </w:p>
    <w:p w14:paraId="5F5EAEDC">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B1055C0">
      <w:pPr>
        <w:pStyle w:val="526"/>
        <w:spacing w:line="400" w:lineRule="exact"/>
        <w:ind w:firstLine="480"/>
        <w:rPr>
          <w:rFonts w:hint="eastAsia" w:hAnsi="宋体"/>
          <w:color w:val="auto"/>
          <w:sz w:val="24"/>
          <w:szCs w:val="24"/>
          <w:highlight w:val="none"/>
        </w:rPr>
      </w:pPr>
      <w:r>
        <w:rPr>
          <w:rFonts w:hint="eastAsia" w:hAnsi="宋体"/>
          <w:color w:val="auto"/>
          <w:sz w:val="24"/>
          <w:szCs w:val="24"/>
          <w:highlight w:val="none"/>
        </w:rPr>
        <w:t>（3）监狱企业标准请参照《关于政府采购支持监狱企业发展有关问题的通知》（财库[2014]68号）。</w:t>
      </w:r>
    </w:p>
    <w:p w14:paraId="5387A330">
      <w:pPr>
        <w:jc w:val="center"/>
        <w:outlineLvl w:val="0"/>
        <w:rPr>
          <w:b/>
          <w:color w:val="auto"/>
          <w:sz w:val="44"/>
          <w:szCs w:val="44"/>
          <w:highlight w:val="none"/>
        </w:rPr>
      </w:pPr>
      <w:bookmarkStart w:id="77" w:name="EBae7807b0bcbc478ea1f502c8f1955356"/>
      <w:bookmarkEnd w:id="77"/>
      <w:bookmarkStart w:id="78" w:name="_Toc514054481"/>
      <w:r>
        <w:rPr>
          <w:rFonts w:hint="eastAsia"/>
          <w:b/>
          <w:color w:val="auto"/>
          <w:sz w:val="44"/>
          <w:szCs w:val="44"/>
          <w:highlight w:val="none"/>
        </w:rPr>
        <w:br w:type="page" w:clear="all"/>
      </w:r>
      <w:bookmarkStart w:id="79" w:name="_Toc1505"/>
      <w:r>
        <w:rPr>
          <w:rFonts w:hint="eastAsia"/>
          <w:b/>
          <w:color w:val="auto"/>
          <w:sz w:val="44"/>
          <w:szCs w:val="44"/>
          <w:highlight w:val="none"/>
        </w:rPr>
        <w:t xml:space="preserve"> 第四部分 采购需求</w:t>
      </w:r>
      <w:bookmarkEnd w:id="78"/>
      <w:bookmarkEnd w:id="79"/>
      <w:bookmarkStart w:id="80" w:name="_Toc514054482"/>
      <w:bookmarkStart w:id="81" w:name="_Toc9306"/>
    </w:p>
    <w:p w14:paraId="70D0544A">
      <w:pPr>
        <w:keepNext/>
        <w:keepLines/>
        <w:spacing w:before="320" w:after="200"/>
        <w:outlineLvl w:val="2"/>
        <w:rPr>
          <w:rFonts w:ascii="Arial" w:hAnsi="Arial" w:eastAsia="Arial" w:cs="Arial"/>
          <w:color w:val="auto"/>
          <w:sz w:val="30"/>
          <w:szCs w:val="30"/>
          <w:highlight w:val="none"/>
        </w:rPr>
      </w:pPr>
      <w:bookmarkStart w:id="82" w:name="_Toc197812188"/>
      <w:r>
        <w:rPr>
          <w:rFonts w:hint="eastAsia" w:ascii="宋体" w:hAnsi="宋体" w:cs="宋体"/>
          <w:color w:val="auto"/>
          <w:sz w:val="30"/>
          <w:szCs w:val="30"/>
          <w:highlight w:val="none"/>
        </w:rPr>
        <w:t>一、需求一览表</w:t>
      </w:r>
      <w:bookmarkEnd w:id="82"/>
    </w:p>
    <w:tbl>
      <w:tblPr>
        <w:tblStyle w:val="3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7"/>
        <w:gridCol w:w="3149"/>
        <w:gridCol w:w="5696"/>
      </w:tblGrid>
      <w:tr w14:paraId="2D8D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trPr>
        <w:tc>
          <w:tcPr>
            <w:tcW w:w="556" w:type="pct"/>
            <w:noWrap w:val="0"/>
            <w:vAlign w:val="center"/>
          </w:tcPr>
          <w:p w14:paraId="7DEFBE1F">
            <w:pPr>
              <w:jc w:val="center"/>
              <w:rPr>
                <w:rFonts w:hint="eastAsia" w:ascii="宋体" w:hAnsi="宋体"/>
                <w:color w:val="auto"/>
                <w:sz w:val="24"/>
                <w:szCs w:val="24"/>
                <w:highlight w:val="none"/>
              </w:rPr>
            </w:pPr>
            <w:r>
              <w:rPr>
                <w:rFonts w:hint="eastAsia" w:ascii="宋体" w:hAnsi="宋体"/>
                <w:color w:val="auto"/>
                <w:sz w:val="24"/>
                <w:szCs w:val="24"/>
                <w:highlight w:val="none"/>
              </w:rPr>
              <w:t>包号</w:t>
            </w:r>
          </w:p>
        </w:tc>
        <w:tc>
          <w:tcPr>
            <w:tcW w:w="1582" w:type="pct"/>
            <w:noWrap w:val="0"/>
            <w:vAlign w:val="center"/>
          </w:tcPr>
          <w:p w14:paraId="503900CA">
            <w:pPr>
              <w:jc w:val="center"/>
              <w:rPr>
                <w:rFonts w:hint="eastAsia" w:ascii="宋体" w:hAnsi="宋体"/>
                <w:color w:val="auto"/>
                <w:sz w:val="24"/>
                <w:szCs w:val="24"/>
                <w:highlight w:val="none"/>
              </w:rPr>
            </w:pPr>
            <w:r>
              <w:rPr>
                <w:rFonts w:hint="eastAsia" w:ascii="宋体" w:hAnsi="宋体"/>
                <w:color w:val="auto"/>
                <w:sz w:val="24"/>
                <w:szCs w:val="24"/>
                <w:highlight w:val="none"/>
              </w:rPr>
              <w:t>服 务</w:t>
            </w:r>
            <w:r>
              <w:rPr>
                <w:rFonts w:ascii="宋体" w:hAnsi="宋体"/>
                <w:color w:val="auto"/>
                <w:sz w:val="24"/>
                <w:szCs w:val="24"/>
                <w:highlight w:val="none"/>
              </w:rPr>
              <w:t xml:space="preserve"> </w:t>
            </w:r>
            <w:r>
              <w:rPr>
                <w:rFonts w:hint="eastAsia" w:ascii="宋体" w:hAnsi="宋体"/>
                <w:color w:val="auto"/>
                <w:sz w:val="24"/>
                <w:szCs w:val="24"/>
                <w:highlight w:val="none"/>
              </w:rPr>
              <w:t>名</w:t>
            </w:r>
            <w:r>
              <w:rPr>
                <w:rFonts w:ascii="宋体" w:hAnsi="宋体"/>
                <w:color w:val="auto"/>
                <w:sz w:val="24"/>
                <w:szCs w:val="24"/>
                <w:highlight w:val="none"/>
              </w:rPr>
              <w:t xml:space="preserve"> </w:t>
            </w:r>
            <w:r>
              <w:rPr>
                <w:rFonts w:hint="eastAsia" w:ascii="宋体" w:hAnsi="宋体"/>
                <w:color w:val="auto"/>
                <w:sz w:val="24"/>
                <w:szCs w:val="24"/>
                <w:highlight w:val="none"/>
              </w:rPr>
              <w:t>称</w:t>
            </w:r>
          </w:p>
        </w:tc>
        <w:tc>
          <w:tcPr>
            <w:tcW w:w="2861" w:type="pct"/>
            <w:noWrap w:val="0"/>
            <w:vAlign w:val="center"/>
          </w:tcPr>
          <w:p w14:paraId="15628380">
            <w:pPr>
              <w:jc w:val="center"/>
              <w:rPr>
                <w:rFonts w:hint="eastAsia" w:ascii="宋体" w:hAnsi="宋体"/>
                <w:color w:val="auto"/>
                <w:sz w:val="24"/>
                <w:szCs w:val="24"/>
                <w:highlight w:val="none"/>
              </w:rPr>
            </w:pPr>
            <w:r>
              <w:rPr>
                <w:rFonts w:hint="eastAsia" w:ascii="宋体" w:hAnsi="宋体"/>
                <w:color w:val="auto"/>
                <w:sz w:val="24"/>
                <w:szCs w:val="24"/>
                <w:highlight w:val="none"/>
              </w:rPr>
              <w:t>服务地点</w:t>
            </w:r>
          </w:p>
        </w:tc>
      </w:tr>
      <w:tr w14:paraId="03313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556" w:type="pct"/>
            <w:shd w:val="clear" w:color="auto" w:fill="auto"/>
            <w:noWrap w:val="0"/>
            <w:vAlign w:val="center"/>
          </w:tcPr>
          <w:p w14:paraId="5EDE1AE4">
            <w:pPr>
              <w:tabs>
                <w:tab w:val="left" w:pos="1276"/>
              </w:tabs>
              <w:spacing w:line="312" w:lineRule="auto"/>
              <w:jc w:val="center"/>
              <w:rPr>
                <w:rFonts w:hint="eastAsia" w:ascii="宋体" w:hAnsi="宋体"/>
                <w:bCs/>
                <w:color w:val="auto"/>
                <w:highlight w:val="none"/>
              </w:rPr>
            </w:pPr>
            <w:r>
              <w:rPr>
                <w:rFonts w:hint="eastAsia" w:ascii="宋体" w:hAnsi="宋体" w:cs="宋体"/>
                <w:color w:val="auto"/>
                <w:szCs w:val="24"/>
                <w:highlight w:val="none"/>
              </w:rPr>
              <w:t>01</w:t>
            </w:r>
          </w:p>
        </w:tc>
        <w:tc>
          <w:tcPr>
            <w:tcW w:w="1582" w:type="pct"/>
            <w:shd w:val="clear" w:color="auto" w:fill="auto"/>
            <w:noWrap w:val="0"/>
            <w:vAlign w:val="center"/>
          </w:tcPr>
          <w:p w14:paraId="3A4FDED7">
            <w:pPr>
              <w:widowControl/>
              <w:jc w:val="center"/>
              <w:rPr>
                <w:rFonts w:hint="eastAsia" w:eastAsia="宋体"/>
                <w:color w:val="auto"/>
                <w:highlight w:val="none"/>
                <w:lang w:eastAsia="zh-CN"/>
              </w:rPr>
            </w:pPr>
            <w:r>
              <w:rPr>
                <w:rFonts w:hint="eastAsia" w:cs="宋体"/>
                <w:color w:val="auto"/>
                <w:highlight w:val="none"/>
                <w:lang w:eastAsia="zh-CN"/>
              </w:rPr>
              <w:t>GE MR等设备维保</w:t>
            </w:r>
          </w:p>
        </w:tc>
        <w:tc>
          <w:tcPr>
            <w:tcW w:w="2861" w:type="pct"/>
            <w:noWrap w:val="0"/>
            <w:vAlign w:val="center"/>
          </w:tcPr>
          <w:p w14:paraId="593F600C">
            <w:pPr>
              <w:widowControl/>
              <w:jc w:val="center"/>
              <w:rPr>
                <w:color w:val="auto"/>
                <w:highlight w:val="none"/>
              </w:rPr>
            </w:pPr>
            <w:r>
              <w:rPr>
                <w:rFonts w:hint="eastAsia"/>
                <w:color w:val="auto"/>
                <w:highlight w:val="none"/>
                <w:lang w:eastAsia="zh-CN"/>
              </w:rPr>
              <w:t>‌南京医科大学第二附属医院</w:t>
            </w:r>
            <w:r>
              <w:rPr>
                <w:rFonts w:hint="eastAsia"/>
                <w:color w:val="auto"/>
                <w:highlight w:val="none"/>
              </w:rPr>
              <w:t>指定地点</w:t>
            </w:r>
          </w:p>
        </w:tc>
      </w:tr>
    </w:tbl>
    <w:p w14:paraId="45CD93E1">
      <w:pPr>
        <w:keepNext/>
        <w:keepLines/>
        <w:spacing w:before="320" w:after="200"/>
        <w:outlineLvl w:val="2"/>
        <w:rPr>
          <w:rFonts w:hint="eastAsia" w:ascii="宋体" w:hAnsi="宋体" w:cs="宋体"/>
          <w:color w:val="auto"/>
          <w:sz w:val="30"/>
          <w:szCs w:val="30"/>
          <w:highlight w:val="none"/>
        </w:rPr>
      </w:pPr>
      <w:bookmarkStart w:id="83" w:name="_Toc197812189"/>
      <w:r>
        <w:rPr>
          <w:rFonts w:hint="eastAsia" w:ascii="宋体" w:hAnsi="宋体" w:cs="宋体"/>
          <w:color w:val="auto"/>
          <w:sz w:val="30"/>
          <w:szCs w:val="30"/>
          <w:highlight w:val="none"/>
          <w:lang w:val="en-US" w:eastAsia="zh-CN"/>
        </w:rPr>
        <w:t>二、</w:t>
      </w:r>
      <w:r>
        <w:rPr>
          <w:rFonts w:hint="eastAsia" w:ascii="宋体" w:hAnsi="宋体" w:cs="宋体"/>
          <w:color w:val="auto"/>
          <w:sz w:val="30"/>
          <w:szCs w:val="30"/>
          <w:highlight w:val="none"/>
        </w:rPr>
        <w:t>技术部分要求</w:t>
      </w:r>
      <w:bookmarkEnd w:id="83"/>
    </w:p>
    <w:p w14:paraId="70317740">
      <w:pPr>
        <w:spacing w:line="500" w:lineRule="exact"/>
        <w:ind w:firstLine="480"/>
        <w:rPr>
          <w:rFonts w:hint="eastAsia" w:ascii="宋体" w:hAnsi="宋体" w:cs="宋体"/>
          <w:color w:val="auto"/>
          <w:sz w:val="24"/>
          <w:szCs w:val="24"/>
          <w:highlight w:val="none"/>
        </w:rPr>
      </w:pPr>
      <w:bookmarkStart w:id="84" w:name="_Toc462564139"/>
      <w:bookmarkStart w:id="85" w:name="_Toc479757211"/>
      <w:r>
        <w:rPr>
          <w:rFonts w:hint="eastAsia" w:ascii="宋体" w:hAnsi="宋体" w:cs="宋体"/>
          <w:color w:val="auto"/>
          <w:sz w:val="24"/>
          <w:szCs w:val="24"/>
          <w:highlight w:val="none"/>
        </w:rPr>
        <w:t>MR保修包含主机+磁体+制冷+线圈保用（10个）+工作站+液氦无忧+精密空调保修</w:t>
      </w:r>
    </w:p>
    <w:p w14:paraId="2E487AE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D6000保修包含主机+探测器+工作站+球管保用。  </w:t>
      </w:r>
    </w:p>
    <w:p w14:paraId="2D9FF27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XR220保修包含主机+探测器+电池保用+球管保用</w:t>
      </w:r>
    </w:p>
    <w:p w14:paraId="2FFD94F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OEC9900保修包含主机+影增</w:t>
      </w:r>
    </w:p>
    <w:p w14:paraId="2204386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1、总体要求：供应商需具有医疗设备维修、保养、装配、调试等的企业资格（即在营业执照中有注册）。</w:t>
      </w:r>
    </w:p>
    <w:p w14:paraId="729B3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2、维修保修保养设备名称、规格型号：GE MR 3T，1-5T ，D6000，XR220，OEC9900</w:t>
      </w:r>
    </w:p>
    <w:p w14:paraId="2D3749C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3、供应商服务机构须通过相关质量管理体系认证,并提供加盖供应商公司公章的ISO质量认证证书复印件。</w:t>
      </w:r>
    </w:p>
    <w:p w14:paraId="690B4CCC">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提供的临床培训服务工程师为全职临床应用培训讲师（提供资质证明），可提供5名培训师在职证明及社保缴交证明</w:t>
      </w:r>
      <w:r>
        <w:rPr>
          <w:rFonts w:hint="eastAsia" w:ascii="宋体" w:hAnsi="宋体" w:cs="宋体"/>
          <w:color w:val="auto"/>
          <w:sz w:val="24"/>
          <w:szCs w:val="24"/>
          <w:highlight w:val="none"/>
          <w:lang w:eastAsia="zh-CN"/>
        </w:rPr>
        <w:t>。</w:t>
      </w:r>
    </w:p>
    <w:p w14:paraId="4408FBF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▲5、具备磁体供应能力，提供1.5T,3T磁体报关记录。要求供应商需具有全新磁体更换的能力，并提供5年内磁体海关报关单据复印件以资证明。</w:t>
      </w:r>
    </w:p>
    <w:p w14:paraId="4D2D81D0">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6、供应商需具备400客户服务专线电话。</w:t>
      </w:r>
    </w:p>
    <w:p w14:paraId="09E45A4A">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▲7、每年365天开通，并有10人以上专人接听并全程协调资源，具备可视化中央控制和实时管理</w:t>
      </w:r>
      <w:r>
        <w:rPr>
          <w:rFonts w:hint="eastAsia" w:ascii="宋体" w:hAnsi="宋体" w:cs="宋体"/>
          <w:color w:val="auto"/>
          <w:sz w:val="24"/>
          <w:szCs w:val="24"/>
          <w:highlight w:val="none"/>
          <w:lang w:eastAsia="zh-CN"/>
        </w:rPr>
        <w:t>。</w:t>
      </w:r>
    </w:p>
    <w:p w14:paraId="40D4B38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7.1、每天开通服务时间不少于14小时。</w:t>
      </w:r>
    </w:p>
    <w:p w14:paraId="1FA3DBD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7.2、供应商在设备所在市设有一个、邻省不少于3个5年以上稳定的常驻服务机构（人员），其中人员具有上述规格型号设备的原厂培训并考核合格的资质证明。供应商须提供其相关办事处详细地址与联系电话以供采购方核实。</w:t>
      </w:r>
    </w:p>
    <w:p w14:paraId="409E77A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7.3、每年提供设备健康体检1次并提供体检报告，内容涉及核心硬件及磁共振扫描参数的检测，体检项目需涵盖在《GE 3.0T磁共振成像系统原厂售后服务专家共识》里涉及的质控内容。 </w:t>
      </w:r>
    </w:p>
    <w:p w14:paraId="5474221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8、供应商需有MR系列设备专职技术支持团队&gt;=4人，且至少5名具备10年以上的供应商公司服务年限。提供姓名及原厂培训考核合格授权资质证，且在考核合格有效期内。</w:t>
      </w:r>
    </w:p>
    <w:p w14:paraId="406F782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9、供应商能够合法取得相关设备生产者研发部门和工厂的技术支持。</w:t>
      </w:r>
    </w:p>
    <w:p w14:paraId="4F2C06D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10、供应商需有合法权限访问所维修保修保养设备的原厂全球维修经验数据库《Offline knowledge》，提供有效的访问用户名。</w:t>
      </w:r>
    </w:p>
    <w:p w14:paraId="65BED34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11、供应商需具有经校正的所维修保修保养设备的专业维修工具、仪器，并提供序列号和需校正的工具仪器的校正记录文件。</w:t>
      </w:r>
    </w:p>
    <w:p w14:paraId="5DA9D7D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12、供应商需具相关专用工具和设备，并提供相应资料证明。 </w:t>
      </w:r>
    </w:p>
    <w:p w14:paraId="3B94BD7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13、供应商需具有GE MR专用励磁、匀场工具&gt;=2套.</w:t>
      </w:r>
    </w:p>
    <w:p w14:paraId="087C90F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14.1供应商需具有GE MR梯度涡流校正工具至少一套。</w:t>
      </w:r>
    </w:p>
    <w:p w14:paraId="33A7727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14.2供应商需具有GE MR专用射频调试工具&gt;=2套。</w:t>
      </w:r>
    </w:p>
    <w:p w14:paraId="003BC0A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14.3供应商工程师需具有静电防护工具1套和相应安全防护用品，保证服务过程的安全性。</w:t>
      </w:r>
    </w:p>
    <w:p w14:paraId="6AC5937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★14.4供应商所有更换的零部件需是上述所维修保修保养设备的原厂备件。</w:t>
      </w:r>
    </w:p>
    <w:p w14:paraId="2F00F7F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15、供应商须具有GE DR设备维修与Tube、Detector相关工具、仪器、合法的设备维修密钥，工具序列号以供核实</w:t>
      </w:r>
    </w:p>
    <w:p w14:paraId="36A928D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16、Tube高压检测工具（HV Bleeder Package）≥1套</w:t>
      </w:r>
    </w:p>
    <w:p w14:paraId="2CF430C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▲17、供应商必须在全国有＞6名具备原厂认定同机型维修资质证的人员，提供资质认证证书.</w:t>
      </w:r>
    </w:p>
    <w:p w14:paraId="65C9F9B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18、供应商需提供国家食品药品监督管理局之认证证书(认证证书复印件加盖供应商公司公章). 该证书证明了相关零备件比如线圈与上述所有维修设备整机匹配性。</w:t>
      </w:r>
    </w:p>
    <w:p w14:paraId="2F54581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19、响应时间要求：供应商必须在接获报修电话后，提供突发性问题的解决措施及特殊紧急的合理化处理措施。</w:t>
      </w:r>
    </w:p>
    <w:p w14:paraId="3B95F0A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▲20.核心部件球管保障供应，提供过去一年报关单，到货时间≤48小时</w:t>
      </w:r>
    </w:p>
    <w:p w14:paraId="3874216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21、供应商需能合法并及时获取并提供全套完整的原厂系统软硬件改进措施即FMI。</w:t>
      </w:r>
    </w:p>
    <w:p w14:paraId="50E6D04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22、供应商需能合法获得、完整使用有效的原厂高级故障诊断维修钥匙(Service Key),以解决相应故障。</w:t>
      </w:r>
    </w:p>
    <w:p w14:paraId="0FF5FE6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23、MR每年提供设备定期保养4次，并提供符合原厂技术要求的保养报告。</w:t>
      </w:r>
    </w:p>
    <w:p w14:paraId="1339CD8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24、D6000，XR220，OEC9900每年提供设备定期保养1次，并提供符合原厂技术要求的保养报告。</w:t>
      </w:r>
    </w:p>
    <w:p w14:paraId="4678D67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25、设备定期保养包含但不限于如下项目：设备清洁、系统性能测试及校准、必要的电气环境检测等。</w:t>
      </w:r>
    </w:p>
    <w:p w14:paraId="018F56D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26、提供详细的保养计划,包含但不限于：设备清洁、系统性能测试及校准、电气环境检测等</w:t>
      </w:r>
    </w:p>
    <w:p w14:paraId="571957D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27、具有电气环境保障团队和设备，能够检测包括但不限于电网质量、电磁干扰、环境腐蚀气体与震动等。要求提供仪器资料、检测报告样本作证明。</w:t>
      </w:r>
    </w:p>
    <w:p w14:paraId="4295BD8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▲28、能保障液氦供应，与多个知名液氦供应商(不少于三家) 签有长期供应合同。</w:t>
      </w:r>
    </w:p>
    <w:p w14:paraId="1535039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▲29、要求供应商需在全国拥有超过 50/100家以上的MR 3.0T/1.5T 在保医院，并且必须提供相关医院名单与设备型号等详细信息以供采购方核实。</w:t>
      </w:r>
    </w:p>
    <w:p w14:paraId="3DDE7B4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30、若供应商不是本次所维保设备的制造商或其分支机构，供应商须提供制造商或其分支机构出具的针对本项目的授权文件。</w:t>
      </w:r>
    </w:p>
    <w:p w14:paraId="664B66A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★31、MR 3T增加ViosWorks 4D Flow自由呼吸，简单快速实现心脏血流信息采集功能。</w:t>
      </w:r>
    </w:p>
    <w:p w14:paraId="083B31B1">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32、提供设备开机率保证, 达到95%以上。如达不到95%开机率，停机一天赔偿三天</w:t>
      </w:r>
      <w:r>
        <w:rPr>
          <w:rFonts w:hint="eastAsia" w:ascii="宋体" w:hAnsi="宋体" w:cs="宋体"/>
          <w:color w:val="auto"/>
          <w:sz w:val="24"/>
          <w:szCs w:val="24"/>
          <w:highlight w:val="none"/>
          <w:lang w:eastAsia="zh-CN"/>
        </w:rPr>
        <w:t>。</w:t>
      </w:r>
    </w:p>
    <w:bookmarkEnd w:id="84"/>
    <w:bookmarkEnd w:id="85"/>
    <w:p w14:paraId="2CBBBA88">
      <w:pPr>
        <w:keepNext/>
        <w:keepLines/>
        <w:spacing w:before="320" w:after="200"/>
        <w:outlineLvl w:val="2"/>
        <w:rPr>
          <w:rFonts w:ascii="Arial" w:hAnsi="Arial" w:eastAsia="Arial" w:cs="Arial"/>
          <w:color w:val="auto"/>
          <w:sz w:val="30"/>
          <w:szCs w:val="30"/>
          <w:highlight w:val="none"/>
        </w:rPr>
      </w:pPr>
      <w:bookmarkStart w:id="86" w:name="_Toc197812190"/>
      <w:r>
        <w:rPr>
          <w:rFonts w:hint="eastAsia" w:ascii="宋体" w:hAnsi="宋体" w:cs="宋体"/>
          <w:color w:val="auto"/>
          <w:sz w:val="30"/>
          <w:szCs w:val="30"/>
          <w:highlight w:val="none"/>
        </w:rPr>
        <w:t>三、</w:t>
      </w:r>
      <w:r>
        <w:rPr>
          <w:rFonts w:hint="eastAsia" w:hAnsi="宋体"/>
          <w:bCs/>
          <w:color w:val="auto"/>
          <w:sz w:val="28"/>
          <w:szCs w:val="28"/>
          <w:highlight w:val="none"/>
        </w:rPr>
        <w:t>★</w:t>
      </w:r>
      <w:r>
        <w:rPr>
          <w:rFonts w:hint="eastAsia" w:ascii="宋体" w:hAnsi="宋体" w:cs="宋体"/>
          <w:color w:val="auto"/>
          <w:sz w:val="30"/>
          <w:szCs w:val="30"/>
          <w:highlight w:val="none"/>
        </w:rPr>
        <w:t>商务要求</w:t>
      </w:r>
      <w:bookmarkEnd w:id="86"/>
    </w:p>
    <w:p w14:paraId="2A1792F0">
      <w:pPr>
        <w:keepNext w:val="0"/>
        <w:keepLines w:val="0"/>
        <w:pageBreakBefore w:val="0"/>
        <w:kinsoku/>
        <w:wordWrap/>
        <w:overflowPunct/>
        <w:topLinePunct w:val="0"/>
        <w:autoSpaceDE/>
        <w:autoSpaceDN/>
        <w:bidi w:val="0"/>
        <w:adjustRightInd/>
        <w:snapToGrid/>
        <w:spacing w:line="400" w:lineRule="exact"/>
        <w:textAlignment w:val="auto"/>
        <w:rPr>
          <w:b/>
          <w:bCs/>
          <w:color w:val="auto"/>
          <w:sz w:val="28"/>
          <w:szCs w:val="28"/>
          <w:highlight w:val="none"/>
        </w:rPr>
      </w:pPr>
      <w:r>
        <w:rPr>
          <w:rFonts w:hint="eastAsia"/>
          <w:b/>
          <w:bCs/>
          <w:color w:val="auto"/>
          <w:sz w:val="28"/>
          <w:szCs w:val="28"/>
          <w:highlight w:val="none"/>
        </w:rPr>
        <w:t>1、付款方式</w:t>
      </w:r>
    </w:p>
    <w:p w14:paraId="27D4208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付款条件：按年支付。合同生效后，收到符合采购人要求的发票后30个工作日内一次性支付当年度维保费用。（提供承诺书并加盖公章）。</w:t>
      </w:r>
    </w:p>
    <w:p w14:paraId="6D7F3072">
      <w:pPr>
        <w:keepNext w:val="0"/>
        <w:keepLines w:val="0"/>
        <w:pageBreakBefore w:val="0"/>
        <w:kinsoku/>
        <w:wordWrap/>
        <w:overflowPunct/>
        <w:topLinePunct w:val="0"/>
        <w:autoSpaceDE/>
        <w:autoSpaceDN/>
        <w:bidi w:val="0"/>
        <w:adjustRightInd/>
        <w:snapToGrid/>
        <w:spacing w:line="400" w:lineRule="exact"/>
        <w:textAlignment w:val="auto"/>
        <w:rPr>
          <w:b/>
          <w:bCs/>
          <w:color w:val="auto"/>
          <w:sz w:val="28"/>
          <w:szCs w:val="28"/>
          <w:highlight w:val="none"/>
        </w:rPr>
      </w:pPr>
      <w:r>
        <w:rPr>
          <w:rFonts w:hint="eastAsia"/>
          <w:b/>
          <w:bCs/>
          <w:color w:val="auto"/>
          <w:sz w:val="28"/>
          <w:szCs w:val="28"/>
          <w:highlight w:val="none"/>
        </w:rPr>
        <w:t>2、服务期</w:t>
      </w:r>
    </w:p>
    <w:p w14:paraId="336EA0A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服务期：</w:t>
      </w:r>
      <w:r>
        <w:rPr>
          <w:rFonts w:hint="eastAsia" w:ascii="宋体" w:hAnsi="宋体" w:cs="宋体"/>
          <w:color w:val="auto"/>
          <w:sz w:val="24"/>
          <w:szCs w:val="24"/>
          <w:highlight w:val="none"/>
          <w:u w:val="single"/>
          <w:lang w:val="en-US" w:eastAsia="zh-CN"/>
        </w:rPr>
        <w:t xml:space="preserve"> 3 </w:t>
      </w:r>
      <w:r>
        <w:rPr>
          <w:rFonts w:hint="eastAsia" w:ascii="宋体" w:hAnsi="宋体" w:cs="宋体"/>
          <w:color w:val="auto"/>
          <w:sz w:val="24"/>
          <w:szCs w:val="24"/>
          <w:highlight w:val="none"/>
        </w:rPr>
        <w:t>年。</w:t>
      </w:r>
    </w:p>
    <w:p w14:paraId="774705F0">
      <w:pPr>
        <w:keepNext w:val="0"/>
        <w:keepLines w:val="0"/>
        <w:pageBreakBefore w:val="0"/>
        <w:kinsoku/>
        <w:wordWrap/>
        <w:overflowPunct/>
        <w:topLinePunct w:val="0"/>
        <w:autoSpaceDE/>
        <w:autoSpaceDN/>
        <w:bidi w:val="0"/>
        <w:adjustRightInd/>
        <w:snapToGrid/>
        <w:spacing w:line="400" w:lineRule="exact"/>
        <w:textAlignment w:val="auto"/>
        <w:rPr>
          <w:b/>
          <w:bCs/>
          <w:color w:val="auto"/>
          <w:sz w:val="28"/>
          <w:szCs w:val="28"/>
          <w:highlight w:val="none"/>
        </w:rPr>
      </w:pPr>
      <w:r>
        <w:rPr>
          <w:rFonts w:hint="eastAsia"/>
          <w:b/>
          <w:bCs/>
          <w:color w:val="auto"/>
          <w:sz w:val="28"/>
          <w:szCs w:val="28"/>
          <w:highlight w:val="none"/>
        </w:rPr>
        <w:t>3、服务标准</w:t>
      </w:r>
    </w:p>
    <w:p w14:paraId="30E8AE4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（1）投标人提供的服务应符合国家、地方及相关政府管理部门和行业与本项目有关的各项服务标准、规范、规章要求，并满足采购人实际需求，标准、规范等不一致的，以要求高的为准。</w:t>
      </w:r>
    </w:p>
    <w:p w14:paraId="2DEF5DD2">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（2）在项目服务实施期间，中标人应严格执行国家、地方、行业各项有关本项目业务管理和安全作业的法律、法规和制度，积极主动加强和服务业务及安全等有关的管理工作， 并按规定承担相应的费用。中标人因违反规定等原因造成的一切损失和责任由中标人承担。</w:t>
      </w:r>
    </w:p>
    <w:p w14:paraId="3905BB72">
      <w:pPr>
        <w:keepNext w:val="0"/>
        <w:keepLines w:val="0"/>
        <w:pageBreakBefore w:val="0"/>
        <w:kinsoku/>
        <w:wordWrap/>
        <w:overflowPunct/>
        <w:topLinePunct w:val="0"/>
        <w:autoSpaceDE/>
        <w:autoSpaceDN/>
        <w:bidi w:val="0"/>
        <w:adjustRightInd/>
        <w:snapToGrid/>
        <w:spacing w:line="400" w:lineRule="exact"/>
        <w:textAlignment w:val="auto"/>
        <w:rPr>
          <w:b/>
          <w:bCs/>
          <w:color w:val="auto"/>
          <w:sz w:val="28"/>
          <w:szCs w:val="28"/>
          <w:highlight w:val="none"/>
        </w:rPr>
      </w:pPr>
      <w:r>
        <w:rPr>
          <w:rFonts w:hint="eastAsia"/>
          <w:b/>
          <w:bCs/>
          <w:color w:val="auto"/>
          <w:sz w:val="28"/>
          <w:szCs w:val="28"/>
          <w:highlight w:val="none"/>
        </w:rPr>
        <w:t>4、其他</w:t>
      </w:r>
    </w:p>
    <w:p w14:paraId="3EF636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投标方所提供的保修服务，都将提供设备维修服务报告。</w:t>
      </w:r>
    </w:p>
    <w:p w14:paraId="45F50A6E">
      <w:pPr>
        <w:keepNext w:val="0"/>
        <w:keepLines w:val="0"/>
        <w:pageBreakBefore w:val="0"/>
        <w:kinsoku/>
        <w:wordWrap/>
        <w:overflowPunct/>
        <w:topLinePunct w:val="0"/>
        <w:autoSpaceDE/>
        <w:autoSpaceDN/>
        <w:bidi w:val="0"/>
        <w:adjustRightInd/>
        <w:snapToGrid/>
        <w:spacing w:line="400" w:lineRule="exact"/>
        <w:textAlignment w:val="auto"/>
        <w:rPr>
          <w:b/>
          <w:bCs/>
          <w:color w:val="auto"/>
          <w:sz w:val="28"/>
          <w:szCs w:val="28"/>
          <w:highlight w:val="none"/>
        </w:rPr>
      </w:pPr>
      <w:r>
        <w:rPr>
          <w:rFonts w:hint="eastAsia"/>
          <w:b/>
          <w:bCs/>
          <w:color w:val="auto"/>
          <w:sz w:val="28"/>
          <w:szCs w:val="28"/>
          <w:highlight w:val="none"/>
        </w:rPr>
        <w:t>5、其他</w:t>
      </w:r>
    </w:p>
    <w:p w14:paraId="7E6DB9E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如投标方没有按照合同规定进行维保服务，每逾期一日，投标方应按年度合同金额的1%计算，但该违约金总额不超过年度合同总金额的10%。</w:t>
      </w:r>
      <w:bookmarkStart w:id="87" w:name="_Hlk100650392"/>
      <w:r>
        <w:rPr>
          <w:rFonts w:hint="eastAsia" w:ascii="宋体" w:hAnsi="宋体" w:cs="宋体"/>
          <w:color w:val="auto"/>
          <w:sz w:val="24"/>
          <w:szCs w:val="24"/>
          <w:highlight w:val="none"/>
          <w:lang w:val="en-US" w:eastAsia="zh-CN"/>
        </w:rPr>
        <w:t>如</w:t>
      </w:r>
      <w:r>
        <w:rPr>
          <w:rFonts w:hint="eastAsia" w:ascii="宋体" w:hAnsi="宋体" w:cs="宋体"/>
          <w:color w:val="auto"/>
          <w:sz w:val="24"/>
          <w:szCs w:val="24"/>
          <w:highlight w:val="none"/>
        </w:rPr>
        <w:t>投标方无正当理由逾期不进行维保服</w:t>
      </w:r>
      <w:bookmarkEnd w:id="87"/>
      <w:r>
        <w:rPr>
          <w:rFonts w:hint="eastAsia" w:ascii="宋体" w:hAnsi="宋体" w:cs="宋体"/>
          <w:color w:val="auto"/>
          <w:sz w:val="24"/>
          <w:szCs w:val="24"/>
          <w:highlight w:val="none"/>
        </w:rPr>
        <w:t>务</w:t>
      </w:r>
      <w:r>
        <w:rPr>
          <w:rFonts w:hint="eastAsia" w:ascii="宋体" w:hAnsi="宋体" w:cs="宋体"/>
          <w:color w:val="auto"/>
          <w:sz w:val="24"/>
          <w:szCs w:val="24"/>
          <w:highlight w:val="none"/>
          <w:lang w:val="en-US" w:eastAsia="zh-CN"/>
        </w:rPr>
        <w:t>累计</w:t>
      </w:r>
      <w:r>
        <w:rPr>
          <w:rFonts w:hint="eastAsia" w:ascii="宋体" w:hAnsi="宋体" w:cs="宋体"/>
          <w:color w:val="auto"/>
          <w:sz w:val="24"/>
          <w:szCs w:val="24"/>
          <w:highlight w:val="none"/>
        </w:rPr>
        <w:t>10日以上的，则视</w:t>
      </w:r>
      <w:r>
        <w:rPr>
          <w:rFonts w:hint="eastAsia" w:ascii="宋体" w:hAnsi="宋体" w:cs="宋体"/>
          <w:color w:val="auto"/>
          <w:sz w:val="24"/>
          <w:szCs w:val="24"/>
          <w:highlight w:val="none"/>
          <w:lang w:val="en-US" w:eastAsia="zh-CN"/>
        </w:rPr>
        <w:t>为</w:t>
      </w:r>
      <w:r>
        <w:rPr>
          <w:rFonts w:hint="eastAsia" w:ascii="宋体" w:hAnsi="宋体" w:cs="宋体"/>
          <w:color w:val="auto"/>
          <w:sz w:val="24"/>
          <w:szCs w:val="24"/>
          <w:highlight w:val="none"/>
        </w:rPr>
        <w:t>不能提供正常维保，</w:t>
      </w:r>
      <w:r>
        <w:rPr>
          <w:rFonts w:hint="eastAsia" w:ascii="宋体" w:hAnsi="宋体" w:cs="宋体"/>
          <w:color w:val="auto"/>
          <w:sz w:val="24"/>
          <w:szCs w:val="24"/>
          <w:highlight w:val="none"/>
          <w:lang w:val="en-US" w:eastAsia="zh-CN"/>
        </w:rPr>
        <w:t>医院</w:t>
      </w:r>
      <w:r>
        <w:rPr>
          <w:rFonts w:hint="eastAsia" w:ascii="宋体" w:hAnsi="宋体" w:cs="宋体"/>
          <w:color w:val="auto"/>
          <w:sz w:val="24"/>
          <w:szCs w:val="24"/>
          <w:highlight w:val="none"/>
        </w:rPr>
        <w:t>有权因此解除合同，同时投标方应承担由此产生的直接损失</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乙方向甲方承担的全部赔偿额每年累计不超过该年度的合同金额。</w:t>
      </w:r>
    </w:p>
    <w:p w14:paraId="2CC767E1">
      <w:pPr>
        <w:keepNext w:val="0"/>
        <w:keepLines w:val="0"/>
        <w:pageBreakBefore w:val="0"/>
        <w:kinsoku/>
        <w:wordWrap/>
        <w:overflowPunct/>
        <w:topLinePunct w:val="0"/>
        <w:autoSpaceDE/>
        <w:autoSpaceDN/>
        <w:bidi w:val="0"/>
        <w:adjustRightInd/>
        <w:snapToGrid/>
        <w:spacing w:line="400" w:lineRule="exact"/>
        <w:textAlignment w:val="auto"/>
        <w:rPr>
          <w:rFonts w:hint="eastAsia"/>
          <w:b/>
          <w:bCs/>
          <w:color w:val="auto"/>
          <w:sz w:val="28"/>
          <w:szCs w:val="28"/>
          <w:highlight w:val="none"/>
        </w:rPr>
      </w:pPr>
      <w:r>
        <w:rPr>
          <w:rFonts w:hint="eastAsia"/>
          <w:b/>
          <w:bCs/>
          <w:color w:val="auto"/>
          <w:sz w:val="28"/>
          <w:szCs w:val="28"/>
          <w:highlight w:val="none"/>
        </w:rPr>
        <w:t>注：带★条款为实质性条款，负偏离视为无效文件。</w:t>
      </w:r>
    </w:p>
    <w:p w14:paraId="2A3A6681">
      <w:pPr>
        <w:widowControl/>
        <w:jc w:val="left"/>
        <w:rPr>
          <w:rFonts w:hint="eastAsia" w:ascii="宋体" w:hAnsi="宋体" w:cstheme="minorBidi"/>
          <w:b/>
          <w:bCs/>
          <w:color w:val="auto"/>
          <w:sz w:val="24"/>
          <w:szCs w:val="24"/>
          <w:highlight w:val="none"/>
          <w14:ligatures w14:val="standardContextual"/>
        </w:rPr>
      </w:pPr>
      <w:r>
        <w:rPr>
          <w:rFonts w:hint="eastAsia" w:ascii="宋体" w:hAnsi="宋体" w:cstheme="minorBidi"/>
          <w:b/>
          <w:bCs/>
          <w:color w:val="auto"/>
          <w:sz w:val="24"/>
          <w:szCs w:val="24"/>
          <w:highlight w:val="none"/>
          <w14:ligatures w14:val="standardContextual"/>
        </w:rPr>
        <w:br w:type="page" w:clear="all"/>
      </w:r>
    </w:p>
    <w:p w14:paraId="11B286C9">
      <w:pPr>
        <w:spacing w:line="360" w:lineRule="auto"/>
        <w:ind w:firstLine="883"/>
        <w:jc w:val="center"/>
        <w:outlineLvl w:val="0"/>
        <w:rPr>
          <w:rFonts w:ascii="Calibri"/>
          <w:b/>
          <w:color w:val="auto"/>
          <w:sz w:val="44"/>
          <w:szCs w:val="44"/>
          <w:highlight w:val="none"/>
        </w:rPr>
      </w:pPr>
      <w:r>
        <w:rPr>
          <w:rFonts w:hint="eastAsia" w:ascii="Calibri"/>
          <w:b/>
          <w:color w:val="auto"/>
          <w:sz w:val="44"/>
          <w:szCs w:val="44"/>
          <w:highlight w:val="none"/>
        </w:rPr>
        <w:t>第五部分  合同格式及条款</w:t>
      </w:r>
      <w:bookmarkEnd w:id="80"/>
      <w:bookmarkEnd w:id="81"/>
    </w:p>
    <w:p w14:paraId="1A139FEB">
      <w:pPr>
        <w:spacing w:line="360" w:lineRule="auto"/>
        <w:ind w:firstLine="643"/>
        <w:jc w:val="center"/>
        <w:rPr>
          <w:rFonts w:hint="eastAsia" w:ascii="宋体" w:hAnsi="宋体" w:cs="宋体"/>
          <w:b/>
          <w:color w:val="auto"/>
          <w:sz w:val="36"/>
          <w:szCs w:val="32"/>
          <w:highlight w:val="none"/>
        </w:rPr>
      </w:pPr>
      <w:bookmarkStart w:id="88" w:name="_Toc6085"/>
      <w:bookmarkStart w:id="89" w:name="_Toc12366"/>
      <w:bookmarkStart w:id="90" w:name="_Toc514054483"/>
      <w:r>
        <w:rPr>
          <w:rFonts w:hint="eastAsia" w:ascii="宋体" w:hAnsi="宋体" w:cs="宋体"/>
          <w:b/>
          <w:color w:val="auto"/>
          <w:sz w:val="36"/>
          <w:szCs w:val="32"/>
          <w:highlight w:val="none"/>
        </w:rPr>
        <w:t>（参考格式</w:t>
      </w:r>
      <w:r>
        <w:rPr>
          <w:rFonts w:hint="eastAsia" w:ascii="宋体" w:hAnsi="宋体" w:cs="宋体"/>
          <w:color w:val="auto"/>
          <w:sz w:val="36"/>
          <w:szCs w:val="32"/>
          <w:highlight w:val="none"/>
          <w:vertAlign w:val="superscript"/>
        </w:rPr>
        <w:footnoteReference w:id="0"/>
      </w:r>
      <w:r>
        <w:rPr>
          <w:rFonts w:hint="eastAsia" w:ascii="宋体" w:hAnsi="宋体" w:cs="宋体"/>
          <w:b/>
          <w:color w:val="auto"/>
          <w:sz w:val="36"/>
          <w:szCs w:val="32"/>
          <w:highlight w:val="none"/>
        </w:rPr>
        <w:t>）</w:t>
      </w:r>
      <w:bookmarkEnd w:id="88"/>
    </w:p>
    <w:p w14:paraId="79D9711D">
      <w:pPr>
        <w:jc w:val="center"/>
        <w:rPr>
          <w:rFonts w:hint="eastAsia" w:ascii="华文仿宋" w:hAnsi="华文仿宋" w:eastAsia="华文仿宋" w:cs="华文仿宋"/>
          <w:b/>
          <w:bCs/>
          <w:color w:val="auto"/>
          <w:sz w:val="44"/>
          <w:szCs w:val="44"/>
          <w:highlight w:val="none"/>
        </w:rPr>
      </w:pPr>
      <w:r>
        <w:rPr>
          <w:rFonts w:hint="eastAsia" w:ascii="华文仿宋" w:hAnsi="华文仿宋" w:eastAsia="华文仿宋" w:cs="华文仿宋"/>
          <w:b/>
          <w:bCs/>
          <w:color w:val="auto"/>
          <w:sz w:val="44"/>
          <w:szCs w:val="44"/>
          <w:highlight w:val="none"/>
          <w:lang w:val="en-US" w:eastAsia="zh-CN"/>
        </w:rPr>
        <w:t>医疗设备</w:t>
      </w:r>
      <w:r>
        <w:rPr>
          <w:rFonts w:hint="eastAsia" w:ascii="华文仿宋" w:hAnsi="华文仿宋" w:eastAsia="华文仿宋" w:cs="华文仿宋"/>
          <w:b/>
          <w:bCs/>
          <w:color w:val="auto"/>
          <w:sz w:val="44"/>
          <w:szCs w:val="44"/>
          <w:highlight w:val="none"/>
        </w:rPr>
        <w:t>保修服务考核表</w:t>
      </w:r>
    </w:p>
    <w:p w14:paraId="6BD609DD">
      <w:pP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合同号：</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u w:val="single"/>
        </w:rPr>
        <w:t xml:space="preserve">     </w:t>
      </w:r>
      <w:r>
        <w:rPr>
          <w:rFonts w:hint="eastAsia" w:ascii="华文仿宋" w:hAnsi="华文仿宋" w:eastAsia="华文仿宋" w:cs="华文仿宋"/>
          <w:color w:val="auto"/>
          <w:sz w:val="28"/>
          <w:szCs w:val="28"/>
          <w:highlight w:val="none"/>
        </w:rPr>
        <w:t xml:space="preserve">  </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4433"/>
        <w:gridCol w:w="3076"/>
      </w:tblGrid>
      <w:tr w14:paraId="2063C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379" w:type="dxa"/>
            <w:gridSpan w:val="3"/>
          </w:tcPr>
          <w:p w14:paraId="6AFB2056">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vertAlign w:val="baseline"/>
                <w:lang w:eastAsia="zh-CN"/>
              </w:rPr>
            </w:pPr>
            <w:r>
              <w:rPr>
                <w:rFonts w:hint="eastAsia" w:ascii="华文仿宋" w:hAnsi="华文仿宋" w:eastAsia="华文仿宋" w:cs="华文仿宋"/>
                <w:color w:val="auto"/>
                <w:sz w:val="28"/>
                <w:szCs w:val="28"/>
                <w:highlight w:val="none"/>
              </w:rPr>
              <w:t>保修设备名称</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 xml:space="preserve">                </w:t>
            </w:r>
            <w:r>
              <w:rPr>
                <w:rFonts w:hint="eastAsia" w:ascii="华文仿宋" w:hAnsi="华文仿宋" w:eastAsia="华文仿宋" w:cs="华文仿宋"/>
                <w:color w:val="auto"/>
                <w:sz w:val="28"/>
                <w:szCs w:val="28"/>
                <w:highlight w:val="none"/>
              </w:rPr>
              <w:t>使用科室</w:t>
            </w:r>
            <w:r>
              <w:rPr>
                <w:rFonts w:hint="eastAsia" w:ascii="华文仿宋" w:hAnsi="华文仿宋" w:eastAsia="华文仿宋" w:cs="华文仿宋"/>
                <w:color w:val="auto"/>
                <w:sz w:val="28"/>
                <w:szCs w:val="28"/>
                <w:highlight w:val="none"/>
                <w:lang w:eastAsia="zh-CN"/>
              </w:rPr>
              <w:t>：</w:t>
            </w:r>
          </w:p>
        </w:tc>
      </w:tr>
      <w:tr w14:paraId="6AE0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379" w:type="dxa"/>
            <w:gridSpan w:val="3"/>
          </w:tcPr>
          <w:p w14:paraId="49CC7DEF">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考核周期</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rPr>
              <w:t>20</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rPr>
              <w:t>年</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rPr>
              <w:t>月至20</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rPr>
              <w:t>年_</w:t>
            </w:r>
            <w:r>
              <w:rPr>
                <w:rFonts w:hint="eastAsia" w:ascii="华文仿宋" w:hAnsi="华文仿宋" w:eastAsia="华文仿宋" w:cs="华文仿宋"/>
                <w:color w:val="auto"/>
                <w:sz w:val="28"/>
                <w:szCs w:val="28"/>
                <w:highlight w:val="none"/>
                <w:u w:val="single"/>
                <w:lang w:val="en-US" w:eastAsia="zh-CN"/>
              </w:rPr>
              <w:t xml:space="preserve">     </w:t>
            </w:r>
            <w:r>
              <w:rPr>
                <w:rFonts w:hint="eastAsia" w:ascii="华文仿宋" w:hAnsi="华文仿宋" w:eastAsia="华文仿宋" w:cs="华文仿宋"/>
                <w:color w:val="auto"/>
                <w:sz w:val="28"/>
                <w:szCs w:val="28"/>
                <w:highlight w:val="none"/>
              </w:rPr>
              <w:t>月</w:t>
            </w:r>
          </w:p>
        </w:tc>
      </w:tr>
      <w:tr w14:paraId="224F2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78A6DE3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序号</w:t>
            </w:r>
          </w:p>
        </w:tc>
        <w:tc>
          <w:tcPr>
            <w:tcW w:w="4433" w:type="dxa"/>
          </w:tcPr>
          <w:p w14:paraId="4E8DF52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考核项目</w:t>
            </w:r>
          </w:p>
        </w:tc>
        <w:tc>
          <w:tcPr>
            <w:tcW w:w="3076" w:type="dxa"/>
          </w:tcPr>
          <w:p w14:paraId="29FB05D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得分</w:t>
            </w:r>
          </w:p>
        </w:tc>
      </w:tr>
      <w:tr w14:paraId="534EA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1668DF4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1</w:t>
            </w:r>
          </w:p>
        </w:tc>
        <w:tc>
          <w:tcPr>
            <w:tcW w:w="4433" w:type="dxa"/>
          </w:tcPr>
          <w:p w14:paraId="36D72DE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电话响应时间≤2小时（10分）</w:t>
            </w:r>
          </w:p>
        </w:tc>
        <w:tc>
          <w:tcPr>
            <w:tcW w:w="3076" w:type="dxa"/>
          </w:tcPr>
          <w:p w14:paraId="373E4AD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26D5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1F280B9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2</w:t>
            </w:r>
          </w:p>
        </w:tc>
        <w:tc>
          <w:tcPr>
            <w:tcW w:w="4433" w:type="dxa"/>
          </w:tcPr>
          <w:p w14:paraId="0BFC9F2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到达现场时间≤24小时（10分）</w:t>
            </w:r>
          </w:p>
        </w:tc>
        <w:tc>
          <w:tcPr>
            <w:tcW w:w="3076" w:type="dxa"/>
          </w:tcPr>
          <w:p w14:paraId="3D62F56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4319C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64DDF57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3</w:t>
            </w:r>
          </w:p>
        </w:tc>
        <w:tc>
          <w:tcPr>
            <w:tcW w:w="4433" w:type="dxa"/>
          </w:tcPr>
          <w:p w14:paraId="6C55D81C">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开机率≥95%（20分）</w:t>
            </w:r>
          </w:p>
        </w:tc>
        <w:tc>
          <w:tcPr>
            <w:tcW w:w="3076" w:type="dxa"/>
          </w:tcPr>
          <w:p w14:paraId="769D5241">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5D2E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34DEB67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4</w:t>
            </w:r>
          </w:p>
        </w:tc>
        <w:tc>
          <w:tcPr>
            <w:tcW w:w="4433" w:type="dxa"/>
          </w:tcPr>
          <w:p w14:paraId="16D9008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lang w:val="en-US" w:eastAsia="zh-CN"/>
              </w:rPr>
              <w:t>原厂全新或</w:t>
            </w:r>
            <w:r>
              <w:rPr>
                <w:rFonts w:hint="eastAsia" w:ascii="华文仿宋" w:hAnsi="华文仿宋" w:eastAsia="华文仿宋" w:cs="华文仿宋"/>
                <w:color w:val="auto"/>
                <w:sz w:val="28"/>
                <w:szCs w:val="28"/>
                <w:highlight w:val="none"/>
              </w:rPr>
              <w:t>性能相当配件（10分）</w:t>
            </w:r>
          </w:p>
        </w:tc>
        <w:tc>
          <w:tcPr>
            <w:tcW w:w="3076" w:type="dxa"/>
          </w:tcPr>
          <w:p w14:paraId="545F022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643CE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411D7F0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5</w:t>
            </w:r>
          </w:p>
        </w:tc>
        <w:tc>
          <w:tcPr>
            <w:tcW w:w="4433" w:type="dxa"/>
          </w:tcPr>
          <w:p w14:paraId="743C2F97">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预防性</w:t>
            </w:r>
            <w:r>
              <w:rPr>
                <w:rFonts w:hint="eastAsia" w:ascii="华文仿宋" w:hAnsi="华文仿宋" w:eastAsia="华文仿宋" w:cs="华文仿宋"/>
                <w:color w:val="auto"/>
                <w:sz w:val="28"/>
                <w:szCs w:val="28"/>
                <w:highlight w:val="none"/>
                <w:lang w:val="en-US" w:eastAsia="zh-CN"/>
              </w:rPr>
              <w:t>维护</w:t>
            </w:r>
            <w:r>
              <w:rPr>
                <w:rFonts w:hint="eastAsia" w:ascii="华文仿宋" w:hAnsi="华文仿宋" w:eastAsia="华文仿宋" w:cs="华文仿宋"/>
                <w:color w:val="auto"/>
                <w:sz w:val="28"/>
                <w:szCs w:val="28"/>
                <w:highlight w:val="none"/>
              </w:rPr>
              <w:t>≥2次/年（10分）</w:t>
            </w:r>
          </w:p>
        </w:tc>
        <w:tc>
          <w:tcPr>
            <w:tcW w:w="3076" w:type="dxa"/>
          </w:tcPr>
          <w:p w14:paraId="245C128F">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28CB9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870" w:type="dxa"/>
          </w:tcPr>
          <w:p w14:paraId="28FAA88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6</w:t>
            </w:r>
          </w:p>
        </w:tc>
        <w:tc>
          <w:tcPr>
            <w:tcW w:w="4433" w:type="dxa"/>
          </w:tcPr>
          <w:p w14:paraId="203DF720">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定期巡检情况（10分）</w:t>
            </w:r>
          </w:p>
        </w:tc>
        <w:tc>
          <w:tcPr>
            <w:tcW w:w="3076" w:type="dxa"/>
          </w:tcPr>
          <w:p w14:paraId="4B184E8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0DD5E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70" w:type="dxa"/>
          </w:tcPr>
          <w:p w14:paraId="74A92B4D">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7</w:t>
            </w:r>
          </w:p>
        </w:tc>
        <w:tc>
          <w:tcPr>
            <w:tcW w:w="4433" w:type="dxa"/>
          </w:tcPr>
          <w:p w14:paraId="011E35F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日常</w:t>
            </w:r>
            <w:r>
              <w:rPr>
                <w:rFonts w:hint="eastAsia" w:ascii="华文仿宋" w:hAnsi="华文仿宋" w:eastAsia="华文仿宋" w:cs="华文仿宋"/>
                <w:color w:val="auto"/>
                <w:sz w:val="28"/>
                <w:szCs w:val="28"/>
                <w:highlight w:val="none"/>
                <w:lang w:val="en-US" w:eastAsia="zh-CN"/>
              </w:rPr>
              <w:t>维修</w:t>
            </w:r>
            <w:r>
              <w:rPr>
                <w:rFonts w:hint="eastAsia" w:ascii="华文仿宋" w:hAnsi="华文仿宋" w:eastAsia="华文仿宋" w:cs="华文仿宋"/>
                <w:color w:val="auto"/>
                <w:sz w:val="28"/>
                <w:szCs w:val="28"/>
                <w:highlight w:val="none"/>
              </w:rPr>
              <w:t>服务情况（10分）</w:t>
            </w:r>
          </w:p>
        </w:tc>
        <w:tc>
          <w:tcPr>
            <w:tcW w:w="3076" w:type="dxa"/>
          </w:tcPr>
          <w:p w14:paraId="4A7822FA">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22FF2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70" w:type="dxa"/>
          </w:tcPr>
          <w:p w14:paraId="78DF90B8">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8</w:t>
            </w:r>
          </w:p>
        </w:tc>
        <w:tc>
          <w:tcPr>
            <w:tcW w:w="4433" w:type="dxa"/>
          </w:tcPr>
          <w:p w14:paraId="324E80D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维保人员工作态度（10分）</w:t>
            </w:r>
          </w:p>
        </w:tc>
        <w:tc>
          <w:tcPr>
            <w:tcW w:w="3076" w:type="dxa"/>
          </w:tcPr>
          <w:p w14:paraId="0A06331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5A24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70" w:type="dxa"/>
          </w:tcPr>
          <w:p w14:paraId="38D47F7B">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lang w:val="en-US" w:eastAsia="zh-CN"/>
              </w:rPr>
            </w:pPr>
            <w:r>
              <w:rPr>
                <w:rFonts w:hint="eastAsia" w:ascii="华文仿宋" w:hAnsi="华文仿宋" w:eastAsia="华文仿宋" w:cs="华文仿宋"/>
                <w:color w:val="auto"/>
                <w:sz w:val="28"/>
                <w:szCs w:val="28"/>
                <w:highlight w:val="none"/>
                <w:vertAlign w:val="baseline"/>
                <w:lang w:val="en-US" w:eastAsia="zh-CN"/>
              </w:rPr>
              <w:t>9</w:t>
            </w:r>
          </w:p>
        </w:tc>
        <w:tc>
          <w:tcPr>
            <w:tcW w:w="4433" w:type="dxa"/>
          </w:tcPr>
          <w:p w14:paraId="1F273872">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维保人员业务水平（10分）</w:t>
            </w:r>
          </w:p>
        </w:tc>
        <w:tc>
          <w:tcPr>
            <w:tcW w:w="3076" w:type="dxa"/>
          </w:tcPr>
          <w:p w14:paraId="4D096D94">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0EBA4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303" w:type="dxa"/>
            <w:gridSpan w:val="2"/>
          </w:tcPr>
          <w:p w14:paraId="76707E66">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总分</w:t>
            </w:r>
          </w:p>
        </w:tc>
        <w:tc>
          <w:tcPr>
            <w:tcW w:w="3076" w:type="dxa"/>
          </w:tcPr>
          <w:p w14:paraId="0663BDAE">
            <w:pPr>
              <w:keepNext w:val="0"/>
              <w:keepLines w:val="0"/>
              <w:pageBreakBefore w:val="0"/>
              <w:widowControl w:val="0"/>
              <w:kinsoku/>
              <w:wordWrap/>
              <w:overflowPunct/>
              <w:topLinePunct w:val="0"/>
              <w:autoSpaceDE/>
              <w:autoSpaceDN/>
              <w:bidi w:val="0"/>
              <w:adjustRightInd/>
              <w:snapToGrid/>
              <w:spacing w:line="0" w:lineRule="atLeast"/>
              <w:jc w:val="center"/>
              <w:textAlignment w:val="auto"/>
              <w:rPr>
                <w:rFonts w:hint="eastAsia" w:ascii="华文仿宋" w:hAnsi="华文仿宋" w:eastAsia="华文仿宋" w:cs="华文仿宋"/>
                <w:color w:val="auto"/>
                <w:sz w:val="28"/>
                <w:szCs w:val="28"/>
                <w:highlight w:val="none"/>
                <w:vertAlign w:val="baseline"/>
              </w:rPr>
            </w:pPr>
          </w:p>
        </w:tc>
      </w:tr>
      <w:tr w14:paraId="22D4B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379" w:type="dxa"/>
            <w:gridSpan w:val="3"/>
          </w:tcPr>
          <w:p w14:paraId="17691C7F">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rPr>
              <w:t>使用科室签字</w:t>
            </w:r>
            <w:r>
              <w:rPr>
                <w:rFonts w:hint="eastAsia" w:ascii="华文仿宋" w:hAnsi="华文仿宋" w:eastAsia="华文仿宋" w:cs="华文仿宋"/>
                <w:color w:val="auto"/>
                <w:sz w:val="28"/>
                <w:szCs w:val="28"/>
                <w:highlight w:val="none"/>
                <w:lang w:eastAsia="zh-CN"/>
              </w:rPr>
              <w:t>：</w:t>
            </w:r>
          </w:p>
          <w:p w14:paraId="150A6635">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lang w:eastAsia="zh-CN"/>
              </w:rPr>
            </w:pPr>
          </w:p>
        </w:tc>
      </w:tr>
      <w:tr w14:paraId="2B3B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379" w:type="dxa"/>
            <w:gridSpan w:val="3"/>
          </w:tcPr>
          <w:p w14:paraId="463E23DB">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vertAlign w:val="baseline"/>
              </w:rPr>
            </w:pPr>
            <w:r>
              <w:rPr>
                <w:rFonts w:hint="eastAsia" w:ascii="华文仿宋" w:hAnsi="华文仿宋" w:eastAsia="华文仿宋" w:cs="华文仿宋"/>
                <w:color w:val="auto"/>
                <w:sz w:val="28"/>
                <w:szCs w:val="28"/>
                <w:highlight w:val="none"/>
              </w:rPr>
              <w:t>分管工程师签字</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rPr>
              <w:tab/>
            </w:r>
          </w:p>
          <w:p w14:paraId="6E73288E">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vertAlign w:val="baseline"/>
              </w:rPr>
            </w:pPr>
          </w:p>
        </w:tc>
      </w:tr>
      <w:tr w14:paraId="447BD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8379" w:type="dxa"/>
            <w:gridSpan w:val="3"/>
          </w:tcPr>
          <w:p w14:paraId="272FB6C8">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val="en-US" w:eastAsia="zh-CN"/>
              </w:rPr>
              <w:t>临床医学工程</w:t>
            </w:r>
            <w:r>
              <w:rPr>
                <w:rFonts w:hint="eastAsia" w:ascii="华文仿宋" w:hAnsi="华文仿宋" w:eastAsia="华文仿宋" w:cs="华文仿宋"/>
                <w:color w:val="auto"/>
                <w:sz w:val="28"/>
                <w:szCs w:val="28"/>
                <w:highlight w:val="none"/>
              </w:rPr>
              <w:t>处负责人签字</w:t>
            </w:r>
            <w:r>
              <w:rPr>
                <w:rFonts w:hint="eastAsia" w:ascii="华文仿宋" w:hAnsi="华文仿宋" w:eastAsia="华文仿宋" w:cs="华文仿宋"/>
                <w:color w:val="auto"/>
                <w:sz w:val="28"/>
                <w:szCs w:val="28"/>
                <w:highlight w:val="none"/>
                <w:lang w:eastAsia="zh-CN"/>
              </w:rPr>
              <w:t>：</w:t>
            </w:r>
          </w:p>
          <w:p w14:paraId="513276A7">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8"/>
                <w:szCs w:val="28"/>
                <w:highlight w:val="none"/>
                <w:vertAlign w:val="baseline"/>
              </w:rPr>
            </w:pPr>
          </w:p>
        </w:tc>
      </w:tr>
    </w:tbl>
    <w:p w14:paraId="36CA43B1">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2"/>
          <w:szCs w:val="22"/>
          <w:highlight w:val="none"/>
        </w:rPr>
      </w:pPr>
      <w:r>
        <w:rPr>
          <w:rFonts w:hint="eastAsia" w:ascii="华文仿宋" w:hAnsi="华文仿宋" w:eastAsia="华文仿宋" w:cs="华文仿宋"/>
          <w:color w:val="auto"/>
          <w:sz w:val="22"/>
          <w:szCs w:val="22"/>
          <w:highlight w:val="none"/>
        </w:rPr>
        <w:t>1．本评分标准采取百分制，各项目分数累加后得出总分，用于评估整体服务质量。</w:t>
      </w:r>
    </w:p>
    <w:p w14:paraId="1C0B365C">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2"/>
          <w:szCs w:val="22"/>
          <w:highlight w:val="none"/>
        </w:rPr>
      </w:pPr>
      <w:r>
        <w:rPr>
          <w:rFonts w:hint="eastAsia" w:ascii="华文仿宋" w:hAnsi="华文仿宋" w:eastAsia="华文仿宋" w:cs="华文仿宋"/>
          <w:color w:val="auto"/>
          <w:sz w:val="22"/>
          <w:szCs w:val="22"/>
          <w:highlight w:val="none"/>
        </w:rPr>
        <w:t>2．考核采用每年考核一次。若连续2次考核不合格，则甲方有权终止此项合同，且不承担任何责任并付款义务。</w:t>
      </w:r>
    </w:p>
    <w:p w14:paraId="42599D4E">
      <w:pPr>
        <w:keepNext w:val="0"/>
        <w:keepLines w:val="0"/>
        <w:pageBreakBefore w:val="0"/>
        <w:widowControl w:val="0"/>
        <w:kinsoku/>
        <w:wordWrap/>
        <w:overflowPunct/>
        <w:topLinePunct w:val="0"/>
        <w:autoSpaceDE/>
        <w:autoSpaceDN/>
        <w:bidi w:val="0"/>
        <w:adjustRightInd/>
        <w:snapToGrid/>
        <w:spacing w:line="0" w:lineRule="atLeast"/>
        <w:textAlignment w:val="auto"/>
        <w:rPr>
          <w:rFonts w:hint="eastAsia" w:ascii="华文仿宋" w:hAnsi="华文仿宋" w:eastAsia="华文仿宋" w:cs="华文仿宋"/>
          <w:color w:val="auto"/>
          <w:sz w:val="22"/>
          <w:szCs w:val="22"/>
          <w:highlight w:val="none"/>
        </w:rPr>
      </w:pPr>
      <w:r>
        <w:rPr>
          <w:rFonts w:hint="eastAsia" w:ascii="华文仿宋" w:hAnsi="华文仿宋" w:eastAsia="华文仿宋" w:cs="华文仿宋"/>
          <w:color w:val="auto"/>
          <w:sz w:val="22"/>
          <w:szCs w:val="22"/>
          <w:highlight w:val="none"/>
        </w:rPr>
        <w:t>3．对于未达到最低要求的项目，将根据实际情况给予扣分，并要求限期整改。</w:t>
      </w:r>
    </w:p>
    <w:p w14:paraId="67FE42B5">
      <w:pPr>
        <w:pStyle w:val="448"/>
        <w:spacing w:after="0" w:line="36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2"/>
          <w:szCs w:val="22"/>
          <w:highlight w:val="none"/>
        </w:rPr>
        <w:t>4．考核结果将作为维保单位服务质量评价、资金分配及合作续签的重要依据。根据考核内容综合给予考核分值（满分为100分），根据考核分值核算结算款的发放：对中标</w:t>
      </w:r>
      <w:r>
        <w:rPr>
          <w:rFonts w:hint="eastAsia" w:ascii="华文仿宋" w:hAnsi="华文仿宋" w:eastAsia="华文仿宋" w:cs="华文仿宋"/>
          <w:color w:val="auto"/>
          <w:sz w:val="22"/>
          <w:szCs w:val="22"/>
          <w:highlight w:val="none"/>
          <w:lang w:val="en-US" w:eastAsia="zh-CN"/>
        </w:rPr>
        <w:t>服务商</w:t>
      </w:r>
      <w:r>
        <w:rPr>
          <w:rFonts w:hint="eastAsia" w:ascii="华文仿宋" w:hAnsi="华文仿宋" w:eastAsia="华文仿宋" w:cs="华文仿宋"/>
          <w:color w:val="auto"/>
          <w:sz w:val="22"/>
          <w:szCs w:val="22"/>
          <w:highlight w:val="none"/>
        </w:rPr>
        <w:t>实行每年度考核，每年度得分在90分及以上全额支付款项，低于90分，每低一分扣除中标人1%的一个年度的合同款，扣款在结算款中直接扣除。</w:t>
      </w:r>
      <w:r>
        <w:rPr>
          <w:rFonts w:hint="eastAsia" w:ascii="华文仿宋" w:hAnsi="华文仿宋" w:eastAsia="华文仿宋" w:cs="华文仿宋"/>
          <w:color w:val="auto"/>
          <w:sz w:val="28"/>
          <w:szCs w:val="28"/>
          <w:highlight w:val="none"/>
        </w:rPr>
        <w:t>　</w:t>
      </w:r>
    </w:p>
    <w:p w14:paraId="5C6A1253">
      <w:pPr>
        <w:pStyle w:val="448"/>
        <w:spacing w:after="0" w:line="360" w:lineRule="auto"/>
        <w:rPr>
          <w:rFonts w:hint="eastAsia" w:ascii="华文仿宋" w:hAnsi="华文仿宋" w:eastAsia="华文仿宋" w:cs="华文仿宋"/>
          <w:color w:val="auto"/>
          <w:sz w:val="28"/>
          <w:szCs w:val="28"/>
          <w:highlight w:val="none"/>
        </w:rPr>
      </w:pPr>
    </w:p>
    <w:p w14:paraId="6A00EBA4">
      <w:pPr>
        <w:pStyle w:val="448"/>
        <w:spacing w:after="0" w:line="360" w:lineRule="auto"/>
        <w:rPr>
          <w:rFonts w:hint="eastAsia"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color w:val="auto"/>
          <w:sz w:val="28"/>
          <w:szCs w:val="28"/>
          <w:highlight w:val="none"/>
          <w:lang w:val="en-US" w:eastAsia="zh-CN"/>
        </w:rPr>
        <w:t>医疗设备维保合同模版</w:t>
      </w:r>
    </w:p>
    <w:p w14:paraId="723A937E">
      <w:pPr>
        <w:spacing w:line="360" w:lineRule="auto"/>
        <w:jc w:val="center"/>
        <w:rPr>
          <w:rFonts w:hint="eastAsia"/>
          <w:b/>
          <w:color w:val="auto"/>
          <w:sz w:val="32"/>
          <w:szCs w:val="32"/>
          <w:highlight w:val="none"/>
        </w:rPr>
      </w:pPr>
      <w:r>
        <w:rPr>
          <w:rFonts w:hint="eastAsia"/>
          <w:b/>
          <w:color w:val="auto"/>
          <w:sz w:val="32"/>
          <w:szCs w:val="32"/>
          <w:highlight w:val="none"/>
          <w:lang w:eastAsia="zh-CN"/>
        </w:rPr>
        <w:t>‌南京医科大学第二附属医院</w:t>
      </w:r>
      <w:r>
        <w:rPr>
          <w:rFonts w:hint="eastAsia"/>
          <w:b/>
          <w:color w:val="auto"/>
          <w:sz w:val="32"/>
          <w:szCs w:val="32"/>
          <w:highlight w:val="none"/>
        </w:rPr>
        <w:t>医疗设备维保服务合同</w:t>
      </w:r>
    </w:p>
    <w:p w14:paraId="54122A40">
      <w:pPr>
        <w:spacing w:line="360" w:lineRule="auto"/>
        <w:rPr>
          <w:color w:val="auto"/>
          <w:highlight w:val="none"/>
          <w:u w:val="single"/>
        </w:rPr>
      </w:pPr>
      <w:r>
        <w:rPr>
          <w:rFonts w:hint="eastAsia"/>
          <w:b/>
          <w:color w:val="auto"/>
          <w:szCs w:val="21"/>
          <w:highlight w:val="none"/>
        </w:rPr>
        <w:t>甲方</w:t>
      </w:r>
      <w:r>
        <w:rPr>
          <w:rFonts w:hint="eastAsia"/>
          <w:color w:val="auto"/>
          <w:szCs w:val="21"/>
          <w:highlight w:val="none"/>
        </w:rPr>
        <w:t>：</w:t>
      </w:r>
      <w:r>
        <w:rPr>
          <w:rFonts w:hint="eastAsia"/>
          <w:color w:val="auto"/>
          <w:szCs w:val="21"/>
          <w:highlight w:val="none"/>
          <w:u w:val="single"/>
        </w:rPr>
        <w:t xml:space="preserve">    </w:t>
      </w:r>
      <w:r>
        <w:rPr>
          <w:rFonts w:hint="eastAsia" w:ascii="楷体_GB2312" w:eastAsia="楷体_GB2312"/>
          <w:b/>
          <w:color w:val="auto"/>
          <w:szCs w:val="21"/>
          <w:highlight w:val="none"/>
          <w:u w:val="single"/>
          <w:lang w:eastAsia="zh-CN"/>
        </w:rPr>
        <w:t>‌南京医科大学第二附属医院</w:t>
      </w:r>
      <w:r>
        <w:rPr>
          <w:b/>
          <w:color w:val="auto"/>
          <w:szCs w:val="21"/>
          <w:highlight w:val="none"/>
          <w:u w:val="single"/>
        </w:rPr>
        <w:t xml:space="preserve"> </w:t>
      </w:r>
      <w:r>
        <w:rPr>
          <w:rFonts w:hint="eastAsia"/>
          <w:b/>
          <w:color w:val="auto"/>
          <w:szCs w:val="21"/>
          <w:highlight w:val="none"/>
          <w:u w:val="single"/>
        </w:rPr>
        <w:t xml:space="preserve"> </w:t>
      </w:r>
      <w:r>
        <w:rPr>
          <w:b/>
          <w:color w:val="auto"/>
          <w:szCs w:val="21"/>
          <w:highlight w:val="none"/>
          <w:u w:val="single"/>
        </w:rPr>
        <w:t xml:space="preserve"> </w:t>
      </w:r>
      <w:r>
        <w:rPr>
          <w:b/>
          <w:color w:val="auto"/>
          <w:szCs w:val="21"/>
          <w:highlight w:val="none"/>
        </w:rPr>
        <w:t xml:space="preserve">  </w:t>
      </w:r>
      <w:r>
        <w:rPr>
          <w:color w:val="auto"/>
          <w:szCs w:val="21"/>
          <w:highlight w:val="none"/>
        </w:rPr>
        <w:t xml:space="preserve">            </w:t>
      </w:r>
      <w:r>
        <w:rPr>
          <w:rFonts w:hint="eastAsia"/>
          <w:color w:val="auto"/>
          <w:szCs w:val="21"/>
          <w:highlight w:val="none"/>
        </w:rPr>
        <w:t xml:space="preserve">         </w:t>
      </w:r>
      <w:r>
        <w:rPr>
          <w:rFonts w:hint="eastAsia"/>
          <w:b/>
          <w:color w:val="auto"/>
          <w:szCs w:val="21"/>
          <w:highlight w:val="none"/>
        </w:rPr>
        <w:t>乙方</w:t>
      </w:r>
      <w:r>
        <w:rPr>
          <w:rFonts w:hint="eastAsia"/>
          <w:color w:val="auto"/>
          <w:szCs w:val="21"/>
          <w:highlight w:val="none"/>
        </w:rPr>
        <w:t xml:space="preserve">： </w:t>
      </w:r>
      <w:r>
        <w:rPr>
          <w:rFonts w:hint="eastAsia"/>
          <w:color w:val="auto"/>
          <w:highlight w:val="none"/>
          <w:u w:val="single"/>
        </w:rPr>
        <w:t xml:space="preserve"> </w:t>
      </w:r>
      <w:r>
        <w:rPr>
          <w:rFonts w:hint="eastAsia" w:ascii="楷体_GB2312" w:eastAsia="楷体_GB2312"/>
          <w:b/>
          <w:color w:val="auto"/>
          <w:szCs w:val="21"/>
          <w:highlight w:val="none"/>
          <w:u w:val="single"/>
        </w:rPr>
        <w:t xml:space="preserve"> </w:t>
      </w:r>
      <w:r>
        <w:rPr>
          <w:rFonts w:ascii="楷体_GB2312" w:eastAsia="楷体_GB2312"/>
          <w:b/>
          <w:color w:val="auto"/>
          <w:szCs w:val="21"/>
          <w:highlight w:val="none"/>
          <w:u w:val="single"/>
        </w:rPr>
        <w:t xml:space="preserve">                   </w:t>
      </w:r>
      <w:r>
        <w:rPr>
          <w:rFonts w:hint="eastAsia" w:ascii="楷体_GB2312" w:eastAsia="楷体_GB2312"/>
          <w:b/>
          <w:color w:val="auto"/>
          <w:szCs w:val="21"/>
          <w:highlight w:val="none"/>
          <w:u w:val="single"/>
        </w:rPr>
        <w:t xml:space="preserve"> </w:t>
      </w:r>
      <w:r>
        <w:rPr>
          <w:rFonts w:hint="eastAsia"/>
          <w:color w:val="auto"/>
          <w:szCs w:val="21"/>
          <w:highlight w:val="none"/>
          <w:u w:val="single"/>
        </w:rPr>
        <w:t xml:space="preserve"> </w:t>
      </w:r>
    </w:p>
    <w:p w14:paraId="20CF517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甲乙双方根据《</w:t>
      </w:r>
      <w:r>
        <w:rPr>
          <w:rFonts w:hint="eastAsia" w:ascii="宋体" w:hAnsi="宋体"/>
          <w:color w:val="auto"/>
          <w:szCs w:val="21"/>
          <w:highlight w:val="none"/>
          <w:lang w:val="en-US" w:eastAsia="zh-CN"/>
        </w:rPr>
        <w:t>中华人民共和国</w:t>
      </w:r>
      <w:r>
        <w:rPr>
          <w:rFonts w:hint="eastAsia" w:ascii="宋体" w:hAnsi="宋体"/>
          <w:color w:val="auto"/>
          <w:szCs w:val="21"/>
          <w:highlight w:val="none"/>
        </w:rPr>
        <w:t>民法典》，在平等互利、协商一致的基础上，达成以下设备维保服务合同：</w:t>
      </w:r>
    </w:p>
    <w:p w14:paraId="0302556A">
      <w:pPr>
        <w:pStyle w:val="456"/>
        <w:spacing w:line="360" w:lineRule="auto"/>
        <w:ind w:firstLine="0" w:firstLineChars="0"/>
        <w:rPr>
          <w:rFonts w:hint="eastAsia" w:hAnsi="宋体" w:eastAsia="宋体"/>
          <w:color w:val="auto"/>
          <w:sz w:val="21"/>
          <w:szCs w:val="21"/>
          <w:highlight w:val="none"/>
          <w:lang w:eastAsia="zh-CN"/>
        </w:rPr>
      </w:pPr>
      <w:r>
        <w:rPr>
          <w:rFonts w:hint="eastAsia" w:hAnsi="宋体"/>
          <w:color w:val="auto"/>
          <w:sz w:val="21"/>
          <w:szCs w:val="21"/>
          <w:highlight w:val="none"/>
        </w:rPr>
        <w:t>一、合同期限</w:t>
      </w:r>
      <w:r>
        <w:rPr>
          <w:rFonts w:hint="eastAsia" w:hAnsi="宋体"/>
          <w:color w:val="auto"/>
          <w:sz w:val="21"/>
          <w:szCs w:val="21"/>
          <w:highlight w:val="none"/>
          <w:lang w:eastAsia="zh-CN"/>
        </w:rPr>
        <w:t>：</w:t>
      </w:r>
    </w:p>
    <w:p w14:paraId="3DFA0FFB">
      <w:pPr>
        <w:pStyle w:val="456"/>
        <w:spacing w:line="360" w:lineRule="auto"/>
        <w:ind w:left="420" w:firstLine="0" w:firstLineChars="0"/>
        <w:rPr>
          <w:rFonts w:hAnsi="宋体"/>
          <w:color w:val="auto"/>
          <w:sz w:val="21"/>
          <w:szCs w:val="21"/>
          <w:highlight w:val="none"/>
        </w:rPr>
      </w:pPr>
      <w:r>
        <w:rPr>
          <w:rFonts w:hint="eastAsia" w:hAnsi="宋体"/>
          <w:color w:val="auto"/>
          <w:sz w:val="21"/>
          <w:szCs w:val="21"/>
          <w:highlight w:val="none"/>
        </w:rPr>
        <w:t>保修期自</w:t>
      </w:r>
      <w:r>
        <w:rPr>
          <w:rFonts w:hint="eastAsia" w:hAnsi="宋体"/>
          <w:color w:val="auto"/>
          <w:sz w:val="21"/>
          <w:szCs w:val="21"/>
          <w:highlight w:val="none"/>
          <w:u w:val="single"/>
        </w:rPr>
        <w:t>X</w:t>
      </w:r>
      <w:r>
        <w:rPr>
          <w:rFonts w:hAnsi="宋体"/>
          <w:color w:val="auto"/>
          <w:sz w:val="21"/>
          <w:szCs w:val="21"/>
          <w:highlight w:val="none"/>
          <w:u w:val="single"/>
        </w:rPr>
        <w:t>XXX</w:t>
      </w:r>
      <w:r>
        <w:rPr>
          <w:rFonts w:hint="eastAsia" w:hAnsi="宋体"/>
          <w:color w:val="auto"/>
          <w:sz w:val="21"/>
          <w:szCs w:val="21"/>
          <w:highlight w:val="none"/>
          <w:u w:val="single"/>
        </w:rPr>
        <w:t>年X</w:t>
      </w:r>
      <w:r>
        <w:rPr>
          <w:rFonts w:hAnsi="宋体"/>
          <w:color w:val="auto"/>
          <w:sz w:val="21"/>
          <w:szCs w:val="21"/>
          <w:highlight w:val="none"/>
          <w:u w:val="single"/>
        </w:rPr>
        <w:t>XXX</w:t>
      </w:r>
      <w:r>
        <w:rPr>
          <w:rFonts w:hint="eastAsia" w:hAnsi="宋体"/>
          <w:color w:val="auto"/>
          <w:sz w:val="21"/>
          <w:szCs w:val="21"/>
          <w:highlight w:val="none"/>
          <w:u w:val="single"/>
        </w:rPr>
        <w:t>月X</w:t>
      </w:r>
      <w:r>
        <w:rPr>
          <w:rFonts w:hAnsi="宋体"/>
          <w:color w:val="auto"/>
          <w:sz w:val="21"/>
          <w:szCs w:val="21"/>
          <w:highlight w:val="none"/>
          <w:u w:val="single"/>
        </w:rPr>
        <w:t>XXX</w:t>
      </w:r>
      <w:r>
        <w:rPr>
          <w:rFonts w:hint="eastAsia" w:hAnsi="宋体"/>
          <w:color w:val="auto"/>
          <w:sz w:val="21"/>
          <w:szCs w:val="21"/>
          <w:highlight w:val="none"/>
          <w:u w:val="single"/>
        </w:rPr>
        <w:t>日</w:t>
      </w:r>
      <w:r>
        <w:rPr>
          <w:rFonts w:hint="eastAsia" w:hAnsi="宋体"/>
          <w:color w:val="auto"/>
          <w:sz w:val="21"/>
          <w:szCs w:val="21"/>
          <w:highlight w:val="none"/>
        </w:rPr>
        <w:t>至</w:t>
      </w:r>
      <w:r>
        <w:rPr>
          <w:rFonts w:hint="eastAsia" w:hAnsi="宋体"/>
          <w:color w:val="auto"/>
          <w:sz w:val="21"/>
          <w:szCs w:val="21"/>
          <w:highlight w:val="none"/>
          <w:u w:val="single"/>
        </w:rPr>
        <w:t>X</w:t>
      </w:r>
      <w:r>
        <w:rPr>
          <w:rFonts w:hAnsi="宋体"/>
          <w:color w:val="auto"/>
          <w:sz w:val="21"/>
          <w:szCs w:val="21"/>
          <w:highlight w:val="none"/>
          <w:u w:val="single"/>
        </w:rPr>
        <w:t>XXX</w:t>
      </w:r>
      <w:r>
        <w:rPr>
          <w:rFonts w:hint="eastAsia" w:hAnsi="宋体"/>
          <w:color w:val="auto"/>
          <w:sz w:val="21"/>
          <w:szCs w:val="21"/>
          <w:highlight w:val="none"/>
          <w:u w:val="single"/>
        </w:rPr>
        <w:t>年X</w:t>
      </w:r>
      <w:r>
        <w:rPr>
          <w:rFonts w:hAnsi="宋体"/>
          <w:color w:val="auto"/>
          <w:sz w:val="21"/>
          <w:szCs w:val="21"/>
          <w:highlight w:val="none"/>
          <w:u w:val="single"/>
        </w:rPr>
        <w:t>XXX</w:t>
      </w:r>
      <w:r>
        <w:rPr>
          <w:rFonts w:hint="eastAsia" w:hAnsi="宋体"/>
          <w:color w:val="auto"/>
          <w:sz w:val="21"/>
          <w:szCs w:val="21"/>
          <w:highlight w:val="none"/>
          <w:u w:val="single"/>
        </w:rPr>
        <w:t>月X</w:t>
      </w:r>
      <w:r>
        <w:rPr>
          <w:rFonts w:hAnsi="宋体"/>
          <w:color w:val="auto"/>
          <w:sz w:val="21"/>
          <w:szCs w:val="21"/>
          <w:highlight w:val="none"/>
          <w:u w:val="single"/>
        </w:rPr>
        <w:t>XXX</w:t>
      </w:r>
      <w:r>
        <w:rPr>
          <w:rFonts w:hint="eastAsia" w:hAnsi="宋体"/>
          <w:color w:val="auto"/>
          <w:sz w:val="21"/>
          <w:szCs w:val="21"/>
          <w:highlight w:val="none"/>
          <w:u w:val="single"/>
        </w:rPr>
        <w:t>日</w:t>
      </w:r>
      <w:r>
        <w:rPr>
          <w:rFonts w:hint="eastAsia" w:hAnsi="宋体"/>
          <w:color w:val="auto"/>
          <w:sz w:val="21"/>
          <w:szCs w:val="21"/>
          <w:highlight w:val="none"/>
        </w:rPr>
        <w:t>。</w:t>
      </w:r>
    </w:p>
    <w:p w14:paraId="24E0B1B3">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若由于该设备停止使用的原因，甲方需要解除该合同，甲方可提前3</w:t>
      </w:r>
      <w:r>
        <w:rPr>
          <w:rFonts w:ascii="宋体" w:hAnsi="宋体"/>
          <w:color w:val="auto"/>
          <w:szCs w:val="21"/>
          <w:highlight w:val="none"/>
        </w:rPr>
        <w:t>0</w:t>
      </w:r>
      <w:r>
        <w:rPr>
          <w:rFonts w:hint="eastAsia" w:ascii="宋体" w:hAnsi="宋体"/>
          <w:color w:val="auto"/>
          <w:szCs w:val="21"/>
          <w:highlight w:val="none"/>
        </w:rPr>
        <w:t>日以书面形式通知乙方，确认设备停用时间，在合同有效期内提前解除合同，费用结算至确认的设备停用时间，当期合同价款按天计算。</w:t>
      </w:r>
    </w:p>
    <w:p w14:paraId="4EF5979F">
      <w:pPr>
        <w:spacing w:line="360" w:lineRule="auto"/>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如乙方在维保服务期间和医院合作良好，经双方协商该合同可续保壹年，最长不超过叁年。</w:t>
      </w:r>
    </w:p>
    <w:p w14:paraId="14CBA4DB">
      <w:pPr>
        <w:spacing w:line="360" w:lineRule="auto"/>
        <w:rPr>
          <w:rFonts w:hint="eastAsia" w:hAnsi="宋体"/>
          <w:color w:val="auto"/>
          <w:highlight w:val="none"/>
        </w:rPr>
      </w:pPr>
      <w:r>
        <w:rPr>
          <w:rFonts w:hint="eastAsia" w:hAnsi="宋体"/>
          <w:color w:val="auto"/>
          <w:highlight w:val="none"/>
        </w:rPr>
        <w:t>二、维保服务设备：</w:t>
      </w:r>
    </w:p>
    <w:tbl>
      <w:tblPr>
        <w:tblStyle w:val="35"/>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7"/>
        <w:gridCol w:w="1984"/>
        <w:gridCol w:w="992"/>
        <w:gridCol w:w="993"/>
        <w:gridCol w:w="1701"/>
        <w:gridCol w:w="1134"/>
        <w:gridCol w:w="1842"/>
      </w:tblGrid>
      <w:tr w14:paraId="3F95C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77" w:type="dxa"/>
            <w:noWrap w:val="0"/>
            <w:vAlign w:val="center"/>
          </w:tcPr>
          <w:p w14:paraId="63CF7C31">
            <w:pPr>
              <w:spacing w:line="360" w:lineRule="auto"/>
              <w:jc w:val="center"/>
              <w:rPr>
                <w:b/>
                <w:color w:val="auto"/>
                <w:szCs w:val="21"/>
                <w:highlight w:val="none"/>
              </w:rPr>
            </w:pPr>
            <w:r>
              <w:rPr>
                <w:rFonts w:hint="eastAsia"/>
                <w:b/>
                <w:color w:val="auto"/>
                <w:szCs w:val="21"/>
                <w:highlight w:val="none"/>
              </w:rPr>
              <w:t>设备名称</w:t>
            </w:r>
          </w:p>
        </w:tc>
        <w:tc>
          <w:tcPr>
            <w:tcW w:w="1984" w:type="dxa"/>
            <w:noWrap w:val="0"/>
            <w:vAlign w:val="center"/>
          </w:tcPr>
          <w:p w14:paraId="403C2160">
            <w:pPr>
              <w:spacing w:line="360" w:lineRule="auto"/>
              <w:jc w:val="center"/>
              <w:rPr>
                <w:rFonts w:hint="eastAsia"/>
                <w:b/>
                <w:color w:val="auto"/>
                <w:szCs w:val="21"/>
                <w:highlight w:val="none"/>
              </w:rPr>
            </w:pPr>
            <w:r>
              <w:rPr>
                <w:rFonts w:hint="eastAsia"/>
                <w:b/>
                <w:color w:val="auto"/>
                <w:szCs w:val="21"/>
                <w:highlight w:val="none"/>
              </w:rPr>
              <w:t>品牌、规格</w:t>
            </w:r>
          </w:p>
          <w:p w14:paraId="1FA98912">
            <w:pPr>
              <w:spacing w:line="360" w:lineRule="auto"/>
              <w:jc w:val="center"/>
              <w:rPr>
                <w:b/>
                <w:color w:val="auto"/>
                <w:szCs w:val="21"/>
                <w:highlight w:val="none"/>
              </w:rPr>
            </w:pPr>
            <w:r>
              <w:rPr>
                <w:rFonts w:hint="eastAsia"/>
                <w:b/>
                <w:color w:val="auto"/>
                <w:szCs w:val="21"/>
                <w:highlight w:val="none"/>
              </w:rPr>
              <w:t>型号</w:t>
            </w:r>
          </w:p>
        </w:tc>
        <w:tc>
          <w:tcPr>
            <w:tcW w:w="992" w:type="dxa"/>
            <w:noWrap w:val="0"/>
            <w:vAlign w:val="center"/>
          </w:tcPr>
          <w:p w14:paraId="3E13AF79">
            <w:pPr>
              <w:spacing w:line="360" w:lineRule="auto"/>
              <w:jc w:val="center"/>
              <w:rPr>
                <w:b/>
                <w:color w:val="auto"/>
                <w:szCs w:val="21"/>
                <w:highlight w:val="none"/>
              </w:rPr>
            </w:pPr>
            <w:r>
              <w:rPr>
                <w:rFonts w:hint="eastAsia"/>
                <w:b/>
                <w:color w:val="auto"/>
                <w:szCs w:val="21"/>
                <w:highlight w:val="none"/>
                <w:lang w:val="en-US" w:eastAsia="zh-CN"/>
              </w:rPr>
              <w:t>序列号</w:t>
            </w:r>
          </w:p>
        </w:tc>
        <w:tc>
          <w:tcPr>
            <w:tcW w:w="993" w:type="dxa"/>
            <w:noWrap w:val="0"/>
            <w:vAlign w:val="center"/>
          </w:tcPr>
          <w:p w14:paraId="529B2BCF">
            <w:pPr>
              <w:spacing w:line="360" w:lineRule="auto"/>
              <w:jc w:val="center"/>
              <w:rPr>
                <w:b/>
                <w:color w:val="auto"/>
                <w:szCs w:val="21"/>
                <w:highlight w:val="none"/>
              </w:rPr>
            </w:pPr>
            <w:r>
              <w:rPr>
                <w:rFonts w:hint="eastAsia"/>
                <w:b/>
                <w:color w:val="auto"/>
                <w:szCs w:val="21"/>
                <w:highlight w:val="none"/>
              </w:rPr>
              <w:t>数量</w:t>
            </w:r>
          </w:p>
        </w:tc>
        <w:tc>
          <w:tcPr>
            <w:tcW w:w="1701" w:type="dxa"/>
            <w:noWrap w:val="0"/>
            <w:vAlign w:val="center"/>
          </w:tcPr>
          <w:p w14:paraId="42CD732E">
            <w:pPr>
              <w:spacing w:line="360" w:lineRule="auto"/>
              <w:jc w:val="center"/>
              <w:rPr>
                <w:b/>
                <w:color w:val="auto"/>
                <w:szCs w:val="21"/>
                <w:highlight w:val="none"/>
              </w:rPr>
            </w:pPr>
            <w:r>
              <w:rPr>
                <w:rFonts w:hint="eastAsia"/>
                <w:b/>
                <w:color w:val="auto"/>
                <w:szCs w:val="21"/>
                <w:highlight w:val="none"/>
              </w:rPr>
              <w:t>单位</w:t>
            </w:r>
          </w:p>
        </w:tc>
        <w:tc>
          <w:tcPr>
            <w:tcW w:w="1134" w:type="dxa"/>
            <w:noWrap w:val="0"/>
            <w:vAlign w:val="center"/>
          </w:tcPr>
          <w:p w14:paraId="7F2FD446">
            <w:pPr>
              <w:spacing w:line="360" w:lineRule="auto"/>
              <w:jc w:val="center"/>
              <w:rPr>
                <w:b/>
                <w:color w:val="auto"/>
                <w:szCs w:val="21"/>
                <w:highlight w:val="none"/>
              </w:rPr>
            </w:pPr>
            <w:r>
              <w:rPr>
                <w:rFonts w:hint="eastAsia"/>
                <w:b/>
                <w:color w:val="auto"/>
                <w:szCs w:val="21"/>
                <w:highlight w:val="none"/>
              </w:rPr>
              <w:t>维保单价（元</w:t>
            </w:r>
            <w:r>
              <w:rPr>
                <w:rFonts w:hint="eastAsia"/>
                <w:color w:val="auto"/>
                <w:szCs w:val="21"/>
                <w:highlight w:val="none"/>
              </w:rPr>
              <w:t>）</w:t>
            </w:r>
          </w:p>
        </w:tc>
        <w:tc>
          <w:tcPr>
            <w:tcW w:w="1842" w:type="dxa"/>
            <w:noWrap w:val="0"/>
            <w:vAlign w:val="center"/>
          </w:tcPr>
          <w:p w14:paraId="6CE32F5B">
            <w:pPr>
              <w:spacing w:line="360" w:lineRule="auto"/>
              <w:jc w:val="center"/>
              <w:rPr>
                <w:rFonts w:hint="eastAsia"/>
                <w:b/>
                <w:color w:val="auto"/>
                <w:szCs w:val="21"/>
                <w:highlight w:val="none"/>
              </w:rPr>
            </w:pPr>
            <w:r>
              <w:rPr>
                <w:rFonts w:hint="eastAsia"/>
                <w:b/>
                <w:color w:val="auto"/>
                <w:szCs w:val="21"/>
                <w:highlight w:val="none"/>
              </w:rPr>
              <w:t>维保年限</w:t>
            </w:r>
          </w:p>
        </w:tc>
      </w:tr>
      <w:tr w14:paraId="424B4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77" w:type="dxa"/>
            <w:noWrap w:val="0"/>
            <w:vAlign w:val="top"/>
          </w:tcPr>
          <w:p w14:paraId="3944DAFF">
            <w:pPr>
              <w:spacing w:line="360" w:lineRule="auto"/>
              <w:jc w:val="center"/>
              <w:rPr>
                <w:color w:val="auto"/>
                <w:szCs w:val="21"/>
                <w:highlight w:val="none"/>
              </w:rPr>
            </w:pPr>
          </w:p>
        </w:tc>
        <w:tc>
          <w:tcPr>
            <w:tcW w:w="1984" w:type="dxa"/>
            <w:noWrap w:val="0"/>
            <w:vAlign w:val="top"/>
          </w:tcPr>
          <w:p w14:paraId="403FC1D3">
            <w:pPr>
              <w:spacing w:line="360" w:lineRule="auto"/>
              <w:jc w:val="center"/>
              <w:rPr>
                <w:color w:val="auto"/>
                <w:szCs w:val="21"/>
                <w:highlight w:val="none"/>
              </w:rPr>
            </w:pPr>
          </w:p>
        </w:tc>
        <w:tc>
          <w:tcPr>
            <w:tcW w:w="992" w:type="dxa"/>
            <w:noWrap w:val="0"/>
            <w:vAlign w:val="top"/>
          </w:tcPr>
          <w:p w14:paraId="4B20E9CB">
            <w:pPr>
              <w:spacing w:line="360" w:lineRule="auto"/>
              <w:jc w:val="both"/>
              <w:rPr>
                <w:rFonts w:hint="eastAsia"/>
                <w:color w:val="auto"/>
                <w:szCs w:val="21"/>
                <w:highlight w:val="none"/>
              </w:rPr>
            </w:pPr>
          </w:p>
        </w:tc>
        <w:tc>
          <w:tcPr>
            <w:tcW w:w="993" w:type="dxa"/>
            <w:noWrap w:val="0"/>
            <w:vAlign w:val="top"/>
          </w:tcPr>
          <w:p w14:paraId="372B6AA4">
            <w:pPr>
              <w:spacing w:line="360" w:lineRule="auto"/>
              <w:ind w:firstLine="210" w:firstLineChars="100"/>
              <w:jc w:val="center"/>
              <w:rPr>
                <w:rFonts w:hint="eastAsia"/>
                <w:color w:val="auto"/>
                <w:szCs w:val="21"/>
                <w:highlight w:val="none"/>
              </w:rPr>
            </w:pPr>
          </w:p>
        </w:tc>
        <w:tc>
          <w:tcPr>
            <w:tcW w:w="1701" w:type="dxa"/>
            <w:noWrap w:val="0"/>
            <w:vAlign w:val="top"/>
          </w:tcPr>
          <w:p w14:paraId="31791FAA">
            <w:pPr>
              <w:spacing w:line="360" w:lineRule="auto"/>
              <w:jc w:val="center"/>
              <w:rPr>
                <w:color w:val="auto"/>
                <w:szCs w:val="21"/>
                <w:highlight w:val="none"/>
              </w:rPr>
            </w:pPr>
          </w:p>
        </w:tc>
        <w:tc>
          <w:tcPr>
            <w:tcW w:w="1134" w:type="dxa"/>
            <w:noWrap w:val="0"/>
            <w:vAlign w:val="top"/>
          </w:tcPr>
          <w:p w14:paraId="5B4809FF">
            <w:pPr>
              <w:spacing w:line="360" w:lineRule="auto"/>
              <w:jc w:val="center"/>
              <w:rPr>
                <w:rFonts w:hint="eastAsia"/>
                <w:color w:val="auto"/>
                <w:szCs w:val="21"/>
                <w:highlight w:val="none"/>
              </w:rPr>
            </w:pPr>
          </w:p>
        </w:tc>
        <w:tc>
          <w:tcPr>
            <w:tcW w:w="1842" w:type="dxa"/>
            <w:noWrap w:val="0"/>
            <w:vAlign w:val="top"/>
          </w:tcPr>
          <w:p w14:paraId="2500A8B9">
            <w:pPr>
              <w:spacing w:line="360" w:lineRule="auto"/>
              <w:jc w:val="center"/>
              <w:rPr>
                <w:color w:val="auto"/>
                <w:szCs w:val="21"/>
                <w:highlight w:val="none"/>
              </w:rPr>
            </w:pPr>
          </w:p>
        </w:tc>
      </w:tr>
      <w:tr w14:paraId="127B8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923" w:type="dxa"/>
            <w:gridSpan w:val="7"/>
            <w:noWrap w:val="0"/>
            <w:vAlign w:val="center"/>
          </w:tcPr>
          <w:p w14:paraId="4D59185D">
            <w:pPr>
              <w:spacing w:line="360" w:lineRule="auto"/>
              <w:ind w:firstLine="422"/>
              <w:rPr>
                <w:b/>
                <w:color w:val="auto"/>
                <w:szCs w:val="21"/>
                <w:highlight w:val="none"/>
              </w:rPr>
            </w:pPr>
            <w:r>
              <w:rPr>
                <w:rFonts w:hint="eastAsia"/>
                <w:b/>
                <w:color w:val="auto"/>
                <w:szCs w:val="21"/>
                <w:highlight w:val="none"/>
              </w:rPr>
              <w:t>合计（大写）：（人民币）</w:t>
            </w:r>
            <w:r>
              <w:rPr>
                <w:b/>
                <w:color w:val="auto"/>
                <w:szCs w:val="21"/>
                <w:highlight w:val="none"/>
              </w:rPr>
              <w:t xml:space="preserve">              </w:t>
            </w:r>
            <w:r>
              <w:rPr>
                <w:rFonts w:hint="eastAsia"/>
                <w:b/>
                <w:color w:val="auto"/>
                <w:szCs w:val="21"/>
                <w:highlight w:val="none"/>
              </w:rPr>
              <w:t>小写：￥</w:t>
            </w:r>
            <w:r>
              <w:rPr>
                <w:rFonts w:hint="eastAsia"/>
                <w:b/>
                <w:color w:val="auto"/>
                <w:szCs w:val="21"/>
                <w:highlight w:val="none"/>
                <w:lang w:val="en-US" w:eastAsia="zh-CN"/>
              </w:rPr>
              <w:t xml:space="preserve">              </w:t>
            </w:r>
            <w:r>
              <w:rPr>
                <w:rFonts w:hint="eastAsia"/>
                <w:b/>
                <w:color w:val="auto"/>
                <w:szCs w:val="21"/>
                <w:highlight w:val="none"/>
              </w:rPr>
              <w:t>元</w:t>
            </w:r>
          </w:p>
          <w:p w14:paraId="67D53F42">
            <w:pPr>
              <w:spacing w:line="360" w:lineRule="auto"/>
              <w:ind w:firstLine="422" w:firstLineChars="0"/>
              <w:rPr>
                <w:b/>
                <w:color w:val="auto"/>
                <w:szCs w:val="21"/>
                <w:highlight w:val="none"/>
              </w:rPr>
            </w:pPr>
            <w:r>
              <w:rPr>
                <w:rFonts w:hint="eastAsia"/>
                <w:b/>
                <w:color w:val="auto"/>
                <w:szCs w:val="21"/>
                <w:highlight w:val="none"/>
              </w:rPr>
              <w:t xml:space="preserve">本价格包含运输、包装、安装、人工以及税费等全部费用，甲方无须支付其他任何费用。 </w:t>
            </w:r>
          </w:p>
        </w:tc>
      </w:tr>
      <w:tr w14:paraId="5EC9D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7" w:type="dxa"/>
            <w:noWrap w:val="0"/>
            <w:vAlign w:val="center"/>
          </w:tcPr>
          <w:p w14:paraId="31A03117">
            <w:pPr>
              <w:spacing w:line="360" w:lineRule="auto"/>
              <w:jc w:val="center"/>
              <w:rPr>
                <w:rFonts w:hint="eastAsia"/>
                <w:b/>
                <w:color w:val="auto"/>
                <w:szCs w:val="21"/>
                <w:highlight w:val="none"/>
              </w:rPr>
            </w:pPr>
            <w:r>
              <w:rPr>
                <w:rFonts w:hint="eastAsia"/>
                <w:b/>
                <w:color w:val="auto"/>
                <w:szCs w:val="21"/>
                <w:highlight w:val="none"/>
              </w:rPr>
              <w:t>使用科室</w:t>
            </w:r>
          </w:p>
        </w:tc>
        <w:tc>
          <w:tcPr>
            <w:tcW w:w="8646" w:type="dxa"/>
            <w:gridSpan w:val="6"/>
            <w:noWrap w:val="0"/>
            <w:vAlign w:val="center"/>
          </w:tcPr>
          <w:p w14:paraId="371E00F8">
            <w:pPr>
              <w:spacing w:line="360" w:lineRule="auto"/>
              <w:rPr>
                <w:rFonts w:hint="eastAsia"/>
                <w:b/>
                <w:color w:val="auto"/>
                <w:szCs w:val="21"/>
                <w:highlight w:val="none"/>
              </w:rPr>
            </w:pPr>
          </w:p>
        </w:tc>
      </w:tr>
    </w:tbl>
    <w:p w14:paraId="632DF1BB">
      <w:pPr>
        <w:spacing w:line="360" w:lineRule="auto"/>
        <w:rPr>
          <w:rFonts w:hAnsi="宋体"/>
          <w:color w:val="auto"/>
          <w:highlight w:val="none"/>
        </w:rPr>
      </w:pPr>
      <w:r>
        <w:rPr>
          <w:rFonts w:hint="eastAsia" w:hAnsi="宋体"/>
          <w:color w:val="auto"/>
          <w:highlight w:val="none"/>
        </w:rPr>
        <w:t>三、付款方式</w:t>
      </w:r>
    </w:p>
    <w:p w14:paraId="7447F762">
      <w:pPr>
        <w:spacing w:line="360" w:lineRule="auto"/>
        <w:ind w:firstLine="420" w:firstLineChars="200"/>
        <w:rPr>
          <w:rFonts w:hAnsi="宋体"/>
          <w:color w:val="auto"/>
          <w:highlight w:val="none"/>
        </w:rPr>
      </w:pPr>
      <w:bookmarkStart w:id="91" w:name="_Hlk184061930"/>
      <w:r>
        <w:rPr>
          <w:rFonts w:hint="eastAsia"/>
          <w:color w:val="auto"/>
          <w:szCs w:val="21"/>
          <w:highlight w:val="none"/>
        </w:rPr>
        <w:t>1、</w:t>
      </w:r>
      <w:r>
        <w:rPr>
          <w:rFonts w:hint="eastAsia" w:hAnsi="宋体"/>
          <w:color w:val="auto"/>
          <w:highlight w:val="none"/>
          <w:lang w:val="en-US" w:eastAsia="zh-CN"/>
        </w:rPr>
        <w:t>甲方对乙方实行年度考核，每年度得分在90分及以上全额支付当期保修款，具体考核方案见《医疗设备保修服务考核表》，达到考核要求，</w:t>
      </w:r>
      <w:r>
        <w:rPr>
          <w:rFonts w:hint="eastAsia" w:hAnsi="宋体"/>
          <w:color w:val="auto"/>
          <w:highlight w:val="none"/>
        </w:rPr>
        <w:t>按约定时间付款，乙方须在约定时间前一个月开具合法有效的发票并经由甲方临床医学工程处工程师和使用科室签字确认，如果乙方未提供合法有效的发票，则甲方有权拒绝支付该部分费用，因此产生的一切损失由乙方自行承担。</w:t>
      </w:r>
    </w:p>
    <w:bookmarkEnd w:id="91"/>
    <w:p w14:paraId="3D708196">
      <w:pPr>
        <w:spacing w:line="360" w:lineRule="auto"/>
        <w:ind w:firstLine="420" w:firstLineChars="200"/>
        <w:rPr>
          <w:rFonts w:hAnsi="宋体"/>
          <w:color w:val="auto"/>
          <w:highlight w:val="none"/>
        </w:rPr>
      </w:pPr>
      <w:r>
        <w:rPr>
          <w:rFonts w:hint="eastAsia" w:hAnsi="宋体"/>
          <w:color w:val="auto"/>
          <w:highlight w:val="none"/>
        </w:rPr>
        <w:t>2、付款时间表：</w:t>
      </w:r>
    </w:p>
    <w:p w14:paraId="6F8DC44C">
      <w:pPr>
        <w:pStyle w:val="34"/>
        <w:ind w:firstLineChars="200"/>
        <w:rPr>
          <w:rFonts w:hint="eastAsia"/>
          <w:color w:val="auto"/>
          <w:highlight w:val="none"/>
        </w:rPr>
      </w:pPr>
      <w:r>
        <w:rPr>
          <w:rFonts w:hint="eastAsia" w:hAnsi="宋体"/>
          <w:color w:val="auto"/>
          <w:highlight w:val="none"/>
        </w:rPr>
        <w:t>合同为固定单价合同，合同价款不因国家税率变更而更改。</w:t>
      </w:r>
    </w:p>
    <w:p w14:paraId="5ABB3296">
      <w:pPr>
        <w:widowControl/>
        <w:adjustRightInd w:val="0"/>
        <w:snapToGrid w:val="0"/>
        <w:spacing w:line="360" w:lineRule="auto"/>
        <w:ind w:firstLine="420" w:firstLineChars="200"/>
        <w:jc w:val="left"/>
        <w:rPr>
          <w:color w:val="auto"/>
          <w:szCs w:val="21"/>
          <w:highlight w:val="none"/>
          <w:u w:val="single"/>
        </w:rPr>
      </w:pPr>
      <w:r>
        <w:rPr>
          <w:rFonts w:hint="eastAsia"/>
          <w:color w:val="auto"/>
          <w:szCs w:val="21"/>
          <w:highlight w:val="none"/>
        </w:rPr>
        <w:t>合同总价</w:t>
      </w:r>
      <w:bookmarkStart w:id="92" w:name="_Hlk184062102"/>
      <w:r>
        <w:rPr>
          <w:rFonts w:hint="eastAsia"/>
          <w:color w:val="auto"/>
          <w:szCs w:val="21"/>
          <w:highlight w:val="none"/>
        </w:rPr>
        <w:t>（人民币）</w:t>
      </w:r>
      <w:r>
        <w:rPr>
          <w:color w:val="auto"/>
          <w:szCs w:val="21"/>
          <w:highlight w:val="none"/>
          <w:u w:val="single"/>
        </w:rPr>
        <w:t xml:space="preserve">            </w:t>
      </w:r>
      <w:r>
        <w:rPr>
          <w:rFonts w:hint="eastAsia"/>
          <w:color w:val="auto"/>
          <w:szCs w:val="21"/>
          <w:highlight w:val="none"/>
          <w:u w:val="single"/>
        </w:rPr>
        <w:t xml:space="preserve">（大写：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元整）</w:t>
      </w:r>
    </w:p>
    <w:bookmarkEnd w:id="92"/>
    <w:p w14:paraId="4D68EC36">
      <w:pPr>
        <w:pStyle w:val="34"/>
        <w:ind w:firstLineChars="200"/>
        <w:rPr>
          <w:color w:val="auto"/>
          <w:highlight w:val="none"/>
        </w:rPr>
      </w:pPr>
      <w:r>
        <w:rPr>
          <w:rFonts w:hint="eastAsia"/>
          <w:color w:val="auto"/>
          <w:highlight w:val="none"/>
        </w:rPr>
        <w:t>第壹</w:t>
      </w:r>
      <w:bookmarkStart w:id="93" w:name="_Hlk184059117"/>
      <w:r>
        <w:rPr>
          <w:rFonts w:hint="eastAsia"/>
          <w:color w:val="auto"/>
          <w:highlight w:val="none"/>
        </w:rPr>
        <w:t>期</w:t>
      </w:r>
      <w:bookmarkEnd w:id="93"/>
      <w:r>
        <w:rPr>
          <w:rFonts w:hint="eastAsia"/>
          <w:color w:val="auto"/>
          <w:highlight w:val="none"/>
        </w:rPr>
        <w:t>付款时间节点：2</w:t>
      </w:r>
      <w:r>
        <w:rPr>
          <w:color w:val="auto"/>
          <w:highlight w:val="none"/>
        </w:rPr>
        <w:t xml:space="preserve">02   </w:t>
      </w:r>
      <w:r>
        <w:rPr>
          <w:rFonts w:hint="eastAsia"/>
          <w:color w:val="auto"/>
          <w:highlight w:val="none"/>
        </w:rPr>
        <w:t>年</w:t>
      </w:r>
      <w:r>
        <w:rPr>
          <w:color w:val="auto"/>
          <w:highlight w:val="none"/>
        </w:rPr>
        <w:t xml:space="preserve">   </w:t>
      </w:r>
      <w:r>
        <w:rPr>
          <w:rFonts w:hint="eastAsia"/>
          <w:color w:val="auto"/>
          <w:highlight w:val="none"/>
        </w:rPr>
        <w:t>月</w:t>
      </w:r>
      <w:r>
        <w:rPr>
          <w:color w:val="auto"/>
          <w:highlight w:val="none"/>
        </w:rPr>
        <w:t xml:space="preserve">  </w:t>
      </w:r>
      <w:r>
        <w:rPr>
          <w:rFonts w:hint="eastAsia"/>
          <w:color w:val="auto"/>
          <w:highlight w:val="none"/>
        </w:rPr>
        <w:t>日付清人民币</w:t>
      </w:r>
      <w:r>
        <w:rPr>
          <w:color w:val="auto"/>
          <w:highlight w:val="none"/>
        </w:rPr>
        <w:t xml:space="preserve">          </w:t>
      </w:r>
      <w:r>
        <w:rPr>
          <w:rFonts w:hint="eastAsia"/>
          <w:color w:val="auto"/>
          <w:highlight w:val="none"/>
        </w:rPr>
        <w:t xml:space="preserve">元（ </w:t>
      </w:r>
      <w:r>
        <w:rPr>
          <w:color w:val="auto"/>
          <w:highlight w:val="none"/>
        </w:rPr>
        <w:t xml:space="preserve">  </w:t>
      </w:r>
      <w:r>
        <w:rPr>
          <w:rFonts w:hint="eastAsia"/>
          <w:color w:val="auto"/>
          <w:highlight w:val="none"/>
        </w:rPr>
        <w:t>元整）</w:t>
      </w:r>
    </w:p>
    <w:p w14:paraId="4FE3999D">
      <w:pPr>
        <w:pStyle w:val="34"/>
        <w:ind w:firstLineChars="200"/>
        <w:rPr>
          <w:color w:val="auto"/>
          <w:highlight w:val="none"/>
        </w:rPr>
      </w:pPr>
      <w:r>
        <w:rPr>
          <w:rFonts w:hint="eastAsia"/>
          <w:color w:val="auto"/>
          <w:highlight w:val="none"/>
        </w:rPr>
        <w:t>第贰期付款时间节点：2</w:t>
      </w:r>
      <w:r>
        <w:rPr>
          <w:color w:val="auto"/>
          <w:highlight w:val="none"/>
        </w:rPr>
        <w:t xml:space="preserve">02   </w:t>
      </w:r>
      <w:r>
        <w:rPr>
          <w:rFonts w:hint="eastAsia"/>
          <w:color w:val="auto"/>
          <w:highlight w:val="none"/>
        </w:rPr>
        <w:t>年</w:t>
      </w:r>
      <w:r>
        <w:rPr>
          <w:color w:val="auto"/>
          <w:highlight w:val="none"/>
        </w:rPr>
        <w:t xml:space="preserve">   </w:t>
      </w:r>
      <w:r>
        <w:rPr>
          <w:rFonts w:hint="eastAsia"/>
          <w:color w:val="auto"/>
          <w:highlight w:val="none"/>
        </w:rPr>
        <w:t xml:space="preserve">月 </w:t>
      </w:r>
      <w:r>
        <w:rPr>
          <w:color w:val="auto"/>
          <w:highlight w:val="none"/>
        </w:rPr>
        <w:t xml:space="preserve"> </w:t>
      </w:r>
      <w:r>
        <w:rPr>
          <w:rFonts w:hint="eastAsia"/>
          <w:color w:val="auto"/>
          <w:highlight w:val="none"/>
        </w:rPr>
        <w:t>日付清人民币</w:t>
      </w:r>
      <w:r>
        <w:rPr>
          <w:color w:val="auto"/>
          <w:highlight w:val="none"/>
        </w:rPr>
        <w:t xml:space="preserve">          </w:t>
      </w:r>
      <w:r>
        <w:rPr>
          <w:rFonts w:hint="eastAsia"/>
          <w:color w:val="auto"/>
          <w:highlight w:val="none"/>
        </w:rPr>
        <w:t xml:space="preserve">元（ </w:t>
      </w:r>
      <w:r>
        <w:rPr>
          <w:color w:val="auto"/>
          <w:highlight w:val="none"/>
        </w:rPr>
        <w:t xml:space="preserve">  </w:t>
      </w:r>
      <w:r>
        <w:rPr>
          <w:rFonts w:hint="eastAsia"/>
          <w:color w:val="auto"/>
          <w:highlight w:val="none"/>
        </w:rPr>
        <w:t>元整）</w:t>
      </w:r>
    </w:p>
    <w:p w14:paraId="335063E4">
      <w:pPr>
        <w:pStyle w:val="34"/>
        <w:ind w:firstLineChars="200"/>
        <w:rPr>
          <w:color w:val="auto"/>
          <w:highlight w:val="none"/>
        </w:rPr>
      </w:pPr>
      <w:r>
        <w:rPr>
          <w:rFonts w:hint="eastAsia"/>
          <w:color w:val="auto"/>
          <w:highlight w:val="none"/>
        </w:rPr>
        <w:t>第叁期付款时间节点：2</w:t>
      </w:r>
      <w:r>
        <w:rPr>
          <w:color w:val="auto"/>
          <w:highlight w:val="none"/>
        </w:rPr>
        <w:t xml:space="preserve">02   </w:t>
      </w:r>
      <w:r>
        <w:rPr>
          <w:rFonts w:hint="eastAsia"/>
          <w:color w:val="auto"/>
          <w:highlight w:val="none"/>
        </w:rPr>
        <w:t xml:space="preserve">年 </w:t>
      </w:r>
      <w:r>
        <w:rPr>
          <w:color w:val="auto"/>
          <w:highlight w:val="none"/>
        </w:rPr>
        <w:t xml:space="preserve">  </w:t>
      </w:r>
      <w:r>
        <w:rPr>
          <w:rFonts w:hint="eastAsia"/>
          <w:color w:val="auto"/>
          <w:highlight w:val="none"/>
        </w:rPr>
        <w:t xml:space="preserve">月 </w:t>
      </w:r>
      <w:r>
        <w:rPr>
          <w:color w:val="auto"/>
          <w:highlight w:val="none"/>
        </w:rPr>
        <w:t xml:space="preserve"> </w:t>
      </w:r>
      <w:r>
        <w:rPr>
          <w:rFonts w:hint="eastAsia"/>
          <w:color w:val="auto"/>
          <w:highlight w:val="none"/>
        </w:rPr>
        <w:t>日付清人民币</w:t>
      </w:r>
      <w:r>
        <w:rPr>
          <w:color w:val="auto"/>
          <w:highlight w:val="none"/>
        </w:rPr>
        <w:t xml:space="preserve">          </w:t>
      </w:r>
      <w:r>
        <w:rPr>
          <w:rFonts w:hint="eastAsia"/>
          <w:color w:val="auto"/>
          <w:highlight w:val="none"/>
        </w:rPr>
        <w:t xml:space="preserve">元（ </w:t>
      </w:r>
      <w:r>
        <w:rPr>
          <w:color w:val="auto"/>
          <w:highlight w:val="none"/>
        </w:rPr>
        <w:t xml:space="preserve">  </w:t>
      </w:r>
      <w:r>
        <w:rPr>
          <w:rFonts w:hint="eastAsia"/>
          <w:color w:val="auto"/>
          <w:highlight w:val="none"/>
        </w:rPr>
        <w:t>元整）</w:t>
      </w:r>
    </w:p>
    <w:p w14:paraId="301C7810">
      <w:pPr>
        <w:pStyle w:val="34"/>
        <w:ind w:firstLineChars="200"/>
        <w:rPr>
          <w:rFonts w:hint="default" w:eastAsia="宋体"/>
          <w:color w:val="auto"/>
          <w:highlight w:val="none"/>
          <w:lang w:val="en-US" w:eastAsia="zh-CN"/>
        </w:rPr>
      </w:pPr>
      <w:bookmarkStart w:id="94" w:name="_Hlk184062969"/>
      <w:r>
        <w:rPr>
          <w:rFonts w:hint="eastAsia"/>
          <w:color w:val="auto"/>
          <w:highlight w:val="none"/>
          <w:lang w:val="en-US" w:eastAsia="zh-CN"/>
        </w:rPr>
        <w:t>乙方户名：</w:t>
      </w:r>
      <w:r>
        <w:rPr>
          <w:rFonts w:hint="eastAsia"/>
          <w:color w:val="auto"/>
          <w:highlight w:val="none"/>
          <w:u w:val="single"/>
        </w:rPr>
        <w:t xml:space="preserve"> </w:t>
      </w:r>
      <w:r>
        <w:rPr>
          <w:color w:val="auto"/>
          <w:highlight w:val="none"/>
          <w:u w:val="single"/>
        </w:rPr>
        <w:t xml:space="preserve">                                  </w:t>
      </w:r>
    </w:p>
    <w:p w14:paraId="47203824">
      <w:pPr>
        <w:pStyle w:val="34"/>
        <w:ind w:firstLineChars="200"/>
        <w:rPr>
          <w:color w:val="auto"/>
          <w:highlight w:val="none"/>
        </w:rPr>
      </w:pPr>
      <w:r>
        <w:rPr>
          <w:rFonts w:hint="eastAsia"/>
          <w:color w:val="auto"/>
          <w:highlight w:val="none"/>
        </w:rPr>
        <w:t>乙方</w:t>
      </w:r>
      <w:r>
        <w:rPr>
          <w:rFonts w:hint="eastAsia"/>
          <w:color w:val="auto"/>
          <w:highlight w:val="none"/>
          <w:lang w:val="en-US" w:eastAsia="zh-CN"/>
        </w:rPr>
        <w:t>开户行</w:t>
      </w:r>
      <w:r>
        <w:rPr>
          <w:rFonts w:hint="eastAsia"/>
          <w:color w:val="auto"/>
          <w:highlight w:val="none"/>
        </w:rPr>
        <w:t>：</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p>
    <w:p w14:paraId="7F594C2C">
      <w:pPr>
        <w:pStyle w:val="34"/>
        <w:ind w:firstLineChars="200"/>
        <w:rPr>
          <w:rFonts w:hint="eastAsia"/>
          <w:color w:val="auto"/>
          <w:highlight w:val="none"/>
        </w:rPr>
      </w:pPr>
      <w:r>
        <w:rPr>
          <w:rFonts w:hint="eastAsia"/>
          <w:color w:val="auto"/>
          <w:highlight w:val="none"/>
        </w:rPr>
        <w:t>乙方账号：</w:t>
      </w:r>
      <w:r>
        <w:rPr>
          <w:rFonts w:hint="eastAsia"/>
          <w:color w:val="auto"/>
          <w:highlight w:val="none"/>
          <w:u w:val="single"/>
        </w:rPr>
        <w:t xml:space="preserve"> </w:t>
      </w:r>
      <w:r>
        <w:rPr>
          <w:color w:val="auto"/>
          <w:highlight w:val="none"/>
          <w:u w:val="single"/>
        </w:rPr>
        <w:t xml:space="preserve">                                  </w:t>
      </w:r>
      <w:r>
        <w:rPr>
          <w:color w:val="auto"/>
          <w:highlight w:val="none"/>
        </w:rPr>
        <w:t xml:space="preserve">   </w:t>
      </w:r>
      <w:bookmarkEnd w:id="94"/>
      <w:r>
        <w:rPr>
          <w:color w:val="auto"/>
          <w:highlight w:val="none"/>
        </w:rPr>
        <w:t xml:space="preserve"> </w:t>
      </w:r>
    </w:p>
    <w:p w14:paraId="2DA2FCA3">
      <w:pPr>
        <w:spacing w:line="360" w:lineRule="auto"/>
        <w:rPr>
          <w:rFonts w:hAnsi="宋体"/>
          <w:color w:val="auto"/>
          <w:highlight w:val="none"/>
        </w:rPr>
      </w:pPr>
      <w:bookmarkStart w:id="95" w:name="_Hlk184061519"/>
      <w:r>
        <w:rPr>
          <w:rFonts w:hint="eastAsia" w:hAnsi="宋体"/>
          <w:color w:val="auto"/>
          <w:highlight w:val="none"/>
        </w:rPr>
        <w:t>四、甲方权利义务</w:t>
      </w:r>
    </w:p>
    <w:p w14:paraId="2EC64517">
      <w:pPr>
        <w:spacing w:line="360" w:lineRule="auto"/>
        <w:ind w:firstLine="420" w:firstLineChars="200"/>
        <w:rPr>
          <w:rFonts w:hAnsi="宋体"/>
          <w:color w:val="auto"/>
          <w:highlight w:val="none"/>
        </w:rPr>
      </w:pPr>
      <w:r>
        <w:rPr>
          <w:rFonts w:hint="eastAsia"/>
          <w:color w:val="auto"/>
          <w:szCs w:val="21"/>
          <w:highlight w:val="none"/>
        </w:rPr>
        <w:t>1、</w:t>
      </w:r>
      <w:r>
        <w:rPr>
          <w:rFonts w:hint="eastAsia" w:hAnsi="宋体"/>
          <w:color w:val="auto"/>
          <w:highlight w:val="none"/>
        </w:rPr>
        <w:t>甲方应保证电源质量稳定可靠，并对设备进行日常清洁保养和基本维护工作，做好故障记录。</w:t>
      </w:r>
    </w:p>
    <w:p w14:paraId="636EE2BC">
      <w:pPr>
        <w:spacing w:line="360" w:lineRule="auto"/>
        <w:ind w:firstLine="420" w:firstLineChars="200"/>
        <w:rPr>
          <w:rFonts w:hAnsi="宋体"/>
          <w:color w:val="auto"/>
          <w:highlight w:val="none"/>
        </w:rPr>
      </w:pPr>
      <w:r>
        <w:rPr>
          <w:rFonts w:hint="eastAsia" w:hAnsi="宋体"/>
          <w:color w:val="auto"/>
          <w:highlight w:val="none"/>
        </w:rPr>
        <w:t>2、甲方应按设备使用手册的要求正确操作设备，保证设备的电、气和水的正常供应，同时保证设备开启关闭时的环境处于正常状态。</w:t>
      </w:r>
    </w:p>
    <w:p w14:paraId="139BD136">
      <w:pPr>
        <w:spacing w:line="360" w:lineRule="auto"/>
        <w:ind w:firstLine="420" w:firstLineChars="200"/>
        <w:rPr>
          <w:rFonts w:hAnsi="宋体"/>
          <w:color w:val="auto"/>
          <w:highlight w:val="none"/>
        </w:rPr>
      </w:pPr>
      <w:r>
        <w:rPr>
          <w:rFonts w:hint="eastAsia" w:hAnsi="宋体"/>
          <w:color w:val="auto"/>
          <w:highlight w:val="none"/>
        </w:rPr>
        <w:t>3、甲方应按合同约定的方式和时间向乙方支付维保服务费用。</w:t>
      </w:r>
    </w:p>
    <w:bookmarkEnd w:id="95"/>
    <w:p w14:paraId="2B5E6EDB">
      <w:pPr>
        <w:spacing w:line="360" w:lineRule="auto"/>
        <w:rPr>
          <w:rFonts w:hAnsi="宋体"/>
          <w:color w:val="auto"/>
          <w:highlight w:val="none"/>
        </w:rPr>
      </w:pPr>
      <w:bookmarkStart w:id="96" w:name="_Hlk184061548"/>
      <w:r>
        <w:rPr>
          <w:rFonts w:hint="eastAsia" w:hAnsi="宋体"/>
          <w:color w:val="auto"/>
          <w:highlight w:val="none"/>
        </w:rPr>
        <w:t>五、乙方权利义务</w:t>
      </w:r>
    </w:p>
    <w:bookmarkEnd w:id="96"/>
    <w:p w14:paraId="5C3DC654">
      <w:pPr>
        <w:spacing w:line="360" w:lineRule="auto"/>
        <w:ind w:firstLine="420" w:firstLineChars="200"/>
        <w:rPr>
          <w:rFonts w:hAnsi="宋体"/>
          <w:color w:val="auto"/>
          <w:highlight w:val="none"/>
        </w:rPr>
      </w:pPr>
      <w:r>
        <w:rPr>
          <w:rFonts w:hint="eastAsia"/>
          <w:color w:val="auto"/>
          <w:szCs w:val="21"/>
          <w:highlight w:val="none"/>
        </w:rPr>
        <w:t>1、</w:t>
      </w:r>
      <w:r>
        <w:rPr>
          <w:rFonts w:hint="eastAsia" w:hAnsi="宋体"/>
          <w:color w:val="auto"/>
          <w:highlight w:val="none"/>
        </w:rPr>
        <w:t>服务时间：7×24小时。</w:t>
      </w:r>
    </w:p>
    <w:p w14:paraId="3B0D3703">
      <w:pPr>
        <w:spacing w:line="360" w:lineRule="auto"/>
        <w:ind w:firstLine="420" w:firstLineChars="200"/>
        <w:rPr>
          <w:rFonts w:hAnsi="宋体"/>
          <w:color w:val="auto"/>
          <w:highlight w:val="none"/>
        </w:rPr>
      </w:pPr>
      <w:r>
        <w:rPr>
          <w:rFonts w:hint="eastAsia" w:hAnsi="宋体"/>
          <w:color w:val="auto"/>
          <w:highlight w:val="none"/>
        </w:rPr>
        <w:t>2、为保证甲方设备的正常运行，乙方根据设备运行情况提供每年</w:t>
      </w:r>
      <w:r>
        <w:rPr>
          <w:rFonts w:hAnsi="宋体"/>
          <w:b/>
          <w:bCs/>
          <w:color w:val="auto"/>
          <w:highlight w:val="none"/>
          <w:u w:val="single"/>
        </w:rPr>
        <w:t>XX</w:t>
      </w:r>
      <w:r>
        <w:rPr>
          <w:rFonts w:hint="eastAsia" w:hAnsi="宋体"/>
          <w:color w:val="auto"/>
          <w:highlight w:val="none"/>
        </w:rPr>
        <w:t>次定期预防性保养，由原厂工程师或原厂认证合格的工程师根据标准操作流程和测试程序完成。</w:t>
      </w:r>
      <w:bookmarkStart w:id="97" w:name="_Hlk100650363"/>
      <w:r>
        <w:rPr>
          <w:rFonts w:hint="eastAsia" w:hAnsi="宋体"/>
          <w:color w:val="auto"/>
          <w:highlight w:val="none"/>
        </w:rPr>
        <w:t>保修期结束前一个月内，乙方通知甲方并安排最后一次预防性保养。</w:t>
      </w:r>
      <w:bookmarkEnd w:id="97"/>
      <w:r>
        <w:rPr>
          <w:rFonts w:hint="eastAsia" w:hAnsi="宋体"/>
          <w:color w:val="auto"/>
          <w:highlight w:val="none"/>
        </w:rPr>
        <w:t>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p>
    <w:p w14:paraId="0E0622E8">
      <w:pPr>
        <w:spacing w:line="470" w:lineRule="exact"/>
        <w:ind w:firstLine="420" w:firstLineChars="200"/>
        <w:rPr>
          <w:rFonts w:hAnsi="宋体"/>
          <w:color w:val="auto"/>
          <w:highlight w:val="none"/>
        </w:rPr>
      </w:pPr>
      <w:r>
        <w:rPr>
          <w:rFonts w:hint="eastAsia" w:hAnsi="宋体"/>
          <w:color w:val="auto"/>
          <w:highlight w:val="none"/>
        </w:rPr>
        <w:t>3、如设备发生故障，乙方在接到甲方报修电话后</w:t>
      </w:r>
      <w:r>
        <w:rPr>
          <w:rFonts w:hAnsi="宋体"/>
          <w:color w:val="auto"/>
          <w:highlight w:val="none"/>
        </w:rPr>
        <w:t>1</w:t>
      </w:r>
      <w:r>
        <w:rPr>
          <w:rFonts w:hint="eastAsia" w:hAnsi="宋体"/>
          <w:color w:val="auto"/>
          <w:highlight w:val="none"/>
        </w:rPr>
        <w:t>小时之内响应，</w:t>
      </w:r>
      <w:r>
        <w:rPr>
          <w:rFonts w:hAnsi="宋体"/>
          <w:color w:val="auto"/>
          <w:highlight w:val="none"/>
        </w:rPr>
        <w:t>3</w:t>
      </w:r>
      <w:r>
        <w:rPr>
          <w:rFonts w:hint="eastAsia" w:hAnsi="宋体"/>
          <w:color w:val="auto"/>
          <w:highlight w:val="none"/>
        </w:rPr>
        <w:t>小时内到达甲方现场（若本地无维修站点，2</w:t>
      </w:r>
      <w:r>
        <w:rPr>
          <w:rFonts w:hAnsi="宋体"/>
          <w:color w:val="auto"/>
          <w:highlight w:val="none"/>
        </w:rPr>
        <w:t>4</w:t>
      </w:r>
      <w:r>
        <w:rPr>
          <w:rFonts w:hint="eastAsia" w:hAnsi="宋体"/>
          <w:color w:val="auto"/>
          <w:highlight w:val="none"/>
        </w:rPr>
        <w:t>小时内到达现场）。如若乙方在4</w:t>
      </w:r>
      <w:r>
        <w:rPr>
          <w:rFonts w:hAnsi="宋体"/>
          <w:color w:val="auto"/>
          <w:highlight w:val="none"/>
        </w:rPr>
        <w:t>8</w:t>
      </w:r>
      <w:r>
        <w:rPr>
          <w:rFonts w:hint="eastAsia" w:hAnsi="宋体"/>
          <w:color w:val="auto"/>
          <w:highlight w:val="none"/>
        </w:rPr>
        <w:t>小时内无法修复故障需为甲方免费提供备用机，否则甲方可自行采取必要的措施，由此产生的风险和费用由乙方承担。如有特殊情况，乙方应立即电话通知甲方不能响应的原因，在获得甲方同意后，才可推迟响应时间。</w:t>
      </w:r>
    </w:p>
    <w:p w14:paraId="6DF8DC2D">
      <w:pPr>
        <w:spacing w:line="360" w:lineRule="auto"/>
        <w:ind w:firstLine="420" w:firstLineChars="200"/>
        <w:rPr>
          <w:rFonts w:hAnsi="宋体"/>
          <w:color w:val="auto"/>
          <w:highlight w:val="none"/>
        </w:rPr>
      </w:pPr>
      <w:r>
        <w:rPr>
          <w:rFonts w:hAnsi="宋体"/>
          <w:color w:val="auto"/>
          <w:highlight w:val="none"/>
        </w:rPr>
        <w:t>4</w:t>
      </w:r>
      <w:r>
        <w:rPr>
          <w:rFonts w:hint="eastAsia" w:hAnsi="宋体"/>
          <w:color w:val="auto"/>
          <w:highlight w:val="none"/>
        </w:rPr>
        <w:t>、乙方在设备故障维修中，必须免费更换保修范围内的设备备件，并承担维修期间的往返费、人工费、维修所需备件的搬运费、安装调试费以及系统软件升级等一切费用。</w:t>
      </w:r>
      <w:r>
        <w:rPr>
          <w:rFonts w:hint="eastAsia" w:hAnsi="宋体"/>
          <w:color w:val="auto"/>
          <w:highlight w:val="none"/>
          <w:lang w:val="en-US" w:eastAsia="zh-CN"/>
        </w:rPr>
        <w:t>更换的设备备件</w:t>
      </w:r>
      <w:r>
        <w:rPr>
          <w:rFonts w:hint="eastAsia" w:ascii="宋体" w:hAnsi="宋体" w:eastAsia="宋体"/>
          <w:color w:val="auto"/>
          <w:szCs w:val="21"/>
          <w:highlight w:val="none"/>
        </w:rPr>
        <w:t>乙方</w:t>
      </w:r>
      <w:r>
        <w:rPr>
          <w:rFonts w:hint="eastAsia" w:ascii="宋体" w:hAnsi="宋体" w:eastAsia="宋体"/>
          <w:color w:val="auto"/>
          <w:szCs w:val="21"/>
          <w:highlight w:val="none"/>
          <w:lang w:val="en-US" w:eastAsia="zh-CN"/>
        </w:rPr>
        <w:t>应</w:t>
      </w:r>
      <w:r>
        <w:rPr>
          <w:rFonts w:hint="eastAsia" w:ascii="宋体" w:hAnsi="宋体" w:eastAsia="宋体"/>
          <w:color w:val="auto"/>
          <w:szCs w:val="21"/>
          <w:highlight w:val="none"/>
        </w:rPr>
        <w:t>提供原设备制造商认可</w:t>
      </w:r>
      <w:r>
        <w:rPr>
          <w:rFonts w:hint="eastAsia" w:ascii="宋体" w:hAnsi="宋体" w:eastAsia="宋体"/>
          <w:color w:val="auto"/>
          <w:szCs w:val="21"/>
          <w:highlight w:val="none"/>
          <w:lang w:val="en-US" w:eastAsia="zh-CN"/>
        </w:rPr>
        <w:t>并能用于原设备的相关证件</w:t>
      </w:r>
      <w:r>
        <w:rPr>
          <w:rFonts w:hint="eastAsia" w:ascii="宋体" w:hAnsi="宋体" w:eastAsia="宋体"/>
          <w:color w:val="auto"/>
          <w:szCs w:val="21"/>
          <w:highlight w:val="none"/>
        </w:rPr>
        <w:t>（进口产品需提供报关单）</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rPr>
        <w:t>如乙方无法提供原装</w:t>
      </w:r>
      <w:r>
        <w:rPr>
          <w:rFonts w:hint="eastAsia" w:ascii="宋体" w:hAnsi="宋体" w:eastAsia="宋体"/>
          <w:color w:val="auto"/>
          <w:szCs w:val="21"/>
          <w:highlight w:val="none"/>
          <w:lang w:val="en-US" w:eastAsia="zh-CN"/>
        </w:rPr>
        <w:t>备件</w:t>
      </w:r>
      <w:r>
        <w:rPr>
          <w:rFonts w:hint="eastAsia" w:ascii="宋体" w:hAnsi="宋体" w:eastAsia="宋体"/>
          <w:color w:val="auto"/>
          <w:szCs w:val="21"/>
          <w:highlight w:val="none"/>
        </w:rPr>
        <w:t>的，经甲方认可后可换用与原装</w:t>
      </w:r>
      <w:r>
        <w:rPr>
          <w:rFonts w:hint="eastAsia" w:ascii="宋体" w:hAnsi="宋体" w:eastAsia="宋体"/>
          <w:color w:val="auto"/>
          <w:szCs w:val="21"/>
          <w:highlight w:val="none"/>
          <w:lang w:val="en-US" w:eastAsia="zh-CN"/>
        </w:rPr>
        <w:t>备件</w:t>
      </w:r>
      <w:r>
        <w:rPr>
          <w:rFonts w:hint="eastAsia" w:ascii="宋体" w:hAnsi="宋体" w:eastAsia="宋体"/>
          <w:color w:val="auto"/>
          <w:szCs w:val="21"/>
          <w:highlight w:val="none"/>
        </w:rPr>
        <w:t>质量性能相当的替代</w:t>
      </w:r>
      <w:r>
        <w:rPr>
          <w:rFonts w:hint="eastAsia" w:ascii="宋体" w:hAnsi="宋体" w:eastAsia="宋体"/>
          <w:color w:val="auto"/>
          <w:szCs w:val="21"/>
          <w:highlight w:val="none"/>
          <w:lang w:val="en-US" w:eastAsia="zh-CN"/>
        </w:rPr>
        <w:t>备件</w:t>
      </w:r>
      <w:r>
        <w:rPr>
          <w:rFonts w:hint="eastAsia" w:ascii="宋体" w:hAnsi="宋体" w:eastAsia="宋体"/>
          <w:color w:val="auto"/>
          <w:szCs w:val="21"/>
          <w:highlight w:val="none"/>
        </w:rPr>
        <w:t>。</w:t>
      </w:r>
    </w:p>
    <w:p w14:paraId="2A5C9961">
      <w:pPr>
        <w:spacing w:line="360" w:lineRule="auto"/>
        <w:ind w:firstLine="420" w:firstLineChars="200"/>
        <w:rPr>
          <w:rFonts w:hAnsi="宋体"/>
          <w:color w:val="auto"/>
          <w:highlight w:val="none"/>
        </w:rPr>
      </w:pPr>
      <w:r>
        <w:rPr>
          <w:rFonts w:hint="eastAsia" w:hAnsi="宋体"/>
          <w:color w:val="auto"/>
          <w:highlight w:val="none"/>
        </w:rPr>
        <w:t>5、乙方承诺：一年内开机率保证在</w:t>
      </w:r>
      <w:r>
        <w:rPr>
          <w:rFonts w:hAnsi="宋体"/>
          <w:color w:val="auto"/>
          <w:highlight w:val="none"/>
        </w:rPr>
        <w:t>95</w:t>
      </w:r>
      <w:r>
        <w:rPr>
          <w:rFonts w:hint="eastAsia" w:hAnsi="宋体"/>
          <w:color w:val="auto"/>
          <w:highlight w:val="none"/>
        </w:rPr>
        <w:t>%</w:t>
      </w:r>
      <w:r>
        <w:rPr>
          <w:rFonts w:hint="eastAsia" w:hAnsi="宋体"/>
          <w:color w:val="auto"/>
          <w:highlight w:val="none"/>
          <w:lang w:val="en-US" w:eastAsia="zh-CN"/>
        </w:rPr>
        <w:t xml:space="preserve"> </w:t>
      </w:r>
      <w:r>
        <w:rPr>
          <w:rFonts w:hint="eastAsia" w:hAnsi="宋体"/>
          <w:color w:val="auto"/>
          <w:highlight w:val="none"/>
        </w:rPr>
        <w:t>以上（3</w:t>
      </w:r>
      <w:r>
        <w:rPr>
          <w:rFonts w:hAnsi="宋体"/>
          <w:color w:val="auto"/>
          <w:highlight w:val="none"/>
        </w:rPr>
        <w:t>65</w:t>
      </w:r>
      <w:r>
        <w:rPr>
          <w:rFonts w:hint="eastAsia" w:hAnsi="宋体"/>
          <w:color w:val="auto"/>
          <w:highlight w:val="none"/>
        </w:rPr>
        <w:t>天），停机时间不超过</w:t>
      </w:r>
      <w:r>
        <w:rPr>
          <w:rFonts w:hAnsi="宋体"/>
          <w:color w:val="auto"/>
          <w:highlight w:val="none"/>
        </w:rPr>
        <w:t>18</w:t>
      </w:r>
      <w:r>
        <w:rPr>
          <w:rFonts w:hint="eastAsia" w:hAnsi="宋体"/>
          <w:color w:val="auto"/>
          <w:highlight w:val="none"/>
        </w:rPr>
        <w:t>天，停机每超过1天，维保合同期顺延</w:t>
      </w:r>
      <w:r>
        <w:rPr>
          <w:rFonts w:hint="eastAsia" w:hAnsi="宋体"/>
          <w:b/>
          <w:bCs/>
          <w:color w:val="auto"/>
          <w:highlight w:val="none"/>
          <w:lang w:val="en-US" w:eastAsia="zh-CN"/>
        </w:rPr>
        <w:t>3</w:t>
      </w:r>
      <w:r>
        <w:rPr>
          <w:rFonts w:hint="eastAsia" w:hAnsi="宋体"/>
          <w:color w:val="auto"/>
          <w:highlight w:val="none"/>
        </w:rPr>
        <w:t>天。</w:t>
      </w:r>
    </w:p>
    <w:p w14:paraId="5837B686">
      <w:pPr>
        <w:spacing w:line="360" w:lineRule="auto"/>
        <w:ind w:firstLine="420" w:firstLineChars="200"/>
        <w:rPr>
          <w:rFonts w:hAnsi="宋体"/>
          <w:color w:val="auto"/>
          <w:highlight w:val="none"/>
        </w:rPr>
      </w:pPr>
      <w:r>
        <w:rPr>
          <w:rFonts w:hint="eastAsia" w:hAnsi="宋体"/>
          <w:color w:val="auto"/>
          <w:highlight w:val="none"/>
        </w:rPr>
        <w:t>6、保修期内，每次故障维修及保养结束后一周内乙方必须提供维修、保养记录、质量检测记录并交甲方医用临床医学工程处备案登记。</w:t>
      </w:r>
    </w:p>
    <w:p w14:paraId="4493B051">
      <w:pPr>
        <w:spacing w:line="360" w:lineRule="auto"/>
        <w:ind w:firstLine="420" w:firstLineChars="200"/>
        <w:rPr>
          <w:rFonts w:hAnsi="宋体"/>
          <w:color w:val="auto"/>
          <w:highlight w:val="none"/>
        </w:rPr>
      </w:pPr>
      <w:r>
        <w:rPr>
          <w:rFonts w:hAnsi="宋体"/>
          <w:color w:val="auto"/>
          <w:highlight w:val="none"/>
        </w:rPr>
        <w:t>7</w:t>
      </w:r>
      <w:r>
        <w:rPr>
          <w:rFonts w:hint="eastAsia" w:hAnsi="宋体"/>
          <w:color w:val="auto"/>
          <w:highlight w:val="none"/>
        </w:rPr>
        <w:t>、乙方工程师至甲方维修设备，必须事先与甲方临床医学工程处取得联系，并与甲方工程师共同完成维修工作。否则引起的一切责任由乙方负责。</w:t>
      </w:r>
    </w:p>
    <w:p w14:paraId="171B696B">
      <w:pPr>
        <w:spacing w:line="360" w:lineRule="auto"/>
        <w:ind w:firstLine="420" w:firstLineChars="200"/>
        <w:rPr>
          <w:rFonts w:hAnsi="宋体"/>
          <w:color w:val="auto"/>
          <w:highlight w:val="none"/>
        </w:rPr>
      </w:pPr>
      <w:r>
        <w:rPr>
          <w:rFonts w:hint="eastAsia" w:hAnsi="宋体"/>
          <w:color w:val="auto"/>
          <w:highlight w:val="none"/>
        </w:rPr>
        <w:t>8、乙方维修人员在维修期间必须遵守院方在安全、防盗、停车、周围环境卫生及排放污物的有关规定，否则引起的一切责任由乙方负责。</w:t>
      </w:r>
    </w:p>
    <w:p w14:paraId="1DDF7741">
      <w:pPr>
        <w:spacing w:line="360" w:lineRule="auto"/>
        <w:rPr>
          <w:rFonts w:hAnsi="宋体"/>
          <w:color w:val="auto"/>
          <w:highlight w:val="none"/>
        </w:rPr>
      </w:pPr>
      <w:r>
        <w:rPr>
          <w:rFonts w:hint="eastAsia" w:hAnsi="宋体"/>
          <w:color w:val="auto"/>
          <w:highlight w:val="none"/>
        </w:rPr>
        <w:t>六、违约责任</w:t>
      </w:r>
    </w:p>
    <w:p w14:paraId="203B7DD1">
      <w:pPr>
        <w:spacing w:line="360" w:lineRule="auto"/>
        <w:ind w:firstLine="420" w:firstLineChars="200"/>
        <w:rPr>
          <w:rFonts w:hAnsi="宋体"/>
          <w:color w:val="auto"/>
          <w:highlight w:val="none"/>
        </w:rPr>
      </w:pPr>
      <w:r>
        <w:rPr>
          <w:rFonts w:hAnsi="宋体"/>
          <w:color w:val="auto"/>
          <w:highlight w:val="none"/>
        </w:rPr>
        <w:t>1</w:t>
      </w:r>
      <w:r>
        <w:rPr>
          <w:rFonts w:hint="eastAsia" w:hAnsi="宋体"/>
          <w:color w:val="auto"/>
          <w:highlight w:val="none"/>
        </w:rPr>
        <w:t>、自本协议生效之日起，双方应严格依约履行。一方违约，应赔偿由此给其他方造成的损失。</w:t>
      </w:r>
    </w:p>
    <w:p w14:paraId="542604D5">
      <w:pPr>
        <w:spacing w:line="360" w:lineRule="auto"/>
        <w:ind w:firstLine="420" w:firstLineChars="200"/>
        <w:rPr>
          <w:rFonts w:hAnsi="宋体"/>
          <w:color w:val="auto"/>
          <w:highlight w:val="none"/>
        </w:rPr>
      </w:pPr>
      <w:r>
        <w:rPr>
          <w:rFonts w:hint="eastAsia" w:hAnsi="宋体"/>
          <w:color w:val="auto"/>
          <w:highlight w:val="none"/>
        </w:rPr>
        <w:t>2、如果乙方没有按照合同规定进行维保服务，每逾期一日，乙方应按合同金额的1%计算，但该违约金总额不超过合同总金额的30%。乙方逾期不进行维保服</w:t>
      </w:r>
      <w:r>
        <w:rPr>
          <w:rFonts w:hint="eastAsia" w:hAnsi="宋体"/>
          <w:color w:val="auto"/>
          <w:highlight w:val="none"/>
          <w:lang w:val="en-US" w:eastAsia="zh-CN"/>
        </w:rPr>
        <w:t>务10</w:t>
      </w:r>
      <w:r>
        <w:rPr>
          <w:rFonts w:hint="eastAsia" w:hAnsi="宋体"/>
          <w:color w:val="auto"/>
          <w:highlight w:val="none"/>
        </w:rPr>
        <w:t>日以上的，则视乙方不能提供正常维保，甲方有权因此解除本合同</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同时乙方应承担</w:t>
      </w:r>
      <w:r>
        <w:rPr>
          <w:rFonts w:hint="eastAsia" w:ascii="宋体" w:hAnsi="宋体" w:eastAsia="宋体"/>
          <w:color w:val="auto"/>
          <w:szCs w:val="21"/>
          <w:highlight w:val="none"/>
        </w:rPr>
        <w:t>3</w:t>
      </w:r>
      <w:r>
        <w:rPr>
          <w:rFonts w:ascii="宋体" w:hAnsi="宋体" w:eastAsia="宋体"/>
          <w:color w:val="auto"/>
          <w:szCs w:val="21"/>
          <w:highlight w:val="none"/>
        </w:rPr>
        <w:t>0</w:t>
      </w:r>
      <w:r>
        <w:rPr>
          <w:rFonts w:hint="eastAsia" w:ascii="宋体" w:hAnsi="宋体" w:eastAsia="宋体"/>
          <w:color w:val="auto"/>
          <w:szCs w:val="21"/>
          <w:highlight w:val="none"/>
        </w:rPr>
        <w:t>%</w:t>
      </w:r>
      <w:r>
        <w:rPr>
          <w:rFonts w:hint="eastAsia" w:ascii="宋体" w:hAnsi="宋体" w:eastAsia="宋体"/>
          <w:color w:val="auto"/>
          <w:szCs w:val="21"/>
          <w:highlight w:val="none"/>
          <w:lang w:val="en-US" w:eastAsia="zh-CN"/>
        </w:rPr>
        <w:t>的违约金</w:t>
      </w:r>
      <w:r>
        <w:rPr>
          <w:rFonts w:hint="eastAsia" w:ascii="宋体" w:hAnsi="宋体" w:eastAsia="宋体"/>
          <w:color w:val="auto"/>
          <w:szCs w:val="21"/>
          <w:highlight w:val="none"/>
        </w:rPr>
        <w:t>。</w:t>
      </w:r>
    </w:p>
    <w:p w14:paraId="7DBCAA84">
      <w:pPr>
        <w:spacing w:line="360" w:lineRule="auto"/>
        <w:ind w:firstLine="420" w:firstLineChars="200"/>
        <w:rPr>
          <w:rFonts w:hAnsi="宋体"/>
          <w:color w:val="auto"/>
          <w:highlight w:val="none"/>
        </w:rPr>
      </w:pPr>
      <w:r>
        <w:rPr>
          <w:rFonts w:hint="eastAsia" w:hAnsi="宋体"/>
          <w:color w:val="auto"/>
          <w:highlight w:val="none"/>
        </w:rPr>
        <w:t>3、乙方若违反本合同</w:t>
      </w:r>
      <w:bookmarkStart w:id="98" w:name="_Hlk100650478"/>
      <w:r>
        <w:rPr>
          <w:rFonts w:hint="eastAsia" w:hAnsi="宋体"/>
          <w:color w:val="auto"/>
          <w:highlight w:val="none"/>
        </w:rPr>
        <w:t>第</w:t>
      </w:r>
      <w:r>
        <w:rPr>
          <w:rFonts w:hint="eastAsia" w:hAnsi="宋体"/>
          <w:color w:val="auto"/>
          <w:highlight w:val="none"/>
          <w:lang w:val="en-US" w:eastAsia="zh-CN"/>
        </w:rPr>
        <w:t>六</w:t>
      </w:r>
      <w:r>
        <w:rPr>
          <w:rFonts w:hint="eastAsia" w:hAnsi="宋体"/>
          <w:color w:val="auto"/>
          <w:highlight w:val="none"/>
        </w:rPr>
        <w:t>条下相关款项、</w:t>
      </w:r>
      <w:bookmarkEnd w:id="98"/>
      <w:r>
        <w:rPr>
          <w:rFonts w:hint="eastAsia" w:hAnsi="宋体"/>
          <w:color w:val="auto"/>
          <w:highlight w:val="none"/>
        </w:rPr>
        <w:t>第</w:t>
      </w:r>
      <w:r>
        <w:rPr>
          <w:rFonts w:hint="eastAsia" w:hAnsi="宋体"/>
          <w:color w:val="auto"/>
          <w:highlight w:val="none"/>
          <w:lang w:val="en-US" w:eastAsia="zh-CN"/>
        </w:rPr>
        <w:t>八</w:t>
      </w:r>
      <w:r>
        <w:rPr>
          <w:rFonts w:hint="eastAsia" w:hAnsi="宋体"/>
          <w:color w:val="auto"/>
          <w:highlight w:val="none"/>
        </w:rPr>
        <w:t>条与第</w:t>
      </w:r>
      <w:r>
        <w:rPr>
          <w:rFonts w:hint="eastAsia" w:hAnsi="宋体"/>
          <w:color w:val="auto"/>
          <w:highlight w:val="none"/>
          <w:lang w:val="en-US" w:eastAsia="zh-CN"/>
        </w:rPr>
        <w:t>九</w:t>
      </w:r>
      <w:r>
        <w:rPr>
          <w:rFonts w:hint="eastAsia" w:hAnsi="宋体"/>
          <w:color w:val="auto"/>
          <w:highlight w:val="none"/>
        </w:rPr>
        <w:t>条视为对本合同的重大违约，甲方随时有权书面通知乙方立即解除本合同。</w:t>
      </w:r>
    </w:p>
    <w:p w14:paraId="5D08E120">
      <w:pPr>
        <w:spacing w:line="360" w:lineRule="auto"/>
        <w:ind w:firstLine="420" w:firstLineChars="200"/>
        <w:rPr>
          <w:rFonts w:hAnsi="宋体"/>
          <w:color w:val="auto"/>
          <w:highlight w:val="none"/>
        </w:rPr>
      </w:pPr>
      <w:r>
        <w:rPr>
          <w:rFonts w:hint="eastAsia" w:hAnsi="宋体"/>
          <w:color w:val="auto"/>
          <w:highlight w:val="none"/>
        </w:rPr>
        <w:t>4、因乙方的违约行为给甲方造成损失的（包括所有直接或间接损失），如果违约金不足以补偿该损失的，甲方有权继续要求乙方赔偿甲方所有实际损失，并保留申诉的权利。</w:t>
      </w:r>
    </w:p>
    <w:p w14:paraId="1F51D852">
      <w:pPr>
        <w:spacing w:line="360" w:lineRule="auto"/>
        <w:rPr>
          <w:rFonts w:hAnsi="宋体"/>
          <w:color w:val="auto"/>
          <w:highlight w:val="none"/>
        </w:rPr>
      </w:pPr>
      <w:bookmarkStart w:id="99" w:name="_Hlk100650496"/>
      <w:r>
        <w:rPr>
          <w:rFonts w:hint="eastAsia" w:hAnsi="宋体"/>
          <w:color w:val="auto"/>
          <w:highlight w:val="none"/>
        </w:rPr>
        <w:t>七、不可抗力条款</w:t>
      </w:r>
    </w:p>
    <w:p w14:paraId="24DB3820">
      <w:pPr>
        <w:spacing w:line="360" w:lineRule="auto"/>
        <w:ind w:firstLine="420" w:firstLineChars="200"/>
        <w:rPr>
          <w:rFonts w:hAnsi="宋体"/>
          <w:color w:val="auto"/>
          <w:highlight w:val="none"/>
        </w:rPr>
      </w:pPr>
      <w:r>
        <w:rPr>
          <w:rFonts w:hint="eastAsia" w:hAnsi="宋体"/>
          <w:color w:val="auto"/>
          <w:highlight w:val="none"/>
        </w:rPr>
        <w:t>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Ansi="宋体"/>
          <w:color w:val="auto"/>
          <w:highlight w:val="none"/>
        </w:rPr>
        <w:t>5</w:t>
      </w:r>
      <w:r>
        <w:rPr>
          <w:rFonts w:hint="eastAsia" w:hAnsi="宋体"/>
          <w:color w:val="auto"/>
          <w:highlight w:val="none"/>
        </w:rPr>
        <w:t>个工作日内对该不可抗力事件的发生及其持续时间提供有关机构出具的适当证明。在取得有关机构证明后，甲方允许乙方延期履行、部分履行或不履行合同，并根据情况可部分或全部免除乙方应承担的违约责任。</w:t>
      </w:r>
    </w:p>
    <w:bookmarkEnd w:id="99"/>
    <w:p w14:paraId="5BFA71F9">
      <w:pPr>
        <w:tabs>
          <w:tab w:val="left" w:pos="420"/>
        </w:tabs>
        <w:spacing w:line="360" w:lineRule="auto"/>
        <w:rPr>
          <w:rFonts w:hAnsi="宋体"/>
          <w:color w:val="auto"/>
          <w:highlight w:val="none"/>
        </w:rPr>
      </w:pPr>
      <w:r>
        <w:rPr>
          <w:rFonts w:hint="eastAsia" w:hAnsi="宋体"/>
          <w:color w:val="auto"/>
          <w:highlight w:val="none"/>
        </w:rPr>
        <w:t>八、保密条款</w:t>
      </w:r>
    </w:p>
    <w:p w14:paraId="27007169">
      <w:pPr>
        <w:spacing w:line="360" w:lineRule="auto"/>
        <w:ind w:firstLine="420" w:firstLineChars="200"/>
        <w:rPr>
          <w:rFonts w:hAnsi="宋体"/>
          <w:color w:val="auto"/>
          <w:highlight w:val="none"/>
        </w:rPr>
      </w:pPr>
      <w:r>
        <w:rPr>
          <w:rFonts w:hint="eastAsia" w:hAnsi="宋体"/>
          <w:color w:val="auto"/>
          <w:highlight w:val="none"/>
        </w:rPr>
        <w:t>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p>
    <w:p w14:paraId="57CD9AF4">
      <w:pPr>
        <w:spacing w:line="360" w:lineRule="auto"/>
        <w:ind w:firstLine="420" w:firstLineChars="200"/>
        <w:rPr>
          <w:rFonts w:hAnsi="宋体"/>
          <w:color w:val="auto"/>
          <w:highlight w:val="none"/>
        </w:rPr>
      </w:pPr>
      <w:r>
        <w:rPr>
          <w:rFonts w:hint="eastAsia" w:hAnsi="宋体"/>
          <w:color w:val="auto"/>
          <w:highlight w:val="none"/>
        </w:rPr>
        <w:t>2、双方应确保己方人员遵守本条约定保密义务，否则由此产生的一切后果由违约方承担责任。</w:t>
      </w:r>
    </w:p>
    <w:p w14:paraId="211E0860">
      <w:pPr>
        <w:spacing w:line="360" w:lineRule="auto"/>
        <w:ind w:firstLine="420" w:firstLineChars="200"/>
        <w:rPr>
          <w:rFonts w:hAnsi="宋体"/>
          <w:color w:val="auto"/>
          <w:highlight w:val="none"/>
        </w:rPr>
      </w:pPr>
      <w:r>
        <w:rPr>
          <w:rFonts w:hint="eastAsia" w:hAnsi="宋体"/>
          <w:color w:val="auto"/>
          <w:highlight w:val="none"/>
        </w:rPr>
        <w:t>3、本条约定在本协议解除、终止或被认为无效后仍然有效。</w:t>
      </w:r>
    </w:p>
    <w:p w14:paraId="03513E90">
      <w:pPr>
        <w:spacing w:line="360" w:lineRule="auto"/>
        <w:rPr>
          <w:color w:val="auto"/>
          <w:szCs w:val="21"/>
          <w:highlight w:val="none"/>
        </w:rPr>
      </w:pPr>
      <w:bookmarkStart w:id="100" w:name="_Hlk184062763"/>
      <w:r>
        <w:rPr>
          <w:rFonts w:hint="eastAsia"/>
          <w:color w:val="auto"/>
          <w:szCs w:val="21"/>
          <w:highlight w:val="none"/>
          <w:lang w:val="en-US" w:eastAsia="zh-CN"/>
        </w:rPr>
        <w:t>九</w:t>
      </w:r>
      <w:r>
        <w:rPr>
          <w:rFonts w:hint="eastAsia"/>
          <w:color w:val="auto"/>
          <w:szCs w:val="21"/>
          <w:highlight w:val="none"/>
        </w:rPr>
        <w:t>、争议解决：因本合同签订以及履行过程所产生的任何纠纷，双方友好协商解决，未能协商一致的，可至甲方所在地有管辖权的法院起诉。</w:t>
      </w:r>
    </w:p>
    <w:bookmarkEnd w:id="100"/>
    <w:p w14:paraId="77DB3EBF">
      <w:pPr>
        <w:spacing w:line="360" w:lineRule="auto"/>
        <w:rPr>
          <w:rFonts w:hAnsi="宋体"/>
          <w:color w:val="auto"/>
          <w:highlight w:val="none"/>
        </w:rPr>
      </w:pPr>
      <w:bookmarkStart w:id="101" w:name="_Hlk100650549"/>
      <w:r>
        <w:rPr>
          <w:rFonts w:hint="eastAsia" w:hAnsi="宋体"/>
          <w:color w:val="auto"/>
          <w:highlight w:val="none"/>
        </w:rPr>
        <w:t>十、合同的解除条款</w:t>
      </w:r>
    </w:p>
    <w:p w14:paraId="2E913DA2">
      <w:pPr>
        <w:spacing w:line="360" w:lineRule="auto"/>
        <w:ind w:firstLine="420" w:firstLineChars="200"/>
        <w:rPr>
          <w:rFonts w:hAnsi="宋体"/>
          <w:color w:val="auto"/>
          <w:highlight w:val="none"/>
        </w:rPr>
      </w:pPr>
      <w:r>
        <w:rPr>
          <w:rFonts w:hint="eastAsia" w:hAnsi="宋体"/>
          <w:color w:val="auto"/>
          <w:highlight w:val="none"/>
        </w:rPr>
        <w:t>本合同第九条下解约事由与法定解约事由出现后，解约方有权提前三个工作日书面通知对方解约，自通知送达之日起，本合同解除。</w:t>
      </w:r>
    </w:p>
    <w:bookmarkEnd w:id="101"/>
    <w:p w14:paraId="2F6D3126">
      <w:pPr>
        <w:spacing w:line="360" w:lineRule="auto"/>
        <w:rPr>
          <w:rFonts w:hAnsi="宋体"/>
          <w:color w:val="auto"/>
          <w:highlight w:val="none"/>
        </w:rPr>
      </w:pPr>
      <w:r>
        <w:rPr>
          <w:rFonts w:hint="eastAsia" w:hAnsi="宋体"/>
          <w:color w:val="auto"/>
          <w:highlight w:val="none"/>
        </w:rPr>
        <w:t>十</w:t>
      </w:r>
      <w:r>
        <w:rPr>
          <w:rFonts w:hint="eastAsia" w:hAnsi="宋体"/>
          <w:color w:val="auto"/>
          <w:highlight w:val="none"/>
          <w:lang w:val="en-US" w:eastAsia="zh-CN"/>
        </w:rPr>
        <w:t>一</w:t>
      </w:r>
      <w:r>
        <w:rPr>
          <w:rFonts w:hint="eastAsia" w:hAnsi="宋体"/>
          <w:color w:val="auto"/>
          <w:highlight w:val="none"/>
        </w:rPr>
        <w:t>、其他条款</w:t>
      </w:r>
    </w:p>
    <w:p w14:paraId="4BD8C347">
      <w:pPr>
        <w:spacing w:line="360" w:lineRule="auto"/>
        <w:ind w:firstLine="420" w:firstLineChars="200"/>
        <w:rPr>
          <w:rFonts w:hAnsi="宋体"/>
          <w:color w:val="auto"/>
          <w:highlight w:val="none"/>
        </w:rPr>
      </w:pPr>
      <w:bookmarkStart w:id="102" w:name="_Hlk100650600"/>
      <w:r>
        <w:rPr>
          <w:rFonts w:hint="eastAsia" w:hAnsi="宋体"/>
          <w:color w:val="auto"/>
          <w:highlight w:val="none"/>
        </w:rPr>
        <w:t>1、本项目招标文件、投标文件、合同及其附件、其他承诺为本项目不可分割的组成部分，具有同等法律效力。</w:t>
      </w:r>
    </w:p>
    <w:bookmarkEnd w:id="102"/>
    <w:p w14:paraId="0F7DB427">
      <w:pPr>
        <w:spacing w:line="360" w:lineRule="auto"/>
        <w:ind w:firstLine="420" w:firstLineChars="200"/>
        <w:rPr>
          <w:rFonts w:hAnsi="宋体"/>
          <w:color w:val="auto"/>
          <w:highlight w:val="none"/>
        </w:rPr>
      </w:pPr>
      <w:r>
        <w:rPr>
          <w:rFonts w:hint="eastAsia" w:hAnsi="宋体"/>
          <w:color w:val="auto"/>
          <w:highlight w:val="none"/>
        </w:rPr>
        <w:t>2、本合同一式肆份，甲方执叁份，乙方执壹份，经双方签字盖章并加盖骑缝章后生效，未经事宜双方协商解决。</w:t>
      </w:r>
    </w:p>
    <w:p w14:paraId="65BC7B09">
      <w:pPr>
        <w:spacing w:line="380" w:lineRule="exact"/>
        <w:ind w:firstLine="420" w:firstLineChars="200"/>
        <w:rPr>
          <w:rFonts w:hAnsi="宋体"/>
          <w:color w:val="auto"/>
          <w:highlight w:val="none"/>
        </w:rPr>
      </w:pPr>
      <w:bookmarkStart w:id="103" w:name="_Hlk100650618"/>
      <w:r>
        <w:rPr>
          <w:rFonts w:hint="eastAsia" w:hAnsi="宋体"/>
          <w:color w:val="auto"/>
          <w:highlight w:val="none"/>
        </w:rPr>
        <w:t>3、本合同适用的语言文字为汉语文字，本合同适用法律法规为中华人民共和国及其区域内相关法律法规，本合同条款解释语言以中文为准。</w:t>
      </w:r>
      <w:bookmarkEnd w:id="103"/>
    </w:p>
    <w:p w14:paraId="41D908FF">
      <w:pPr>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      </w:t>
      </w:r>
      <w:r>
        <w:rPr>
          <w:rFonts w:hint="eastAsia" w:ascii="宋体" w:hAnsi="宋体" w:cs="宋体"/>
          <w:color w:val="auto"/>
          <w:szCs w:val="21"/>
          <w:highlight w:val="none"/>
          <w:u w:val="single"/>
          <w:lang w:eastAsia="zh-CN"/>
        </w:rPr>
        <w:t>‌南京医科大学第二附属医院</w:t>
      </w:r>
      <w:r>
        <w:rPr>
          <w:rFonts w:hint="eastAsia"/>
          <w:color w:val="auto"/>
          <w:szCs w:val="21"/>
          <w:highlight w:val="none"/>
          <w:u w:val="single"/>
        </w:rPr>
        <w:t xml:space="preserve">     </w:t>
      </w:r>
      <w:r>
        <w:rPr>
          <w:rFonts w:hint="eastAsia"/>
          <w:color w:val="auto"/>
          <w:szCs w:val="21"/>
          <w:highlight w:val="none"/>
        </w:rPr>
        <w:t>（盖章）</w:t>
      </w:r>
      <w:r>
        <w:rPr>
          <w:color w:val="auto"/>
          <w:szCs w:val="21"/>
          <w:highlight w:val="none"/>
        </w:rPr>
        <w:t xml:space="preserve">      </w:t>
      </w:r>
      <w:r>
        <w:rPr>
          <w:rFonts w:hint="eastAsia"/>
          <w:color w:val="auto"/>
          <w:szCs w:val="21"/>
          <w:highlight w:val="none"/>
          <w:lang w:val="en-US" w:eastAsia="zh-CN"/>
        </w:rPr>
        <w:t xml:space="preserve">  乙方</w:t>
      </w:r>
      <w:r>
        <w:rPr>
          <w:rFonts w:hint="eastAsia"/>
          <w:color w:val="auto"/>
          <w:szCs w:val="21"/>
          <w:highlight w:val="none"/>
        </w:rPr>
        <w:t>：</w:t>
      </w:r>
      <w:r>
        <w:rPr>
          <w:rFonts w:hint="eastAsia" w:ascii="楷体_GB2312" w:eastAsia="楷体_GB2312"/>
          <w:color w:val="auto"/>
          <w:szCs w:val="21"/>
          <w:highlight w:val="none"/>
          <w:u w:val="single"/>
        </w:rPr>
        <w:t xml:space="preserve"> </w:t>
      </w:r>
      <w:r>
        <w:rPr>
          <w:rFonts w:ascii="楷体_GB2312" w:eastAsia="楷体_GB2312"/>
          <w:color w:val="auto"/>
          <w:szCs w:val="21"/>
          <w:highlight w:val="none"/>
          <w:u w:val="single"/>
        </w:rPr>
        <w:t xml:space="preserve">            </w:t>
      </w:r>
      <w:r>
        <w:rPr>
          <w:rFonts w:hint="eastAsia"/>
          <w:color w:val="auto"/>
          <w:highlight w:val="none"/>
          <w:u w:val="single"/>
        </w:rPr>
        <w:t xml:space="preserve"> </w:t>
      </w:r>
      <w:r>
        <w:rPr>
          <w:rFonts w:hint="eastAsia"/>
          <w:color w:val="auto"/>
          <w:szCs w:val="21"/>
          <w:highlight w:val="none"/>
        </w:rPr>
        <w:t>（盖章）</w:t>
      </w:r>
    </w:p>
    <w:p w14:paraId="231549D4">
      <w:pPr>
        <w:spacing w:line="360" w:lineRule="auto"/>
        <w:rPr>
          <w:color w:val="auto"/>
          <w:szCs w:val="21"/>
          <w:highlight w:val="none"/>
        </w:rPr>
      </w:pPr>
      <w:r>
        <w:rPr>
          <w:rFonts w:hint="eastAsia"/>
          <w:color w:val="auto"/>
          <w:szCs w:val="21"/>
          <w:highlight w:val="none"/>
        </w:rPr>
        <w:t>甲方法定代表人</w:t>
      </w:r>
      <w:r>
        <w:rPr>
          <w:rFonts w:hint="eastAsia"/>
          <w:color w:val="auto"/>
          <w:szCs w:val="21"/>
          <w:highlight w:val="none"/>
          <w:lang w:eastAsia="zh-CN"/>
        </w:rPr>
        <w:t>：</w:t>
      </w:r>
      <w:r>
        <w:rPr>
          <w:color w:val="auto"/>
          <w:szCs w:val="21"/>
          <w:highlight w:val="none"/>
        </w:rPr>
        <w:t xml:space="preserve">                               </w:t>
      </w:r>
      <w:r>
        <w:rPr>
          <w:rFonts w:hint="eastAsia"/>
          <w:color w:val="auto"/>
          <w:szCs w:val="21"/>
          <w:highlight w:val="none"/>
        </w:rPr>
        <w:t>乙方法定代表人</w:t>
      </w:r>
      <w:r>
        <w:rPr>
          <w:rFonts w:hint="eastAsia"/>
          <w:color w:val="auto"/>
          <w:szCs w:val="21"/>
          <w:highlight w:val="none"/>
          <w:lang w:eastAsia="zh-CN"/>
        </w:rPr>
        <w:t>：</w:t>
      </w:r>
      <w:r>
        <w:rPr>
          <w:color w:val="auto"/>
          <w:szCs w:val="21"/>
          <w:highlight w:val="none"/>
        </w:rPr>
        <w:t xml:space="preserve"> </w:t>
      </w:r>
    </w:p>
    <w:p w14:paraId="5F88F1ED">
      <w:pPr>
        <w:spacing w:line="360" w:lineRule="auto"/>
        <w:rPr>
          <w:color w:val="auto"/>
          <w:szCs w:val="21"/>
          <w:highlight w:val="none"/>
        </w:rPr>
      </w:pPr>
      <w:r>
        <w:rPr>
          <w:rFonts w:hint="eastAsia"/>
          <w:color w:val="auto"/>
          <w:szCs w:val="21"/>
          <w:highlight w:val="none"/>
        </w:rPr>
        <w:t>或授权委托人：</w:t>
      </w:r>
      <w:r>
        <w:rPr>
          <w:color w:val="auto"/>
          <w:szCs w:val="21"/>
          <w:highlight w:val="none"/>
        </w:rPr>
        <w:t xml:space="preserve">__________________         </w:t>
      </w:r>
      <w:r>
        <w:rPr>
          <w:rFonts w:hint="eastAsia"/>
          <w:color w:val="auto"/>
          <w:szCs w:val="21"/>
          <w:highlight w:val="none"/>
          <w:lang w:val="en-US" w:eastAsia="zh-CN"/>
        </w:rPr>
        <w:t xml:space="preserve">  </w:t>
      </w:r>
      <w:r>
        <w:rPr>
          <w:rFonts w:hint="eastAsia"/>
          <w:color w:val="auto"/>
          <w:szCs w:val="21"/>
          <w:highlight w:val="none"/>
        </w:rPr>
        <w:t>或授权委托人：</w:t>
      </w:r>
      <w:r>
        <w:rPr>
          <w:color w:val="auto"/>
          <w:szCs w:val="21"/>
          <w:highlight w:val="none"/>
        </w:rPr>
        <w:t xml:space="preserve">_____________________                                                  </w:t>
      </w:r>
    </w:p>
    <w:p w14:paraId="55877CD9">
      <w:pPr>
        <w:spacing w:line="360" w:lineRule="auto"/>
        <w:rPr>
          <w:rFonts w:hint="eastAsia"/>
          <w:color w:val="auto"/>
          <w:szCs w:val="21"/>
          <w:highlight w:val="none"/>
          <w:u w:val="single"/>
        </w:rPr>
      </w:pPr>
      <w:r>
        <w:rPr>
          <w:rFonts w:hint="eastAsia"/>
          <w:color w:val="auto"/>
          <w:szCs w:val="21"/>
          <w:highlight w:val="none"/>
        </w:rPr>
        <w:t>日期：</w:t>
      </w:r>
      <w:r>
        <w:rPr>
          <w:color w:val="auto"/>
          <w:szCs w:val="21"/>
          <w:highlight w:val="none"/>
        </w:rPr>
        <w:t xml:space="preserve">______________________________           </w:t>
      </w:r>
      <w:r>
        <w:rPr>
          <w:rFonts w:hint="eastAsia"/>
          <w:color w:val="auto"/>
          <w:szCs w:val="21"/>
          <w:highlight w:val="none"/>
        </w:rPr>
        <w:t>日期：</w:t>
      </w:r>
      <w:r>
        <w:rPr>
          <w:color w:val="auto"/>
          <w:szCs w:val="21"/>
          <w:highlight w:val="none"/>
          <w:u w:val="single"/>
        </w:rPr>
        <w:t xml:space="preserve">_                           </w:t>
      </w:r>
    </w:p>
    <w:p w14:paraId="4F8CA795">
      <w:pPr>
        <w:spacing w:line="360" w:lineRule="auto"/>
        <w:rPr>
          <w:color w:val="auto"/>
          <w:highlight w:val="none"/>
        </w:rPr>
      </w:pPr>
    </w:p>
    <w:p w14:paraId="519614FD">
      <w:pPr>
        <w:spacing w:line="360" w:lineRule="auto"/>
        <w:rPr>
          <w:color w:val="auto"/>
          <w:highlight w:val="none"/>
        </w:rPr>
      </w:pPr>
    </w:p>
    <w:p w14:paraId="445DFBFC">
      <w:pPr>
        <w:spacing w:line="360" w:lineRule="auto"/>
        <w:rPr>
          <w:color w:val="auto"/>
          <w:highlight w:val="none"/>
        </w:rPr>
      </w:pPr>
    </w:p>
    <w:p w14:paraId="33DF00D7">
      <w:pPr>
        <w:spacing w:line="360" w:lineRule="auto"/>
        <w:rPr>
          <w:color w:val="auto"/>
          <w:highlight w:val="none"/>
        </w:rPr>
      </w:pPr>
    </w:p>
    <w:p w14:paraId="24971885">
      <w:pPr>
        <w:spacing w:line="360" w:lineRule="auto"/>
        <w:rPr>
          <w:color w:val="auto"/>
          <w:highlight w:val="none"/>
        </w:rPr>
      </w:pPr>
    </w:p>
    <w:p w14:paraId="0F952D4F">
      <w:pPr>
        <w:spacing w:line="360" w:lineRule="auto"/>
        <w:rPr>
          <w:color w:val="auto"/>
          <w:highlight w:val="none"/>
        </w:rPr>
      </w:pPr>
      <w:r>
        <w:rPr>
          <w:color w:val="auto"/>
          <w:highlight w:val="none"/>
        </w:rPr>
        <w:t>附</w:t>
      </w:r>
      <w:r>
        <w:rPr>
          <w:rFonts w:hint="eastAsia"/>
          <w:color w:val="auto"/>
          <w:highlight w:val="none"/>
          <w:lang w:val="en-US" w:eastAsia="zh-CN"/>
        </w:rPr>
        <w:t>件一</w:t>
      </w:r>
      <w:r>
        <w:rPr>
          <w:rFonts w:hint="eastAsia"/>
          <w:color w:val="auto"/>
          <w:highlight w:val="none"/>
        </w:rPr>
        <w:t xml:space="preserve">： </w:t>
      </w:r>
      <w:r>
        <w:rPr>
          <w:color w:val="auto"/>
          <w:highlight w:val="none"/>
        </w:rPr>
        <w:t xml:space="preserve">   </w:t>
      </w:r>
    </w:p>
    <w:p w14:paraId="50705616">
      <w:pPr>
        <w:spacing w:line="360" w:lineRule="auto"/>
        <w:rPr>
          <w:color w:val="auto"/>
          <w:highlight w:val="none"/>
        </w:rPr>
      </w:pPr>
      <w:r>
        <w:rPr>
          <w:color w:val="auto"/>
          <w:highlight w:val="none"/>
        </w:rPr>
        <w:t>（</w:t>
      </w:r>
      <w:r>
        <w:rPr>
          <w:rFonts w:hint="eastAsia"/>
          <w:color w:val="auto"/>
          <w:highlight w:val="none"/>
          <w:lang w:val="en-US" w:eastAsia="zh-CN"/>
        </w:rPr>
        <w:t>品牌：              ，</w:t>
      </w:r>
      <w:r>
        <w:rPr>
          <w:color w:val="auto"/>
          <w:highlight w:val="none"/>
        </w:rPr>
        <w:t>数量：</w:t>
      </w:r>
      <w:r>
        <w:rPr>
          <w:rFonts w:hint="eastAsia"/>
          <w:color w:val="auto"/>
          <w:highlight w:val="none"/>
          <w:lang w:val="en-US" w:eastAsia="zh-CN"/>
        </w:rPr>
        <w:t xml:space="preserve">  </w:t>
      </w:r>
      <w:r>
        <w:rPr>
          <w:rFonts w:hint="eastAsia"/>
          <w:color w:val="auto"/>
          <w:highlight w:val="none"/>
        </w:rPr>
        <w:t xml:space="preserve"> </w:t>
      </w:r>
      <w:r>
        <w:rPr>
          <w:rFonts w:hint="eastAsia"/>
          <w:color w:val="auto"/>
          <w:highlight w:val="none"/>
          <w:lang w:val="en-US" w:eastAsia="zh-CN"/>
        </w:rPr>
        <w:t xml:space="preserve">      </w:t>
      </w:r>
      <w:r>
        <w:rPr>
          <w:color w:val="auto"/>
          <w:highlight w:val="none"/>
        </w:rPr>
        <w:t xml:space="preserve"> ，设备具体型号、编号详见下表），整机保修。</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2728"/>
        <w:gridCol w:w="2909"/>
        <w:gridCol w:w="2378"/>
      </w:tblGrid>
      <w:tr w14:paraId="2A91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41" w:type="dxa"/>
            <w:noWrap w:val="0"/>
            <w:vAlign w:val="center"/>
          </w:tcPr>
          <w:p w14:paraId="7D5EE078">
            <w:pPr>
              <w:widowControl/>
              <w:spacing w:line="360" w:lineRule="auto"/>
              <w:jc w:val="center"/>
              <w:rPr>
                <w:b/>
                <w:bCs/>
                <w:color w:val="auto"/>
                <w:kern w:val="0"/>
                <w:szCs w:val="21"/>
                <w:highlight w:val="none"/>
              </w:rPr>
            </w:pPr>
            <w:r>
              <w:rPr>
                <w:b/>
                <w:bCs/>
                <w:color w:val="auto"/>
                <w:kern w:val="0"/>
                <w:szCs w:val="21"/>
                <w:highlight w:val="none"/>
              </w:rPr>
              <w:t>编号</w:t>
            </w:r>
          </w:p>
        </w:tc>
        <w:tc>
          <w:tcPr>
            <w:tcW w:w="2728" w:type="dxa"/>
            <w:noWrap/>
            <w:vAlign w:val="center"/>
          </w:tcPr>
          <w:p w14:paraId="64CC4710">
            <w:pPr>
              <w:widowControl/>
              <w:spacing w:line="360" w:lineRule="auto"/>
              <w:jc w:val="center"/>
              <w:rPr>
                <w:b/>
                <w:bCs/>
                <w:color w:val="auto"/>
                <w:kern w:val="0"/>
                <w:szCs w:val="21"/>
                <w:highlight w:val="none"/>
              </w:rPr>
            </w:pPr>
            <w:r>
              <w:rPr>
                <w:b/>
                <w:bCs/>
                <w:color w:val="auto"/>
                <w:kern w:val="0"/>
                <w:szCs w:val="21"/>
                <w:highlight w:val="none"/>
              </w:rPr>
              <w:t>名称</w:t>
            </w:r>
          </w:p>
        </w:tc>
        <w:tc>
          <w:tcPr>
            <w:tcW w:w="2909" w:type="dxa"/>
            <w:noWrap/>
            <w:vAlign w:val="center"/>
          </w:tcPr>
          <w:p w14:paraId="5FC83B9E">
            <w:pPr>
              <w:widowControl/>
              <w:spacing w:line="360" w:lineRule="auto"/>
              <w:jc w:val="center"/>
              <w:rPr>
                <w:b/>
                <w:bCs/>
                <w:color w:val="auto"/>
                <w:kern w:val="0"/>
                <w:szCs w:val="21"/>
                <w:highlight w:val="none"/>
              </w:rPr>
            </w:pPr>
            <w:r>
              <w:rPr>
                <w:b/>
                <w:bCs/>
                <w:color w:val="auto"/>
                <w:kern w:val="0"/>
                <w:szCs w:val="21"/>
                <w:highlight w:val="none"/>
              </w:rPr>
              <w:t>型号</w:t>
            </w:r>
          </w:p>
        </w:tc>
        <w:tc>
          <w:tcPr>
            <w:tcW w:w="2378" w:type="dxa"/>
            <w:noWrap/>
            <w:vAlign w:val="center"/>
          </w:tcPr>
          <w:p w14:paraId="58B4C16F">
            <w:pPr>
              <w:widowControl/>
              <w:spacing w:line="360" w:lineRule="auto"/>
              <w:jc w:val="center"/>
              <w:rPr>
                <w:b/>
                <w:bCs/>
                <w:color w:val="auto"/>
                <w:kern w:val="0"/>
                <w:szCs w:val="21"/>
                <w:highlight w:val="none"/>
              </w:rPr>
            </w:pPr>
            <w:r>
              <w:rPr>
                <w:b/>
                <w:bCs/>
                <w:color w:val="auto"/>
                <w:kern w:val="0"/>
                <w:szCs w:val="21"/>
                <w:highlight w:val="none"/>
              </w:rPr>
              <w:t>SN号</w:t>
            </w:r>
          </w:p>
        </w:tc>
      </w:tr>
      <w:tr w14:paraId="3FBBD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041" w:type="dxa"/>
            <w:noWrap/>
            <w:vAlign w:val="center"/>
          </w:tcPr>
          <w:p w14:paraId="2217F696">
            <w:pPr>
              <w:widowControl/>
              <w:spacing w:line="360" w:lineRule="auto"/>
              <w:jc w:val="center"/>
              <w:rPr>
                <w:color w:val="auto"/>
                <w:kern w:val="0"/>
                <w:szCs w:val="21"/>
                <w:highlight w:val="none"/>
              </w:rPr>
            </w:pPr>
            <w:r>
              <w:rPr>
                <w:color w:val="auto"/>
                <w:kern w:val="0"/>
                <w:szCs w:val="21"/>
                <w:highlight w:val="none"/>
              </w:rPr>
              <w:t>1</w:t>
            </w:r>
          </w:p>
        </w:tc>
        <w:tc>
          <w:tcPr>
            <w:tcW w:w="2728" w:type="dxa"/>
            <w:noWrap w:val="0"/>
            <w:vAlign w:val="center"/>
          </w:tcPr>
          <w:p w14:paraId="5BF7A657">
            <w:pPr>
              <w:widowControl/>
              <w:spacing w:line="360" w:lineRule="auto"/>
              <w:jc w:val="center"/>
              <w:rPr>
                <w:color w:val="auto"/>
                <w:kern w:val="0"/>
                <w:szCs w:val="21"/>
                <w:highlight w:val="none"/>
              </w:rPr>
            </w:pPr>
          </w:p>
        </w:tc>
        <w:tc>
          <w:tcPr>
            <w:tcW w:w="2909" w:type="dxa"/>
            <w:noWrap/>
            <w:vAlign w:val="center"/>
          </w:tcPr>
          <w:p w14:paraId="7923D515">
            <w:pPr>
              <w:widowControl/>
              <w:spacing w:line="360" w:lineRule="auto"/>
              <w:jc w:val="center"/>
              <w:textAlignment w:val="center"/>
              <w:rPr>
                <w:color w:val="auto"/>
                <w:szCs w:val="21"/>
                <w:highlight w:val="none"/>
              </w:rPr>
            </w:pPr>
          </w:p>
        </w:tc>
        <w:tc>
          <w:tcPr>
            <w:tcW w:w="2378" w:type="dxa"/>
            <w:noWrap w:val="0"/>
            <w:vAlign w:val="center"/>
          </w:tcPr>
          <w:p w14:paraId="4BC9D3F2">
            <w:pPr>
              <w:widowControl/>
              <w:spacing w:line="360" w:lineRule="auto"/>
              <w:jc w:val="center"/>
              <w:textAlignment w:val="center"/>
              <w:rPr>
                <w:color w:val="auto"/>
                <w:szCs w:val="21"/>
                <w:highlight w:val="none"/>
              </w:rPr>
            </w:pPr>
          </w:p>
        </w:tc>
      </w:tr>
      <w:tr w14:paraId="6A1A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041" w:type="dxa"/>
            <w:noWrap/>
            <w:vAlign w:val="center"/>
          </w:tcPr>
          <w:p w14:paraId="3552A451">
            <w:pPr>
              <w:widowControl/>
              <w:spacing w:line="360" w:lineRule="auto"/>
              <w:jc w:val="center"/>
              <w:rPr>
                <w:color w:val="auto"/>
                <w:kern w:val="0"/>
                <w:szCs w:val="21"/>
                <w:highlight w:val="none"/>
              </w:rPr>
            </w:pPr>
            <w:r>
              <w:rPr>
                <w:color w:val="auto"/>
                <w:kern w:val="0"/>
                <w:szCs w:val="21"/>
                <w:highlight w:val="none"/>
              </w:rPr>
              <w:t>2</w:t>
            </w:r>
          </w:p>
        </w:tc>
        <w:tc>
          <w:tcPr>
            <w:tcW w:w="2728" w:type="dxa"/>
            <w:noWrap w:val="0"/>
            <w:vAlign w:val="center"/>
          </w:tcPr>
          <w:p w14:paraId="76D9E9BE">
            <w:pPr>
              <w:widowControl/>
              <w:spacing w:line="360" w:lineRule="auto"/>
              <w:jc w:val="center"/>
              <w:rPr>
                <w:color w:val="auto"/>
                <w:kern w:val="0"/>
                <w:szCs w:val="21"/>
                <w:highlight w:val="none"/>
              </w:rPr>
            </w:pPr>
          </w:p>
        </w:tc>
        <w:tc>
          <w:tcPr>
            <w:tcW w:w="2909" w:type="dxa"/>
            <w:noWrap/>
            <w:vAlign w:val="center"/>
          </w:tcPr>
          <w:p w14:paraId="107FFA4B">
            <w:pPr>
              <w:widowControl/>
              <w:spacing w:line="360" w:lineRule="auto"/>
              <w:jc w:val="center"/>
              <w:textAlignment w:val="center"/>
              <w:rPr>
                <w:color w:val="auto"/>
                <w:szCs w:val="21"/>
                <w:highlight w:val="none"/>
              </w:rPr>
            </w:pPr>
          </w:p>
        </w:tc>
        <w:tc>
          <w:tcPr>
            <w:tcW w:w="2378" w:type="dxa"/>
            <w:noWrap w:val="0"/>
            <w:vAlign w:val="center"/>
          </w:tcPr>
          <w:p w14:paraId="79D26331">
            <w:pPr>
              <w:widowControl/>
              <w:spacing w:line="360" w:lineRule="auto"/>
              <w:jc w:val="center"/>
              <w:textAlignment w:val="center"/>
              <w:rPr>
                <w:color w:val="auto"/>
                <w:szCs w:val="21"/>
                <w:highlight w:val="none"/>
              </w:rPr>
            </w:pPr>
          </w:p>
        </w:tc>
      </w:tr>
      <w:tr w14:paraId="2D169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5" w:hRule="atLeast"/>
          <w:jc w:val="center"/>
        </w:trPr>
        <w:tc>
          <w:tcPr>
            <w:tcW w:w="1041" w:type="dxa"/>
            <w:noWrap/>
            <w:vAlign w:val="center"/>
          </w:tcPr>
          <w:p w14:paraId="2132C43E">
            <w:pPr>
              <w:widowControl/>
              <w:spacing w:line="360" w:lineRule="auto"/>
              <w:jc w:val="center"/>
              <w:rPr>
                <w:color w:val="auto"/>
                <w:kern w:val="0"/>
                <w:szCs w:val="21"/>
                <w:highlight w:val="none"/>
              </w:rPr>
            </w:pPr>
            <w:r>
              <w:rPr>
                <w:color w:val="auto"/>
                <w:kern w:val="0"/>
                <w:szCs w:val="21"/>
                <w:highlight w:val="none"/>
              </w:rPr>
              <w:t>3</w:t>
            </w:r>
          </w:p>
        </w:tc>
        <w:tc>
          <w:tcPr>
            <w:tcW w:w="2728" w:type="dxa"/>
            <w:noWrap w:val="0"/>
            <w:vAlign w:val="center"/>
          </w:tcPr>
          <w:p w14:paraId="1361B386">
            <w:pPr>
              <w:widowControl/>
              <w:spacing w:line="360" w:lineRule="auto"/>
              <w:jc w:val="center"/>
              <w:rPr>
                <w:color w:val="auto"/>
                <w:kern w:val="0"/>
                <w:szCs w:val="21"/>
                <w:highlight w:val="none"/>
              </w:rPr>
            </w:pPr>
          </w:p>
        </w:tc>
        <w:tc>
          <w:tcPr>
            <w:tcW w:w="2909" w:type="dxa"/>
            <w:noWrap/>
            <w:vAlign w:val="center"/>
          </w:tcPr>
          <w:p w14:paraId="0E89F716">
            <w:pPr>
              <w:widowControl/>
              <w:spacing w:line="360" w:lineRule="auto"/>
              <w:jc w:val="center"/>
              <w:textAlignment w:val="center"/>
              <w:rPr>
                <w:color w:val="auto"/>
                <w:szCs w:val="21"/>
                <w:highlight w:val="none"/>
              </w:rPr>
            </w:pPr>
          </w:p>
        </w:tc>
        <w:tc>
          <w:tcPr>
            <w:tcW w:w="2378" w:type="dxa"/>
            <w:noWrap w:val="0"/>
            <w:vAlign w:val="center"/>
          </w:tcPr>
          <w:p w14:paraId="41B8A1AA">
            <w:pPr>
              <w:widowControl/>
              <w:spacing w:line="360" w:lineRule="auto"/>
              <w:jc w:val="center"/>
              <w:textAlignment w:val="center"/>
              <w:rPr>
                <w:color w:val="auto"/>
                <w:szCs w:val="21"/>
                <w:highlight w:val="none"/>
              </w:rPr>
            </w:pPr>
          </w:p>
        </w:tc>
      </w:tr>
    </w:tbl>
    <w:p w14:paraId="4C5E34C8">
      <w:pPr>
        <w:rPr>
          <w:color w:val="auto"/>
          <w:szCs w:val="21"/>
          <w:highlight w:val="none"/>
        </w:rPr>
      </w:pPr>
    </w:p>
    <w:p w14:paraId="0434D705">
      <w:pPr>
        <w:rPr>
          <w:color w:val="auto"/>
          <w:szCs w:val="21"/>
          <w:highlight w:val="none"/>
        </w:rPr>
      </w:pPr>
    </w:p>
    <w:p w14:paraId="44836EA8">
      <w:pPr>
        <w:rPr>
          <w:color w:val="auto"/>
          <w:szCs w:val="21"/>
          <w:highlight w:val="none"/>
        </w:rPr>
      </w:pPr>
    </w:p>
    <w:p w14:paraId="7BDF1831">
      <w:pPr>
        <w:rPr>
          <w:color w:val="auto"/>
          <w:szCs w:val="21"/>
          <w:highlight w:val="none"/>
        </w:rPr>
      </w:pPr>
    </w:p>
    <w:p w14:paraId="50B98D87">
      <w:pPr>
        <w:rPr>
          <w:color w:val="auto"/>
          <w:szCs w:val="21"/>
          <w:highlight w:val="none"/>
        </w:rPr>
      </w:pPr>
    </w:p>
    <w:p w14:paraId="0AD665A4">
      <w:pPr>
        <w:rPr>
          <w:color w:val="auto"/>
          <w:szCs w:val="21"/>
          <w:highlight w:val="none"/>
        </w:rPr>
      </w:pPr>
    </w:p>
    <w:p w14:paraId="6C9814C3">
      <w:pPr>
        <w:rPr>
          <w:color w:val="auto"/>
          <w:szCs w:val="21"/>
          <w:highlight w:val="none"/>
        </w:rPr>
      </w:pPr>
    </w:p>
    <w:p w14:paraId="6F69412D">
      <w:pPr>
        <w:rPr>
          <w:color w:val="auto"/>
          <w:szCs w:val="21"/>
          <w:highlight w:val="none"/>
        </w:rPr>
      </w:pPr>
    </w:p>
    <w:p w14:paraId="1234B5C5">
      <w:pPr>
        <w:rPr>
          <w:color w:val="auto"/>
          <w:szCs w:val="21"/>
          <w:highlight w:val="none"/>
        </w:rPr>
      </w:pPr>
    </w:p>
    <w:p w14:paraId="166951F6">
      <w:pPr>
        <w:pStyle w:val="17"/>
        <w:rPr>
          <w:color w:val="auto"/>
          <w:szCs w:val="21"/>
          <w:highlight w:val="none"/>
        </w:rPr>
      </w:pPr>
    </w:p>
    <w:p w14:paraId="30F6FF38">
      <w:pPr>
        <w:pStyle w:val="17"/>
        <w:rPr>
          <w:color w:val="auto"/>
          <w:szCs w:val="21"/>
          <w:highlight w:val="none"/>
        </w:rPr>
      </w:pPr>
    </w:p>
    <w:p w14:paraId="2E633919">
      <w:pPr>
        <w:pStyle w:val="17"/>
        <w:rPr>
          <w:color w:val="auto"/>
          <w:szCs w:val="21"/>
          <w:highlight w:val="none"/>
        </w:rPr>
      </w:pPr>
    </w:p>
    <w:p w14:paraId="4DFCA923">
      <w:pPr>
        <w:pStyle w:val="17"/>
        <w:rPr>
          <w:color w:val="auto"/>
          <w:szCs w:val="21"/>
          <w:highlight w:val="none"/>
        </w:rPr>
      </w:pPr>
    </w:p>
    <w:p w14:paraId="598E0DB6">
      <w:pPr>
        <w:pStyle w:val="17"/>
        <w:rPr>
          <w:color w:val="auto"/>
          <w:szCs w:val="21"/>
          <w:highlight w:val="none"/>
        </w:rPr>
      </w:pPr>
    </w:p>
    <w:p w14:paraId="4406E639">
      <w:pPr>
        <w:pStyle w:val="17"/>
        <w:rPr>
          <w:color w:val="auto"/>
          <w:szCs w:val="21"/>
          <w:highlight w:val="none"/>
        </w:rPr>
      </w:pPr>
    </w:p>
    <w:p w14:paraId="265CA23B">
      <w:pPr>
        <w:pStyle w:val="17"/>
        <w:rPr>
          <w:color w:val="auto"/>
          <w:szCs w:val="21"/>
          <w:highlight w:val="none"/>
        </w:rPr>
      </w:pPr>
    </w:p>
    <w:p w14:paraId="07F2DBEB">
      <w:pPr>
        <w:pStyle w:val="17"/>
        <w:rPr>
          <w:color w:val="auto"/>
          <w:szCs w:val="21"/>
          <w:highlight w:val="none"/>
        </w:rPr>
      </w:pPr>
    </w:p>
    <w:p w14:paraId="2B863A94">
      <w:pPr>
        <w:pStyle w:val="17"/>
        <w:rPr>
          <w:color w:val="auto"/>
          <w:szCs w:val="21"/>
          <w:highlight w:val="none"/>
        </w:rPr>
      </w:pPr>
    </w:p>
    <w:p w14:paraId="2BEC5900">
      <w:pPr>
        <w:pStyle w:val="17"/>
        <w:rPr>
          <w:color w:val="auto"/>
          <w:szCs w:val="21"/>
          <w:highlight w:val="none"/>
        </w:rPr>
      </w:pPr>
    </w:p>
    <w:p w14:paraId="6EA1B46A">
      <w:pPr>
        <w:pStyle w:val="17"/>
        <w:rPr>
          <w:color w:val="auto"/>
          <w:szCs w:val="21"/>
          <w:highlight w:val="none"/>
        </w:rPr>
      </w:pPr>
    </w:p>
    <w:p w14:paraId="173BD0CA">
      <w:pPr>
        <w:pStyle w:val="17"/>
        <w:rPr>
          <w:color w:val="auto"/>
          <w:szCs w:val="21"/>
          <w:highlight w:val="none"/>
        </w:rPr>
      </w:pPr>
    </w:p>
    <w:p w14:paraId="7316493E">
      <w:pPr>
        <w:pStyle w:val="17"/>
        <w:rPr>
          <w:color w:val="auto"/>
          <w:szCs w:val="21"/>
          <w:highlight w:val="none"/>
        </w:rPr>
      </w:pPr>
    </w:p>
    <w:p w14:paraId="22041301">
      <w:pPr>
        <w:pStyle w:val="17"/>
        <w:rPr>
          <w:color w:val="auto"/>
          <w:szCs w:val="21"/>
          <w:highlight w:val="none"/>
        </w:rPr>
      </w:pPr>
    </w:p>
    <w:p w14:paraId="582AEAB5">
      <w:pPr>
        <w:pStyle w:val="17"/>
        <w:rPr>
          <w:color w:val="auto"/>
          <w:szCs w:val="21"/>
          <w:highlight w:val="none"/>
        </w:rPr>
      </w:pPr>
    </w:p>
    <w:p w14:paraId="689C759C">
      <w:pPr>
        <w:pStyle w:val="17"/>
        <w:rPr>
          <w:color w:val="auto"/>
          <w:szCs w:val="21"/>
          <w:highlight w:val="none"/>
        </w:rPr>
      </w:pPr>
    </w:p>
    <w:p w14:paraId="255162E4">
      <w:pPr>
        <w:pStyle w:val="17"/>
        <w:rPr>
          <w:color w:val="auto"/>
          <w:szCs w:val="21"/>
          <w:highlight w:val="none"/>
        </w:rPr>
      </w:pPr>
    </w:p>
    <w:p w14:paraId="78767B39">
      <w:pPr>
        <w:pStyle w:val="17"/>
        <w:rPr>
          <w:color w:val="auto"/>
          <w:szCs w:val="21"/>
          <w:highlight w:val="none"/>
        </w:rPr>
      </w:pPr>
    </w:p>
    <w:p w14:paraId="639840E9">
      <w:pPr>
        <w:pStyle w:val="17"/>
        <w:rPr>
          <w:color w:val="auto"/>
          <w:szCs w:val="21"/>
          <w:highlight w:val="none"/>
        </w:rPr>
      </w:pPr>
    </w:p>
    <w:p w14:paraId="0A4EFB26">
      <w:pPr>
        <w:pStyle w:val="17"/>
        <w:rPr>
          <w:color w:val="auto"/>
          <w:szCs w:val="21"/>
          <w:highlight w:val="none"/>
        </w:rPr>
      </w:pPr>
    </w:p>
    <w:p w14:paraId="6B321C66">
      <w:pPr>
        <w:pStyle w:val="17"/>
        <w:rPr>
          <w:color w:val="auto"/>
          <w:szCs w:val="21"/>
          <w:highlight w:val="none"/>
        </w:rPr>
      </w:pPr>
    </w:p>
    <w:p w14:paraId="555AD184">
      <w:pPr>
        <w:pStyle w:val="17"/>
        <w:rPr>
          <w:color w:val="auto"/>
          <w:szCs w:val="21"/>
          <w:highlight w:val="none"/>
        </w:rPr>
      </w:pPr>
    </w:p>
    <w:p w14:paraId="4F76A31B">
      <w:pPr>
        <w:pStyle w:val="17"/>
        <w:rPr>
          <w:color w:val="auto"/>
          <w:szCs w:val="21"/>
          <w:highlight w:val="none"/>
        </w:rPr>
      </w:pPr>
    </w:p>
    <w:p w14:paraId="470DB497">
      <w:pPr>
        <w:rPr>
          <w:color w:val="auto"/>
          <w:szCs w:val="21"/>
          <w:highlight w:val="none"/>
        </w:rPr>
      </w:pPr>
    </w:p>
    <w:p w14:paraId="4DDA28FB">
      <w:pPr>
        <w:rPr>
          <w:color w:val="auto"/>
          <w:szCs w:val="21"/>
          <w:highlight w:val="none"/>
        </w:rPr>
      </w:pPr>
    </w:p>
    <w:p w14:paraId="5B5D8537">
      <w:pPr>
        <w:jc w:val="both"/>
        <w:rPr>
          <w:rFonts w:hint="eastAsia"/>
          <w:b/>
          <w:color w:val="auto"/>
          <w:sz w:val="44"/>
          <w:szCs w:val="44"/>
          <w:highlight w:val="none"/>
          <w:lang w:eastAsia="zh-CN"/>
        </w:rPr>
      </w:pPr>
      <w:r>
        <w:rPr>
          <w:color w:val="auto"/>
          <w:highlight w:val="none"/>
        </w:rPr>
        <w:t>附</w:t>
      </w:r>
      <w:r>
        <w:rPr>
          <w:rFonts w:hint="eastAsia"/>
          <w:color w:val="auto"/>
          <w:highlight w:val="none"/>
          <w:lang w:val="en-US" w:eastAsia="zh-CN"/>
        </w:rPr>
        <w:t>件二</w:t>
      </w:r>
      <w:r>
        <w:rPr>
          <w:rFonts w:hint="eastAsia"/>
          <w:color w:val="auto"/>
          <w:highlight w:val="none"/>
        </w:rPr>
        <w:t>：</w:t>
      </w:r>
    </w:p>
    <w:p w14:paraId="18D21C4A">
      <w:pPr>
        <w:ind w:firstLine="883" w:firstLineChars="200"/>
        <w:jc w:val="both"/>
        <w:rPr>
          <w:b/>
          <w:color w:val="auto"/>
          <w:sz w:val="44"/>
          <w:szCs w:val="44"/>
          <w:highlight w:val="none"/>
          <w:lang w:eastAsia="zh-CN"/>
        </w:rPr>
      </w:pPr>
      <w:r>
        <w:rPr>
          <w:rFonts w:hint="eastAsia"/>
          <w:b/>
          <w:color w:val="auto"/>
          <w:sz w:val="44"/>
          <w:szCs w:val="44"/>
          <w:highlight w:val="none"/>
          <w:lang w:eastAsia="zh-CN"/>
        </w:rPr>
        <w:t>医疗卫生机构医药产品廉洁购销合约</w:t>
      </w:r>
    </w:p>
    <w:p w14:paraId="41013648">
      <w:pPr>
        <w:pStyle w:val="32"/>
        <w:shd w:val="clear" w:color="auto" w:fill="FFFFFF"/>
        <w:spacing w:before="0" w:beforeAutospacing="0" w:after="0" w:afterAutospacing="0" w:line="293" w:lineRule="atLeast"/>
        <w:rPr>
          <w:rFonts w:hint="eastAsia" w:ascii="仿宋_GB2312" w:eastAsia="仿宋_GB2312"/>
          <w:b/>
          <w:color w:val="auto"/>
          <w:kern w:val="2"/>
          <w:sz w:val="44"/>
          <w:szCs w:val="44"/>
          <w:highlight w:val="none"/>
        </w:rPr>
      </w:pPr>
    </w:p>
    <w:p w14:paraId="1926F206">
      <w:pPr>
        <w:rPr>
          <w:rFonts w:hint="eastAsia"/>
          <w:color w:val="auto"/>
          <w:kern w:val="2"/>
          <w:highlight w:val="none"/>
        </w:rPr>
      </w:pPr>
      <w:r>
        <w:rPr>
          <w:color w:val="auto"/>
          <w:kern w:val="2"/>
          <w:sz w:val="24"/>
          <w:szCs w:val="24"/>
          <w:highlight w:val="none"/>
        </w:rPr>
        <w:t>甲方</w:t>
      </w:r>
      <w:r>
        <w:rPr>
          <w:color w:val="auto"/>
          <w:kern w:val="2"/>
          <w:highlight w:val="none"/>
        </w:rPr>
        <w:t>：</w:t>
      </w:r>
      <w:r>
        <w:rPr>
          <w:rFonts w:hint="eastAsia"/>
          <w:color w:val="auto"/>
          <w:kern w:val="2"/>
          <w:highlight w:val="none"/>
          <w:lang w:eastAsia="zh-CN"/>
        </w:rPr>
        <w:t>‌南京医科大学第二附属医院</w:t>
      </w:r>
      <w:r>
        <w:rPr>
          <w:color w:val="auto"/>
          <w:kern w:val="2"/>
          <w:highlight w:val="none"/>
        </w:rPr>
        <w:tab/>
      </w:r>
    </w:p>
    <w:p w14:paraId="0D9AD69C">
      <w:pPr>
        <w:rPr>
          <w:rFonts w:hint="eastAsia"/>
          <w:color w:val="auto"/>
          <w:sz w:val="24"/>
          <w:szCs w:val="24"/>
          <w:highlight w:val="none"/>
        </w:rPr>
      </w:pPr>
      <w:r>
        <w:rPr>
          <w:color w:val="auto"/>
          <w:sz w:val="24"/>
          <w:szCs w:val="24"/>
          <w:highlight w:val="none"/>
        </w:rPr>
        <w:t>乙方</w:t>
      </w:r>
      <w:r>
        <w:rPr>
          <w:rFonts w:hint="eastAsia"/>
          <w:color w:val="auto"/>
          <w:sz w:val="24"/>
          <w:szCs w:val="24"/>
          <w:highlight w:val="none"/>
        </w:rPr>
        <w:t xml:space="preserve">： </w:t>
      </w:r>
    </w:p>
    <w:p w14:paraId="1B84D336">
      <w:pPr>
        <w:rPr>
          <w:rFonts w:hint="eastAsia"/>
          <w:color w:val="auto"/>
          <w:sz w:val="24"/>
          <w:szCs w:val="24"/>
          <w:highlight w:val="none"/>
          <w:lang w:eastAsia="zh-CN"/>
        </w:rPr>
      </w:pPr>
      <w:r>
        <w:rPr>
          <w:rFonts w:hint="eastAsia"/>
          <w:color w:val="auto"/>
          <w:position w:val="1"/>
          <w:highlight w:val="none"/>
          <w:lang w:eastAsia="zh-CN"/>
        </w:rPr>
        <w:t xml:space="preserve"> </w:t>
      </w:r>
      <w:r>
        <w:rPr>
          <w:rFonts w:hint="eastAsia"/>
          <w:color w:val="auto"/>
          <w:position w:val="1"/>
          <w:sz w:val="24"/>
          <w:szCs w:val="24"/>
          <w:highlight w:val="none"/>
          <w:lang w:eastAsia="zh-CN"/>
        </w:rPr>
        <w:t xml:space="preserve"> 为</w:t>
      </w:r>
      <w:r>
        <w:rPr>
          <w:rFonts w:hint="eastAsia"/>
          <w:color w:val="auto"/>
          <w:sz w:val="24"/>
          <w:szCs w:val="24"/>
          <w:highlight w:val="none"/>
          <w:lang w:eastAsia="zh-CN"/>
        </w:rPr>
        <w:t>进一步加强医疗卫生行风建设，规范医疗卫生机构医药购销行为，有效防范商业贿赂行</w:t>
      </w:r>
    </w:p>
    <w:p w14:paraId="3B174939">
      <w:pPr>
        <w:ind w:firstLine="0"/>
        <w:rPr>
          <w:rFonts w:hint="eastAsia"/>
          <w:color w:val="auto"/>
          <w:position w:val="1"/>
          <w:highlight w:val="none"/>
          <w:lang w:eastAsia="zh-CN"/>
        </w:rPr>
      </w:pPr>
      <w:r>
        <w:rPr>
          <w:rFonts w:hint="eastAsia"/>
          <w:color w:val="auto"/>
          <w:sz w:val="24"/>
          <w:szCs w:val="24"/>
          <w:highlight w:val="none"/>
          <w:lang w:eastAsia="zh-CN"/>
        </w:rPr>
        <w:t>营造公平交易、诚实守信的购销环境，经甲、乙双方协商，同意签订本合约，并共同遵守</w:t>
      </w:r>
      <w:r>
        <w:rPr>
          <w:rFonts w:hint="eastAsia"/>
          <w:color w:val="auto"/>
          <w:highlight w:val="none"/>
          <w:lang w:eastAsia="zh-CN"/>
        </w:rPr>
        <w:t>：</w:t>
      </w:r>
    </w:p>
    <w:p w14:paraId="7535D61C">
      <w:pPr>
        <w:rPr>
          <w:rFonts w:hint="eastAsia"/>
          <w:color w:val="auto"/>
          <w:sz w:val="24"/>
          <w:szCs w:val="24"/>
          <w:highlight w:val="none"/>
        </w:rPr>
      </w:pPr>
      <w:r>
        <w:rPr>
          <w:rFonts w:hint="eastAsia"/>
          <w:color w:val="auto"/>
          <w:sz w:val="24"/>
          <w:szCs w:val="24"/>
          <w:highlight w:val="none"/>
        </w:rPr>
        <w:t>一、甲乙双方按照《中华人民共和国民法典》及医药产品购销合同约定购销药品、医用设备、医用耗材等医药产品。</w:t>
      </w:r>
    </w:p>
    <w:p w14:paraId="3FA70E56">
      <w:pPr>
        <w:rPr>
          <w:rFonts w:hint="eastAsia"/>
          <w:color w:val="auto"/>
          <w:sz w:val="24"/>
          <w:szCs w:val="24"/>
          <w:highlight w:val="none"/>
        </w:rPr>
      </w:pPr>
      <w:r>
        <w:rPr>
          <w:rFonts w:hint="eastAsia"/>
          <w:color w:val="auto"/>
          <w:sz w:val="24"/>
          <w:szCs w:val="24"/>
          <w:highlight w:val="none"/>
        </w:rPr>
        <w:t xml:space="preserve">二、甲方应当严格执行医药产品购销合同验收、入库制度，对采购医药产品及发票进行查验，不得违反有关规定合同外采购、违价采购或从非规定渠道采购。 </w:t>
      </w:r>
    </w:p>
    <w:p w14:paraId="721704D8">
      <w:pPr>
        <w:rPr>
          <w:rFonts w:hint="eastAsia"/>
          <w:color w:val="auto"/>
          <w:sz w:val="24"/>
          <w:szCs w:val="24"/>
          <w:highlight w:val="none"/>
        </w:rPr>
      </w:pPr>
      <w:r>
        <w:rPr>
          <w:rFonts w:hint="eastAsia"/>
          <w:color w:val="auto"/>
          <w:sz w:val="24"/>
          <w:szCs w:val="24"/>
          <w:highlight w:val="none"/>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p>
    <w:p w14:paraId="701E497A">
      <w:pPr>
        <w:rPr>
          <w:rFonts w:hint="eastAsia"/>
          <w:color w:val="auto"/>
          <w:sz w:val="24"/>
          <w:szCs w:val="24"/>
          <w:highlight w:val="none"/>
        </w:rPr>
      </w:pPr>
      <w:r>
        <w:rPr>
          <w:rFonts w:hint="eastAsia"/>
          <w:color w:val="auto"/>
          <w:sz w:val="24"/>
          <w:szCs w:val="24"/>
          <w:highlight w:val="none"/>
        </w:rPr>
        <w:t>四、严禁甲方工作人员利用任何途径和方式，为乙方统计医师个人及临床科室有关医药产品用量信息，或为乙方统计提供便利。</w:t>
      </w:r>
    </w:p>
    <w:p w14:paraId="726AB37E">
      <w:pPr>
        <w:rPr>
          <w:color w:val="auto"/>
          <w:sz w:val="24"/>
          <w:szCs w:val="24"/>
          <w:highlight w:val="none"/>
        </w:rPr>
      </w:pPr>
      <w:r>
        <w:rPr>
          <w:rFonts w:hint="eastAsia"/>
          <w:color w:val="auto"/>
          <w:sz w:val="24"/>
          <w:szCs w:val="24"/>
          <w:highlight w:val="none"/>
        </w:rPr>
        <w:t>五、乙方不得以回扣、宴请等方式影响甲方工作人员采购或使用医药产品的选择权，不得在学术活动中提供旅游、超标准支付食宿费用。</w:t>
      </w:r>
    </w:p>
    <w:p w14:paraId="5ED8270D">
      <w:pPr>
        <w:rPr>
          <w:rFonts w:hint="eastAsia"/>
          <w:color w:val="auto"/>
          <w:sz w:val="24"/>
          <w:szCs w:val="24"/>
          <w:highlight w:val="none"/>
        </w:rPr>
      </w:pPr>
      <w:r>
        <w:rPr>
          <w:rFonts w:hint="eastAsia"/>
          <w:color w:val="auto"/>
          <w:sz w:val="24"/>
          <w:szCs w:val="24"/>
          <w:highlight w:val="none"/>
        </w:rPr>
        <w:t xml:space="preserve">六、乙方指定 </w:t>
      </w:r>
      <w:r>
        <w:rPr>
          <w:rFonts w:hint="eastAsia"/>
          <w:color w:val="auto"/>
          <w:sz w:val="24"/>
          <w:szCs w:val="24"/>
          <w:highlight w:val="none"/>
          <w:u w:val="single"/>
        </w:rPr>
        <w:t xml:space="preserve">              </w:t>
      </w:r>
      <w:r>
        <w:rPr>
          <w:rFonts w:hint="eastAsia"/>
          <w:color w:val="auto"/>
          <w:sz w:val="24"/>
          <w:szCs w:val="24"/>
          <w:highlight w:val="none"/>
        </w:rPr>
        <w:t>作为销售代表洽谈业务。销售代表必须在工作时间到甲方指定地点联系商谈，不得到住院部、门诊部、医技科室等推销医药产品，不得借故到甲方相关领导、部门负责人及相关工作人员家中访谈并提供任何好处费。</w:t>
      </w:r>
    </w:p>
    <w:p w14:paraId="672B3467">
      <w:pPr>
        <w:rPr>
          <w:color w:val="auto"/>
          <w:sz w:val="24"/>
          <w:szCs w:val="24"/>
          <w:highlight w:val="none"/>
        </w:rPr>
      </w:pPr>
      <w:r>
        <w:rPr>
          <w:rFonts w:hint="eastAsia"/>
          <w:color w:val="auto"/>
          <w:sz w:val="24"/>
          <w:szCs w:val="24"/>
          <w:highlight w:val="none"/>
        </w:rPr>
        <w:t>七、乙方如违反本合约，一经发现，甲方有权终止购销合同，并向有关卫生计生行政部门报告。如乙方被列入商业贿赂不良记录，则严格按照《国家</w:t>
      </w:r>
      <w:r>
        <w:rPr>
          <w:color w:val="auto"/>
          <w:sz w:val="24"/>
          <w:szCs w:val="24"/>
          <w:highlight w:val="none"/>
        </w:rPr>
        <w:t>卫生计生委关于建立医药购销领域商业贿赂不良记录的规定</w:t>
      </w:r>
      <w:r>
        <w:rPr>
          <w:rFonts w:hint="eastAsia"/>
          <w:color w:val="auto"/>
          <w:sz w:val="24"/>
          <w:szCs w:val="24"/>
          <w:highlight w:val="none"/>
        </w:rPr>
        <w:t>》</w:t>
      </w:r>
      <w:r>
        <w:rPr>
          <w:color w:val="auto"/>
          <w:sz w:val="24"/>
          <w:szCs w:val="24"/>
          <w:highlight w:val="none"/>
        </w:rPr>
        <w:t>（国卫法制发〔2013〕50号）</w:t>
      </w:r>
      <w:r>
        <w:rPr>
          <w:rFonts w:hint="eastAsia"/>
          <w:color w:val="auto"/>
          <w:sz w:val="24"/>
          <w:szCs w:val="24"/>
          <w:highlight w:val="none"/>
        </w:rPr>
        <w:t>相关规定处理。</w:t>
      </w:r>
    </w:p>
    <w:p w14:paraId="682574E1">
      <w:pPr>
        <w:rPr>
          <w:color w:val="auto"/>
          <w:sz w:val="24"/>
          <w:szCs w:val="24"/>
          <w:highlight w:val="none"/>
        </w:rPr>
      </w:pPr>
      <w:r>
        <w:rPr>
          <w:rFonts w:hint="eastAsia"/>
          <w:color w:val="auto"/>
          <w:sz w:val="24"/>
          <w:szCs w:val="24"/>
          <w:highlight w:val="none"/>
        </w:rPr>
        <w:t>八、本合约作为医药产品购销合同的重要组成部分，与购销合同一并执行，具有同等的法律效力。</w:t>
      </w:r>
    </w:p>
    <w:p w14:paraId="2B9E905A">
      <w:pPr>
        <w:rPr>
          <w:color w:val="auto"/>
          <w:sz w:val="24"/>
          <w:szCs w:val="24"/>
          <w:highlight w:val="none"/>
        </w:rPr>
      </w:pPr>
      <w:r>
        <w:rPr>
          <w:rFonts w:hint="eastAsia"/>
          <w:color w:val="auto"/>
          <w:sz w:val="24"/>
          <w:szCs w:val="24"/>
          <w:highlight w:val="none"/>
        </w:rPr>
        <w:t>九、本合约一式三份，甲、乙双方各执一份，甲方纪检监察部门执一份，并从签订之日起生效。</w:t>
      </w:r>
    </w:p>
    <w:p w14:paraId="6C6D46BB">
      <w:pPr>
        <w:rPr>
          <w:color w:val="auto"/>
          <w:sz w:val="24"/>
          <w:szCs w:val="24"/>
          <w:highlight w:val="none"/>
        </w:rPr>
      </w:pPr>
    </w:p>
    <w:p w14:paraId="4B464A57">
      <w:pPr>
        <w:rPr>
          <w:rFonts w:hint="eastAsia"/>
          <w:color w:val="auto"/>
          <w:sz w:val="24"/>
          <w:szCs w:val="24"/>
          <w:highlight w:val="none"/>
          <w:lang w:eastAsia="zh-CN"/>
        </w:rPr>
      </w:pPr>
    </w:p>
    <w:p w14:paraId="40A5E555">
      <w:pPr>
        <w:rPr>
          <w:rFonts w:hint="eastAsia"/>
          <w:color w:val="auto"/>
          <w:sz w:val="24"/>
          <w:szCs w:val="24"/>
          <w:highlight w:val="none"/>
          <w:lang w:eastAsia="zh-CN"/>
        </w:rPr>
      </w:pPr>
    </w:p>
    <w:p w14:paraId="303A0642">
      <w:pPr>
        <w:rPr>
          <w:color w:val="auto"/>
          <w:sz w:val="24"/>
          <w:szCs w:val="24"/>
          <w:highlight w:val="none"/>
          <w:lang w:eastAsia="zh-CN"/>
        </w:rPr>
      </w:pPr>
      <w:r>
        <w:rPr>
          <w:rFonts w:hint="eastAsia"/>
          <w:color w:val="auto"/>
          <w:sz w:val="24"/>
          <w:szCs w:val="24"/>
          <w:highlight w:val="none"/>
          <w:lang w:eastAsia="zh-CN"/>
        </w:rPr>
        <w:t xml:space="preserve">甲方：‌南京医科大学第二附属医院                              乙方： </w:t>
      </w:r>
    </w:p>
    <w:p w14:paraId="73D2C603">
      <w:pPr>
        <w:rPr>
          <w:rFonts w:hint="eastAsia"/>
          <w:color w:val="auto"/>
          <w:sz w:val="24"/>
          <w:szCs w:val="24"/>
          <w:highlight w:val="none"/>
          <w:lang w:eastAsia="zh-CN"/>
        </w:rPr>
      </w:pPr>
      <w:r>
        <w:rPr>
          <w:rFonts w:hint="eastAsia"/>
          <w:color w:val="auto"/>
          <w:sz w:val="24"/>
          <w:szCs w:val="24"/>
          <w:highlight w:val="none"/>
          <w:lang w:eastAsia="zh-CN"/>
        </w:rPr>
        <w:t>法定代表人（负责人）：                             法定代表人（负责人）：</w:t>
      </w:r>
    </w:p>
    <w:p w14:paraId="315CF08C">
      <w:pPr>
        <w:rPr>
          <w:rFonts w:hint="eastAsia"/>
          <w:color w:val="auto"/>
          <w:sz w:val="24"/>
          <w:szCs w:val="24"/>
          <w:highlight w:val="none"/>
          <w:lang w:eastAsia="zh-CN"/>
        </w:rPr>
      </w:pPr>
      <w:r>
        <w:rPr>
          <w:rFonts w:hint="eastAsia"/>
          <w:color w:val="auto"/>
          <w:sz w:val="24"/>
          <w:szCs w:val="24"/>
          <w:highlight w:val="none"/>
          <w:lang w:eastAsia="zh-CN"/>
        </w:rPr>
        <w:t xml:space="preserve">经办人：                                 </w:t>
      </w:r>
      <w:r>
        <w:rPr>
          <w:rFonts w:hint="eastAsia"/>
          <w:color w:val="auto"/>
          <w:sz w:val="24"/>
          <w:szCs w:val="24"/>
          <w:highlight w:val="none"/>
          <w:lang w:val="en-US" w:eastAsia="zh-CN"/>
        </w:rPr>
        <w:t xml:space="preserve">  </w:t>
      </w:r>
      <w:r>
        <w:rPr>
          <w:rFonts w:hint="eastAsia"/>
          <w:color w:val="auto"/>
          <w:sz w:val="24"/>
          <w:szCs w:val="24"/>
          <w:highlight w:val="none"/>
          <w:lang w:eastAsia="zh-CN"/>
        </w:rPr>
        <w:t>经办人：</w:t>
      </w:r>
    </w:p>
    <w:p w14:paraId="713F8847">
      <w:pPr>
        <w:rPr>
          <w:rFonts w:hint="eastAsia"/>
          <w:color w:val="auto"/>
          <w:sz w:val="24"/>
          <w:szCs w:val="24"/>
          <w:highlight w:val="none"/>
        </w:rPr>
      </w:pPr>
      <w:r>
        <w:rPr>
          <w:rFonts w:hint="eastAsia"/>
          <w:color w:val="auto"/>
          <w:sz w:val="24"/>
          <w:szCs w:val="24"/>
          <w:highlight w:val="none"/>
        </w:rPr>
        <w:t>年    月    日                                    年    月    日</w:t>
      </w:r>
    </w:p>
    <w:p w14:paraId="1E75ADCF">
      <w:pPr>
        <w:rPr>
          <w:rFonts w:hint="eastAsia"/>
          <w:color w:val="auto"/>
          <w:sz w:val="21"/>
          <w:szCs w:val="21"/>
          <w:highlight w:val="none"/>
          <w:lang w:eastAsia="zh-CN"/>
        </w:rPr>
      </w:pPr>
    </w:p>
    <w:p w14:paraId="444FF620">
      <w:pPr>
        <w:rPr>
          <w:color w:val="auto"/>
          <w:szCs w:val="21"/>
          <w:highlight w:val="none"/>
        </w:rPr>
      </w:pPr>
    </w:p>
    <w:p w14:paraId="632E2F63">
      <w:pPr>
        <w:rPr>
          <w:color w:val="auto"/>
          <w:szCs w:val="21"/>
          <w:highlight w:val="none"/>
        </w:rPr>
      </w:pPr>
    </w:p>
    <w:p w14:paraId="64E27DE6">
      <w:pPr>
        <w:rPr>
          <w:color w:val="auto"/>
          <w:szCs w:val="21"/>
          <w:highlight w:val="none"/>
        </w:rPr>
      </w:pPr>
    </w:p>
    <w:p w14:paraId="2F8C4D51">
      <w:pPr>
        <w:keepNext w:val="0"/>
        <w:keepLines w:val="0"/>
        <w:pageBreakBefore w:val="0"/>
        <w:widowControl w:val="0"/>
        <w:kinsoku/>
        <w:wordWrap/>
        <w:overflowPunct/>
        <w:topLinePunct w:val="0"/>
        <w:autoSpaceDE/>
        <w:autoSpaceDN/>
        <w:bidi w:val="0"/>
        <w:adjustRightInd/>
        <w:snapToGrid/>
        <w:spacing w:line="312" w:lineRule="auto"/>
        <w:jc w:val="left"/>
        <w:textAlignment w:val="auto"/>
        <w:rPr>
          <w:color w:val="auto"/>
          <w:highlight w:val="none"/>
        </w:rPr>
      </w:pPr>
    </w:p>
    <w:p w14:paraId="7E707ECE">
      <w:pPr>
        <w:keepNext w:val="0"/>
        <w:keepLines w:val="0"/>
        <w:pageBreakBefore w:val="0"/>
        <w:widowControl w:val="0"/>
        <w:kinsoku/>
        <w:wordWrap/>
        <w:overflowPunct/>
        <w:topLinePunct w:val="0"/>
        <w:autoSpaceDE/>
        <w:autoSpaceDN/>
        <w:bidi w:val="0"/>
        <w:adjustRightInd/>
        <w:snapToGrid/>
        <w:spacing w:line="312" w:lineRule="auto"/>
        <w:jc w:val="left"/>
        <w:textAlignment w:val="auto"/>
        <w:rPr>
          <w:color w:val="auto"/>
          <w:highlight w:val="none"/>
        </w:rPr>
      </w:pPr>
    </w:p>
    <w:p w14:paraId="28704B90">
      <w:pPr>
        <w:keepNext w:val="0"/>
        <w:keepLines w:val="0"/>
        <w:pageBreakBefore w:val="0"/>
        <w:widowControl w:val="0"/>
        <w:kinsoku/>
        <w:wordWrap/>
        <w:overflowPunct/>
        <w:topLinePunct w:val="0"/>
        <w:autoSpaceDE/>
        <w:autoSpaceDN/>
        <w:bidi w:val="0"/>
        <w:adjustRightInd/>
        <w:snapToGrid/>
        <w:spacing w:line="312" w:lineRule="auto"/>
        <w:jc w:val="left"/>
        <w:textAlignment w:val="auto"/>
        <w:rPr>
          <w:rFonts w:hint="eastAsia" w:ascii="Times New Roman" w:hAnsi="Times New Roman" w:eastAsia="宋体" w:cs="Times New Roman"/>
          <w:b/>
          <w:bCs/>
          <w:color w:val="auto"/>
          <w:szCs w:val="21"/>
          <w:highlight w:val="none"/>
        </w:rPr>
      </w:pPr>
      <w:r>
        <w:rPr>
          <w:color w:val="auto"/>
          <w:highlight w:val="none"/>
        </w:rPr>
        <w:t>附</w:t>
      </w:r>
      <w:r>
        <w:rPr>
          <w:rFonts w:hint="eastAsia"/>
          <w:color w:val="auto"/>
          <w:highlight w:val="none"/>
          <w:lang w:val="en-US" w:eastAsia="zh-CN"/>
        </w:rPr>
        <w:t>件三</w:t>
      </w:r>
      <w:r>
        <w:rPr>
          <w:rFonts w:hint="eastAsia"/>
          <w:color w:val="auto"/>
          <w:highlight w:val="none"/>
        </w:rPr>
        <w:t>：</w:t>
      </w:r>
    </w:p>
    <w:p w14:paraId="18E1B716">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b/>
          <w:bCs/>
          <w:color w:val="auto"/>
          <w:szCs w:val="21"/>
          <w:highlight w:val="none"/>
          <w:lang w:eastAsia="zh-CN"/>
        </w:rPr>
      </w:pPr>
      <w:r>
        <w:rPr>
          <w:rFonts w:hint="eastAsia" w:cs="Times New Roman"/>
          <w:b/>
          <w:bCs/>
          <w:color w:val="auto"/>
          <w:szCs w:val="21"/>
          <w:highlight w:val="none"/>
          <w:lang w:eastAsia="zh-CN"/>
        </w:rPr>
        <w:t>‌南京医科大学第二附属医院</w:t>
      </w:r>
    </w:p>
    <w:p w14:paraId="16A908EF">
      <w:pPr>
        <w:keepNext w:val="0"/>
        <w:keepLines w:val="0"/>
        <w:pageBreakBefore w:val="0"/>
        <w:widowControl w:val="0"/>
        <w:kinsoku/>
        <w:wordWrap/>
        <w:overflowPunct/>
        <w:topLinePunct w:val="0"/>
        <w:autoSpaceDE/>
        <w:autoSpaceDN/>
        <w:bidi w:val="0"/>
        <w:adjustRightInd/>
        <w:snapToGrid/>
        <w:spacing w:line="312" w:lineRule="auto"/>
        <w:jc w:val="center"/>
        <w:textAlignment w:val="auto"/>
        <w:rPr>
          <w:rFonts w:hint="eastAsia"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rPr>
        <w:t>医疗设备安装（施工）单位消防、安全生产、治安管理责任书</w:t>
      </w:r>
    </w:p>
    <w:p w14:paraId="029D1D1F">
      <w:pPr>
        <w:keepNext w:val="0"/>
        <w:keepLines w:val="0"/>
        <w:pageBreakBefore w:val="0"/>
        <w:widowControl w:val="0"/>
        <w:kinsoku/>
        <w:wordWrap/>
        <w:overflowPunct/>
        <w:topLinePunct w:val="0"/>
        <w:autoSpaceDE/>
        <w:autoSpaceDN/>
        <w:bidi w:val="0"/>
        <w:adjustRightInd/>
        <w:snapToGrid/>
        <w:spacing w:line="288" w:lineRule="auto"/>
        <w:jc w:val="left"/>
        <w:textAlignment w:val="auto"/>
        <w:rPr>
          <w:rFonts w:hint="eastAsia"/>
          <w:b/>
          <w:bCs/>
          <w:color w:val="auto"/>
          <w:sz w:val="21"/>
          <w:szCs w:val="21"/>
          <w:highlight w:val="none"/>
        </w:rPr>
      </w:pPr>
      <w:r>
        <w:rPr>
          <w:rFonts w:hint="eastAsia" w:ascii="宋体" w:hAnsi="宋体" w:eastAsia="宋体"/>
          <w:color w:val="auto"/>
          <w:sz w:val="21"/>
          <w:szCs w:val="21"/>
          <w:highlight w:val="none"/>
          <w:lang w:val="en-US" w:eastAsia="zh-CN"/>
        </w:rPr>
        <w:t>本附件与主合同具有同等法律效应。</w:t>
      </w:r>
    </w:p>
    <w:p w14:paraId="434187A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单位的消防、安全生产、治安管理工作责任人在</w:t>
      </w:r>
      <w:r>
        <w:rPr>
          <w:rFonts w:hint="eastAsia"/>
          <w:color w:val="auto"/>
          <w:szCs w:val="21"/>
          <w:highlight w:val="none"/>
          <w:lang w:eastAsia="zh-CN"/>
        </w:rPr>
        <w:t>‌南京医科大学第二附属医院</w:t>
      </w:r>
      <w:r>
        <w:rPr>
          <w:rFonts w:hint="eastAsia"/>
          <w:color w:val="auto"/>
          <w:szCs w:val="21"/>
          <w:highlight w:val="none"/>
        </w:rPr>
        <w:t>临床医学工程处的指导下，全面负责本单位在</w:t>
      </w:r>
      <w:r>
        <w:rPr>
          <w:rFonts w:hint="eastAsia"/>
          <w:color w:val="auto"/>
          <w:szCs w:val="21"/>
          <w:highlight w:val="none"/>
          <w:lang w:eastAsia="zh-CN"/>
        </w:rPr>
        <w:t>‌南京医科大学第二附属医院</w:t>
      </w:r>
      <w:r>
        <w:rPr>
          <w:rFonts w:hint="eastAsia"/>
          <w:color w:val="auto"/>
          <w:szCs w:val="21"/>
          <w:highlight w:val="none"/>
        </w:rPr>
        <w:t>相关医疗设备安装</w:t>
      </w:r>
      <w:r>
        <w:rPr>
          <w:rFonts w:hAnsi="宋体"/>
          <w:color w:val="auto"/>
          <w:sz w:val="21"/>
          <w:szCs w:val="21"/>
          <w:highlight w:val="none"/>
        </w:rPr>
        <w:t>（含维修）</w:t>
      </w:r>
      <w:r>
        <w:rPr>
          <w:rFonts w:hint="eastAsia"/>
          <w:color w:val="auto"/>
          <w:szCs w:val="21"/>
          <w:highlight w:val="none"/>
        </w:rPr>
        <w:t>期间的消防</w:t>
      </w:r>
      <w:r>
        <w:rPr>
          <w:rFonts w:hint="eastAsia"/>
          <w:color w:val="auto"/>
          <w:szCs w:val="21"/>
          <w:highlight w:val="none"/>
          <w:lang w:eastAsia="zh-CN"/>
        </w:rPr>
        <w:t>、</w:t>
      </w:r>
      <w:r>
        <w:rPr>
          <w:rFonts w:hint="eastAsia"/>
          <w:color w:val="auto"/>
          <w:szCs w:val="21"/>
          <w:highlight w:val="none"/>
        </w:rPr>
        <w:t>安全生产和治安防范工作，履行以下职责：</w:t>
      </w:r>
    </w:p>
    <w:p w14:paraId="08E1CE64">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一</w:t>
      </w:r>
      <w:r>
        <w:rPr>
          <w:color w:val="auto"/>
          <w:szCs w:val="21"/>
          <w:highlight w:val="none"/>
        </w:rPr>
        <w:t>、</w:t>
      </w:r>
      <w:r>
        <w:rPr>
          <w:rFonts w:hint="eastAsia"/>
          <w:color w:val="auto"/>
          <w:szCs w:val="21"/>
          <w:highlight w:val="none"/>
        </w:rPr>
        <w:t>贯彻执行消防法规，建筑法规、安全治安管理有关法律法规，并掌握本单位的消防安全状况，自觉接受临床医学工程处的安全管理指导。</w:t>
      </w:r>
    </w:p>
    <w:p w14:paraId="52E3ED07">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二</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管理必须坚持“安全第一、预防为主”的方针，医疗设备安装</w:t>
      </w:r>
      <w:r>
        <w:rPr>
          <w:rFonts w:hAnsi="宋体"/>
          <w:color w:val="auto"/>
          <w:sz w:val="21"/>
          <w:szCs w:val="21"/>
          <w:highlight w:val="none"/>
        </w:rPr>
        <w:t>（含维修）</w:t>
      </w:r>
      <w:r>
        <w:rPr>
          <w:rFonts w:hint="eastAsia"/>
          <w:color w:val="auto"/>
          <w:szCs w:val="21"/>
          <w:highlight w:val="none"/>
        </w:rPr>
        <w:t>单位的法定代表人对本单位的安全生产负总责。</w:t>
      </w:r>
    </w:p>
    <w:p w14:paraId="10D6E8E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三</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单位必须依法加强对医疗设备安装施工的管理，执行安全生产责任制度，采取有效措施，防止伤亡和其他安全生产责任事故的发生。</w:t>
      </w:r>
    </w:p>
    <w:p w14:paraId="1789E8A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四</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单位应当建立健全劳动安全生产教育培训制度，加强对职工生产安全的教育和培训，未经安全生产教育培训人员不得上岗作业。</w:t>
      </w:r>
    </w:p>
    <w:p w14:paraId="07315451">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五</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和作业人员在施工过程中，应当遵守有关安全生产的法律、法规和建筑行业安全规范（规程），不得违章指挥或违章作业。</w:t>
      </w:r>
    </w:p>
    <w:p w14:paraId="6823E019">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六</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应当在施工现场采取维护安全、防范危险、预防火灾等措施，施工现场对毗邻的建筑，构筑物和特殊作业环境可能造成损害的，医疗设备安装</w:t>
      </w:r>
      <w:r>
        <w:rPr>
          <w:rFonts w:hAnsi="宋体"/>
          <w:color w:val="auto"/>
          <w:sz w:val="21"/>
          <w:szCs w:val="21"/>
          <w:highlight w:val="none"/>
        </w:rPr>
        <w:t>（含维修）</w:t>
      </w:r>
      <w:r>
        <w:rPr>
          <w:rFonts w:hint="eastAsia"/>
          <w:color w:val="auto"/>
          <w:szCs w:val="21"/>
          <w:highlight w:val="none"/>
        </w:rPr>
        <w:t>单位应当采取措施加以保护。</w:t>
      </w:r>
    </w:p>
    <w:p w14:paraId="08B1E5BA">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color w:val="auto"/>
          <w:szCs w:val="21"/>
          <w:highlight w:val="none"/>
        </w:rPr>
      </w:pPr>
      <w:r>
        <w:rPr>
          <w:rFonts w:hint="eastAsia"/>
          <w:color w:val="auto"/>
          <w:szCs w:val="21"/>
          <w:highlight w:val="none"/>
        </w:rPr>
        <w:t>七</w:t>
      </w:r>
      <w:r>
        <w:rPr>
          <w:color w:val="auto"/>
          <w:szCs w:val="21"/>
          <w:highlight w:val="none"/>
        </w:rPr>
        <w:t>、</w:t>
      </w:r>
      <w:r>
        <w:rPr>
          <w:rFonts w:hint="eastAsia"/>
          <w:color w:val="auto"/>
          <w:szCs w:val="21"/>
          <w:highlight w:val="none"/>
        </w:rPr>
        <w:t>严格管理动火程序，因医疗设备安装</w:t>
      </w:r>
      <w:r>
        <w:rPr>
          <w:rFonts w:hAnsi="宋体"/>
          <w:color w:val="auto"/>
          <w:sz w:val="21"/>
          <w:szCs w:val="21"/>
          <w:highlight w:val="none"/>
        </w:rPr>
        <w:t>（含维修）</w:t>
      </w:r>
      <w:r>
        <w:rPr>
          <w:rFonts w:hint="eastAsia"/>
          <w:color w:val="auto"/>
          <w:szCs w:val="21"/>
          <w:highlight w:val="none"/>
        </w:rPr>
        <w:t>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p>
    <w:p w14:paraId="75D53A54">
      <w:pPr>
        <w:keepNext w:val="0"/>
        <w:keepLines w:val="0"/>
        <w:pageBreakBefore w:val="0"/>
        <w:widowControl w:val="0"/>
        <w:kinsoku/>
        <w:wordWrap/>
        <w:overflowPunct/>
        <w:topLinePunct w:val="0"/>
        <w:autoSpaceDE/>
        <w:autoSpaceDN/>
        <w:bidi w:val="0"/>
        <w:adjustRightInd/>
        <w:snapToGrid w:val="0"/>
        <w:spacing w:line="288" w:lineRule="auto"/>
        <w:ind w:firstLine="420" w:firstLineChars="200"/>
        <w:textAlignment w:val="auto"/>
        <w:rPr>
          <w:rFonts w:hint="eastAsia"/>
          <w:color w:val="auto"/>
          <w:szCs w:val="21"/>
          <w:highlight w:val="none"/>
        </w:rPr>
      </w:pPr>
      <w:r>
        <w:rPr>
          <w:rFonts w:hint="eastAsia"/>
          <w:color w:val="auto"/>
          <w:szCs w:val="21"/>
          <w:highlight w:val="none"/>
        </w:rPr>
        <w:t>八</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单位应加强对在医院施工的工程人员的管理，并将在我院施工的所有工作人员名单上报到临床医学工程处和保卫处备案</w:t>
      </w:r>
      <w:r>
        <w:rPr>
          <w:rFonts w:hAnsi="宋体"/>
          <w:color w:val="auto"/>
          <w:sz w:val="21"/>
          <w:szCs w:val="21"/>
          <w:highlight w:val="none"/>
        </w:rPr>
        <w:t>，接受院方动态监督。</w:t>
      </w:r>
    </w:p>
    <w:p w14:paraId="70F13D0D">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九</w:t>
      </w:r>
      <w:r>
        <w:rPr>
          <w:color w:val="auto"/>
          <w:szCs w:val="21"/>
          <w:highlight w:val="none"/>
        </w:rPr>
        <w:t>、</w:t>
      </w:r>
      <w:r>
        <w:rPr>
          <w:rFonts w:hint="eastAsia"/>
          <w:color w:val="auto"/>
          <w:szCs w:val="21"/>
          <w:highlight w:val="none"/>
        </w:rPr>
        <w:t>医疗设备安装</w:t>
      </w:r>
      <w:r>
        <w:rPr>
          <w:rFonts w:hAnsi="宋体"/>
          <w:color w:val="auto"/>
          <w:sz w:val="21"/>
          <w:szCs w:val="21"/>
          <w:highlight w:val="none"/>
        </w:rPr>
        <w:t>（含维修）</w:t>
      </w:r>
      <w:r>
        <w:rPr>
          <w:rFonts w:hint="eastAsia"/>
          <w:color w:val="auto"/>
          <w:szCs w:val="21"/>
          <w:highlight w:val="none"/>
        </w:rPr>
        <w:t>单位因违反上述规定引起事故，造成人员伤亡及财产损失的，由医疗设备安装</w:t>
      </w:r>
      <w:r>
        <w:rPr>
          <w:rFonts w:hAnsi="宋体"/>
          <w:color w:val="auto"/>
          <w:sz w:val="21"/>
          <w:szCs w:val="21"/>
          <w:highlight w:val="none"/>
        </w:rPr>
        <w:t>（含维修）</w:t>
      </w:r>
      <w:r>
        <w:rPr>
          <w:rFonts w:hint="eastAsia"/>
          <w:color w:val="auto"/>
          <w:szCs w:val="21"/>
          <w:highlight w:val="none"/>
        </w:rPr>
        <w:t>单位负全部责任，并承担经济赔偿责任，对屡教不改的医疗设备安装（施工）单位，医院有权终止医疗设备采购合同。</w:t>
      </w:r>
    </w:p>
    <w:p w14:paraId="29B2D9F5">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十</w:t>
      </w:r>
      <w:r>
        <w:rPr>
          <w:color w:val="auto"/>
          <w:szCs w:val="21"/>
          <w:highlight w:val="none"/>
        </w:rPr>
        <w:t>、</w:t>
      </w:r>
      <w:r>
        <w:rPr>
          <w:rFonts w:hint="eastAsia"/>
          <w:color w:val="auto"/>
          <w:szCs w:val="21"/>
          <w:highlight w:val="none"/>
        </w:rPr>
        <w:t>在您签名（盖章）前，请认真阅读以上规定，签字（盖章）后，表示已同意遵守</w:t>
      </w:r>
      <w:r>
        <w:rPr>
          <w:rFonts w:hint="eastAsia"/>
          <w:color w:val="auto"/>
          <w:szCs w:val="21"/>
          <w:highlight w:val="none"/>
          <w:lang w:eastAsia="zh-CN"/>
        </w:rPr>
        <w:t>‌南京医科大学第二附属医院</w:t>
      </w:r>
      <w:r>
        <w:rPr>
          <w:rFonts w:hint="eastAsia"/>
          <w:color w:val="auto"/>
          <w:szCs w:val="21"/>
          <w:highlight w:val="none"/>
        </w:rPr>
        <w:t>有关消防、安全生产、治安保卫规定，</w:t>
      </w:r>
      <w:r>
        <w:rPr>
          <w:rFonts w:hint="eastAsia"/>
          <w:color w:val="auto"/>
          <w:szCs w:val="21"/>
          <w:highlight w:val="none"/>
          <w:lang w:eastAsia="zh-CN"/>
        </w:rPr>
        <w:t>‌南京医科大学第二附属医院</w:t>
      </w:r>
      <w:r>
        <w:rPr>
          <w:rFonts w:hint="eastAsia"/>
          <w:color w:val="auto"/>
          <w:szCs w:val="21"/>
          <w:highlight w:val="none"/>
        </w:rPr>
        <w:t>对责任书有最终解释权。</w:t>
      </w:r>
    </w:p>
    <w:p w14:paraId="12CF3402">
      <w:pPr>
        <w:keepNext w:val="0"/>
        <w:keepLines w:val="0"/>
        <w:pageBreakBefore w:val="0"/>
        <w:widowControl w:val="0"/>
        <w:kinsoku/>
        <w:wordWrap/>
        <w:overflowPunct/>
        <w:topLinePunct w:val="0"/>
        <w:autoSpaceDE/>
        <w:autoSpaceDN/>
        <w:bidi w:val="0"/>
        <w:adjustRightInd/>
        <w:snapToGrid/>
        <w:spacing w:line="288" w:lineRule="auto"/>
        <w:ind w:firstLine="420" w:firstLineChars="200"/>
        <w:textAlignment w:val="auto"/>
        <w:rPr>
          <w:rFonts w:hint="eastAsia"/>
          <w:color w:val="auto"/>
          <w:szCs w:val="21"/>
          <w:highlight w:val="none"/>
        </w:rPr>
      </w:pPr>
      <w:r>
        <w:rPr>
          <w:rFonts w:hint="eastAsia"/>
          <w:color w:val="auto"/>
          <w:szCs w:val="21"/>
          <w:highlight w:val="none"/>
        </w:rPr>
        <w:t>十一</w:t>
      </w:r>
      <w:r>
        <w:rPr>
          <w:color w:val="auto"/>
          <w:szCs w:val="21"/>
          <w:highlight w:val="none"/>
        </w:rPr>
        <w:t>、</w:t>
      </w:r>
      <w:r>
        <w:rPr>
          <w:rFonts w:hint="eastAsia"/>
          <w:color w:val="auto"/>
          <w:szCs w:val="21"/>
          <w:highlight w:val="none"/>
        </w:rPr>
        <w:t>医疗设备安装（施工）单位如果在施工过程中违反相关规定，经临床医学工程处和保卫处核实，医院将开具处罚通知书，并在医疗设备合同金额中扣除相关处罚费用。</w:t>
      </w:r>
    </w:p>
    <w:tbl>
      <w:tblPr>
        <w:tblStyle w:val="36"/>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68"/>
        <w:gridCol w:w="4110"/>
      </w:tblGrid>
      <w:tr w14:paraId="5BDBE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24" w:hRule="atLeast"/>
          <w:jc w:val="right"/>
        </w:trPr>
        <w:tc>
          <w:tcPr>
            <w:tcW w:w="2268" w:type="dxa"/>
            <w:noWrap w:val="0"/>
            <w:vAlign w:val="top"/>
          </w:tcPr>
          <w:p w14:paraId="54DC9F37">
            <w:pPr>
              <w:keepNext w:val="0"/>
              <w:keepLines w:val="0"/>
              <w:pageBreakBefore w:val="0"/>
              <w:widowControl w:val="0"/>
              <w:kinsoku/>
              <w:overflowPunct/>
              <w:topLinePunct w:val="0"/>
              <w:autoSpaceDE/>
              <w:autoSpaceDN/>
              <w:bidi w:val="0"/>
              <w:adjustRightInd/>
              <w:snapToGrid w:val="0"/>
              <w:spacing w:line="312" w:lineRule="auto"/>
              <w:ind w:firstLine="420" w:firstLineChars="200"/>
              <w:jc w:val="righ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公司名称：</w:t>
            </w:r>
          </w:p>
        </w:tc>
        <w:tc>
          <w:tcPr>
            <w:tcW w:w="4110" w:type="dxa"/>
            <w:noWrap w:val="0"/>
            <w:vAlign w:val="top"/>
          </w:tcPr>
          <w:p w14:paraId="02684B3A">
            <w:pPr>
              <w:keepNext w:val="0"/>
              <w:keepLines w:val="0"/>
              <w:pageBreakBefore w:val="0"/>
              <w:widowControl w:val="0"/>
              <w:kinsoku/>
              <w:overflowPunct/>
              <w:topLinePunct w:val="0"/>
              <w:autoSpaceDE/>
              <w:autoSpaceDN/>
              <w:bidi w:val="0"/>
              <w:adjustRightInd/>
              <w:snapToGrid w:val="0"/>
              <w:spacing w:line="312" w:lineRule="auto"/>
              <w:ind w:firstLine="1785" w:firstLineChars="850"/>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（盖章）</w:t>
            </w:r>
          </w:p>
        </w:tc>
      </w:tr>
      <w:tr w14:paraId="60E66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noWrap w:val="0"/>
            <w:vAlign w:val="top"/>
          </w:tcPr>
          <w:p w14:paraId="505F93E5">
            <w:pPr>
              <w:keepNext w:val="0"/>
              <w:keepLines w:val="0"/>
              <w:pageBreakBefore w:val="0"/>
              <w:widowControl w:val="0"/>
              <w:kinsoku/>
              <w:overflowPunct/>
              <w:topLinePunct w:val="0"/>
              <w:autoSpaceDE/>
              <w:autoSpaceDN/>
              <w:bidi w:val="0"/>
              <w:adjustRightInd/>
              <w:snapToGrid w:val="0"/>
              <w:spacing w:line="312" w:lineRule="auto"/>
              <w:ind w:firstLine="420" w:firstLineChars="200"/>
              <w:jc w:val="righ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法定代表人：</w:t>
            </w:r>
          </w:p>
        </w:tc>
        <w:tc>
          <w:tcPr>
            <w:tcW w:w="4110" w:type="dxa"/>
            <w:noWrap w:val="0"/>
            <w:vAlign w:val="top"/>
          </w:tcPr>
          <w:p w14:paraId="01CB9C56">
            <w:pPr>
              <w:keepNext w:val="0"/>
              <w:keepLines w:val="0"/>
              <w:pageBreakBefore w:val="0"/>
              <w:widowControl w:val="0"/>
              <w:kinsoku/>
              <w:overflowPunct/>
              <w:topLinePunct w:val="0"/>
              <w:autoSpaceDE/>
              <w:autoSpaceDN/>
              <w:bidi w:val="0"/>
              <w:adjustRightInd/>
              <w:snapToGrid w:val="0"/>
              <w:spacing w:line="312" w:lineRule="auto"/>
              <w:textAlignment w:val="auto"/>
              <w:rPr>
                <w:rFonts w:hint="eastAsia" w:ascii="宋体" w:hAnsi="宋体" w:eastAsia="宋体" w:cs="宋体"/>
                <w:color w:val="auto"/>
                <w:szCs w:val="24"/>
                <w:highlight w:val="none"/>
              </w:rPr>
            </w:pPr>
          </w:p>
        </w:tc>
      </w:tr>
      <w:tr w14:paraId="5324C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4" w:hRule="atLeast"/>
          <w:jc w:val="right"/>
        </w:trPr>
        <w:tc>
          <w:tcPr>
            <w:tcW w:w="2268" w:type="dxa"/>
            <w:noWrap w:val="0"/>
            <w:vAlign w:val="top"/>
          </w:tcPr>
          <w:p w14:paraId="333318D8">
            <w:pPr>
              <w:keepNext w:val="0"/>
              <w:keepLines w:val="0"/>
              <w:pageBreakBefore w:val="0"/>
              <w:widowControl w:val="0"/>
              <w:kinsoku/>
              <w:wordWrap w:val="0"/>
              <w:overflowPunct/>
              <w:topLinePunct w:val="0"/>
              <w:autoSpaceDE/>
              <w:autoSpaceDN/>
              <w:bidi w:val="0"/>
              <w:adjustRightInd/>
              <w:snapToGrid w:val="0"/>
              <w:spacing w:line="312" w:lineRule="auto"/>
              <w:ind w:firstLine="420" w:firstLineChars="200"/>
              <w:jc w:val="right"/>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    期：</w:t>
            </w:r>
          </w:p>
        </w:tc>
        <w:tc>
          <w:tcPr>
            <w:tcW w:w="4110" w:type="dxa"/>
            <w:noWrap w:val="0"/>
            <w:vAlign w:val="top"/>
          </w:tcPr>
          <w:p w14:paraId="791AE894">
            <w:pPr>
              <w:keepNext w:val="0"/>
              <w:keepLines w:val="0"/>
              <w:pageBreakBefore w:val="0"/>
              <w:widowControl w:val="0"/>
              <w:kinsoku/>
              <w:overflowPunct/>
              <w:topLinePunct w:val="0"/>
              <w:autoSpaceDE/>
              <w:autoSpaceDN/>
              <w:bidi w:val="0"/>
              <w:adjustRightInd/>
              <w:snapToGrid w:val="0"/>
              <w:spacing w:line="312" w:lineRule="auto"/>
              <w:textAlignment w:val="auto"/>
              <w:rPr>
                <w:rFonts w:hint="eastAsia" w:ascii="宋体" w:hAnsi="宋体" w:eastAsia="宋体" w:cs="宋体"/>
                <w:color w:val="auto"/>
                <w:szCs w:val="24"/>
                <w:highlight w:val="none"/>
              </w:rPr>
            </w:pPr>
          </w:p>
        </w:tc>
      </w:tr>
    </w:tbl>
    <w:p w14:paraId="5FF80097">
      <w:pPr>
        <w:rPr>
          <w:color w:val="auto"/>
          <w:highlight w:val="none"/>
        </w:rPr>
      </w:pPr>
    </w:p>
    <w:bookmarkEnd w:id="89"/>
    <w:bookmarkEnd w:id="90"/>
    <w:p w14:paraId="73C1A5E2">
      <w:pPr>
        <w:keepNext/>
        <w:keepLines/>
        <w:pageBreakBefore/>
        <w:jc w:val="center"/>
        <w:outlineLvl w:val="0"/>
        <w:rPr>
          <w:rFonts w:hint="eastAsia" w:ascii="宋体" w:hAnsi="宋体" w:cs="宋体"/>
          <w:b/>
          <w:color w:val="auto"/>
          <w:sz w:val="44"/>
          <w:szCs w:val="44"/>
          <w:highlight w:val="none"/>
        </w:rPr>
      </w:pPr>
      <w:bookmarkStart w:id="104" w:name="_Toc199794495"/>
      <w:r>
        <w:rPr>
          <w:rFonts w:hint="eastAsia" w:ascii="宋体" w:hAnsi="宋体" w:cs="宋体"/>
          <w:b/>
          <w:color w:val="auto"/>
          <w:sz w:val="44"/>
          <w:szCs w:val="44"/>
          <w:highlight w:val="none"/>
        </w:rPr>
        <w:t>第六部分  投标文件格式</w:t>
      </w:r>
      <w:bookmarkEnd w:id="104"/>
    </w:p>
    <w:p w14:paraId="6705B587">
      <w:pPr>
        <w:jc w:val="left"/>
        <w:rPr>
          <w:rFonts w:hint="eastAsia" w:ascii="宋体" w:hAnsi="宋体" w:cs="宋体"/>
          <w:b/>
          <w:bCs/>
          <w:color w:val="auto"/>
          <w:sz w:val="28"/>
          <w:szCs w:val="32"/>
          <w:highlight w:val="none"/>
        </w:rPr>
      </w:pPr>
    </w:p>
    <w:p w14:paraId="6111E192">
      <w:pPr>
        <w:jc w:val="left"/>
        <w:rPr>
          <w:rFonts w:hint="eastAsia" w:ascii="宋体" w:hAnsi="宋体" w:cs="宋体"/>
          <w:b/>
          <w:bCs/>
          <w:color w:val="auto"/>
          <w:sz w:val="28"/>
          <w:szCs w:val="32"/>
          <w:highlight w:val="none"/>
        </w:rPr>
      </w:pPr>
    </w:p>
    <w:p w14:paraId="06077C9A">
      <w:pPr>
        <w:jc w:val="left"/>
        <w:rPr>
          <w:rFonts w:hint="eastAsia" w:ascii="宋体" w:hAnsi="宋体" w:cs="宋体"/>
          <w:b/>
          <w:bCs/>
          <w:color w:val="auto"/>
          <w:sz w:val="28"/>
          <w:szCs w:val="32"/>
          <w:highlight w:val="none"/>
        </w:rPr>
      </w:pPr>
    </w:p>
    <w:p w14:paraId="6843DC43">
      <w:pPr>
        <w:jc w:val="left"/>
        <w:rPr>
          <w:rFonts w:hint="eastAsia" w:ascii="宋体" w:hAnsi="宋体" w:cs="宋体"/>
          <w:b/>
          <w:bCs/>
          <w:color w:val="auto"/>
          <w:sz w:val="28"/>
          <w:szCs w:val="32"/>
          <w:highlight w:val="none"/>
        </w:rPr>
      </w:pPr>
      <w:r>
        <w:rPr>
          <w:rFonts w:hint="eastAsia" w:ascii="宋体" w:hAnsi="宋体" w:cs="宋体"/>
          <w:b/>
          <w:bCs/>
          <w:color w:val="auto"/>
          <w:sz w:val="28"/>
          <w:szCs w:val="32"/>
          <w:highlight w:val="none"/>
        </w:rPr>
        <w:t>投标文件格式使用注意事项：</w:t>
      </w:r>
    </w:p>
    <w:p w14:paraId="0E65D8A6">
      <w:pPr>
        <w:jc w:val="left"/>
        <w:rPr>
          <w:rFonts w:hint="eastAsia" w:ascii="宋体" w:hAnsi="宋体" w:cs="宋体"/>
          <w:b/>
          <w:bCs/>
          <w:color w:val="auto"/>
          <w:sz w:val="28"/>
          <w:szCs w:val="32"/>
          <w:highlight w:val="none"/>
        </w:rPr>
      </w:pPr>
      <w:r>
        <w:rPr>
          <w:rFonts w:hint="eastAsia" w:ascii="宋体" w:hAnsi="宋体" w:cs="宋体"/>
          <w:b/>
          <w:bCs/>
          <w:color w:val="auto"/>
          <w:sz w:val="28"/>
          <w:szCs w:val="32"/>
          <w:highlight w:val="none"/>
        </w:rPr>
        <w:t>1．投标文件编制时应使用的模板已在本部分列明，招标文件要求提供但未提供模板的，格式自拟。</w:t>
      </w:r>
    </w:p>
    <w:p w14:paraId="1A2DB5DE">
      <w:pPr>
        <w:jc w:val="left"/>
        <w:rPr>
          <w:rFonts w:hint="eastAsia" w:ascii="宋体" w:hAnsi="宋体" w:cs="宋体"/>
          <w:b/>
          <w:bCs/>
          <w:color w:val="auto"/>
          <w:sz w:val="28"/>
          <w:szCs w:val="32"/>
          <w:highlight w:val="none"/>
        </w:rPr>
      </w:pPr>
      <w:r>
        <w:rPr>
          <w:rFonts w:hint="eastAsia" w:ascii="宋体" w:hAnsi="宋体" w:cs="宋体"/>
          <w:b/>
          <w:bCs/>
          <w:color w:val="auto"/>
          <w:sz w:val="28"/>
          <w:szCs w:val="32"/>
          <w:highlight w:val="none"/>
        </w:rPr>
        <w:t>2．模板没有先后顺序，在使用模板时模板名称对应苏采云系统目录名称。</w:t>
      </w:r>
    </w:p>
    <w:p w14:paraId="33DDB4A3">
      <w:pPr>
        <w:jc w:val="left"/>
        <w:rPr>
          <w:rFonts w:hint="eastAsia" w:ascii="宋体" w:hAnsi="宋体" w:cs="宋体"/>
          <w:b/>
          <w:color w:val="auto"/>
          <w:sz w:val="32"/>
          <w:szCs w:val="24"/>
          <w:highlight w:val="none"/>
        </w:rPr>
      </w:pPr>
      <w:bookmarkStart w:id="105" w:name="_Toc514054484"/>
      <w:bookmarkStart w:id="106" w:name="_Toc26779"/>
      <w:bookmarkStart w:id="107" w:name="_Toc199794496"/>
      <w:r>
        <w:rPr>
          <w:rFonts w:hint="eastAsia" w:ascii="宋体" w:hAnsi="宋体" w:cs="宋体"/>
          <w:color w:val="auto"/>
          <w:highlight w:val="none"/>
        </w:rPr>
        <w:br w:type="page"/>
      </w:r>
    </w:p>
    <w:p w14:paraId="5B67A38F">
      <w:pPr>
        <w:pStyle w:val="516"/>
        <w:ind w:firstLine="321"/>
        <w:jc w:val="center"/>
        <w:outlineLvl w:val="1"/>
        <w:rPr>
          <w:rFonts w:hint="eastAsia" w:ascii="宋体" w:hAnsi="宋体" w:eastAsia="宋体" w:cs="宋体"/>
          <w:color w:val="auto"/>
          <w:highlight w:val="none"/>
        </w:rPr>
      </w:pPr>
      <w:r>
        <w:rPr>
          <w:rFonts w:hint="eastAsia" w:ascii="宋体" w:hAnsi="宋体" w:eastAsia="宋体" w:cs="宋体"/>
          <w:color w:val="auto"/>
          <w:highlight w:val="none"/>
        </w:rPr>
        <w:t>封面</w:t>
      </w:r>
      <w:bookmarkEnd w:id="105"/>
      <w:bookmarkEnd w:id="106"/>
      <w:bookmarkEnd w:id="107"/>
    </w:p>
    <w:p w14:paraId="31FA96B1">
      <w:pPr>
        <w:pStyle w:val="382"/>
        <w:jc w:val="left"/>
        <w:rPr>
          <w:rFonts w:hint="eastAsia" w:ascii="宋体" w:hAnsi="宋体" w:cs="宋体"/>
          <w:color w:val="auto"/>
          <w:sz w:val="32"/>
          <w:szCs w:val="32"/>
          <w:highlight w:val="none"/>
        </w:rPr>
      </w:pPr>
    </w:p>
    <w:p w14:paraId="7573D3CC">
      <w:pPr>
        <w:pStyle w:val="382"/>
        <w:jc w:val="left"/>
        <w:rPr>
          <w:rFonts w:hint="eastAsia" w:ascii="宋体" w:hAnsi="宋体" w:cs="宋体"/>
          <w:color w:val="auto"/>
          <w:sz w:val="32"/>
          <w:szCs w:val="32"/>
          <w:highlight w:val="none"/>
        </w:rPr>
      </w:pPr>
    </w:p>
    <w:p w14:paraId="77912E98">
      <w:pPr>
        <w:pStyle w:val="382"/>
        <w:jc w:val="left"/>
        <w:rPr>
          <w:rFonts w:hint="eastAsia" w:ascii="宋体" w:hAnsi="宋体" w:cs="宋体"/>
          <w:color w:val="auto"/>
          <w:sz w:val="32"/>
          <w:szCs w:val="32"/>
          <w:highlight w:val="none"/>
        </w:rPr>
      </w:pPr>
    </w:p>
    <w:p w14:paraId="17B5763B">
      <w:pPr>
        <w:pStyle w:val="382"/>
        <w:jc w:val="center"/>
        <w:rPr>
          <w:rFonts w:hint="eastAsia" w:ascii="宋体" w:hAnsi="宋体" w:cs="宋体"/>
          <w:color w:val="auto"/>
          <w:sz w:val="52"/>
          <w:szCs w:val="52"/>
          <w:highlight w:val="none"/>
        </w:rPr>
      </w:pPr>
    </w:p>
    <w:p w14:paraId="27857666">
      <w:pPr>
        <w:pStyle w:val="382"/>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投 标 文 件</w:t>
      </w:r>
    </w:p>
    <w:p w14:paraId="461BED0A">
      <w:pPr>
        <w:pStyle w:val="382"/>
        <w:jc w:val="left"/>
        <w:rPr>
          <w:rFonts w:hint="eastAsia" w:ascii="宋体" w:hAnsi="宋体" w:cs="宋体"/>
          <w:color w:val="auto"/>
          <w:sz w:val="28"/>
          <w:szCs w:val="28"/>
          <w:highlight w:val="none"/>
        </w:rPr>
      </w:pPr>
    </w:p>
    <w:p w14:paraId="38616523">
      <w:pPr>
        <w:pStyle w:val="382"/>
        <w:jc w:val="left"/>
        <w:rPr>
          <w:rFonts w:hint="eastAsia" w:ascii="宋体" w:hAnsi="宋体" w:cs="宋体"/>
          <w:color w:val="auto"/>
          <w:sz w:val="28"/>
          <w:szCs w:val="28"/>
          <w:highlight w:val="none"/>
        </w:rPr>
      </w:pPr>
    </w:p>
    <w:p w14:paraId="0B71B4A7">
      <w:pPr>
        <w:pStyle w:val="382"/>
        <w:jc w:val="left"/>
        <w:rPr>
          <w:rFonts w:hint="eastAsia" w:ascii="宋体" w:hAnsi="宋体" w:cs="宋体"/>
          <w:color w:val="auto"/>
          <w:sz w:val="28"/>
          <w:szCs w:val="28"/>
          <w:highlight w:val="none"/>
        </w:rPr>
      </w:pPr>
    </w:p>
    <w:p w14:paraId="242C2257">
      <w:pPr>
        <w:pStyle w:val="382"/>
        <w:jc w:val="left"/>
        <w:rPr>
          <w:rFonts w:hint="eastAsia" w:ascii="宋体" w:hAnsi="宋体" w:cs="宋体"/>
          <w:color w:val="auto"/>
          <w:sz w:val="28"/>
          <w:szCs w:val="28"/>
          <w:highlight w:val="none"/>
        </w:rPr>
      </w:pPr>
    </w:p>
    <w:p w14:paraId="4C2E3BDF">
      <w:pPr>
        <w:pStyle w:val="382"/>
        <w:jc w:val="left"/>
        <w:rPr>
          <w:rFonts w:hint="eastAsia" w:ascii="宋体" w:hAnsi="宋体" w:cs="宋体"/>
          <w:color w:val="auto"/>
          <w:sz w:val="28"/>
          <w:szCs w:val="28"/>
          <w:highlight w:val="none"/>
        </w:rPr>
      </w:pPr>
    </w:p>
    <w:p w14:paraId="24BBB2CE">
      <w:pPr>
        <w:pStyle w:val="286"/>
        <w:ind w:firstLine="723"/>
        <w:jc w:val="both"/>
        <w:rPr>
          <w:rFonts w:hint="eastAsia" w:hAnsi="宋体" w:cs="宋体"/>
          <w:color w:val="auto"/>
          <w:highlight w:val="none"/>
        </w:rPr>
      </w:pPr>
      <w:r>
        <w:rPr>
          <w:rFonts w:hint="eastAsia" w:hAnsi="宋体" w:cs="宋体"/>
          <w:b/>
          <w:color w:val="auto"/>
          <w:sz w:val="36"/>
          <w:szCs w:val="36"/>
          <w:highlight w:val="none"/>
        </w:rPr>
        <w:t>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目 名 称：</w:t>
      </w:r>
      <w:r>
        <w:rPr>
          <w:rFonts w:hint="eastAsia" w:hAnsi="宋体" w:cs="宋体"/>
          <w:b/>
          <w:color w:val="auto"/>
          <w:sz w:val="36"/>
          <w:szCs w:val="36"/>
          <w:highlight w:val="none"/>
          <w:u w:val="single"/>
        </w:rPr>
        <w:t xml:space="preserve">               </w:t>
      </w:r>
    </w:p>
    <w:p w14:paraId="4FC745AD">
      <w:pPr>
        <w:pStyle w:val="286"/>
        <w:ind w:firstLine="723"/>
        <w:jc w:val="both"/>
        <w:rPr>
          <w:rFonts w:hint="eastAsia" w:hAnsi="宋体" w:cs="宋体"/>
          <w:color w:val="auto"/>
          <w:highlight w:val="none"/>
        </w:rPr>
      </w:pPr>
      <w:r>
        <w:rPr>
          <w:rFonts w:hint="eastAsia" w:hAnsi="宋体" w:cs="宋体"/>
          <w:b/>
          <w:color w:val="auto"/>
          <w:sz w:val="36"/>
          <w:szCs w:val="36"/>
          <w:highlight w:val="none"/>
        </w:rPr>
        <w:t>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目 编 号：</w:t>
      </w:r>
      <w:r>
        <w:rPr>
          <w:rFonts w:hint="eastAsia" w:hAnsi="宋体" w:cs="宋体"/>
          <w:b/>
          <w:color w:val="auto"/>
          <w:sz w:val="36"/>
          <w:szCs w:val="36"/>
          <w:highlight w:val="none"/>
          <w:u w:val="single"/>
        </w:rPr>
        <w:t xml:space="preserve">               </w:t>
      </w:r>
    </w:p>
    <w:p w14:paraId="2AC8EA92">
      <w:pPr>
        <w:pStyle w:val="286"/>
        <w:ind w:firstLine="723"/>
        <w:jc w:val="both"/>
        <w:rPr>
          <w:rFonts w:hint="eastAsia" w:hAnsi="宋体" w:cs="宋体"/>
          <w:color w:val="auto"/>
          <w:highlight w:val="none"/>
        </w:rPr>
      </w:pPr>
      <w:r>
        <w:rPr>
          <w:rFonts w:hint="eastAsia" w:hAnsi="宋体" w:cs="宋体"/>
          <w:b/>
          <w:color w:val="auto"/>
          <w:sz w:val="36"/>
          <w:szCs w:val="36"/>
          <w:highlight w:val="none"/>
        </w:rPr>
        <w:t>投标人名称 ：</w:t>
      </w:r>
      <w:r>
        <w:rPr>
          <w:rFonts w:hint="eastAsia" w:hAnsi="宋体" w:cs="宋体"/>
          <w:b/>
          <w:color w:val="auto"/>
          <w:sz w:val="36"/>
          <w:szCs w:val="36"/>
          <w:highlight w:val="none"/>
          <w:u w:val="single"/>
        </w:rPr>
        <w:t xml:space="preserve">（加盖CA电子公章）        </w:t>
      </w:r>
    </w:p>
    <w:p w14:paraId="78DBAC04">
      <w:pPr>
        <w:pStyle w:val="286"/>
        <w:ind w:firstLine="723"/>
        <w:jc w:val="both"/>
        <w:rPr>
          <w:rFonts w:hint="eastAsia" w:hAnsi="宋体" w:cs="宋体"/>
          <w:color w:val="auto"/>
          <w:highlight w:val="none"/>
        </w:rPr>
      </w:pPr>
      <w:r>
        <w:rPr>
          <w:rFonts w:hint="eastAsia" w:hAnsi="宋体" w:cs="宋体"/>
          <w:b/>
          <w:color w:val="auto"/>
          <w:sz w:val="36"/>
          <w:szCs w:val="36"/>
          <w:highlight w:val="none"/>
        </w:rPr>
        <w:t>日   期 ：</w:t>
      </w:r>
      <w:r>
        <w:rPr>
          <w:rFonts w:hint="eastAsia" w:hAnsi="宋体" w:cs="宋体"/>
          <w:b/>
          <w:color w:val="auto"/>
          <w:sz w:val="36"/>
          <w:szCs w:val="36"/>
          <w:highlight w:val="none"/>
          <w:u w:val="single"/>
        </w:rPr>
        <w:t>                     </w:t>
      </w:r>
    </w:p>
    <w:p w14:paraId="1E631283">
      <w:pPr>
        <w:pStyle w:val="286"/>
        <w:spacing w:line="0" w:lineRule="atLeast"/>
        <w:rPr>
          <w:rFonts w:hint="eastAsia" w:hAnsi="宋体" w:cs="宋体"/>
          <w:color w:val="auto"/>
          <w:highlight w:val="none"/>
        </w:rPr>
      </w:pPr>
      <w:r>
        <w:rPr>
          <w:rFonts w:hint="eastAsia" w:hAnsi="宋体" w:cs="宋体"/>
          <w:color w:val="auto"/>
          <w:highlight w:val="none"/>
        </w:rPr>
        <w:t> </w:t>
      </w:r>
    </w:p>
    <w:p w14:paraId="59C9E535">
      <w:pPr>
        <w:pStyle w:val="286"/>
        <w:spacing w:line="0" w:lineRule="atLeast"/>
        <w:jc w:val="both"/>
        <w:rPr>
          <w:rFonts w:hint="eastAsia" w:hAnsi="宋体" w:cs="宋体"/>
          <w:color w:val="auto"/>
          <w:highlight w:val="none"/>
        </w:rPr>
      </w:pPr>
      <w:r>
        <w:rPr>
          <w:rFonts w:hint="eastAsia" w:hAnsi="宋体" w:cs="宋体"/>
          <w:color w:val="auto"/>
          <w:highlight w:val="none"/>
        </w:rPr>
        <w:t> </w:t>
      </w:r>
    </w:p>
    <w:p w14:paraId="316B163E">
      <w:pPr>
        <w:rPr>
          <w:rFonts w:hint="eastAsia" w:ascii="宋体" w:hAnsi="宋体" w:cs="宋体"/>
          <w:color w:val="auto"/>
          <w:highlight w:val="none"/>
        </w:rPr>
      </w:pPr>
    </w:p>
    <w:p w14:paraId="74412941">
      <w:pPr>
        <w:pStyle w:val="528"/>
        <w:jc w:val="center"/>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08" w:name="_Toc514054485"/>
      <w:bookmarkStart w:id="109" w:name="_Toc199794497"/>
      <w:bookmarkStart w:id="110" w:name="_Toc11482"/>
      <w:r>
        <w:rPr>
          <w:rFonts w:hint="eastAsia" w:ascii="宋体" w:hAnsi="宋体" w:eastAsia="宋体" w:cs="宋体"/>
          <w:color w:val="auto"/>
          <w:highlight w:val="none"/>
        </w:rPr>
        <w:t>目录</w:t>
      </w:r>
      <w:bookmarkEnd w:id="108"/>
      <w:bookmarkEnd w:id="109"/>
      <w:bookmarkEnd w:id="110"/>
    </w:p>
    <w:p w14:paraId="02D88F90">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一、投标人基本情况</w:t>
      </w:r>
    </w:p>
    <w:p w14:paraId="49083EFC">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二、投标人资质</w:t>
      </w:r>
    </w:p>
    <w:p w14:paraId="5C6521D0">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三、投标人具有良好的商业信誉和健全的财务会计制度</w:t>
      </w:r>
    </w:p>
    <w:p w14:paraId="2ECF185B">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四、</w:t>
      </w:r>
      <w:r>
        <w:rPr>
          <w:rFonts w:hint="eastAsia" w:ascii="宋体" w:hAnsi="宋体" w:eastAsia="宋体" w:cs="宋体"/>
          <w:bCs/>
          <w:color w:val="auto"/>
          <w:highlight w:val="none"/>
        </w:rPr>
        <w:t>具有履行合同所必需的设备和专业技术能力</w:t>
      </w:r>
    </w:p>
    <w:p w14:paraId="59E63532">
      <w:pPr>
        <w:pStyle w:val="398"/>
        <w:spacing w:after="100" w:afterAutospacing="1"/>
        <w:rPr>
          <w:rFonts w:hint="eastAsia" w:ascii="宋体" w:hAnsi="宋体" w:eastAsia="宋体" w:cs="宋体"/>
          <w:bCs/>
          <w:color w:val="auto"/>
          <w:highlight w:val="none"/>
        </w:rPr>
      </w:pPr>
      <w:r>
        <w:rPr>
          <w:rFonts w:hint="eastAsia" w:ascii="宋体" w:hAnsi="宋体" w:eastAsia="宋体" w:cs="宋体"/>
          <w:color w:val="auto"/>
          <w:highlight w:val="none"/>
        </w:rPr>
        <w:t>五、</w:t>
      </w:r>
      <w:r>
        <w:rPr>
          <w:rFonts w:hint="eastAsia" w:ascii="宋体" w:hAnsi="宋体" w:eastAsia="宋体" w:cs="宋体"/>
          <w:bCs/>
          <w:color w:val="auto"/>
          <w:highlight w:val="none"/>
        </w:rPr>
        <w:t>有依法缴纳税收和社会保障资金的良好记录</w:t>
      </w:r>
    </w:p>
    <w:p w14:paraId="6F93ACB5">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六、无重大违法行为声明</w:t>
      </w:r>
    </w:p>
    <w:p w14:paraId="5FC334FA">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七</w:t>
      </w:r>
      <w:r>
        <w:rPr>
          <w:rFonts w:hint="eastAsia" w:ascii="宋体" w:hAnsi="宋体" w:eastAsia="宋体" w:cs="宋体"/>
          <w:color w:val="auto"/>
          <w:highlight w:val="none"/>
        </w:rPr>
        <w:t>、投标函</w:t>
      </w:r>
    </w:p>
    <w:p w14:paraId="5ED445D1">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八</w:t>
      </w:r>
      <w:r>
        <w:rPr>
          <w:rFonts w:hint="eastAsia" w:ascii="宋体" w:hAnsi="宋体" w:eastAsia="宋体" w:cs="宋体"/>
          <w:color w:val="auto"/>
          <w:highlight w:val="none"/>
        </w:rPr>
        <w:t>、法定代表人身份证明或授权委托书</w:t>
      </w:r>
    </w:p>
    <w:p w14:paraId="10874B74">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九</w:t>
      </w:r>
      <w:r>
        <w:rPr>
          <w:rFonts w:hint="eastAsia" w:ascii="宋体" w:hAnsi="宋体" w:eastAsia="宋体" w:cs="宋体"/>
          <w:color w:val="auto"/>
          <w:highlight w:val="none"/>
        </w:rPr>
        <w:t>、开标一览表</w:t>
      </w:r>
    </w:p>
    <w:p w14:paraId="31666387">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十、明细报价表</w:t>
      </w:r>
    </w:p>
    <w:p w14:paraId="40050956">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、中小企业声明函</w:t>
      </w:r>
    </w:p>
    <w:p w14:paraId="1C43F32C">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、响应偏差表</w:t>
      </w:r>
    </w:p>
    <w:p w14:paraId="7AB2601E">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w:t>
      </w:r>
      <w:bookmarkStart w:id="111" w:name="_Toc21060_WPSOffice_Level2"/>
      <w:r>
        <w:rPr>
          <w:rFonts w:hint="eastAsia" w:ascii="宋体" w:hAnsi="宋体" w:eastAsia="宋体" w:cs="宋体"/>
          <w:color w:val="auto"/>
          <w:highlight w:val="none"/>
        </w:rPr>
        <w:t>服务方案</w:t>
      </w:r>
      <w:bookmarkEnd w:id="111"/>
    </w:p>
    <w:p w14:paraId="281E55D0">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、投标人(或供货商、厂商)项目业绩一览表</w:t>
      </w:r>
    </w:p>
    <w:p w14:paraId="2ECECA3B">
      <w:pPr>
        <w:pStyle w:val="398"/>
        <w:spacing w:after="100" w:afterAutospacing="1"/>
        <w:rPr>
          <w:rFonts w:hint="eastAsia" w:ascii="宋体" w:hAnsi="宋体" w:eastAsia="宋体" w:cs="宋体"/>
          <w:color w:val="auto"/>
          <w:highlight w:val="none"/>
        </w:rPr>
      </w:pPr>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、投标所需其他材料</w:t>
      </w:r>
    </w:p>
    <w:p w14:paraId="4E30FFB7">
      <w:pPr>
        <w:rPr>
          <w:rFonts w:hint="eastAsia" w:ascii="宋体" w:hAnsi="宋体" w:cs="宋体"/>
          <w:color w:val="auto"/>
          <w:highlight w:val="none"/>
        </w:rPr>
      </w:pPr>
    </w:p>
    <w:p w14:paraId="48CEF7DB">
      <w:pPr>
        <w:pStyle w:val="504"/>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12" w:name="_Toc199794498"/>
      <w:bookmarkStart w:id="113" w:name="_Toc514054486"/>
      <w:bookmarkStart w:id="114" w:name="_Toc21292"/>
      <w:bookmarkStart w:id="115" w:name="_Toc23205_WPSOffice_Level2"/>
      <w:r>
        <w:rPr>
          <w:rFonts w:hint="eastAsia" w:ascii="宋体" w:hAnsi="宋体" w:eastAsia="宋体" w:cs="宋体"/>
          <w:color w:val="auto"/>
          <w:highlight w:val="none"/>
        </w:rPr>
        <w:t>一、投标人基本情况</w:t>
      </w:r>
      <w:bookmarkEnd w:id="112"/>
      <w:bookmarkEnd w:id="113"/>
      <w:bookmarkEnd w:id="114"/>
      <w:bookmarkEnd w:id="115"/>
    </w:p>
    <w:p w14:paraId="4707675F">
      <w:pPr>
        <w:pStyle w:val="454"/>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投标人基本情况表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5A43F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215870D">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8" w:type="dxa"/>
            <w:gridSpan w:val="3"/>
            <w:vAlign w:val="center"/>
          </w:tcPr>
          <w:p w14:paraId="0EEAA18B">
            <w:pPr>
              <w:pStyle w:val="454"/>
              <w:spacing w:line="600" w:lineRule="exact"/>
              <w:jc w:val="center"/>
              <w:rPr>
                <w:rFonts w:hint="eastAsia" w:ascii="宋体" w:hAnsi="宋体" w:cs="宋体"/>
                <w:color w:val="auto"/>
                <w:sz w:val="24"/>
                <w:szCs w:val="24"/>
                <w:highlight w:val="none"/>
              </w:rPr>
            </w:pPr>
          </w:p>
        </w:tc>
      </w:tr>
      <w:tr w14:paraId="57B50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7D7CF8C5">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3118" w:type="dxa"/>
            <w:vAlign w:val="center"/>
          </w:tcPr>
          <w:p w14:paraId="3E608784">
            <w:pPr>
              <w:pStyle w:val="454"/>
              <w:spacing w:line="600" w:lineRule="exact"/>
              <w:jc w:val="center"/>
              <w:rPr>
                <w:rFonts w:hint="eastAsia" w:ascii="宋体" w:hAnsi="宋体" w:cs="宋体"/>
                <w:color w:val="auto"/>
                <w:sz w:val="24"/>
                <w:szCs w:val="24"/>
                <w:highlight w:val="none"/>
              </w:rPr>
            </w:pPr>
          </w:p>
        </w:tc>
        <w:tc>
          <w:tcPr>
            <w:tcW w:w="1276" w:type="dxa"/>
            <w:vAlign w:val="center"/>
          </w:tcPr>
          <w:p w14:paraId="183BA6CD">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注册地区</w:t>
            </w:r>
          </w:p>
        </w:tc>
        <w:tc>
          <w:tcPr>
            <w:tcW w:w="2604" w:type="dxa"/>
            <w:vAlign w:val="center"/>
          </w:tcPr>
          <w:p w14:paraId="437AC3C4">
            <w:pPr>
              <w:pStyle w:val="454"/>
              <w:spacing w:line="600" w:lineRule="exact"/>
              <w:jc w:val="center"/>
              <w:rPr>
                <w:rFonts w:hint="eastAsia" w:ascii="宋体" w:hAnsi="宋体" w:cs="宋体"/>
                <w:color w:val="auto"/>
                <w:sz w:val="24"/>
                <w:szCs w:val="24"/>
                <w:highlight w:val="none"/>
              </w:rPr>
            </w:pPr>
          </w:p>
        </w:tc>
      </w:tr>
      <w:tr w14:paraId="34C1F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55CE2358">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地址</w:t>
            </w:r>
          </w:p>
        </w:tc>
        <w:tc>
          <w:tcPr>
            <w:tcW w:w="3118" w:type="dxa"/>
            <w:vAlign w:val="center"/>
          </w:tcPr>
          <w:p w14:paraId="602EBFE8">
            <w:pPr>
              <w:pStyle w:val="454"/>
              <w:spacing w:line="600" w:lineRule="exact"/>
              <w:jc w:val="center"/>
              <w:rPr>
                <w:rFonts w:hint="eastAsia" w:ascii="宋体" w:hAnsi="宋体" w:cs="宋体"/>
                <w:color w:val="auto"/>
                <w:sz w:val="24"/>
                <w:szCs w:val="24"/>
                <w:highlight w:val="none"/>
              </w:rPr>
            </w:pPr>
          </w:p>
        </w:tc>
        <w:tc>
          <w:tcPr>
            <w:tcW w:w="1276" w:type="dxa"/>
            <w:vAlign w:val="center"/>
          </w:tcPr>
          <w:p w14:paraId="7C85186B">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604" w:type="dxa"/>
            <w:vAlign w:val="center"/>
          </w:tcPr>
          <w:p w14:paraId="1906CBB7">
            <w:pPr>
              <w:pStyle w:val="454"/>
              <w:spacing w:line="600" w:lineRule="exact"/>
              <w:jc w:val="center"/>
              <w:rPr>
                <w:rFonts w:hint="eastAsia" w:ascii="宋体" w:hAnsi="宋体" w:cs="宋体"/>
                <w:color w:val="auto"/>
                <w:sz w:val="24"/>
                <w:szCs w:val="24"/>
                <w:highlight w:val="none"/>
              </w:rPr>
            </w:pPr>
          </w:p>
        </w:tc>
      </w:tr>
      <w:tr w14:paraId="1B232C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0FEBC824">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成立时间</w:t>
            </w:r>
          </w:p>
        </w:tc>
        <w:tc>
          <w:tcPr>
            <w:tcW w:w="3118" w:type="dxa"/>
            <w:vAlign w:val="center"/>
          </w:tcPr>
          <w:p w14:paraId="6369BFA7">
            <w:pPr>
              <w:pStyle w:val="454"/>
              <w:spacing w:line="600" w:lineRule="exact"/>
              <w:jc w:val="center"/>
              <w:rPr>
                <w:rFonts w:hint="eastAsia" w:ascii="宋体" w:hAnsi="宋体" w:cs="宋体"/>
                <w:color w:val="auto"/>
                <w:sz w:val="24"/>
                <w:szCs w:val="24"/>
                <w:highlight w:val="none"/>
              </w:rPr>
            </w:pPr>
          </w:p>
        </w:tc>
        <w:tc>
          <w:tcPr>
            <w:tcW w:w="1276" w:type="dxa"/>
            <w:vAlign w:val="center"/>
          </w:tcPr>
          <w:p w14:paraId="6AEA5ACF">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单位性质</w:t>
            </w:r>
          </w:p>
        </w:tc>
        <w:tc>
          <w:tcPr>
            <w:tcW w:w="2604" w:type="dxa"/>
            <w:vAlign w:val="center"/>
          </w:tcPr>
          <w:p w14:paraId="3BAA9BAE">
            <w:pPr>
              <w:pStyle w:val="454"/>
              <w:spacing w:line="600" w:lineRule="exact"/>
              <w:jc w:val="center"/>
              <w:rPr>
                <w:rFonts w:hint="eastAsia" w:ascii="宋体" w:hAnsi="宋体" w:cs="宋体"/>
                <w:color w:val="auto"/>
                <w:sz w:val="24"/>
                <w:szCs w:val="24"/>
                <w:highlight w:val="none"/>
              </w:rPr>
            </w:pPr>
          </w:p>
        </w:tc>
      </w:tr>
      <w:tr w14:paraId="756E2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F5C6C12">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注册号或社会信用代码</w:t>
            </w:r>
          </w:p>
        </w:tc>
        <w:tc>
          <w:tcPr>
            <w:tcW w:w="3118" w:type="dxa"/>
            <w:vAlign w:val="center"/>
          </w:tcPr>
          <w:p w14:paraId="07AAC77C">
            <w:pPr>
              <w:pStyle w:val="454"/>
              <w:spacing w:line="600" w:lineRule="exact"/>
              <w:jc w:val="center"/>
              <w:rPr>
                <w:rFonts w:hint="eastAsia" w:ascii="宋体" w:hAnsi="宋体" w:cs="宋体"/>
                <w:color w:val="auto"/>
                <w:sz w:val="24"/>
                <w:szCs w:val="24"/>
                <w:highlight w:val="none"/>
              </w:rPr>
            </w:pPr>
          </w:p>
        </w:tc>
        <w:tc>
          <w:tcPr>
            <w:tcW w:w="1276" w:type="dxa"/>
            <w:vAlign w:val="center"/>
          </w:tcPr>
          <w:p w14:paraId="3DB38476">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注册资本（万元）</w:t>
            </w:r>
          </w:p>
        </w:tc>
        <w:tc>
          <w:tcPr>
            <w:tcW w:w="2604" w:type="dxa"/>
            <w:vAlign w:val="center"/>
          </w:tcPr>
          <w:p w14:paraId="2AED8759">
            <w:pPr>
              <w:pStyle w:val="454"/>
              <w:spacing w:line="600" w:lineRule="exact"/>
              <w:jc w:val="center"/>
              <w:rPr>
                <w:rFonts w:hint="eastAsia" w:ascii="宋体" w:hAnsi="宋体" w:cs="宋体"/>
                <w:color w:val="auto"/>
                <w:sz w:val="24"/>
                <w:szCs w:val="24"/>
                <w:highlight w:val="none"/>
              </w:rPr>
            </w:pPr>
          </w:p>
        </w:tc>
      </w:tr>
      <w:tr w14:paraId="212F2C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1E76D477">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3118" w:type="dxa"/>
            <w:vAlign w:val="center"/>
          </w:tcPr>
          <w:p w14:paraId="4FC19001">
            <w:pPr>
              <w:pStyle w:val="454"/>
              <w:spacing w:line="600" w:lineRule="exact"/>
              <w:jc w:val="center"/>
              <w:rPr>
                <w:rFonts w:hint="eastAsia" w:ascii="宋体" w:hAnsi="宋体" w:cs="宋体"/>
                <w:color w:val="auto"/>
                <w:sz w:val="24"/>
                <w:szCs w:val="24"/>
                <w:highlight w:val="none"/>
              </w:rPr>
            </w:pPr>
          </w:p>
        </w:tc>
        <w:tc>
          <w:tcPr>
            <w:tcW w:w="1276" w:type="dxa"/>
            <w:vAlign w:val="center"/>
          </w:tcPr>
          <w:p w14:paraId="4FBE47BC">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账号</w:t>
            </w:r>
          </w:p>
        </w:tc>
        <w:tc>
          <w:tcPr>
            <w:tcW w:w="2604" w:type="dxa"/>
            <w:vAlign w:val="center"/>
          </w:tcPr>
          <w:p w14:paraId="51D2DB2D">
            <w:pPr>
              <w:pStyle w:val="454"/>
              <w:spacing w:line="600" w:lineRule="exact"/>
              <w:jc w:val="center"/>
              <w:rPr>
                <w:rFonts w:hint="eastAsia" w:ascii="宋体" w:hAnsi="宋体" w:cs="宋体"/>
                <w:color w:val="auto"/>
                <w:sz w:val="24"/>
                <w:szCs w:val="24"/>
                <w:highlight w:val="none"/>
              </w:rPr>
            </w:pPr>
          </w:p>
        </w:tc>
      </w:tr>
      <w:tr w14:paraId="6B617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526" w:type="dxa"/>
            <w:vAlign w:val="center"/>
          </w:tcPr>
          <w:p w14:paraId="29BA05B4">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p>
        </w:tc>
        <w:tc>
          <w:tcPr>
            <w:tcW w:w="3118" w:type="dxa"/>
            <w:vAlign w:val="center"/>
          </w:tcPr>
          <w:p w14:paraId="6079A474">
            <w:pPr>
              <w:pStyle w:val="454"/>
              <w:spacing w:line="600" w:lineRule="exact"/>
              <w:jc w:val="center"/>
              <w:rPr>
                <w:rFonts w:hint="eastAsia" w:ascii="宋体" w:hAnsi="宋体" w:cs="宋体"/>
                <w:color w:val="auto"/>
                <w:sz w:val="24"/>
                <w:szCs w:val="24"/>
                <w:highlight w:val="none"/>
              </w:rPr>
            </w:pPr>
          </w:p>
        </w:tc>
        <w:tc>
          <w:tcPr>
            <w:tcW w:w="1276" w:type="dxa"/>
            <w:vAlign w:val="center"/>
          </w:tcPr>
          <w:p w14:paraId="35A6DCB8">
            <w:pPr>
              <w:pStyle w:val="454"/>
              <w:spacing w:line="60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联系电话</w:t>
            </w:r>
          </w:p>
        </w:tc>
        <w:tc>
          <w:tcPr>
            <w:tcW w:w="2604" w:type="dxa"/>
            <w:vAlign w:val="center"/>
          </w:tcPr>
          <w:p w14:paraId="5D6E4BDE">
            <w:pPr>
              <w:pStyle w:val="454"/>
              <w:spacing w:line="600" w:lineRule="exact"/>
              <w:jc w:val="center"/>
              <w:rPr>
                <w:rFonts w:hint="eastAsia" w:ascii="宋体" w:hAnsi="宋体" w:cs="宋体"/>
                <w:color w:val="auto"/>
                <w:sz w:val="24"/>
                <w:szCs w:val="24"/>
                <w:highlight w:val="none"/>
              </w:rPr>
            </w:pPr>
          </w:p>
        </w:tc>
      </w:tr>
      <w:tr w14:paraId="350F0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526" w:type="dxa"/>
            <w:vAlign w:val="center"/>
          </w:tcPr>
          <w:p w14:paraId="1579A5FA">
            <w:pPr>
              <w:pStyle w:val="454"/>
              <w:spacing w:line="5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8" w:type="dxa"/>
            <w:gridSpan w:val="3"/>
          </w:tcPr>
          <w:p w14:paraId="76E11C7E">
            <w:pPr>
              <w:pStyle w:val="454"/>
              <w:spacing w:line="560" w:lineRule="exact"/>
              <w:ind w:firstLine="1432"/>
              <w:rPr>
                <w:rFonts w:hint="eastAsia" w:ascii="宋体" w:hAnsi="宋体" w:cs="宋体"/>
                <w:color w:val="auto"/>
                <w:sz w:val="24"/>
                <w:szCs w:val="24"/>
                <w:highlight w:val="none"/>
              </w:rPr>
            </w:pPr>
          </w:p>
        </w:tc>
      </w:tr>
      <w:tr w14:paraId="36317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526" w:type="dxa"/>
            <w:vAlign w:val="center"/>
          </w:tcPr>
          <w:p w14:paraId="1BD4B5F3">
            <w:pPr>
              <w:pStyle w:val="454"/>
              <w:spacing w:line="56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tc>
        <w:tc>
          <w:tcPr>
            <w:tcW w:w="6998" w:type="dxa"/>
            <w:gridSpan w:val="3"/>
            <w:vAlign w:val="center"/>
          </w:tcPr>
          <w:p w14:paraId="4A54E712">
            <w:pPr>
              <w:pStyle w:val="454"/>
              <w:spacing w:line="500" w:lineRule="exact"/>
              <w:jc w:val="center"/>
              <w:rPr>
                <w:rFonts w:hint="eastAsia" w:ascii="宋体" w:hAnsi="宋体" w:cs="宋体"/>
                <w:color w:val="auto"/>
                <w:sz w:val="24"/>
                <w:szCs w:val="24"/>
                <w:highlight w:val="none"/>
              </w:rPr>
            </w:pPr>
          </w:p>
        </w:tc>
      </w:tr>
    </w:tbl>
    <w:p w14:paraId="2272D946">
      <w:pPr>
        <w:pStyle w:val="454"/>
        <w:spacing w:line="560" w:lineRule="exact"/>
        <w:jc w:val="center"/>
        <w:rPr>
          <w:rFonts w:hint="eastAsia" w:ascii="宋体" w:hAnsi="宋体" w:cs="宋体"/>
          <w:bCs/>
          <w:color w:val="auto"/>
          <w:sz w:val="32"/>
          <w:szCs w:val="32"/>
          <w:highlight w:val="none"/>
        </w:rPr>
      </w:pPr>
    </w:p>
    <w:p w14:paraId="2B0623E1">
      <w:pPr>
        <w:pStyle w:val="492"/>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16" w:name="_Toc514054487"/>
      <w:bookmarkStart w:id="117" w:name="_Toc30260_WPSOffice_Level2"/>
      <w:bookmarkStart w:id="118" w:name="_Toc15353"/>
      <w:bookmarkStart w:id="119" w:name="_Toc199794499"/>
      <w:r>
        <w:rPr>
          <w:rFonts w:hint="eastAsia" w:ascii="宋体" w:hAnsi="宋体" w:eastAsia="宋体" w:cs="宋体"/>
          <w:color w:val="auto"/>
          <w:highlight w:val="none"/>
        </w:rPr>
        <w:t>二、投标人资质</w:t>
      </w:r>
      <w:bookmarkEnd w:id="116"/>
      <w:bookmarkEnd w:id="117"/>
      <w:r>
        <w:rPr>
          <w:rFonts w:hint="eastAsia" w:ascii="宋体" w:hAnsi="宋体" w:eastAsia="宋体" w:cs="宋体"/>
          <w:color w:val="auto"/>
          <w:highlight w:val="none"/>
        </w:rPr>
        <w:t>（按资格要求提供）</w:t>
      </w:r>
      <w:bookmarkEnd w:id="118"/>
      <w:bookmarkEnd w:id="119"/>
    </w:p>
    <w:p w14:paraId="259B333A">
      <w:pPr>
        <w:pStyle w:val="558"/>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20" w:name="_Toc21452_WPSOffice_Level2"/>
      <w:bookmarkStart w:id="121" w:name="_Toc514054488"/>
    </w:p>
    <w:p w14:paraId="4E08EC4B">
      <w:pPr>
        <w:pStyle w:val="558"/>
        <w:rPr>
          <w:rFonts w:hint="eastAsia" w:ascii="宋体" w:hAnsi="宋体" w:eastAsia="宋体" w:cs="宋体"/>
          <w:color w:val="auto"/>
          <w:highlight w:val="none"/>
        </w:rPr>
      </w:pPr>
    </w:p>
    <w:p w14:paraId="475DEA3D">
      <w:pPr>
        <w:pStyle w:val="558"/>
        <w:rPr>
          <w:rFonts w:hint="eastAsia" w:ascii="宋体" w:hAnsi="宋体" w:eastAsia="宋体" w:cs="宋体"/>
          <w:color w:val="auto"/>
          <w:highlight w:val="none"/>
        </w:rPr>
      </w:pPr>
    </w:p>
    <w:p w14:paraId="78EFFCB3">
      <w:pPr>
        <w:pStyle w:val="558"/>
        <w:rPr>
          <w:rFonts w:hint="eastAsia" w:ascii="宋体" w:hAnsi="宋体" w:eastAsia="宋体" w:cs="宋体"/>
          <w:color w:val="auto"/>
          <w:highlight w:val="none"/>
        </w:rPr>
      </w:pPr>
    </w:p>
    <w:p w14:paraId="29BE575D">
      <w:pPr>
        <w:pStyle w:val="558"/>
        <w:rPr>
          <w:rFonts w:hint="eastAsia" w:ascii="宋体" w:hAnsi="宋体" w:eastAsia="宋体" w:cs="宋体"/>
          <w:color w:val="auto"/>
          <w:highlight w:val="none"/>
        </w:rPr>
      </w:pPr>
    </w:p>
    <w:p w14:paraId="062A59D7">
      <w:pPr>
        <w:pStyle w:val="558"/>
        <w:rPr>
          <w:rFonts w:hint="eastAsia" w:ascii="宋体" w:hAnsi="宋体" w:eastAsia="宋体" w:cs="宋体"/>
          <w:color w:val="auto"/>
          <w:highlight w:val="none"/>
        </w:rPr>
      </w:pPr>
    </w:p>
    <w:p w14:paraId="21C5326C">
      <w:pPr>
        <w:pStyle w:val="558"/>
        <w:rPr>
          <w:rFonts w:hint="eastAsia" w:ascii="宋体" w:hAnsi="宋体" w:eastAsia="宋体" w:cs="宋体"/>
          <w:color w:val="auto"/>
          <w:highlight w:val="none"/>
        </w:rPr>
      </w:pPr>
    </w:p>
    <w:p w14:paraId="252C1E3F">
      <w:pPr>
        <w:pStyle w:val="558"/>
        <w:rPr>
          <w:rFonts w:hint="eastAsia" w:ascii="宋体" w:hAnsi="宋体" w:eastAsia="宋体" w:cs="宋体"/>
          <w:color w:val="auto"/>
          <w:highlight w:val="none"/>
        </w:rPr>
      </w:pPr>
    </w:p>
    <w:p w14:paraId="28911587">
      <w:pPr>
        <w:pStyle w:val="558"/>
        <w:rPr>
          <w:rFonts w:hint="eastAsia" w:ascii="宋体" w:hAnsi="宋体" w:eastAsia="宋体" w:cs="宋体"/>
          <w:color w:val="auto"/>
          <w:highlight w:val="none"/>
        </w:rPr>
      </w:pPr>
    </w:p>
    <w:p w14:paraId="60F3B030">
      <w:pPr>
        <w:pStyle w:val="558"/>
        <w:rPr>
          <w:rFonts w:hint="eastAsia" w:ascii="宋体" w:hAnsi="宋体" w:eastAsia="宋体" w:cs="宋体"/>
          <w:color w:val="auto"/>
          <w:highlight w:val="none"/>
        </w:rPr>
      </w:pPr>
    </w:p>
    <w:p w14:paraId="7FBAFA99">
      <w:pPr>
        <w:pStyle w:val="558"/>
        <w:rPr>
          <w:rFonts w:hint="eastAsia" w:ascii="宋体" w:hAnsi="宋体" w:eastAsia="宋体" w:cs="宋体"/>
          <w:color w:val="auto"/>
          <w:highlight w:val="none"/>
        </w:rPr>
      </w:pPr>
    </w:p>
    <w:p w14:paraId="432CC5A1">
      <w:pPr>
        <w:pStyle w:val="558"/>
        <w:rPr>
          <w:rFonts w:hint="eastAsia" w:ascii="宋体" w:hAnsi="宋体" w:eastAsia="宋体" w:cs="宋体"/>
          <w:color w:val="auto"/>
          <w:highlight w:val="none"/>
        </w:rPr>
      </w:pPr>
    </w:p>
    <w:p w14:paraId="27A689AE">
      <w:pPr>
        <w:pStyle w:val="558"/>
        <w:rPr>
          <w:rFonts w:hint="eastAsia" w:ascii="宋体" w:hAnsi="宋体" w:eastAsia="宋体" w:cs="宋体"/>
          <w:color w:val="auto"/>
          <w:highlight w:val="none"/>
        </w:rPr>
      </w:pPr>
    </w:p>
    <w:p w14:paraId="3AFCAA09">
      <w:pPr>
        <w:pStyle w:val="558"/>
        <w:rPr>
          <w:rFonts w:hint="eastAsia" w:ascii="宋体" w:hAnsi="宋体" w:eastAsia="宋体" w:cs="宋体"/>
          <w:color w:val="auto"/>
          <w:highlight w:val="none"/>
        </w:rPr>
      </w:pPr>
    </w:p>
    <w:p w14:paraId="0A13DC3C">
      <w:pPr>
        <w:pStyle w:val="558"/>
        <w:rPr>
          <w:rFonts w:hint="eastAsia" w:ascii="宋体" w:hAnsi="宋体" w:eastAsia="宋体" w:cs="宋体"/>
          <w:color w:val="auto"/>
          <w:highlight w:val="none"/>
        </w:rPr>
      </w:pPr>
    </w:p>
    <w:p w14:paraId="36F4AFC8">
      <w:pPr>
        <w:pStyle w:val="558"/>
        <w:rPr>
          <w:rFonts w:hint="eastAsia" w:ascii="宋体" w:hAnsi="宋体" w:eastAsia="宋体" w:cs="宋体"/>
          <w:color w:val="auto"/>
          <w:highlight w:val="none"/>
        </w:rPr>
      </w:pPr>
    </w:p>
    <w:p w14:paraId="64085828">
      <w:pPr>
        <w:pStyle w:val="558"/>
        <w:rPr>
          <w:rFonts w:hint="eastAsia" w:ascii="宋体" w:hAnsi="宋体" w:eastAsia="宋体" w:cs="宋体"/>
          <w:color w:val="auto"/>
          <w:highlight w:val="none"/>
        </w:rPr>
      </w:pPr>
    </w:p>
    <w:p w14:paraId="2F2AE1D4">
      <w:pPr>
        <w:pStyle w:val="558"/>
        <w:rPr>
          <w:rFonts w:hint="eastAsia" w:ascii="宋体" w:hAnsi="宋体" w:eastAsia="宋体" w:cs="宋体"/>
          <w:color w:val="auto"/>
          <w:highlight w:val="none"/>
        </w:rPr>
      </w:pPr>
    </w:p>
    <w:p w14:paraId="1B26600E">
      <w:pPr>
        <w:pStyle w:val="558"/>
        <w:rPr>
          <w:rFonts w:hint="eastAsia" w:ascii="宋体" w:hAnsi="宋体" w:eastAsia="宋体" w:cs="宋体"/>
          <w:color w:val="auto"/>
          <w:highlight w:val="none"/>
        </w:rPr>
      </w:pPr>
    </w:p>
    <w:p w14:paraId="2A3FAAFD">
      <w:pPr>
        <w:rPr>
          <w:rFonts w:hint="eastAsia" w:ascii="宋体" w:hAnsi="宋体" w:cs="宋体"/>
          <w:color w:val="auto"/>
          <w:highlight w:val="none"/>
        </w:rPr>
      </w:pPr>
      <w:r>
        <w:rPr>
          <w:rFonts w:hint="eastAsia" w:ascii="宋体" w:hAnsi="宋体" w:cs="宋体"/>
          <w:color w:val="auto"/>
          <w:highlight w:val="none"/>
        </w:rPr>
        <w:br w:type="page" w:clear="all"/>
      </w:r>
    </w:p>
    <w:p w14:paraId="678F84B3">
      <w:pPr>
        <w:pStyle w:val="558"/>
        <w:rPr>
          <w:rFonts w:hint="eastAsia" w:ascii="宋体" w:hAnsi="宋体" w:eastAsia="宋体" w:cs="宋体"/>
          <w:color w:val="auto"/>
          <w:highlight w:val="none"/>
        </w:rPr>
      </w:pPr>
    </w:p>
    <w:p w14:paraId="07E2AA3C">
      <w:pPr>
        <w:pStyle w:val="558"/>
        <w:rPr>
          <w:rFonts w:hint="eastAsia" w:ascii="宋体" w:hAnsi="宋体" w:eastAsia="宋体" w:cs="宋体"/>
          <w:color w:val="auto"/>
          <w:highlight w:val="none"/>
        </w:rPr>
      </w:pPr>
    </w:p>
    <w:p w14:paraId="1DA98628">
      <w:pPr>
        <w:pStyle w:val="558"/>
        <w:outlineLvl w:val="1"/>
        <w:rPr>
          <w:rFonts w:hint="eastAsia" w:ascii="宋体" w:hAnsi="宋体" w:eastAsia="宋体" w:cs="宋体"/>
          <w:color w:val="auto"/>
          <w:highlight w:val="none"/>
        </w:rPr>
      </w:pPr>
      <w:bookmarkStart w:id="122" w:name="_Toc18935"/>
      <w:bookmarkStart w:id="123" w:name="_Toc199794500"/>
      <w:r>
        <w:rPr>
          <w:rFonts w:hint="eastAsia" w:ascii="宋体" w:hAnsi="宋体" w:eastAsia="宋体" w:cs="宋体"/>
          <w:color w:val="auto"/>
          <w:highlight w:val="none"/>
        </w:rPr>
        <w:t>三、投标人</w:t>
      </w:r>
      <w:bookmarkEnd w:id="120"/>
      <w:bookmarkEnd w:id="121"/>
      <w:bookmarkEnd w:id="122"/>
      <w:r>
        <w:rPr>
          <w:rFonts w:hint="eastAsia" w:ascii="宋体" w:hAnsi="宋体" w:eastAsia="宋体" w:cs="宋体"/>
          <w:bCs/>
          <w:color w:val="auto"/>
          <w:highlight w:val="none"/>
        </w:rPr>
        <w:t>具有良好的商业信誉和健全的财务会计制度</w:t>
      </w:r>
      <w:bookmarkEnd w:id="123"/>
    </w:p>
    <w:p w14:paraId="0B8C7584">
      <w:pPr>
        <w:pStyle w:val="615"/>
        <w:rPr>
          <w:rFonts w:hint="eastAsia" w:ascii="宋体" w:hAnsi="宋体" w:cs="宋体"/>
          <w:color w:val="auto"/>
          <w:highlight w:val="none"/>
        </w:rPr>
      </w:pPr>
      <w:r>
        <w:rPr>
          <w:rFonts w:hint="eastAsia" w:ascii="宋体" w:hAnsi="宋体" w:cs="宋体"/>
          <w:bCs/>
          <w:color w:val="auto"/>
          <w:szCs w:val="32"/>
          <w:highlight w:val="none"/>
        </w:rPr>
        <w:t>提供符合招标文件要求的资料</w:t>
      </w:r>
    </w:p>
    <w:p w14:paraId="2684F949">
      <w:pPr>
        <w:pStyle w:val="652"/>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24" w:name="_Toc11562_WPSOffice_Level2"/>
      <w:bookmarkStart w:id="125" w:name="_Toc29626"/>
      <w:bookmarkStart w:id="126" w:name="_Toc514054489"/>
      <w:bookmarkStart w:id="127" w:name="_Toc199794501"/>
      <w:r>
        <w:rPr>
          <w:rFonts w:hint="eastAsia" w:ascii="宋体" w:hAnsi="宋体" w:eastAsia="宋体" w:cs="宋体"/>
          <w:color w:val="auto"/>
          <w:highlight w:val="none"/>
        </w:rPr>
        <w:t>四、</w:t>
      </w:r>
      <w:bookmarkEnd w:id="124"/>
      <w:bookmarkEnd w:id="125"/>
      <w:bookmarkEnd w:id="126"/>
      <w:r>
        <w:rPr>
          <w:rFonts w:hint="eastAsia" w:ascii="宋体" w:hAnsi="宋体" w:eastAsia="宋体" w:cs="宋体"/>
          <w:bCs/>
          <w:color w:val="auto"/>
          <w:highlight w:val="none"/>
        </w:rPr>
        <w:t>具有履行合同所必需的设备和专业技术能力</w:t>
      </w:r>
      <w:bookmarkEnd w:id="127"/>
    </w:p>
    <w:p w14:paraId="565C1F10">
      <w:pPr>
        <w:pStyle w:val="390"/>
        <w:spacing w:line="600" w:lineRule="exact"/>
        <w:jc w:val="center"/>
        <w:rPr>
          <w:rFonts w:hint="eastAsia" w:ascii="宋体" w:hAnsi="宋体" w:cs="宋体"/>
          <w:b/>
          <w:color w:val="auto"/>
          <w:sz w:val="32"/>
          <w:szCs w:val="24"/>
          <w:highlight w:val="none"/>
        </w:rPr>
      </w:pPr>
      <w:bookmarkStart w:id="128" w:name="_Toc31740_WPSOffice_Level2"/>
    </w:p>
    <w:p w14:paraId="272095D6">
      <w:pPr>
        <w:pStyle w:val="390"/>
        <w:spacing w:line="600" w:lineRule="exact"/>
        <w:jc w:val="center"/>
        <w:rPr>
          <w:rFonts w:hint="eastAsia" w:ascii="宋体" w:hAnsi="宋体" w:cs="宋体"/>
          <w:b/>
          <w:color w:val="auto"/>
          <w:sz w:val="32"/>
          <w:szCs w:val="24"/>
          <w:highlight w:val="none"/>
        </w:rPr>
      </w:pPr>
      <w:r>
        <w:rPr>
          <w:rFonts w:hint="eastAsia" w:ascii="宋体" w:hAnsi="宋体" w:cs="宋体"/>
          <w:b/>
          <w:color w:val="auto"/>
          <w:sz w:val="32"/>
          <w:szCs w:val="24"/>
          <w:highlight w:val="none"/>
        </w:rPr>
        <w:t>具备履行合同所必需的设备和专业技术能力的声明</w:t>
      </w:r>
      <w:bookmarkEnd w:id="128"/>
    </w:p>
    <w:p w14:paraId="2820F13C">
      <w:pPr>
        <w:pStyle w:val="390"/>
        <w:spacing w:line="600" w:lineRule="exact"/>
        <w:rPr>
          <w:rFonts w:hint="eastAsia" w:ascii="宋体" w:hAnsi="宋体" w:cs="宋体"/>
          <w:color w:val="auto"/>
          <w:sz w:val="24"/>
          <w:highlight w:val="none"/>
          <w:u w:val="single"/>
        </w:rPr>
      </w:pPr>
    </w:p>
    <w:p w14:paraId="12D35102">
      <w:pPr>
        <w:pStyle w:val="390"/>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（采购单位）</w:t>
      </w:r>
      <w:r>
        <w:rPr>
          <w:rFonts w:hint="eastAsia" w:ascii="宋体" w:hAnsi="宋体" w:cs="宋体"/>
          <w:color w:val="auto"/>
          <w:sz w:val="24"/>
          <w:highlight w:val="none"/>
        </w:rPr>
        <w:t>：</w:t>
      </w:r>
    </w:p>
    <w:p w14:paraId="4FD774C5">
      <w:pPr>
        <w:pStyle w:val="39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我公司具备履行编号为</w:t>
      </w:r>
      <w:r>
        <w:rPr>
          <w:rFonts w:hint="eastAsia" w:ascii="宋体" w:hAnsi="宋体" w:cs="宋体"/>
          <w:color w:val="auto"/>
          <w:sz w:val="24"/>
          <w:highlight w:val="none"/>
          <w:u w:val="single"/>
        </w:rPr>
        <w:t xml:space="preserve">       号           项目</w:t>
      </w:r>
      <w:r>
        <w:rPr>
          <w:rFonts w:hint="eastAsia" w:ascii="宋体" w:hAnsi="宋体" w:cs="宋体"/>
          <w:color w:val="auto"/>
          <w:sz w:val="24"/>
          <w:highlight w:val="none"/>
        </w:rPr>
        <w:t>合同的设备和专业技术能力。</w:t>
      </w:r>
    </w:p>
    <w:p w14:paraId="17A78881">
      <w:pPr>
        <w:pStyle w:val="390"/>
        <w:spacing w:line="600" w:lineRule="exact"/>
        <w:ind w:firstLine="480"/>
        <w:rPr>
          <w:rFonts w:hint="eastAsia" w:ascii="宋体" w:hAnsi="宋体" w:cs="宋体"/>
          <w:color w:val="auto"/>
          <w:sz w:val="24"/>
          <w:highlight w:val="none"/>
        </w:rPr>
      </w:pPr>
      <w:r>
        <w:rPr>
          <w:rFonts w:hint="eastAsia" w:ascii="宋体" w:hAnsi="宋体" w:cs="宋体"/>
          <w:color w:val="auto"/>
          <w:sz w:val="24"/>
          <w:highlight w:val="none"/>
        </w:rPr>
        <w:t>特此声明。</w:t>
      </w:r>
    </w:p>
    <w:p w14:paraId="112C75AA">
      <w:pPr>
        <w:pStyle w:val="390"/>
        <w:spacing w:line="600" w:lineRule="exact"/>
        <w:ind w:firstLine="480"/>
        <w:rPr>
          <w:rFonts w:hint="eastAsia" w:ascii="宋体" w:hAnsi="宋体" w:cs="宋体"/>
          <w:color w:val="auto"/>
          <w:sz w:val="24"/>
          <w:highlight w:val="none"/>
        </w:rPr>
      </w:pPr>
    </w:p>
    <w:p w14:paraId="71AAA218">
      <w:pPr>
        <w:pStyle w:val="390"/>
        <w:spacing w:line="600" w:lineRule="exact"/>
        <w:jc w:val="center"/>
        <w:rPr>
          <w:rFonts w:hint="eastAsia" w:ascii="宋体" w:hAnsi="宋体" w:cs="宋体"/>
          <w:b/>
          <w:bCs/>
          <w:color w:val="auto"/>
          <w:sz w:val="32"/>
          <w:szCs w:val="32"/>
          <w:highlight w:val="none"/>
        </w:rPr>
      </w:pPr>
    </w:p>
    <w:p w14:paraId="3A195A6C">
      <w:pPr>
        <w:pStyle w:val="383"/>
        <w:spacing w:line="700" w:lineRule="exact"/>
        <w:ind w:firstLine="629"/>
        <w:rPr>
          <w:rFonts w:hint="eastAsia" w:ascii="宋体" w:hAnsi="宋体" w:cs="宋体"/>
          <w:color w:val="auto"/>
          <w:sz w:val="24"/>
          <w:highlight w:val="none"/>
          <w:u w:val="single"/>
        </w:rPr>
      </w:pPr>
      <w:r>
        <w:rPr>
          <w:rFonts w:hint="eastAsia" w:ascii="宋体" w:hAnsi="宋体" w:cs="宋体"/>
          <w:color w:val="auto"/>
          <w:sz w:val="24"/>
          <w:highlight w:val="none"/>
        </w:rPr>
        <w:t>单位名称：</w:t>
      </w:r>
      <w:r>
        <w:rPr>
          <w:rFonts w:hint="eastAsia" w:ascii="宋体" w:hAnsi="宋体" w:cs="宋体"/>
          <w:color w:val="auto"/>
          <w:highlight w:val="none"/>
          <w:u w:val="single"/>
        </w:rPr>
        <w:t>（加盖公章）</w:t>
      </w:r>
    </w:p>
    <w:p w14:paraId="79AEA3B1">
      <w:pPr>
        <w:pStyle w:val="383"/>
        <w:spacing w:line="700" w:lineRule="exact"/>
        <w:ind w:firstLine="629"/>
        <w:rPr>
          <w:rFonts w:hint="eastAsia" w:ascii="宋体" w:hAnsi="宋体" w:cs="宋体"/>
          <w:color w:val="auto"/>
          <w:sz w:val="24"/>
          <w:highlight w:val="none"/>
        </w:rPr>
      </w:pPr>
      <w:r>
        <w:rPr>
          <w:rFonts w:hint="eastAsia" w:ascii="宋体" w:hAnsi="宋体" w:cs="宋体"/>
          <w:color w:val="auto"/>
          <w:sz w:val="24"/>
          <w:highlight w:val="none"/>
        </w:rPr>
        <w:t>法定代表人（或授权代表）：（签字或签章）</w:t>
      </w:r>
      <w:r>
        <w:rPr>
          <w:rFonts w:hint="eastAsia" w:ascii="宋体" w:hAnsi="宋体" w:cs="宋体"/>
          <w:color w:val="auto"/>
          <w:sz w:val="24"/>
          <w:highlight w:val="none"/>
          <w:u w:val="single"/>
        </w:rPr>
        <w:t xml:space="preserve">              </w:t>
      </w:r>
    </w:p>
    <w:p w14:paraId="3BCAC1ED">
      <w:pPr>
        <w:pStyle w:val="585"/>
        <w:ind w:firstLine="720"/>
        <w:rPr>
          <w:rFonts w:hint="eastAsia" w:ascii="宋体" w:hAnsi="宋体" w:cs="宋体"/>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6C7E680D">
      <w:pPr>
        <w:pStyle w:val="398"/>
        <w:spacing w:after="100" w:afterAutospacing="1"/>
        <w:rPr>
          <w:rFonts w:hint="eastAsia" w:ascii="宋体" w:hAnsi="宋体" w:eastAsia="宋体" w:cs="宋体"/>
          <w:bCs/>
          <w:color w:val="auto"/>
          <w:highlight w:val="none"/>
        </w:rPr>
      </w:pPr>
      <w:r>
        <w:rPr>
          <w:rFonts w:hint="eastAsia" w:ascii="宋体" w:hAnsi="宋体" w:eastAsia="宋体" w:cs="宋体"/>
          <w:color w:val="auto"/>
          <w:highlight w:val="none"/>
        </w:rPr>
        <w:br w:type="page" w:clear="all"/>
      </w:r>
      <w:bookmarkStart w:id="129" w:name="_Toc467_WPSOffice_Level2"/>
      <w:bookmarkStart w:id="130" w:name="_Toc13419"/>
      <w:bookmarkStart w:id="131" w:name="_Toc514054490"/>
      <w:r>
        <w:rPr>
          <w:rFonts w:hint="eastAsia" w:ascii="宋体" w:hAnsi="宋体" w:eastAsia="宋体" w:cs="宋体"/>
          <w:b/>
          <w:bCs/>
          <w:color w:val="auto"/>
          <w:sz w:val="32"/>
          <w:highlight w:val="none"/>
        </w:rPr>
        <w:t>五、</w:t>
      </w:r>
      <w:bookmarkEnd w:id="129"/>
      <w:bookmarkEnd w:id="130"/>
      <w:bookmarkEnd w:id="131"/>
      <w:r>
        <w:rPr>
          <w:rFonts w:hint="eastAsia" w:ascii="宋体" w:hAnsi="宋体" w:eastAsia="宋体" w:cs="宋体"/>
          <w:b/>
          <w:bCs/>
          <w:color w:val="auto"/>
          <w:sz w:val="32"/>
          <w:highlight w:val="none"/>
        </w:rPr>
        <w:t>有依法缴纳税收和社会保障资金的良好记录</w:t>
      </w:r>
    </w:p>
    <w:p w14:paraId="486ABB73">
      <w:pPr>
        <w:pStyle w:val="615"/>
        <w:rPr>
          <w:rFonts w:hint="eastAsia" w:ascii="宋体" w:hAnsi="宋体" w:cs="宋体"/>
          <w:color w:val="auto"/>
          <w:highlight w:val="none"/>
        </w:rPr>
      </w:pPr>
      <w:r>
        <w:rPr>
          <w:rFonts w:hint="eastAsia" w:ascii="宋体" w:hAnsi="宋体" w:cs="宋体"/>
          <w:bCs/>
          <w:color w:val="auto"/>
          <w:szCs w:val="32"/>
          <w:highlight w:val="none"/>
        </w:rPr>
        <w:t>提供符合招标文件要求的资料</w:t>
      </w:r>
    </w:p>
    <w:p w14:paraId="41A60704">
      <w:pPr>
        <w:widowControl/>
        <w:jc w:val="left"/>
        <w:rPr>
          <w:rFonts w:hint="eastAsia" w:ascii="宋体" w:hAnsi="宋体" w:cs="宋体"/>
          <w:b/>
          <w:color w:val="auto"/>
          <w:sz w:val="32"/>
          <w:szCs w:val="24"/>
          <w:highlight w:val="none"/>
        </w:rPr>
      </w:pPr>
      <w:bookmarkStart w:id="132" w:name="_Toc19673"/>
      <w:bookmarkStart w:id="133" w:name="_Toc5571_WPSOffice_Level2"/>
      <w:bookmarkStart w:id="134" w:name="_Toc514054491"/>
      <w:r>
        <w:rPr>
          <w:rFonts w:hint="eastAsia" w:ascii="宋体" w:hAnsi="宋体" w:cs="宋体"/>
          <w:color w:val="auto"/>
          <w:highlight w:val="none"/>
        </w:rPr>
        <w:br w:type="page" w:clear="all"/>
      </w:r>
    </w:p>
    <w:p w14:paraId="1967EEEF">
      <w:pPr>
        <w:pStyle w:val="417"/>
        <w:outlineLvl w:val="1"/>
        <w:rPr>
          <w:rFonts w:hint="eastAsia" w:ascii="宋体" w:hAnsi="宋体" w:eastAsia="宋体" w:cs="宋体"/>
          <w:color w:val="auto"/>
          <w:highlight w:val="none"/>
        </w:rPr>
      </w:pPr>
      <w:bookmarkStart w:id="135" w:name="_Toc199794502"/>
      <w:r>
        <w:rPr>
          <w:rFonts w:hint="eastAsia" w:ascii="宋体" w:hAnsi="宋体" w:eastAsia="宋体" w:cs="宋体"/>
          <w:color w:val="auto"/>
          <w:highlight w:val="none"/>
        </w:rPr>
        <w:t>六、无重大违法行为声明</w:t>
      </w:r>
      <w:bookmarkEnd w:id="132"/>
      <w:bookmarkEnd w:id="133"/>
      <w:bookmarkEnd w:id="134"/>
      <w:bookmarkEnd w:id="135"/>
    </w:p>
    <w:p w14:paraId="43460F6E">
      <w:pPr>
        <w:pStyle w:val="613"/>
        <w:tabs>
          <w:tab w:val="left" w:pos="1498"/>
        </w:tabs>
        <w:spacing w:line="580" w:lineRule="exact"/>
        <w:jc w:val="center"/>
        <w:rPr>
          <w:rFonts w:hint="eastAsia" w:ascii="宋体" w:hAnsi="宋体" w:cs="宋体"/>
          <w:b/>
          <w:color w:val="auto"/>
          <w:sz w:val="32"/>
          <w:szCs w:val="32"/>
          <w:highlight w:val="none"/>
        </w:rPr>
      </w:pPr>
      <w:bookmarkStart w:id="136" w:name="_Toc7575_WPSOffice_Level2"/>
      <w:r>
        <w:rPr>
          <w:rFonts w:hint="eastAsia" w:ascii="宋体" w:hAnsi="宋体" w:cs="宋体"/>
          <w:b/>
          <w:color w:val="auto"/>
          <w:sz w:val="32"/>
          <w:szCs w:val="32"/>
          <w:highlight w:val="none"/>
        </w:rPr>
        <w:t>无重大违法行为声明</w:t>
      </w:r>
      <w:bookmarkEnd w:id="136"/>
    </w:p>
    <w:p w14:paraId="71CAC92C">
      <w:pPr>
        <w:pStyle w:val="613"/>
        <w:tabs>
          <w:tab w:val="left" w:pos="1498"/>
        </w:tabs>
        <w:spacing w:line="5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（采购人名称）    </w:t>
      </w:r>
      <w:r>
        <w:rPr>
          <w:rFonts w:hint="eastAsia" w:ascii="宋体" w:hAnsi="宋体" w:cs="宋体"/>
          <w:color w:val="auto"/>
          <w:sz w:val="24"/>
          <w:highlight w:val="none"/>
        </w:rPr>
        <w:t>：</w:t>
      </w:r>
    </w:p>
    <w:p w14:paraId="0B949180">
      <w:pPr>
        <w:pStyle w:val="613"/>
        <w:spacing w:line="600" w:lineRule="exact"/>
        <w:ind w:firstLine="600"/>
        <w:rPr>
          <w:rFonts w:hint="eastAsia" w:ascii="宋体" w:hAnsi="宋体" w:cs="宋体"/>
          <w:color w:val="auto"/>
          <w:sz w:val="24"/>
          <w:highlight w:val="none"/>
        </w:rPr>
      </w:pPr>
      <w:r>
        <w:rPr>
          <w:rFonts w:hint="eastAsia" w:ascii="宋体" w:hAnsi="宋体" w:cs="宋体"/>
          <w:color w:val="auto"/>
          <w:sz w:val="24"/>
          <w:highlight w:val="none"/>
        </w:rPr>
        <w:t>我公司在参加编号为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项目的投标活动前3年内，在经营活动中没有重大违法记录。</w:t>
      </w:r>
    </w:p>
    <w:p w14:paraId="5D9EA05C">
      <w:pPr>
        <w:pStyle w:val="613"/>
        <w:spacing w:line="600" w:lineRule="exact"/>
        <w:ind w:firstLine="600"/>
        <w:rPr>
          <w:rFonts w:hint="eastAsia" w:ascii="宋体" w:hAnsi="宋体" w:cs="宋体"/>
          <w:color w:val="auto"/>
          <w:sz w:val="24"/>
          <w:highlight w:val="none"/>
        </w:rPr>
      </w:pPr>
      <w:r>
        <w:rPr>
          <w:rFonts w:hint="eastAsia" w:ascii="宋体" w:hAnsi="宋体" w:cs="宋体"/>
          <w:color w:val="auto"/>
          <w:sz w:val="24"/>
          <w:highlight w:val="none"/>
        </w:rPr>
        <w:t>特此声明。</w:t>
      </w:r>
    </w:p>
    <w:p w14:paraId="297AC07E">
      <w:pPr>
        <w:pStyle w:val="613"/>
        <w:spacing w:line="600" w:lineRule="exact"/>
        <w:ind w:firstLine="600"/>
        <w:rPr>
          <w:rFonts w:hint="eastAsia" w:ascii="宋体" w:hAnsi="宋体" w:cs="宋体"/>
          <w:color w:val="auto"/>
          <w:sz w:val="24"/>
          <w:highlight w:val="none"/>
        </w:rPr>
      </w:pPr>
    </w:p>
    <w:p w14:paraId="653757CB">
      <w:pPr>
        <w:pStyle w:val="613"/>
        <w:spacing w:line="600" w:lineRule="exact"/>
        <w:ind w:firstLine="600"/>
        <w:rPr>
          <w:rFonts w:hint="eastAsia" w:ascii="宋体" w:hAnsi="宋体" w:cs="宋体"/>
          <w:color w:val="auto"/>
          <w:sz w:val="24"/>
          <w:highlight w:val="none"/>
        </w:rPr>
      </w:pPr>
      <w:r>
        <w:rPr>
          <w:rFonts w:hint="eastAsia" w:ascii="宋体" w:hAnsi="宋体" w:cs="宋体"/>
          <w:color w:val="auto"/>
          <w:sz w:val="24"/>
          <w:highlight w:val="none"/>
        </w:rPr>
        <w:t>注：重大违法记录，是指供应商因违法经营受到刑事处罚或者责令停产停业、吊销许可证或者执照、较大数额罚款等行政处罚。</w:t>
      </w:r>
    </w:p>
    <w:p w14:paraId="17300587">
      <w:pPr>
        <w:pStyle w:val="613"/>
        <w:spacing w:line="600" w:lineRule="exact"/>
        <w:ind w:firstLine="600"/>
        <w:rPr>
          <w:rFonts w:hint="eastAsia" w:ascii="宋体" w:hAnsi="宋体" w:cs="宋体"/>
          <w:color w:val="auto"/>
          <w:sz w:val="24"/>
          <w:highlight w:val="none"/>
        </w:rPr>
      </w:pPr>
    </w:p>
    <w:p w14:paraId="2850CC68">
      <w:pPr>
        <w:pStyle w:val="613"/>
        <w:spacing w:line="600" w:lineRule="exact"/>
        <w:ind w:firstLine="600"/>
        <w:rPr>
          <w:rFonts w:hint="eastAsia" w:ascii="宋体" w:hAnsi="宋体" w:cs="宋体"/>
          <w:color w:val="auto"/>
          <w:sz w:val="24"/>
          <w:highlight w:val="none"/>
        </w:rPr>
      </w:pPr>
    </w:p>
    <w:p w14:paraId="3EBE8CBF">
      <w:pPr>
        <w:pStyle w:val="383"/>
        <w:spacing w:line="700" w:lineRule="exact"/>
        <w:ind w:firstLine="629"/>
        <w:rPr>
          <w:rFonts w:hint="eastAsia" w:ascii="宋体" w:hAnsi="宋体" w:cs="宋体"/>
          <w:color w:val="auto"/>
          <w:sz w:val="24"/>
          <w:highlight w:val="none"/>
          <w:u w:val="singl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 xml:space="preserve"> </w:t>
      </w:r>
      <w:r>
        <w:rPr>
          <w:rFonts w:hint="eastAsia" w:ascii="宋体" w:hAnsi="宋体" w:cs="宋体"/>
          <w:color w:val="auto"/>
          <w:highlight w:val="none"/>
          <w:u w:val="single"/>
        </w:rPr>
        <w:t>（公章）</w:t>
      </w:r>
    </w:p>
    <w:p w14:paraId="2F2A427F">
      <w:pPr>
        <w:pStyle w:val="383"/>
        <w:spacing w:line="700" w:lineRule="exact"/>
        <w:ind w:firstLine="629"/>
        <w:rPr>
          <w:rFonts w:hint="eastAsia" w:ascii="宋体" w:hAnsi="宋体" w:cs="宋体"/>
          <w:color w:val="auto"/>
          <w:sz w:val="24"/>
          <w:highlight w:val="none"/>
        </w:rPr>
      </w:pPr>
      <w:r>
        <w:rPr>
          <w:rFonts w:hint="eastAsia" w:ascii="宋体" w:hAnsi="宋体" w:cs="宋体"/>
          <w:color w:val="auto"/>
          <w:sz w:val="24"/>
          <w:highlight w:val="none"/>
        </w:rPr>
        <w:t>法定代表人（或授权代表）：（签字或签章）</w:t>
      </w:r>
      <w:r>
        <w:rPr>
          <w:rFonts w:hint="eastAsia" w:ascii="宋体" w:hAnsi="宋体" w:cs="宋体"/>
          <w:color w:val="auto"/>
          <w:sz w:val="24"/>
          <w:highlight w:val="none"/>
          <w:u w:val="single"/>
        </w:rPr>
        <w:t xml:space="preserve">              </w:t>
      </w:r>
    </w:p>
    <w:p w14:paraId="0345C414">
      <w:pPr>
        <w:pStyle w:val="565"/>
        <w:ind w:firstLine="720"/>
        <w:rPr>
          <w:rFonts w:hint="eastAsia" w:ascii="宋体" w:hAnsi="宋体" w:cs="宋体"/>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67FE0C0">
      <w:pPr>
        <w:widowControl/>
        <w:jc w:val="left"/>
        <w:rPr>
          <w:rFonts w:hint="eastAsia" w:ascii="宋体" w:hAnsi="宋体" w:cs="宋体"/>
          <w:b/>
          <w:color w:val="auto"/>
          <w:sz w:val="32"/>
          <w:szCs w:val="24"/>
          <w:highlight w:val="none"/>
        </w:rPr>
      </w:pPr>
      <w:r>
        <w:rPr>
          <w:rFonts w:hint="eastAsia" w:ascii="宋体" w:hAnsi="宋体" w:cs="宋体"/>
          <w:color w:val="auto"/>
          <w:highlight w:val="none"/>
        </w:rPr>
        <w:br w:type="page"/>
      </w:r>
    </w:p>
    <w:p w14:paraId="5BB0B8E0">
      <w:pPr>
        <w:pStyle w:val="372"/>
        <w:outlineLvl w:val="1"/>
        <w:rPr>
          <w:rFonts w:hint="eastAsia" w:ascii="宋体" w:hAnsi="宋体" w:eastAsia="宋体" w:cs="宋体"/>
          <w:color w:val="auto"/>
          <w:highlight w:val="none"/>
        </w:rPr>
      </w:pPr>
      <w:bookmarkStart w:id="137" w:name="_Toc199794503"/>
      <w:bookmarkStart w:id="138" w:name="_Toc30396"/>
      <w:bookmarkStart w:id="139" w:name="_Toc514054492"/>
      <w:bookmarkStart w:id="140" w:name="_Toc31956_WPSOffice_Level2"/>
      <w:r>
        <w:rPr>
          <w:rFonts w:hint="eastAsia" w:ascii="宋体" w:hAnsi="宋体" w:eastAsia="宋体" w:cs="宋体"/>
          <w:color w:val="auto"/>
          <w:highlight w:val="none"/>
          <w:lang w:val="en-US" w:eastAsia="zh-CN"/>
        </w:rPr>
        <w:t>七</w:t>
      </w:r>
      <w:r>
        <w:rPr>
          <w:rFonts w:hint="eastAsia" w:ascii="宋体" w:hAnsi="宋体" w:eastAsia="宋体" w:cs="宋体"/>
          <w:color w:val="auto"/>
          <w:highlight w:val="none"/>
        </w:rPr>
        <w:t>、投标函</w:t>
      </w:r>
      <w:bookmarkEnd w:id="137"/>
      <w:bookmarkEnd w:id="138"/>
      <w:bookmarkEnd w:id="139"/>
      <w:bookmarkEnd w:id="140"/>
    </w:p>
    <w:p w14:paraId="25B1586C">
      <w:pPr>
        <w:pStyle w:val="452"/>
        <w:tabs>
          <w:tab w:val="left" w:pos="1498"/>
        </w:tabs>
        <w:spacing w:line="400" w:lineRule="exact"/>
        <w:rPr>
          <w:rFonts w:hint="eastAsia" w:ascii="宋体" w:hAnsi="宋体" w:cs="宋体"/>
          <w:color w:val="auto"/>
          <w:sz w:val="24"/>
          <w:szCs w:val="22"/>
          <w:highlight w:val="none"/>
        </w:rPr>
      </w:pPr>
      <w:bookmarkStart w:id="141" w:name="_Toc22395"/>
      <w:bookmarkStart w:id="142" w:name="_Toc514054493"/>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1F99E20E">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 经研究，我们决定参加编号为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的招标活动并投标，为此，我方郑重声明以下诸点，并负法律责任。</w:t>
      </w:r>
    </w:p>
    <w:p w14:paraId="6D81FD1D">
      <w:pPr>
        <w:pStyle w:val="452"/>
        <w:numPr>
          <w:ilvl w:val="0"/>
          <w:numId w:val="12"/>
        </w:numPr>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经研究招标文件的全部内容后，我方愿按招标文件的规定要求提供所有货物和服务；</w:t>
      </w:r>
    </w:p>
    <w:p w14:paraId="2ED82D0F">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二、</w:t>
      </w:r>
      <w:r>
        <w:rPr>
          <w:rFonts w:hint="eastAsia" w:ascii="宋体" w:hAnsi="宋体" w:cs="宋体"/>
          <w:b/>
          <w:bCs/>
          <w:color w:val="auto"/>
          <w:sz w:val="24"/>
          <w:highlight w:val="none"/>
        </w:rPr>
        <w:t xml:space="preserve">我方没有为本采购项目提供整体设计、规范编制，以及项目管理、监理、检测等服务。 </w:t>
      </w:r>
    </w:p>
    <w:p w14:paraId="3645651A">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三、我方与参与本次采购活动的其他投标人的法定代表人或委托代理人</w:t>
      </w:r>
      <w:r>
        <w:rPr>
          <w:rFonts w:hint="eastAsia" w:ascii="宋体" w:hAnsi="宋体" w:cs="宋体"/>
          <w:b/>
          <w:bCs/>
          <w:color w:val="auto"/>
          <w:sz w:val="24"/>
          <w:highlight w:val="none"/>
        </w:rPr>
        <w:t xml:space="preserve">无夫妻、直系血亲关系； </w:t>
      </w:r>
    </w:p>
    <w:p w14:paraId="1F446951">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四、我方与参与本次采购活动的其他投标人的负责人</w:t>
      </w:r>
      <w:r>
        <w:rPr>
          <w:rFonts w:hint="eastAsia" w:ascii="宋体" w:hAnsi="宋体" w:cs="宋体"/>
          <w:b/>
          <w:bCs/>
          <w:color w:val="auto"/>
          <w:sz w:val="24"/>
          <w:highlight w:val="none"/>
        </w:rPr>
        <w:t xml:space="preserve">不是同一人，也不存在直接控股、管理关系。 </w:t>
      </w:r>
    </w:p>
    <w:p w14:paraId="1E891E39">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五、我们理解，最低报价不是中标的唯一条件，你们有选择中标人的权利；</w:t>
      </w:r>
    </w:p>
    <w:p w14:paraId="0D59235D">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2FAE522C">
      <w:pPr>
        <w:pStyle w:val="452"/>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七、一旦我方中标，我方将根据招标文件的规定，严格按照《中华人民共和国民法典》履行自己的责任和义务，并保证于我方承诺的期限内完成项目规定的所有内容。</w:t>
      </w:r>
    </w:p>
    <w:p w14:paraId="4D931BFA">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八、我方同意遵守贵方有关招标投标的各项规定；</w:t>
      </w:r>
    </w:p>
    <w:p w14:paraId="1FA5364A">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九、我方响应招标文件规定的投标有效期。</w:t>
      </w:r>
    </w:p>
    <w:p w14:paraId="20208103">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1A02188C">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十一、与本投标有关的正式联系方式为： </w:t>
      </w:r>
    </w:p>
    <w:p w14:paraId="5D747F23">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u w:val="single"/>
        </w:rPr>
        <w:t xml:space="preserve">               </w:t>
      </w:r>
    </w:p>
    <w:p w14:paraId="593E381B">
      <w:pPr>
        <w:pStyle w:val="483"/>
        <w:tabs>
          <w:tab w:val="left" w:pos="1498"/>
        </w:tabs>
        <w:spacing w:line="400" w:lineRule="exact"/>
        <w:ind w:firstLine="480"/>
        <w:rPr>
          <w:rFonts w:hint="eastAsia" w:ascii="宋体" w:hAnsi="宋体" w:cs="宋体"/>
          <w:color w:val="auto"/>
          <w:sz w:val="24"/>
          <w:highlight w:val="none"/>
          <w:u w:val="singl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p>
    <w:p w14:paraId="42FB4E35">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3DF41E65">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十二、我方正式开户银行和帐号为： </w:t>
      </w:r>
    </w:p>
    <w:p w14:paraId="593EEC0C">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5DF25CA7">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银行账号：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35D959C5">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投标人名称：</w:t>
      </w:r>
      <w:r>
        <w:rPr>
          <w:rFonts w:hint="eastAsia" w:ascii="宋体" w:hAnsi="宋体" w:cs="宋体"/>
          <w:color w:val="auto"/>
          <w:highlight w:val="none"/>
          <w:u w:val="single"/>
        </w:rPr>
        <w:t>（公章）</w:t>
      </w:r>
      <w:r>
        <w:rPr>
          <w:rFonts w:hint="eastAsia" w:ascii="宋体" w:hAnsi="宋体" w:cs="宋体"/>
          <w:color w:val="auto"/>
          <w:sz w:val="24"/>
          <w:highlight w:val="none"/>
        </w:rPr>
        <w:t xml:space="preserve"> </w:t>
      </w:r>
    </w:p>
    <w:p w14:paraId="6E55B201">
      <w:pPr>
        <w:pStyle w:val="483"/>
        <w:tabs>
          <w:tab w:val="left" w:pos="1498"/>
        </w:tabs>
        <w:spacing w:line="400" w:lineRule="exact"/>
        <w:ind w:firstLine="480"/>
        <w:rPr>
          <w:rFonts w:hint="eastAsia" w:ascii="宋体" w:hAnsi="宋体" w:cs="宋体"/>
          <w:color w:val="auto"/>
          <w:sz w:val="24"/>
          <w:highlight w:val="none"/>
        </w:rPr>
      </w:pPr>
      <w:r>
        <w:rPr>
          <w:rFonts w:hint="eastAsia" w:ascii="宋体" w:hAnsi="宋体" w:cs="宋体"/>
          <w:color w:val="auto"/>
          <w:sz w:val="24"/>
          <w:highlight w:val="none"/>
        </w:rPr>
        <w:t>日 期： 年 月 日</w:t>
      </w:r>
    </w:p>
    <w:p w14:paraId="689ACF97">
      <w:pPr>
        <w:pStyle w:val="507"/>
        <w:spacing w:line="400" w:lineRule="exact"/>
        <w:outlineLvl w:val="1"/>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bookmarkStart w:id="143" w:name="_Toc199794504"/>
      <w:r>
        <w:rPr>
          <w:rFonts w:hint="eastAsia" w:ascii="宋体" w:hAnsi="宋体" w:eastAsia="宋体" w:cs="宋体"/>
          <w:color w:val="auto"/>
          <w:highlight w:val="none"/>
          <w:lang w:val="en-US" w:eastAsia="zh-CN"/>
        </w:rPr>
        <w:t>八</w:t>
      </w:r>
      <w:r>
        <w:rPr>
          <w:rFonts w:hint="eastAsia" w:ascii="宋体" w:hAnsi="宋体" w:eastAsia="宋体" w:cs="宋体"/>
          <w:color w:val="auto"/>
          <w:highlight w:val="none"/>
        </w:rPr>
        <w:t>、法定代表人身份证明或授权委托书</w:t>
      </w:r>
      <w:bookmarkEnd w:id="141"/>
      <w:bookmarkEnd w:id="142"/>
      <w:bookmarkEnd w:id="143"/>
    </w:p>
    <w:p w14:paraId="161ABE2E">
      <w:pPr>
        <w:pStyle w:val="614"/>
        <w:spacing w:line="560" w:lineRule="exact"/>
        <w:jc w:val="center"/>
        <w:rPr>
          <w:rFonts w:hint="eastAsia" w:ascii="宋体" w:hAnsi="宋体" w:cs="宋体"/>
          <w:b/>
          <w:bCs/>
          <w:color w:val="auto"/>
          <w:sz w:val="32"/>
          <w:szCs w:val="32"/>
          <w:highlight w:val="none"/>
        </w:rPr>
      </w:pPr>
      <w:bookmarkStart w:id="144" w:name="_Toc22626_WPSOffice_Level2"/>
      <w:r>
        <w:rPr>
          <w:rFonts w:hint="eastAsia" w:ascii="宋体" w:hAnsi="宋体" w:cs="宋体"/>
          <w:b/>
          <w:bCs/>
          <w:color w:val="auto"/>
          <w:sz w:val="32"/>
          <w:szCs w:val="32"/>
          <w:highlight w:val="none"/>
        </w:rPr>
        <w:t>法定代表人身份证明</w:t>
      </w:r>
      <w:bookmarkEnd w:id="144"/>
    </w:p>
    <w:p w14:paraId="1AFEBAE3">
      <w:pPr>
        <w:pStyle w:val="517"/>
        <w:spacing w:line="480" w:lineRule="exact"/>
        <w:rPr>
          <w:rFonts w:hint="eastAsia" w:ascii="宋体" w:hAnsi="宋体" w:cs="宋体"/>
          <w:color w:val="auto"/>
          <w:sz w:val="24"/>
          <w:highlight w:val="none"/>
        </w:rPr>
      </w:pPr>
    </w:p>
    <w:p w14:paraId="39545794">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73B09CAF">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单位性质：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5977D032">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p>
    <w:p w14:paraId="647AFA49">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日</w:t>
      </w:r>
    </w:p>
    <w:p w14:paraId="5CE0A07A">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经营期限：</w:t>
      </w:r>
      <w:r>
        <w:rPr>
          <w:rFonts w:hint="eastAsia" w:ascii="宋体" w:hAnsi="宋体" w:cs="宋体"/>
          <w:color w:val="auto"/>
          <w:sz w:val="24"/>
          <w:highlight w:val="none"/>
          <w:u w:val="single"/>
        </w:rPr>
        <w:t xml:space="preserve">                               </w:t>
      </w:r>
    </w:p>
    <w:p w14:paraId="30795FFB">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系</w:t>
      </w:r>
    </w:p>
    <w:p w14:paraId="3B63FD18">
      <w:pPr>
        <w:pStyle w:val="517"/>
        <w:spacing w:line="4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（投标人名称）的法定代表人。</w:t>
      </w:r>
    </w:p>
    <w:p w14:paraId="05F1648E">
      <w:pPr>
        <w:pStyle w:val="517"/>
        <w:spacing w:line="480" w:lineRule="exact"/>
        <w:ind w:firstLine="480"/>
        <w:rPr>
          <w:rFonts w:hint="eastAsia" w:ascii="宋体" w:hAnsi="宋体" w:cs="宋体"/>
          <w:color w:val="auto"/>
          <w:sz w:val="24"/>
          <w:highlight w:val="none"/>
        </w:rPr>
      </w:pPr>
      <w:r>
        <w:rPr>
          <w:rFonts w:hint="eastAsia" w:ascii="宋体" w:hAnsi="宋体" w:cs="宋体"/>
          <w:color w:val="auto"/>
          <w:sz w:val="24"/>
          <w:highlight w:val="none"/>
        </w:rPr>
        <w:t>特此证明。</w:t>
      </w:r>
    </w:p>
    <w:p w14:paraId="18AB3F1B">
      <w:pPr>
        <w:pStyle w:val="645"/>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（法定代表人出席开标会议的提供，未出席的可不提供。附法定代表人身份证、扫描件。）</w:t>
      </w:r>
    </w:p>
    <w:p w14:paraId="7CA0A607">
      <w:pPr>
        <w:pStyle w:val="517"/>
        <w:spacing w:line="480" w:lineRule="exact"/>
        <w:ind w:firstLine="480"/>
        <w:rPr>
          <w:rFonts w:hint="eastAsia" w:ascii="宋体" w:hAnsi="宋体" w:cs="宋体"/>
          <w:color w:val="auto"/>
          <w:sz w:val="24"/>
          <w:highlight w:val="none"/>
        </w:rPr>
      </w:pPr>
    </w:p>
    <w:p w14:paraId="3A0E55BA">
      <w:pPr>
        <w:pStyle w:val="517"/>
        <w:spacing w:line="480" w:lineRule="exact"/>
        <w:jc w:val="right"/>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52FB8BB9">
      <w:pPr>
        <w:pStyle w:val="517"/>
        <w:spacing w:line="480" w:lineRule="exact"/>
        <w:jc w:val="right"/>
        <w:rPr>
          <w:rFonts w:hint="eastAsia" w:ascii="宋体" w:hAnsi="宋体" w:cs="宋体"/>
          <w:color w:val="auto"/>
          <w:sz w:val="24"/>
          <w:highlight w:val="none"/>
        </w:rPr>
      </w:pPr>
    </w:p>
    <w:p w14:paraId="172C192B">
      <w:pPr>
        <w:pStyle w:val="517"/>
        <w:spacing w:line="480" w:lineRule="exact"/>
        <w:jc w:val="right"/>
        <w:rPr>
          <w:rFonts w:hint="eastAsia" w:ascii="宋体" w:hAnsi="宋体" w:cs="宋体"/>
          <w:color w:val="auto"/>
          <w:sz w:val="24"/>
          <w:highlight w:val="none"/>
        </w:rPr>
      </w:pPr>
    </w:p>
    <w:p w14:paraId="11CE3BC0">
      <w:pPr>
        <w:pStyle w:val="645"/>
        <w:spacing w:line="700" w:lineRule="exact"/>
        <w:ind w:firstLine="445"/>
        <w:jc w:val="right"/>
        <w:rPr>
          <w:rFonts w:hint="eastAsia"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 xml:space="preserve">       </w:t>
      </w:r>
      <w:r>
        <w:rPr>
          <w:rFonts w:hint="eastAsia" w:ascii="宋体" w:hAnsi="宋体" w:cs="宋体"/>
          <w:color w:val="auto"/>
          <w:highlight w:val="none"/>
          <w:u w:val="single"/>
        </w:rPr>
        <w:t>（公章）</w:t>
      </w:r>
    </w:p>
    <w:p w14:paraId="2FD6DFE9">
      <w:pPr>
        <w:pStyle w:val="614"/>
        <w:spacing w:line="560" w:lineRule="exact"/>
        <w:ind w:firstLine="424"/>
        <w:jc w:val="right"/>
        <w:rPr>
          <w:rFonts w:hint="eastAsia"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（签字或签章）</w:t>
      </w:r>
    </w:p>
    <w:p w14:paraId="6158B918">
      <w:pPr>
        <w:pStyle w:val="536"/>
        <w:spacing w:line="700" w:lineRule="exact"/>
        <w:ind w:firstLine="988"/>
        <w:jc w:val="righ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23C1CA8D">
      <w:pPr>
        <w:pStyle w:val="614"/>
        <w:spacing w:line="560" w:lineRule="exact"/>
        <w:jc w:val="center"/>
        <w:rPr>
          <w:rFonts w:hint="eastAsia" w:ascii="宋体" w:hAnsi="宋体" w:cs="宋体"/>
          <w:b/>
          <w:bCs/>
          <w:color w:val="auto"/>
          <w:sz w:val="32"/>
          <w:szCs w:val="32"/>
          <w:highlight w:val="none"/>
        </w:rPr>
      </w:pPr>
      <w:r>
        <w:rPr>
          <w:rFonts w:hint="eastAsia" w:ascii="宋体" w:hAnsi="宋体" w:cs="宋体"/>
          <w:color w:val="auto"/>
          <w:sz w:val="24"/>
          <w:highlight w:val="none"/>
        </w:rPr>
        <w:br w:type="page" w:clear="all"/>
      </w:r>
      <w:bookmarkStart w:id="145" w:name="_Toc406_WPSOffice_Level2"/>
      <w:r>
        <w:rPr>
          <w:rFonts w:hint="eastAsia" w:ascii="宋体" w:hAnsi="宋体" w:cs="宋体"/>
          <w:b/>
          <w:bCs/>
          <w:color w:val="auto"/>
          <w:sz w:val="32"/>
          <w:szCs w:val="32"/>
          <w:highlight w:val="none"/>
        </w:rPr>
        <w:t>法定代表人授权委托书</w:t>
      </w:r>
      <w:bookmarkEnd w:id="145"/>
    </w:p>
    <w:p w14:paraId="5C844E39">
      <w:pPr>
        <w:pStyle w:val="614"/>
        <w:spacing w:line="600" w:lineRule="exact"/>
        <w:rPr>
          <w:rFonts w:hint="eastAsia" w:ascii="宋体" w:hAnsi="宋体" w:cs="宋体"/>
          <w:color w:val="auto"/>
          <w:sz w:val="32"/>
          <w:highlight w:val="none"/>
        </w:rPr>
      </w:pPr>
    </w:p>
    <w:p w14:paraId="5AB9DA17">
      <w:pPr>
        <w:pStyle w:val="517"/>
        <w:rPr>
          <w:rFonts w:hint="eastAsia" w:ascii="宋体" w:hAnsi="宋体" w:cs="宋体"/>
          <w:color w:val="auto"/>
          <w:sz w:val="32"/>
          <w:szCs w:val="32"/>
          <w:highlight w:val="none"/>
          <w:u w:val="single"/>
        </w:rPr>
      </w:pP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u w:val="single"/>
        </w:rPr>
        <w:t>（采购人名称）</w:t>
      </w:r>
      <w:r>
        <w:rPr>
          <w:rFonts w:hint="eastAsia" w:ascii="宋体" w:hAnsi="宋体" w:cs="宋体"/>
          <w:color w:val="auto"/>
          <w:sz w:val="24"/>
          <w:highlight w:val="none"/>
        </w:rPr>
        <w:t>：</w:t>
      </w:r>
    </w:p>
    <w:p w14:paraId="26F08816">
      <w:pPr>
        <w:pStyle w:val="614"/>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（单位名称）</w:t>
      </w:r>
      <w:r>
        <w:rPr>
          <w:rFonts w:hint="eastAsia" w:ascii="宋体" w:hAnsi="宋体" w:cs="宋体"/>
          <w:color w:val="auto"/>
          <w:sz w:val="24"/>
          <w:highlight w:val="none"/>
        </w:rPr>
        <w:t>法定代表人授权我单位</w:t>
      </w:r>
      <w:r>
        <w:rPr>
          <w:rFonts w:hint="eastAsia" w:ascii="宋体" w:hAnsi="宋体" w:cs="宋体"/>
          <w:color w:val="auto"/>
          <w:sz w:val="24"/>
          <w:highlight w:val="none"/>
          <w:u w:val="single"/>
        </w:rPr>
        <w:t xml:space="preserve">    （职务或职称）   （姓名）</w:t>
      </w:r>
      <w:r>
        <w:rPr>
          <w:rFonts w:hint="eastAsia" w:ascii="宋体" w:hAnsi="宋体" w:cs="宋体"/>
          <w:color w:val="auto"/>
          <w:sz w:val="24"/>
          <w:highlight w:val="none"/>
        </w:rPr>
        <w:t>为我单位本次授权代理人，全权处理此次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公开招标活动的一切事宜。</w:t>
      </w:r>
    </w:p>
    <w:p w14:paraId="74A184C3">
      <w:pPr>
        <w:pStyle w:val="614"/>
        <w:spacing w:line="600" w:lineRule="exact"/>
        <w:ind w:firstLine="630"/>
        <w:rPr>
          <w:rFonts w:hint="eastAsia" w:ascii="宋体" w:hAnsi="宋体" w:cs="宋体"/>
          <w:color w:val="auto"/>
          <w:sz w:val="24"/>
          <w:highlight w:val="none"/>
        </w:rPr>
      </w:pPr>
      <w:r>
        <w:rPr>
          <w:rFonts w:hint="eastAsia" w:ascii="宋体" w:hAnsi="宋体" w:cs="宋体"/>
          <w:color w:val="auto"/>
          <w:sz w:val="24"/>
          <w:highlight w:val="none"/>
        </w:rPr>
        <w:t>特此授权</w:t>
      </w:r>
    </w:p>
    <w:p w14:paraId="736F25B2">
      <w:pPr>
        <w:pStyle w:val="614"/>
        <w:spacing w:line="560" w:lineRule="exact"/>
        <w:ind w:firstLine="480"/>
        <w:rPr>
          <w:rFonts w:hint="eastAsia" w:ascii="宋体" w:hAnsi="宋体" w:cs="宋体"/>
          <w:color w:val="auto"/>
          <w:sz w:val="24"/>
          <w:highlight w:val="none"/>
        </w:rPr>
      </w:pPr>
    </w:p>
    <w:p w14:paraId="0A061D6C">
      <w:pPr>
        <w:pStyle w:val="509"/>
        <w:spacing w:line="56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（授权委托人出席开标会议的提供法定代表人、授权委托人身份证扫描件。如为授权委托人参加投标的，须提供开标前6个月内任意一个月投标人单位为授权委托人缴纳的社保证明材料）</w:t>
      </w:r>
    </w:p>
    <w:p w14:paraId="27A3602C">
      <w:pPr>
        <w:pStyle w:val="509"/>
        <w:spacing w:line="600" w:lineRule="exact"/>
        <w:ind w:firstLine="630"/>
        <w:rPr>
          <w:rFonts w:hint="eastAsia" w:ascii="宋体" w:hAnsi="宋体" w:cs="宋体"/>
          <w:b/>
          <w:color w:val="auto"/>
          <w:sz w:val="24"/>
          <w:highlight w:val="none"/>
        </w:rPr>
      </w:pPr>
    </w:p>
    <w:p w14:paraId="41AD4AB5">
      <w:pPr>
        <w:pStyle w:val="614"/>
        <w:spacing w:line="700" w:lineRule="exact"/>
        <w:ind w:firstLine="629"/>
        <w:jc w:val="right"/>
        <w:rPr>
          <w:rFonts w:hint="eastAsia" w:ascii="宋体" w:hAnsi="宋体" w:cs="宋体"/>
          <w:color w:val="auto"/>
          <w:sz w:val="24"/>
          <w:highlight w:val="none"/>
        </w:rPr>
      </w:pPr>
      <w:r>
        <w:rPr>
          <w:rFonts w:hint="eastAsia" w:ascii="宋体" w:hAnsi="宋体" w:cs="宋体"/>
          <w:color w:val="auto"/>
          <w:sz w:val="24"/>
          <w:highlight w:val="none"/>
        </w:rPr>
        <w:t>单位名称：</w:t>
      </w:r>
      <w:r>
        <w:rPr>
          <w:rFonts w:hint="eastAsia" w:ascii="宋体" w:hAnsi="宋体" w:cs="宋体"/>
          <w:color w:val="auto"/>
          <w:sz w:val="24"/>
          <w:highlight w:val="none"/>
          <w:u w:val="single"/>
        </w:rPr>
        <w:t xml:space="preserve">         </w:t>
      </w:r>
      <w:r>
        <w:rPr>
          <w:rFonts w:hint="eastAsia" w:ascii="宋体" w:hAnsi="宋体" w:cs="宋体"/>
          <w:color w:val="auto"/>
          <w:highlight w:val="none"/>
          <w:u w:val="single"/>
        </w:rPr>
        <w:t>（公章）</w:t>
      </w:r>
    </w:p>
    <w:p w14:paraId="3017C99D">
      <w:pPr>
        <w:pStyle w:val="614"/>
        <w:spacing w:line="700" w:lineRule="exact"/>
        <w:ind w:firstLine="629"/>
        <w:jc w:val="right"/>
        <w:rPr>
          <w:rFonts w:hint="eastAsia"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（签字或签章）</w:t>
      </w:r>
    </w:p>
    <w:p w14:paraId="1B9E46EE">
      <w:pPr>
        <w:pStyle w:val="614"/>
        <w:spacing w:line="700" w:lineRule="exact"/>
        <w:ind w:firstLine="629"/>
        <w:jc w:val="right"/>
        <w:rPr>
          <w:rFonts w:hint="eastAsia" w:ascii="宋体" w:hAnsi="宋体" w:cs="宋体"/>
          <w:color w:val="auto"/>
          <w:sz w:val="24"/>
          <w:highlight w:val="none"/>
        </w:rPr>
      </w:pPr>
      <w:r>
        <w:rPr>
          <w:rFonts w:hint="eastAsia" w:ascii="宋体" w:hAnsi="宋体" w:cs="宋体"/>
          <w:color w:val="auto"/>
          <w:sz w:val="24"/>
          <w:highlight w:val="none"/>
        </w:rPr>
        <w:t>法人授权代表：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（签字）</w:t>
      </w:r>
    </w:p>
    <w:p w14:paraId="2213E976">
      <w:pPr>
        <w:pStyle w:val="555"/>
        <w:ind w:firstLine="720"/>
        <w:jc w:val="right"/>
        <w:rPr>
          <w:rFonts w:hint="eastAsia" w:ascii="宋体" w:hAnsi="宋体" w:cs="宋体"/>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0F014E7">
      <w:pPr>
        <w:pStyle w:val="522"/>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46" w:name="_Toc12853"/>
      <w:bookmarkStart w:id="147" w:name="_Toc199794505"/>
      <w:bookmarkStart w:id="148" w:name="_Toc514054494"/>
      <w:r>
        <w:rPr>
          <w:rFonts w:hint="eastAsia" w:ascii="宋体" w:hAnsi="宋体" w:eastAsia="宋体" w:cs="宋体"/>
          <w:color w:val="auto"/>
          <w:highlight w:val="none"/>
          <w:lang w:val="en-US" w:eastAsia="zh-CN"/>
        </w:rPr>
        <w:t>九</w:t>
      </w:r>
      <w:r>
        <w:rPr>
          <w:rFonts w:hint="eastAsia" w:ascii="宋体" w:hAnsi="宋体" w:eastAsia="宋体" w:cs="宋体"/>
          <w:color w:val="auto"/>
          <w:highlight w:val="none"/>
        </w:rPr>
        <w:t>、开标一览表</w:t>
      </w:r>
      <w:bookmarkEnd w:id="146"/>
      <w:bookmarkEnd w:id="147"/>
      <w:bookmarkEnd w:id="148"/>
    </w:p>
    <w:p w14:paraId="455ED53C">
      <w:pPr>
        <w:rPr>
          <w:b/>
          <w:bCs/>
          <w:color w:val="auto"/>
          <w:sz w:val="24"/>
          <w:szCs w:val="28"/>
          <w:highlight w:val="none"/>
        </w:rPr>
      </w:pPr>
      <w:bookmarkStart w:id="149" w:name="_Toc199794506"/>
      <w:r>
        <w:rPr>
          <w:rFonts w:hint="eastAsia"/>
          <w:b/>
          <w:bCs/>
          <w:color w:val="auto"/>
          <w:sz w:val="24"/>
          <w:szCs w:val="28"/>
          <w:highlight w:val="none"/>
        </w:rPr>
        <w:t>投标人全称（公章）：</w:t>
      </w:r>
      <w:bookmarkEnd w:id="149"/>
    </w:p>
    <w:p w14:paraId="62272740">
      <w:pPr>
        <w:rPr>
          <w:b/>
          <w:bCs/>
          <w:color w:val="auto"/>
          <w:sz w:val="24"/>
          <w:szCs w:val="28"/>
          <w:highlight w:val="none"/>
        </w:rPr>
      </w:pPr>
      <w:bookmarkStart w:id="150" w:name="_Toc199794507"/>
      <w:r>
        <w:rPr>
          <w:rFonts w:hint="eastAsia"/>
          <w:b/>
          <w:bCs/>
          <w:color w:val="auto"/>
          <w:sz w:val="24"/>
          <w:szCs w:val="28"/>
          <w:highlight w:val="none"/>
        </w:rPr>
        <w:t>项目编号：</w:t>
      </w:r>
      <w:bookmarkEnd w:id="150"/>
    </w:p>
    <w:p w14:paraId="1319B4E5">
      <w:pPr>
        <w:rPr>
          <w:b/>
          <w:bCs/>
          <w:color w:val="auto"/>
          <w:sz w:val="24"/>
          <w:szCs w:val="28"/>
          <w:highlight w:val="none"/>
        </w:rPr>
      </w:pPr>
      <w:bookmarkStart w:id="151" w:name="_Toc199794508"/>
      <w:r>
        <w:rPr>
          <w:rFonts w:hint="eastAsia"/>
          <w:b/>
          <w:bCs/>
          <w:color w:val="auto"/>
          <w:sz w:val="24"/>
          <w:szCs w:val="28"/>
          <w:highlight w:val="none"/>
        </w:rPr>
        <w:t>项目名称：</w:t>
      </w:r>
      <w:bookmarkEnd w:id="151"/>
    </w:p>
    <w:p w14:paraId="5C3D6538">
      <w:pPr>
        <w:rPr>
          <w:b/>
          <w:bCs/>
          <w:color w:val="auto"/>
          <w:sz w:val="24"/>
          <w:szCs w:val="28"/>
          <w:highlight w:val="none"/>
        </w:rPr>
      </w:pPr>
      <w:r>
        <w:rPr>
          <w:rFonts w:hint="eastAsia"/>
          <w:b/>
          <w:bCs/>
          <w:color w:val="auto"/>
          <w:sz w:val="24"/>
          <w:szCs w:val="28"/>
          <w:highlight w:val="none"/>
        </w:rPr>
        <w:t>分包号：</w:t>
      </w:r>
    </w:p>
    <w:tbl>
      <w:tblPr>
        <w:tblStyle w:val="35"/>
        <w:tblW w:w="8206" w:type="dxa"/>
        <w:tblCellSpacing w:w="0" w:type="dxa"/>
        <w:tblInd w:w="0" w:type="dxa"/>
        <w:tblLayout w:type="fixed"/>
        <w:tblCellMar>
          <w:top w:w="0" w:type="dxa"/>
          <w:left w:w="108" w:type="dxa"/>
          <w:bottom w:w="0" w:type="dxa"/>
          <w:right w:w="108" w:type="dxa"/>
        </w:tblCellMar>
      </w:tblPr>
      <w:tblGrid>
        <w:gridCol w:w="8206"/>
      </w:tblGrid>
      <w:tr w14:paraId="363FF32A">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A60FFBE">
            <w:pPr>
              <w:pStyle w:val="286"/>
              <w:jc w:val="both"/>
              <w:rPr>
                <w:rFonts w:hint="eastAsia" w:hAnsi="宋体" w:cs="宋体"/>
                <w:color w:val="auto"/>
                <w:highlight w:val="none"/>
                <w:u w:val="single"/>
              </w:rPr>
            </w:pPr>
            <w:r>
              <w:rPr>
                <w:rFonts w:hint="eastAsia" w:hAnsi="宋体" w:cs="宋体"/>
                <w:color w:val="auto"/>
                <w:highlight w:val="none"/>
              </w:rPr>
              <w:t xml:space="preserve">投标报价：  </w:t>
            </w:r>
            <w:r>
              <w:rPr>
                <w:rFonts w:hint="eastAsia" w:hAnsi="宋体" w:cs="宋体"/>
                <w:bCs/>
                <w:color w:val="auto"/>
                <w:szCs w:val="24"/>
                <w:highlight w:val="none"/>
                <w:u w:val="single"/>
              </w:rPr>
              <w:t xml:space="preserve">     </w:t>
            </w:r>
            <w:r>
              <w:rPr>
                <w:rFonts w:hint="eastAsia" w:hAnsi="宋体" w:cs="宋体"/>
                <w:bCs/>
                <w:color w:val="auto"/>
                <w:szCs w:val="24"/>
                <w:highlight w:val="none"/>
              </w:rPr>
              <w:t>元</w:t>
            </w:r>
          </w:p>
        </w:tc>
      </w:tr>
    </w:tbl>
    <w:p w14:paraId="4E60759D">
      <w:pPr>
        <w:pStyle w:val="286"/>
        <w:jc w:val="both"/>
        <w:rPr>
          <w:rFonts w:hint="eastAsia" w:hAnsi="宋体" w:cs="宋体"/>
          <w:color w:val="auto"/>
          <w:highlight w:val="none"/>
        </w:rPr>
      </w:pPr>
      <w:bookmarkStart w:id="152" w:name="_Toc8851"/>
      <w:bookmarkStart w:id="153" w:name="_Toc514054495"/>
      <w:r>
        <w:rPr>
          <w:rFonts w:hint="eastAsia" w:hAnsi="宋体" w:cs="宋体"/>
          <w:color w:val="auto"/>
          <w:highlight w:val="none"/>
        </w:rPr>
        <w:t xml:space="preserve">  日期：  </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658CDC54">
      <w:pPr>
        <w:widowControl/>
        <w:jc w:val="both"/>
        <w:rPr>
          <w:rFonts w:hint="eastAsia" w:ascii="宋体" w:hAnsi="宋体" w:eastAsia="宋体" w:cs="宋体"/>
          <w:b/>
          <w:color w:val="auto"/>
          <w:sz w:val="32"/>
          <w:szCs w:val="24"/>
          <w:highlight w:val="none"/>
          <w:lang w:val="en-US" w:eastAsia="zh-CN"/>
        </w:rPr>
      </w:pPr>
      <w:r>
        <w:rPr>
          <w:rFonts w:hint="eastAsia" w:ascii="宋体" w:hAnsi="宋体" w:cs="宋体"/>
          <w:color w:val="auto"/>
          <w:sz w:val="24"/>
          <w:szCs w:val="28"/>
          <w:highlight w:val="none"/>
          <w:lang w:val="en-US" w:eastAsia="zh-CN"/>
        </w:rPr>
        <w:t>注：投标人按照服务期3年进行报价。</w:t>
      </w:r>
      <w:r>
        <w:rPr>
          <w:rFonts w:hint="eastAsia" w:ascii="宋体" w:hAnsi="宋体" w:cs="宋体"/>
          <w:color w:val="auto"/>
          <w:highlight w:val="none"/>
        </w:rPr>
        <w:br w:type="page"/>
      </w:r>
    </w:p>
    <w:p w14:paraId="67ED699D">
      <w:pPr>
        <w:pStyle w:val="543"/>
        <w:outlineLvl w:val="1"/>
        <w:rPr>
          <w:rFonts w:hint="eastAsia" w:ascii="宋体" w:hAnsi="宋体" w:eastAsia="宋体" w:cs="宋体"/>
          <w:color w:val="auto"/>
          <w:highlight w:val="none"/>
        </w:rPr>
      </w:pPr>
      <w:bookmarkStart w:id="154" w:name="_Toc199794509"/>
      <w:r>
        <w:rPr>
          <w:rFonts w:hint="eastAsia" w:ascii="宋体" w:hAnsi="宋体" w:eastAsia="宋体" w:cs="宋体"/>
          <w:color w:val="auto"/>
          <w:highlight w:val="none"/>
        </w:rPr>
        <w:t>十、明细报价表</w:t>
      </w:r>
      <w:bookmarkEnd w:id="152"/>
      <w:bookmarkEnd w:id="153"/>
      <w:r>
        <w:rPr>
          <w:rFonts w:hint="eastAsia" w:ascii="宋体" w:hAnsi="宋体" w:eastAsia="宋体" w:cs="宋体"/>
          <w:color w:val="auto"/>
          <w:highlight w:val="none"/>
        </w:rPr>
        <w:t>（格式自拟）</w:t>
      </w:r>
      <w:bookmarkEnd w:id="154"/>
    </w:p>
    <w:tbl>
      <w:tblPr>
        <w:tblStyle w:val="35"/>
        <w:tblW w:w="96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1464"/>
        <w:gridCol w:w="2079"/>
        <w:gridCol w:w="2127"/>
        <w:gridCol w:w="1490"/>
        <w:gridCol w:w="1490"/>
      </w:tblGrid>
      <w:tr w14:paraId="463F6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985" w:type="dxa"/>
            <w:vAlign w:val="center"/>
          </w:tcPr>
          <w:p w14:paraId="19F9A9D8">
            <w:pPr>
              <w:pStyle w:val="389"/>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1464" w:type="dxa"/>
            <w:vAlign w:val="center"/>
          </w:tcPr>
          <w:p w14:paraId="19F575F9">
            <w:pPr>
              <w:pStyle w:val="389"/>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名称</w:t>
            </w:r>
          </w:p>
        </w:tc>
        <w:tc>
          <w:tcPr>
            <w:tcW w:w="2079" w:type="dxa"/>
            <w:vAlign w:val="center"/>
          </w:tcPr>
          <w:p w14:paraId="78BB9544">
            <w:pPr>
              <w:pStyle w:val="389"/>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单价</w:t>
            </w:r>
          </w:p>
        </w:tc>
        <w:tc>
          <w:tcPr>
            <w:tcW w:w="2127" w:type="dxa"/>
          </w:tcPr>
          <w:p w14:paraId="4F5A3A4D">
            <w:pPr>
              <w:pStyle w:val="389"/>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数量.单位</w:t>
            </w:r>
          </w:p>
        </w:tc>
        <w:tc>
          <w:tcPr>
            <w:tcW w:w="1490" w:type="dxa"/>
            <w:vAlign w:val="center"/>
          </w:tcPr>
          <w:p w14:paraId="537B8BB1">
            <w:pPr>
              <w:pStyle w:val="389"/>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单价</w:t>
            </w:r>
          </w:p>
        </w:tc>
        <w:tc>
          <w:tcPr>
            <w:tcW w:w="1490" w:type="dxa"/>
          </w:tcPr>
          <w:p w14:paraId="45AAD879">
            <w:pPr>
              <w:pStyle w:val="389"/>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备注</w:t>
            </w:r>
          </w:p>
        </w:tc>
      </w:tr>
      <w:tr w14:paraId="61FF9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2" w:hRule="atLeast"/>
          <w:jc w:val="center"/>
        </w:trPr>
        <w:tc>
          <w:tcPr>
            <w:tcW w:w="985" w:type="dxa"/>
          </w:tcPr>
          <w:p w14:paraId="091C83E0">
            <w:pPr>
              <w:pStyle w:val="389"/>
              <w:widowControl/>
              <w:spacing w:line="560" w:lineRule="exact"/>
              <w:rPr>
                <w:rFonts w:hint="eastAsia" w:ascii="宋体" w:hAnsi="宋体" w:cs="宋体"/>
                <w:color w:val="auto"/>
                <w:sz w:val="28"/>
                <w:szCs w:val="28"/>
                <w:highlight w:val="none"/>
              </w:rPr>
            </w:pPr>
          </w:p>
        </w:tc>
        <w:tc>
          <w:tcPr>
            <w:tcW w:w="1464" w:type="dxa"/>
          </w:tcPr>
          <w:p w14:paraId="25FBD542">
            <w:pPr>
              <w:pStyle w:val="389"/>
              <w:widowControl/>
              <w:spacing w:line="560" w:lineRule="exact"/>
              <w:jc w:val="center"/>
              <w:rPr>
                <w:rFonts w:hint="eastAsia" w:ascii="宋体" w:hAnsi="宋体" w:cs="宋体"/>
                <w:color w:val="auto"/>
                <w:sz w:val="24"/>
                <w:highlight w:val="none"/>
              </w:rPr>
            </w:pPr>
          </w:p>
        </w:tc>
        <w:tc>
          <w:tcPr>
            <w:tcW w:w="2079" w:type="dxa"/>
          </w:tcPr>
          <w:p w14:paraId="4931173F">
            <w:pPr>
              <w:pStyle w:val="389"/>
              <w:widowControl/>
              <w:spacing w:line="560" w:lineRule="exact"/>
              <w:jc w:val="center"/>
              <w:rPr>
                <w:rFonts w:hint="eastAsia" w:ascii="宋体" w:hAnsi="宋体" w:cs="宋体"/>
                <w:color w:val="auto"/>
                <w:sz w:val="24"/>
                <w:highlight w:val="none"/>
              </w:rPr>
            </w:pPr>
          </w:p>
        </w:tc>
        <w:tc>
          <w:tcPr>
            <w:tcW w:w="2127" w:type="dxa"/>
          </w:tcPr>
          <w:p w14:paraId="7B55B6A8">
            <w:pPr>
              <w:pStyle w:val="389"/>
              <w:spacing w:line="560" w:lineRule="exact"/>
              <w:jc w:val="center"/>
              <w:rPr>
                <w:rFonts w:hint="eastAsia" w:ascii="宋体" w:hAnsi="宋体" w:cs="宋体"/>
                <w:color w:val="auto"/>
                <w:sz w:val="24"/>
                <w:highlight w:val="none"/>
              </w:rPr>
            </w:pPr>
          </w:p>
        </w:tc>
        <w:tc>
          <w:tcPr>
            <w:tcW w:w="1490" w:type="dxa"/>
            <w:vAlign w:val="center"/>
          </w:tcPr>
          <w:p w14:paraId="224D4504">
            <w:pPr>
              <w:pStyle w:val="389"/>
              <w:spacing w:line="560" w:lineRule="exact"/>
              <w:jc w:val="center"/>
              <w:rPr>
                <w:rFonts w:hint="eastAsia" w:ascii="宋体" w:hAnsi="宋体" w:cs="宋体"/>
                <w:color w:val="auto"/>
                <w:sz w:val="24"/>
                <w:highlight w:val="none"/>
              </w:rPr>
            </w:pPr>
          </w:p>
        </w:tc>
        <w:tc>
          <w:tcPr>
            <w:tcW w:w="1490" w:type="dxa"/>
          </w:tcPr>
          <w:p w14:paraId="095D7935">
            <w:pPr>
              <w:pStyle w:val="389"/>
              <w:spacing w:line="560" w:lineRule="exact"/>
              <w:jc w:val="center"/>
              <w:rPr>
                <w:rFonts w:hint="eastAsia" w:ascii="宋体" w:hAnsi="宋体" w:cs="宋体"/>
                <w:color w:val="auto"/>
                <w:sz w:val="24"/>
                <w:highlight w:val="none"/>
              </w:rPr>
            </w:pPr>
          </w:p>
        </w:tc>
      </w:tr>
      <w:tr w14:paraId="36D86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85" w:type="dxa"/>
          </w:tcPr>
          <w:p w14:paraId="252C92F2">
            <w:pPr>
              <w:pStyle w:val="389"/>
              <w:widowControl/>
              <w:spacing w:line="560" w:lineRule="exact"/>
              <w:rPr>
                <w:rFonts w:hint="eastAsia" w:ascii="宋体" w:hAnsi="宋体" w:cs="宋体"/>
                <w:color w:val="auto"/>
                <w:sz w:val="28"/>
                <w:szCs w:val="28"/>
                <w:highlight w:val="none"/>
              </w:rPr>
            </w:pPr>
          </w:p>
        </w:tc>
        <w:tc>
          <w:tcPr>
            <w:tcW w:w="1464" w:type="dxa"/>
          </w:tcPr>
          <w:p w14:paraId="3A0E0B0E">
            <w:pPr>
              <w:pStyle w:val="389"/>
              <w:widowControl/>
              <w:spacing w:line="560" w:lineRule="exact"/>
              <w:jc w:val="center"/>
              <w:rPr>
                <w:rFonts w:hint="eastAsia" w:ascii="宋体" w:hAnsi="宋体" w:cs="宋体"/>
                <w:color w:val="auto"/>
                <w:sz w:val="24"/>
                <w:highlight w:val="none"/>
              </w:rPr>
            </w:pPr>
          </w:p>
        </w:tc>
        <w:tc>
          <w:tcPr>
            <w:tcW w:w="2079" w:type="dxa"/>
          </w:tcPr>
          <w:p w14:paraId="47CAFA51">
            <w:pPr>
              <w:pStyle w:val="389"/>
              <w:widowControl/>
              <w:spacing w:line="560" w:lineRule="exact"/>
              <w:jc w:val="center"/>
              <w:rPr>
                <w:rFonts w:hint="eastAsia" w:ascii="宋体" w:hAnsi="宋体" w:cs="宋体"/>
                <w:color w:val="auto"/>
                <w:sz w:val="24"/>
                <w:highlight w:val="none"/>
              </w:rPr>
            </w:pPr>
          </w:p>
        </w:tc>
        <w:tc>
          <w:tcPr>
            <w:tcW w:w="2127" w:type="dxa"/>
          </w:tcPr>
          <w:p w14:paraId="50F1D449">
            <w:pPr>
              <w:pStyle w:val="389"/>
              <w:spacing w:line="560" w:lineRule="exact"/>
              <w:jc w:val="center"/>
              <w:rPr>
                <w:rFonts w:hint="eastAsia" w:ascii="宋体" w:hAnsi="宋体" w:cs="宋体"/>
                <w:color w:val="auto"/>
                <w:sz w:val="24"/>
                <w:highlight w:val="none"/>
              </w:rPr>
            </w:pPr>
          </w:p>
        </w:tc>
        <w:tc>
          <w:tcPr>
            <w:tcW w:w="1490" w:type="dxa"/>
            <w:vAlign w:val="center"/>
          </w:tcPr>
          <w:p w14:paraId="6869CCB5">
            <w:pPr>
              <w:pStyle w:val="389"/>
              <w:spacing w:line="560" w:lineRule="exact"/>
              <w:jc w:val="center"/>
              <w:rPr>
                <w:rFonts w:hint="eastAsia" w:ascii="宋体" w:hAnsi="宋体" w:cs="宋体"/>
                <w:color w:val="auto"/>
                <w:sz w:val="24"/>
                <w:highlight w:val="none"/>
              </w:rPr>
            </w:pPr>
          </w:p>
        </w:tc>
        <w:tc>
          <w:tcPr>
            <w:tcW w:w="1490" w:type="dxa"/>
          </w:tcPr>
          <w:p w14:paraId="3DDF33F0">
            <w:pPr>
              <w:pStyle w:val="389"/>
              <w:spacing w:line="560" w:lineRule="exact"/>
              <w:jc w:val="center"/>
              <w:rPr>
                <w:rFonts w:hint="eastAsia" w:ascii="宋体" w:hAnsi="宋体" w:cs="宋体"/>
                <w:color w:val="auto"/>
                <w:sz w:val="24"/>
                <w:highlight w:val="none"/>
              </w:rPr>
            </w:pPr>
          </w:p>
        </w:tc>
      </w:tr>
      <w:tr w14:paraId="065F2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85" w:type="dxa"/>
          </w:tcPr>
          <w:p w14:paraId="26BB3EF0">
            <w:pPr>
              <w:pStyle w:val="389"/>
              <w:widowControl/>
              <w:spacing w:line="560" w:lineRule="exact"/>
              <w:rPr>
                <w:rFonts w:hint="eastAsia" w:ascii="宋体" w:hAnsi="宋体" w:cs="宋体"/>
                <w:color w:val="auto"/>
                <w:sz w:val="28"/>
                <w:szCs w:val="28"/>
                <w:highlight w:val="none"/>
              </w:rPr>
            </w:pPr>
          </w:p>
        </w:tc>
        <w:tc>
          <w:tcPr>
            <w:tcW w:w="1464" w:type="dxa"/>
          </w:tcPr>
          <w:p w14:paraId="786A49B0">
            <w:pPr>
              <w:pStyle w:val="389"/>
              <w:widowControl/>
              <w:spacing w:line="560" w:lineRule="exact"/>
              <w:jc w:val="center"/>
              <w:rPr>
                <w:rFonts w:hint="eastAsia" w:ascii="宋体" w:hAnsi="宋体" w:cs="宋体"/>
                <w:color w:val="auto"/>
                <w:sz w:val="24"/>
                <w:highlight w:val="none"/>
              </w:rPr>
            </w:pPr>
          </w:p>
        </w:tc>
        <w:tc>
          <w:tcPr>
            <w:tcW w:w="2079" w:type="dxa"/>
          </w:tcPr>
          <w:p w14:paraId="2099D03D">
            <w:pPr>
              <w:pStyle w:val="389"/>
              <w:widowControl/>
              <w:spacing w:line="560" w:lineRule="exact"/>
              <w:jc w:val="center"/>
              <w:rPr>
                <w:rFonts w:hint="eastAsia" w:ascii="宋体" w:hAnsi="宋体" w:cs="宋体"/>
                <w:color w:val="auto"/>
                <w:sz w:val="24"/>
                <w:highlight w:val="none"/>
              </w:rPr>
            </w:pPr>
          </w:p>
        </w:tc>
        <w:tc>
          <w:tcPr>
            <w:tcW w:w="2127" w:type="dxa"/>
          </w:tcPr>
          <w:p w14:paraId="47D66BD5">
            <w:pPr>
              <w:pStyle w:val="389"/>
              <w:spacing w:line="560" w:lineRule="exact"/>
              <w:jc w:val="center"/>
              <w:rPr>
                <w:rFonts w:hint="eastAsia" w:ascii="宋体" w:hAnsi="宋体" w:cs="宋体"/>
                <w:color w:val="auto"/>
                <w:sz w:val="24"/>
                <w:highlight w:val="none"/>
              </w:rPr>
            </w:pPr>
          </w:p>
        </w:tc>
        <w:tc>
          <w:tcPr>
            <w:tcW w:w="1490" w:type="dxa"/>
            <w:vAlign w:val="center"/>
          </w:tcPr>
          <w:p w14:paraId="07F3A2A6">
            <w:pPr>
              <w:pStyle w:val="389"/>
              <w:spacing w:line="560" w:lineRule="exact"/>
              <w:jc w:val="center"/>
              <w:rPr>
                <w:rFonts w:hint="eastAsia" w:ascii="宋体" w:hAnsi="宋体" w:cs="宋体"/>
                <w:color w:val="auto"/>
                <w:sz w:val="24"/>
                <w:highlight w:val="none"/>
              </w:rPr>
            </w:pPr>
          </w:p>
        </w:tc>
        <w:tc>
          <w:tcPr>
            <w:tcW w:w="1490" w:type="dxa"/>
          </w:tcPr>
          <w:p w14:paraId="28B36CBC">
            <w:pPr>
              <w:pStyle w:val="389"/>
              <w:spacing w:line="560" w:lineRule="exact"/>
              <w:jc w:val="center"/>
              <w:rPr>
                <w:rFonts w:hint="eastAsia" w:ascii="宋体" w:hAnsi="宋体" w:cs="宋体"/>
                <w:color w:val="auto"/>
                <w:sz w:val="24"/>
                <w:highlight w:val="none"/>
              </w:rPr>
            </w:pPr>
          </w:p>
        </w:tc>
      </w:tr>
      <w:tr w14:paraId="7C434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985" w:type="dxa"/>
          </w:tcPr>
          <w:p w14:paraId="0B209C70">
            <w:pPr>
              <w:pStyle w:val="389"/>
              <w:widowControl/>
              <w:spacing w:line="560" w:lineRule="exact"/>
              <w:rPr>
                <w:rFonts w:hint="eastAsia" w:ascii="宋体" w:hAnsi="宋体" w:cs="宋体"/>
                <w:color w:val="auto"/>
                <w:sz w:val="28"/>
                <w:szCs w:val="28"/>
                <w:highlight w:val="none"/>
              </w:rPr>
            </w:pPr>
          </w:p>
        </w:tc>
        <w:tc>
          <w:tcPr>
            <w:tcW w:w="1464" w:type="dxa"/>
          </w:tcPr>
          <w:p w14:paraId="7D1E3DAA">
            <w:pPr>
              <w:pStyle w:val="389"/>
              <w:widowControl/>
              <w:spacing w:line="560" w:lineRule="exact"/>
              <w:jc w:val="center"/>
              <w:rPr>
                <w:rFonts w:hint="eastAsia" w:ascii="宋体" w:hAnsi="宋体" w:cs="宋体"/>
                <w:color w:val="auto"/>
                <w:sz w:val="24"/>
                <w:highlight w:val="none"/>
              </w:rPr>
            </w:pPr>
          </w:p>
        </w:tc>
        <w:tc>
          <w:tcPr>
            <w:tcW w:w="2079" w:type="dxa"/>
          </w:tcPr>
          <w:p w14:paraId="0C309FD1">
            <w:pPr>
              <w:pStyle w:val="389"/>
              <w:widowControl/>
              <w:spacing w:line="560" w:lineRule="exact"/>
              <w:jc w:val="center"/>
              <w:rPr>
                <w:rFonts w:hint="eastAsia" w:ascii="宋体" w:hAnsi="宋体" w:cs="宋体"/>
                <w:color w:val="auto"/>
                <w:sz w:val="24"/>
                <w:highlight w:val="none"/>
              </w:rPr>
            </w:pPr>
          </w:p>
        </w:tc>
        <w:tc>
          <w:tcPr>
            <w:tcW w:w="2127" w:type="dxa"/>
          </w:tcPr>
          <w:p w14:paraId="406FCE8C">
            <w:pPr>
              <w:pStyle w:val="389"/>
              <w:spacing w:line="560" w:lineRule="exact"/>
              <w:jc w:val="center"/>
              <w:rPr>
                <w:rFonts w:hint="eastAsia" w:ascii="宋体" w:hAnsi="宋体" w:cs="宋体"/>
                <w:color w:val="auto"/>
                <w:sz w:val="24"/>
                <w:highlight w:val="none"/>
              </w:rPr>
            </w:pPr>
          </w:p>
        </w:tc>
        <w:tc>
          <w:tcPr>
            <w:tcW w:w="1490" w:type="dxa"/>
            <w:vAlign w:val="center"/>
          </w:tcPr>
          <w:p w14:paraId="1C539E7D">
            <w:pPr>
              <w:pStyle w:val="389"/>
              <w:spacing w:line="560" w:lineRule="exact"/>
              <w:jc w:val="center"/>
              <w:rPr>
                <w:rFonts w:hint="eastAsia" w:ascii="宋体" w:hAnsi="宋体" w:cs="宋体"/>
                <w:color w:val="auto"/>
                <w:sz w:val="24"/>
                <w:highlight w:val="none"/>
              </w:rPr>
            </w:pPr>
          </w:p>
        </w:tc>
        <w:tc>
          <w:tcPr>
            <w:tcW w:w="1490" w:type="dxa"/>
          </w:tcPr>
          <w:p w14:paraId="4EF3DBC7">
            <w:pPr>
              <w:pStyle w:val="389"/>
              <w:spacing w:line="560" w:lineRule="exact"/>
              <w:jc w:val="center"/>
              <w:rPr>
                <w:rFonts w:hint="eastAsia" w:ascii="宋体" w:hAnsi="宋体" w:cs="宋体"/>
                <w:color w:val="auto"/>
                <w:sz w:val="24"/>
                <w:highlight w:val="none"/>
              </w:rPr>
            </w:pPr>
          </w:p>
        </w:tc>
      </w:tr>
      <w:tr w14:paraId="5AB70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985" w:type="dxa"/>
          </w:tcPr>
          <w:p w14:paraId="3D1D580C">
            <w:pPr>
              <w:pStyle w:val="389"/>
              <w:widowControl/>
              <w:spacing w:line="560" w:lineRule="exact"/>
              <w:rPr>
                <w:rFonts w:hint="eastAsia" w:ascii="宋体" w:hAnsi="宋体" w:cs="宋体"/>
                <w:color w:val="auto"/>
                <w:sz w:val="28"/>
                <w:szCs w:val="28"/>
                <w:highlight w:val="none"/>
              </w:rPr>
            </w:pPr>
          </w:p>
        </w:tc>
        <w:tc>
          <w:tcPr>
            <w:tcW w:w="1464" w:type="dxa"/>
          </w:tcPr>
          <w:p w14:paraId="29C78EC4">
            <w:pPr>
              <w:pStyle w:val="389"/>
              <w:widowControl/>
              <w:spacing w:line="560" w:lineRule="exact"/>
              <w:jc w:val="center"/>
              <w:rPr>
                <w:rFonts w:hint="eastAsia" w:ascii="宋体" w:hAnsi="宋体" w:cs="宋体"/>
                <w:color w:val="auto"/>
                <w:sz w:val="24"/>
                <w:highlight w:val="none"/>
              </w:rPr>
            </w:pPr>
          </w:p>
        </w:tc>
        <w:tc>
          <w:tcPr>
            <w:tcW w:w="2079" w:type="dxa"/>
          </w:tcPr>
          <w:p w14:paraId="67BCB6D7">
            <w:pPr>
              <w:pStyle w:val="389"/>
              <w:widowControl/>
              <w:spacing w:line="560" w:lineRule="exact"/>
              <w:jc w:val="center"/>
              <w:rPr>
                <w:rFonts w:hint="eastAsia" w:ascii="宋体" w:hAnsi="宋体" w:cs="宋体"/>
                <w:color w:val="auto"/>
                <w:sz w:val="24"/>
                <w:highlight w:val="none"/>
              </w:rPr>
            </w:pPr>
          </w:p>
        </w:tc>
        <w:tc>
          <w:tcPr>
            <w:tcW w:w="2127" w:type="dxa"/>
          </w:tcPr>
          <w:p w14:paraId="4DBF3471">
            <w:pPr>
              <w:pStyle w:val="389"/>
              <w:spacing w:line="560" w:lineRule="exact"/>
              <w:jc w:val="center"/>
              <w:rPr>
                <w:rFonts w:hint="eastAsia" w:ascii="宋体" w:hAnsi="宋体" w:cs="宋体"/>
                <w:color w:val="auto"/>
                <w:sz w:val="24"/>
                <w:highlight w:val="none"/>
              </w:rPr>
            </w:pPr>
          </w:p>
        </w:tc>
        <w:tc>
          <w:tcPr>
            <w:tcW w:w="1490" w:type="dxa"/>
            <w:vAlign w:val="center"/>
          </w:tcPr>
          <w:p w14:paraId="3B4BA0D4">
            <w:pPr>
              <w:pStyle w:val="389"/>
              <w:spacing w:line="560" w:lineRule="exact"/>
              <w:jc w:val="center"/>
              <w:rPr>
                <w:rFonts w:hint="eastAsia" w:ascii="宋体" w:hAnsi="宋体" w:cs="宋体"/>
                <w:color w:val="auto"/>
                <w:sz w:val="24"/>
                <w:highlight w:val="none"/>
              </w:rPr>
            </w:pPr>
          </w:p>
        </w:tc>
        <w:tc>
          <w:tcPr>
            <w:tcW w:w="1490" w:type="dxa"/>
          </w:tcPr>
          <w:p w14:paraId="5F65AD52">
            <w:pPr>
              <w:pStyle w:val="389"/>
              <w:spacing w:line="560" w:lineRule="exact"/>
              <w:jc w:val="center"/>
              <w:rPr>
                <w:rFonts w:hint="eastAsia" w:ascii="宋体" w:hAnsi="宋体" w:cs="宋体"/>
                <w:color w:val="auto"/>
                <w:sz w:val="24"/>
                <w:highlight w:val="none"/>
              </w:rPr>
            </w:pPr>
          </w:p>
        </w:tc>
      </w:tr>
      <w:tr w14:paraId="340A6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2449" w:type="dxa"/>
            <w:gridSpan w:val="2"/>
          </w:tcPr>
          <w:p w14:paraId="3AA74B69">
            <w:pPr>
              <w:pStyle w:val="389"/>
              <w:widowControl/>
              <w:spacing w:line="560" w:lineRule="exact"/>
              <w:jc w:val="center"/>
              <w:rPr>
                <w:rFonts w:hint="eastAsia" w:ascii="宋体" w:hAnsi="宋体" w:cs="宋体"/>
                <w:color w:val="auto"/>
                <w:sz w:val="24"/>
                <w:highlight w:val="none"/>
              </w:rPr>
            </w:pPr>
            <w:r>
              <w:rPr>
                <w:rFonts w:hint="eastAsia" w:ascii="宋体" w:hAnsi="宋体" w:cs="宋体"/>
                <w:color w:val="auto"/>
                <w:sz w:val="24"/>
                <w:highlight w:val="none"/>
              </w:rPr>
              <w:t>报价总价</w:t>
            </w:r>
          </w:p>
        </w:tc>
        <w:tc>
          <w:tcPr>
            <w:tcW w:w="7186" w:type="dxa"/>
            <w:gridSpan w:val="4"/>
          </w:tcPr>
          <w:p w14:paraId="3F04BE6E">
            <w:pPr>
              <w:pStyle w:val="389"/>
              <w:spacing w:line="560" w:lineRule="exact"/>
              <w:jc w:val="center"/>
              <w:rPr>
                <w:rFonts w:hint="eastAsia" w:ascii="宋体" w:hAnsi="宋体" w:cs="宋体"/>
                <w:color w:val="auto"/>
                <w:sz w:val="24"/>
                <w:highlight w:val="none"/>
              </w:rPr>
            </w:pPr>
          </w:p>
        </w:tc>
      </w:tr>
    </w:tbl>
    <w:p w14:paraId="0D1751A6">
      <w:pPr>
        <w:pStyle w:val="383"/>
        <w:ind w:firstLine="629"/>
        <w:rPr>
          <w:rFonts w:hint="eastAsia" w:ascii="宋体" w:hAnsi="宋体" w:cs="宋体"/>
          <w:color w:val="auto"/>
          <w:sz w:val="24"/>
          <w:highlight w:val="none"/>
        </w:rPr>
      </w:pPr>
      <w:bookmarkStart w:id="155" w:name="_Toc514054496"/>
    </w:p>
    <w:p w14:paraId="52A3F77D">
      <w:pPr>
        <w:pStyle w:val="286"/>
        <w:jc w:val="both"/>
        <w:rPr>
          <w:rFonts w:hint="eastAsia" w:hAnsi="宋体" w:cs="宋体"/>
          <w:color w:val="auto"/>
          <w:highlight w:val="none"/>
        </w:rPr>
      </w:pPr>
      <w:r>
        <w:rPr>
          <w:rFonts w:hint="eastAsia" w:hAnsi="宋体" w:cs="宋体"/>
          <w:color w:val="auto"/>
          <w:highlight w:val="none"/>
        </w:rPr>
        <w:t>单位名称：</w:t>
      </w:r>
      <w:r>
        <w:rPr>
          <w:rFonts w:hint="eastAsia" w:hAnsi="宋体" w:cs="宋体"/>
          <w:color w:val="auto"/>
          <w:highlight w:val="none"/>
          <w:u w:val="single"/>
        </w:rPr>
        <w:t xml:space="preserve">        </w:t>
      </w:r>
      <w:r>
        <w:rPr>
          <w:rFonts w:hint="eastAsia" w:hAnsi="宋体" w:cs="宋体"/>
          <w:color w:val="auto"/>
          <w:highlight w:val="none"/>
        </w:rPr>
        <w:t>（公章）</w:t>
      </w:r>
    </w:p>
    <w:p w14:paraId="775A5A5D">
      <w:pPr>
        <w:pStyle w:val="286"/>
        <w:jc w:val="both"/>
        <w:rPr>
          <w:rFonts w:hint="eastAsia" w:hAnsi="宋体" w:cs="宋体"/>
          <w:color w:val="auto"/>
          <w:highlight w:val="none"/>
        </w:rPr>
      </w:pPr>
      <w:r>
        <w:rPr>
          <w:rFonts w:hint="eastAsia" w:hAnsi="宋体" w:cs="宋体"/>
          <w:color w:val="auto"/>
          <w:highlight w:val="none"/>
        </w:rPr>
        <w:t xml:space="preserve">法定代表人（或授权代表）：（签字或签章）              </w:t>
      </w:r>
    </w:p>
    <w:p w14:paraId="60498776">
      <w:pPr>
        <w:pStyle w:val="473"/>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56" w:name="_Toc199794510"/>
      <w:bookmarkStart w:id="157" w:name="_Toc10632"/>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、中小企业声明函</w:t>
      </w:r>
      <w:bookmarkEnd w:id="155"/>
      <w:bookmarkEnd w:id="156"/>
      <w:bookmarkEnd w:id="157"/>
    </w:p>
    <w:p w14:paraId="7FDEA66F">
      <w:pPr>
        <w:spacing w:before="312" w:after="312" w:line="360" w:lineRule="auto"/>
        <w:jc w:val="center"/>
        <w:outlineLvl w:val="1"/>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中小企业声明函（工程、服务）</w:t>
      </w:r>
    </w:p>
    <w:p w14:paraId="54D123EC">
      <w:pPr>
        <w:rPr>
          <w:rFonts w:hint="eastAsia" w:hAnsi="宋体" w:cs="宋体"/>
          <w:b w:val="0"/>
          <w:color w:val="auto"/>
          <w:szCs w:val="24"/>
          <w:highlight w:val="none"/>
        </w:rPr>
      </w:pPr>
    </w:p>
    <w:p w14:paraId="0B4FC747">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本公司（联合体）郑重声明，根据《政府采购促进中小企业发展管理办法》（财库﹝2020﹞46 号）的规定，本公司（联合体）参加</w:t>
      </w:r>
      <w:r>
        <w:rPr>
          <w:rFonts w:hint="eastAsia" w:hAnsi="宋体" w:cs="宋体"/>
          <w:b w:val="0"/>
          <w:color w:val="auto"/>
          <w:highlight w:val="none"/>
          <w:u w:val="single"/>
        </w:rPr>
        <w:t>（单位名称）</w:t>
      </w:r>
      <w:r>
        <w:rPr>
          <w:rFonts w:hint="eastAsia" w:hAnsi="宋体" w:cs="宋体"/>
          <w:b w:val="0"/>
          <w:color w:val="auto"/>
          <w:highlight w:val="none"/>
        </w:rPr>
        <w:t>的</w:t>
      </w:r>
      <w:r>
        <w:rPr>
          <w:rFonts w:hint="eastAsia" w:hAnsi="宋体" w:cs="宋体"/>
          <w:b w:val="0"/>
          <w:color w:val="auto"/>
          <w:highlight w:val="none"/>
          <w:u w:val="single"/>
        </w:rPr>
        <w:t>（项目名称）</w:t>
      </w:r>
      <w:r>
        <w:rPr>
          <w:rFonts w:hint="eastAsia" w:hAnsi="宋体" w:cs="宋体"/>
          <w:b w:val="0"/>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5E662FA">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6CD0B9FB">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（标的名称）</w:t>
      </w:r>
      <w:r>
        <w:rPr>
          <w:rFonts w:hint="eastAsia" w:hAnsi="宋体" w:cs="宋体"/>
          <w:b w:val="0"/>
          <w:color w:val="auto"/>
          <w:highlight w:val="none"/>
        </w:rPr>
        <w:t>，属于</w:t>
      </w:r>
      <w:r>
        <w:rPr>
          <w:rFonts w:hint="eastAsia" w:hAnsi="宋体" w:cs="宋体"/>
          <w:b w:val="0"/>
          <w:color w:val="auto"/>
          <w:highlight w:val="none"/>
          <w:u w:val="single"/>
        </w:rPr>
        <w:t>（招标文件中明确的所属行业）</w:t>
      </w:r>
      <w:r>
        <w:rPr>
          <w:rFonts w:hint="eastAsia" w:hAnsi="宋体" w:cs="宋体"/>
          <w:b w:val="0"/>
          <w:color w:val="auto"/>
          <w:highlight w:val="none"/>
        </w:rPr>
        <w:t>；承建（承接）企业为</w:t>
      </w:r>
      <w:r>
        <w:rPr>
          <w:rFonts w:hint="eastAsia" w:hAnsi="宋体" w:cs="宋体"/>
          <w:b w:val="0"/>
          <w:color w:val="auto"/>
          <w:highlight w:val="none"/>
          <w:u w:val="single"/>
        </w:rPr>
        <w:t>（企业名称）</w:t>
      </w:r>
      <w:r>
        <w:rPr>
          <w:rFonts w:hint="eastAsia" w:hAnsi="宋体" w:cs="宋体"/>
          <w:b w:val="0"/>
          <w:color w:val="auto"/>
          <w:highlight w:val="none"/>
        </w:rPr>
        <w:t>，从业人员</w:t>
      </w:r>
      <w:r>
        <w:rPr>
          <w:rFonts w:hint="eastAsia" w:hAnsi="宋体" w:cs="宋体"/>
          <w:b w:val="0"/>
          <w:color w:val="auto"/>
          <w:highlight w:val="none"/>
          <w:u w:val="single"/>
        </w:rPr>
        <w:t xml:space="preserve">  </w:t>
      </w:r>
      <w:r>
        <w:rPr>
          <w:rFonts w:hint="eastAsia" w:hAnsi="宋体" w:cs="宋体"/>
          <w:b w:val="0"/>
          <w:color w:val="auto"/>
          <w:highlight w:val="none"/>
        </w:rPr>
        <w:t>人，营业收入为</w:t>
      </w:r>
      <w:r>
        <w:rPr>
          <w:rFonts w:hint="eastAsia" w:hAnsi="宋体" w:cs="宋体"/>
          <w:b w:val="0"/>
          <w:color w:val="auto"/>
          <w:highlight w:val="none"/>
          <w:u w:val="single"/>
        </w:rPr>
        <w:t xml:space="preserve">     </w:t>
      </w:r>
      <w:r>
        <w:rPr>
          <w:rFonts w:hint="eastAsia" w:hAnsi="宋体" w:cs="宋体"/>
          <w:b w:val="0"/>
          <w:color w:val="auto"/>
          <w:highlight w:val="none"/>
        </w:rPr>
        <w:t>万元，资产总额为</w:t>
      </w:r>
      <w:r>
        <w:rPr>
          <w:rFonts w:hint="eastAsia" w:hAnsi="宋体" w:cs="宋体"/>
          <w:b w:val="0"/>
          <w:color w:val="auto"/>
          <w:highlight w:val="none"/>
          <w:u w:val="single"/>
        </w:rPr>
        <w:t xml:space="preserve">   </w:t>
      </w:r>
      <w:r>
        <w:rPr>
          <w:rFonts w:hint="eastAsia" w:hAnsi="宋体" w:cs="宋体"/>
          <w:b w:val="0"/>
          <w:color w:val="auto"/>
          <w:highlight w:val="none"/>
        </w:rPr>
        <w:t>万元，属于</w:t>
      </w:r>
      <w:r>
        <w:rPr>
          <w:rFonts w:hint="eastAsia" w:hAnsi="宋体" w:cs="宋体"/>
          <w:b w:val="0"/>
          <w:color w:val="auto"/>
          <w:highlight w:val="none"/>
          <w:u w:val="single"/>
        </w:rPr>
        <w:t>（</w:t>
      </w:r>
      <w:r>
        <w:rPr>
          <w:rFonts w:hint="eastAsia" w:hAnsi="宋体" w:cs="宋体"/>
          <w:b w:val="0"/>
          <w:color w:val="auto"/>
          <w:szCs w:val="24"/>
          <w:highlight w:val="none"/>
          <w:u w:val="single"/>
        </w:rPr>
        <w:t>□</w:t>
      </w:r>
      <w:r>
        <w:rPr>
          <w:rFonts w:hint="eastAsia" w:hAnsi="宋体" w:cs="宋体"/>
          <w:b w:val="0"/>
          <w:color w:val="auto"/>
          <w:highlight w:val="none"/>
          <w:u w:val="single"/>
        </w:rPr>
        <w:t>中型企业、</w:t>
      </w:r>
      <w:r>
        <w:rPr>
          <w:rFonts w:hint="eastAsia" w:hAnsi="宋体" w:cs="宋体"/>
          <w:b w:val="0"/>
          <w:color w:val="auto"/>
          <w:szCs w:val="24"/>
          <w:highlight w:val="none"/>
          <w:u w:val="single"/>
        </w:rPr>
        <w:t>□</w:t>
      </w:r>
      <w:r>
        <w:rPr>
          <w:rFonts w:hint="eastAsia" w:hAnsi="宋体" w:cs="宋体"/>
          <w:b w:val="0"/>
          <w:color w:val="auto"/>
          <w:highlight w:val="none"/>
          <w:u w:val="single"/>
        </w:rPr>
        <w:t>小型企业、</w:t>
      </w:r>
      <w:r>
        <w:rPr>
          <w:rFonts w:hint="eastAsia" w:hAnsi="宋体" w:cs="宋体"/>
          <w:b w:val="0"/>
          <w:color w:val="auto"/>
          <w:szCs w:val="24"/>
          <w:highlight w:val="none"/>
          <w:u w:val="single"/>
        </w:rPr>
        <w:t>□</w:t>
      </w:r>
      <w:r>
        <w:rPr>
          <w:rFonts w:hint="eastAsia" w:hAnsi="宋体" w:cs="宋体"/>
          <w:b w:val="0"/>
          <w:color w:val="auto"/>
          <w:highlight w:val="none"/>
          <w:u w:val="single"/>
        </w:rPr>
        <w:t>微型企业）</w:t>
      </w:r>
      <w:r>
        <w:rPr>
          <w:rFonts w:hint="eastAsia" w:hAnsi="宋体" w:cs="宋体"/>
          <w:b w:val="0"/>
          <w:color w:val="auto"/>
          <w:highlight w:val="none"/>
        </w:rPr>
        <w:t>；</w:t>
      </w:r>
    </w:p>
    <w:p w14:paraId="06925498">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w:t>
      </w:r>
    </w:p>
    <w:p w14:paraId="126A7B50">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以上企业，不属于大企业的分支机构，不存在控股股东为大企业的情形，也不存在与大企业的负责人为同一人的情形。</w:t>
      </w:r>
    </w:p>
    <w:p w14:paraId="377B5EEC">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r>
        <w:rPr>
          <w:rFonts w:hint="eastAsia" w:hAnsi="宋体" w:cs="宋体"/>
          <w:b w:val="0"/>
          <w:color w:val="auto"/>
          <w:highlight w:val="none"/>
        </w:rPr>
        <w:t>本企业对上述声明内容的真实性负责。如有虚假，将依法承担相应责任。</w:t>
      </w:r>
    </w:p>
    <w:p w14:paraId="589D5520">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p>
    <w:p w14:paraId="5B3B0FBF">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p>
    <w:p w14:paraId="0B157CEB">
      <w:pPr>
        <w:pStyle w:val="15"/>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投标人名称（盖章）：</w:t>
      </w:r>
    </w:p>
    <w:p w14:paraId="7C27C6E4">
      <w:pPr>
        <w:pStyle w:val="15"/>
        <w:tabs>
          <w:tab w:val="left" w:pos="7098"/>
        </w:tabs>
        <w:spacing w:line="360" w:lineRule="auto"/>
        <w:ind w:firstLine="6000" w:firstLineChars="250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w:t>
      </w:r>
    </w:p>
    <w:p w14:paraId="32BF8229">
      <w:pPr>
        <w:autoSpaceDE w:val="0"/>
        <w:autoSpaceDN w:val="0"/>
        <w:adjustRightInd w:val="0"/>
        <w:snapToGrid w:val="0"/>
        <w:spacing w:line="360" w:lineRule="auto"/>
        <w:contextualSpacing/>
        <w:jc w:val="left"/>
        <w:rPr>
          <w:rFonts w:hint="eastAsia" w:hAnsi="宋体" w:cs="宋体"/>
          <w:b w:val="0"/>
          <w:color w:val="auto"/>
          <w:highlight w:val="none"/>
        </w:rPr>
      </w:pPr>
    </w:p>
    <w:p w14:paraId="74074EAD">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p>
    <w:p w14:paraId="07C65177">
      <w:pPr>
        <w:autoSpaceDE w:val="0"/>
        <w:autoSpaceDN w:val="0"/>
        <w:adjustRightInd w:val="0"/>
        <w:snapToGrid w:val="0"/>
        <w:spacing w:line="360" w:lineRule="auto"/>
        <w:ind w:firstLine="420" w:firstLineChars="200"/>
        <w:contextualSpacing/>
        <w:jc w:val="left"/>
        <w:rPr>
          <w:rFonts w:hint="eastAsia" w:hAnsi="宋体" w:cs="宋体"/>
          <w:b w:val="0"/>
          <w:color w:val="auto"/>
          <w:highlight w:val="none"/>
        </w:rPr>
      </w:pPr>
    </w:p>
    <w:p w14:paraId="2AEB6FAF">
      <w:pPr>
        <w:autoSpaceDE w:val="0"/>
        <w:autoSpaceDN w:val="0"/>
        <w:adjustRightInd w:val="0"/>
        <w:snapToGrid w:val="0"/>
        <w:spacing w:line="360" w:lineRule="auto"/>
        <w:ind w:firstLine="420" w:firstLineChars="200"/>
        <w:contextualSpacing/>
        <w:jc w:val="left"/>
        <w:rPr>
          <w:rFonts w:hint="eastAsia" w:hAnsi="宋体" w:cs="宋体"/>
          <w:b w:val="0"/>
          <w:color w:val="auto"/>
          <w:kern w:val="2"/>
          <w:position w:val="0"/>
          <w:szCs w:val="24"/>
          <w:highlight w:val="none"/>
        </w:rPr>
      </w:pPr>
      <w:r>
        <w:rPr>
          <w:rFonts w:hint="eastAsia" w:hAnsi="宋体" w:cs="宋体"/>
          <w:b w:val="0"/>
          <w:color w:val="auto"/>
          <w:highlight w:val="none"/>
        </w:rPr>
        <w:t>注：从业人员、营业收入、资产总额填报上一年度数据，无上一年度数据的新成立企业可不填报。</w:t>
      </w:r>
    </w:p>
    <w:p w14:paraId="0FE3D9E1">
      <w:pPr>
        <w:spacing w:line="360" w:lineRule="auto"/>
        <w:ind w:firstLine="4620"/>
        <w:jc w:val="left"/>
        <w:rPr>
          <w:rFonts w:hint="eastAsia" w:ascii="宋体" w:hAnsi="宋体" w:cs="宋体"/>
          <w:color w:val="auto"/>
          <w:highlight w:val="none"/>
        </w:rPr>
      </w:pPr>
    </w:p>
    <w:p w14:paraId="5944DF3D">
      <w:pPr>
        <w:widowControl/>
        <w:jc w:val="left"/>
        <w:rPr>
          <w:rFonts w:hint="eastAsia" w:ascii="宋体" w:hAnsi="宋体" w:cs="宋体"/>
          <w:b/>
          <w:color w:val="auto"/>
          <w:szCs w:val="21"/>
          <w:highlight w:val="none"/>
        </w:rPr>
      </w:pPr>
      <w:bookmarkStart w:id="158" w:name="_Toc109304977"/>
      <w:r>
        <w:rPr>
          <w:rFonts w:hint="eastAsia" w:ascii="宋体" w:hAnsi="宋体" w:cs="宋体"/>
          <w:color w:val="auto"/>
          <w:szCs w:val="21"/>
          <w:highlight w:val="none"/>
        </w:rPr>
        <w:br w:type="page"/>
      </w:r>
    </w:p>
    <w:p w14:paraId="423512AF">
      <w:pPr>
        <w:pStyle w:val="222"/>
        <w:widowControl/>
        <w:spacing w:before="300" w:after="300" w:line="360" w:lineRule="auto"/>
        <w:jc w:val="center"/>
        <w:rPr>
          <w:rFonts w:hint="eastAsia" w:ascii="宋体" w:hAnsi="宋体" w:eastAsia="宋体" w:cs="宋体"/>
          <w:color w:val="auto"/>
          <w:sz w:val="21"/>
          <w:szCs w:val="21"/>
          <w:highlight w:val="none"/>
        </w:rPr>
      </w:pPr>
      <w:bookmarkStart w:id="159" w:name="_Toc199794512"/>
      <w:r>
        <w:rPr>
          <w:rFonts w:hint="eastAsia" w:ascii="宋体" w:hAnsi="宋体" w:eastAsia="宋体" w:cs="宋体"/>
          <w:color w:val="auto"/>
          <w:sz w:val="21"/>
          <w:szCs w:val="21"/>
          <w:highlight w:val="none"/>
        </w:rPr>
        <w:t>中小微企业划型标准</w:t>
      </w:r>
      <w:bookmarkEnd w:id="158"/>
      <w:bookmarkEnd w:id="159"/>
      <w:r>
        <w:rPr>
          <w:rFonts w:hint="eastAsia" w:ascii="宋体" w:hAnsi="宋体" w:eastAsia="宋体" w:cs="宋体"/>
          <w:color w:val="auto"/>
          <w:sz w:val="21"/>
          <w:szCs w:val="21"/>
          <w:highlight w:val="none"/>
        </w:rPr>
        <w:t> </w:t>
      </w:r>
    </w:p>
    <w:p w14:paraId="091A9028">
      <w:pPr>
        <w:pStyle w:val="286"/>
        <w:spacing w:before="300" w:after="452" w:line="360" w:lineRule="auto"/>
        <w:ind w:firstLine="420"/>
        <w:rPr>
          <w:rFonts w:hint="eastAsia" w:hAnsi="宋体" w:cs="宋体"/>
          <w:color w:val="auto"/>
          <w:sz w:val="21"/>
          <w:szCs w:val="21"/>
          <w:highlight w:val="none"/>
        </w:rPr>
      </w:pPr>
      <w:r>
        <w:rPr>
          <w:rStyle w:val="294"/>
          <w:rFonts w:hint="eastAsia" w:hAnsi="宋体" w:cs="宋体"/>
          <w:color w:val="auto"/>
          <w:sz w:val="21"/>
          <w:szCs w:val="21"/>
          <w:highlight w:val="none"/>
        </w:rPr>
        <w:t>中小微企业划型标准如下：</w:t>
      </w:r>
    </w:p>
    <w:tbl>
      <w:tblPr>
        <w:tblStyle w:val="35"/>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622"/>
        <w:gridCol w:w="1929"/>
        <w:gridCol w:w="581"/>
        <w:gridCol w:w="2311"/>
        <w:gridCol w:w="1897"/>
        <w:gridCol w:w="1681"/>
      </w:tblGrid>
      <w:tr w14:paraId="18DC49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610" w:type="dxa"/>
            <w:tcMar>
              <w:top w:w="0" w:type="dxa"/>
              <w:left w:w="105" w:type="dxa"/>
              <w:bottom w:w="0" w:type="dxa"/>
              <w:right w:w="105" w:type="dxa"/>
            </w:tcMar>
            <w:vAlign w:val="center"/>
          </w:tcPr>
          <w:p w14:paraId="5B18F41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行业名称</w:t>
            </w:r>
          </w:p>
        </w:tc>
        <w:tc>
          <w:tcPr>
            <w:tcW w:w="1941" w:type="dxa"/>
            <w:tcMar>
              <w:top w:w="0" w:type="dxa"/>
              <w:left w:w="105" w:type="dxa"/>
              <w:bottom w:w="0" w:type="dxa"/>
              <w:right w:w="105" w:type="dxa"/>
            </w:tcMar>
            <w:vAlign w:val="center"/>
          </w:tcPr>
          <w:p w14:paraId="6758307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指标名称</w:t>
            </w:r>
          </w:p>
        </w:tc>
        <w:tc>
          <w:tcPr>
            <w:tcW w:w="559" w:type="dxa"/>
            <w:tcMar>
              <w:top w:w="0" w:type="dxa"/>
              <w:left w:w="105" w:type="dxa"/>
              <w:bottom w:w="0" w:type="dxa"/>
              <w:right w:w="105" w:type="dxa"/>
            </w:tcMar>
            <w:vAlign w:val="center"/>
          </w:tcPr>
          <w:p w14:paraId="3D47AAC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计量单位</w:t>
            </w:r>
          </w:p>
        </w:tc>
        <w:tc>
          <w:tcPr>
            <w:tcW w:w="2332" w:type="dxa"/>
            <w:tcMar>
              <w:top w:w="0" w:type="dxa"/>
              <w:left w:w="105" w:type="dxa"/>
              <w:bottom w:w="0" w:type="dxa"/>
              <w:right w:w="105" w:type="dxa"/>
            </w:tcMar>
            <w:vAlign w:val="center"/>
          </w:tcPr>
          <w:p w14:paraId="016F8FE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中型</w:t>
            </w:r>
          </w:p>
        </w:tc>
        <w:tc>
          <w:tcPr>
            <w:tcW w:w="1908" w:type="dxa"/>
            <w:tcMar>
              <w:top w:w="0" w:type="dxa"/>
              <w:left w:w="105" w:type="dxa"/>
              <w:bottom w:w="0" w:type="dxa"/>
              <w:right w:w="105" w:type="dxa"/>
            </w:tcMar>
            <w:vAlign w:val="center"/>
          </w:tcPr>
          <w:p w14:paraId="2FF145B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小型</w:t>
            </w:r>
          </w:p>
        </w:tc>
        <w:tc>
          <w:tcPr>
            <w:tcW w:w="1671" w:type="dxa"/>
            <w:tcMar>
              <w:top w:w="0" w:type="dxa"/>
              <w:left w:w="105" w:type="dxa"/>
              <w:bottom w:w="0" w:type="dxa"/>
              <w:right w:w="105" w:type="dxa"/>
            </w:tcMar>
            <w:vAlign w:val="center"/>
          </w:tcPr>
          <w:p w14:paraId="560BAC4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微型</w:t>
            </w:r>
          </w:p>
        </w:tc>
      </w:tr>
      <w:tr w14:paraId="683E843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tcMar>
              <w:top w:w="0" w:type="dxa"/>
              <w:left w:w="105" w:type="dxa"/>
              <w:bottom w:w="0" w:type="dxa"/>
              <w:right w:w="105" w:type="dxa"/>
            </w:tcMar>
            <w:vAlign w:val="center"/>
          </w:tcPr>
          <w:p w14:paraId="55F18E0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农、林、牧、渔</w:t>
            </w:r>
          </w:p>
        </w:tc>
        <w:tc>
          <w:tcPr>
            <w:tcW w:w="1941" w:type="dxa"/>
            <w:tcMar>
              <w:top w:w="0" w:type="dxa"/>
              <w:left w:w="105" w:type="dxa"/>
              <w:bottom w:w="0" w:type="dxa"/>
              <w:right w:w="105" w:type="dxa"/>
            </w:tcMar>
            <w:vAlign w:val="center"/>
          </w:tcPr>
          <w:p w14:paraId="2EE3AF7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6FCE3B4B">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55C5A3C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500≤Y＜20000</w:t>
            </w:r>
          </w:p>
        </w:tc>
        <w:tc>
          <w:tcPr>
            <w:tcW w:w="1908" w:type="dxa"/>
            <w:tcMar>
              <w:top w:w="0" w:type="dxa"/>
              <w:left w:w="105" w:type="dxa"/>
              <w:bottom w:w="0" w:type="dxa"/>
              <w:right w:w="105" w:type="dxa"/>
            </w:tcMar>
            <w:vAlign w:val="center"/>
          </w:tcPr>
          <w:p w14:paraId="1A28188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50≤Y＜500</w:t>
            </w:r>
          </w:p>
        </w:tc>
        <w:tc>
          <w:tcPr>
            <w:tcW w:w="1671" w:type="dxa"/>
            <w:tcMar>
              <w:top w:w="0" w:type="dxa"/>
              <w:left w:w="105" w:type="dxa"/>
              <w:bottom w:w="0" w:type="dxa"/>
              <w:right w:w="105" w:type="dxa"/>
            </w:tcMar>
            <w:vAlign w:val="center"/>
          </w:tcPr>
          <w:p w14:paraId="0F41BEB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Y＜50</w:t>
            </w:r>
          </w:p>
        </w:tc>
      </w:tr>
      <w:tr w14:paraId="2747A6C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416316F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工业</w:t>
            </w:r>
          </w:p>
        </w:tc>
        <w:tc>
          <w:tcPr>
            <w:tcW w:w="1941" w:type="dxa"/>
            <w:tcMar>
              <w:top w:w="0" w:type="dxa"/>
              <w:left w:w="105" w:type="dxa"/>
              <w:bottom w:w="0" w:type="dxa"/>
              <w:right w:w="105" w:type="dxa"/>
            </w:tcMar>
            <w:vAlign w:val="center"/>
          </w:tcPr>
          <w:p w14:paraId="117595B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6FC8077">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7FD934E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300≤X＜1000</w:t>
            </w:r>
          </w:p>
        </w:tc>
        <w:tc>
          <w:tcPr>
            <w:tcW w:w="1908" w:type="dxa"/>
            <w:tcMar>
              <w:top w:w="0" w:type="dxa"/>
              <w:left w:w="105" w:type="dxa"/>
              <w:bottom w:w="0" w:type="dxa"/>
              <w:right w:w="105" w:type="dxa"/>
            </w:tcMar>
            <w:vAlign w:val="center"/>
          </w:tcPr>
          <w:p w14:paraId="4ACFCD2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20≤X＜300</w:t>
            </w:r>
          </w:p>
        </w:tc>
        <w:tc>
          <w:tcPr>
            <w:tcW w:w="1671" w:type="dxa"/>
            <w:tcMar>
              <w:top w:w="0" w:type="dxa"/>
              <w:left w:w="105" w:type="dxa"/>
              <w:bottom w:w="0" w:type="dxa"/>
              <w:right w:w="105" w:type="dxa"/>
            </w:tcMar>
            <w:vAlign w:val="center"/>
          </w:tcPr>
          <w:p w14:paraId="20FD0F7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X＜20</w:t>
            </w:r>
          </w:p>
        </w:tc>
      </w:tr>
      <w:tr w14:paraId="198565D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02D5992E">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5762235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6AF3CD0D">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260E5EE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2000≤Y＜40000</w:t>
            </w:r>
          </w:p>
        </w:tc>
        <w:tc>
          <w:tcPr>
            <w:tcW w:w="1908" w:type="dxa"/>
            <w:tcMar>
              <w:top w:w="0" w:type="dxa"/>
              <w:left w:w="105" w:type="dxa"/>
              <w:bottom w:w="0" w:type="dxa"/>
              <w:right w:w="105" w:type="dxa"/>
            </w:tcMar>
            <w:vAlign w:val="center"/>
          </w:tcPr>
          <w:p w14:paraId="105B0B5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300≤Y＜2000</w:t>
            </w:r>
          </w:p>
        </w:tc>
        <w:tc>
          <w:tcPr>
            <w:tcW w:w="1671" w:type="dxa"/>
            <w:tcMar>
              <w:top w:w="0" w:type="dxa"/>
              <w:left w:w="105" w:type="dxa"/>
              <w:bottom w:w="0" w:type="dxa"/>
              <w:right w:w="105" w:type="dxa"/>
            </w:tcMar>
            <w:vAlign w:val="center"/>
          </w:tcPr>
          <w:p w14:paraId="0FCF29D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Y＜300</w:t>
            </w:r>
          </w:p>
        </w:tc>
      </w:tr>
      <w:tr w14:paraId="27ACD3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2DA0B42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建筑业</w:t>
            </w:r>
          </w:p>
        </w:tc>
        <w:tc>
          <w:tcPr>
            <w:tcW w:w="1941" w:type="dxa"/>
            <w:tcMar>
              <w:top w:w="0" w:type="dxa"/>
              <w:left w:w="105" w:type="dxa"/>
              <w:bottom w:w="0" w:type="dxa"/>
              <w:right w:w="105" w:type="dxa"/>
            </w:tcMar>
            <w:vAlign w:val="center"/>
          </w:tcPr>
          <w:p w14:paraId="092D491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2958CA6C">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4E5A626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6000≤Y＜80000</w:t>
            </w:r>
          </w:p>
        </w:tc>
        <w:tc>
          <w:tcPr>
            <w:tcW w:w="1908" w:type="dxa"/>
            <w:tcMar>
              <w:top w:w="0" w:type="dxa"/>
              <w:left w:w="105" w:type="dxa"/>
              <w:bottom w:w="0" w:type="dxa"/>
              <w:right w:w="105" w:type="dxa"/>
            </w:tcMar>
            <w:vAlign w:val="center"/>
          </w:tcPr>
          <w:p w14:paraId="7C7D189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300≤Y＜6000</w:t>
            </w:r>
          </w:p>
        </w:tc>
        <w:tc>
          <w:tcPr>
            <w:tcW w:w="1671" w:type="dxa"/>
            <w:tcMar>
              <w:top w:w="0" w:type="dxa"/>
              <w:left w:w="105" w:type="dxa"/>
              <w:bottom w:w="0" w:type="dxa"/>
              <w:right w:w="105" w:type="dxa"/>
            </w:tcMar>
            <w:vAlign w:val="center"/>
          </w:tcPr>
          <w:p w14:paraId="6624AA7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Y＜300</w:t>
            </w:r>
          </w:p>
        </w:tc>
      </w:tr>
      <w:tr w14:paraId="036F96D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C3BA747">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078D225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资产总额（Z）</w:t>
            </w:r>
          </w:p>
        </w:tc>
        <w:tc>
          <w:tcPr>
            <w:tcW w:w="559" w:type="dxa"/>
            <w:tcMar>
              <w:top w:w="0" w:type="dxa"/>
              <w:left w:w="105" w:type="dxa"/>
              <w:bottom w:w="0" w:type="dxa"/>
              <w:right w:w="105" w:type="dxa"/>
            </w:tcMar>
            <w:vAlign w:val="center"/>
          </w:tcPr>
          <w:p w14:paraId="4C6B2B63">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466C4F4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5000≤Z＜80000</w:t>
            </w:r>
          </w:p>
        </w:tc>
        <w:tc>
          <w:tcPr>
            <w:tcW w:w="1908" w:type="dxa"/>
            <w:tcMar>
              <w:top w:w="0" w:type="dxa"/>
              <w:left w:w="105" w:type="dxa"/>
              <w:bottom w:w="0" w:type="dxa"/>
              <w:right w:w="105" w:type="dxa"/>
            </w:tcMar>
            <w:vAlign w:val="center"/>
          </w:tcPr>
          <w:p w14:paraId="442945B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300≤Z＜5000</w:t>
            </w:r>
          </w:p>
        </w:tc>
        <w:tc>
          <w:tcPr>
            <w:tcW w:w="1671" w:type="dxa"/>
            <w:tcMar>
              <w:top w:w="0" w:type="dxa"/>
              <w:left w:w="105" w:type="dxa"/>
              <w:bottom w:w="0" w:type="dxa"/>
              <w:right w:w="105" w:type="dxa"/>
            </w:tcMar>
            <w:vAlign w:val="center"/>
          </w:tcPr>
          <w:p w14:paraId="7E64FDF5">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Z＜300</w:t>
            </w:r>
          </w:p>
        </w:tc>
      </w:tr>
      <w:tr w14:paraId="08CC6C6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AFA933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批发业</w:t>
            </w:r>
          </w:p>
        </w:tc>
        <w:tc>
          <w:tcPr>
            <w:tcW w:w="1941" w:type="dxa"/>
            <w:tcMar>
              <w:top w:w="0" w:type="dxa"/>
              <w:left w:w="105" w:type="dxa"/>
              <w:bottom w:w="0" w:type="dxa"/>
              <w:right w:w="105" w:type="dxa"/>
            </w:tcMar>
            <w:vAlign w:val="center"/>
          </w:tcPr>
          <w:p w14:paraId="29EF82E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47D6F38">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3B20A3F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20≤X＜200</w:t>
            </w:r>
          </w:p>
        </w:tc>
        <w:tc>
          <w:tcPr>
            <w:tcW w:w="1908" w:type="dxa"/>
            <w:tcMar>
              <w:top w:w="0" w:type="dxa"/>
              <w:left w:w="105" w:type="dxa"/>
              <w:bottom w:w="0" w:type="dxa"/>
              <w:right w:w="105" w:type="dxa"/>
            </w:tcMar>
            <w:vAlign w:val="center"/>
          </w:tcPr>
          <w:p w14:paraId="6E40094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5≤X＜20</w:t>
            </w:r>
          </w:p>
        </w:tc>
        <w:tc>
          <w:tcPr>
            <w:tcW w:w="1671" w:type="dxa"/>
            <w:tcMar>
              <w:top w:w="0" w:type="dxa"/>
              <w:left w:w="105" w:type="dxa"/>
              <w:bottom w:w="0" w:type="dxa"/>
              <w:right w:w="105" w:type="dxa"/>
            </w:tcMar>
            <w:vAlign w:val="center"/>
          </w:tcPr>
          <w:p w14:paraId="29B1105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X＜5</w:t>
            </w:r>
          </w:p>
        </w:tc>
      </w:tr>
      <w:tr w14:paraId="3158026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567E8B0">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1E567B0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76BACC9A">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774822F5">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5000≤Y＜40000</w:t>
            </w:r>
          </w:p>
        </w:tc>
        <w:tc>
          <w:tcPr>
            <w:tcW w:w="1908" w:type="dxa"/>
            <w:tcMar>
              <w:top w:w="0" w:type="dxa"/>
              <w:left w:w="105" w:type="dxa"/>
              <w:bottom w:w="0" w:type="dxa"/>
              <w:right w:w="105" w:type="dxa"/>
            </w:tcMar>
            <w:vAlign w:val="center"/>
          </w:tcPr>
          <w:p w14:paraId="25720A5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1000≤Y＜5000</w:t>
            </w:r>
          </w:p>
        </w:tc>
        <w:tc>
          <w:tcPr>
            <w:tcW w:w="1671" w:type="dxa"/>
            <w:tcMar>
              <w:top w:w="0" w:type="dxa"/>
              <w:left w:w="105" w:type="dxa"/>
              <w:bottom w:w="0" w:type="dxa"/>
              <w:right w:w="105" w:type="dxa"/>
            </w:tcMar>
            <w:vAlign w:val="center"/>
          </w:tcPr>
          <w:p w14:paraId="23027BE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Y＜1000</w:t>
            </w:r>
          </w:p>
        </w:tc>
      </w:tr>
      <w:tr w14:paraId="4A0157B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186190E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零售业</w:t>
            </w:r>
          </w:p>
        </w:tc>
        <w:tc>
          <w:tcPr>
            <w:tcW w:w="1941" w:type="dxa"/>
            <w:tcMar>
              <w:top w:w="0" w:type="dxa"/>
              <w:left w:w="105" w:type="dxa"/>
              <w:bottom w:w="0" w:type="dxa"/>
              <w:right w:w="105" w:type="dxa"/>
            </w:tcMar>
            <w:vAlign w:val="center"/>
          </w:tcPr>
          <w:p w14:paraId="71FF983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757F9B0B">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3B6BFB3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50≤X＜300</w:t>
            </w:r>
          </w:p>
        </w:tc>
        <w:tc>
          <w:tcPr>
            <w:tcW w:w="1908" w:type="dxa"/>
            <w:tcMar>
              <w:top w:w="0" w:type="dxa"/>
              <w:left w:w="105" w:type="dxa"/>
              <w:bottom w:w="0" w:type="dxa"/>
              <w:right w:w="105" w:type="dxa"/>
            </w:tcMar>
            <w:vAlign w:val="center"/>
          </w:tcPr>
          <w:p w14:paraId="38906CE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10≤X＜50</w:t>
            </w:r>
          </w:p>
        </w:tc>
        <w:tc>
          <w:tcPr>
            <w:tcW w:w="1671" w:type="dxa"/>
            <w:tcMar>
              <w:top w:w="0" w:type="dxa"/>
              <w:left w:w="105" w:type="dxa"/>
              <w:bottom w:w="0" w:type="dxa"/>
              <w:right w:w="105" w:type="dxa"/>
            </w:tcMar>
            <w:vAlign w:val="center"/>
          </w:tcPr>
          <w:p w14:paraId="17AFB00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13204C9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308EA00F">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6A9F291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76F8B97C">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3EF0D19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500≤Y＜20000</w:t>
            </w:r>
          </w:p>
        </w:tc>
        <w:tc>
          <w:tcPr>
            <w:tcW w:w="1908" w:type="dxa"/>
            <w:tcMar>
              <w:top w:w="0" w:type="dxa"/>
              <w:left w:w="105" w:type="dxa"/>
              <w:bottom w:w="0" w:type="dxa"/>
              <w:right w:w="105" w:type="dxa"/>
            </w:tcMar>
            <w:vAlign w:val="center"/>
          </w:tcPr>
          <w:p w14:paraId="37A57E5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100≤Y＜500</w:t>
            </w:r>
          </w:p>
        </w:tc>
        <w:tc>
          <w:tcPr>
            <w:tcW w:w="1671" w:type="dxa"/>
            <w:tcMar>
              <w:top w:w="0" w:type="dxa"/>
              <w:left w:w="105" w:type="dxa"/>
              <w:bottom w:w="0" w:type="dxa"/>
              <w:right w:w="105" w:type="dxa"/>
            </w:tcMar>
            <w:vAlign w:val="center"/>
          </w:tcPr>
          <w:p w14:paraId="62EC024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272B480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5927EF5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交通运输业</w:t>
            </w:r>
          </w:p>
        </w:tc>
        <w:tc>
          <w:tcPr>
            <w:tcW w:w="1941" w:type="dxa"/>
            <w:tcMar>
              <w:top w:w="0" w:type="dxa"/>
              <w:left w:w="105" w:type="dxa"/>
              <w:bottom w:w="0" w:type="dxa"/>
              <w:right w:w="105" w:type="dxa"/>
            </w:tcMar>
            <w:vAlign w:val="center"/>
          </w:tcPr>
          <w:p w14:paraId="6C14A67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F429A89">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692F774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300≤X＜1000</w:t>
            </w:r>
          </w:p>
        </w:tc>
        <w:tc>
          <w:tcPr>
            <w:tcW w:w="1908" w:type="dxa"/>
            <w:tcMar>
              <w:top w:w="0" w:type="dxa"/>
              <w:left w:w="105" w:type="dxa"/>
              <w:bottom w:w="0" w:type="dxa"/>
              <w:right w:w="105" w:type="dxa"/>
            </w:tcMar>
            <w:vAlign w:val="center"/>
          </w:tcPr>
          <w:p w14:paraId="5CFF9BD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20≤X＜300</w:t>
            </w:r>
          </w:p>
        </w:tc>
        <w:tc>
          <w:tcPr>
            <w:tcW w:w="1671" w:type="dxa"/>
            <w:tcMar>
              <w:top w:w="0" w:type="dxa"/>
              <w:left w:w="105" w:type="dxa"/>
              <w:bottom w:w="0" w:type="dxa"/>
              <w:right w:w="105" w:type="dxa"/>
            </w:tcMar>
            <w:vAlign w:val="center"/>
          </w:tcPr>
          <w:p w14:paraId="550B222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X＜20</w:t>
            </w:r>
          </w:p>
        </w:tc>
      </w:tr>
      <w:tr w14:paraId="1D5EF53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427818E7">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14602B4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48687EE8">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6BD974C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3000≤Y＜30000</w:t>
            </w:r>
          </w:p>
        </w:tc>
        <w:tc>
          <w:tcPr>
            <w:tcW w:w="1908" w:type="dxa"/>
            <w:tcMar>
              <w:top w:w="0" w:type="dxa"/>
              <w:left w:w="105" w:type="dxa"/>
              <w:bottom w:w="0" w:type="dxa"/>
              <w:right w:w="105" w:type="dxa"/>
            </w:tcMar>
            <w:vAlign w:val="center"/>
          </w:tcPr>
          <w:p w14:paraId="1060EE3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200≤Y＜3000</w:t>
            </w:r>
          </w:p>
        </w:tc>
        <w:tc>
          <w:tcPr>
            <w:tcW w:w="1671" w:type="dxa"/>
            <w:tcMar>
              <w:top w:w="0" w:type="dxa"/>
              <w:left w:w="105" w:type="dxa"/>
              <w:bottom w:w="0" w:type="dxa"/>
              <w:right w:w="105" w:type="dxa"/>
            </w:tcMar>
            <w:vAlign w:val="center"/>
          </w:tcPr>
          <w:p w14:paraId="719FDFF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Y＜200</w:t>
            </w:r>
          </w:p>
        </w:tc>
      </w:tr>
      <w:tr w14:paraId="02F2582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5EF2491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仓储业</w:t>
            </w:r>
          </w:p>
        </w:tc>
        <w:tc>
          <w:tcPr>
            <w:tcW w:w="1941" w:type="dxa"/>
            <w:tcMar>
              <w:top w:w="0" w:type="dxa"/>
              <w:left w:w="105" w:type="dxa"/>
              <w:bottom w:w="0" w:type="dxa"/>
              <w:right w:w="105" w:type="dxa"/>
            </w:tcMar>
            <w:vAlign w:val="center"/>
          </w:tcPr>
          <w:p w14:paraId="0FEA2EA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260D7558">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6D5B8A4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100≤X＜200</w:t>
            </w:r>
          </w:p>
        </w:tc>
        <w:tc>
          <w:tcPr>
            <w:tcW w:w="1908" w:type="dxa"/>
            <w:tcMar>
              <w:top w:w="0" w:type="dxa"/>
              <w:left w:w="105" w:type="dxa"/>
              <w:bottom w:w="0" w:type="dxa"/>
              <w:right w:w="105" w:type="dxa"/>
            </w:tcMar>
            <w:vAlign w:val="center"/>
          </w:tcPr>
          <w:p w14:paraId="6BD4D9C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20≤X＜100</w:t>
            </w:r>
          </w:p>
        </w:tc>
        <w:tc>
          <w:tcPr>
            <w:tcW w:w="1671" w:type="dxa"/>
            <w:tcMar>
              <w:top w:w="0" w:type="dxa"/>
              <w:left w:w="105" w:type="dxa"/>
              <w:bottom w:w="0" w:type="dxa"/>
              <w:right w:w="105" w:type="dxa"/>
            </w:tcMar>
            <w:vAlign w:val="center"/>
          </w:tcPr>
          <w:p w14:paraId="5FB3773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X＜20</w:t>
            </w:r>
          </w:p>
        </w:tc>
      </w:tr>
      <w:tr w14:paraId="204DF47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62D50E0">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33846065">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7872C3F3">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65D4497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1000≤Y＜30000</w:t>
            </w:r>
          </w:p>
        </w:tc>
        <w:tc>
          <w:tcPr>
            <w:tcW w:w="1908" w:type="dxa"/>
            <w:tcMar>
              <w:top w:w="0" w:type="dxa"/>
              <w:left w:w="105" w:type="dxa"/>
              <w:bottom w:w="0" w:type="dxa"/>
              <w:right w:w="105" w:type="dxa"/>
            </w:tcMar>
            <w:vAlign w:val="center"/>
          </w:tcPr>
          <w:p w14:paraId="1C146FA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100≤Y＜1000</w:t>
            </w:r>
          </w:p>
        </w:tc>
        <w:tc>
          <w:tcPr>
            <w:tcW w:w="1671" w:type="dxa"/>
            <w:tcMar>
              <w:top w:w="0" w:type="dxa"/>
              <w:left w:w="105" w:type="dxa"/>
              <w:bottom w:w="0" w:type="dxa"/>
              <w:right w:w="105" w:type="dxa"/>
            </w:tcMar>
            <w:vAlign w:val="center"/>
          </w:tcPr>
          <w:p w14:paraId="570CC77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130FB3F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9A8E60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邮政业</w:t>
            </w:r>
          </w:p>
        </w:tc>
        <w:tc>
          <w:tcPr>
            <w:tcW w:w="1941" w:type="dxa"/>
            <w:tcMar>
              <w:top w:w="0" w:type="dxa"/>
              <w:left w:w="105" w:type="dxa"/>
              <w:bottom w:w="0" w:type="dxa"/>
              <w:right w:w="105" w:type="dxa"/>
            </w:tcMar>
            <w:vAlign w:val="center"/>
          </w:tcPr>
          <w:p w14:paraId="0F8C8D9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1E213399">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7AC5489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300≤X＜1000</w:t>
            </w:r>
          </w:p>
        </w:tc>
        <w:tc>
          <w:tcPr>
            <w:tcW w:w="1908" w:type="dxa"/>
            <w:tcMar>
              <w:top w:w="0" w:type="dxa"/>
              <w:left w:w="105" w:type="dxa"/>
              <w:bottom w:w="0" w:type="dxa"/>
              <w:right w:w="105" w:type="dxa"/>
            </w:tcMar>
            <w:vAlign w:val="center"/>
          </w:tcPr>
          <w:p w14:paraId="7D7E20F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20≤X＜300</w:t>
            </w:r>
          </w:p>
        </w:tc>
        <w:tc>
          <w:tcPr>
            <w:tcW w:w="1671" w:type="dxa"/>
            <w:tcMar>
              <w:top w:w="0" w:type="dxa"/>
              <w:left w:w="105" w:type="dxa"/>
              <w:bottom w:w="0" w:type="dxa"/>
              <w:right w:w="105" w:type="dxa"/>
            </w:tcMar>
            <w:vAlign w:val="center"/>
          </w:tcPr>
          <w:p w14:paraId="6AC4983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X＜20</w:t>
            </w:r>
          </w:p>
        </w:tc>
      </w:tr>
      <w:tr w14:paraId="19A327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5C780A08">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0425C60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382B9ED7">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7C7967D5">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2000≤Y＜30000</w:t>
            </w:r>
          </w:p>
        </w:tc>
        <w:tc>
          <w:tcPr>
            <w:tcW w:w="1908" w:type="dxa"/>
            <w:tcMar>
              <w:top w:w="0" w:type="dxa"/>
              <w:left w:w="105" w:type="dxa"/>
              <w:bottom w:w="0" w:type="dxa"/>
              <w:right w:w="105" w:type="dxa"/>
            </w:tcMar>
            <w:vAlign w:val="center"/>
          </w:tcPr>
          <w:p w14:paraId="58914C6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100≤Y＜2000</w:t>
            </w:r>
          </w:p>
        </w:tc>
        <w:tc>
          <w:tcPr>
            <w:tcW w:w="1671" w:type="dxa"/>
            <w:tcMar>
              <w:top w:w="0" w:type="dxa"/>
              <w:left w:w="105" w:type="dxa"/>
              <w:bottom w:w="0" w:type="dxa"/>
              <w:right w:w="105" w:type="dxa"/>
            </w:tcMar>
            <w:vAlign w:val="center"/>
          </w:tcPr>
          <w:p w14:paraId="592C757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1C89A8C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233322D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住宿业</w:t>
            </w:r>
          </w:p>
        </w:tc>
        <w:tc>
          <w:tcPr>
            <w:tcW w:w="1941" w:type="dxa"/>
            <w:tcMar>
              <w:top w:w="0" w:type="dxa"/>
              <w:left w:w="105" w:type="dxa"/>
              <w:bottom w:w="0" w:type="dxa"/>
              <w:right w:w="105" w:type="dxa"/>
            </w:tcMar>
            <w:vAlign w:val="center"/>
          </w:tcPr>
          <w:p w14:paraId="7BCBD75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5611D50A">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0526BAC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908" w:type="dxa"/>
            <w:tcMar>
              <w:top w:w="0" w:type="dxa"/>
              <w:left w:w="105" w:type="dxa"/>
              <w:bottom w:w="0" w:type="dxa"/>
              <w:right w:w="105" w:type="dxa"/>
            </w:tcMar>
            <w:vAlign w:val="center"/>
          </w:tcPr>
          <w:p w14:paraId="39D8051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2F48F27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102C05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681C97F5">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2BFE7EA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5D4D8EAE">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0367840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2000≤Y＜10000</w:t>
            </w:r>
          </w:p>
        </w:tc>
        <w:tc>
          <w:tcPr>
            <w:tcW w:w="1908" w:type="dxa"/>
            <w:tcMar>
              <w:top w:w="0" w:type="dxa"/>
              <w:left w:w="105" w:type="dxa"/>
              <w:bottom w:w="0" w:type="dxa"/>
              <w:right w:w="105" w:type="dxa"/>
            </w:tcMar>
            <w:vAlign w:val="center"/>
          </w:tcPr>
          <w:p w14:paraId="3540B9B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100≤Y＜2000</w:t>
            </w:r>
          </w:p>
        </w:tc>
        <w:tc>
          <w:tcPr>
            <w:tcW w:w="1671" w:type="dxa"/>
            <w:tcMar>
              <w:top w:w="0" w:type="dxa"/>
              <w:left w:w="105" w:type="dxa"/>
              <w:bottom w:w="0" w:type="dxa"/>
              <w:right w:w="105" w:type="dxa"/>
            </w:tcMar>
            <w:vAlign w:val="center"/>
          </w:tcPr>
          <w:p w14:paraId="0F216BA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1BD0E7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03DB771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餐饮业</w:t>
            </w:r>
          </w:p>
        </w:tc>
        <w:tc>
          <w:tcPr>
            <w:tcW w:w="1941" w:type="dxa"/>
            <w:tcMar>
              <w:top w:w="0" w:type="dxa"/>
              <w:left w:w="105" w:type="dxa"/>
              <w:bottom w:w="0" w:type="dxa"/>
              <w:right w:w="105" w:type="dxa"/>
            </w:tcMar>
            <w:vAlign w:val="center"/>
          </w:tcPr>
          <w:p w14:paraId="157539D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4D382686">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7E2AB87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908" w:type="dxa"/>
            <w:tcMar>
              <w:top w:w="0" w:type="dxa"/>
              <w:left w:w="105" w:type="dxa"/>
              <w:bottom w:w="0" w:type="dxa"/>
              <w:right w:w="105" w:type="dxa"/>
            </w:tcMar>
            <w:vAlign w:val="center"/>
          </w:tcPr>
          <w:p w14:paraId="47F3D2F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6FF16C3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6069965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38444C81">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2F37CAE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0A70CCAE">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2468D5E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2000≤Y＜10000</w:t>
            </w:r>
          </w:p>
        </w:tc>
        <w:tc>
          <w:tcPr>
            <w:tcW w:w="1908" w:type="dxa"/>
            <w:tcMar>
              <w:top w:w="0" w:type="dxa"/>
              <w:left w:w="105" w:type="dxa"/>
              <w:bottom w:w="0" w:type="dxa"/>
              <w:right w:w="105" w:type="dxa"/>
            </w:tcMar>
            <w:vAlign w:val="center"/>
          </w:tcPr>
          <w:p w14:paraId="64E1C1B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100≤Y＜2000</w:t>
            </w:r>
          </w:p>
        </w:tc>
        <w:tc>
          <w:tcPr>
            <w:tcW w:w="1671" w:type="dxa"/>
            <w:tcMar>
              <w:top w:w="0" w:type="dxa"/>
              <w:left w:w="105" w:type="dxa"/>
              <w:bottom w:w="0" w:type="dxa"/>
              <w:right w:w="105" w:type="dxa"/>
            </w:tcMar>
            <w:vAlign w:val="center"/>
          </w:tcPr>
          <w:p w14:paraId="43D1BDC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48D84B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4DBA544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信息传输业</w:t>
            </w:r>
          </w:p>
        </w:tc>
        <w:tc>
          <w:tcPr>
            <w:tcW w:w="1941" w:type="dxa"/>
            <w:tcMar>
              <w:top w:w="0" w:type="dxa"/>
              <w:left w:w="105" w:type="dxa"/>
              <w:bottom w:w="0" w:type="dxa"/>
              <w:right w:w="105" w:type="dxa"/>
            </w:tcMar>
            <w:vAlign w:val="center"/>
          </w:tcPr>
          <w:p w14:paraId="004060F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40D3D105">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190693F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100≤X＜2000</w:t>
            </w:r>
          </w:p>
        </w:tc>
        <w:tc>
          <w:tcPr>
            <w:tcW w:w="1908" w:type="dxa"/>
            <w:tcMar>
              <w:top w:w="0" w:type="dxa"/>
              <w:left w:w="105" w:type="dxa"/>
              <w:bottom w:w="0" w:type="dxa"/>
              <w:right w:w="105" w:type="dxa"/>
            </w:tcMar>
            <w:vAlign w:val="center"/>
          </w:tcPr>
          <w:p w14:paraId="2C68641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3BD3D67D">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046F3C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2CE7BC78">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51360AB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2146782F">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277D6B28">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1000≤Y＜100000</w:t>
            </w:r>
          </w:p>
        </w:tc>
        <w:tc>
          <w:tcPr>
            <w:tcW w:w="1908" w:type="dxa"/>
            <w:tcMar>
              <w:top w:w="0" w:type="dxa"/>
              <w:left w:w="105" w:type="dxa"/>
              <w:bottom w:w="0" w:type="dxa"/>
              <w:right w:w="105" w:type="dxa"/>
            </w:tcMar>
            <w:vAlign w:val="center"/>
          </w:tcPr>
          <w:p w14:paraId="1184AD55">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100≤Y＜1000</w:t>
            </w:r>
          </w:p>
        </w:tc>
        <w:tc>
          <w:tcPr>
            <w:tcW w:w="1671" w:type="dxa"/>
            <w:tcMar>
              <w:top w:w="0" w:type="dxa"/>
              <w:left w:w="105" w:type="dxa"/>
              <w:bottom w:w="0" w:type="dxa"/>
              <w:right w:w="105" w:type="dxa"/>
            </w:tcMar>
            <w:vAlign w:val="center"/>
          </w:tcPr>
          <w:p w14:paraId="29FA5A8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53143E5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3A620D4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软件和信息技术服务业</w:t>
            </w:r>
          </w:p>
        </w:tc>
        <w:tc>
          <w:tcPr>
            <w:tcW w:w="1941" w:type="dxa"/>
            <w:tcMar>
              <w:top w:w="0" w:type="dxa"/>
              <w:left w:w="105" w:type="dxa"/>
              <w:bottom w:w="0" w:type="dxa"/>
              <w:right w:w="105" w:type="dxa"/>
            </w:tcMar>
            <w:vAlign w:val="center"/>
          </w:tcPr>
          <w:p w14:paraId="5EA480C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7EE767D">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42448BD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908" w:type="dxa"/>
            <w:tcMar>
              <w:top w:w="0" w:type="dxa"/>
              <w:left w:w="105" w:type="dxa"/>
              <w:bottom w:w="0" w:type="dxa"/>
              <w:right w:w="105" w:type="dxa"/>
            </w:tcMar>
            <w:vAlign w:val="center"/>
          </w:tcPr>
          <w:p w14:paraId="5AB5058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6DA0F64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6BE939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4AA916FA">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53E3609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54FC7C28">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7533F06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1000≤Y＜10000</w:t>
            </w:r>
          </w:p>
        </w:tc>
        <w:tc>
          <w:tcPr>
            <w:tcW w:w="1908" w:type="dxa"/>
            <w:tcMar>
              <w:top w:w="0" w:type="dxa"/>
              <w:left w:w="105" w:type="dxa"/>
              <w:bottom w:w="0" w:type="dxa"/>
              <w:right w:w="105" w:type="dxa"/>
            </w:tcMar>
            <w:vAlign w:val="center"/>
          </w:tcPr>
          <w:p w14:paraId="649BAD5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50≤Y＜1000</w:t>
            </w:r>
          </w:p>
        </w:tc>
        <w:tc>
          <w:tcPr>
            <w:tcW w:w="1671" w:type="dxa"/>
            <w:tcMar>
              <w:top w:w="0" w:type="dxa"/>
              <w:left w:w="105" w:type="dxa"/>
              <w:bottom w:w="0" w:type="dxa"/>
              <w:right w:w="105" w:type="dxa"/>
            </w:tcMar>
            <w:vAlign w:val="center"/>
          </w:tcPr>
          <w:p w14:paraId="435696E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Y＜50</w:t>
            </w:r>
          </w:p>
        </w:tc>
      </w:tr>
      <w:tr w14:paraId="40C91CD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D61D58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房地产开发经营</w:t>
            </w:r>
          </w:p>
        </w:tc>
        <w:tc>
          <w:tcPr>
            <w:tcW w:w="1941" w:type="dxa"/>
            <w:tcMar>
              <w:top w:w="0" w:type="dxa"/>
              <w:left w:w="105" w:type="dxa"/>
              <w:bottom w:w="0" w:type="dxa"/>
              <w:right w:w="105" w:type="dxa"/>
            </w:tcMar>
            <w:vAlign w:val="center"/>
          </w:tcPr>
          <w:p w14:paraId="5D4A892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0F7D15B5">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4CB6877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1000≤Y＜200000</w:t>
            </w:r>
          </w:p>
        </w:tc>
        <w:tc>
          <w:tcPr>
            <w:tcW w:w="1908" w:type="dxa"/>
            <w:tcMar>
              <w:top w:w="0" w:type="dxa"/>
              <w:left w:w="105" w:type="dxa"/>
              <w:bottom w:w="0" w:type="dxa"/>
              <w:right w:w="105" w:type="dxa"/>
            </w:tcMar>
            <w:vAlign w:val="center"/>
          </w:tcPr>
          <w:p w14:paraId="11788BDF">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100≤X＜1000</w:t>
            </w:r>
          </w:p>
        </w:tc>
        <w:tc>
          <w:tcPr>
            <w:tcW w:w="1671" w:type="dxa"/>
            <w:tcMar>
              <w:top w:w="0" w:type="dxa"/>
              <w:left w:w="105" w:type="dxa"/>
              <w:bottom w:w="0" w:type="dxa"/>
              <w:right w:w="105" w:type="dxa"/>
            </w:tcMar>
            <w:vAlign w:val="center"/>
          </w:tcPr>
          <w:p w14:paraId="589AAC1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X＜100</w:t>
            </w:r>
          </w:p>
        </w:tc>
      </w:tr>
      <w:tr w14:paraId="150229F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7E6525B2">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09640E9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资产总额（Z）</w:t>
            </w:r>
          </w:p>
        </w:tc>
        <w:tc>
          <w:tcPr>
            <w:tcW w:w="559" w:type="dxa"/>
            <w:tcMar>
              <w:top w:w="0" w:type="dxa"/>
              <w:left w:w="105" w:type="dxa"/>
              <w:bottom w:w="0" w:type="dxa"/>
              <w:right w:w="105" w:type="dxa"/>
            </w:tcMar>
            <w:vAlign w:val="center"/>
          </w:tcPr>
          <w:p w14:paraId="5E9039C7">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5E05645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5000≤Z＜10000</w:t>
            </w:r>
          </w:p>
        </w:tc>
        <w:tc>
          <w:tcPr>
            <w:tcW w:w="1908" w:type="dxa"/>
            <w:tcMar>
              <w:top w:w="0" w:type="dxa"/>
              <w:left w:w="105" w:type="dxa"/>
              <w:bottom w:w="0" w:type="dxa"/>
              <w:right w:w="105" w:type="dxa"/>
            </w:tcMar>
            <w:vAlign w:val="center"/>
          </w:tcPr>
          <w:p w14:paraId="0FE7C17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2000≤Y＜5000</w:t>
            </w:r>
          </w:p>
        </w:tc>
        <w:tc>
          <w:tcPr>
            <w:tcW w:w="1671" w:type="dxa"/>
            <w:tcMar>
              <w:top w:w="0" w:type="dxa"/>
              <w:left w:w="105" w:type="dxa"/>
              <w:bottom w:w="0" w:type="dxa"/>
              <w:right w:w="105" w:type="dxa"/>
            </w:tcMar>
            <w:vAlign w:val="center"/>
          </w:tcPr>
          <w:p w14:paraId="48F5B3D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Y＜2000</w:t>
            </w:r>
          </w:p>
        </w:tc>
      </w:tr>
      <w:tr w14:paraId="0621C4F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0F11765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物业管理</w:t>
            </w:r>
          </w:p>
        </w:tc>
        <w:tc>
          <w:tcPr>
            <w:tcW w:w="1941" w:type="dxa"/>
            <w:tcMar>
              <w:top w:w="0" w:type="dxa"/>
              <w:left w:w="105" w:type="dxa"/>
              <w:bottom w:w="0" w:type="dxa"/>
              <w:right w:w="105" w:type="dxa"/>
            </w:tcMar>
            <w:vAlign w:val="center"/>
          </w:tcPr>
          <w:p w14:paraId="2BF5167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746B6B34">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57FCAEE3">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300≤X＜1000</w:t>
            </w:r>
          </w:p>
        </w:tc>
        <w:tc>
          <w:tcPr>
            <w:tcW w:w="1908" w:type="dxa"/>
            <w:tcMar>
              <w:top w:w="0" w:type="dxa"/>
              <w:left w:w="105" w:type="dxa"/>
              <w:bottom w:w="0" w:type="dxa"/>
              <w:right w:w="105" w:type="dxa"/>
            </w:tcMar>
            <w:vAlign w:val="center"/>
          </w:tcPr>
          <w:p w14:paraId="13CE243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671" w:type="dxa"/>
            <w:tcMar>
              <w:top w:w="0" w:type="dxa"/>
              <w:left w:w="105" w:type="dxa"/>
              <w:bottom w:w="0" w:type="dxa"/>
              <w:right w:w="105" w:type="dxa"/>
            </w:tcMar>
            <w:vAlign w:val="center"/>
          </w:tcPr>
          <w:p w14:paraId="664F2A9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X＜100</w:t>
            </w:r>
          </w:p>
        </w:tc>
      </w:tr>
      <w:tr w14:paraId="5FABE38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588CFC1C">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33B09E9B">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营业收入（Y）</w:t>
            </w:r>
          </w:p>
        </w:tc>
        <w:tc>
          <w:tcPr>
            <w:tcW w:w="559" w:type="dxa"/>
            <w:tcMar>
              <w:top w:w="0" w:type="dxa"/>
              <w:left w:w="105" w:type="dxa"/>
              <w:bottom w:w="0" w:type="dxa"/>
              <w:right w:w="105" w:type="dxa"/>
            </w:tcMar>
            <w:vAlign w:val="center"/>
          </w:tcPr>
          <w:p w14:paraId="19C17162">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2D27849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1000≤Y＜5000</w:t>
            </w:r>
          </w:p>
        </w:tc>
        <w:tc>
          <w:tcPr>
            <w:tcW w:w="1908" w:type="dxa"/>
            <w:tcMar>
              <w:top w:w="0" w:type="dxa"/>
              <w:left w:w="105" w:type="dxa"/>
              <w:bottom w:w="0" w:type="dxa"/>
              <w:right w:w="105" w:type="dxa"/>
            </w:tcMar>
            <w:vAlign w:val="center"/>
          </w:tcPr>
          <w:p w14:paraId="60171D8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500≤Y＜1000</w:t>
            </w:r>
          </w:p>
        </w:tc>
        <w:tc>
          <w:tcPr>
            <w:tcW w:w="1671" w:type="dxa"/>
            <w:tcMar>
              <w:top w:w="0" w:type="dxa"/>
              <w:left w:w="105" w:type="dxa"/>
              <w:bottom w:w="0" w:type="dxa"/>
              <w:right w:w="105" w:type="dxa"/>
            </w:tcMar>
            <w:vAlign w:val="center"/>
          </w:tcPr>
          <w:p w14:paraId="71D3A69E">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Y＜500</w:t>
            </w:r>
          </w:p>
        </w:tc>
      </w:tr>
      <w:tr w14:paraId="1432030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restart"/>
            <w:tcMar>
              <w:top w:w="0" w:type="dxa"/>
              <w:left w:w="105" w:type="dxa"/>
              <w:bottom w:w="0" w:type="dxa"/>
              <w:right w:w="105" w:type="dxa"/>
            </w:tcMar>
            <w:vAlign w:val="center"/>
          </w:tcPr>
          <w:p w14:paraId="60455E47">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租赁和商务服务业</w:t>
            </w:r>
          </w:p>
        </w:tc>
        <w:tc>
          <w:tcPr>
            <w:tcW w:w="1941" w:type="dxa"/>
            <w:tcMar>
              <w:top w:w="0" w:type="dxa"/>
              <w:left w:w="105" w:type="dxa"/>
              <w:bottom w:w="0" w:type="dxa"/>
              <w:right w:w="105" w:type="dxa"/>
            </w:tcMar>
            <w:vAlign w:val="center"/>
          </w:tcPr>
          <w:p w14:paraId="603EC3A0">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2E3B84D">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55224062">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908" w:type="dxa"/>
            <w:tcMar>
              <w:top w:w="0" w:type="dxa"/>
              <w:left w:w="105" w:type="dxa"/>
              <w:bottom w:w="0" w:type="dxa"/>
              <w:right w:w="105" w:type="dxa"/>
            </w:tcMar>
            <w:vAlign w:val="center"/>
          </w:tcPr>
          <w:p w14:paraId="1E0CC45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6AD54E8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r w14:paraId="4C4538A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vMerge w:val="continue"/>
            <w:vAlign w:val="center"/>
          </w:tcPr>
          <w:p w14:paraId="5DAB2518">
            <w:pPr>
              <w:widowControl/>
              <w:spacing w:line="360" w:lineRule="auto"/>
              <w:jc w:val="center"/>
              <w:rPr>
                <w:rFonts w:hint="eastAsia" w:ascii="宋体" w:hAnsi="宋体" w:cs="宋体"/>
                <w:color w:val="auto"/>
                <w:szCs w:val="21"/>
                <w:highlight w:val="none"/>
              </w:rPr>
            </w:pPr>
          </w:p>
        </w:tc>
        <w:tc>
          <w:tcPr>
            <w:tcW w:w="1941" w:type="dxa"/>
            <w:tcMar>
              <w:top w:w="0" w:type="dxa"/>
              <w:left w:w="105" w:type="dxa"/>
              <w:bottom w:w="0" w:type="dxa"/>
              <w:right w:w="105" w:type="dxa"/>
            </w:tcMar>
            <w:vAlign w:val="center"/>
          </w:tcPr>
          <w:p w14:paraId="09BAE5B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资产总额（Z）</w:t>
            </w:r>
          </w:p>
        </w:tc>
        <w:tc>
          <w:tcPr>
            <w:tcW w:w="559" w:type="dxa"/>
            <w:tcMar>
              <w:top w:w="0" w:type="dxa"/>
              <w:left w:w="105" w:type="dxa"/>
              <w:bottom w:w="0" w:type="dxa"/>
              <w:right w:w="105" w:type="dxa"/>
            </w:tcMar>
            <w:vAlign w:val="center"/>
          </w:tcPr>
          <w:p w14:paraId="620C12DE">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万元</w:t>
            </w:r>
          </w:p>
        </w:tc>
        <w:tc>
          <w:tcPr>
            <w:tcW w:w="2332" w:type="dxa"/>
            <w:tcMar>
              <w:top w:w="0" w:type="dxa"/>
              <w:left w:w="105" w:type="dxa"/>
              <w:bottom w:w="0" w:type="dxa"/>
              <w:right w:w="105" w:type="dxa"/>
            </w:tcMar>
            <w:vAlign w:val="center"/>
          </w:tcPr>
          <w:p w14:paraId="043CC9F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8000≤Z＜120000</w:t>
            </w:r>
          </w:p>
        </w:tc>
        <w:tc>
          <w:tcPr>
            <w:tcW w:w="1908" w:type="dxa"/>
            <w:tcMar>
              <w:top w:w="0" w:type="dxa"/>
              <w:left w:w="105" w:type="dxa"/>
              <w:bottom w:w="0" w:type="dxa"/>
              <w:right w:w="105" w:type="dxa"/>
            </w:tcMar>
            <w:vAlign w:val="center"/>
          </w:tcPr>
          <w:p w14:paraId="2B1D7B4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100≤Z＜8000</w:t>
            </w:r>
          </w:p>
        </w:tc>
        <w:tc>
          <w:tcPr>
            <w:tcW w:w="1671" w:type="dxa"/>
            <w:tcMar>
              <w:top w:w="0" w:type="dxa"/>
              <w:left w:w="105" w:type="dxa"/>
              <w:bottom w:w="0" w:type="dxa"/>
              <w:right w:w="105" w:type="dxa"/>
            </w:tcMar>
            <w:vAlign w:val="center"/>
          </w:tcPr>
          <w:p w14:paraId="250F0526">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Y＜100</w:t>
            </w:r>
          </w:p>
        </w:tc>
      </w:tr>
      <w:tr w14:paraId="43C473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10" w:type="dxa"/>
            <w:tcMar>
              <w:top w:w="0" w:type="dxa"/>
              <w:left w:w="105" w:type="dxa"/>
              <w:bottom w:w="0" w:type="dxa"/>
              <w:right w:w="105" w:type="dxa"/>
            </w:tcMar>
            <w:vAlign w:val="center"/>
          </w:tcPr>
          <w:p w14:paraId="169C35B1">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其他未列明行业</w:t>
            </w:r>
          </w:p>
        </w:tc>
        <w:tc>
          <w:tcPr>
            <w:tcW w:w="1941" w:type="dxa"/>
            <w:tcMar>
              <w:top w:w="0" w:type="dxa"/>
              <w:left w:w="105" w:type="dxa"/>
              <w:bottom w:w="0" w:type="dxa"/>
              <w:right w:w="105" w:type="dxa"/>
            </w:tcMar>
            <w:vAlign w:val="center"/>
          </w:tcPr>
          <w:p w14:paraId="01C48FE9">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从业人员（X）</w:t>
            </w:r>
          </w:p>
        </w:tc>
        <w:tc>
          <w:tcPr>
            <w:tcW w:w="559" w:type="dxa"/>
            <w:tcMar>
              <w:top w:w="0" w:type="dxa"/>
              <w:left w:w="105" w:type="dxa"/>
              <w:bottom w:w="0" w:type="dxa"/>
              <w:right w:w="105" w:type="dxa"/>
            </w:tcMar>
            <w:vAlign w:val="center"/>
          </w:tcPr>
          <w:p w14:paraId="6CD1917E">
            <w:pPr>
              <w:pStyle w:val="286"/>
              <w:spacing w:line="360" w:lineRule="auto"/>
              <w:rPr>
                <w:rFonts w:hint="eastAsia" w:hAnsi="宋体" w:cs="宋体"/>
                <w:color w:val="auto"/>
                <w:sz w:val="21"/>
                <w:szCs w:val="21"/>
                <w:highlight w:val="none"/>
              </w:rPr>
            </w:pPr>
            <w:r>
              <w:rPr>
                <w:rStyle w:val="294"/>
                <w:rFonts w:hint="eastAsia" w:hAnsi="宋体" w:cs="宋体"/>
                <w:color w:val="auto"/>
                <w:sz w:val="21"/>
                <w:szCs w:val="21"/>
                <w:highlight w:val="none"/>
              </w:rPr>
              <w:t>人</w:t>
            </w:r>
          </w:p>
        </w:tc>
        <w:tc>
          <w:tcPr>
            <w:tcW w:w="2332" w:type="dxa"/>
            <w:tcMar>
              <w:top w:w="0" w:type="dxa"/>
              <w:left w:w="105" w:type="dxa"/>
              <w:bottom w:w="0" w:type="dxa"/>
              <w:right w:w="105" w:type="dxa"/>
            </w:tcMar>
            <w:vAlign w:val="center"/>
          </w:tcPr>
          <w:p w14:paraId="3EC7834A">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100≤X＜300</w:t>
            </w:r>
          </w:p>
        </w:tc>
        <w:tc>
          <w:tcPr>
            <w:tcW w:w="1908" w:type="dxa"/>
            <w:tcMar>
              <w:top w:w="0" w:type="dxa"/>
              <w:left w:w="105" w:type="dxa"/>
              <w:bottom w:w="0" w:type="dxa"/>
              <w:right w:w="105" w:type="dxa"/>
            </w:tcMar>
            <w:vAlign w:val="center"/>
          </w:tcPr>
          <w:p w14:paraId="070489AC">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10≤X＜100</w:t>
            </w:r>
          </w:p>
        </w:tc>
        <w:tc>
          <w:tcPr>
            <w:tcW w:w="1671" w:type="dxa"/>
            <w:tcMar>
              <w:top w:w="0" w:type="dxa"/>
              <w:left w:w="105" w:type="dxa"/>
              <w:bottom w:w="0" w:type="dxa"/>
              <w:right w:w="105" w:type="dxa"/>
            </w:tcMar>
            <w:vAlign w:val="center"/>
          </w:tcPr>
          <w:p w14:paraId="54225284">
            <w:pPr>
              <w:pStyle w:val="286"/>
              <w:spacing w:line="360" w:lineRule="auto"/>
              <w:jc w:val="center"/>
              <w:rPr>
                <w:rFonts w:hint="eastAsia" w:hAnsi="宋体" w:cs="宋体"/>
                <w:color w:val="auto"/>
                <w:sz w:val="21"/>
                <w:szCs w:val="21"/>
                <w:highlight w:val="none"/>
              </w:rPr>
            </w:pPr>
            <w:r>
              <w:rPr>
                <w:rStyle w:val="294"/>
                <w:rFonts w:hint="eastAsia" w:hAnsi="宋体" w:cs="宋体"/>
                <w:color w:val="auto"/>
                <w:sz w:val="21"/>
                <w:szCs w:val="21"/>
                <w:highlight w:val="none"/>
              </w:rPr>
              <w:t>X＜10</w:t>
            </w:r>
          </w:p>
        </w:tc>
      </w:tr>
    </w:tbl>
    <w:p w14:paraId="62878F7C">
      <w:pPr>
        <w:pStyle w:val="286"/>
        <w:spacing w:before="300" w:after="452" w:line="360" w:lineRule="auto"/>
        <w:ind w:firstLine="420"/>
        <w:rPr>
          <w:rStyle w:val="294"/>
          <w:rFonts w:hint="eastAsia" w:hAnsi="宋体" w:cs="宋体"/>
          <w:color w:val="auto"/>
          <w:sz w:val="21"/>
          <w:szCs w:val="21"/>
          <w:highlight w:val="none"/>
        </w:rPr>
      </w:pPr>
      <w:r>
        <w:rPr>
          <w:rStyle w:val="294"/>
          <w:rFonts w:hint="eastAsia" w:hAnsi="宋体" w:cs="宋体"/>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05986B55">
      <w:pPr>
        <w:rPr>
          <w:rFonts w:hint="eastAsia" w:ascii="宋体" w:hAnsi="宋体" w:cs="宋体"/>
          <w:color w:val="auto"/>
          <w:highlight w:val="none"/>
        </w:rPr>
      </w:pPr>
    </w:p>
    <w:p w14:paraId="435A42D7">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78C31D53">
      <w:pPr>
        <w:pStyle w:val="391"/>
        <w:spacing w:before="151" w:after="151" w:line="600" w:lineRule="exact"/>
        <w:jc w:val="center"/>
        <w:rPr>
          <w:rFonts w:hint="eastAsia" w:ascii="宋体" w:hAnsi="宋体" w:cs="宋体"/>
          <w:b/>
          <w:bCs/>
          <w:color w:val="auto"/>
          <w:sz w:val="32"/>
          <w:szCs w:val="32"/>
          <w:highlight w:val="none"/>
        </w:rPr>
      </w:pPr>
    </w:p>
    <w:p w14:paraId="7048F694">
      <w:pPr>
        <w:pStyle w:val="391"/>
        <w:spacing w:before="151" w:after="151" w:line="60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残疾人福利性单位声明函</w:t>
      </w:r>
    </w:p>
    <w:p w14:paraId="3A288EAB">
      <w:pPr>
        <w:pStyle w:val="601"/>
        <w:spacing w:line="588" w:lineRule="exact"/>
        <w:rPr>
          <w:rFonts w:hint="eastAsia" w:ascii="宋体" w:hAnsi="宋体" w:cs="宋体"/>
          <w:b/>
          <w:color w:val="auto"/>
          <w:spacing w:val="6"/>
          <w:sz w:val="30"/>
          <w:szCs w:val="30"/>
          <w:highlight w:val="none"/>
        </w:rPr>
      </w:pPr>
    </w:p>
    <w:p w14:paraId="40F5F62F">
      <w:pPr>
        <w:pStyle w:val="391"/>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36F24E87">
      <w:pPr>
        <w:pStyle w:val="391"/>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08BB68A3">
      <w:pPr>
        <w:pStyle w:val="601"/>
        <w:spacing w:line="588" w:lineRule="exact"/>
        <w:ind w:firstLine="504"/>
        <w:rPr>
          <w:rFonts w:hint="eastAsia" w:ascii="宋体" w:hAnsi="宋体" w:cs="宋体"/>
          <w:color w:val="auto"/>
          <w:spacing w:val="6"/>
          <w:sz w:val="24"/>
          <w:szCs w:val="24"/>
          <w:highlight w:val="none"/>
        </w:rPr>
      </w:pPr>
    </w:p>
    <w:p w14:paraId="18A9F5A8">
      <w:pPr>
        <w:pStyle w:val="601"/>
        <w:spacing w:line="588" w:lineRule="exact"/>
        <w:ind w:firstLine="504"/>
        <w:rPr>
          <w:rFonts w:hint="eastAsia" w:ascii="宋体" w:hAnsi="宋体" w:cs="宋体"/>
          <w:color w:val="auto"/>
          <w:spacing w:val="6"/>
          <w:sz w:val="24"/>
          <w:szCs w:val="24"/>
          <w:highlight w:val="none"/>
        </w:rPr>
      </w:pPr>
    </w:p>
    <w:p w14:paraId="4B41E999">
      <w:pPr>
        <w:pStyle w:val="286"/>
        <w:ind w:firstLine="480"/>
        <w:jc w:val="both"/>
        <w:rPr>
          <w:rFonts w:hint="eastAsia" w:hAnsi="宋体" w:cs="宋体"/>
          <w:color w:val="auto"/>
          <w:highlight w:val="none"/>
        </w:rPr>
      </w:pPr>
      <w:r>
        <w:rPr>
          <w:rFonts w:hint="eastAsia" w:hAnsi="宋体" w:cs="宋体"/>
          <w:color w:val="auto"/>
          <w:highlight w:val="none"/>
        </w:rPr>
        <w:t>单位名称：（公章）</w:t>
      </w:r>
    </w:p>
    <w:p w14:paraId="3AAB7BEF">
      <w:pPr>
        <w:pStyle w:val="383"/>
        <w:spacing w:line="700" w:lineRule="exact"/>
        <w:ind w:firstLine="629"/>
        <w:rPr>
          <w:rFonts w:hint="eastAsia" w:ascii="宋体" w:hAnsi="宋体" w:cs="宋体"/>
          <w:color w:val="auto"/>
          <w:sz w:val="24"/>
          <w:highlight w:val="none"/>
        </w:rPr>
      </w:pPr>
      <w:r>
        <w:rPr>
          <w:rFonts w:hint="eastAsia" w:ascii="宋体" w:hAnsi="宋体" w:cs="宋体"/>
          <w:color w:val="auto"/>
          <w:sz w:val="24"/>
          <w:highlight w:val="none"/>
        </w:rPr>
        <w:t>法定代表人（或授权代表）：（签字或签章）</w:t>
      </w:r>
      <w:r>
        <w:rPr>
          <w:rFonts w:hint="eastAsia" w:ascii="宋体" w:hAnsi="宋体" w:cs="宋体"/>
          <w:color w:val="auto"/>
          <w:sz w:val="24"/>
          <w:highlight w:val="none"/>
          <w:u w:val="single"/>
        </w:rPr>
        <w:t xml:space="preserve">              </w:t>
      </w:r>
    </w:p>
    <w:p w14:paraId="5FBE4222">
      <w:pPr>
        <w:pStyle w:val="445"/>
        <w:ind w:firstLine="720"/>
        <w:rPr>
          <w:rFonts w:hint="eastAsia" w:ascii="宋体" w:hAnsi="宋体" w:cs="宋体"/>
          <w:color w:val="auto"/>
          <w:sz w:val="24"/>
          <w:highlight w:val="none"/>
          <w:u w:val="single"/>
        </w:rPr>
      </w:pPr>
    </w:p>
    <w:p w14:paraId="20FC090A">
      <w:pPr>
        <w:pStyle w:val="445"/>
        <w:ind w:firstLine="4320"/>
        <w:rPr>
          <w:rFonts w:hint="eastAsia" w:ascii="宋体" w:hAnsi="宋体" w:cs="宋体"/>
          <w:color w:val="auto"/>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7FF393AE">
      <w:pPr>
        <w:pStyle w:val="510"/>
        <w:rPr>
          <w:rFonts w:hint="eastAsia" w:ascii="宋体" w:hAnsi="宋体" w:eastAsia="宋体" w:cs="宋体"/>
          <w:color w:val="auto"/>
          <w:highlight w:val="none"/>
        </w:rPr>
      </w:pPr>
    </w:p>
    <w:p w14:paraId="3E756C41">
      <w:pPr>
        <w:pStyle w:val="391"/>
        <w:rPr>
          <w:rFonts w:hint="eastAsia" w:ascii="宋体" w:hAnsi="宋体" w:cs="宋体"/>
          <w:color w:val="auto"/>
          <w:highlight w:val="none"/>
        </w:rPr>
      </w:pPr>
      <w:r>
        <w:rPr>
          <w:rFonts w:hint="eastAsia" w:ascii="宋体" w:hAnsi="宋体" w:cs="宋体"/>
          <w:color w:val="auto"/>
          <w:highlight w:val="none"/>
        </w:rPr>
        <w:t>注：1、残疾人福利性单位应完整填写此函并提供相关证明材料；</w:t>
      </w:r>
    </w:p>
    <w:p w14:paraId="39C6BEC6">
      <w:pPr>
        <w:pStyle w:val="391"/>
        <w:ind w:firstLine="420"/>
        <w:rPr>
          <w:rFonts w:hint="eastAsia" w:ascii="宋体" w:hAnsi="宋体" w:cs="宋体"/>
          <w:color w:val="auto"/>
          <w:highlight w:val="none"/>
        </w:rPr>
      </w:pPr>
      <w:r>
        <w:rPr>
          <w:rFonts w:hint="eastAsia" w:ascii="宋体" w:hAnsi="宋体" w:cs="宋体"/>
          <w:color w:val="auto"/>
          <w:highlight w:val="none"/>
        </w:rPr>
        <w:t>2、非残疾人福利性单位不需提供此声明函</w:t>
      </w:r>
    </w:p>
    <w:p w14:paraId="18917E82">
      <w:pPr>
        <w:widowControl/>
        <w:jc w:val="lef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r>
    </w:p>
    <w:p w14:paraId="20AF0D22">
      <w:pPr>
        <w:spacing w:line="360" w:lineRule="auto"/>
        <w:jc w:val="center"/>
        <w:outlineLvl w:val="0"/>
        <w:rPr>
          <w:rFonts w:hint="eastAsia" w:ascii="宋体" w:hAnsi="宋体" w:cs="宋体"/>
          <w:b/>
          <w:bCs/>
          <w:color w:val="auto"/>
          <w:sz w:val="28"/>
          <w:szCs w:val="28"/>
          <w:highlight w:val="none"/>
        </w:rPr>
      </w:pPr>
      <w:bookmarkStart w:id="160" w:name="_Toc199794513"/>
      <w:r>
        <w:rPr>
          <w:rFonts w:hint="eastAsia" w:ascii="宋体" w:hAnsi="宋体" w:cs="宋体"/>
          <w:b/>
          <w:bCs/>
          <w:color w:val="auto"/>
          <w:sz w:val="28"/>
          <w:szCs w:val="28"/>
          <w:highlight w:val="none"/>
        </w:rPr>
        <w:t>属于监狱企业的证明文件</w:t>
      </w:r>
      <w:bookmarkEnd w:id="160"/>
    </w:p>
    <w:p w14:paraId="769784E6">
      <w:pPr>
        <w:spacing w:line="360" w:lineRule="auto"/>
        <w:rPr>
          <w:rFonts w:hint="eastAsia" w:ascii="宋体" w:hAnsi="宋体" w:cs="宋体"/>
          <w:color w:val="auto"/>
          <w:highlight w:val="none"/>
        </w:rPr>
      </w:pPr>
      <w:r>
        <w:rPr>
          <w:rFonts w:hint="eastAsia" w:ascii="宋体" w:hAnsi="宋体" w:cs="宋体"/>
          <w:color w:val="auto"/>
          <w:highlight w:val="none"/>
        </w:rPr>
        <w:t>（提供由省级以上监狱管理局、戒毒管理局(含新疆生产建设兵团)出具的属于监狱企业的证明文件）</w:t>
      </w:r>
    </w:p>
    <w:p w14:paraId="2DD26A8F">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7C4EC54A">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74F3A3D0">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41E04D30">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54FDF032">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2CF48C20">
      <w:pPr>
        <w:spacing w:line="360" w:lineRule="auto"/>
        <w:jc w:val="center"/>
        <w:outlineLvl w:val="0"/>
        <w:rPr>
          <w:rFonts w:hint="eastAsia" w:ascii="宋体" w:hAnsi="宋体" w:cs="宋体"/>
          <w:b/>
          <w:bCs/>
          <w:color w:val="auto"/>
          <w:highlight w:val="none"/>
        </w:rPr>
      </w:pPr>
      <w:bookmarkStart w:id="161" w:name="_Toc5876"/>
      <w:bookmarkEnd w:id="161"/>
      <w:bookmarkStart w:id="162" w:name="_Toc199794514"/>
      <w:r>
        <w:rPr>
          <w:rFonts w:hint="eastAsia" w:ascii="宋体" w:hAnsi="宋体" w:cs="宋体"/>
          <w:b/>
          <w:bCs/>
          <w:color w:val="auto"/>
          <w:sz w:val="28"/>
          <w:szCs w:val="28"/>
          <w:highlight w:val="none"/>
        </w:rPr>
        <w:t>节能产品认证证书</w:t>
      </w:r>
      <w:bookmarkEnd w:id="162"/>
    </w:p>
    <w:p w14:paraId="3CB078EC">
      <w:pPr>
        <w:spacing w:line="360" w:lineRule="auto"/>
        <w:rPr>
          <w:rFonts w:hint="eastAsia" w:ascii="宋体" w:hAnsi="宋体" w:cs="宋体"/>
          <w:color w:val="auto"/>
          <w:highlight w:val="none"/>
        </w:rPr>
      </w:pPr>
      <w:r>
        <w:rPr>
          <w:rFonts w:hint="eastAsia" w:ascii="宋体" w:hAnsi="宋体" w:cs="宋体"/>
          <w:color w:val="auto"/>
          <w:highlight w:val="none"/>
        </w:rPr>
        <w:t>（提供国家确定的认证机构出具的、处于有效期之内的产品认证证书）</w:t>
      </w:r>
    </w:p>
    <w:p w14:paraId="591BD2A5">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1B6CE6C6">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3BDE03CF">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4F44F9C9">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242F68D7">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49D5CB42">
      <w:pPr>
        <w:spacing w:line="360" w:lineRule="auto"/>
        <w:jc w:val="center"/>
        <w:outlineLvl w:val="0"/>
        <w:rPr>
          <w:rFonts w:hint="eastAsia" w:ascii="宋体" w:hAnsi="宋体" w:cs="宋体"/>
          <w:b/>
          <w:bCs/>
          <w:color w:val="auto"/>
          <w:highlight w:val="none"/>
        </w:rPr>
      </w:pPr>
      <w:bookmarkStart w:id="163" w:name="_Toc16386"/>
      <w:bookmarkEnd w:id="163"/>
      <w:bookmarkStart w:id="164" w:name="_Toc199794515"/>
      <w:r>
        <w:rPr>
          <w:rFonts w:hint="eastAsia" w:ascii="宋体" w:hAnsi="宋体" w:cs="宋体"/>
          <w:b/>
          <w:bCs/>
          <w:color w:val="auto"/>
          <w:sz w:val="28"/>
          <w:szCs w:val="28"/>
          <w:highlight w:val="none"/>
        </w:rPr>
        <w:t>环境标志产品认证证书</w:t>
      </w:r>
      <w:bookmarkEnd w:id="164"/>
    </w:p>
    <w:p w14:paraId="29E383EF">
      <w:pPr>
        <w:spacing w:line="360" w:lineRule="auto"/>
        <w:rPr>
          <w:rFonts w:hint="eastAsia" w:ascii="宋体" w:hAnsi="宋体" w:cs="宋体"/>
          <w:color w:val="auto"/>
          <w:highlight w:val="none"/>
        </w:rPr>
      </w:pPr>
      <w:r>
        <w:rPr>
          <w:rFonts w:hint="eastAsia" w:ascii="宋体" w:hAnsi="宋体" w:cs="宋体"/>
          <w:color w:val="auto"/>
          <w:highlight w:val="none"/>
        </w:rPr>
        <w:t>（提供国家确定的认证机构出具的、处于有效期之内的产品认证证书）</w:t>
      </w:r>
    </w:p>
    <w:p w14:paraId="18494350">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4DA82595">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46B6B6F2">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6A953861">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79A0D29A">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 </w:t>
      </w:r>
    </w:p>
    <w:p w14:paraId="29BC5755">
      <w:pPr>
        <w:spacing w:line="360" w:lineRule="auto"/>
        <w:jc w:val="center"/>
        <w:outlineLvl w:val="0"/>
        <w:rPr>
          <w:rFonts w:hint="eastAsia" w:ascii="宋体" w:hAnsi="宋体" w:cs="宋体"/>
          <w:b/>
          <w:bCs/>
          <w:color w:val="auto"/>
          <w:sz w:val="28"/>
          <w:szCs w:val="28"/>
          <w:highlight w:val="none"/>
        </w:rPr>
      </w:pPr>
      <w:bookmarkStart w:id="165" w:name="_Toc1060"/>
      <w:bookmarkEnd w:id="165"/>
      <w:bookmarkStart w:id="166" w:name="_Toc199794516"/>
      <w:r>
        <w:rPr>
          <w:rFonts w:hint="eastAsia" w:ascii="宋体" w:hAnsi="宋体" w:cs="宋体"/>
          <w:b/>
          <w:bCs/>
          <w:color w:val="auto"/>
          <w:sz w:val="28"/>
          <w:szCs w:val="28"/>
          <w:highlight w:val="none"/>
        </w:rPr>
        <w:t>进口产品转让技术、消化吸收再创新方案</w:t>
      </w:r>
      <w:bookmarkEnd w:id="166"/>
    </w:p>
    <w:p w14:paraId="396F153F">
      <w:pPr>
        <w:spacing w:line="360" w:lineRule="auto"/>
        <w:rPr>
          <w:rFonts w:hint="eastAsia" w:ascii="宋体" w:hAnsi="宋体" w:cs="宋体"/>
          <w:color w:val="auto"/>
          <w:highlight w:val="none"/>
        </w:rPr>
      </w:pPr>
      <w:r>
        <w:rPr>
          <w:rFonts w:hint="eastAsia" w:ascii="宋体" w:hAnsi="宋体" w:cs="宋体"/>
          <w:color w:val="auto"/>
          <w:highlight w:val="none"/>
        </w:rPr>
        <w:t>（对于允许进口产品参加的项目）</w:t>
      </w:r>
    </w:p>
    <w:p w14:paraId="758EE2A8">
      <w:pPr>
        <w:widowControl/>
        <w:jc w:val="left"/>
        <w:rPr>
          <w:rFonts w:hint="eastAsia" w:ascii="宋体" w:hAnsi="宋体" w:cs="宋体"/>
          <w:b/>
          <w:color w:val="auto"/>
          <w:sz w:val="32"/>
          <w:szCs w:val="24"/>
          <w:highlight w:val="none"/>
        </w:rPr>
      </w:pPr>
      <w:bookmarkStart w:id="167" w:name="_Toc514054497"/>
      <w:bookmarkStart w:id="168" w:name="_Toc16234"/>
      <w:r>
        <w:rPr>
          <w:rFonts w:hint="eastAsia" w:ascii="宋体" w:hAnsi="宋体" w:cs="宋体"/>
          <w:color w:val="auto"/>
          <w:highlight w:val="none"/>
        </w:rPr>
        <w:br w:type="page"/>
      </w:r>
    </w:p>
    <w:p w14:paraId="059A3FE5">
      <w:pPr>
        <w:pStyle w:val="510"/>
        <w:outlineLvl w:val="1"/>
        <w:rPr>
          <w:rFonts w:hint="eastAsia" w:ascii="宋体" w:hAnsi="宋体" w:eastAsia="宋体" w:cs="宋体"/>
          <w:color w:val="auto"/>
          <w:highlight w:val="none"/>
        </w:rPr>
      </w:pPr>
      <w:bookmarkStart w:id="169" w:name="_Toc199794517"/>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二</w:t>
      </w:r>
      <w:r>
        <w:rPr>
          <w:rFonts w:hint="eastAsia" w:ascii="宋体" w:hAnsi="宋体" w:eastAsia="宋体" w:cs="宋体"/>
          <w:color w:val="auto"/>
          <w:highlight w:val="none"/>
        </w:rPr>
        <w:t>、响应偏差表</w:t>
      </w:r>
      <w:bookmarkEnd w:id="167"/>
      <w:bookmarkEnd w:id="168"/>
      <w:bookmarkEnd w:id="169"/>
    </w:p>
    <w:p w14:paraId="0991E739">
      <w:pPr>
        <w:pStyle w:val="322"/>
        <w:jc w:val="center"/>
        <w:rPr>
          <w:rFonts w:hint="eastAsia" w:ascii="宋体" w:hAnsi="宋体" w:cs="宋体"/>
          <w:color w:val="auto"/>
          <w:sz w:val="32"/>
          <w:szCs w:val="32"/>
          <w:highlight w:val="none"/>
        </w:rPr>
      </w:pPr>
      <w:bookmarkStart w:id="170" w:name="_Toc29509_WPSOffice_Level2"/>
      <w:r>
        <w:rPr>
          <w:rFonts w:hint="eastAsia" w:ascii="宋体" w:hAnsi="宋体" w:cs="宋体"/>
          <w:color w:val="auto"/>
          <w:sz w:val="32"/>
          <w:szCs w:val="32"/>
          <w:highlight w:val="none"/>
        </w:rPr>
        <w:t>（一）投标技术响应偏差表</w:t>
      </w:r>
      <w:bookmarkEnd w:id="170"/>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1"/>
        <w:gridCol w:w="2351"/>
        <w:gridCol w:w="2601"/>
        <w:gridCol w:w="2765"/>
      </w:tblGrid>
      <w:tr w14:paraId="0E657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3D601D92">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2351" w:type="dxa"/>
            <w:vAlign w:val="center"/>
          </w:tcPr>
          <w:p w14:paraId="2B5B35CB">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招标文件内容</w:t>
            </w:r>
          </w:p>
        </w:tc>
        <w:tc>
          <w:tcPr>
            <w:tcW w:w="2601" w:type="dxa"/>
            <w:vAlign w:val="center"/>
          </w:tcPr>
          <w:p w14:paraId="652B78B9">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投标文件内容</w:t>
            </w:r>
          </w:p>
        </w:tc>
        <w:tc>
          <w:tcPr>
            <w:tcW w:w="2765" w:type="dxa"/>
            <w:vAlign w:val="center"/>
          </w:tcPr>
          <w:p w14:paraId="4FC33217">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偏差内容及说明</w:t>
            </w:r>
          </w:p>
        </w:tc>
      </w:tr>
      <w:tr w14:paraId="27B68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4A81704">
            <w:pPr>
              <w:pStyle w:val="322"/>
              <w:spacing w:line="560" w:lineRule="exact"/>
              <w:jc w:val="center"/>
              <w:rPr>
                <w:rFonts w:hint="eastAsia" w:ascii="宋体" w:hAnsi="宋体" w:cs="宋体"/>
                <w:color w:val="auto"/>
                <w:sz w:val="24"/>
                <w:highlight w:val="none"/>
              </w:rPr>
            </w:pPr>
          </w:p>
        </w:tc>
        <w:tc>
          <w:tcPr>
            <w:tcW w:w="2351" w:type="dxa"/>
            <w:vAlign w:val="center"/>
          </w:tcPr>
          <w:p w14:paraId="1F87E5E6">
            <w:pPr>
              <w:pStyle w:val="322"/>
              <w:spacing w:line="560" w:lineRule="exact"/>
              <w:jc w:val="center"/>
              <w:rPr>
                <w:rFonts w:hint="eastAsia" w:ascii="宋体" w:hAnsi="宋体" w:cs="宋体"/>
                <w:color w:val="auto"/>
                <w:sz w:val="24"/>
                <w:highlight w:val="none"/>
              </w:rPr>
            </w:pPr>
          </w:p>
        </w:tc>
        <w:tc>
          <w:tcPr>
            <w:tcW w:w="2601" w:type="dxa"/>
            <w:vAlign w:val="center"/>
          </w:tcPr>
          <w:p w14:paraId="3B8B5C2E">
            <w:pPr>
              <w:pStyle w:val="322"/>
              <w:spacing w:line="560" w:lineRule="exact"/>
              <w:jc w:val="center"/>
              <w:rPr>
                <w:rFonts w:hint="eastAsia" w:ascii="宋体" w:hAnsi="宋体" w:cs="宋体"/>
                <w:color w:val="auto"/>
                <w:sz w:val="24"/>
                <w:highlight w:val="none"/>
              </w:rPr>
            </w:pPr>
          </w:p>
        </w:tc>
        <w:tc>
          <w:tcPr>
            <w:tcW w:w="2765" w:type="dxa"/>
            <w:vAlign w:val="center"/>
          </w:tcPr>
          <w:p w14:paraId="6C5C3051">
            <w:pPr>
              <w:pStyle w:val="322"/>
              <w:spacing w:line="560" w:lineRule="exact"/>
              <w:jc w:val="center"/>
              <w:rPr>
                <w:rFonts w:hint="eastAsia" w:ascii="宋体" w:hAnsi="宋体" w:cs="宋体"/>
                <w:color w:val="auto"/>
                <w:sz w:val="24"/>
                <w:highlight w:val="none"/>
              </w:rPr>
            </w:pPr>
          </w:p>
        </w:tc>
      </w:tr>
      <w:tr w14:paraId="26856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20FCE83D">
            <w:pPr>
              <w:pStyle w:val="322"/>
              <w:spacing w:line="560" w:lineRule="exact"/>
              <w:jc w:val="center"/>
              <w:rPr>
                <w:rFonts w:hint="eastAsia" w:ascii="宋体" w:hAnsi="宋体" w:cs="宋体"/>
                <w:color w:val="auto"/>
                <w:sz w:val="24"/>
                <w:highlight w:val="none"/>
              </w:rPr>
            </w:pPr>
          </w:p>
        </w:tc>
        <w:tc>
          <w:tcPr>
            <w:tcW w:w="2351" w:type="dxa"/>
            <w:vAlign w:val="center"/>
          </w:tcPr>
          <w:p w14:paraId="216637D7">
            <w:pPr>
              <w:pStyle w:val="322"/>
              <w:spacing w:line="560" w:lineRule="exact"/>
              <w:jc w:val="center"/>
              <w:rPr>
                <w:rFonts w:hint="eastAsia" w:ascii="宋体" w:hAnsi="宋体" w:cs="宋体"/>
                <w:color w:val="auto"/>
                <w:sz w:val="24"/>
                <w:highlight w:val="none"/>
              </w:rPr>
            </w:pPr>
          </w:p>
        </w:tc>
        <w:tc>
          <w:tcPr>
            <w:tcW w:w="2601" w:type="dxa"/>
            <w:vAlign w:val="center"/>
          </w:tcPr>
          <w:p w14:paraId="6978F81D">
            <w:pPr>
              <w:pStyle w:val="322"/>
              <w:spacing w:line="560" w:lineRule="exact"/>
              <w:jc w:val="center"/>
              <w:rPr>
                <w:rFonts w:hint="eastAsia" w:ascii="宋体" w:hAnsi="宋体" w:cs="宋体"/>
                <w:color w:val="auto"/>
                <w:sz w:val="24"/>
                <w:highlight w:val="none"/>
              </w:rPr>
            </w:pPr>
          </w:p>
        </w:tc>
        <w:tc>
          <w:tcPr>
            <w:tcW w:w="2765" w:type="dxa"/>
            <w:vAlign w:val="center"/>
          </w:tcPr>
          <w:p w14:paraId="60D35589">
            <w:pPr>
              <w:pStyle w:val="322"/>
              <w:spacing w:line="560" w:lineRule="exact"/>
              <w:jc w:val="center"/>
              <w:rPr>
                <w:rFonts w:hint="eastAsia" w:ascii="宋体" w:hAnsi="宋体" w:cs="宋体"/>
                <w:color w:val="auto"/>
                <w:sz w:val="24"/>
                <w:highlight w:val="none"/>
              </w:rPr>
            </w:pPr>
          </w:p>
        </w:tc>
      </w:tr>
      <w:tr w14:paraId="13D72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63E73F5">
            <w:pPr>
              <w:pStyle w:val="322"/>
              <w:spacing w:line="560" w:lineRule="exact"/>
              <w:jc w:val="center"/>
              <w:rPr>
                <w:rFonts w:hint="eastAsia" w:ascii="宋体" w:hAnsi="宋体" w:cs="宋体"/>
                <w:color w:val="auto"/>
                <w:sz w:val="24"/>
                <w:highlight w:val="none"/>
              </w:rPr>
            </w:pPr>
          </w:p>
        </w:tc>
        <w:tc>
          <w:tcPr>
            <w:tcW w:w="2351" w:type="dxa"/>
            <w:vAlign w:val="center"/>
          </w:tcPr>
          <w:p w14:paraId="04F35DB1">
            <w:pPr>
              <w:pStyle w:val="322"/>
              <w:spacing w:line="560" w:lineRule="exact"/>
              <w:jc w:val="center"/>
              <w:rPr>
                <w:rFonts w:hint="eastAsia" w:ascii="宋体" w:hAnsi="宋体" w:cs="宋体"/>
                <w:color w:val="auto"/>
                <w:sz w:val="24"/>
                <w:highlight w:val="none"/>
              </w:rPr>
            </w:pPr>
          </w:p>
        </w:tc>
        <w:tc>
          <w:tcPr>
            <w:tcW w:w="2601" w:type="dxa"/>
            <w:vAlign w:val="center"/>
          </w:tcPr>
          <w:p w14:paraId="075E010F">
            <w:pPr>
              <w:pStyle w:val="322"/>
              <w:spacing w:line="560" w:lineRule="exact"/>
              <w:jc w:val="center"/>
              <w:rPr>
                <w:rFonts w:hint="eastAsia" w:ascii="宋体" w:hAnsi="宋体" w:cs="宋体"/>
                <w:color w:val="auto"/>
                <w:sz w:val="24"/>
                <w:highlight w:val="none"/>
              </w:rPr>
            </w:pPr>
          </w:p>
        </w:tc>
        <w:tc>
          <w:tcPr>
            <w:tcW w:w="2765" w:type="dxa"/>
            <w:vAlign w:val="center"/>
          </w:tcPr>
          <w:p w14:paraId="3C5B40F1">
            <w:pPr>
              <w:pStyle w:val="322"/>
              <w:spacing w:line="560" w:lineRule="exact"/>
              <w:jc w:val="center"/>
              <w:rPr>
                <w:rFonts w:hint="eastAsia" w:ascii="宋体" w:hAnsi="宋体" w:cs="宋体"/>
                <w:color w:val="auto"/>
                <w:sz w:val="24"/>
                <w:highlight w:val="none"/>
              </w:rPr>
            </w:pPr>
          </w:p>
        </w:tc>
      </w:tr>
      <w:tr w14:paraId="7B994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3F588CD3">
            <w:pPr>
              <w:pStyle w:val="322"/>
              <w:spacing w:line="560" w:lineRule="exact"/>
              <w:jc w:val="center"/>
              <w:rPr>
                <w:rFonts w:hint="eastAsia" w:ascii="宋体" w:hAnsi="宋体" w:cs="宋体"/>
                <w:color w:val="auto"/>
                <w:sz w:val="24"/>
                <w:highlight w:val="none"/>
              </w:rPr>
            </w:pPr>
          </w:p>
        </w:tc>
        <w:tc>
          <w:tcPr>
            <w:tcW w:w="2351" w:type="dxa"/>
            <w:vAlign w:val="center"/>
          </w:tcPr>
          <w:p w14:paraId="431F4AAD">
            <w:pPr>
              <w:pStyle w:val="322"/>
              <w:spacing w:line="560" w:lineRule="exact"/>
              <w:jc w:val="center"/>
              <w:rPr>
                <w:rFonts w:hint="eastAsia" w:ascii="宋体" w:hAnsi="宋体" w:cs="宋体"/>
                <w:color w:val="auto"/>
                <w:sz w:val="24"/>
                <w:highlight w:val="none"/>
              </w:rPr>
            </w:pPr>
          </w:p>
        </w:tc>
        <w:tc>
          <w:tcPr>
            <w:tcW w:w="2601" w:type="dxa"/>
            <w:vAlign w:val="center"/>
          </w:tcPr>
          <w:p w14:paraId="2280A864">
            <w:pPr>
              <w:pStyle w:val="322"/>
              <w:spacing w:line="560" w:lineRule="exact"/>
              <w:jc w:val="center"/>
              <w:rPr>
                <w:rFonts w:hint="eastAsia" w:ascii="宋体" w:hAnsi="宋体" w:cs="宋体"/>
                <w:color w:val="auto"/>
                <w:sz w:val="24"/>
                <w:highlight w:val="none"/>
              </w:rPr>
            </w:pPr>
          </w:p>
        </w:tc>
        <w:tc>
          <w:tcPr>
            <w:tcW w:w="2765" w:type="dxa"/>
            <w:vAlign w:val="center"/>
          </w:tcPr>
          <w:p w14:paraId="3CC8BA21">
            <w:pPr>
              <w:pStyle w:val="322"/>
              <w:spacing w:line="560" w:lineRule="exact"/>
              <w:jc w:val="center"/>
              <w:rPr>
                <w:rFonts w:hint="eastAsia" w:ascii="宋体" w:hAnsi="宋体" w:cs="宋体"/>
                <w:color w:val="auto"/>
                <w:sz w:val="24"/>
                <w:highlight w:val="none"/>
              </w:rPr>
            </w:pPr>
          </w:p>
        </w:tc>
      </w:tr>
      <w:tr w14:paraId="3E4DA0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4258C63A">
            <w:pPr>
              <w:pStyle w:val="322"/>
              <w:spacing w:line="560" w:lineRule="exact"/>
              <w:jc w:val="center"/>
              <w:rPr>
                <w:rFonts w:hint="eastAsia" w:ascii="宋体" w:hAnsi="宋体" w:cs="宋体"/>
                <w:color w:val="auto"/>
                <w:sz w:val="24"/>
                <w:highlight w:val="none"/>
              </w:rPr>
            </w:pPr>
          </w:p>
        </w:tc>
        <w:tc>
          <w:tcPr>
            <w:tcW w:w="2351" w:type="dxa"/>
            <w:vAlign w:val="center"/>
          </w:tcPr>
          <w:p w14:paraId="62B978E8">
            <w:pPr>
              <w:pStyle w:val="322"/>
              <w:spacing w:line="560" w:lineRule="exact"/>
              <w:jc w:val="center"/>
              <w:rPr>
                <w:rFonts w:hint="eastAsia" w:ascii="宋体" w:hAnsi="宋体" w:cs="宋体"/>
                <w:color w:val="auto"/>
                <w:sz w:val="24"/>
                <w:highlight w:val="none"/>
              </w:rPr>
            </w:pPr>
          </w:p>
        </w:tc>
        <w:tc>
          <w:tcPr>
            <w:tcW w:w="2601" w:type="dxa"/>
            <w:vAlign w:val="center"/>
          </w:tcPr>
          <w:p w14:paraId="00605452">
            <w:pPr>
              <w:pStyle w:val="322"/>
              <w:spacing w:line="560" w:lineRule="exact"/>
              <w:jc w:val="center"/>
              <w:rPr>
                <w:rFonts w:hint="eastAsia" w:ascii="宋体" w:hAnsi="宋体" w:cs="宋体"/>
                <w:color w:val="auto"/>
                <w:sz w:val="24"/>
                <w:highlight w:val="none"/>
              </w:rPr>
            </w:pPr>
          </w:p>
        </w:tc>
        <w:tc>
          <w:tcPr>
            <w:tcW w:w="2765" w:type="dxa"/>
            <w:vAlign w:val="center"/>
          </w:tcPr>
          <w:p w14:paraId="0A8F80D2">
            <w:pPr>
              <w:pStyle w:val="322"/>
              <w:spacing w:line="560" w:lineRule="exact"/>
              <w:jc w:val="center"/>
              <w:rPr>
                <w:rFonts w:hint="eastAsia" w:ascii="宋体" w:hAnsi="宋体" w:cs="宋体"/>
                <w:color w:val="auto"/>
                <w:sz w:val="24"/>
                <w:highlight w:val="none"/>
              </w:rPr>
            </w:pPr>
          </w:p>
        </w:tc>
      </w:tr>
      <w:tr w14:paraId="69463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4305D24C">
            <w:pPr>
              <w:pStyle w:val="322"/>
              <w:spacing w:line="560" w:lineRule="exact"/>
              <w:jc w:val="center"/>
              <w:rPr>
                <w:rFonts w:hint="eastAsia" w:ascii="宋体" w:hAnsi="宋体" w:cs="宋体"/>
                <w:color w:val="auto"/>
                <w:sz w:val="24"/>
                <w:highlight w:val="none"/>
              </w:rPr>
            </w:pPr>
          </w:p>
        </w:tc>
        <w:tc>
          <w:tcPr>
            <w:tcW w:w="2351" w:type="dxa"/>
            <w:vAlign w:val="center"/>
          </w:tcPr>
          <w:p w14:paraId="51618BDE">
            <w:pPr>
              <w:pStyle w:val="322"/>
              <w:spacing w:line="560" w:lineRule="exact"/>
              <w:jc w:val="center"/>
              <w:rPr>
                <w:rFonts w:hint="eastAsia" w:ascii="宋体" w:hAnsi="宋体" w:cs="宋体"/>
                <w:color w:val="auto"/>
                <w:sz w:val="24"/>
                <w:highlight w:val="none"/>
              </w:rPr>
            </w:pPr>
          </w:p>
        </w:tc>
        <w:tc>
          <w:tcPr>
            <w:tcW w:w="2601" w:type="dxa"/>
            <w:vAlign w:val="center"/>
          </w:tcPr>
          <w:p w14:paraId="263FB0D2">
            <w:pPr>
              <w:pStyle w:val="322"/>
              <w:spacing w:line="560" w:lineRule="exact"/>
              <w:jc w:val="center"/>
              <w:rPr>
                <w:rFonts w:hint="eastAsia" w:ascii="宋体" w:hAnsi="宋体" w:cs="宋体"/>
                <w:color w:val="auto"/>
                <w:sz w:val="24"/>
                <w:highlight w:val="none"/>
              </w:rPr>
            </w:pPr>
          </w:p>
        </w:tc>
        <w:tc>
          <w:tcPr>
            <w:tcW w:w="2765" w:type="dxa"/>
            <w:vAlign w:val="center"/>
          </w:tcPr>
          <w:p w14:paraId="746F34B7">
            <w:pPr>
              <w:pStyle w:val="322"/>
              <w:spacing w:line="560" w:lineRule="exact"/>
              <w:jc w:val="center"/>
              <w:rPr>
                <w:rFonts w:hint="eastAsia" w:ascii="宋体" w:hAnsi="宋体" w:cs="宋体"/>
                <w:color w:val="auto"/>
                <w:sz w:val="24"/>
                <w:highlight w:val="none"/>
              </w:rPr>
            </w:pPr>
          </w:p>
        </w:tc>
      </w:tr>
      <w:tr w14:paraId="0EAEC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4564CB6E">
            <w:pPr>
              <w:pStyle w:val="322"/>
              <w:spacing w:line="560" w:lineRule="exact"/>
              <w:jc w:val="center"/>
              <w:rPr>
                <w:rFonts w:hint="eastAsia" w:ascii="宋体" w:hAnsi="宋体" w:cs="宋体"/>
                <w:color w:val="auto"/>
                <w:sz w:val="24"/>
                <w:highlight w:val="none"/>
              </w:rPr>
            </w:pPr>
          </w:p>
        </w:tc>
        <w:tc>
          <w:tcPr>
            <w:tcW w:w="2351" w:type="dxa"/>
            <w:vAlign w:val="center"/>
          </w:tcPr>
          <w:p w14:paraId="46DD19D2">
            <w:pPr>
              <w:pStyle w:val="322"/>
              <w:spacing w:line="560" w:lineRule="exact"/>
              <w:jc w:val="center"/>
              <w:rPr>
                <w:rFonts w:hint="eastAsia" w:ascii="宋体" w:hAnsi="宋体" w:cs="宋体"/>
                <w:color w:val="auto"/>
                <w:sz w:val="24"/>
                <w:highlight w:val="none"/>
              </w:rPr>
            </w:pPr>
          </w:p>
        </w:tc>
        <w:tc>
          <w:tcPr>
            <w:tcW w:w="2601" w:type="dxa"/>
            <w:vAlign w:val="center"/>
          </w:tcPr>
          <w:p w14:paraId="2B34657B">
            <w:pPr>
              <w:pStyle w:val="322"/>
              <w:spacing w:line="560" w:lineRule="exact"/>
              <w:jc w:val="center"/>
              <w:rPr>
                <w:rFonts w:hint="eastAsia" w:ascii="宋体" w:hAnsi="宋体" w:cs="宋体"/>
                <w:color w:val="auto"/>
                <w:sz w:val="24"/>
                <w:highlight w:val="none"/>
              </w:rPr>
            </w:pPr>
          </w:p>
        </w:tc>
        <w:tc>
          <w:tcPr>
            <w:tcW w:w="2765" w:type="dxa"/>
            <w:vAlign w:val="center"/>
          </w:tcPr>
          <w:p w14:paraId="1425F182">
            <w:pPr>
              <w:pStyle w:val="322"/>
              <w:spacing w:line="560" w:lineRule="exact"/>
              <w:jc w:val="center"/>
              <w:rPr>
                <w:rFonts w:hint="eastAsia" w:ascii="宋体" w:hAnsi="宋体" w:cs="宋体"/>
                <w:color w:val="auto"/>
                <w:sz w:val="24"/>
                <w:highlight w:val="none"/>
              </w:rPr>
            </w:pPr>
          </w:p>
        </w:tc>
      </w:tr>
      <w:tr w14:paraId="7736F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626922C8">
            <w:pPr>
              <w:pStyle w:val="322"/>
              <w:spacing w:line="560" w:lineRule="exact"/>
              <w:jc w:val="center"/>
              <w:rPr>
                <w:rFonts w:hint="eastAsia" w:ascii="宋体" w:hAnsi="宋体" w:cs="宋体"/>
                <w:color w:val="auto"/>
                <w:sz w:val="24"/>
                <w:highlight w:val="none"/>
              </w:rPr>
            </w:pPr>
          </w:p>
        </w:tc>
        <w:tc>
          <w:tcPr>
            <w:tcW w:w="2351" w:type="dxa"/>
            <w:vAlign w:val="center"/>
          </w:tcPr>
          <w:p w14:paraId="76684585">
            <w:pPr>
              <w:pStyle w:val="322"/>
              <w:spacing w:line="560" w:lineRule="exact"/>
              <w:jc w:val="center"/>
              <w:rPr>
                <w:rFonts w:hint="eastAsia" w:ascii="宋体" w:hAnsi="宋体" w:cs="宋体"/>
                <w:color w:val="auto"/>
                <w:sz w:val="24"/>
                <w:highlight w:val="none"/>
              </w:rPr>
            </w:pPr>
          </w:p>
        </w:tc>
        <w:tc>
          <w:tcPr>
            <w:tcW w:w="2601" w:type="dxa"/>
            <w:vAlign w:val="center"/>
          </w:tcPr>
          <w:p w14:paraId="193FEA9E">
            <w:pPr>
              <w:pStyle w:val="322"/>
              <w:spacing w:line="560" w:lineRule="exact"/>
              <w:jc w:val="center"/>
              <w:rPr>
                <w:rFonts w:hint="eastAsia" w:ascii="宋体" w:hAnsi="宋体" w:cs="宋体"/>
                <w:color w:val="auto"/>
                <w:sz w:val="24"/>
                <w:highlight w:val="none"/>
              </w:rPr>
            </w:pPr>
          </w:p>
        </w:tc>
        <w:tc>
          <w:tcPr>
            <w:tcW w:w="2765" w:type="dxa"/>
            <w:vAlign w:val="center"/>
          </w:tcPr>
          <w:p w14:paraId="44186712">
            <w:pPr>
              <w:pStyle w:val="322"/>
              <w:spacing w:line="560" w:lineRule="exact"/>
              <w:jc w:val="center"/>
              <w:rPr>
                <w:rFonts w:hint="eastAsia" w:ascii="宋体" w:hAnsi="宋体" w:cs="宋体"/>
                <w:color w:val="auto"/>
                <w:sz w:val="24"/>
                <w:highlight w:val="none"/>
              </w:rPr>
            </w:pPr>
          </w:p>
        </w:tc>
      </w:tr>
      <w:tr w14:paraId="70C10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4" w:hRule="atLeast"/>
          <w:jc w:val="center"/>
        </w:trPr>
        <w:tc>
          <w:tcPr>
            <w:tcW w:w="1201" w:type="dxa"/>
            <w:vAlign w:val="center"/>
          </w:tcPr>
          <w:p w14:paraId="1280B8A1">
            <w:pPr>
              <w:pStyle w:val="322"/>
              <w:spacing w:line="560" w:lineRule="exact"/>
              <w:jc w:val="center"/>
              <w:rPr>
                <w:rFonts w:hint="eastAsia" w:ascii="宋体" w:hAnsi="宋体" w:cs="宋体"/>
                <w:color w:val="auto"/>
                <w:sz w:val="24"/>
                <w:highlight w:val="none"/>
              </w:rPr>
            </w:pPr>
          </w:p>
        </w:tc>
        <w:tc>
          <w:tcPr>
            <w:tcW w:w="2351" w:type="dxa"/>
            <w:vAlign w:val="center"/>
          </w:tcPr>
          <w:p w14:paraId="6F37B567">
            <w:pPr>
              <w:pStyle w:val="322"/>
              <w:spacing w:line="560" w:lineRule="exact"/>
              <w:jc w:val="center"/>
              <w:rPr>
                <w:rFonts w:hint="eastAsia" w:ascii="宋体" w:hAnsi="宋体" w:cs="宋体"/>
                <w:color w:val="auto"/>
                <w:sz w:val="24"/>
                <w:highlight w:val="none"/>
              </w:rPr>
            </w:pPr>
          </w:p>
        </w:tc>
        <w:tc>
          <w:tcPr>
            <w:tcW w:w="2601" w:type="dxa"/>
            <w:vAlign w:val="center"/>
          </w:tcPr>
          <w:p w14:paraId="4737241B">
            <w:pPr>
              <w:pStyle w:val="322"/>
              <w:spacing w:line="560" w:lineRule="exact"/>
              <w:jc w:val="center"/>
              <w:rPr>
                <w:rFonts w:hint="eastAsia" w:ascii="宋体" w:hAnsi="宋体" w:cs="宋体"/>
                <w:color w:val="auto"/>
                <w:sz w:val="24"/>
                <w:highlight w:val="none"/>
              </w:rPr>
            </w:pPr>
          </w:p>
        </w:tc>
        <w:tc>
          <w:tcPr>
            <w:tcW w:w="2765" w:type="dxa"/>
            <w:vAlign w:val="center"/>
          </w:tcPr>
          <w:p w14:paraId="29710B08">
            <w:pPr>
              <w:pStyle w:val="322"/>
              <w:spacing w:line="560" w:lineRule="exact"/>
              <w:jc w:val="center"/>
              <w:rPr>
                <w:rFonts w:hint="eastAsia" w:ascii="宋体" w:hAnsi="宋体" w:cs="宋体"/>
                <w:color w:val="auto"/>
                <w:sz w:val="24"/>
                <w:highlight w:val="none"/>
              </w:rPr>
            </w:pPr>
          </w:p>
        </w:tc>
      </w:tr>
      <w:tr w14:paraId="0C0AB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1201" w:type="dxa"/>
            <w:vAlign w:val="center"/>
          </w:tcPr>
          <w:p w14:paraId="388214D8">
            <w:pPr>
              <w:pStyle w:val="322"/>
              <w:spacing w:line="560" w:lineRule="exact"/>
              <w:jc w:val="center"/>
              <w:rPr>
                <w:rFonts w:hint="eastAsia" w:ascii="宋体" w:hAnsi="宋体" w:cs="宋体"/>
                <w:color w:val="auto"/>
                <w:sz w:val="24"/>
                <w:highlight w:val="none"/>
              </w:rPr>
            </w:pPr>
          </w:p>
        </w:tc>
        <w:tc>
          <w:tcPr>
            <w:tcW w:w="2351" w:type="dxa"/>
            <w:vAlign w:val="center"/>
          </w:tcPr>
          <w:p w14:paraId="71667AF5">
            <w:pPr>
              <w:pStyle w:val="322"/>
              <w:spacing w:line="560" w:lineRule="exact"/>
              <w:jc w:val="center"/>
              <w:rPr>
                <w:rFonts w:hint="eastAsia" w:ascii="宋体" w:hAnsi="宋体" w:cs="宋体"/>
                <w:color w:val="auto"/>
                <w:sz w:val="24"/>
                <w:highlight w:val="none"/>
              </w:rPr>
            </w:pPr>
          </w:p>
        </w:tc>
        <w:tc>
          <w:tcPr>
            <w:tcW w:w="2601" w:type="dxa"/>
            <w:vAlign w:val="center"/>
          </w:tcPr>
          <w:p w14:paraId="0387F6B4">
            <w:pPr>
              <w:pStyle w:val="322"/>
              <w:spacing w:line="560" w:lineRule="exact"/>
              <w:jc w:val="center"/>
              <w:rPr>
                <w:rFonts w:hint="eastAsia" w:ascii="宋体" w:hAnsi="宋体" w:cs="宋体"/>
                <w:color w:val="auto"/>
                <w:sz w:val="24"/>
                <w:highlight w:val="none"/>
              </w:rPr>
            </w:pPr>
          </w:p>
        </w:tc>
        <w:tc>
          <w:tcPr>
            <w:tcW w:w="2765" w:type="dxa"/>
            <w:vAlign w:val="center"/>
          </w:tcPr>
          <w:p w14:paraId="121007DF">
            <w:pPr>
              <w:pStyle w:val="322"/>
              <w:spacing w:line="560" w:lineRule="exact"/>
              <w:jc w:val="center"/>
              <w:rPr>
                <w:rFonts w:hint="eastAsia" w:ascii="宋体" w:hAnsi="宋体" w:cs="宋体"/>
                <w:color w:val="auto"/>
                <w:sz w:val="24"/>
                <w:highlight w:val="none"/>
              </w:rPr>
            </w:pPr>
          </w:p>
        </w:tc>
      </w:tr>
    </w:tbl>
    <w:p w14:paraId="13146F8E">
      <w:pPr>
        <w:pStyle w:val="322"/>
        <w:jc w:val="center"/>
        <w:rPr>
          <w:rFonts w:hint="eastAsia" w:ascii="宋体" w:hAnsi="宋体" w:cs="宋体"/>
          <w:color w:val="auto"/>
          <w:sz w:val="22"/>
          <w:highlight w:val="none"/>
        </w:rPr>
      </w:pPr>
    </w:p>
    <w:p w14:paraId="120859D4">
      <w:pPr>
        <w:pStyle w:val="383"/>
        <w:spacing w:line="700" w:lineRule="exact"/>
        <w:ind w:firstLine="629"/>
        <w:rPr>
          <w:rFonts w:hint="eastAsia" w:ascii="宋体" w:hAnsi="宋体" w:cs="宋体"/>
          <w:color w:val="auto"/>
          <w:sz w:val="24"/>
          <w:highlight w:val="none"/>
          <w:u w:val="single"/>
        </w:rPr>
      </w:pPr>
      <w:r>
        <w:rPr>
          <w:rFonts w:hint="eastAsia" w:ascii="宋体" w:hAnsi="宋体" w:cs="宋体"/>
          <w:color w:val="auto"/>
          <w:sz w:val="24"/>
          <w:highlight w:val="none"/>
        </w:rPr>
        <w:t>单位名称：（盖章）</w:t>
      </w:r>
      <w:r>
        <w:rPr>
          <w:rFonts w:hint="eastAsia" w:ascii="宋体" w:hAnsi="宋体" w:cs="宋体"/>
          <w:color w:val="auto"/>
          <w:sz w:val="24"/>
          <w:highlight w:val="none"/>
          <w:u w:val="single"/>
        </w:rPr>
        <w:t xml:space="preserve">             </w:t>
      </w:r>
    </w:p>
    <w:p w14:paraId="656AD92E">
      <w:pPr>
        <w:pStyle w:val="383"/>
        <w:spacing w:line="700" w:lineRule="exact"/>
        <w:ind w:firstLine="629"/>
        <w:rPr>
          <w:rFonts w:hint="eastAsia" w:ascii="宋体" w:hAnsi="宋体" w:cs="宋体"/>
          <w:color w:val="auto"/>
          <w:sz w:val="24"/>
          <w:highlight w:val="none"/>
        </w:rPr>
      </w:pPr>
      <w:r>
        <w:rPr>
          <w:rFonts w:hint="eastAsia" w:ascii="宋体" w:hAnsi="宋体" w:cs="宋体"/>
          <w:color w:val="auto"/>
          <w:sz w:val="24"/>
          <w:highlight w:val="none"/>
        </w:rPr>
        <w:t>法定代表人（或授权代表）：（签字或签章）</w:t>
      </w:r>
      <w:r>
        <w:rPr>
          <w:rFonts w:hint="eastAsia" w:ascii="宋体" w:hAnsi="宋体" w:cs="宋体"/>
          <w:color w:val="auto"/>
          <w:sz w:val="24"/>
          <w:highlight w:val="none"/>
          <w:u w:val="single"/>
        </w:rPr>
        <w:t xml:space="preserve">              </w:t>
      </w:r>
    </w:p>
    <w:p w14:paraId="4F1A9845">
      <w:pPr>
        <w:pStyle w:val="321"/>
        <w:ind w:firstLine="482"/>
        <w:rPr>
          <w:rFonts w:hint="eastAsia" w:hAnsi="宋体" w:cs="宋体"/>
          <w:b/>
          <w:bCs/>
          <w:color w:val="auto"/>
          <w:sz w:val="24"/>
          <w:szCs w:val="28"/>
          <w:highlight w:val="none"/>
        </w:rPr>
      </w:pPr>
    </w:p>
    <w:p w14:paraId="4A5071BF">
      <w:pPr>
        <w:pStyle w:val="321"/>
        <w:rPr>
          <w:rFonts w:hint="eastAsia" w:hAnsi="宋体" w:cs="宋体"/>
          <w:b/>
          <w:bCs/>
          <w:color w:val="auto"/>
          <w:sz w:val="24"/>
          <w:szCs w:val="28"/>
          <w:highlight w:val="none"/>
        </w:rPr>
      </w:pPr>
      <w:r>
        <w:rPr>
          <w:rFonts w:hint="eastAsia" w:hAnsi="宋体" w:cs="宋体"/>
          <w:b/>
          <w:bCs/>
          <w:color w:val="auto"/>
          <w:sz w:val="24"/>
          <w:szCs w:val="28"/>
          <w:highlight w:val="none"/>
        </w:rPr>
        <w:t>1、凡投标文件中所投货物或服务与招标文件有偏差的（包括正偏差，负偏差），均应在此表中详细列出并说明理由。第四部分技术要求须逐条应答。</w:t>
      </w:r>
    </w:p>
    <w:p w14:paraId="0B288EB2">
      <w:pPr>
        <w:pStyle w:val="322"/>
        <w:spacing w:line="360" w:lineRule="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2、投标人所投产品如与招标文件要求的规格及配置不一致，则须在上表偏离说明中详细注明。</w:t>
      </w:r>
    </w:p>
    <w:p w14:paraId="2DF70221">
      <w:pPr>
        <w:pStyle w:val="648"/>
        <w:jc w:val="center"/>
        <w:rPr>
          <w:rFonts w:hint="eastAsia" w:ascii="宋体" w:hAnsi="宋体" w:eastAsia="宋体" w:cs="宋体"/>
          <w:color w:val="auto"/>
          <w:highlight w:val="none"/>
        </w:rPr>
      </w:pPr>
    </w:p>
    <w:p w14:paraId="7819800E">
      <w:pPr>
        <w:pStyle w:val="648"/>
        <w:jc w:val="center"/>
        <w:rPr>
          <w:rFonts w:hint="eastAsia" w:ascii="宋体" w:hAnsi="宋体" w:eastAsia="宋体" w:cs="宋体"/>
          <w:color w:val="auto"/>
          <w:highlight w:val="none"/>
        </w:rPr>
      </w:pPr>
    </w:p>
    <w:p w14:paraId="055291A6">
      <w:pPr>
        <w:pStyle w:val="648"/>
        <w:jc w:val="center"/>
        <w:rPr>
          <w:rFonts w:hint="eastAsia" w:ascii="宋体" w:hAnsi="宋体" w:eastAsia="宋体" w:cs="宋体"/>
          <w:color w:val="auto"/>
          <w:highlight w:val="none"/>
        </w:rPr>
      </w:pPr>
    </w:p>
    <w:p w14:paraId="4BAA4AD2">
      <w:pPr>
        <w:pStyle w:val="648"/>
        <w:jc w:val="center"/>
        <w:rPr>
          <w:rFonts w:hint="eastAsia" w:ascii="宋体" w:hAnsi="宋体" w:eastAsia="宋体" w:cs="宋体"/>
          <w:color w:val="auto"/>
          <w:highlight w:val="none"/>
        </w:rPr>
      </w:pPr>
    </w:p>
    <w:p w14:paraId="5F0538FF">
      <w:pPr>
        <w:pStyle w:val="322"/>
        <w:jc w:val="center"/>
        <w:rPr>
          <w:rFonts w:hint="eastAsia" w:ascii="宋体" w:hAnsi="宋体" w:cs="宋体"/>
          <w:color w:val="auto"/>
          <w:sz w:val="32"/>
          <w:szCs w:val="32"/>
          <w:highlight w:val="none"/>
        </w:rPr>
      </w:pPr>
      <w:bookmarkStart w:id="171" w:name="_Toc3171_WPSOffice_Level2"/>
      <w:bookmarkStart w:id="172" w:name="_Toc199794518"/>
      <w:bookmarkStart w:id="173" w:name="_Toc9396"/>
      <w:bookmarkStart w:id="174" w:name="_Toc514054498"/>
      <w:r>
        <w:rPr>
          <w:rFonts w:hint="eastAsia" w:ascii="宋体" w:hAnsi="宋体" w:cs="宋体"/>
          <w:color w:val="auto"/>
          <w:sz w:val="32"/>
          <w:szCs w:val="32"/>
          <w:highlight w:val="none"/>
        </w:rPr>
        <w:t>（二）投标商务偏离表</w:t>
      </w:r>
      <w:bookmarkEnd w:id="171"/>
      <w:bookmarkEnd w:id="172"/>
      <w:bookmarkEnd w:id="173"/>
      <w:bookmarkEnd w:id="174"/>
    </w:p>
    <w:tbl>
      <w:tblPr>
        <w:tblStyle w:val="35"/>
        <w:tblW w:w="10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43"/>
        <w:gridCol w:w="2682"/>
        <w:gridCol w:w="2682"/>
        <w:gridCol w:w="1517"/>
      </w:tblGrid>
      <w:tr w14:paraId="58DA7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6687F40">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招标文件内容</w:t>
            </w:r>
          </w:p>
        </w:tc>
        <w:tc>
          <w:tcPr>
            <w:tcW w:w="2682" w:type="dxa"/>
            <w:vAlign w:val="center"/>
          </w:tcPr>
          <w:p w14:paraId="51E6BAAD">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投标文件内容</w:t>
            </w:r>
          </w:p>
        </w:tc>
        <w:tc>
          <w:tcPr>
            <w:tcW w:w="2682" w:type="dxa"/>
            <w:vAlign w:val="center"/>
          </w:tcPr>
          <w:p w14:paraId="1B94656D">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偏差内容及说明</w:t>
            </w:r>
          </w:p>
        </w:tc>
        <w:tc>
          <w:tcPr>
            <w:tcW w:w="1517" w:type="dxa"/>
            <w:vAlign w:val="center"/>
          </w:tcPr>
          <w:p w14:paraId="2703D3A0">
            <w:pPr>
              <w:pStyle w:val="322"/>
              <w:widowControl/>
              <w:spacing w:before="100" w:beforeAutospacing="1"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页码</w:t>
            </w:r>
          </w:p>
        </w:tc>
      </w:tr>
      <w:tr w14:paraId="44E29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4F19B982">
            <w:pPr>
              <w:pStyle w:val="322"/>
              <w:spacing w:line="560" w:lineRule="exact"/>
              <w:jc w:val="center"/>
              <w:rPr>
                <w:rFonts w:hint="eastAsia" w:ascii="宋体" w:hAnsi="宋体" w:cs="宋体"/>
                <w:color w:val="auto"/>
                <w:sz w:val="24"/>
                <w:highlight w:val="none"/>
              </w:rPr>
            </w:pPr>
          </w:p>
        </w:tc>
        <w:tc>
          <w:tcPr>
            <w:tcW w:w="2682" w:type="dxa"/>
            <w:vAlign w:val="center"/>
          </w:tcPr>
          <w:p w14:paraId="28EE8B1E">
            <w:pPr>
              <w:pStyle w:val="322"/>
              <w:spacing w:line="560" w:lineRule="exact"/>
              <w:jc w:val="center"/>
              <w:rPr>
                <w:rFonts w:hint="eastAsia" w:ascii="宋体" w:hAnsi="宋体" w:cs="宋体"/>
                <w:color w:val="auto"/>
                <w:sz w:val="24"/>
                <w:highlight w:val="none"/>
              </w:rPr>
            </w:pPr>
          </w:p>
        </w:tc>
        <w:tc>
          <w:tcPr>
            <w:tcW w:w="2682" w:type="dxa"/>
            <w:vAlign w:val="center"/>
          </w:tcPr>
          <w:p w14:paraId="625BBE09">
            <w:pPr>
              <w:pStyle w:val="322"/>
              <w:spacing w:line="560" w:lineRule="exact"/>
              <w:jc w:val="center"/>
              <w:rPr>
                <w:rFonts w:hint="eastAsia" w:ascii="宋体" w:hAnsi="宋体" w:cs="宋体"/>
                <w:color w:val="auto"/>
                <w:sz w:val="24"/>
                <w:highlight w:val="none"/>
              </w:rPr>
            </w:pPr>
          </w:p>
        </w:tc>
        <w:tc>
          <w:tcPr>
            <w:tcW w:w="1517" w:type="dxa"/>
            <w:vAlign w:val="center"/>
          </w:tcPr>
          <w:p w14:paraId="74964BB0">
            <w:pPr>
              <w:pStyle w:val="322"/>
              <w:spacing w:line="560" w:lineRule="exact"/>
              <w:jc w:val="center"/>
              <w:rPr>
                <w:rFonts w:hint="eastAsia" w:ascii="宋体" w:hAnsi="宋体" w:cs="宋体"/>
                <w:color w:val="auto"/>
                <w:sz w:val="24"/>
                <w:highlight w:val="none"/>
              </w:rPr>
            </w:pPr>
          </w:p>
        </w:tc>
      </w:tr>
      <w:tr w14:paraId="61CD3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440BA4E5">
            <w:pPr>
              <w:pStyle w:val="322"/>
              <w:spacing w:line="560" w:lineRule="exact"/>
              <w:jc w:val="center"/>
              <w:rPr>
                <w:rFonts w:hint="eastAsia" w:ascii="宋体" w:hAnsi="宋体" w:cs="宋体"/>
                <w:color w:val="auto"/>
                <w:sz w:val="24"/>
                <w:highlight w:val="none"/>
              </w:rPr>
            </w:pPr>
          </w:p>
        </w:tc>
        <w:tc>
          <w:tcPr>
            <w:tcW w:w="2682" w:type="dxa"/>
            <w:vAlign w:val="center"/>
          </w:tcPr>
          <w:p w14:paraId="0DC1AB2E">
            <w:pPr>
              <w:pStyle w:val="322"/>
              <w:spacing w:line="560" w:lineRule="exact"/>
              <w:jc w:val="center"/>
              <w:rPr>
                <w:rFonts w:hint="eastAsia" w:ascii="宋体" w:hAnsi="宋体" w:cs="宋体"/>
                <w:color w:val="auto"/>
                <w:sz w:val="24"/>
                <w:highlight w:val="none"/>
              </w:rPr>
            </w:pPr>
          </w:p>
        </w:tc>
        <w:tc>
          <w:tcPr>
            <w:tcW w:w="2682" w:type="dxa"/>
            <w:vAlign w:val="center"/>
          </w:tcPr>
          <w:p w14:paraId="59D0A9D9">
            <w:pPr>
              <w:pStyle w:val="322"/>
              <w:spacing w:line="560" w:lineRule="exact"/>
              <w:jc w:val="center"/>
              <w:rPr>
                <w:rFonts w:hint="eastAsia" w:ascii="宋体" w:hAnsi="宋体" w:cs="宋体"/>
                <w:color w:val="auto"/>
                <w:sz w:val="24"/>
                <w:highlight w:val="none"/>
              </w:rPr>
            </w:pPr>
          </w:p>
        </w:tc>
        <w:tc>
          <w:tcPr>
            <w:tcW w:w="1517" w:type="dxa"/>
            <w:vAlign w:val="center"/>
          </w:tcPr>
          <w:p w14:paraId="3510D521">
            <w:pPr>
              <w:pStyle w:val="322"/>
              <w:spacing w:line="560" w:lineRule="exact"/>
              <w:jc w:val="center"/>
              <w:rPr>
                <w:rFonts w:hint="eastAsia" w:ascii="宋体" w:hAnsi="宋体" w:cs="宋体"/>
                <w:color w:val="auto"/>
                <w:sz w:val="24"/>
                <w:highlight w:val="none"/>
              </w:rPr>
            </w:pPr>
          </w:p>
        </w:tc>
      </w:tr>
      <w:tr w14:paraId="37B0C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17DE8B73">
            <w:pPr>
              <w:pStyle w:val="322"/>
              <w:spacing w:line="560" w:lineRule="exact"/>
              <w:jc w:val="center"/>
              <w:rPr>
                <w:rFonts w:hint="eastAsia" w:ascii="宋体" w:hAnsi="宋体" w:cs="宋体"/>
                <w:color w:val="auto"/>
                <w:sz w:val="24"/>
                <w:highlight w:val="none"/>
              </w:rPr>
            </w:pPr>
          </w:p>
        </w:tc>
        <w:tc>
          <w:tcPr>
            <w:tcW w:w="2682" w:type="dxa"/>
            <w:vAlign w:val="center"/>
          </w:tcPr>
          <w:p w14:paraId="4F986D34">
            <w:pPr>
              <w:pStyle w:val="322"/>
              <w:spacing w:line="560" w:lineRule="exact"/>
              <w:jc w:val="center"/>
              <w:rPr>
                <w:rFonts w:hint="eastAsia" w:ascii="宋体" w:hAnsi="宋体" w:cs="宋体"/>
                <w:color w:val="auto"/>
                <w:sz w:val="24"/>
                <w:highlight w:val="none"/>
              </w:rPr>
            </w:pPr>
          </w:p>
        </w:tc>
        <w:tc>
          <w:tcPr>
            <w:tcW w:w="2682" w:type="dxa"/>
            <w:vAlign w:val="center"/>
          </w:tcPr>
          <w:p w14:paraId="25A24719">
            <w:pPr>
              <w:pStyle w:val="322"/>
              <w:spacing w:line="560" w:lineRule="exact"/>
              <w:jc w:val="center"/>
              <w:rPr>
                <w:rFonts w:hint="eastAsia" w:ascii="宋体" w:hAnsi="宋体" w:cs="宋体"/>
                <w:color w:val="auto"/>
                <w:sz w:val="24"/>
                <w:highlight w:val="none"/>
              </w:rPr>
            </w:pPr>
          </w:p>
        </w:tc>
        <w:tc>
          <w:tcPr>
            <w:tcW w:w="1517" w:type="dxa"/>
            <w:vAlign w:val="center"/>
          </w:tcPr>
          <w:p w14:paraId="5D8E5070">
            <w:pPr>
              <w:pStyle w:val="322"/>
              <w:spacing w:line="560" w:lineRule="exact"/>
              <w:jc w:val="center"/>
              <w:rPr>
                <w:rFonts w:hint="eastAsia" w:ascii="宋体" w:hAnsi="宋体" w:cs="宋体"/>
                <w:color w:val="auto"/>
                <w:sz w:val="24"/>
                <w:highlight w:val="none"/>
              </w:rPr>
            </w:pPr>
          </w:p>
        </w:tc>
      </w:tr>
      <w:tr w14:paraId="78764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13F6B19A">
            <w:pPr>
              <w:pStyle w:val="322"/>
              <w:spacing w:line="560" w:lineRule="exact"/>
              <w:jc w:val="center"/>
              <w:rPr>
                <w:rFonts w:hint="eastAsia" w:ascii="宋体" w:hAnsi="宋体" w:cs="宋体"/>
                <w:color w:val="auto"/>
                <w:sz w:val="24"/>
                <w:highlight w:val="none"/>
              </w:rPr>
            </w:pPr>
          </w:p>
        </w:tc>
        <w:tc>
          <w:tcPr>
            <w:tcW w:w="2682" w:type="dxa"/>
            <w:vAlign w:val="center"/>
          </w:tcPr>
          <w:p w14:paraId="7A081A7D">
            <w:pPr>
              <w:pStyle w:val="322"/>
              <w:spacing w:line="560" w:lineRule="exact"/>
              <w:jc w:val="center"/>
              <w:rPr>
                <w:rFonts w:hint="eastAsia" w:ascii="宋体" w:hAnsi="宋体" w:cs="宋体"/>
                <w:color w:val="auto"/>
                <w:sz w:val="24"/>
                <w:highlight w:val="none"/>
              </w:rPr>
            </w:pPr>
          </w:p>
        </w:tc>
        <w:tc>
          <w:tcPr>
            <w:tcW w:w="2682" w:type="dxa"/>
            <w:vAlign w:val="center"/>
          </w:tcPr>
          <w:p w14:paraId="23ED1A6F">
            <w:pPr>
              <w:pStyle w:val="322"/>
              <w:spacing w:line="560" w:lineRule="exact"/>
              <w:jc w:val="center"/>
              <w:rPr>
                <w:rFonts w:hint="eastAsia" w:ascii="宋体" w:hAnsi="宋体" w:cs="宋体"/>
                <w:color w:val="auto"/>
                <w:sz w:val="24"/>
                <w:highlight w:val="none"/>
              </w:rPr>
            </w:pPr>
          </w:p>
        </w:tc>
        <w:tc>
          <w:tcPr>
            <w:tcW w:w="1517" w:type="dxa"/>
            <w:vAlign w:val="center"/>
          </w:tcPr>
          <w:p w14:paraId="5A1BD2E3">
            <w:pPr>
              <w:pStyle w:val="322"/>
              <w:spacing w:line="560" w:lineRule="exact"/>
              <w:jc w:val="center"/>
              <w:rPr>
                <w:rFonts w:hint="eastAsia" w:ascii="宋体" w:hAnsi="宋体" w:cs="宋体"/>
                <w:color w:val="auto"/>
                <w:sz w:val="24"/>
                <w:highlight w:val="none"/>
              </w:rPr>
            </w:pPr>
          </w:p>
        </w:tc>
      </w:tr>
      <w:tr w14:paraId="4DF5C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BCEFDA6">
            <w:pPr>
              <w:pStyle w:val="322"/>
              <w:spacing w:line="560" w:lineRule="exact"/>
              <w:jc w:val="center"/>
              <w:rPr>
                <w:rFonts w:hint="eastAsia" w:ascii="宋体" w:hAnsi="宋体" w:cs="宋体"/>
                <w:color w:val="auto"/>
                <w:sz w:val="24"/>
                <w:highlight w:val="none"/>
              </w:rPr>
            </w:pPr>
          </w:p>
        </w:tc>
        <w:tc>
          <w:tcPr>
            <w:tcW w:w="2682" w:type="dxa"/>
            <w:vAlign w:val="center"/>
          </w:tcPr>
          <w:p w14:paraId="7EE5A8AF">
            <w:pPr>
              <w:pStyle w:val="322"/>
              <w:spacing w:line="560" w:lineRule="exact"/>
              <w:jc w:val="center"/>
              <w:rPr>
                <w:rFonts w:hint="eastAsia" w:ascii="宋体" w:hAnsi="宋体" w:cs="宋体"/>
                <w:color w:val="auto"/>
                <w:sz w:val="24"/>
                <w:highlight w:val="none"/>
              </w:rPr>
            </w:pPr>
          </w:p>
        </w:tc>
        <w:tc>
          <w:tcPr>
            <w:tcW w:w="2682" w:type="dxa"/>
            <w:vAlign w:val="center"/>
          </w:tcPr>
          <w:p w14:paraId="4B854A9E">
            <w:pPr>
              <w:pStyle w:val="322"/>
              <w:spacing w:line="560" w:lineRule="exact"/>
              <w:jc w:val="center"/>
              <w:rPr>
                <w:rFonts w:hint="eastAsia" w:ascii="宋体" w:hAnsi="宋体" w:cs="宋体"/>
                <w:color w:val="auto"/>
                <w:sz w:val="24"/>
                <w:highlight w:val="none"/>
              </w:rPr>
            </w:pPr>
          </w:p>
        </w:tc>
        <w:tc>
          <w:tcPr>
            <w:tcW w:w="1517" w:type="dxa"/>
            <w:vAlign w:val="center"/>
          </w:tcPr>
          <w:p w14:paraId="538C71C7">
            <w:pPr>
              <w:pStyle w:val="322"/>
              <w:spacing w:line="560" w:lineRule="exact"/>
              <w:jc w:val="center"/>
              <w:rPr>
                <w:rFonts w:hint="eastAsia" w:ascii="宋体" w:hAnsi="宋体" w:cs="宋体"/>
                <w:color w:val="auto"/>
                <w:sz w:val="24"/>
                <w:highlight w:val="none"/>
              </w:rPr>
            </w:pPr>
          </w:p>
        </w:tc>
      </w:tr>
      <w:tr w14:paraId="01F97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9A35E4D">
            <w:pPr>
              <w:pStyle w:val="322"/>
              <w:spacing w:line="560" w:lineRule="exact"/>
              <w:jc w:val="center"/>
              <w:rPr>
                <w:rFonts w:hint="eastAsia" w:ascii="宋体" w:hAnsi="宋体" w:cs="宋体"/>
                <w:color w:val="auto"/>
                <w:sz w:val="24"/>
                <w:highlight w:val="none"/>
              </w:rPr>
            </w:pPr>
          </w:p>
        </w:tc>
        <w:tc>
          <w:tcPr>
            <w:tcW w:w="2682" w:type="dxa"/>
            <w:vAlign w:val="center"/>
          </w:tcPr>
          <w:p w14:paraId="3B65A8E8">
            <w:pPr>
              <w:pStyle w:val="322"/>
              <w:spacing w:line="560" w:lineRule="exact"/>
              <w:jc w:val="center"/>
              <w:rPr>
                <w:rFonts w:hint="eastAsia" w:ascii="宋体" w:hAnsi="宋体" w:cs="宋体"/>
                <w:color w:val="auto"/>
                <w:sz w:val="24"/>
                <w:highlight w:val="none"/>
              </w:rPr>
            </w:pPr>
          </w:p>
        </w:tc>
        <w:tc>
          <w:tcPr>
            <w:tcW w:w="2682" w:type="dxa"/>
            <w:vAlign w:val="center"/>
          </w:tcPr>
          <w:p w14:paraId="460DAC90">
            <w:pPr>
              <w:pStyle w:val="322"/>
              <w:spacing w:line="560" w:lineRule="exact"/>
              <w:jc w:val="center"/>
              <w:rPr>
                <w:rFonts w:hint="eastAsia" w:ascii="宋体" w:hAnsi="宋体" w:cs="宋体"/>
                <w:color w:val="auto"/>
                <w:sz w:val="24"/>
                <w:highlight w:val="none"/>
              </w:rPr>
            </w:pPr>
          </w:p>
        </w:tc>
        <w:tc>
          <w:tcPr>
            <w:tcW w:w="1517" w:type="dxa"/>
            <w:vAlign w:val="center"/>
          </w:tcPr>
          <w:p w14:paraId="15A1F9D0">
            <w:pPr>
              <w:pStyle w:val="322"/>
              <w:spacing w:line="560" w:lineRule="exact"/>
              <w:jc w:val="center"/>
              <w:rPr>
                <w:rFonts w:hint="eastAsia" w:ascii="宋体" w:hAnsi="宋体" w:cs="宋体"/>
                <w:color w:val="auto"/>
                <w:sz w:val="24"/>
                <w:highlight w:val="none"/>
              </w:rPr>
            </w:pPr>
          </w:p>
        </w:tc>
      </w:tr>
      <w:tr w14:paraId="4B8772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5969A3A4">
            <w:pPr>
              <w:pStyle w:val="322"/>
              <w:spacing w:line="560" w:lineRule="exact"/>
              <w:jc w:val="center"/>
              <w:rPr>
                <w:rFonts w:hint="eastAsia" w:ascii="宋体" w:hAnsi="宋体" w:cs="宋体"/>
                <w:color w:val="auto"/>
                <w:sz w:val="24"/>
                <w:highlight w:val="none"/>
              </w:rPr>
            </w:pPr>
          </w:p>
        </w:tc>
        <w:tc>
          <w:tcPr>
            <w:tcW w:w="2682" w:type="dxa"/>
            <w:vAlign w:val="center"/>
          </w:tcPr>
          <w:p w14:paraId="44B7C0BE">
            <w:pPr>
              <w:pStyle w:val="322"/>
              <w:spacing w:line="560" w:lineRule="exact"/>
              <w:jc w:val="center"/>
              <w:rPr>
                <w:rFonts w:hint="eastAsia" w:ascii="宋体" w:hAnsi="宋体" w:cs="宋体"/>
                <w:color w:val="auto"/>
                <w:sz w:val="24"/>
                <w:highlight w:val="none"/>
              </w:rPr>
            </w:pPr>
          </w:p>
        </w:tc>
        <w:tc>
          <w:tcPr>
            <w:tcW w:w="2682" w:type="dxa"/>
            <w:vAlign w:val="center"/>
          </w:tcPr>
          <w:p w14:paraId="586A14A9">
            <w:pPr>
              <w:pStyle w:val="322"/>
              <w:spacing w:line="560" w:lineRule="exact"/>
              <w:jc w:val="center"/>
              <w:rPr>
                <w:rFonts w:hint="eastAsia" w:ascii="宋体" w:hAnsi="宋体" w:cs="宋体"/>
                <w:color w:val="auto"/>
                <w:sz w:val="24"/>
                <w:highlight w:val="none"/>
              </w:rPr>
            </w:pPr>
          </w:p>
        </w:tc>
        <w:tc>
          <w:tcPr>
            <w:tcW w:w="1517" w:type="dxa"/>
            <w:vAlign w:val="center"/>
          </w:tcPr>
          <w:p w14:paraId="78A776DA">
            <w:pPr>
              <w:pStyle w:val="322"/>
              <w:spacing w:line="560" w:lineRule="exact"/>
              <w:jc w:val="center"/>
              <w:rPr>
                <w:rFonts w:hint="eastAsia" w:ascii="宋体" w:hAnsi="宋体" w:cs="宋体"/>
                <w:color w:val="auto"/>
                <w:sz w:val="24"/>
                <w:highlight w:val="none"/>
              </w:rPr>
            </w:pPr>
          </w:p>
        </w:tc>
      </w:tr>
      <w:tr w14:paraId="3A0EFA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264AC6DC">
            <w:pPr>
              <w:pStyle w:val="322"/>
              <w:spacing w:line="560" w:lineRule="exact"/>
              <w:jc w:val="center"/>
              <w:rPr>
                <w:rFonts w:hint="eastAsia" w:ascii="宋体" w:hAnsi="宋体" w:cs="宋体"/>
                <w:color w:val="auto"/>
                <w:sz w:val="24"/>
                <w:highlight w:val="none"/>
              </w:rPr>
            </w:pPr>
          </w:p>
        </w:tc>
        <w:tc>
          <w:tcPr>
            <w:tcW w:w="2682" w:type="dxa"/>
            <w:vAlign w:val="center"/>
          </w:tcPr>
          <w:p w14:paraId="1DBBB0DA">
            <w:pPr>
              <w:pStyle w:val="322"/>
              <w:spacing w:line="560" w:lineRule="exact"/>
              <w:jc w:val="center"/>
              <w:rPr>
                <w:rFonts w:hint="eastAsia" w:ascii="宋体" w:hAnsi="宋体" w:cs="宋体"/>
                <w:color w:val="auto"/>
                <w:sz w:val="24"/>
                <w:highlight w:val="none"/>
              </w:rPr>
            </w:pPr>
          </w:p>
        </w:tc>
        <w:tc>
          <w:tcPr>
            <w:tcW w:w="2682" w:type="dxa"/>
            <w:vAlign w:val="center"/>
          </w:tcPr>
          <w:p w14:paraId="447C673F">
            <w:pPr>
              <w:pStyle w:val="322"/>
              <w:spacing w:line="560" w:lineRule="exact"/>
              <w:jc w:val="center"/>
              <w:rPr>
                <w:rFonts w:hint="eastAsia" w:ascii="宋体" w:hAnsi="宋体" w:cs="宋体"/>
                <w:color w:val="auto"/>
                <w:sz w:val="24"/>
                <w:highlight w:val="none"/>
              </w:rPr>
            </w:pPr>
          </w:p>
        </w:tc>
        <w:tc>
          <w:tcPr>
            <w:tcW w:w="1517" w:type="dxa"/>
            <w:vAlign w:val="center"/>
          </w:tcPr>
          <w:p w14:paraId="7391C3BC">
            <w:pPr>
              <w:pStyle w:val="322"/>
              <w:spacing w:line="560" w:lineRule="exact"/>
              <w:jc w:val="center"/>
              <w:rPr>
                <w:rFonts w:hint="eastAsia" w:ascii="宋体" w:hAnsi="宋体" w:cs="宋体"/>
                <w:color w:val="auto"/>
                <w:sz w:val="24"/>
                <w:highlight w:val="none"/>
              </w:rPr>
            </w:pPr>
          </w:p>
        </w:tc>
      </w:tr>
      <w:tr w14:paraId="69201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6B9BE78A">
            <w:pPr>
              <w:pStyle w:val="322"/>
              <w:spacing w:line="560" w:lineRule="exact"/>
              <w:jc w:val="center"/>
              <w:rPr>
                <w:rFonts w:hint="eastAsia" w:ascii="宋体" w:hAnsi="宋体" w:cs="宋体"/>
                <w:color w:val="auto"/>
                <w:sz w:val="24"/>
                <w:highlight w:val="none"/>
              </w:rPr>
            </w:pPr>
          </w:p>
        </w:tc>
        <w:tc>
          <w:tcPr>
            <w:tcW w:w="2682" w:type="dxa"/>
            <w:vAlign w:val="center"/>
          </w:tcPr>
          <w:p w14:paraId="570E8E05">
            <w:pPr>
              <w:pStyle w:val="322"/>
              <w:spacing w:line="560" w:lineRule="exact"/>
              <w:jc w:val="center"/>
              <w:rPr>
                <w:rFonts w:hint="eastAsia" w:ascii="宋体" w:hAnsi="宋体" w:cs="宋体"/>
                <w:color w:val="auto"/>
                <w:sz w:val="24"/>
                <w:highlight w:val="none"/>
              </w:rPr>
            </w:pPr>
          </w:p>
        </w:tc>
        <w:tc>
          <w:tcPr>
            <w:tcW w:w="2682" w:type="dxa"/>
            <w:vAlign w:val="center"/>
          </w:tcPr>
          <w:p w14:paraId="646B3D71">
            <w:pPr>
              <w:pStyle w:val="322"/>
              <w:spacing w:line="560" w:lineRule="exact"/>
              <w:jc w:val="center"/>
              <w:rPr>
                <w:rFonts w:hint="eastAsia" w:ascii="宋体" w:hAnsi="宋体" w:cs="宋体"/>
                <w:color w:val="auto"/>
                <w:sz w:val="24"/>
                <w:highlight w:val="none"/>
              </w:rPr>
            </w:pPr>
          </w:p>
        </w:tc>
        <w:tc>
          <w:tcPr>
            <w:tcW w:w="1517" w:type="dxa"/>
            <w:vAlign w:val="center"/>
          </w:tcPr>
          <w:p w14:paraId="0120F9E9">
            <w:pPr>
              <w:pStyle w:val="322"/>
              <w:spacing w:line="560" w:lineRule="exact"/>
              <w:jc w:val="center"/>
              <w:rPr>
                <w:rFonts w:hint="eastAsia" w:ascii="宋体" w:hAnsi="宋体" w:cs="宋体"/>
                <w:color w:val="auto"/>
                <w:sz w:val="24"/>
                <w:highlight w:val="none"/>
              </w:rPr>
            </w:pPr>
          </w:p>
        </w:tc>
      </w:tr>
      <w:tr w14:paraId="52502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jc w:val="center"/>
        </w:trPr>
        <w:tc>
          <w:tcPr>
            <w:tcW w:w="3143" w:type="dxa"/>
            <w:vAlign w:val="center"/>
          </w:tcPr>
          <w:p w14:paraId="0FD20F32">
            <w:pPr>
              <w:pStyle w:val="322"/>
              <w:spacing w:line="560" w:lineRule="exact"/>
              <w:jc w:val="center"/>
              <w:rPr>
                <w:rFonts w:hint="eastAsia" w:ascii="宋体" w:hAnsi="宋体" w:cs="宋体"/>
                <w:color w:val="auto"/>
                <w:sz w:val="24"/>
                <w:highlight w:val="none"/>
              </w:rPr>
            </w:pPr>
          </w:p>
        </w:tc>
        <w:tc>
          <w:tcPr>
            <w:tcW w:w="2682" w:type="dxa"/>
            <w:vAlign w:val="center"/>
          </w:tcPr>
          <w:p w14:paraId="089DA638">
            <w:pPr>
              <w:pStyle w:val="322"/>
              <w:spacing w:line="560" w:lineRule="exact"/>
              <w:jc w:val="center"/>
              <w:rPr>
                <w:rFonts w:hint="eastAsia" w:ascii="宋体" w:hAnsi="宋体" w:cs="宋体"/>
                <w:color w:val="auto"/>
                <w:sz w:val="24"/>
                <w:highlight w:val="none"/>
              </w:rPr>
            </w:pPr>
          </w:p>
        </w:tc>
        <w:tc>
          <w:tcPr>
            <w:tcW w:w="2682" w:type="dxa"/>
            <w:vAlign w:val="center"/>
          </w:tcPr>
          <w:p w14:paraId="22FE5689">
            <w:pPr>
              <w:pStyle w:val="322"/>
              <w:spacing w:line="560" w:lineRule="exact"/>
              <w:jc w:val="center"/>
              <w:rPr>
                <w:rFonts w:hint="eastAsia" w:ascii="宋体" w:hAnsi="宋体" w:cs="宋体"/>
                <w:color w:val="auto"/>
                <w:sz w:val="24"/>
                <w:highlight w:val="none"/>
              </w:rPr>
            </w:pPr>
          </w:p>
        </w:tc>
        <w:tc>
          <w:tcPr>
            <w:tcW w:w="1517" w:type="dxa"/>
            <w:vAlign w:val="center"/>
          </w:tcPr>
          <w:p w14:paraId="124A9559">
            <w:pPr>
              <w:pStyle w:val="322"/>
              <w:spacing w:line="560" w:lineRule="exact"/>
              <w:jc w:val="center"/>
              <w:rPr>
                <w:rFonts w:hint="eastAsia" w:ascii="宋体" w:hAnsi="宋体" w:cs="宋体"/>
                <w:color w:val="auto"/>
                <w:sz w:val="24"/>
                <w:highlight w:val="none"/>
              </w:rPr>
            </w:pPr>
          </w:p>
        </w:tc>
      </w:tr>
    </w:tbl>
    <w:p w14:paraId="67F75F56">
      <w:pPr>
        <w:pStyle w:val="286"/>
        <w:ind w:firstLine="480"/>
        <w:jc w:val="both"/>
        <w:rPr>
          <w:rFonts w:hint="eastAsia" w:hAnsi="宋体" w:cs="宋体"/>
          <w:color w:val="auto"/>
          <w:highlight w:val="none"/>
        </w:rPr>
      </w:pPr>
      <w:r>
        <w:rPr>
          <w:rFonts w:hint="eastAsia" w:hAnsi="宋体" w:cs="宋体"/>
          <w:color w:val="auto"/>
          <w:highlight w:val="none"/>
        </w:rPr>
        <w:t>单位名称：（盖章）</w:t>
      </w:r>
      <w:r>
        <w:rPr>
          <w:rFonts w:hint="eastAsia" w:hAnsi="宋体" w:cs="宋体"/>
          <w:color w:val="auto"/>
          <w:highlight w:val="none"/>
          <w:u w:val="single"/>
        </w:rPr>
        <w:t xml:space="preserve">       </w:t>
      </w:r>
    </w:p>
    <w:p w14:paraId="18114DDF">
      <w:pPr>
        <w:pStyle w:val="383"/>
        <w:spacing w:line="700" w:lineRule="exact"/>
        <w:ind w:firstLine="629"/>
        <w:rPr>
          <w:rFonts w:hint="eastAsia" w:ascii="宋体" w:hAnsi="宋体" w:cs="宋体"/>
          <w:color w:val="auto"/>
          <w:sz w:val="24"/>
          <w:highlight w:val="none"/>
          <w:u w:val="single"/>
        </w:rPr>
      </w:pPr>
      <w:r>
        <w:rPr>
          <w:rFonts w:hint="eastAsia" w:ascii="宋体" w:hAnsi="宋体" w:cs="宋体"/>
          <w:color w:val="auto"/>
          <w:sz w:val="24"/>
          <w:highlight w:val="none"/>
        </w:rPr>
        <w:t>法定代表人（或授权代表）：（签字或签章）</w:t>
      </w:r>
      <w:r>
        <w:rPr>
          <w:rFonts w:hint="eastAsia" w:ascii="宋体" w:hAnsi="宋体" w:cs="宋体"/>
          <w:color w:val="auto"/>
          <w:sz w:val="24"/>
          <w:highlight w:val="none"/>
          <w:u w:val="single"/>
        </w:rPr>
        <w:t xml:space="preserve">              </w:t>
      </w:r>
    </w:p>
    <w:p w14:paraId="6AE51F81">
      <w:pPr>
        <w:pStyle w:val="383"/>
        <w:spacing w:line="700" w:lineRule="exact"/>
        <w:ind w:firstLine="629"/>
        <w:rPr>
          <w:rFonts w:hint="eastAsia" w:ascii="宋体" w:hAnsi="宋体" w:cs="宋体"/>
          <w:color w:val="auto"/>
          <w:sz w:val="24"/>
          <w:highlight w:val="none"/>
          <w:u w:val="single"/>
        </w:rPr>
      </w:pPr>
    </w:p>
    <w:p w14:paraId="72F67A3E">
      <w:pPr>
        <w:pStyle w:val="322"/>
        <w:numPr>
          <w:ilvl w:val="0"/>
          <w:numId w:val="13"/>
        </w:numPr>
        <w:spacing w:line="360" w:lineRule="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投标人商务条件如与招标文件要求的不一致，则须在上表偏离说明中详细注明。</w:t>
      </w:r>
    </w:p>
    <w:p w14:paraId="74BC8964">
      <w:pPr>
        <w:pStyle w:val="322"/>
        <w:numPr>
          <w:ilvl w:val="0"/>
          <w:numId w:val="13"/>
        </w:numPr>
        <w:spacing w:line="360" w:lineRule="auto"/>
        <w:rPr>
          <w:rFonts w:hint="eastAsia" w:ascii="宋体" w:hAnsi="宋体" w:cs="宋体"/>
          <w:b/>
          <w:bCs/>
          <w:color w:val="auto"/>
          <w:sz w:val="24"/>
          <w:szCs w:val="28"/>
          <w:highlight w:val="none"/>
        </w:rPr>
      </w:pPr>
      <w:r>
        <w:rPr>
          <w:rFonts w:hint="eastAsia" w:ascii="宋体" w:hAnsi="宋体" w:cs="宋体"/>
          <w:b/>
          <w:bCs/>
          <w:color w:val="auto"/>
          <w:sz w:val="24"/>
          <w:szCs w:val="28"/>
          <w:highlight w:val="none"/>
        </w:rPr>
        <w:t>注：本项目商务条款全部为实质性条款，负偏离视为无效文件。</w:t>
      </w:r>
    </w:p>
    <w:p w14:paraId="791BA54F">
      <w:pPr>
        <w:pStyle w:val="418"/>
        <w:outlineLvl w:val="1"/>
        <w:rPr>
          <w:rFonts w:hint="eastAsia" w:ascii="宋体" w:hAnsi="宋体" w:eastAsia="宋体" w:cs="宋体"/>
          <w:color w:val="auto"/>
          <w:highlight w:val="none"/>
        </w:rPr>
      </w:pPr>
      <w:bookmarkStart w:id="175" w:name="_Toc514054500"/>
      <w:r>
        <w:rPr>
          <w:rFonts w:hint="eastAsia" w:ascii="宋体" w:hAnsi="宋体" w:eastAsia="宋体" w:cs="宋体"/>
          <w:color w:val="auto"/>
          <w:highlight w:val="none"/>
        </w:rPr>
        <w:br w:type="page" w:clear="all"/>
      </w:r>
      <w:bookmarkEnd w:id="175"/>
      <w:bookmarkStart w:id="176" w:name="_Toc514054502"/>
      <w:bookmarkStart w:id="177" w:name="_Toc15828"/>
      <w:bookmarkStart w:id="178" w:name="_Toc199794521"/>
      <w:bookmarkStart w:id="179" w:name="_Toc25001_WPSOffice_Level2"/>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rPr>
        <w:t>、服务方案</w:t>
      </w:r>
      <w:bookmarkEnd w:id="176"/>
      <w:bookmarkEnd w:id="177"/>
      <w:bookmarkEnd w:id="178"/>
      <w:bookmarkEnd w:id="179"/>
    </w:p>
    <w:p w14:paraId="34A1C8CD">
      <w:pPr>
        <w:pStyle w:val="457"/>
        <w:spacing w:line="560" w:lineRule="exact"/>
        <w:jc w:val="center"/>
        <w:rPr>
          <w:rFonts w:hint="eastAsia" w:ascii="宋体" w:hAnsi="宋体" w:cs="宋体"/>
          <w:b/>
          <w:bCs/>
          <w:color w:val="auto"/>
          <w:sz w:val="32"/>
          <w:szCs w:val="32"/>
          <w:highlight w:val="none"/>
        </w:rPr>
      </w:pPr>
      <w:bookmarkStart w:id="180" w:name="_Toc2882_WPSOffice_Level2"/>
      <w:r>
        <w:rPr>
          <w:rFonts w:hint="eastAsia" w:ascii="宋体" w:hAnsi="宋体" w:cs="宋体"/>
          <w:b/>
          <w:bCs/>
          <w:color w:val="auto"/>
          <w:sz w:val="32"/>
          <w:szCs w:val="32"/>
          <w:highlight w:val="none"/>
        </w:rPr>
        <w:t>按照招标文件要求，格式自拟</w:t>
      </w:r>
      <w:bookmarkEnd w:id="180"/>
    </w:p>
    <w:p w14:paraId="3DA1391D">
      <w:pPr>
        <w:pStyle w:val="586"/>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81" w:name="_Toc199794522"/>
      <w:bookmarkStart w:id="182" w:name="_Toc5519"/>
      <w:bookmarkStart w:id="183" w:name="_Toc30208_WPSOffice_Level2"/>
      <w:bookmarkStart w:id="184" w:name="_Toc514054504"/>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四</w:t>
      </w:r>
      <w:r>
        <w:rPr>
          <w:rFonts w:hint="eastAsia" w:ascii="宋体" w:hAnsi="宋体" w:eastAsia="宋体" w:cs="宋体"/>
          <w:color w:val="auto"/>
          <w:highlight w:val="none"/>
        </w:rPr>
        <w:t>、投标人（或供货商、厂商）项目业绩一览表</w:t>
      </w:r>
      <w:bookmarkEnd w:id="181"/>
      <w:bookmarkEnd w:id="182"/>
      <w:bookmarkEnd w:id="183"/>
      <w:bookmarkEnd w:id="184"/>
    </w:p>
    <w:p w14:paraId="6D18E2CD">
      <w:pPr>
        <w:pStyle w:val="499"/>
        <w:jc w:val="center"/>
        <w:rPr>
          <w:rFonts w:hint="eastAsia" w:ascii="宋体" w:hAnsi="宋体" w:cs="宋体"/>
          <w:b/>
          <w:color w:val="auto"/>
          <w:sz w:val="32"/>
          <w:szCs w:val="32"/>
          <w:highlight w:val="none"/>
        </w:rPr>
      </w:pPr>
      <w:bookmarkStart w:id="185" w:name="_Toc10294_WPSOffice_Level2"/>
      <w:r>
        <w:rPr>
          <w:rFonts w:hint="eastAsia" w:ascii="宋体" w:hAnsi="宋体" w:cs="宋体"/>
          <w:b/>
          <w:color w:val="auto"/>
          <w:sz w:val="32"/>
          <w:szCs w:val="32"/>
          <w:highlight w:val="none"/>
        </w:rPr>
        <w:t>投标人（或供货商、厂商）项目业绩一览表</w:t>
      </w:r>
      <w:bookmarkEnd w:id="185"/>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BC97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6EC1C76F">
            <w:pPr>
              <w:pStyle w:val="539"/>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序号</w:t>
            </w:r>
          </w:p>
        </w:tc>
        <w:tc>
          <w:tcPr>
            <w:tcW w:w="3827" w:type="dxa"/>
            <w:vAlign w:val="center"/>
          </w:tcPr>
          <w:p w14:paraId="1B0CDBFF">
            <w:pPr>
              <w:pStyle w:val="539"/>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项目名称</w:t>
            </w:r>
          </w:p>
        </w:tc>
        <w:tc>
          <w:tcPr>
            <w:tcW w:w="2433" w:type="dxa"/>
            <w:vAlign w:val="center"/>
          </w:tcPr>
          <w:p w14:paraId="5760840D">
            <w:pPr>
              <w:pStyle w:val="539"/>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采购单位</w:t>
            </w:r>
          </w:p>
        </w:tc>
        <w:tc>
          <w:tcPr>
            <w:tcW w:w="1395" w:type="dxa"/>
            <w:vAlign w:val="center"/>
          </w:tcPr>
          <w:p w14:paraId="2CB6CC54">
            <w:pPr>
              <w:pStyle w:val="539"/>
              <w:spacing w:line="560" w:lineRule="exact"/>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合同金额</w:t>
            </w:r>
          </w:p>
        </w:tc>
      </w:tr>
      <w:tr w14:paraId="418C9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7A1AFEC4">
            <w:pPr>
              <w:pStyle w:val="539"/>
              <w:spacing w:line="560" w:lineRule="exact"/>
              <w:jc w:val="center"/>
              <w:rPr>
                <w:rFonts w:hint="eastAsia" w:ascii="宋体" w:hAnsi="宋体" w:cs="宋体"/>
                <w:color w:val="auto"/>
                <w:sz w:val="28"/>
                <w:highlight w:val="none"/>
              </w:rPr>
            </w:pPr>
          </w:p>
        </w:tc>
        <w:tc>
          <w:tcPr>
            <w:tcW w:w="3827" w:type="dxa"/>
            <w:vAlign w:val="center"/>
          </w:tcPr>
          <w:p w14:paraId="78ACAE65">
            <w:pPr>
              <w:pStyle w:val="539"/>
              <w:spacing w:line="560" w:lineRule="exact"/>
              <w:jc w:val="center"/>
              <w:rPr>
                <w:rFonts w:hint="eastAsia" w:ascii="宋体" w:hAnsi="宋体" w:cs="宋体"/>
                <w:color w:val="auto"/>
                <w:sz w:val="28"/>
                <w:highlight w:val="none"/>
              </w:rPr>
            </w:pPr>
          </w:p>
        </w:tc>
        <w:tc>
          <w:tcPr>
            <w:tcW w:w="2433" w:type="dxa"/>
            <w:vAlign w:val="center"/>
          </w:tcPr>
          <w:p w14:paraId="13AB4903">
            <w:pPr>
              <w:pStyle w:val="539"/>
              <w:spacing w:line="560" w:lineRule="exact"/>
              <w:jc w:val="center"/>
              <w:rPr>
                <w:rFonts w:hint="eastAsia" w:ascii="宋体" w:hAnsi="宋体" w:cs="宋体"/>
                <w:color w:val="auto"/>
                <w:sz w:val="28"/>
                <w:highlight w:val="none"/>
              </w:rPr>
            </w:pPr>
          </w:p>
        </w:tc>
        <w:tc>
          <w:tcPr>
            <w:tcW w:w="1395" w:type="dxa"/>
            <w:vAlign w:val="center"/>
          </w:tcPr>
          <w:p w14:paraId="2D1CB65B">
            <w:pPr>
              <w:pStyle w:val="539"/>
              <w:spacing w:line="560" w:lineRule="exact"/>
              <w:jc w:val="center"/>
              <w:rPr>
                <w:rFonts w:hint="eastAsia" w:ascii="宋体" w:hAnsi="宋体" w:cs="宋体"/>
                <w:color w:val="auto"/>
                <w:sz w:val="28"/>
                <w:highlight w:val="none"/>
              </w:rPr>
            </w:pPr>
          </w:p>
        </w:tc>
      </w:tr>
      <w:tr w14:paraId="4906A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49CBDEFA">
            <w:pPr>
              <w:pStyle w:val="539"/>
              <w:spacing w:line="560" w:lineRule="exact"/>
              <w:jc w:val="center"/>
              <w:rPr>
                <w:rFonts w:hint="eastAsia" w:ascii="宋体" w:hAnsi="宋体" w:cs="宋体"/>
                <w:color w:val="auto"/>
                <w:sz w:val="28"/>
                <w:highlight w:val="none"/>
              </w:rPr>
            </w:pPr>
          </w:p>
        </w:tc>
        <w:tc>
          <w:tcPr>
            <w:tcW w:w="3827" w:type="dxa"/>
            <w:vAlign w:val="center"/>
          </w:tcPr>
          <w:p w14:paraId="2D35FAA2">
            <w:pPr>
              <w:pStyle w:val="539"/>
              <w:spacing w:line="560" w:lineRule="exact"/>
              <w:jc w:val="center"/>
              <w:rPr>
                <w:rFonts w:hint="eastAsia" w:ascii="宋体" w:hAnsi="宋体" w:cs="宋体"/>
                <w:color w:val="auto"/>
                <w:sz w:val="28"/>
                <w:highlight w:val="none"/>
              </w:rPr>
            </w:pPr>
          </w:p>
        </w:tc>
        <w:tc>
          <w:tcPr>
            <w:tcW w:w="2433" w:type="dxa"/>
            <w:vAlign w:val="center"/>
          </w:tcPr>
          <w:p w14:paraId="0ADCDC37">
            <w:pPr>
              <w:pStyle w:val="539"/>
              <w:spacing w:line="560" w:lineRule="exact"/>
              <w:jc w:val="center"/>
              <w:rPr>
                <w:rFonts w:hint="eastAsia" w:ascii="宋体" w:hAnsi="宋体" w:cs="宋体"/>
                <w:color w:val="auto"/>
                <w:sz w:val="28"/>
                <w:highlight w:val="none"/>
              </w:rPr>
            </w:pPr>
          </w:p>
        </w:tc>
        <w:tc>
          <w:tcPr>
            <w:tcW w:w="1395" w:type="dxa"/>
            <w:vAlign w:val="center"/>
          </w:tcPr>
          <w:p w14:paraId="55F8E8C5">
            <w:pPr>
              <w:pStyle w:val="539"/>
              <w:spacing w:line="560" w:lineRule="exact"/>
              <w:jc w:val="center"/>
              <w:rPr>
                <w:rFonts w:hint="eastAsia" w:ascii="宋体" w:hAnsi="宋体" w:cs="宋体"/>
                <w:color w:val="auto"/>
                <w:sz w:val="28"/>
                <w:highlight w:val="none"/>
              </w:rPr>
            </w:pPr>
          </w:p>
        </w:tc>
      </w:tr>
      <w:tr w14:paraId="28160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208D443B">
            <w:pPr>
              <w:pStyle w:val="539"/>
              <w:spacing w:line="560" w:lineRule="exact"/>
              <w:jc w:val="center"/>
              <w:rPr>
                <w:rFonts w:hint="eastAsia" w:ascii="宋体" w:hAnsi="宋体" w:cs="宋体"/>
                <w:color w:val="auto"/>
                <w:sz w:val="28"/>
                <w:highlight w:val="none"/>
              </w:rPr>
            </w:pPr>
          </w:p>
        </w:tc>
        <w:tc>
          <w:tcPr>
            <w:tcW w:w="3827" w:type="dxa"/>
            <w:vAlign w:val="center"/>
          </w:tcPr>
          <w:p w14:paraId="667F4580">
            <w:pPr>
              <w:pStyle w:val="539"/>
              <w:spacing w:line="560" w:lineRule="exact"/>
              <w:jc w:val="center"/>
              <w:rPr>
                <w:rFonts w:hint="eastAsia" w:ascii="宋体" w:hAnsi="宋体" w:cs="宋体"/>
                <w:color w:val="auto"/>
                <w:sz w:val="28"/>
                <w:highlight w:val="none"/>
              </w:rPr>
            </w:pPr>
          </w:p>
        </w:tc>
        <w:tc>
          <w:tcPr>
            <w:tcW w:w="2433" w:type="dxa"/>
            <w:vAlign w:val="center"/>
          </w:tcPr>
          <w:p w14:paraId="3B9A36F0">
            <w:pPr>
              <w:pStyle w:val="539"/>
              <w:spacing w:line="560" w:lineRule="exact"/>
              <w:jc w:val="center"/>
              <w:rPr>
                <w:rFonts w:hint="eastAsia" w:ascii="宋体" w:hAnsi="宋体" w:cs="宋体"/>
                <w:color w:val="auto"/>
                <w:sz w:val="28"/>
                <w:highlight w:val="none"/>
              </w:rPr>
            </w:pPr>
          </w:p>
        </w:tc>
        <w:tc>
          <w:tcPr>
            <w:tcW w:w="1395" w:type="dxa"/>
            <w:vAlign w:val="center"/>
          </w:tcPr>
          <w:p w14:paraId="263A5D32">
            <w:pPr>
              <w:pStyle w:val="539"/>
              <w:spacing w:line="560" w:lineRule="exact"/>
              <w:jc w:val="center"/>
              <w:rPr>
                <w:rFonts w:hint="eastAsia" w:ascii="宋体" w:hAnsi="宋体" w:cs="宋体"/>
                <w:color w:val="auto"/>
                <w:sz w:val="28"/>
                <w:highlight w:val="none"/>
              </w:rPr>
            </w:pPr>
          </w:p>
        </w:tc>
      </w:tr>
      <w:tr w14:paraId="13A2D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71707264">
            <w:pPr>
              <w:pStyle w:val="539"/>
              <w:spacing w:line="560" w:lineRule="exact"/>
              <w:jc w:val="center"/>
              <w:rPr>
                <w:rFonts w:hint="eastAsia" w:ascii="宋体" w:hAnsi="宋体" w:cs="宋体"/>
                <w:color w:val="auto"/>
                <w:sz w:val="28"/>
                <w:highlight w:val="none"/>
              </w:rPr>
            </w:pPr>
          </w:p>
        </w:tc>
        <w:tc>
          <w:tcPr>
            <w:tcW w:w="3827" w:type="dxa"/>
            <w:vAlign w:val="center"/>
          </w:tcPr>
          <w:p w14:paraId="01E14E7C">
            <w:pPr>
              <w:pStyle w:val="539"/>
              <w:spacing w:line="560" w:lineRule="exact"/>
              <w:jc w:val="center"/>
              <w:rPr>
                <w:rFonts w:hint="eastAsia" w:ascii="宋体" w:hAnsi="宋体" w:cs="宋体"/>
                <w:color w:val="auto"/>
                <w:sz w:val="28"/>
                <w:highlight w:val="none"/>
              </w:rPr>
            </w:pPr>
          </w:p>
        </w:tc>
        <w:tc>
          <w:tcPr>
            <w:tcW w:w="2433" w:type="dxa"/>
            <w:vAlign w:val="center"/>
          </w:tcPr>
          <w:p w14:paraId="3B8C8ABE">
            <w:pPr>
              <w:pStyle w:val="539"/>
              <w:spacing w:line="560" w:lineRule="exact"/>
              <w:jc w:val="center"/>
              <w:rPr>
                <w:rFonts w:hint="eastAsia" w:ascii="宋体" w:hAnsi="宋体" w:cs="宋体"/>
                <w:color w:val="auto"/>
                <w:sz w:val="28"/>
                <w:highlight w:val="none"/>
              </w:rPr>
            </w:pPr>
          </w:p>
        </w:tc>
        <w:tc>
          <w:tcPr>
            <w:tcW w:w="1395" w:type="dxa"/>
            <w:vAlign w:val="center"/>
          </w:tcPr>
          <w:p w14:paraId="19B36E80">
            <w:pPr>
              <w:pStyle w:val="539"/>
              <w:spacing w:line="560" w:lineRule="exact"/>
              <w:jc w:val="center"/>
              <w:rPr>
                <w:rFonts w:hint="eastAsia" w:ascii="宋体" w:hAnsi="宋体" w:cs="宋体"/>
                <w:color w:val="auto"/>
                <w:sz w:val="28"/>
                <w:highlight w:val="none"/>
              </w:rPr>
            </w:pPr>
          </w:p>
        </w:tc>
      </w:tr>
    </w:tbl>
    <w:p w14:paraId="68F6C6FB">
      <w:pPr>
        <w:pStyle w:val="486"/>
        <w:outlineLvl w:val="1"/>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86" w:name="_Toc30836_WPSOffice_Level2"/>
      <w:bookmarkStart w:id="187" w:name="_Toc514054505"/>
      <w:bookmarkStart w:id="188" w:name="_Toc15753"/>
      <w:bookmarkStart w:id="189" w:name="_Toc199794523"/>
      <w:bookmarkStart w:id="190" w:name="_Toc502821163"/>
      <w:r>
        <w:rPr>
          <w:rFonts w:hint="eastAsia" w:ascii="宋体" w:hAnsi="宋体" w:eastAsia="宋体" w:cs="宋体"/>
          <w:color w:val="auto"/>
          <w:highlight w:val="none"/>
        </w:rPr>
        <w:t>十</w:t>
      </w:r>
      <w:r>
        <w:rPr>
          <w:rFonts w:hint="eastAsia" w:ascii="宋体" w:hAnsi="宋体" w:eastAsia="宋体" w:cs="宋体"/>
          <w:color w:val="auto"/>
          <w:highlight w:val="none"/>
          <w:lang w:val="en-US" w:eastAsia="zh-CN"/>
        </w:rPr>
        <w:t>五</w:t>
      </w:r>
      <w:r>
        <w:rPr>
          <w:rFonts w:hint="eastAsia" w:ascii="宋体" w:hAnsi="宋体" w:eastAsia="宋体" w:cs="宋体"/>
          <w:color w:val="auto"/>
          <w:highlight w:val="none"/>
        </w:rPr>
        <w:t>、投标所需其他材料</w:t>
      </w:r>
      <w:bookmarkEnd w:id="186"/>
      <w:bookmarkEnd w:id="187"/>
      <w:bookmarkEnd w:id="188"/>
      <w:bookmarkEnd w:id="189"/>
      <w:bookmarkEnd w:id="190"/>
    </w:p>
    <w:p w14:paraId="5E3C871D">
      <w:pPr>
        <w:pStyle w:val="623"/>
        <w:spacing w:line="360" w:lineRule="auto"/>
        <w:ind w:firstLine="420"/>
        <w:rPr>
          <w:rFonts w:hint="eastAsia" w:ascii="宋体" w:hAnsi="宋体" w:cs="宋体"/>
          <w:color w:val="auto"/>
          <w:highlight w:val="none"/>
        </w:rPr>
      </w:pPr>
      <w:r>
        <w:rPr>
          <w:rFonts w:hint="eastAsia" w:ascii="宋体" w:hAnsi="宋体" w:cs="宋体"/>
          <w:color w:val="auto"/>
          <w:highlight w:val="none"/>
        </w:rPr>
        <w:t>请在此文档中增加投标所需其他相关内容（包括资格要求、评分办法、采购需求中涉及的证件证明及其它投标人认为有必要提供的资料），如没有请空置。</w:t>
      </w:r>
    </w:p>
    <w:p w14:paraId="53184E02">
      <w:pPr>
        <w:rPr>
          <w:rFonts w:hint="eastAsia" w:ascii="宋体" w:hAnsi="宋体" w:cs="宋体"/>
          <w:color w:val="auto"/>
          <w:sz w:val="20"/>
          <w:highlight w:val="none"/>
        </w:rPr>
      </w:pPr>
      <w:r>
        <w:rPr>
          <w:rFonts w:hint="eastAsia" w:ascii="宋体" w:hAnsi="宋体" w:cs="宋体"/>
          <w:color w:val="auto"/>
          <w:sz w:val="20"/>
          <w:highlight w:val="none"/>
        </w:rPr>
        <w:t xml:space="preserve"> </w:t>
      </w:r>
    </w:p>
    <w:p w14:paraId="21639906">
      <w:pPr>
        <w:rPr>
          <w:color w:val="auto"/>
          <w:sz w:val="20"/>
          <w:highlight w:val="none"/>
        </w:rPr>
      </w:pPr>
    </w:p>
    <w:sectPr>
      <w:footerReference r:id="rId4" w:type="default"/>
      <w:pgSz w:w="11906" w:h="16838"/>
      <w:pgMar w:top="1440" w:right="1083" w:bottom="1440" w:left="1083"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1DB55B5-3590-4A59-B149-C4F5638885DC}"/>
  </w:font>
  <w:font w:name="黑体">
    <w:panose1 w:val="02010609060101010101"/>
    <w:charset w:val="86"/>
    <w:family w:val="auto"/>
    <w:pitch w:val="default"/>
    <w:sig w:usb0="800002BF" w:usb1="38CF7CFA" w:usb2="00000016" w:usb3="00000000" w:csb0="00040001" w:csb1="00000000"/>
    <w:embedRegular r:id="rId2" w:fontKey="{549DEE09-41F0-4902-9F2A-D23C2ADBDD5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F862B146-E051-4C7E-92CA-AC5F7A932062}"/>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embedRegular r:id="rId4" w:fontKey="{5DDF7320-F94B-42F7-B95A-A454C35F6C97}"/>
  </w:font>
  <w:font w:name="仿宋">
    <w:panose1 w:val="02010609060101010101"/>
    <w:charset w:val="86"/>
    <w:family w:val="auto"/>
    <w:pitch w:val="default"/>
    <w:sig w:usb0="800002BF" w:usb1="38CF7CFA" w:usb2="00000016" w:usb3="00000000" w:csb0="00040001" w:csb1="00000000"/>
    <w:embedRegular r:id="rId5" w:fontKey="{0FD60936-1DC4-453C-8557-B5E8A75AD91B}"/>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embedRegular r:id="rId6" w:fontKey="{A564F86F-90A4-4131-9A47-D4643D411D33}"/>
  </w:font>
  <w:font w:name="楷体">
    <w:panose1 w:val="02010609060101010101"/>
    <w:charset w:val="86"/>
    <w:family w:val="auto"/>
    <w:pitch w:val="default"/>
    <w:sig w:usb0="800002BF" w:usb1="38CF7CFA" w:usb2="00000016" w:usb3="00000000" w:csb0="00040001" w:csb1="00000000"/>
  </w:font>
  <w:font w:name="Univers LT Std 45 Ligh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7F" w:usb3="00000000" w:csb0="203F01FF" w:csb1="DFFF0000"/>
  </w:font>
  <w:font w:name="Tahoma">
    <w:panose1 w:val="020B0604030504040204"/>
    <w:charset w:val="00"/>
    <w:family w:val="auto"/>
    <w:pitch w:val="default"/>
    <w:sig w:usb0="E1002EFF" w:usb1="C000605B" w:usb2="00000029" w:usb3="00000000" w:csb0="200101FF" w:csb1="20280000"/>
  </w:font>
  <w:font w:name="Helvetica-Light">
    <w:altName w:val="DejaVu Math TeX Gyre"/>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Kingsoft Phonetic Plain">
    <w:altName w:val="DejaVu Math TeX Gyre"/>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Arial Narrow">
    <w:panose1 w:val="020B0606020202030204"/>
    <w:charset w:val="00"/>
    <w:family w:val="auto"/>
    <w:pitch w:val="default"/>
    <w:sig w:usb0="00000287" w:usb1="00000800" w:usb2="00000000" w:usb3="00000000" w:csb0="2000009F" w:csb1="DFD70000"/>
  </w:font>
  <w:font w:name="华文琥珀">
    <w:panose1 w:val="02010800040101010101"/>
    <w:charset w:val="86"/>
    <w:family w:val="auto"/>
    <w:pitch w:val="default"/>
    <w:sig w:usb0="00000001" w:usb1="080F0000" w:usb2="00000000" w:usb3="00000000" w:csb0="00040000" w:csb1="00000000"/>
    <w:embedRegular r:id="rId7" w:fontKey="{71014CC4-68E5-45CF-8C6B-87F2C45F7CF1}"/>
  </w:font>
  <w:font w:name="方正大标宋简体">
    <w:panose1 w:val="02000000000000000000"/>
    <w:charset w:val="86"/>
    <w:family w:val="auto"/>
    <w:pitch w:val="default"/>
    <w:sig w:usb0="A00002BF" w:usb1="184F6CFA" w:usb2="00000012" w:usb3="00000000" w:csb0="00040001" w:csb1="00000000"/>
    <w:embedRegular r:id="rId8" w:fontKey="{78F4816F-4F4B-4C11-8AF8-05C6F537CFD0}"/>
  </w:font>
  <w:font w:name="华文楷体">
    <w:panose1 w:val="02010600040101010101"/>
    <w:charset w:val="86"/>
    <w:family w:val="auto"/>
    <w:pitch w:val="default"/>
    <w:sig w:usb0="00000287" w:usb1="080F0000" w:usb2="00000000" w:usb3="00000000" w:csb0="0004009F" w:csb1="DFD70000"/>
    <w:embedRegular r:id="rId9" w:fontKey="{03001470-B3C1-4893-AEB6-483F67C483AE}"/>
  </w:font>
  <w:font w:name="华文仿宋">
    <w:panose1 w:val="02010600040101010101"/>
    <w:charset w:val="86"/>
    <w:family w:val="auto"/>
    <w:pitch w:val="default"/>
    <w:sig w:usb0="00000287" w:usb1="080F0000" w:usb2="00000000" w:usb3="00000000" w:csb0="0004009F" w:csb1="DFD70000"/>
    <w:embedRegular r:id="rId10" w:fontKey="{BAC1A6E9-73F9-4304-A62E-6AA8C7B3BCAA}"/>
  </w:font>
  <w:font w:name="WPSEMBED1">
    <w:panose1 w:val="02000000000000000000"/>
    <w:charset w:val="86"/>
    <w:family w:val="auto"/>
    <w:pitch w:val="default"/>
    <w:sig w:usb0="A00002BF" w:usb1="184F6CFA" w:usb2="00000012"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BECAB">
    <w:pPr>
      <w:pStyle w:val="26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808B63">
                          <w:pPr>
                            <w:pStyle w:val="266"/>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1835BCE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F808B63">
                    <w:pPr>
                      <w:pStyle w:val="266"/>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28</w:t>
                    </w:r>
                    <w:r>
                      <w:fldChar w:fldCharType="end"/>
                    </w:r>
                  </w:p>
                  <w:p w14:paraId="1835BCE7"/>
                </w:txbxContent>
              </v:textbox>
            </v:shape>
          </w:pict>
        </mc:Fallback>
      </mc:AlternateContent>
    </w:r>
  </w:p>
  <w:p w14:paraId="19A0CBF2">
    <w:pPr>
      <w:pStyle w:val="266"/>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16B8D8EA">
      <w:pPr>
        <w:pStyle w:val="27"/>
      </w:pPr>
      <w:r>
        <w:rPr>
          <w:rStyle w:val="41"/>
        </w:rPr>
        <w:footnoteRef/>
      </w:r>
      <w:r>
        <w:t xml:space="preserve"> </w:t>
      </w:r>
      <w:r>
        <w:rPr>
          <w:rFonts w:hint="eastAsia"/>
        </w:rPr>
        <w:t>本合同内容条款在正式签署前可具体补充细化，仅作参考，最终合同以采购人法务审查通过的版本为准</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Thousand"/>
      <w:lvlText w:val="(%1)"/>
      <w:lvlJc w:val="left"/>
      <w:pPr>
        <w:ind w:left="1272" w:hanging="420"/>
      </w:p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1">
    <w:nsid w:val="BF205925"/>
    <w:multiLevelType w:val="multilevel"/>
    <w:tmpl w:val="BF205925"/>
    <w:lvl w:ilvl="0" w:tentative="0">
      <w:start w:val="1"/>
      <w:numFmt w:val="decimal"/>
      <w:pStyle w:val="660"/>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tentative="0">
      <w:start w:val="1"/>
      <w:numFmt w:val="decimal"/>
      <w:pStyle w:val="659"/>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2">
    <w:nsid w:val="CF092B84"/>
    <w:multiLevelType w:val="multilevel"/>
    <w:tmpl w:val="CF092B8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71"/>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3">
    <w:nsid w:val="0053208E"/>
    <w:multiLevelType w:val="multilevel"/>
    <w:tmpl w:val="0053208E"/>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70"/>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DA950DC"/>
    <w:multiLevelType w:val="multilevel"/>
    <w:tmpl w:val="0DA950DC"/>
    <w:lvl w:ilvl="0" w:tentative="0">
      <w:start w:val="1"/>
      <w:numFmt w:val="decimal"/>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25B654F3"/>
    <w:multiLevelType w:val="multilevel"/>
    <w:tmpl w:val="25B654F3"/>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B09ECE2"/>
    <w:multiLevelType w:val="singleLevel"/>
    <w:tmpl w:val="2B09ECE2"/>
    <w:lvl w:ilvl="0" w:tentative="0">
      <w:start w:val="1"/>
      <w:numFmt w:val="lowerLetter"/>
      <w:suff w:val="space"/>
      <w:lvlText w:val="%1."/>
      <w:lvlJc w:val="left"/>
    </w:lvl>
  </w:abstractNum>
  <w:abstractNum w:abstractNumId="9">
    <w:nsid w:val="2EC7BD58"/>
    <w:multiLevelType w:val="singleLevel"/>
    <w:tmpl w:val="2EC7BD58"/>
    <w:lvl w:ilvl="0" w:tentative="0">
      <w:start w:val="1"/>
      <w:numFmt w:val="decimal"/>
      <w:lvlText w:val="%1."/>
      <w:lvlJc w:val="left"/>
      <w:pPr>
        <w:tabs>
          <w:tab w:val="left" w:pos="312"/>
        </w:tabs>
      </w:pPr>
    </w:lvl>
  </w:abstractNum>
  <w:abstractNum w:abstractNumId="10">
    <w:nsid w:val="34A31BC8"/>
    <w:multiLevelType w:val="multilevel"/>
    <w:tmpl w:val="34A31BC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59ADCABA"/>
    <w:multiLevelType w:val="multilevel"/>
    <w:tmpl w:val="59ADCABA"/>
    <w:lvl w:ilvl="0" w:tentative="0">
      <w:start w:val="1"/>
      <w:numFmt w:val="bullet"/>
      <w:pStyle w:val="511"/>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72183CF9"/>
    <w:multiLevelType w:val="multilevel"/>
    <w:tmpl w:val="72183CF9"/>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1"/>
  </w:num>
  <w:num w:numId="4">
    <w:abstractNumId w:val="1"/>
  </w:num>
  <w:num w:numId="5">
    <w:abstractNumId w:val="0"/>
  </w:num>
  <w:num w:numId="6">
    <w:abstractNumId w:val="5"/>
  </w:num>
  <w:num w:numId="7">
    <w:abstractNumId w:val="7"/>
  </w:num>
  <w:num w:numId="8">
    <w:abstractNumId w:val="12"/>
  </w:num>
  <w:num w:numId="9">
    <w:abstractNumId w:val="4"/>
  </w:num>
  <w:num w:numId="10">
    <w:abstractNumId w:val="8"/>
  </w:num>
  <w:num w:numId="11">
    <w:abstractNumId w:val="9"/>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5"/>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2"/>
    <w:footnote w:id="3"/>
  </w:foot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D03026"/>
    <w:rsid w:val="01730963"/>
    <w:rsid w:val="03A1676C"/>
    <w:rsid w:val="03BE07F6"/>
    <w:rsid w:val="06152663"/>
    <w:rsid w:val="08A22E66"/>
    <w:rsid w:val="09746495"/>
    <w:rsid w:val="0D466B4A"/>
    <w:rsid w:val="0ED62CEA"/>
    <w:rsid w:val="120711AA"/>
    <w:rsid w:val="16104199"/>
    <w:rsid w:val="169C5A2D"/>
    <w:rsid w:val="16CA2F1C"/>
    <w:rsid w:val="16EC1787"/>
    <w:rsid w:val="17B31280"/>
    <w:rsid w:val="18DF1991"/>
    <w:rsid w:val="19A215AC"/>
    <w:rsid w:val="1CFF0AC4"/>
    <w:rsid w:val="1EC16A83"/>
    <w:rsid w:val="203B0065"/>
    <w:rsid w:val="21413ADD"/>
    <w:rsid w:val="21E27A2A"/>
    <w:rsid w:val="241A2A47"/>
    <w:rsid w:val="25D54AB7"/>
    <w:rsid w:val="279A1B15"/>
    <w:rsid w:val="280D678A"/>
    <w:rsid w:val="2AD74E2E"/>
    <w:rsid w:val="2B754ED7"/>
    <w:rsid w:val="2F405247"/>
    <w:rsid w:val="308415B4"/>
    <w:rsid w:val="33D463AE"/>
    <w:rsid w:val="34FF56AD"/>
    <w:rsid w:val="360D204B"/>
    <w:rsid w:val="38321919"/>
    <w:rsid w:val="3AB64A60"/>
    <w:rsid w:val="3BA373A8"/>
    <w:rsid w:val="3EC6100D"/>
    <w:rsid w:val="40075342"/>
    <w:rsid w:val="45FD1795"/>
    <w:rsid w:val="46235C03"/>
    <w:rsid w:val="464A0752"/>
    <w:rsid w:val="46D1677D"/>
    <w:rsid w:val="47FC5A7C"/>
    <w:rsid w:val="49790072"/>
    <w:rsid w:val="4D536CE8"/>
    <w:rsid w:val="4E032EDC"/>
    <w:rsid w:val="4EBD5A47"/>
    <w:rsid w:val="4FA44A43"/>
    <w:rsid w:val="507B7DCF"/>
    <w:rsid w:val="50B74C36"/>
    <w:rsid w:val="514E07A1"/>
    <w:rsid w:val="52BE6086"/>
    <w:rsid w:val="52CF44B9"/>
    <w:rsid w:val="52F76B0B"/>
    <w:rsid w:val="544B5DC1"/>
    <w:rsid w:val="54EF5387"/>
    <w:rsid w:val="554A6449"/>
    <w:rsid w:val="56D41079"/>
    <w:rsid w:val="573F0BFC"/>
    <w:rsid w:val="59D32AE1"/>
    <w:rsid w:val="5C5650CC"/>
    <w:rsid w:val="5D1A27D4"/>
    <w:rsid w:val="5EF720EC"/>
    <w:rsid w:val="5F683CCB"/>
    <w:rsid w:val="66246472"/>
    <w:rsid w:val="669C10B7"/>
    <w:rsid w:val="69466C5D"/>
    <w:rsid w:val="6CE07597"/>
    <w:rsid w:val="6FEE1FCA"/>
    <w:rsid w:val="70534CFF"/>
    <w:rsid w:val="74501460"/>
    <w:rsid w:val="74767B94"/>
    <w:rsid w:val="78CF4963"/>
    <w:rsid w:val="78DC41CE"/>
    <w:rsid w:val="7BB35E76"/>
    <w:rsid w:val="7BE911D7"/>
    <w:rsid w:val="7CAB3699"/>
    <w:rsid w:val="7D545CDE"/>
    <w:rsid w:val="7D8555F0"/>
    <w:rsid w:val="7F5D2DC8"/>
    <w:rsid w:val="7FA400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9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9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100"/>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link w:val="101"/>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link w:val="102"/>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link w:val="103"/>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next w:val="16"/>
    <w:qFormat/>
    <w:uiPriority w:val="0"/>
    <w:rPr>
      <w:color w:val="000000" w:themeColor="text1"/>
      <w:szCs w:val="24"/>
      <w14:textFill>
        <w14:solidFill>
          <w14:schemeClr w14:val="tx1"/>
        </w14:solidFill>
      </w14:textFill>
    </w:rPr>
  </w:style>
  <w:style w:type="paragraph" w:customStyle="1" w:styleId="16">
    <w:name w:val="Default"/>
    <w:qFormat/>
    <w:uiPriority w:val="0"/>
    <w:pPr>
      <w:widowControl w:val="0"/>
    </w:pPr>
    <w:rPr>
      <w:rFonts w:hint="default" w:ascii="宋体" w:hAnsi="Times New Roman" w:eastAsia="宋体" w:cs="宋体"/>
      <w:color w:val="000000"/>
      <w:sz w:val="24"/>
      <w:szCs w:val="24"/>
      <w:lang w:val="en-US" w:eastAsia="zh-CN" w:bidi="ar-SA"/>
    </w:rPr>
  </w:style>
  <w:style w:type="paragraph" w:styleId="17">
    <w:name w:val="Block Text"/>
    <w:basedOn w:val="1"/>
    <w:semiHidden/>
    <w:unhideWhenUsed/>
    <w:qFormat/>
    <w:uiPriority w:val="99"/>
    <w:pPr>
      <w:spacing w:after="120"/>
      <w:ind w:left="1440" w:leftChars="700" w:right="1440" w:rightChars="700"/>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toc 8"/>
    <w:basedOn w:val="1"/>
    <w:next w:val="1"/>
    <w:unhideWhenUsed/>
    <w:qFormat/>
    <w:uiPriority w:val="39"/>
    <w:pPr>
      <w:spacing w:after="57"/>
      <w:ind w:left="1984"/>
    </w:pPr>
  </w:style>
  <w:style w:type="paragraph" w:styleId="21">
    <w:name w:val="endnote text"/>
    <w:basedOn w:val="1"/>
    <w:link w:val="219"/>
    <w:semiHidden/>
    <w:unhideWhenUsed/>
    <w:qFormat/>
    <w:uiPriority w:val="99"/>
    <w:rPr>
      <w:sz w:val="20"/>
    </w:rPr>
  </w:style>
  <w:style w:type="paragraph" w:styleId="22">
    <w:name w:val="footer"/>
    <w:basedOn w:val="1"/>
    <w:link w:val="111"/>
    <w:unhideWhenUsed/>
    <w:qFormat/>
    <w:uiPriority w:val="99"/>
    <w:pPr>
      <w:tabs>
        <w:tab w:val="center" w:pos="7143"/>
        <w:tab w:val="right" w:pos="14287"/>
      </w:tabs>
    </w:pPr>
  </w:style>
  <w:style w:type="paragraph" w:styleId="23">
    <w:name w:val="header"/>
    <w:basedOn w:val="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106"/>
    <w:qFormat/>
    <w:uiPriority w:val="11"/>
    <w:pPr>
      <w:spacing w:before="200" w:after="200"/>
    </w:pPr>
    <w:rPr>
      <w:sz w:val="24"/>
      <w:szCs w:val="24"/>
    </w:rPr>
  </w:style>
  <w:style w:type="paragraph" w:styleId="27">
    <w:name w:val="footnote text"/>
    <w:basedOn w:val="1"/>
    <w:link w:val="218"/>
    <w:unhideWhenUsed/>
    <w:qFormat/>
    <w:uiPriority w:val="0"/>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33">
    <w:name w:val="Title"/>
    <w:basedOn w:val="1"/>
    <w:next w:val="1"/>
    <w:link w:val="105"/>
    <w:qFormat/>
    <w:uiPriority w:val="10"/>
    <w:pPr>
      <w:spacing w:before="300" w:after="200"/>
      <w:contextualSpacing/>
    </w:pPr>
    <w:rPr>
      <w:sz w:val="48"/>
      <w:szCs w:val="48"/>
    </w:rPr>
  </w:style>
  <w:style w:type="paragraph" w:styleId="34">
    <w:name w:val="Body Text First Indent"/>
    <w:basedOn w:val="15"/>
    <w:unhideWhenUsed/>
    <w:qFormat/>
    <w:uiPriority w:val="99"/>
    <w:pPr>
      <w:ind w:firstLine="420" w:firstLineChars="100"/>
    </w:p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annotation reference"/>
    <w:basedOn w:val="37"/>
    <w:semiHidden/>
    <w:unhideWhenUsed/>
    <w:qFormat/>
    <w:uiPriority w:val="99"/>
    <w:rPr>
      <w:sz w:val="21"/>
      <w:szCs w:val="21"/>
    </w:rPr>
  </w:style>
  <w:style w:type="character" w:styleId="41">
    <w:name w:val="footnote reference"/>
    <w:unhideWhenUsed/>
    <w:qFormat/>
    <w:uiPriority w:val="0"/>
    <w:rPr>
      <w:vertAlign w:val="superscript"/>
    </w:rPr>
  </w:style>
  <w:style w:type="table" w:customStyle="1" w:styleId="4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8">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9">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0">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1">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3">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4">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5">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6">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8">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9">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0">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1">
    <w:name w:val="TOC Heading"/>
    <w:unhideWhenUsed/>
    <w:qFormat/>
    <w:uiPriority w:val="39"/>
    <w:rPr>
      <w:rFonts w:hint="default" w:ascii="Times New Roman" w:hAnsi="Times New Roman" w:eastAsia="宋体" w:cs="Times New Roman"/>
    </w:rPr>
  </w:style>
  <w:style w:type="paragraph" w:customStyle="1" w:styleId="62">
    <w:name w:val="样式1"/>
    <w:basedOn w:val="63"/>
    <w:next w:val="1"/>
    <w:qFormat/>
    <w:uiPriority w:val="0"/>
    <w:pPr>
      <w:tabs>
        <w:tab w:val="left" w:pos="0"/>
        <w:tab w:val="left" w:pos="840"/>
      </w:tabs>
    </w:pPr>
    <w:rPr>
      <w:rFonts w:ascii="Arial" w:hAnsi="Arial" w:eastAsia="幼圆" w:cs="Arial"/>
      <w:sz w:val="24"/>
      <w:szCs w:val="20"/>
    </w:rPr>
  </w:style>
  <w:style w:type="paragraph" w:customStyle="1" w:styleId="63">
    <w:name w:val="列表编号1"/>
    <w:basedOn w:val="1"/>
    <w:qFormat/>
    <w:uiPriority w:val="0"/>
    <w:pPr>
      <w:tabs>
        <w:tab w:val="left" w:pos="0"/>
        <w:tab w:val="left" w:pos="840"/>
      </w:tabs>
      <w:spacing w:line="360" w:lineRule="auto"/>
    </w:pPr>
  </w:style>
  <w:style w:type="character" w:customStyle="1" w:styleId="64">
    <w:name w:val="Heading 1 Char"/>
    <w:basedOn w:val="37"/>
    <w:qFormat/>
    <w:uiPriority w:val="9"/>
    <w:rPr>
      <w:rFonts w:ascii="Arial" w:hAnsi="Arial" w:eastAsia="Arial" w:cs="Arial"/>
      <w:sz w:val="40"/>
      <w:szCs w:val="40"/>
    </w:rPr>
  </w:style>
  <w:style w:type="character" w:customStyle="1" w:styleId="65">
    <w:name w:val="Heading 5 Char"/>
    <w:basedOn w:val="37"/>
    <w:qFormat/>
    <w:uiPriority w:val="9"/>
    <w:rPr>
      <w:rFonts w:ascii="Arial" w:hAnsi="Arial" w:eastAsia="Arial" w:cs="Arial"/>
      <w:b/>
      <w:bCs/>
      <w:sz w:val="24"/>
      <w:szCs w:val="24"/>
    </w:rPr>
  </w:style>
  <w:style w:type="character" w:customStyle="1" w:styleId="66">
    <w:name w:val="Heading 6 Char"/>
    <w:basedOn w:val="37"/>
    <w:qFormat/>
    <w:uiPriority w:val="9"/>
    <w:rPr>
      <w:rFonts w:ascii="Arial" w:hAnsi="Arial" w:eastAsia="Arial" w:cs="Arial"/>
      <w:b/>
      <w:bCs/>
      <w:sz w:val="22"/>
      <w:szCs w:val="22"/>
    </w:rPr>
  </w:style>
  <w:style w:type="character" w:customStyle="1" w:styleId="67">
    <w:name w:val="Heading 7 Char"/>
    <w:basedOn w:val="37"/>
    <w:qFormat/>
    <w:uiPriority w:val="9"/>
    <w:rPr>
      <w:rFonts w:ascii="Arial" w:hAnsi="Arial" w:eastAsia="Arial" w:cs="Arial"/>
      <w:b/>
      <w:bCs/>
      <w:i/>
      <w:iCs/>
      <w:sz w:val="22"/>
      <w:szCs w:val="22"/>
    </w:rPr>
  </w:style>
  <w:style w:type="character" w:customStyle="1" w:styleId="68">
    <w:name w:val="Heading 8 Char"/>
    <w:basedOn w:val="37"/>
    <w:qFormat/>
    <w:uiPriority w:val="9"/>
    <w:rPr>
      <w:rFonts w:ascii="Arial" w:hAnsi="Arial" w:eastAsia="Arial" w:cs="Arial"/>
      <w:i/>
      <w:iCs/>
      <w:sz w:val="22"/>
      <w:szCs w:val="22"/>
    </w:rPr>
  </w:style>
  <w:style w:type="character" w:customStyle="1" w:styleId="69">
    <w:name w:val="Heading 9 Char"/>
    <w:basedOn w:val="37"/>
    <w:qFormat/>
    <w:uiPriority w:val="9"/>
    <w:rPr>
      <w:rFonts w:ascii="Arial" w:hAnsi="Arial" w:eastAsia="Arial" w:cs="Arial"/>
      <w:i/>
      <w:iCs/>
      <w:sz w:val="21"/>
      <w:szCs w:val="21"/>
    </w:rPr>
  </w:style>
  <w:style w:type="character" w:customStyle="1" w:styleId="70">
    <w:name w:val="Title Char"/>
    <w:basedOn w:val="37"/>
    <w:qFormat/>
    <w:uiPriority w:val="10"/>
    <w:rPr>
      <w:sz w:val="48"/>
      <w:szCs w:val="48"/>
    </w:rPr>
  </w:style>
  <w:style w:type="character" w:customStyle="1" w:styleId="71">
    <w:name w:val="Subtitle Char"/>
    <w:basedOn w:val="37"/>
    <w:qFormat/>
    <w:uiPriority w:val="11"/>
    <w:rPr>
      <w:sz w:val="24"/>
      <w:szCs w:val="24"/>
    </w:rPr>
  </w:style>
  <w:style w:type="character" w:customStyle="1" w:styleId="72">
    <w:name w:val="Quote Char"/>
    <w:qFormat/>
    <w:uiPriority w:val="29"/>
    <w:rPr>
      <w:i/>
    </w:rPr>
  </w:style>
  <w:style w:type="character" w:customStyle="1" w:styleId="73">
    <w:name w:val="Intense Quote Char"/>
    <w:qFormat/>
    <w:uiPriority w:val="30"/>
    <w:rPr>
      <w:i/>
    </w:rPr>
  </w:style>
  <w:style w:type="character" w:customStyle="1" w:styleId="74">
    <w:name w:val="Caption Char"/>
    <w:qFormat/>
    <w:uiPriority w:val="99"/>
  </w:style>
  <w:style w:type="table" w:customStyle="1" w:styleId="75">
    <w:name w:val="无格式表格 11"/>
    <w:basedOn w:val="3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无格式表格 21"/>
    <w:basedOn w:val="3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无格式表格 31"/>
    <w:basedOn w:val="35"/>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41"/>
    <w:basedOn w:val="35"/>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无格式表格 51"/>
    <w:basedOn w:val="35"/>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网格表 1 浅色1"/>
    <w:basedOn w:val="3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网格表 21"/>
    <w:basedOn w:val="3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网格表 31"/>
    <w:basedOn w:val="3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网格表 41"/>
    <w:basedOn w:val="3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网格表 5 深色1"/>
    <w:basedOn w:val="3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5">
    <w:name w:val="网格表 6 彩色1"/>
    <w:basedOn w:val="3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6">
    <w:name w:val="网格表 7 彩色1"/>
    <w:basedOn w:val="3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清单表 1 浅色1"/>
    <w:basedOn w:val="35"/>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8">
    <w:name w:val="清单表 21"/>
    <w:basedOn w:val="3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清单表 31"/>
    <w:basedOn w:val="3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0">
    <w:name w:val="清单表 41"/>
    <w:basedOn w:val="3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清单表 5 深色1"/>
    <w:basedOn w:val="3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2">
    <w:name w:val="清单表 6 彩色1"/>
    <w:basedOn w:val="35"/>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3">
    <w:name w:val="清单表 7 彩色1"/>
    <w:basedOn w:val="35"/>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4">
    <w:name w:val="Footnote Text Char"/>
    <w:qFormat/>
    <w:uiPriority w:val="99"/>
    <w:rPr>
      <w:sz w:val="18"/>
    </w:rPr>
  </w:style>
  <w:style w:type="character" w:customStyle="1" w:styleId="95">
    <w:name w:val="Endnote Text Char"/>
    <w:qFormat/>
    <w:uiPriority w:val="99"/>
    <w:rPr>
      <w:sz w:val="20"/>
    </w:rPr>
  </w:style>
  <w:style w:type="paragraph" w:customStyle="1" w:styleId="96">
    <w:name w:val="TOC 标题1"/>
    <w:unhideWhenUsed/>
    <w:qFormat/>
    <w:uiPriority w:val="39"/>
    <w:rPr>
      <w:rFonts w:hint="default" w:ascii="Times New Roman" w:hAnsi="Times New Roman" w:eastAsia="宋体" w:cs="Times New Roman"/>
      <w:lang w:val="en-US" w:eastAsia="zh-CN" w:bidi="ar-SA"/>
    </w:rPr>
  </w:style>
  <w:style w:type="paragraph" w:customStyle="1" w:styleId="97">
    <w:name w:val="正文文本1"/>
    <w:basedOn w:val="1"/>
    <w:next w:val="1"/>
    <w:link w:val="232"/>
    <w:qFormat/>
    <w:uiPriority w:val="0"/>
    <w:pPr>
      <w:spacing w:line="60" w:lineRule="auto"/>
    </w:pPr>
    <w:rPr>
      <w:rFonts w:ascii="仿宋_GB2312" w:eastAsia="仿宋_GB2312"/>
      <w:sz w:val="32"/>
    </w:rPr>
  </w:style>
  <w:style w:type="character" w:customStyle="1" w:styleId="98">
    <w:name w:val="标题 1 字符1"/>
    <w:link w:val="2"/>
    <w:qFormat/>
    <w:uiPriority w:val="9"/>
    <w:rPr>
      <w:rFonts w:ascii="Arial" w:hAnsi="Arial" w:eastAsia="Arial" w:cs="Arial"/>
      <w:sz w:val="40"/>
      <w:szCs w:val="40"/>
    </w:rPr>
  </w:style>
  <w:style w:type="character" w:customStyle="1" w:styleId="99">
    <w:name w:val="标题 5 字符"/>
    <w:link w:val="7"/>
    <w:qFormat/>
    <w:uiPriority w:val="9"/>
    <w:rPr>
      <w:rFonts w:ascii="Arial" w:hAnsi="Arial" w:eastAsia="Arial" w:cs="Arial"/>
      <w:b/>
      <w:bCs/>
      <w:sz w:val="24"/>
      <w:szCs w:val="24"/>
    </w:rPr>
  </w:style>
  <w:style w:type="character" w:customStyle="1" w:styleId="100">
    <w:name w:val="标题 6 字符"/>
    <w:link w:val="8"/>
    <w:qFormat/>
    <w:uiPriority w:val="9"/>
    <w:rPr>
      <w:rFonts w:ascii="Arial" w:hAnsi="Arial" w:eastAsia="Arial" w:cs="Arial"/>
      <w:b/>
      <w:bCs/>
      <w:sz w:val="22"/>
      <w:szCs w:val="22"/>
    </w:rPr>
  </w:style>
  <w:style w:type="character" w:customStyle="1" w:styleId="101">
    <w:name w:val="标题 7 字符"/>
    <w:link w:val="9"/>
    <w:qFormat/>
    <w:uiPriority w:val="9"/>
    <w:rPr>
      <w:rFonts w:ascii="Arial" w:hAnsi="Arial" w:eastAsia="Arial" w:cs="Arial"/>
      <w:b/>
      <w:bCs/>
      <w:i/>
      <w:iCs/>
      <w:sz w:val="22"/>
      <w:szCs w:val="22"/>
    </w:rPr>
  </w:style>
  <w:style w:type="character" w:customStyle="1" w:styleId="102">
    <w:name w:val="标题 8 字符"/>
    <w:link w:val="10"/>
    <w:qFormat/>
    <w:uiPriority w:val="9"/>
    <w:rPr>
      <w:rFonts w:ascii="Arial" w:hAnsi="Arial" w:eastAsia="Arial" w:cs="Arial"/>
      <w:i/>
      <w:iCs/>
      <w:sz w:val="22"/>
      <w:szCs w:val="22"/>
    </w:rPr>
  </w:style>
  <w:style w:type="character" w:customStyle="1" w:styleId="103">
    <w:name w:val="标题 9 字符"/>
    <w:link w:val="11"/>
    <w:qFormat/>
    <w:uiPriority w:val="9"/>
    <w:rPr>
      <w:rFonts w:ascii="Arial" w:hAnsi="Arial" w:eastAsia="Arial" w:cs="Arial"/>
      <w:i/>
      <w:iCs/>
      <w:sz w:val="21"/>
      <w:szCs w:val="21"/>
    </w:rPr>
  </w:style>
  <w:style w:type="paragraph" w:styleId="104">
    <w:name w:val="No Spacing"/>
    <w:qFormat/>
    <w:uiPriority w:val="1"/>
    <w:rPr>
      <w:rFonts w:hint="default" w:ascii="Times New Roman" w:hAnsi="Times New Roman" w:eastAsia="宋体" w:cs="Times New Roman"/>
      <w:lang w:val="en-US" w:eastAsia="zh-CN" w:bidi="ar-SA"/>
    </w:rPr>
  </w:style>
  <w:style w:type="character" w:customStyle="1" w:styleId="105">
    <w:name w:val="标题 字符"/>
    <w:link w:val="33"/>
    <w:qFormat/>
    <w:uiPriority w:val="10"/>
    <w:rPr>
      <w:sz w:val="48"/>
      <w:szCs w:val="48"/>
    </w:rPr>
  </w:style>
  <w:style w:type="character" w:customStyle="1" w:styleId="106">
    <w:name w:val="副标题 字符"/>
    <w:link w:val="26"/>
    <w:qFormat/>
    <w:uiPriority w:val="11"/>
    <w:rPr>
      <w:sz w:val="24"/>
      <w:szCs w:val="24"/>
    </w:rPr>
  </w:style>
  <w:style w:type="paragraph" w:styleId="107">
    <w:name w:val="Quote"/>
    <w:basedOn w:val="1"/>
    <w:next w:val="1"/>
    <w:link w:val="108"/>
    <w:qFormat/>
    <w:uiPriority w:val="29"/>
    <w:pPr>
      <w:ind w:left="720" w:right="720"/>
    </w:pPr>
    <w:rPr>
      <w:i/>
    </w:rPr>
  </w:style>
  <w:style w:type="character" w:customStyle="1" w:styleId="108">
    <w:name w:val="引用 字符"/>
    <w:link w:val="107"/>
    <w:qFormat/>
    <w:uiPriority w:val="29"/>
    <w:rPr>
      <w:i/>
    </w:rPr>
  </w:style>
  <w:style w:type="paragraph" w:styleId="109">
    <w:name w:val="Intense Quote"/>
    <w:basedOn w:val="1"/>
    <w:next w:val="1"/>
    <w:link w:val="1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0">
    <w:name w:val="明显引用 字符"/>
    <w:link w:val="109"/>
    <w:qFormat/>
    <w:uiPriority w:val="30"/>
    <w:rPr>
      <w:i/>
    </w:rPr>
  </w:style>
  <w:style w:type="character" w:customStyle="1" w:styleId="111">
    <w:name w:val="页脚 字符1"/>
    <w:link w:val="22"/>
    <w:qFormat/>
    <w:uiPriority w:val="99"/>
  </w:style>
  <w:style w:type="table" w:customStyle="1" w:styleId="11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1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3">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4">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5">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6">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7">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8">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0">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2">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3">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4">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5">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8">
    <w:name w:val="脚注文本 字符"/>
    <w:link w:val="27"/>
    <w:qFormat/>
    <w:uiPriority w:val="0"/>
    <w:rPr>
      <w:sz w:val="18"/>
    </w:rPr>
  </w:style>
  <w:style w:type="character" w:customStyle="1" w:styleId="219">
    <w:name w:val="尾注文本 字符"/>
    <w:link w:val="21"/>
    <w:qFormat/>
    <w:uiPriority w:val="99"/>
    <w:rPr>
      <w:sz w:val="20"/>
    </w:rPr>
  </w:style>
  <w:style w:type="paragraph" w:customStyle="1" w:styleId="220">
    <w:name w:val="TOC 标题11"/>
    <w:unhideWhenUsed/>
    <w:qFormat/>
    <w:uiPriority w:val="39"/>
    <w:rPr>
      <w:rFonts w:hint="default" w:ascii="Times New Roman" w:hAnsi="Times New Roman" w:eastAsia="宋体" w:cs="Times New Roman"/>
      <w:lang w:val="en-US" w:eastAsia="zh-CN" w:bidi="ar-SA"/>
    </w:rPr>
  </w:style>
  <w:style w:type="paragraph" w:customStyle="1" w:styleId="221">
    <w:name w:val="标题 11"/>
    <w:basedOn w:val="1"/>
    <w:next w:val="1"/>
    <w:link w:val="233"/>
    <w:qFormat/>
    <w:uiPriority w:val="0"/>
    <w:pPr>
      <w:keepNext/>
      <w:keepLines/>
      <w:spacing w:before="340" w:after="330" w:line="576" w:lineRule="auto"/>
      <w:outlineLvl w:val="0"/>
    </w:pPr>
    <w:rPr>
      <w:b/>
      <w:sz w:val="44"/>
      <w:szCs w:val="20"/>
    </w:rPr>
  </w:style>
  <w:style w:type="paragraph" w:customStyle="1" w:styleId="222">
    <w:name w:val="标题 21"/>
    <w:basedOn w:val="1"/>
    <w:next w:val="1"/>
    <w:link w:val="234"/>
    <w:qFormat/>
    <w:uiPriority w:val="0"/>
    <w:pPr>
      <w:keepNext/>
      <w:keepLines/>
      <w:spacing w:before="260" w:after="260" w:line="413" w:lineRule="auto"/>
      <w:outlineLvl w:val="1"/>
    </w:pPr>
    <w:rPr>
      <w:rFonts w:ascii="Arial" w:hAnsi="Arial" w:eastAsia="黑体"/>
      <w:b/>
      <w:sz w:val="32"/>
      <w:szCs w:val="20"/>
    </w:rPr>
  </w:style>
  <w:style w:type="paragraph" w:customStyle="1" w:styleId="223">
    <w:name w:val="标题 31"/>
    <w:basedOn w:val="1"/>
    <w:next w:val="1"/>
    <w:link w:val="235"/>
    <w:qFormat/>
    <w:uiPriority w:val="0"/>
    <w:pPr>
      <w:keepNext/>
      <w:keepLines/>
      <w:spacing w:before="260" w:after="260" w:line="413" w:lineRule="auto"/>
      <w:outlineLvl w:val="2"/>
    </w:pPr>
    <w:rPr>
      <w:b/>
      <w:sz w:val="32"/>
      <w:szCs w:val="20"/>
    </w:rPr>
  </w:style>
  <w:style w:type="paragraph" w:customStyle="1" w:styleId="224">
    <w:name w:val="标题 41"/>
    <w:basedOn w:val="1"/>
    <w:next w:val="1"/>
    <w:link w:val="236"/>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25">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26">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27">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28">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29">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30">
    <w:name w:val="默认段落字体1"/>
    <w:unhideWhenUsed/>
    <w:qFormat/>
    <w:uiPriority w:val="1"/>
  </w:style>
  <w:style w:type="table" w:customStyle="1" w:styleId="231">
    <w:name w:val="普通表格1"/>
    <w:semiHidden/>
    <w:qFormat/>
    <w:uiPriority w:val="0"/>
    <w:tblPr>
      <w:tblCellMar>
        <w:top w:w="0" w:type="dxa"/>
        <w:left w:w="0" w:type="dxa"/>
        <w:bottom w:w="0" w:type="dxa"/>
        <w:right w:w="0" w:type="dxa"/>
      </w:tblCellMar>
    </w:tblPr>
  </w:style>
  <w:style w:type="character" w:customStyle="1" w:styleId="232">
    <w:name w:val="正文文本 字符"/>
    <w:link w:val="97"/>
    <w:qFormat/>
    <w:uiPriority w:val="0"/>
    <w:rPr>
      <w:rFonts w:ascii="仿宋_GB2312" w:eastAsia="仿宋_GB2312"/>
      <w:sz w:val="32"/>
      <w:szCs w:val="22"/>
    </w:rPr>
  </w:style>
  <w:style w:type="character" w:customStyle="1" w:styleId="233">
    <w:name w:val="标题 1 字符"/>
    <w:link w:val="221"/>
    <w:qFormat/>
    <w:uiPriority w:val="9"/>
    <w:rPr>
      <w:b/>
      <w:sz w:val="44"/>
    </w:rPr>
  </w:style>
  <w:style w:type="character" w:customStyle="1" w:styleId="234">
    <w:name w:val="标题 2 字符"/>
    <w:link w:val="222"/>
    <w:qFormat/>
    <w:uiPriority w:val="9"/>
    <w:rPr>
      <w:rFonts w:ascii="Arial" w:hAnsi="Arial" w:eastAsia="黑体"/>
      <w:b/>
      <w:sz w:val="32"/>
    </w:rPr>
  </w:style>
  <w:style w:type="character" w:customStyle="1" w:styleId="235">
    <w:name w:val="标题 3 字符"/>
    <w:link w:val="223"/>
    <w:qFormat/>
    <w:uiPriority w:val="0"/>
    <w:rPr>
      <w:b/>
      <w:sz w:val="32"/>
    </w:rPr>
  </w:style>
  <w:style w:type="character" w:customStyle="1" w:styleId="236">
    <w:name w:val="标题 4 字符"/>
    <w:link w:val="224"/>
    <w:qFormat/>
    <w:uiPriority w:val="0"/>
    <w:rPr>
      <w:rFonts w:ascii="宋体" w:eastAsia="宋体"/>
      <w:color w:val="800000"/>
      <w:sz w:val="28"/>
      <w:lang w:val="en-US" w:eastAsia="zh-CN" w:bidi="ar-SA"/>
    </w:rPr>
  </w:style>
  <w:style w:type="paragraph" w:customStyle="1" w:styleId="237">
    <w:name w:val="目录 71"/>
    <w:basedOn w:val="1"/>
    <w:next w:val="1"/>
    <w:qFormat/>
    <w:uiPriority w:val="0"/>
    <w:pPr>
      <w:ind w:left="1260"/>
      <w:jc w:val="left"/>
    </w:pPr>
    <w:rPr>
      <w:rFonts w:ascii="Calibri" w:hAnsi="Calibri" w:cs="Calibri"/>
      <w:sz w:val="18"/>
      <w:szCs w:val="18"/>
    </w:rPr>
  </w:style>
  <w:style w:type="paragraph" w:customStyle="1" w:styleId="238">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39">
    <w:name w:val="索引 81"/>
    <w:basedOn w:val="1"/>
    <w:next w:val="1"/>
    <w:qFormat/>
    <w:uiPriority w:val="0"/>
    <w:pPr>
      <w:ind w:left="1400"/>
    </w:pPr>
    <w:rPr>
      <w:rFonts w:ascii="Calibri" w:hAnsi="Calibri"/>
    </w:rPr>
  </w:style>
  <w:style w:type="paragraph" w:customStyle="1" w:styleId="240">
    <w:name w:val="正文缩进11"/>
    <w:basedOn w:val="1"/>
    <w:qFormat/>
    <w:uiPriority w:val="0"/>
    <w:pPr>
      <w:ind w:firstLine="420"/>
    </w:pPr>
    <w:rPr>
      <w:rFonts w:ascii="宋体"/>
      <w:color w:val="000000"/>
      <w:sz w:val="24"/>
      <w:szCs w:val="20"/>
    </w:rPr>
  </w:style>
  <w:style w:type="paragraph" w:customStyle="1" w:styleId="241">
    <w:name w:val="题注1"/>
    <w:basedOn w:val="1"/>
    <w:next w:val="1"/>
    <w:link w:val="242"/>
    <w:qFormat/>
    <w:uiPriority w:val="0"/>
    <w:pPr>
      <w:tabs>
        <w:tab w:val="left" w:pos="0"/>
      </w:tabs>
      <w:spacing w:line="360" w:lineRule="auto"/>
    </w:pPr>
    <w:rPr>
      <w:rFonts w:ascii="Arial" w:hAnsi="Arial" w:eastAsia="黑体"/>
      <w:sz w:val="20"/>
      <w:szCs w:val="20"/>
    </w:rPr>
  </w:style>
  <w:style w:type="character" w:customStyle="1" w:styleId="242">
    <w:name w:val="题注 字符"/>
    <w:link w:val="241"/>
    <w:qFormat/>
    <w:uiPriority w:val="0"/>
    <w:rPr>
      <w:rFonts w:ascii="Arial" w:hAnsi="Arial" w:eastAsia="黑体" w:cs="Arial"/>
    </w:rPr>
  </w:style>
  <w:style w:type="paragraph" w:customStyle="1" w:styleId="243">
    <w:name w:val="索引 51"/>
    <w:basedOn w:val="1"/>
    <w:next w:val="1"/>
    <w:qFormat/>
    <w:uiPriority w:val="0"/>
    <w:pPr>
      <w:ind w:left="800"/>
    </w:pPr>
    <w:rPr>
      <w:rFonts w:ascii="Calibri" w:hAnsi="Calibri"/>
    </w:rPr>
  </w:style>
  <w:style w:type="paragraph" w:customStyle="1" w:styleId="244">
    <w:name w:val="列表项目符号1"/>
    <w:basedOn w:val="1"/>
    <w:qFormat/>
    <w:uiPriority w:val="0"/>
    <w:pPr>
      <w:tabs>
        <w:tab w:val="left" w:pos="840"/>
      </w:tabs>
      <w:spacing w:line="360" w:lineRule="auto"/>
      <w:ind w:left="962" w:hanging="480"/>
    </w:pPr>
    <w:rPr>
      <w:sz w:val="24"/>
    </w:rPr>
  </w:style>
  <w:style w:type="paragraph" w:customStyle="1" w:styleId="245">
    <w:name w:val="文档结构图1"/>
    <w:basedOn w:val="1"/>
    <w:qFormat/>
    <w:uiPriority w:val="0"/>
    <w:pPr>
      <w:shd w:val="clear" w:color="auto" w:fill="000080"/>
    </w:pPr>
  </w:style>
  <w:style w:type="paragraph" w:customStyle="1" w:styleId="246">
    <w:name w:val="批注文字1"/>
    <w:basedOn w:val="1"/>
    <w:link w:val="247"/>
    <w:qFormat/>
    <w:uiPriority w:val="99"/>
    <w:pPr>
      <w:jc w:val="left"/>
    </w:pPr>
    <w:rPr>
      <w:rFonts w:ascii="Calibri" w:hAnsi="Calibri"/>
      <w:szCs w:val="20"/>
    </w:rPr>
  </w:style>
  <w:style w:type="character" w:customStyle="1" w:styleId="247">
    <w:name w:val="批注文字 字符"/>
    <w:link w:val="246"/>
    <w:qFormat/>
    <w:uiPriority w:val="99"/>
    <w:rPr>
      <w:rFonts w:ascii="Calibri" w:hAnsi="Calibri" w:eastAsia="宋体" w:cs="Times New Roman"/>
      <w:sz w:val="21"/>
    </w:rPr>
  </w:style>
  <w:style w:type="paragraph" w:customStyle="1" w:styleId="248">
    <w:name w:val="索引 61"/>
    <w:basedOn w:val="1"/>
    <w:next w:val="1"/>
    <w:qFormat/>
    <w:uiPriority w:val="0"/>
    <w:pPr>
      <w:ind w:left="1000"/>
    </w:pPr>
    <w:rPr>
      <w:rFonts w:ascii="Calibri" w:hAnsi="Calibri"/>
    </w:rPr>
  </w:style>
  <w:style w:type="paragraph" w:customStyle="1" w:styleId="249">
    <w:name w:val="正文文本 31"/>
    <w:basedOn w:val="1"/>
    <w:qFormat/>
    <w:uiPriority w:val="0"/>
    <w:rPr>
      <w:color w:val="000000"/>
    </w:rPr>
  </w:style>
  <w:style w:type="paragraph" w:customStyle="1" w:styleId="250">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51">
    <w:name w:val="正文文本缩进11"/>
    <w:basedOn w:val="1"/>
    <w:next w:val="1"/>
    <w:qFormat/>
    <w:uiPriority w:val="0"/>
    <w:pPr>
      <w:ind w:firstLine="225"/>
    </w:pPr>
    <w:rPr>
      <w:rFonts w:ascii="仿宋_GB2312" w:eastAsia="仿宋_GB2312"/>
      <w:sz w:val="32"/>
    </w:rPr>
  </w:style>
  <w:style w:type="paragraph" w:customStyle="1" w:styleId="252">
    <w:name w:val="文本块1"/>
    <w:basedOn w:val="1"/>
    <w:qFormat/>
    <w:uiPriority w:val="0"/>
    <w:pPr>
      <w:spacing w:line="360" w:lineRule="exact"/>
      <w:ind w:left="1548" w:right="12" w:hanging="2405"/>
    </w:pPr>
    <w:rPr>
      <w:rFonts w:ascii="宋体"/>
      <w:bCs/>
      <w:sz w:val="28"/>
    </w:rPr>
  </w:style>
  <w:style w:type="paragraph" w:customStyle="1" w:styleId="253">
    <w:name w:val="列表项目符号 21"/>
    <w:basedOn w:val="1"/>
    <w:qFormat/>
    <w:uiPriority w:val="0"/>
    <w:pPr>
      <w:tabs>
        <w:tab w:val="left" w:pos="720"/>
      </w:tabs>
      <w:spacing w:line="360" w:lineRule="auto"/>
      <w:ind w:left="720" w:hanging="360"/>
    </w:pPr>
    <w:rPr>
      <w:sz w:val="24"/>
    </w:rPr>
  </w:style>
  <w:style w:type="paragraph" w:customStyle="1" w:styleId="254">
    <w:name w:val="HTML 地址1"/>
    <w:basedOn w:val="1"/>
    <w:qFormat/>
    <w:uiPriority w:val="0"/>
    <w:rPr>
      <w:i/>
      <w:iCs/>
    </w:rPr>
  </w:style>
  <w:style w:type="paragraph" w:customStyle="1" w:styleId="255">
    <w:name w:val="索引 41"/>
    <w:basedOn w:val="1"/>
    <w:next w:val="1"/>
    <w:qFormat/>
    <w:uiPriority w:val="0"/>
    <w:pPr>
      <w:ind w:left="600"/>
    </w:pPr>
    <w:rPr>
      <w:rFonts w:ascii="Calibri" w:hAnsi="Calibri"/>
    </w:rPr>
  </w:style>
  <w:style w:type="paragraph" w:customStyle="1" w:styleId="256">
    <w:name w:val="目录 51"/>
    <w:basedOn w:val="1"/>
    <w:next w:val="1"/>
    <w:qFormat/>
    <w:uiPriority w:val="0"/>
    <w:pPr>
      <w:ind w:left="840"/>
      <w:jc w:val="left"/>
    </w:pPr>
    <w:rPr>
      <w:rFonts w:ascii="Calibri" w:hAnsi="Calibri" w:cs="Calibri"/>
      <w:sz w:val="18"/>
      <w:szCs w:val="18"/>
    </w:rPr>
  </w:style>
  <w:style w:type="paragraph" w:customStyle="1" w:styleId="257">
    <w:name w:val="目录 31"/>
    <w:basedOn w:val="1"/>
    <w:next w:val="1"/>
    <w:qFormat/>
    <w:uiPriority w:val="39"/>
    <w:pPr>
      <w:ind w:left="420"/>
      <w:jc w:val="left"/>
    </w:pPr>
    <w:rPr>
      <w:rFonts w:ascii="Calibri" w:hAnsi="Calibri" w:cs="Calibri"/>
      <w:i/>
      <w:iCs/>
      <w:sz w:val="20"/>
      <w:szCs w:val="20"/>
    </w:rPr>
  </w:style>
  <w:style w:type="paragraph" w:customStyle="1" w:styleId="258">
    <w:name w:val="纯文本11"/>
    <w:basedOn w:val="1"/>
    <w:qFormat/>
    <w:uiPriority w:val="0"/>
    <w:rPr>
      <w:rFonts w:ascii="宋体"/>
      <w:szCs w:val="21"/>
    </w:rPr>
  </w:style>
  <w:style w:type="paragraph" w:customStyle="1" w:styleId="259">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60">
    <w:name w:val="目录 81"/>
    <w:basedOn w:val="1"/>
    <w:next w:val="1"/>
    <w:qFormat/>
    <w:uiPriority w:val="0"/>
    <w:pPr>
      <w:ind w:left="1470"/>
      <w:jc w:val="left"/>
    </w:pPr>
    <w:rPr>
      <w:rFonts w:ascii="Calibri" w:hAnsi="Calibri" w:cs="Calibri"/>
      <w:sz w:val="18"/>
      <w:szCs w:val="18"/>
    </w:rPr>
  </w:style>
  <w:style w:type="paragraph" w:customStyle="1" w:styleId="261">
    <w:name w:val="索引 31"/>
    <w:basedOn w:val="1"/>
    <w:next w:val="1"/>
    <w:qFormat/>
    <w:uiPriority w:val="0"/>
    <w:pPr>
      <w:ind w:left="400"/>
    </w:pPr>
    <w:rPr>
      <w:rFonts w:ascii="Calibri" w:hAnsi="Calibri"/>
    </w:rPr>
  </w:style>
  <w:style w:type="paragraph" w:customStyle="1" w:styleId="262">
    <w:name w:val="日期1"/>
    <w:basedOn w:val="1"/>
    <w:next w:val="1"/>
    <w:qFormat/>
    <w:uiPriority w:val="0"/>
    <w:pPr>
      <w:ind w:left="2500"/>
    </w:pPr>
  </w:style>
  <w:style w:type="paragraph" w:customStyle="1" w:styleId="263">
    <w:name w:val="正文文本缩进 21"/>
    <w:basedOn w:val="1"/>
    <w:qFormat/>
    <w:uiPriority w:val="0"/>
    <w:pPr>
      <w:spacing w:line="540" w:lineRule="exact"/>
      <w:ind w:firstLine="225"/>
      <w:jc w:val="left"/>
    </w:pPr>
    <w:rPr>
      <w:rFonts w:ascii="仿宋_GB2312" w:eastAsia="仿宋_GB2312"/>
      <w:sz w:val="32"/>
    </w:rPr>
  </w:style>
  <w:style w:type="paragraph" w:customStyle="1" w:styleId="264">
    <w:name w:val="尾注文本1"/>
    <w:basedOn w:val="1"/>
    <w:qFormat/>
    <w:uiPriority w:val="0"/>
    <w:pPr>
      <w:widowControl/>
      <w:jc w:val="left"/>
    </w:pPr>
    <w:rPr>
      <w:rFonts w:ascii="宋体"/>
      <w:bCs/>
      <w:szCs w:val="21"/>
    </w:rPr>
  </w:style>
  <w:style w:type="paragraph" w:customStyle="1" w:styleId="265">
    <w:name w:val="批注框文本1"/>
    <w:basedOn w:val="1"/>
    <w:qFormat/>
    <w:uiPriority w:val="0"/>
    <w:rPr>
      <w:sz w:val="18"/>
      <w:szCs w:val="20"/>
    </w:rPr>
  </w:style>
  <w:style w:type="paragraph" w:customStyle="1" w:styleId="266">
    <w:name w:val="页脚1"/>
    <w:basedOn w:val="1"/>
    <w:link w:val="267"/>
    <w:qFormat/>
    <w:uiPriority w:val="99"/>
    <w:pPr>
      <w:tabs>
        <w:tab w:val="center" w:pos="4153"/>
        <w:tab w:val="right" w:pos="8306"/>
      </w:tabs>
      <w:jc w:val="left"/>
    </w:pPr>
    <w:rPr>
      <w:rFonts w:ascii="Calibri" w:hAnsi="Calibri"/>
      <w:sz w:val="18"/>
      <w:szCs w:val="18"/>
    </w:rPr>
  </w:style>
  <w:style w:type="character" w:customStyle="1" w:styleId="267">
    <w:name w:val="页脚 字符"/>
    <w:link w:val="266"/>
    <w:qFormat/>
    <w:uiPriority w:val="99"/>
    <w:rPr>
      <w:rFonts w:ascii="Calibri" w:hAnsi="Calibri" w:eastAsia="宋体" w:cs="Times New Roman"/>
      <w:sz w:val="18"/>
      <w:szCs w:val="18"/>
    </w:rPr>
  </w:style>
  <w:style w:type="paragraph" w:customStyle="1" w:styleId="268">
    <w:name w:val="寄信人地址11"/>
    <w:basedOn w:val="1"/>
    <w:qFormat/>
    <w:uiPriority w:val="0"/>
    <w:rPr>
      <w:rFonts w:ascii="Arial" w:hAnsi="Arial"/>
    </w:rPr>
  </w:style>
  <w:style w:type="paragraph" w:customStyle="1" w:styleId="269">
    <w:name w:val="页眉1"/>
    <w:basedOn w:val="1"/>
    <w:link w:val="270"/>
    <w:qFormat/>
    <w:uiPriority w:val="99"/>
    <w:pPr>
      <w:pBdr>
        <w:bottom w:val="single" w:color="000000" w:sz="6" w:space="1"/>
      </w:pBdr>
      <w:tabs>
        <w:tab w:val="center" w:pos="4153"/>
        <w:tab w:val="right" w:pos="8306"/>
      </w:tabs>
      <w:jc w:val="center"/>
    </w:pPr>
    <w:rPr>
      <w:sz w:val="18"/>
      <w:szCs w:val="18"/>
    </w:rPr>
  </w:style>
  <w:style w:type="character" w:customStyle="1" w:styleId="270">
    <w:name w:val="页眉 字符"/>
    <w:link w:val="269"/>
    <w:qFormat/>
    <w:uiPriority w:val="99"/>
    <w:rPr>
      <w:sz w:val="18"/>
      <w:szCs w:val="18"/>
    </w:rPr>
  </w:style>
  <w:style w:type="paragraph" w:customStyle="1" w:styleId="271">
    <w:name w:val="目录 11"/>
    <w:basedOn w:val="1"/>
    <w:next w:val="1"/>
    <w:qFormat/>
    <w:uiPriority w:val="39"/>
    <w:pPr>
      <w:spacing w:before="120" w:after="120"/>
      <w:jc w:val="left"/>
    </w:pPr>
    <w:rPr>
      <w:rFonts w:ascii="Calibri" w:hAnsi="Calibri" w:cs="Calibri"/>
      <w:b/>
      <w:bCs/>
      <w:caps/>
      <w:sz w:val="20"/>
      <w:szCs w:val="20"/>
    </w:rPr>
  </w:style>
  <w:style w:type="paragraph" w:customStyle="1" w:styleId="272">
    <w:name w:val="目录 41"/>
    <w:basedOn w:val="1"/>
    <w:next w:val="1"/>
    <w:qFormat/>
    <w:uiPriority w:val="0"/>
    <w:pPr>
      <w:ind w:left="630"/>
      <w:jc w:val="left"/>
    </w:pPr>
    <w:rPr>
      <w:rFonts w:ascii="Calibri" w:hAnsi="Calibri" w:cs="Calibri"/>
      <w:sz w:val="18"/>
      <w:szCs w:val="18"/>
    </w:rPr>
  </w:style>
  <w:style w:type="paragraph" w:customStyle="1" w:styleId="273">
    <w:name w:val="索引标题1"/>
    <w:basedOn w:val="1"/>
    <w:next w:val="274"/>
    <w:qFormat/>
    <w:uiPriority w:val="0"/>
    <w:rPr>
      <w:rFonts w:ascii="Calibri" w:hAnsi="Calibri"/>
    </w:rPr>
  </w:style>
  <w:style w:type="paragraph" w:customStyle="1" w:styleId="274">
    <w:name w:val="索引 11"/>
    <w:basedOn w:val="1"/>
    <w:next w:val="1"/>
    <w:qFormat/>
    <w:uiPriority w:val="0"/>
    <w:rPr>
      <w:rFonts w:ascii="Calibri" w:hAnsi="Calibri"/>
    </w:rPr>
  </w:style>
  <w:style w:type="paragraph" w:customStyle="1" w:styleId="275">
    <w:name w:val="脚注文本1"/>
    <w:basedOn w:val="1"/>
    <w:qFormat/>
    <w:uiPriority w:val="0"/>
    <w:pPr>
      <w:jc w:val="left"/>
    </w:pPr>
    <w:rPr>
      <w:rFonts w:ascii="宋体"/>
      <w:bCs/>
      <w:sz w:val="18"/>
      <w:szCs w:val="18"/>
    </w:rPr>
  </w:style>
  <w:style w:type="paragraph" w:customStyle="1" w:styleId="276">
    <w:name w:val="目录 61"/>
    <w:basedOn w:val="1"/>
    <w:next w:val="1"/>
    <w:qFormat/>
    <w:uiPriority w:val="0"/>
    <w:pPr>
      <w:ind w:left="1050"/>
      <w:jc w:val="left"/>
    </w:pPr>
    <w:rPr>
      <w:rFonts w:ascii="Calibri" w:hAnsi="Calibri" w:cs="Calibri"/>
      <w:sz w:val="18"/>
      <w:szCs w:val="18"/>
    </w:rPr>
  </w:style>
  <w:style w:type="paragraph" w:customStyle="1" w:styleId="277">
    <w:name w:val="正文文本缩进 31"/>
    <w:basedOn w:val="1"/>
    <w:qFormat/>
    <w:uiPriority w:val="0"/>
    <w:pPr>
      <w:ind w:firstLine="213"/>
    </w:pPr>
    <w:rPr>
      <w:rFonts w:ascii="仿宋_GB2312" w:eastAsia="仿宋_GB2312"/>
      <w:sz w:val="30"/>
    </w:rPr>
  </w:style>
  <w:style w:type="paragraph" w:customStyle="1" w:styleId="278">
    <w:name w:val="索引 71"/>
    <w:basedOn w:val="1"/>
    <w:next w:val="1"/>
    <w:qFormat/>
    <w:uiPriority w:val="0"/>
    <w:pPr>
      <w:ind w:left="1200"/>
    </w:pPr>
    <w:rPr>
      <w:rFonts w:ascii="Calibri" w:hAnsi="Calibri"/>
    </w:rPr>
  </w:style>
  <w:style w:type="paragraph" w:customStyle="1" w:styleId="279">
    <w:name w:val="索引 91"/>
    <w:basedOn w:val="1"/>
    <w:next w:val="1"/>
    <w:qFormat/>
    <w:uiPriority w:val="0"/>
    <w:pPr>
      <w:ind w:left="1600"/>
    </w:pPr>
    <w:rPr>
      <w:rFonts w:ascii="Calibri" w:hAnsi="Calibri"/>
    </w:rPr>
  </w:style>
  <w:style w:type="paragraph" w:customStyle="1" w:styleId="280">
    <w:name w:val="图表目录11"/>
    <w:basedOn w:val="1"/>
    <w:next w:val="1"/>
    <w:qFormat/>
    <w:uiPriority w:val="0"/>
    <w:pPr>
      <w:widowControl/>
      <w:ind w:left="400" w:hanging="200"/>
      <w:jc w:val="left"/>
    </w:pPr>
    <w:rPr>
      <w:rFonts w:ascii="宋体"/>
      <w:bCs/>
      <w:szCs w:val="21"/>
    </w:rPr>
  </w:style>
  <w:style w:type="paragraph" w:customStyle="1" w:styleId="281">
    <w:name w:val="目录 21"/>
    <w:basedOn w:val="1"/>
    <w:next w:val="1"/>
    <w:qFormat/>
    <w:uiPriority w:val="39"/>
    <w:pPr>
      <w:ind w:left="210"/>
      <w:jc w:val="left"/>
    </w:pPr>
    <w:rPr>
      <w:rFonts w:ascii="Calibri" w:hAnsi="Calibri" w:cs="Calibri"/>
      <w:smallCaps/>
      <w:sz w:val="20"/>
      <w:szCs w:val="20"/>
    </w:rPr>
  </w:style>
  <w:style w:type="paragraph" w:customStyle="1" w:styleId="282">
    <w:name w:val="目录 91"/>
    <w:basedOn w:val="1"/>
    <w:next w:val="1"/>
    <w:qFormat/>
    <w:uiPriority w:val="0"/>
    <w:pPr>
      <w:ind w:left="1680"/>
      <w:jc w:val="left"/>
    </w:pPr>
    <w:rPr>
      <w:rFonts w:ascii="Calibri" w:hAnsi="Calibri" w:cs="Calibri"/>
      <w:sz w:val="18"/>
      <w:szCs w:val="18"/>
    </w:rPr>
  </w:style>
  <w:style w:type="paragraph" w:customStyle="1" w:styleId="283">
    <w:name w:val="正文文本 21"/>
    <w:basedOn w:val="1"/>
    <w:qFormat/>
    <w:uiPriority w:val="0"/>
    <w:pPr>
      <w:spacing w:line="560" w:lineRule="exact"/>
    </w:pPr>
    <w:rPr>
      <w:rFonts w:ascii="仿宋_GB2312" w:eastAsia="仿宋_GB2312"/>
      <w:sz w:val="28"/>
      <w:szCs w:val="30"/>
    </w:rPr>
  </w:style>
  <w:style w:type="paragraph" w:customStyle="1" w:styleId="284">
    <w:name w:val="列表接续 21"/>
    <w:basedOn w:val="1"/>
    <w:qFormat/>
    <w:uiPriority w:val="0"/>
    <w:pPr>
      <w:spacing w:after="120"/>
      <w:ind w:left="840"/>
    </w:pPr>
  </w:style>
  <w:style w:type="paragraph" w:customStyle="1" w:styleId="285">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86">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87">
    <w:name w:val="索引 21"/>
    <w:basedOn w:val="1"/>
    <w:next w:val="1"/>
    <w:qFormat/>
    <w:uiPriority w:val="0"/>
    <w:pPr>
      <w:ind w:left="200"/>
    </w:pPr>
    <w:rPr>
      <w:rFonts w:ascii="Calibri" w:hAnsi="Calibri"/>
    </w:rPr>
  </w:style>
  <w:style w:type="paragraph" w:customStyle="1" w:styleId="288">
    <w:name w:val="标题1"/>
    <w:basedOn w:val="1"/>
    <w:qFormat/>
    <w:uiPriority w:val="0"/>
    <w:pPr>
      <w:spacing w:before="240" w:after="60"/>
      <w:jc w:val="center"/>
      <w:outlineLvl w:val="0"/>
    </w:pPr>
    <w:rPr>
      <w:rFonts w:ascii="Cambria" w:hAnsi="Cambria"/>
      <w:b/>
      <w:bCs/>
      <w:sz w:val="32"/>
      <w:szCs w:val="32"/>
    </w:rPr>
  </w:style>
  <w:style w:type="paragraph" w:customStyle="1" w:styleId="289">
    <w:name w:val="批注主题1"/>
    <w:basedOn w:val="246"/>
    <w:next w:val="246"/>
    <w:qFormat/>
    <w:uiPriority w:val="0"/>
    <w:rPr>
      <w:b/>
    </w:rPr>
  </w:style>
  <w:style w:type="paragraph" w:customStyle="1" w:styleId="290">
    <w:name w:val="正文首行缩进1"/>
    <w:basedOn w:val="1"/>
    <w:next w:val="1"/>
    <w:qFormat/>
    <w:uiPriority w:val="0"/>
    <w:pPr>
      <w:spacing w:after="120"/>
      <w:ind w:firstLine="100"/>
    </w:pPr>
  </w:style>
  <w:style w:type="paragraph" w:customStyle="1" w:styleId="291">
    <w:name w:val="正文首行缩进 21"/>
    <w:basedOn w:val="251"/>
    <w:link w:val="292"/>
    <w:qFormat/>
    <w:uiPriority w:val="0"/>
    <w:pPr>
      <w:spacing w:after="120"/>
      <w:ind w:left="200" w:firstLine="200"/>
    </w:pPr>
    <w:rPr>
      <w:rFonts w:ascii="Times New Roman"/>
      <w:sz w:val="24"/>
      <w:szCs w:val="24"/>
    </w:rPr>
  </w:style>
  <w:style w:type="character" w:customStyle="1" w:styleId="292">
    <w:name w:val="正文文本首行缩进 2 字符"/>
    <w:link w:val="291"/>
    <w:qFormat/>
    <w:uiPriority w:val="0"/>
    <w:rPr>
      <w:rFonts w:eastAsia="仿宋_GB2312"/>
      <w:sz w:val="24"/>
      <w:szCs w:val="24"/>
      <w:lang w:bidi="ar-SA"/>
    </w:rPr>
  </w:style>
  <w:style w:type="table" w:customStyle="1" w:styleId="293">
    <w:name w:val="网格型1"/>
    <w:basedOn w:val="231"/>
    <w:qFormat/>
    <w:uiPriority w:val="0"/>
  </w:style>
  <w:style w:type="character" w:customStyle="1" w:styleId="294">
    <w:name w:val="要点1"/>
    <w:qFormat/>
    <w:uiPriority w:val="0"/>
    <w:rPr>
      <w:b/>
    </w:rPr>
  </w:style>
  <w:style w:type="character" w:customStyle="1" w:styleId="295">
    <w:name w:val="尾注引用1"/>
    <w:qFormat/>
    <w:uiPriority w:val="0"/>
    <w:rPr>
      <w:vertAlign w:val="superscript"/>
    </w:rPr>
  </w:style>
  <w:style w:type="character" w:customStyle="1" w:styleId="296">
    <w:name w:val="页码1"/>
    <w:qFormat/>
    <w:uiPriority w:val="0"/>
  </w:style>
  <w:style w:type="character" w:customStyle="1" w:styleId="297">
    <w:name w:val="已访问的超链接1"/>
    <w:qFormat/>
    <w:uiPriority w:val="0"/>
    <w:rPr>
      <w:color w:val="800080"/>
      <w:u w:val="single"/>
    </w:rPr>
  </w:style>
  <w:style w:type="character" w:customStyle="1" w:styleId="298">
    <w:name w:val="强调1"/>
    <w:qFormat/>
    <w:uiPriority w:val="0"/>
    <w:rPr>
      <w:color w:val="CC0033"/>
    </w:rPr>
  </w:style>
  <w:style w:type="character" w:customStyle="1" w:styleId="299">
    <w:name w:val="HTML 打字机1"/>
    <w:qFormat/>
    <w:uiPriority w:val="0"/>
    <w:rPr>
      <w:rFonts w:ascii="宋体" w:eastAsia="宋体" w:cs="宋体"/>
      <w:sz w:val="24"/>
      <w:szCs w:val="24"/>
      <w:lang w:bidi="ar-SA"/>
    </w:rPr>
  </w:style>
  <w:style w:type="character" w:customStyle="1" w:styleId="300">
    <w:name w:val="超链接1"/>
    <w:qFormat/>
    <w:uiPriority w:val="99"/>
    <w:rPr>
      <w:color w:val="0000FF"/>
      <w:u w:val="single"/>
    </w:rPr>
  </w:style>
  <w:style w:type="character" w:customStyle="1" w:styleId="301">
    <w:name w:val="批注引用1"/>
    <w:qFormat/>
    <w:uiPriority w:val="0"/>
    <w:rPr>
      <w:sz w:val="21"/>
    </w:rPr>
  </w:style>
  <w:style w:type="character" w:customStyle="1" w:styleId="302">
    <w:name w:val="脚注引用1"/>
    <w:qFormat/>
    <w:uiPriority w:val="0"/>
    <w:rPr>
      <w:vertAlign w:val="superscript"/>
    </w:rPr>
  </w:style>
  <w:style w:type="paragraph" w:customStyle="1" w:styleId="303">
    <w:name w:val="样式 正文首行缩进 2 + Arial"/>
    <w:basedOn w:val="1"/>
    <w:next w:val="1"/>
    <w:qFormat/>
    <w:uiPriority w:val="0"/>
    <w:pPr>
      <w:spacing w:after="120" w:line="320" w:lineRule="atLeast"/>
      <w:ind w:firstLine="200"/>
    </w:pPr>
    <w:rPr>
      <w:rFonts w:ascii="Arial" w:hAnsi="Arial"/>
    </w:rPr>
  </w:style>
  <w:style w:type="character" w:customStyle="1" w:styleId="304">
    <w:name w:val="Comment Text Char"/>
    <w:qFormat/>
    <w:uiPriority w:val="0"/>
    <w:rPr>
      <w:rFonts w:cs="Times New Roman"/>
      <w:sz w:val="21"/>
      <w:szCs w:val="21"/>
      <w:lang w:bidi="ar-SA"/>
    </w:rPr>
  </w:style>
  <w:style w:type="character" w:customStyle="1" w:styleId="305">
    <w:name w:val="纯文本 Char_0"/>
    <w:link w:val="306"/>
    <w:qFormat/>
    <w:uiPriority w:val="0"/>
    <w:rPr>
      <w:rFonts w:ascii="宋体" w:hAnsi="Courier New" w:cs="Courier New"/>
      <w:sz w:val="21"/>
      <w:szCs w:val="21"/>
    </w:rPr>
  </w:style>
  <w:style w:type="paragraph" w:customStyle="1" w:styleId="306">
    <w:name w:val="纯文本_0"/>
    <w:basedOn w:val="307"/>
    <w:link w:val="305"/>
    <w:unhideWhenUsed/>
    <w:qFormat/>
    <w:uiPriority w:val="0"/>
    <w:rPr>
      <w:rFonts w:ascii="宋体" w:hAnsi="Courier New"/>
      <w:szCs w:val="21"/>
    </w:rPr>
  </w:style>
  <w:style w:type="paragraph" w:customStyle="1" w:styleId="307">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08">
    <w:name w:val="ca-51"/>
    <w:qFormat/>
    <w:uiPriority w:val="0"/>
    <w:rPr>
      <w:rFonts w:ascii="楷体_GB2312" w:eastAsia="楷体_GB2312"/>
      <w:b/>
      <w:bCs/>
      <w:spacing w:val="-20"/>
      <w:sz w:val="24"/>
      <w:szCs w:val="24"/>
    </w:rPr>
  </w:style>
  <w:style w:type="character" w:customStyle="1" w:styleId="309">
    <w:name w:val="Heading 4 Char"/>
    <w:qFormat/>
    <w:uiPriority w:val="0"/>
    <w:rPr>
      <w:rFonts w:ascii="Cambria" w:hAnsi="Cambria" w:eastAsia="宋体" w:cs="Cambria"/>
      <w:b/>
      <w:bCs/>
      <w:sz w:val="28"/>
      <w:szCs w:val="28"/>
      <w:lang w:bidi="ar-SA"/>
    </w:rPr>
  </w:style>
  <w:style w:type="character" w:customStyle="1" w:styleId="310">
    <w:name w:val="正文缩进 Char1_0"/>
    <w:link w:val="311"/>
    <w:qFormat/>
    <w:uiPriority w:val="0"/>
    <w:rPr>
      <w:sz w:val="21"/>
      <w:szCs w:val="22"/>
    </w:rPr>
  </w:style>
  <w:style w:type="paragraph" w:customStyle="1" w:styleId="311">
    <w:name w:val="正文缩进_0"/>
    <w:basedOn w:val="307"/>
    <w:link w:val="310"/>
    <w:unhideWhenUsed/>
    <w:qFormat/>
    <w:uiPriority w:val="0"/>
    <w:pPr>
      <w:ind w:firstLine="420"/>
    </w:pPr>
    <w:rPr>
      <w:szCs w:val="22"/>
    </w:rPr>
  </w:style>
  <w:style w:type="character" w:customStyle="1" w:styleId="312">
    <w:name w:val="Header Char1"/>
    <w:qFormat/>
    <w:uiPriority w:val="0"/>
    <w:rPr>
      <w:rFonts w:cs="Times New Roman"/>
      <w:sz w:val="18"/>
      <w:szCs w:val="18"/>
      <w:lang w:bidi="ar-SA"/>
    </w:rPr>
  </w:style>
  <w:style w:type="character" w:customStyle="1" w:styleId="313">
    <w:name w:val="正文文本缩进 2 Char"/>
    <w:link w:val="314"/>
    <w:qFormat/>
    <w:uiPriority w:val="0"/>
    <w:rPr>
      <w:rFonts w:hAnsi="Times New Roman"/>
      <w:sz w:val="21"/>
      <w:szCs w:val="20"/>
    </w:rPr>
  </w:style>
  <w:style w:type="paragraph" w:customStyle="1" w:styleId="314">
    <w:name w:val="正文文本缩进 2_0"/>
    <w:basedOn w:val="315"/>
    <w:link w:val="313"/>
    <w:qFormat/>
    <w:uiPriority w:val="0"/>
    <w:pPr>
      <w:spacing w:line="420" w:lineRule="exact"/>
      <w:ind w:firstLine="525"/>
    </w:pPr>
  </w:style>
  <w:style w:type="paragraph" w:customStyle="1" w:styleId="315">
    <w:name w:val="正文_2"/>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316">
    <w:name w:val="Heading 3 Char"/>
    <w:qFormat/>
    <w:uiPriority w:val="0"/>
    <w:rPr>
      <w:rFonts w:cs="Times New Roman"/>
      <w:b/>
      <w:bCs/>
      <w:sz w:val="32"/>
      <w:szCs w:val="32"/>
      <w:lang w:bidi="ar-SA"/>
    </w:rPr>
  </w:style>
  <w:style w:type="character" w:customStyle="1" w:styleId="317">
    <w:name w:val="ca-21"/>
    <w:qFormat/>
    <w:uiPriority w:val="0"/>
    <w:rPr>
      <w:rFonts w:ascii="宋体" w:eastAsia="宋体"/>
      <w:sz w:val="21"/>
    </w:rPr>
  </w:style>
  <w:style w:type="character" w:customStyle="1" w:styleId="318">
    <w:name w:val="Plain Text Char"/>
    <w:qFormat/>
    <w:uiPriority w:val="0"/>
    <w:rPr>
      <w:rFonts w:ascii="宋体" w:eastAsia="宋体"/>
      <w:sz w:val="21"/>
      <w:lang w:val="en-US" w:eastAsia="zh-CN"/>
    </w:rPr>
  </w:style>
  <w:style w:type="character" w:customStyle="1" w:styleId="319">
    <w:name w:val="maywed421"/>
    <w:qFormat/>
    <w:uiPriority w:val="0"/>
    <w:rPr>
      <w:color w:val="366FB6"/>
      <w:u w:val="none"/>
    </w:rPr>
  </w:style>
  <w:style w:type="character" w:customStyle="1" w:styleId="320">
    <w:name w:val="纯文本 Char_0_0"/>
    <w:link w:val="321"/>
    <w:qFormat/>
    <w:uiPriority w:val="0"/>
    <w:rPr>
      <w:rFonts w:ascii="宋体" w:hAnsi="Courier New"/>
      <w:sz w:val="21"/>
      <w:szCs w:val="21"/>
    </w:rPr>
  </w:style>
  <w:style w:type="paragraph" w:customStyle="1" w:styleId="321">
    <w:name w:val="纯文本_0_0"/>
    <w:basedOn w:val="322"/>
    <w:link w:val="320"/>
    <w:unhideWhenUsed/>
    <w:qFormat/>
    <w:uiPriority w:val="0"/>
    <w:rPr>
      <w:rFonts w:ascii="宋体" w:hAnsi="Courier New"/>
      <w:szCs w:val="21"/>
    </w:rPr>
  </w:style>
  <w:style w:type="paragraph" w:customStyle="1" w:styleId="322">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23">
    <w:name w:val="style15"/>
    <w:qFormat/>
    <w:uiPriority w:val="0"/>
  </w:style>
  <w:style w:type="character" w:customStyle="1" w:styleId="324">
    <w:name w:val="正文（标记） Char2"/>
    <w:link w:val="325"/>
    <w:qFormat/>
    <w:uiPriority w:val="0"/>
    <w:rPr>
      <w:sz w:val="24"/>
      <w:szCs w:val="24"/>
    </w:rPr>
  </w:style>
  <w:style w:type="paragraph" w:customStyle="1" w:styleId="325">
    <w:name w:val="正文（标记）"/>
    <w:basedOn w:val="1"/>
    <w:link w:val="324"/>
    <w:qFormat/>
    <w:uiPriority w:val="0"/>
    <w:pPr>
      <w:tabs>
        <w:tab w:val="left" w:pos="0"/>
        <w:tab w:val="left" w:pos="840"/>
      </w:tabs>
      <w:spacing w:before="50" w:after="50"/>
    </w:pPr>
    <w:rPr>
      <w:sz w:val="24"/>
      <w:szCs w:val="24"/>
    </w:rPr>
  </w:style>
  <w:style w:type="character" w:customStyle="1" w:styleId="326">
    <w:name w:val="段落 Char"/>
    <w:qFormat/>
    <w:uiPriority w:val="0"/>
    <w:rPr>
      <w:rFonts w:ascii="仿宋_GB2312" w:eastAsia="仿宋_GB2312"/>
      <w:sz w:val="24"/>
      <w:szCs w:val="24"/>
      <w:lang w:val="en-US" w:eastAsia="zh-CN" w:bidi="ar-SA"/>
    </w:rPr>
  </w:style>
  <w:style w:type="character" w:customStyle="1" w:styleId="327">
    <w:name w:val="Char Char2"/>
    <w:qFormat/>
    <w:uiPriority w:val="0"/>
    <w:rPr>
      <w:sz w:val="18"/>
      <w:szCs w:val="18"/>
    </w:rPr>
  </w:style>
  <w:style w:type="character" w:customStyle="1" w:styleId="328">
    <w:name w:val="style91"/>
    <w:qFormat/>
    <w:uiPriority w:val="0"/>
    <w:rPr>
      <w:color w:val="2060C0"/>
      <w:sz w:val="24"/>
      <w:szCs w:val="24"/>
    </w:rPr>
  </w:style>
  <w:style w:type="character" w:customStyle="1" w:styleId="329">
    <w:name w:val="普通文字1 Char"/>
    <w:qFormat/>
    <w:uiPriority w:val="0"/>
    <w:rPr>
      <w:rFonts w:ascii="宋体" w:eastAsia="宋体" w:cs="Courier New"/>
      <w:sz w:val="21"/>
      <w:szCs w:val="21"/>
      <w:lang w:val="en-US" w:eastAsia="zh-CN" w:bidi="ar-SA"/>
    </w:rPr>
  </w:style>
  <w:style w:type="character" w:customStyle="1" w:styleId="330">
    <w:name w:val="正文文本缩进 Char"/>
    <w:link w:val="331"/>
    <w:qFormat/>
    <w:uiPriority w:val="0"/>
    <w:rPr>
      <w:rFonts w:hAnsi="Times New Roman"/>
      <w:szCs w:val="20"/>
    </w:rPr>
  </w:style>
  <w:style w:type="paragraph" w:customStyle="1" w:styleId="331">
    <w:name w:val="正文文本缩进_0"/>
    <w:basedOn w:val="315"/>
    <w:link w:val="330"/>
    <w:qFormat/>
    <w:uiPriority w:val="0"/>
    <w:pPr>
      <w:spacing w:line="360" w:lineRule="auto"/>
      <w:ind w:firstLine="420"/>
    </w:pPr>
    <w:rPr>
      <w:sz w:val="20"/>
    </w:rPr>
  </w:style>
  <w:style w:type="character" w:customStyle="1" w:styleId="332">
    <w:name w:val="Char Char21"/>
    <w:qFormat/>
    <w:uiPriority w:val="0"/>
    <w:rPr>
      <w:sz w:val="18"/>
      <w:szCs w:val="18"/>
    </w:rPr>
  </w:style>
  <w:style w:type="character" w:customStyle="1" w:styleId="333">
    <w:name w:val="ca-41"/>
    <w:qFormat/>
    <w:uiPriority w:val="0"/>
    <w:rPr>
      <w:rFonts w:ascii="宋体" w:eastAsia="宋体"/>
      <w:b/>
      <w:bCs/>
      <w:color w:val="000000"/>
      <w:spacing w:val="-20"/>
      <w:sz w:val="21"/>
      <w:szCs w:val="21"/>
    </w:rPr>
  </w:style>
  <w:style w:type="character" w:customStyle="1" w:styleId="334">
    <w:name w:val="question-title"/>
    <w:qFormat/>
    <w:uiPriority w:val="0"/>
  </w:style>
  <w:style w:type="character" w:customStyle="1" w:styleId="335">
    <w:name w:val="A1"/>
    <w:qFormat/>
    <w:uiPriority w:val="0"/>
    <w:rPr>
      <w:rFonts w:ascii="Univers LT Std 45 Light" w:hAnsi="宋体" w:eastAsia="Univers LT Std 45 Light" w:cs="Univers LT Std 45 Light"/>
      <w:color w:val="221E1F"/>
      <w:sz w:val="10"/>
      <w:szCs w:val="10"/>
    </w:rPr>
  </w:style>
  <w:style w:type="character" w:customStyle="1" w:styleId="336">
    <w:name w:val="style161"/>
    <w:qFormat/>
    <w:uiPriority w:val="0"/>
    <w:rPr>
      <w:rFonts w:ascii="Verdana" w:hAnsi="Verdana" w:eastAsia="宋体"/>
      <w:b/>
      <w:color w:val="0A246A"/>
      <w:sz w:val="24"/>
      <w:szCs w:val="24"/>
      <w:lang w:val="en-US" w:eastAsia="zh-CN" w:bidi="ar-SA"/>
    </w:rPr>
  </w:style>
  <w:style w:type="character" w:customStyle="1" w:styleId="337">
    <w:name w:val="ca-31"/>
    <w:qFormat/>
    <w:uiPriority w:val="0"/>
    <w:rPr>
      <w:rFonts w:ascii="宋体" w:eastAsia="宋体"/>
      <w:color w:val="000000"/>
      <w:sz w:val="21"/>
      <w:szCs w:val="21"/>
    </w:rPr>
  </w:style>
  <w:style w:type="character" w:customStyle="1" w:styleId="338">
    <w:name w:val="apple-converted-space"/>
    <w:qFormat/>
    <w:uiPriority w:val="0"/>
  </w:style>
  <w:style w:type="character" w:customStyle="1" w:styleId="339">
    <w:name w:val="Footer Char1"/>
    <w:qFormat/>
    <w:uiPriority w:val="0"/>
    <w:rPr>
      <w:rFonts w:cs="Times New Roman"/>
      <w:sz w:val="18"/>
      <w:szCs w:val="18"/>
      <w:lang w:bidi="ar-SA"/>
    </w:rPr>
  </w:style>
  <w:style w:type="character" w:customStyle="1" w:styleId="340">
    <w:name w:val="A0"/>
    <w:qFormat/>
    <w:uiPriority w:val="0"/>
    <w:rPr>
      <w:rFonts w:ascii=".....?." w:hAnsi="宋体" w:eastAsia=".....?."/>
      <w:color w:val="000000"/>
      <w:sz w:val="22"/>
    </w:rPr>
  </w:style>
  <w:style w:type="character" w:customStyle="1" w:styleId="341">
    <w:name w:val="Char Char23"/>
    <w:qFormat/>
    <w:uiPriority w:val="0"/>
    <w:rPr>
      <w:sz w:val="24"/>
      <w:szCs w:val="21"/>
      <w:lang w:bidi="ar-SA"/>
    </w:rPr>
  </w:style>
  <w:style w:type="character" w:customStyle="1" w:styleId="342">
    <w:name w:val="Char Char1"/>
    <w:qFormat/>
    <w:uiPriority w:val="0"/>
    <w:rPr>
      <w:rFonts w:ascii="宋体" w:eastAsia="宋体"/>
      <w:sz w:val="21"/>
      <w:lang w:val="en-US" w:eastAsia="zh-CN"/>
    </w:rPr>
  </w:style>
  <w:style w:type="character" w:customStyle="1" w:styleId="343">
    <w:name w:val="apple-style-span"/>
    <w:qFormat/>
    <w:uiPriority w:val="0"/>
    <w:rPr>
      <w:rFonts w:ascii="宋体" w:hAnsi="宋体" w:cs="Times New Roman"/>
    </w:rPr>
  </w:style>
  <w:style w:type="character" w:customStyle="1" w:styleId="344">
    <w:name w:val="无间隔 字符"/>
    <w:link w:val="345"/>
    <w:qFormat/>
    <w:uiPriority w:val="0"/>
    <w:rPr>
      <w:sz w:val="22"/>
      <w:lang w:val="en-US" w:eastAsia="zh-CN" w:bidi="ar-SA"/>
    </w:rPr>
  </w:style>
  <w:style w:type="paragraph" w:customStyle="1" w:styleId="345">
    <w:name w:val="无间隔1"/>
    <w:link w:val="344"/>
    <w:qFormat/>
    <w:uiPriority w:val="0"/>
    <w:rPr>
      <w:rFonts w:hint="default" w:ascii="Times New Roman" w:hAnsi="Times New Roman" w:eastAsia="宋体" w:cs="Times New Roman"/>
      <w:sz w:val="22"/>
      <w:lang w:val="en-US" w:eastAsia="zh-CN" w:bidi="ar-SA"/>
    </w:rPr>
  </w:style>
  <w:style w:type="character" w:customStyle="1" w:styleId="346">
    <w:name w:val="Char Char3"/>
    <w:qFormat/>
    <w:uiPriority w:val="0"/>
    <w:rPr>
      <w:rFonts w:ascii="宋体" w:eastAsia="宋体"/>
      <w:sz w:val="18"/>
      <w:szCs w:val="18"/>
      <w:lang w:val="en-US" w:eastAsia="zh-CN" w:bidi="ar-SA"/>
    </w:rPr>
  </w:style>
  <w:style w:type="character" w:customStyle="1" w:styleId="347">
    <w:name w:val="z12 style23"/>
    <w:qFormat/>
    <w:uiPriority w:val="0"/>
  </w:style>
  <w:style w:type="character" w:customStyle="1" w:styleId="348">
    <w:name w:val="font41"/>
    <w:qFormat/>
    <w:uiPriority w:val="0"/>
    <w:rPr>
      <w:rFonts w:hint="eastAsia" w:ascii="宋体" w:hAnsi="宋体" w:eastAsia="宋体" w:cs="宋体"/>
      <w:color w:val="000000"/>
      <w:sz w:val="24"/>
      <w:szCs w:val="24"/>
      <w:u w:val="none"/>
    </w:rPr>
  </w:style>
  <w:style w:type="character" w:customStyle="1" w:styleId="349">
    <w:name w:val="font11"/>
    <w:qFormat/>
    <w:uiPriority w:val="0"/>
    <w:rPr>
      <w:rFonts w:ascii="Times" w:hAnsi="Times" w:eastAsia="Times" w:cs="Times"/>
      <w:color w:val="000000"/>
      <w:sz w:val="24"/>
      <w:szCs w:val="24"/>
      <w:u w:val="none"/>
    </w:rPr>
  </w:style>
  <w:style w:type="character" w:customStyle="1" w:styleId="350">
    <w:name w:val="Plain Text Char1"/>
    <w:qFormat/>
    <w:uiPriority w:val="0"/>
    <w:rPr>
      <w:rFonts w:ascii="宋体" w:eastAsia="宋体"/>
      <w:sz w:val="21"/>
      <w:szCs w:val="21"/>
      <w:lang w:val="en-US" w:eastAsia="zh-CN" w:bidi="ar-SA"/>
    </w:rPr>
  </w:style>
  <w:style w:type="character" w:customStyle="1" w:styleId="351">
    <w:name w:val="Char Char"/>
    <w:qFormat/>
    <w:uiPriority w:val="0"/>
    <w:rPr>
      <w:rFonts w:eastAsia="宋体"/>
      <w:sz w:val="18"/>
      <w:lang w:val="en-US" w:eastAsia="zh-CN"/>
    </w:rPr>
  </w:style>
  <w:style w:type="character" w:customStyle="1" w:styleId="352">
    <w:name w:val="wj1"/>
    <w:qFormat/>
    <w:uiPriority w:val="0"/>
    <w:rPr>
      <w:color w:val="000000"/>
      <w:sz w:val="18"/>
      <w:szCs w:val="18"/>
      <w:u w:val="none"/>
    </w:rPr>
  </w:style>
  <w:style w:type="character" w:customStyle="1" w:styleId="353">
    <w:name w:val="Heading 2 Char"/>
    <w:qFormat/>
    <w:uiPriority w:val="0"/>
    <w:rPr>
      <w:rFonts w:ascii="Arial" w:hAnsi="Arial" w:eastAsia="黑体"/>
      <w:b/>
      <w:bCs/>
      <w:sz w:val="32"/>
      <w:szCs w:val="32"/>
      <w:lang w:val="en-US" w:eastAsia="zh-CN" w:bidi="ar-SA"/>
    </w:rPr>
  </w:style>
  <w:style w:type="character" w:customStyle="1" w:styleId="354">
    <w:name w:val="z1"/>
    <w:qFormat/>
    <w:uiPriority w:val="0"/>
  </w:style>
  <w:style w:type="character" w:customStyle="1" w:styleId="355">
    <w:name w:val="font01"/>
    <w:qFormat/>
    <w:uiPriority w:val="0"/>
    <w:rPr>
      <w:rFonts w:hint="eastAsia" w:ascii="宋体" w:hAnsi="宋体" w:eastAsia="宋体" w:cs="宋体"/>
      <w:color w:val="000000"/>
      <w:sz w:val="24"/>
      <w:szCs w:val="24"/>
      <w:u w:val="none"/>
    </w:rPr>
  </w:style>
  <w:style w:type="character" w:customStyle="1" w:styleId="356">
    <w:name w:val="Footer Char"/>
    <w:qFormat/>
    <w:uiPriority w:val="0"/>
    <w:rPr>
      <w:rFonts w:eastAsia="宋体"/>
      <w:sz w:val="18"/>
      <w:lang w:val="en-US" w:eastAsia="zh-CN"/>
    </w:rPr>
  </w:style>
  <w:style w:type="character" w:customStyle="1" w:styleId="357">
    <w:name w:val="Header Char"/>
    <w:qFormat/>
    <w:uiPriority w:val="0"/>
    <w:rPr>
      <w:rFonts w:eastAsia="宋体"/>
      <w:sz w:val="18"/>
      <w:lang w:val="en-US" w:eastAsia="zh-CN"/>
    </w:rPr>
  </w:style>
  <w:style w:type="character" w:customStyle="1" w:styleId="358">
    <w:name w:val="ca-01"/>
    <w:qFormat/>
    <w:uiPriority w:val="0"/>
    <w:rPr>
      <w:rFonts w:ascii="宋体" w:eastAsia="宋体"/>
      <w:b/>
      <w:bCs/>
      <w:spacing w:val="-20"/>
      <w:sz w:val="24"/>
      <w:szCs w:val="24"/>
    </w:rPr>
  </w:style>
  <w:style w:type="character" w:customStyle="1" w:styleId="359">
    <w:name w:val="font51"/>
    <w:qFormat/>
    <w:uiPriority w:val="99"/>
    <w:rPr>
      <w:rFonts w:ascii="宋体" w:hAnsi="宋体" w:eastAsia="宋体" w:cs="宋体"/>
      <w:color w:val="000000"/>
      <w:sz w:val="22"/>
      <w:szCs w:val="22"/>
    </w:rPr>
  </w:style>
  <w:style w:type="character" w:customStyle="1" w:styleId="360">
    <w:name w:val="font21"/>
    <w:qFormat/>
    <w:uiPriority w:val="0"/>
    <w:rPr>
      <w:rFonts w:ascii="Times New Roman" w:hAnsi="Times New Roman"/>
      <w:color w:val="000000"/>
      <w:sz w:val="20"/>
      <w:u w:val="none"/>
    </w:rPr>
  </w:style>
  <w:style w:type="character" w:customStyle="1" w:styleId="361">
    <w:name w:val="font31"/>
    <w:qFormat/>
    <w:uiPriority w:val="0"/>
    <w:rPr>
      <w:rFonts w:ascii="Arial" w:hAnsi="Arial" w:cs="Arial"/>
      <w:color w:val="000000"/>
      <w:sz w:val="22"/>
      <w:szCs w:val="22"/>
      <w:u w:val="none"/>
    </w:rPr>
  </w:style>
  <w:style w:type="character" w:customStyle="1" w:styleId="362">
    <w:name w:val="正文（编号） Char Char"/>
    <w:link w:val="363"/>
    <w:qFormat/>
    <w:uiPriority w:val="0"/>
    <w:rPr>
      <w:sz w:val="24"/>
      <w:szCs w:val="24"/>
    </w:rPr>
  </w:style>
  <w:style w:type="paragraph" w:customStyle="1" w:styleId="363">
    <w:name w:val="正文（编号）"/>
    <w:basedOn w:val="364"/>
    <w:link w:val="362"/>
    <w:qFormat/>
    <w:uiPriority w:val="0"/>
    <w:pPr>
      <w:tabs>
        <w:tab w:val="left" w:pos="720"/>
        <w:tab w:val="left" w:pos="780"/>
      </w:tabs>
      <w:ind w:left="720" w:firstLine="0"/>
    </w:pPr>
    <w:rPr>
      <w:szCs w:val="24"/>
    </w:rPr>
  </w:style>
  <w:style w:type="paragraph" w:customStyle="1" w:styleId="364">
    <w:name w:val="正文（缩进）"/>
    <w:basedOn w:val="1"/>
    <w:qFormat/>
    <w:uiPriority w:val="0"/>
    <w:pPr>
      <w:spacing w:before="50" w:after="50" w:line="360" w:lineRule="auto"/>
      <w:ind w:firstLine="200"/>
    </w:pPr>
    <w:rPr>
      <w:sz w:val="24"/>
    </w:rPr>
  </w:style>
  <w:style w:type="character" w:customStyle="1" w:styleId="365">
    <w:name w:val="marklong"/>
    <w:qFormat/>
    <w:uiPriority w:val="0"/>
  </w:style>
  <w:style w:type="character" w:customStyle="1" w:styleId="366">
    <w:name w:val="标题 2 Char Char Char"/>
    <w:qFormat/>
    <w:uiPriority w:val="0"/>
    <w:rPr>
      <w:rFonts w:ascii="Arial" w:hAnsi="Arial" w:eastAsia="宋体" w:cs="Arial"/>
      <w:b/>
      <w:bCs/>
      <w:i/>
      <w:iCs/>
      <w:sz w:val="28"/>
      <w:szCs w:val="28"/>
      <w:lang w:val="en-US" w:eastAsia="zh-CN" w:bidi="ar-SA"/>
    </w:rPr>
  </w:style>
  <w:style w:type="character" w:customStyle="1" w:styleId="367">
    <w:name w:val="ca-1"/>
    <w:qFormat/>
    <w:uiPriority w:val="0"/>
  </w:style>
  <w:style w:type="character" w:customStyle="1" w:styleId="368">
    <w:name w:val="ca-11"/>
    <w:qFormat/>
    <w:uiPriority w:val="0"/>
    <w:rPr>
      <w:rFonts w:ascii="宋体" w:eastAsia="宋体"/>
      <w:b/>
      <w:bCs/>
      <w:color w:val="000000"/>
      <w:spacing w:val="-20"/>
      <w:sz w:val="28"/>
      <w:szCs w:val="28"/>
    </w:rPr>
  </w:style>
  <w:style w:type="character" w:customStyle="1" w:styleId="369">
    <w:name w:val="正文（缩进） Char Char"/>
    <w:qFormat/>
    <w:uiPriority w:val="0"/>
    <w:rPr>
      <w:rFonts w:eastAsia="宋体"/>
      <w:sz w:val="24"/>
      <w:szCs w:val="24"/>
      <w:lang w:val="en-US" w:eastAsia="zh-CN" w:bidi="ar-SA"/>
    </w:rPr>
  </w:style>
  <w:style w:type="character" w:customStyle="1" w:styleId="370">
    <w:name w:val="Char Char31"/>
    <w:qFormat/>
    <w:uiPriority w:val="0"/>
    <w:rPr>
      <w:rFonts w:ascii="Arial" w:hAnsi="Arial" w:eastAsia="黑体" w:cs="Times New Roman"/>
      <w:b/>
      <w:bCs/>
      <w:sz w:val="32"/>
      <w:szCs w:val="32"/>
      <w:lang w:val="en-US" w:eastAsia="zh-CN" w:bidi="ar-SA"/>
    </w:rPr>
  </w:style>
  <w:style w:type="paragraph" w:customStyle="1" w:styleId="371">
    <w:name w:val="表文1"/>
    <w:basedOn w:val="1"/>
    <w:qFormat/>
    <w:uiPriority w:val="0"/>
    <w:pPr>
      <w:widowControl/>
      <w:spacing w:line="360" w:lineRule="auto"/>
      <w:ind w:firstLine="196"/>
    </w:pPr>
    <w:rPr>
      <w:rFonts w:ascii="宋体"/>
      <w:sz w:val="24"/>
    </w:rPr>
  </w:style>
  <w:style w:type="paragraph" w:customStyle="1" w:styleId="372">
    <w:name w:val="Normal_6_0"/>
    <w:qFormat/>
    <w:uiPriority w:val="0"/>
    <w:rPr>
      <w:rFonts w:hint="default" w:ascii="黑体" w:hAnsi="黑体" w:eastAsia="黑体" w:cs="Times New Roman"/>
      <w:b/>
      <w:sz w:val="32"/>
      <w:szCs w:val="24"/>
      <w:lang w:val="en-US" w:eastAsia="zh-CN" w:bidi="ar-SA"/>
    </w:rPr>
  </w:style>
  <w:style w:type="paragraph" w:customStyle="1" w:styleId="373">
    <w:name w:val="正文文本缩进1"/>
    <w:basedOn w:val="374"/>
    <w:qFormat/>
    <w:uiPriority w:val="99"/>
    <w:pPr>
      <w:spacing w:after="120"/>
      <w:ind w:left="420"/>
    </w:pPr>
    <w:rPr>
      <w:rFonts w:ascii="Calibri" w:hAnsi="Calibri" w:cs="Calibri"/>
    </w:rPr>
  </w:style>
  <w:style w:type="paragraph" w:customStyle="1" w:styleId="374">
    <w:name w:val="正文11"/>
    <w:qFormat/>
    <w:uiPriority w:val="99"/>
    <w:pPr>
      <w:widowControl w:val="0"/>
    </w:pPr>
    <w:rPr>
      <w:rFonts w:hint="default" w:ascii="Times New Roman" w:hAnsi="Times New Roman" w:eastAsia="宋体" w:cs="Times New Roman"/>
      <w:sz w:val="21"/>
      <w:szCs w:val="21"/>
      <w:lang w:val="en-US" w:eastAsia="zh-CN" w:bidi="ar-SA"/>
    </w:rPr>
  </w:style>
  <w:style w:type="paragraph" w:customStyle="1" w:styleId="375">
    <w:name w:val="Char Char Char"/>
    <w:basedOn w:val="1"/>
    <w:qFormat/>
    <w:uiPriority w:val="0"/>
    <w:rPr>
      <w:rFonts w:ascii="Calibri" w:hAnsi="Calibri"/>
      <w:szCs w:val="21"/>
    </w:rPr>
  </w:style>
  <w:style w:type="paragraph" w:customStyle="1" w:styleId="376">
    <w:name w:val="标题二、"/>
    <w:basedOn w:val="1"/>
    <w:qFormat/>
    <w:uiPriority w:val="99"/>
    <w:pPr>
      <w:spacing w:line="360" w:lineRule="auto"/>
      <w:ind w:firstLine="200"/>
      <w:outlineLvl w:val="2"/>
    </w:pPr>
    <w:rPr>
      <w:rFonts w:ascii="宋体" w:hAnsi="宋体"/>
      <w:b/>
      <w:szCs w:val="21"/>
    </w:rPr>
  </w:style>
  <w:style w:type="paragraph" w:customStyle="1" w:styleId="377">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7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79">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80">
    <w:name w:val="正文_1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1">
    <w:name w:val="pa-6"/>
    <w:basedOn w:val="1"/>
    <w:qFormat/>
    <w:uiPriority w:val="0"/>
    <w:pPr>
      <w:widowControl/>
      <w:spacing w:line="360" w:lineRule="atLeast"/>
    </w:pPr>
    <w:rPr>
      <w:rFonts w:ascii="宋体"/>
      <w:sz w:val="24"/>
      <w:szCs w:val="20"/>
    </w:rPr>
  </w:style>
  <w:style w:type="paragraph" w:customStyle="1" w:styleId="382">
    <w:name w:val="正文_2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3">
    <w:name w:val="正文_4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84">
    <w:name w:val="正文_1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5">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86">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87">
    <w:name w:val="Char Char Char Char Char Char Char Char Char Char"/>
    <w:basedOn w:val="1"/>
    <w:qFormat/>
    <w:uiPriority w:val="0"/>
    <w:rPr>
      <w:rFonts w:ascii="Tahoma" w:hAnsi="Tahoma"/>
      <w:sz w:val="24"/>
      <w:szCs w:val="20"/>
    </w:rPr>
  </w:style>
  <w:style w:type="paragraph" w:customStyle="1" w:styleId="388">
    <w:name w:val="篇名"/>
    <w:next w:val="221"/>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389">
    <w:name w:val="正文_6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0">
    <w:name w:val="正文_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1">
    <w:name w:val="正文_9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392">
    <w:name w:val="WPSOffice手动目录 1"/>
    <w:qFormat/>
    <w:uiPriority w:val="0"/>
    <w:rPr>
      <w:rFonts w:hint="default" w:ascii="Times New Roman" w:hAnsi="Times New Roman" w:eastAsia="宋体" w:cs="Times New Roman"/>
      <w:lang w:val="en-US" w:eastAsia="zh-CN" w:bidi="ar-SA"/>
    </w:rPr>
  </w:style>
  <w:style w:type="paragraph" w:customStyle="1" w:styleId="393">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4">
    <w:name w:val="参考资料清单+倾斜+蓝色"/>
    <w:basedOn w:val="1"/>
    <w:qFormat/>
    <w:uiPriority w:val="0"/>
    <w:pPr>
      <w:spacing w:line="360" w:lineRule="auto"/>
    </w:pPr>
    <w:rPr>
      <w:rFonts w:ascii="Arial" w:hAnsi="Arial"/>
      <w:i/>
      <w:iCs/>
      <w:color w:val="0000FF"/>
      <w:szCs w:val="21"/>
    </w:rPr>
  </w:style>
  <w:style w:type="paragraph" w:customStyle="1" w:styleId="395">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396">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97">
    <w:name w:val="Normal_2"/>
    <w:qFormat/>
    <w:uiPriority w:val="0"/>
    <w:rPr>
      <w:rFonts w:hint="default" w:ascii="黑体" w:hAnsi="黑体" w:eastAsia="黑体" w:cs="Times New Roman"/>
      <w:b/>
      <w:sz w:val="32"/>
      <w:szCs w:val="24"/>
      <w:lang w:val="en-US" w:eastAsia="zh-CN" w:bidi="ar-SA"/>
    </w:rPr>
  </w:style>
  <w:style w:type="paragraph" w:customStyle="1" w:styleId="398">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99">
    <w:name w:val="默认段落字体 Para Char Char Char Char Char Char Char Char Char1"/>
    <w:basedOn w:val="1"/>
    <w:qFormat/>
    <w:uiPriority w:val="0"/>
    <w:rPr>
      <w:rFonts w:ascii="Tahoma" w:hAnsi="Tahoma"/>
      <w:sz w:val="24"/>
      <w:szCs w:val="20"/>
    </w:rPr>
  </w:style>
  <w:style w:type="paragraph" w:customStyle="1" w:styleId="400">
    <w:name w:val="样式 序号----------- + 仿宋_GB2312"/>
    <w:basedOn w:val="401"/>
    <w:qFormat/>
    <w:uiPriority w:val="0"/>
    <w:pPr>
      <w:spacing w:line="360" w:lineRule="auto"/>
      <w:ind w:firstLine="200"/>
    </w:pPr>
    <w:rPr>
      <w:rFonts w:ascii="仿宋_GB2312" w:eastAsia="仿宋_GB2312"/>
      <w:bCs w:val="0"/>
    </w:rPr>
  </w:style>
  <w:style w:type="paragraph" w:customStyle="1" w:styleId="401">
    <w:name w:val="序号-----------"/>
    <w:basedOn w:val="1"/>
    <w:qFormat/>
    <w:uiPriority w:val="0"/>
    <w:pPr>
      <w:widowControl/>
      <w:jc w:val="left"/>
    </w:pPr>
    <w:rPr>
      <w:rFonts w:ascii="宋体"/>
      <w:bCs/>
      <w:szCs w:val="21"/>
    </w:rPr>
  </w:style>
  <w:style w:type="paragraph" w:customStyle="1" w:styleId="402">
    <w:name w:val="pa-8"/>
    <w:basedOn w:val="1"/>
    <w:qFormat/>
    <w:uiPriority w:val="0"/>
    <w:pPr>
      <w:widowControl/>
      <w:spacing w:line="280" w:lineRule="atLeast"/>
      <w:ind w:firstLine="480"/>
    </w:pPr>
    <w:rPr>
      <w:rFonts w:ascii="宋体" w:cs="宋体"/>
      <w:sz w:val="24"/>
    </w:rPr>
  </w:style>
  <w:style w:type="paragraph" w:customStyle="1" w:styleId="403">
    <w:name w:val="Indent Normal"/>
    <w:basedOn w:val="1"/>
    <w:qFormat/>
    <w:uiPriority w:val="0"/>
    <w:pPr>
      <w:ind w:firstLine="150"/>
    </w:pPr>
    <w:rPr>
      <w:sz w:val="24"/>
      <w:szCs w:val="20"/>
    </w:rPr>
  </w:style>
  <w:style w:type="paragraph" w:customStyle="1" w:styleId="404">
    <w:name w:val="Normal_3"/>
    <w:qFormat/>
    <w:uiPriority w:val="0"/>
    <w:rPr>
      <w:rFonts w:hint="default" w:ascii="黑体" w:hAnsi="黑体" w:eastAsia="黑体" w:cs="Times New Roman"/>
      <w:b/>
      <w:sz w:val="32"/>
      <w:szCs w:val="24"/>
      <w:lang w:val="en-US" w:eastAsia="zh-CN" w:bidi="ar-SA"/>
    </w:rPr>
  </w:style>
  <w:style w:type="paragraph" w:customStyle="1" w:styleId="405">
    <w:name w:val="寄信人地址1"/>
    <w:basedOn w:val="374"/>
    <w:qFormat/>
    <w:uiPriority w:val="99"/>
    <w:rPr>
      <w:rFonts w:ascii="Arial" w:hAnsi="Arial" w:cs="Arial"/>
    </w:rPr>
  </w:style>
  <w:style w:type="paragraph" w:customStyle="1" w:styleId="406">
    <w:name w:val="标题2"/>
    <w:basedOn w:val="1"/>
    <w:qFormat/>
    <w:uiPriority w:val="0"/>
    <w:pPr>
      <w:tabs>
        <w:tab w:val="left" w:pos="0"/>
      </w:tabs>
    </w:pPr>
    <w:rPr>
      <w:rFonts w:ascii="黑体" w:eastAsia="黑体"/>
      <w:sz w:val="24"/>
    </w:rPr>
  </w:style>
  <w:style w:type="paragraph" w:customStyle="1" w:styleId="407">
    <w:name w:val="Normal_10"/>
    <w:qFormat/>
    <w:uiPriority w:val="0"/>
    <w:rPr>
      <w:rFonts w:hint="default" w:ascii="黑体" w:hAnsi="黑体" w:eastAsia="黑体" w:cs="Times New Roman"/>
      <w:b/>
      <w:sz w:val="32"/>
      <w:szCs w:val="24"/>
      <w:lang w:val="en-US" w:eastAsia="zh-CN" w:bidi="ar-SA"/>
    </w:rPr>
  </w:style>
  <w:style w:type="paragraph" w:customStyle="1" w:styleId="408">
    <w:name w:val="样式3"/>
    <w:basedOn w:val="223"/>
    <w:qFormat/>
    <w:uiPriority w:val="0"/>
    <w:pPr>
      <w:spacing w:line="415" w:lineRule="auto"/>
    </w:pPr>
    <w:rPr>
      <w:rFonts w:ascii="Calibri" w:hAnsi="Calibri"/>
      <w:bCs/>
      <w:color w:val="000000"/>
      <w:sz w:val="28"/>
      <w:szCs w:val="28"/>
    </w:rPr>
  </w:style>
  <w:style w:type="paragraph" w:customStyle="1" w:styleId="409">
    <w:name w:val="样式6"/>
    <w:basedOn w:val="62"/>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410">
    <w:name w:val="Char1 Char Char Char"/>
    <w:basedOn w:val="1"/>
    <w:qFormat/>
    <w:uiPriority w:val="0"/>
    <w:rPr>
      <w:szCs w:val="20"/>
    </w:rPr>
  </w:style>
  <w:style w:type="paragraph" w:customStyle="1" w:styleId="411">
    <w:name w:val="纯文本2"/>
    <w:basedOn w:val="1"/>
    <w:qFormat/>
    <w:uiPriority w:val="0"/>
    <w:rPr>
      <w:rFonts w:ascii="宋体" w:hAnsi="Courier New" w:eastAsia="楷体_GB2312"/>
      <w:sz w:val="26"/>
      <w:szCs w:val="20"/>
    </w:rPr>
  </w:style>
  <w:style w:type="paragraph" w:customStyle="1" w:styleId="412">
    <w:name w:val="Normal_4_0"/>
    <w:qFormat/>
    <w:uiPriority w:val="0"/>
    <w:rPr>
      <w:rFonts w:hint="default" w:ascii="黑体" w:hAnsi="黑体" w:eastAsia="黑体" w:cs="Times New Roman"/>
      <w:b/>
      <w:sz w:val="32"/>
      <w:szCs w:val="24"/>
      <w:lang w:val="en-US" w:eastAsia="zh-CN" w:bidi="ar-SA"/>
    </w:rPr>
  </w:style>
  <w:style w:type="paragraph" w:customStyle="1" w:styleId="413">
    <w:name w:val="三级条标题"/>
    <w:basedOn w:val="414"/>
    <w:next w:val="416"/>
    <w:qFormat/>
    <w:uiPriority w:val="0"/>
    <w:pPr>
      <w:ind w:left="1050"/>
      <w:outlineLvl w:val="4"/>
    </w:pPr>
  </w:style>
  <w:style w:type="paragraph" w:customStyle="1" w:styleId="414">
    <w:name w:val="二级条标题"/>
    <w:basedOn w:val="415"/>
    <w:next w:val="416"/>
    <w:qFormat/>
    <w:uiPriority w:val="0"/>
    <w:pPr>
      <w:ind w:left="360"/>
      <w:outlineLvl w:val="3"/>
    </w:pPr>
  </w:style>
  <w:style w:type="paragraph" w:customStyle="1" w:styleId="415">
    <w:name w:val="一级条标题"/>
    <w:next w:val="416"/>
    <w:qFormat/>
    <w:uiPriority w:val="0"/>
    <w:pPr>
      <w:outlineLvl w:val="2"/>
    </w:pPr>
    <w:rPr>
      <w:rFonts w:hint="default" w:ascii="Times New Roman" w:hAnsi="Times New Roman" w:eastAsia="黑体" w:cs="Times New Roman"/>
      <w:sz w:val="21"/>
      <w:lang w:val="en-US" w:eastAsia="zh-CN" w:bidi="ar-SA"/>
    </w:rPr>
  </w:style>
  <w:style w:type="paragraph" w:customStyle="1" w:styleId="416">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17">
    <w:name w:val="Normal_5_0"/>
    <w:qFormat/>
    <w:uiPriority w:val="0"/>
    <w:rPr>
      <w:rFonts w:hint="default" w:ascii="黑体" w:hAnsi="黑体" w:eastAsia="黑体" w:cs="Times New Roman"/>
      <w:b/>
      <w:sz w:val="32"/>
      <w:szCs w:val="24"/>
      <w:lang w:val="en-US" w:eastAsia="zh-CN" w:bidi="ar-SA"/>
    </w:rPr>
  </w:style>
  <w:style w:type="paragraph" w:customStyle="1" w:styleId="418">
    <w:name w:val="Normal_14_0"/>
    <w:qFormat/>
    <w:uiPriority w:val="0"/>
    <w:rPr>
      <w:rFonts w:hint="default" w:ascii="黑体" w:hAnsi="黑体" w:eastAsia="黑体" w:cs="Times New Roman"/>
      <w:b/>
      <w:sz w:val="32"/>
      <w:szCs w:val="24"/>
      <w:lang w:val="en-US" w:eastAsia="zh-CN" w:bidi="ar-SA"/>
    </w:rPr>
  </w:style>
  <w:style w:type="paragraph" w:customStyle="1" w:styleId="419">
    <w:name w:val="技术方案2"/>
    <w:basedOn w:val="1"/>
    <w:qFormat/>
    <w:uiPriority w:val="0"/>
    <w:pPr>
      <w:spacing w:line="480" w:lineRule="auto"/>
    </w:pPr>
    <w:rPr>
      <w:rFonts w:ascii="宋体"/>
      <w:b/>
      <w:bCs/>
      <w:sz w:val="36"/>
    </w:rPr>
  </w:style>
  <w:style w:type="paragraph" w:customStyle="1" w:styleId="420">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paragraph" w:customStyle="1" w:styleId="421">
    <w:name w:val="Normal_0_0"/>
    <w:qFormat/>
    <w:uiPriority w:val="0"/>
    <w:rPr>
      <w:rFonts w:hint="default" w:ascii="黑体" w:hAnsi="黑体" w:eastAsia="黑体" w:cs="Times New Roman"/>
      <w:b/>
      <w:sz w:val="40"/>
      <w:szCs w:val="24"/>
      <w:lang w:val="en-US" w:eastAsia="zh-CN" w:bidi="ar-SA"/>
    </w:rPr>
  </w:style>
  <w:style w:type="paragraph" w:customStyle="1" w:styleId="422">
    <w:name w:val="表格标题"/>
    <w:basedOn w:val="1"/>
    <w:qFormat/>
    <w:uiPriority w:val="0"/>
    <w:pPr>
      <w:jc w:val="center"/>
    </w:pPr>
    <w:rPr>
      <w:b/>
    </w:rPr>
  </w:style>
  <w:style w:type="paragraph" w:customStyle="1" w:styleId="423">
    <w:name w:val="表中文字"/>
    <w:basedOn w:val="1"/>
    <w:qFormat/>
    <w:uiPriority w:val="0"/>
    <w:pPr>
      <w:widowControl/>
    </w:pPr>
    <w:rPr>
      <w:rFonts w:ascii="Calibri" w:hAnsi="Calibri"/>
      <w:szCs w:val="20"/>
    </w:rPr>
  </w:style>
  <w:style w:type="paragraph" w:customStyle="1" w:styleId="424">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25">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26">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7">
    <w:name w:val="Normal_9"/>
    <w:qFormat/>
    <w:uiPriority w:val="0"/>
    <w:rPr>
      <w:rFonts w:hint="default" w:ascii="黑体" w:hAnsi="黑体" w:eastAsia="黑体" w:cs="Times New Roman"/>
      <w:b/>
      <w:sz w:val="32"/>
      <w:szCs w:val="24"/>
      <w:lang w:val="en-US" w:eastAsia="zh-CN" w:bidi="ar-SA"/>
    </w:rPr>
  </w:style>
  <w:style w:type="paragraph" w:customStyle="1" w:styleId="428">
    <w:name w:val="表格正文"/>
    <w:basedOn w:val="1"/>
    <w:qFormat/>
    <w:uiPriority w:val="0"/>
    <w:pPr>
      <w:tabs>
        <w:tab w:val="left" w:pos="420"/>
      </w:tabs>
      <w:spacing w:line="300" w:lineRule="auto"/>
    </w:pPr>
  </w:style>
  <w:style w:type="paragraph" w:customStyle="1" w:styleId="429">
    <w:name w:val="目录 1_0"/>
    <w:basedOn w:val="315"/>
    <w:next w:val="315"/>
    <w:semiHidden/>
    <w:qFormat/>
    <w:uiPriority w:val="0"/>
    <w:pPr>
      <w:jc w:val="left"/>
    </w:pPr>
    <w:rPr>
      <w:rFonts w:hint="eastAsia" w:ascii="宋体" w:hAnsi="宋体"/>
      <w:b/>
      <w:sz w:val="24"/>
    </w:rPr>
  </w:style>
  <w:style w:type="paragraph" w:customStyle="1" w:styleId="430">
    <w:name w:val="正文_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31">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2">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33">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34">
    <w:name w:val="标书2"/>
    <w:next w:val="435"/>
    <w:qFormat/>
    <w:uiPriority w:val="0"/>
    <w:rPr>
      <w:rFonts w:hint="default" w:ascii="Times New Roman" w:hAnsi="Times New Roman" w:eastAsia="黑体" w:cs="宋体"/>
      <w:b/>
      <w:sz w:val="44"/>
      <w:lang w:val="en-US" w:eastAsia="zh-CN" w:bidi="ar-SA"/>
    </w:rPr>
  </w:style>
  <w:style w:type="paragraph" w:customStyle="1" w:styleId="435">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paragraph" w:customStyle="1" w:styleId="436">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37">
    <w:name w:val="p0"/>
    <w:basedOn w:val="1"/>
    <w:qFormat/>
    <w:uiPriority w:val="0"/>
    <w:pPr>
      <w:widowControl/>
    </w:pPr>
    <w:rPr>
      <w:szCs w:val="21"/>
    </w:rPr>
  </w:style>
  <w:style w:type="paragraph" w:customStyle="1" w:styleId="438">
    <w:name w:val="ibm-list-next"/>
    <w:basedOn w:val="1"/>
    <w:qFormat/>
    <w:uiPriority w:val="0"/>
    <w:pPr>
      <w:widowControl/>
      <w:spacing w:before="100" w:beforeAutospacing="1" w:after="100" w:afterAutospacing="1"/>
      <w:jc w:val="left"/>
    </w:pPr>
    <w:rPr>
      <w:rFonts w:ascii="宋体" w:cs="宋体"/>
      <w:sz w:val="24"/>
    </w:rPr>
  </w:style>
  <w:style w:type="paragraph" w:customStyle="1" w:styleId="439">
    <w:name w:val="WPSOffice手动目录 2"/>
    <w:qFormat/>
    <w:uiPriority w:val="0"/>
    <w:rPr>
      <w:rFonts w:hint="default" w:ascii="Times New Roman" w:hAnsi="Times New Roman" w:eastAsia="宋体" w:cs="Times New Roman"/>
      <w:lang w:val="en-US" w:eastAsia="zh-CN" w:bidi="ar-SA"/>
    </w:rPr>
  </w:style>
  <w:style w:type="paragraph" w:customStyle="1" w:styleId="440">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41">
    <w:name w:val="pa-9"/>
    <w:basedOn w:val="1"/>
    <w:qFormat/>
    <w:uiPriority w:val="0"/>
    <w:pPr>
      <w:widowControl/>
      <w:spacing w:line="360" w:lineRule="atLeast"/>
      <w:jc w:val="center"/>
    </w:pPr>
    <w:rPr>
      <w:rFonts w:ascii="宋体" w:cs="宋体"/>
      <w:sz w:val="24"/>
    </w:rPr>
  </w:style>
  <w:style w:type="paragraph" w:customStyle="1" w:styleId="442">
    <w:name w:val="表格文字"/>
    <w:basedOn w:val="1"/>
    <w:qFormat/>
    <w:uiPriority w:val="0"/>
    <w:pPr>
      <w:jc w:val="left"/>
    </w:pPr>
    <w:rPr>
      <w:sz w:val="18"/>
    </w:rPr>
  </w:style>
  <w:style w:type="paragraph" w:customStyle="1" w:styleId="443">
    <w:name w:val="Figure and Table Title"/>
    <w:basedOn w:val="1"/>
    <w:qFormat/>
    <w:uiPriority w:val="0"/>
    <w:pPr>
      <w:widowControl/>
      <w:ind w:left="2160"/>
      <w:jc w:val="left"/>
    </w:pPr>
    <w:rPr>
      <w:rFonts w:ascii="Helvetica-Light" w:hAnsi="Helvetica-Light"/>
      <w:b/>
      <w:bCs/>
      <w:sz w:val="20"/>
      <w:lang w:eastAsia="en-US"/>
    </w:rPr>
  </w:style>
  <w:style w:type="paragraph" w:customStyle="1" w:styleId="444">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5">
    <w:name w:val="正文_1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46">
    <w:name w:val="首页小标题"/>
    <w:next w:val="447"/>
    <w:qFormat/>
    <w:uiPriority w:val="0"/>
    <w:pPr>
      <w:jc w:val="center"/>
    </w:pPr>
    <w:rPr>
      <w:rFonts w:hint="default" w:ascii="Times New Roman" w:hAnsi="Times New Roman" w:eastAsia="宋体" w:cs="宋体"/>
      <w:sz w:val="44"/>
      <w:lang w:val="en-US" w:eastAsia="zh-CN" w:bidi="ar-SA"/>
    </w:rPr>
  </w:style>
  <w:style w:type="paragraph" w:customStyle="1" w:styleId="447">
    <w:name w:val="首页空格"/>
    <w:qFormat/>
    <w:uiPriority w:val="0"/>
    <w:pPr>
      <w:jc w:val="center"/>
    </w:pPr>
    <w:rPr>
      <w:rFonts w:hint="default" w:ascii="Times New Roman" w:hAnsi="Times New Roman" w:eastAsia="宋体" w:cs="宋体"/>
      <w:sz w:val="72"/>
      <w:lang w:val="en-US" w:eastAsia="zh-CN" w:bidi="ar-SA"/>
    </w:rPr>
  </w:style>
  <w:style w:type="paragraph" w:customStyle="1" w:styleId="448">
    <w:name w:val="纯文本1"/>
    <w:basedOn w:val="1"/>
    <w:qFormat/>
    <w:uiPriority w:val="0"/>
    <w:rPr>
      <w:rFonts w:ascii="宋体" w:hAnsi="Courier New" w:eastAsia="楷体_GB2312"/>
      <w:sz w:val="26"/>
      <w:szCs w:val="20"/>
    </w:rPr>
  </w:style>
  <w:style w:type="paragraph" w:customStyle="1" w:styleId="449">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50">
    <w:name w:val="表头"/>
    <w:basedOn w:val="451"/>
    <w:qFormat/>
    <w:uiPriority w:val="0"/>
    <w:pPr>
      <w:spacing w:line="240" w:lineRule="auto"/>
      <w:ind w:left="0" w:firstLine="0"/>
    </w:pPr>
    <w:rPr>
      <w:sz w:val="20"/>
    </w:rPr>
  </w:style>
  <w:style w:type="paragraph" w:customStyle="1" w:styleId="451">
    <w:name w:val="正文1"/>
    <w:basedOn w:val="1"/>
    <w:qFormat/>
    <w:uiPriority w:val="0"/>
    <w:pPr>
      <w:widowControl/>
      <w:spacing w:line="360" w:lineRule="auto"/>
      <w:ind w:left="357" w:firstLine="420"/>
      <w:jc w:val="left"/>
    </w:pPr>
    <w:rPr>
      <w:rFonts w:cs="Arial"/>
      <w:szCs w:val="20"/>
    </w:rPr>
  </w:style>
  <w:style w:type="paragraph" w:customStyle="1" w:styleId="452">
    <w:name w:val="正文_0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3">
    <w:name w:val="表格序号"/>
    <w:qFormat/>
    <w:uiPriority w:val="0"/>
    <w:rPr>
      <w:rFonts w:hint="default" w:ascii="Times New Roman" w:hAnsi="Times New Roman" w:eastAsia="仿宋_GB2312" w:cs="宋体"/>
      <w:sz w:val="21"/>
      <w:lang w:val="en-US" w:eastAsia="zh-CN" w:bidi="ar-SA"/>
    </w:rPr>
  </w:style>
  <w:style w:type="paragraph" w:customStyle="1" w:styleId="454">
    <w:name w:val="正文_1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55">
    <w:name w:val="Normal_15"/>
    <w:qFormat/>
    <w:uiPriority w:val="0"/>
    <w:rPr>
      <w:rFonts w:hint="default" w:ascii="黑体" w:hAnsi="黑体" w:eastAsia="黑体" w:cs="Times New Roman"/>
      <w:b/>
      <w:sz w:val="32"/>
      <w:szCs w:val="24"/>
      <w:lang w:val="en-US" w:eastAsia="zh-CN" w:bidi="ar-SA"/>
    </w:rPr>
  </w:style>
  <w:style w:type="paragraph" w:styleId="456">
    <w:name w:val="List Paragraph"/>
    <w:basedOn w:val="1"/>
    <w:link w:val="669"/>
    <w:qFormat/>
    <w:uiPriority w:val="34"/>
    <w:pPr>
      <w:ind w:firstLine="200"/>
    </w:pPr>
    <w:rPr>
      <w:rFonts w:ascii="Calibri" w:hAnsi="Calibri"/>
    </w:rPr>
  </w:style>
  <w:style w:type="paragraph" w:customStyle="1" w:styleId="457">
    <w:name w:val="正文_1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58">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59">
    <w:name w:val="Normal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0">
    <w:name w:val="技术方案3"/>
    <w:basedOn w:val="1"/>
    <w:qFormat/>
    <w:uiPriority w:val="0"/>
    <w:pPr>
      <w:spacing w:line="360" w:lineRule="auto"/>
    </w:pPr>
    <w:rPr>
      <w:rFonts w:ascii="宋体"/>
      <w:b/>
      <w:bCs/>
      <w:sz w:val="32"/>
    </w:rPr>
  </w:style>
  <w:style w:type="paragraph" w:customStyle="1" w:styleId="461">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62">
    <w:name w:val="正文_17"/>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63">
    <w:name w:val="pa-10"/>
    <w:basedOn w:val="1"/>
    <w:qFormat/>
    <w:uiPriority w:val="0"/>
    <w:pPr>
      <w:widowControl/>
      <w:spacing w:line="240" w:lineRule="atLeast"/>
    </w:pPr>
    <w:rPr>
      <w:rFonts w:ascii="宋体" w:cs="宋体"/>
      <w:sz w:val="24"/>
    </w:rPr>
  </w:style>
  <w:style w:type="paragraph" w:customStyle="1" w:styleId="464">
    <w:name w:val="pa-5"/>
    <w:basedOn w:val="1"/>
    <w:qFormat/>
    <w:uiPriority w:val="0"/>
    <w:pPr>
      <w:widowControl/>
      <w:spacing w:line="280" w:lineRule="atLeast"/>
    </w:pPr>
    <w:rPr>
      <w:rFonts w:ascii="宋体" w:cs="宋体"/>
      <w:sz w:val="24"/>
    </w:rPr>
  </w:style>
  <w:style w:type="paragraph" w:customStyle="1" w:styleId="465">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66">
    <w:name w:val="新段落缩进"/>
    <w:basedOn w:val="1"/>
    <w:qFormat/>
    <w:uiPriority w:val="0"/>
    <w:pPr>
      <w:spacing w:line="400" w:lineRule="exact"/>
      <w:ind w:firstLine="200"/>
    </w:pPr>
    <w:rPr>
      <w:rFonts w:ascii="仿宋_GB2312" w:eastAsia="仿宋_GB2312"/>
      <w:sz w:val="24"/>
    </w:rPr>
  </w:style>
  <w:style w:type="paragraph" w:customStyle="1" w:styleId="467">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8">
    <w:name w:val="pa-2"/>
    <w:basedOn w:val="1"/>
    <w:qFormat/>
    <w:uiPriority w:val="0"/>
    <w:pPr>
      <w:widowControl/>
      <w:spacing w:line="360" w:lineRule="atLeast"/>
    </w:pPr>
    <w:rPr>
      <w:rFonts w:ascii="宋体" w:cs="宋体"/>
      <w:sz w:val="24"/>
    </w:rPr>
  </w:style>
  <w:style w:type="paragraph" w:customStyle="1" w:styleId="469">
    <w:name w:val="列出段落1"/>
    <w:basedOn w:val="1"/>
    <w:qFormat/>
    <w:uiPriority w:val="99"/>
    <w:pPr>
      <w:ind w:firstLine="200"/>
    </w:pPr>
    <w:rPr>
      <w:rFonts w:ascii="Calibri" w:hAnsi="Calibri"/>
    </w:rPr>
  </w:style>
  <w:style w:type="paragraph" w:customStyle="1" w:styleId="470">
    <w:name w:val="说明书2级标题"/>
    <w:basedOn w:val="1"/>
    <w:next w:val="471"/>
    <w:qFormat/>
    <w:uiPriority w:val="0"/>
    <w:pPr>
      <w:numPr>
        <w:ilvl w:val="2"/>
        <w:numId w:val="1"/>
      </w:numPr>
      <w:spacing w:before="100"/>
    </w:pPr>
    <w:rPr>
      <w:rFonts w:ascii="Calibri" w:hAnsi="Calibri" w:eastAsia="黑体"/>
      <w:sz w:val="28"/>
      <w:szCs w:val="28"/>
    </w:rPr>
  </w:style>
  <w:style w:type="paragraph" w:customStyle="1" w:styleId="471">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72">
    <w:name w:val="Char Char1 Char Char Char Char Char Char Char Char"/>
    <w:basedOn w:val="1"/>
    <w:qFormat/>
    <w:uiPriority w:val="0"/>
    <w:pPr>
      <w:widowControl/>
      <w:spacing w:after="160" w:line="240" w:lineRule="exact"/>
      <w:jc w:val="left"/>
    </w:pPr>
  </w:style>
  <w:style w:type="paragraph" w:customStyle="1" w:styleId="473">
    <w:name w:val="Normal_11_0"/>
    <w:qFormat/>
    <w:uiPriority w:val="0"/>
    <w:rPr>
      <w:rFonts w:hint="default" w:ascii="黑体" w:hAnsi="黑体" w:eastAsia="黑体" w:cs="Times New Roman"/>
      <w:b/>
      <w:sz w:val="32"/>
      <w:szCs w:val="24"/>
      <w:lang w:val="en-US" w:eastAsia="zh-CN" w:bidi="ar-SA"/>
    </w:rPr>
  </w:style>
  <w:style w:type="paragraph" w:customStyle="1" w:styleId="474">
    <w:name w:val="首页标题小初"/>
    <w:qFormat/>
    <w:uiPriority w:val="0"/>
    <w:pPr>
      <w:jc w:val="center"/>
    </w:pPr>
    <w:rPr>
      <w:rFonts w:hint="default" w:ascii="黑体" w:hAnsi="Times New Roman" w:eastAsia="黑体" w:cs="宋体"/>
      <w:sz w:val="72"/>
      <w:lang w:val="en-US" w:eastAsia="zh-CN" w:bidi="ar-SA"/>
    </w:rPr>
  </w:style>
  <w:style w:type="paragraph" w:customStyle="1" w:styleId="47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76">
    <w:name w:val="正文_6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77">
    <w:name w:val="附图标题"/>
    <w:basedOn w:val="241"/>
    <w:next w:val="240"/>
    <w:qFormat/>
    <w:uiPriority w:val="0"/>
    <w:pPr>
      <w:tabs>
        <w:tab w:val="left" w:pos="780"/>
      </w:tabs>
      <w:spacing w:after="100"/>
      <w:ind w:left="780" w:hanging="480"/>
      <w:jc w:val="center"/>
    </w:pPr>
    <w:rPr>
      <w:b/>
      <w:sz w:val="21"/>
    </w:rPr>
  </w:style>
  <w:style w:type="paragraph" w:customStyle="1" w:styleId="478">
    <w:name w:val="Normal_7"/>
    <w:qFormat/>
    <w:uiPriority w:val="0"/>
    <w:rPr>
      <w:rFonts w:hint="default" w:ascii="黑体" w:hAnsi="黑体" w:eastAsia="黑体" w:cs="Times New Roman"/>
      <w:b/>
      <w:sz w:val="32"/>
      <w:szCs w:val="24"/>
      <w:lang w:val="en-US" w:eastAsia="zh-CN" w:bidi="ar-SA"/>
    </w:rPr>
  </w:style>
  <w:style w:type="paragraph" w:customStyle="1" w:styleId="479">
    <w:name w:val="正文_1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0">
    <w:name w:val="五级条标题"/>
    <w:basedOn w:val="481"/>
    <w:next w:val="416"/>
    <w:qFormat/>
    <w:uiPriority w:val="0"/>
    <w:pPr>
      <w:outlineLvl w:val="6"/>
    </w:pPr>
  </w:style>
  <w:style w:type="paragraph" w:customStyle="1" w:styleId="481">
    <w:name w:val="四级条标题"/>
    <w:basedOn w:val="413"/>
    <w:next w:val="416"/>
    <w:qFormat/>
    <w:uiPriority w:val="0"/>
    <w:pPr>
      <w:ind w:left="0"/>
      <w:outlineLvl w:val="5"/>
    </w:pPr>
  </w:style>
  <w:style w:type="paragraph" w:customStyle="1" w:styleId="482">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3">
    <w:name w:val="正文_0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4">
    <w:name w:val="标准小四"/>
    <w:basedOn w:val="1"/>
    <w:qFormat/>
    <w:uiPriority w:val="0"/>
    <w:pPr>
      <w:spacing w:line="360" w:lineRule="auto"/>
      <w:ind w:firstLine="200"/>
    </w:pPr>
    <w:rPr>
      <w:rFonts w:ascii="Arial" w:hAnsi="Arial"/>
      <w:sz w:val="24"/>
      <w:szCs w:val="21"/>
    </w:rPr>
  </w:style>
  <w:style w:type="paragraph" w:customStyle="1" w:styleId="485">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86">
    <w:name w:val="Normal_18_0"/>
    <w:qFormat/>
    <w:uiPriority w:val="0"/>
    <w:rPr>
      <w:rFonts w:hint="default" w:ascii="黑体" w:hAnsi="黑体" w:eastAsia="黑体" w:cs="Times New Roman"/>
      <w:b/>
      <w:sz w:val="32"/>
      <w:szCs w:val="24"/>
      <w:lang w:val="en-US" w:eastAsia="zh-CN" w:bidi="ar-SA"/>
    </w:rPr>
  </w:style>
  <w:style w:type="paragraph" w:customStyle="1" w:styleId="487">
    <w:name w:val="a0"/>
    <w:basedOn w:val="1"/>
    <w:qFormat/>
    <w:uiPriority w:val="0"/>
    <w:pPr>
      <w:widowControl/>
      <w:spacing w:before="100" w:beforeAutospacing="1" w:after="100" w:afterAutospacing="1"/>
      <w:jc w:val="left"/>
    </w:pPr>
    <w:rPr>
      <w:rFonts w:ascii="宋体"/>
      <w:sz w:val="24"/>
    </w:rPr>
  </w:style>
  <w:style w:type="paragraph" w:customStyle="1" w:styleId="488">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89">
    <w:name w:val="正文_14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90">
    <w:name w:val="加点正文缩进"/>
    <w:basedOn w:val="1"/>
    <w:qFormat/>
    <w:uiPriority w:val="0"/>
    <w:pPr>
      <w:tabs>
        <w:tab w:val="left" w:pos="840"/>
      </w:tabs>
      <w:spacing w:line="300" w:lineRule="auto"/>
      <w:ind w:left="962" w:hanging="480"/>
    </w:pPr>
    <w:rPr>
      <w:sz w:val="24"/>
    </w:rPr>
  </w:style>
  <w:style w:type="paragraph" w:customStyle="1" w:styleId="491">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92">
    <w:name w:val="Normal_1_1"/>
    <w:qFormat/>
    <w:uiPriority w:val="0"/>
    <w:rPr>
      <w:rFonts w:hint="default" w:ascii="黑体" w:hAnsi="黑体" w:eastAsia="黑体" w:cs="Times New Roman"/>
      <w:b/>
      <w:sz w:val="32"/>
      <w:szCs w:val="24"/>
      <w:lang w:val="en-US" w:eastAsia="zh-CN" w:bidi="ar-SA"/>
    </w:rPr>
  </w:style>
  <w:style w:type="paragraph" w:customStyle="1" w:styleId="493">
    <w:name w:val="技术方案正文样式"/>
    <w:basedOn w:val="1"/>
    <w:qFormat/>
    <w:uiPriority w:val="0"/>
    <w:pPr>
      <w:spacing w:line="400" w:lineRule="exact"/>
      <w:ind w:firstLine="200"/>
    </w:pPr>
    <w:rPr>
      <w:rFonts w:ascii="宋体" w:cs="宋体"/>
      <w:sz w:val="24"/>
      <w:szCs w:val="21"/>
    </w:rPr>
  </w:style>
  <w:style w:type="paragraph" w:customStyle="1" w:styleId="494">
    <w:name w:val="首页标题 一号"/>
    <w:basedOn w:val="474"/>
    <w:qFormat/>
    <w:uiPriority w:val="0"/>
    <w:rPr>
      <w:sz w:val="52"/>
    </w:rPr>
  </w:style>
  <w:style w:type="paragraph" w:customStyle="1" w:styleId="495">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96">
    <w:name w:val="Table Text/Title"/>
    <w:basedOn w:val="1"/>
    <w:qFormat/>
    <w:uiPriority w:val="0"/>
    <w:pPr>
      <w:widowControl/>
      <w:jc w:val="left"/>
    </w:pPr>
    <w:rPr>
      <w:rFonts w:ascii="宋体"/>
      <w:b/>
      <w:bCs/>
      <w:sz w:val="20"/>
      <w:szCs w:val="20"/>
      <w:lang w:eastAsia="en-US"/>
    </w:rPr>
  </w:style>
  <w:style w:type="paragraph" w:customStyle="1" w:styleId="497">
    <w:name w:val="样式 序号----------- + 仿宋_GB23121"/>
    <w:basedOn w:val="401"/>
    <w:qFormat/>
    <w:uiPriority w:val="0"/>
    <w:pPr>
      <w:spacing w:line="360" w:lineRule="auto"/>
    </w:pPr>
    <w:rPr>
      <w:rFonts w:ascii="仿宋_GB2312" w:eastAsia="仿宋_GB2312"/>
      <w:bCs w:val="0"/>
    </w:rPr>
  </w:style>
  <w:style w:type="paragraph" w:customStyle="1" w:styleId="498">
    <w:name w:val="Char Char Char Char1"/>
    <w:basedOn w:val="1"/>
    <w:qFormat/>
    <w:uiPriority w:val="0"/>
    <w:pPr>
      <w:spacing w:line="360" w:lineRule="auto"/>
      <w:ind w:firstLine="200"/>
    </w:pPr>
    <w:rPr>
      <w:sz w:val="24"/>
      <w:szCs w:val="20"/>
    </w:rPr>
  </w:style>
  <w:style w:type="paragraph" w:customStyle="1" w:styleId="499">
    <w:name w:val="正文_18"/>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00">
    <w:name w:val="Char1"/>
    <w:basedOn w:val="1"/>
    <w:qFormat/>
    <w:uiPriority w:val="0"/>
    <w:pPr>
      <w:tabs>
        <w:tab w:val="left" w:pos="360"/>
      </w:tabs>
      <w:spacing w:line="480" w:lineRule="auto"/>
      <w:ind w:left="360" w:right="202" w:firstLine="360"/>
    </w:pPr>
    <w:rPr>
      <w:sz w:val="24"/>
    </w:rPr>
  </w:style>
  <w:style w:type="paragraph" w:customStyle="1" w:styleId="501">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2">
    <w:name w:val="章标题"/>
    <w:next w:val="416"/>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503">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04">
    <w:name w:val="Normal_0_1"/>
    <w:qFormat/>
    <w:uiPriority w:val="0"/>
    <w:rPr>
      <w:rFonts w:hint="default" w:ascii="黑体" w:hAnsi="黑体" w:eastAsia="黑体" w:cs="Times New Roman"/>
      <w:b/>
      <w:sz w:val="32"/>
      <w:szCs w:val="24"/>
      <w:lang w:val="en-US" w:eastAsia="zh-CN" w:bidi="ar-SA"/>
    </w:rPr>
  </w:style>
  <w:style w:type="paragraph" w:customStyle="1" w:styleId="505">
    <w:name w:val="列表段落1"/>
    <w:basedOn w:val="1"/>
    <w:qFormat/>
    <w:uiPriority w:val="34"/>
    <w:pPr>
      <w:ind w:firstLine="420"/>
    </w:pPr>
  </w:style>
  <w:style w:type="paragraph" w:customStyle="1" w:styleId="506">
    <w:name w:val="默认段落字体 Para Char Char Char Char Char Char Char Char Char1 Char Char Char Char Char Char Char Char"/>
    <w:basedOn w:val="245"/>
    <w:qFormat/>
    <w:uiPriority w:val="0"/>
    <w:rPr>
      <w:rFonts w:ascii="Calibri" w:hAnsi="Calibri"/>
    </w:rPr>
  </w:style>
  <w:style w:type="paragraph" w:customStyle="1" w:styleId="507">
    <w:name w:val="Normal_7_0"/>
    <w:qFormat/>
    <w:uiPriority w:val="0"/>
    <w:rPr>
      <w:rFonts w:hint="default" w:ascii="黑体" w:hAnsi="黑体" w:eastAsia="黑体" w:cs="Times New Roman"/>
      <w:b/>
      <w:sz w:val="32"/>
      <w:szCs w:val="24"/>
      <w:lang w:val="en-US" w:eastAsia="zh-CN" w:bidi="ar-SA"/>
    </w:rPr>
  </w:style>
  <w:style w:type="paragraph" w:customStyle="1" w:styleId="508">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09">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10">
    <w:name w:val="Normal_12_0"/>
    <w:qFormat/>
    <w:uiPriority w:val="0"/>
    <w:rPr>
      <w:rFonts w:hint="default" w:ascii="黑体" w:hAnsi="黑体" w:eastAsia="黑体" w:cs="Times New Roman"/>
      <w:b/>
      <w:sz w:val="32"/>
      <w:szCs w:val="24"/>
      <w:lang w:val="en-US" w:eastAsia="zh-CN" w:bidi="ar-SA"/>
    </w:rPr>
  </w:style>
  <w:style w:type="paragraph" w:customStyle="1" w:styleId="511">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512">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3">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14">
    <w:name w:val="Normal_18"/>
    <w:qFormat/>
    <w:uiPriority w:val="0"/>
    <w:rPr>
      <w:rFonts w:hint="default" w:ascii="黑体" w:hAnsi="黑体" w:eastAsia="黑体" w:cs="Times New Roman"/>
      <w:b/>
      <w:sz w:val="32"/>
      <w:szCs w:val="24"/>
      <w:lang w:val="en-US" w:eastAsia="zh-CN" w:bidi="ar-SA"/>
    </w:rPr>
  </w:style>
  <w:style w:type="paragraph" w:customStyle="1" w:styleId="515">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516">
    <w:name w:val="Normal_0_3"/>
    <w:qFormat/>
    <w:uiPriority w:val="0"/>
    <w:rPr>
      <w:rFonts w:hint="default" w:ascii="黑体" w:hAnsi="黑体" w:eastAsia="黑体" w:cs="Times New Roman"/>
      <w:b/>
      <w:sz w:val="32"/>
      <w:szCs w:val="24"/>
      <w:lang w:val="en-US" w:eastAsia="zh-CN" w:bidi="ar-SA"/>
    </w:rPr>
  </w:style>
  <w:style w:type="paragraph" w:customStyle="1" w:styleId="517">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18">
    <w:name w:val="修订1"/>
    <w:qFormat/>
    <w:uiPriority w:val="0"/>
    <w:rPr>
      <w:rFonts w:hint="default" w:ascii="Times New Roman" w:hAnsi="Times New Roman" w:eastAsia="宋体" w:cs="Times New Roman"/>
      <w:sz w:val="21"/>
      <w:szCs w:val="24"/>
      <w:lang w:val="en-US" w:eastAsia="zh-CN" w:bidi="ar-SA"/>
    </w:rPr>
  </w:style>
  <w:style w:type="paragraph" w:customStyle="1" w:styleId="519">
    <w:name w:val="Char11"/>
    <w:basedOn w:val="1"/>
    <w:qFormat/>
    <w:uiPriority w:val="0"/>
    <w:rPr>
      <w:szCs w:val="21"/>
    </w:rPr>
  </w:style>
  <w:style w:type="paragraph" w:customStyle="1" w:styleId="520">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521">
    <w:name w:val="Normal_12"/>
    <w:qFormat/>
    <w:uiPriority w:val="0"/>
    <w:rPr>
      <w:rFonts w:hint="default" w:ascii="黑体" w:hAnsi="黑体" w:eastAsia="黑体" w:cs="Times New Roman"/>
      <w:b/>
      <w:sz w:val="32"/>
      <w:szCs w:val="24"/>
      <w:lang w:val="en-US" w:eastAsia="zh-CN" w:bidi="ar-SA"/>
    </w:rPr>
  </w:style>
  <w:style w:type="paragraph" w:customStyle="1" w:styleId="522">
    <w:name w:val="Normal_8_0"/>
    <w:qFormat/>
    <w:uiPriority w:val="0"/>
    <w:rPr>
      <w:rFonts w:hint="default" w:ascii="黑体" w:hAnsi="黑体" w:eastAsia="黑体" w:cs="Times New Roman"/>
      <w:b/>
      <w:sz w:val="32"/>
      <w:szCs w:val="24"/>
      <w:lang w:val="en-US" w:eastAsia="zh-CN" w:bidi="ar-SA"/>
    </w:rPr>
  </w:style>
  <w:style w:type="paragraph" w:customStyle="1" w:styleId="523">
    <w:name w:val="文档正文"/>
    <w:basedOn w:val="1"/>
    <w:qFormat/>
    <w:uiPriority w:val="0"/>
    <w:rPr>
      <w:rFonts w:ascii="宋体"/>
      <w:szCs w:val="20"/>
    </w:rPr>
  </w:style>
  <w:style w:type="paragraph" w:customStyle="1" w:styleId="524">
    <w:name w:val="技术方案正文"/>
    <w:basedOn w:val="1"/>
    <w:qFormat/>
    <w:uiPriority w:val="0"/>
    <w:pPr>
      <w:spacing w:line="360" w:lineRule="auto"/>
      <w:ind w:firstLine="480"/>
    </w:pPr>
    <w:rPr>
      <w:rFonts w:ascii="宋体"/>
      <w:sz w:val="24"/>
    </w:rPr>
  </w:style>
  <w:style w:type="paragraph" w:customStyle="1" w:styleId="52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26">
    <w:name w:val="普通正文"/>
    <w:basedOn w:val="1"/>
    <w:qFormat/>
    <w:uiPriority w:val="0"/>
    <w:pPr>
      <w:ind w:firstLine="425"/>
      <w:jc w:val="left"/>
    </w:pPr>
    <w:rPr>
      <w:rFonts w:ascii="宋体"/>
      <w:sz w:val="20"/>
      <w:szCs w:val="20"/>
    </w:rPr>
  </w:style>
  <w:style w:type="paragraph" w:customStyle="1" w:styleId="527">
    <w:name w:val="正文_1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28">
    <w:name w:val="Normal_0_2"/>
    <w:qFormat/>
    <w:uiPriority w:val="0"/>
    <w:rPr>
      <w:rFonts w:hint="default" w:ascii="黑体" w:hAnsi="黑体" w:eastAsia="黑体" w:cs="Times New Roman"/>
      <w:b/>
      <w:sz w:val="32"/>
      <w:szCs w:val="24"/>
      <w:lang w:val="en-US" w:eastAsia="zh-CN" w:bidi="ar-SA"/>
    </w:rPr>
  </w:style>
  <w:style w:type="paragraph" w:customStyle="1" w:styleId="52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30">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1">
    <w:name w:val="样式4"/>
    <w:basedOn w:val="223"/>
    <w:qFormat/>
    <w:uiPriority w:val="0"/>
    <w:pPr>
      <w:spacing w:line="415" w:lineRule="auto"/>
    </w:pPr>
    <w:rPr>
      <w:rFonts w:ascii="Calibri" w:hAnsi="Calibri"/>
      <w:bCs/>
      <w:color w:val="000000"/>
      <w:sz w:val="28"/>
      <w:szCs w:val="28"/>
    </w:rPr>
  </w:style>
  <w:style w:type="paragraph" w:customStyle="1" w:styleId="532">
    <w:name w:val="pa-4"/>
    <w:basedOn w:val="1"/>
    <w:qFormat/>
    <w:uiPriority w:val="0"/>
    <w:pPr>
      <w:widowControl/>
      <w:spacing w:line="280" w:lineRule="atLeast"/>
      <w:jc w:val="center"/>
    </w:pPr>
    <w:rPr>
      <w:rFonts w:ascii="宋体" w:cs="宋体"/>
      <w:sz w:val="24"/>
    </w:rPr>
  </w:style>
  <w:style w:type="paragraph" w:customStyle="1" w:styleId="533">
    <w:name w:val="Normal_1"/>
    <w:qFormat/>
    <w:uiPriority w:val="0"/>
    <w:rPr>
      <w:rFonts w:hint="default" w:ascii="黑体" w:hAnsi="黑体" w:eastAsia="黑体" w:cs="Times New Roman"/>
      <w:b/>
      <w:sz w:val="32"/>
      <w:szCs w:val="24"/>
      <w:lang w:val="en-US" w:eastAsia="zh-CN" w:bidi="ar-SA"/>
    </w:rPr>
  </w:style>
  <w:style w:type="paragraph" w:customStyle="1" w:styleId="534">
    <w:name w:val="标书3"/>
    <w:next w:val="435"/>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535">
    <w:name w:val="Char2"/>
    <w:basedOn w:val="1"/>
    <w:qFormat/>
    <w:uiPriority w:val="0"/>
    <w:pPr>
      <w:tabs>
        <w:tab w:val="left" w:pos="360"/>
      </w:tabs>
    </w:pPr>
    <w:rPr>
      <w:rFonts w:ascii="仿宋_GB2312" w:eastAsia="仿宋_GB2312"/>
      <w:b/>
      <w:sz w:val="24"/>
    </w:rPr>
  </w:style>
  <w:style w:type="paragraph" w:customStyle="1" w:styleId="536">
    <w:name w:val="正文_0_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37">
    <w:name w:val="正文（首行缩进两字）"/>
    <w:basedOn w:val="1"/>
    <w:qFormat/>
    <w:uiPriority w:val="0"/>
    <w:pPr>
      <w:spacing w:line="312" w:lineRule="auto"/>
    </w:pPr>
    <w:rPr>
      <w:rFonts w:ascii="宋体" w:cs="宋体"/>
      <w:sz w:val="24"/>
    </w:rPr>
  </w:style>
  <w:style w:type="paragraph" w:customStyle="1" w:styleId="538">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539">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0">
    <w:name w:val="正文_1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41">
    <w:name w:val="pa-3"/>
    <w:basedOn w:val="1"/>
    <w:qFormat/>
    <w:uiPriority w:val="0"/>
    <w:pPr>
      <w:widowControl/>
      <w:spacing w:before="150" w:after="150"/>
      <w:jc w:val="left"/>
    </w:pPr>
    <w:rPr>
      <w:rFonts w:ascii="宋体" w:cs="宋体"/>
      <w:sz w:val="24"/>
    </w:rPr>
  </w:style>
  <w:style w:type="paragraph" w:customStyle="1" w:styleId="542">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43">
    <w:name w:val="Normal_10_0"/>
    <w:qFormat/>
    <w:uiPriority w:val="0"/>
    <w:rPr>
      <w:rFonts w:hint="default" w:ascii="黑体" w:hAnsi="黑体" w:eastAsia="黑体" w:cs="Times New Roman"/>
      <w:b/>
      <w:sz w:val="32"/>
      <w:szCs w:val="24"/>
      <w:lang w:val="en-US" w:eastAsia="zh-CN" w:bidi="ar-SA"/>
    </w:rPr>
  </w:style>
  <w:style w:type="paragraph" w:customStyle="1" w:styleId="544">
    <w:name w:val="Normal_6"/>
    <w:qFormat/>
    <w:uiPriority w:val="0"/>
    <w:rPr>
      <w:rFonts w:hint="default" w:ascii="黑体" w:hAnsi="黑体" w:eastAsia="黑体" w:cs="Times New Roman"/>
      <w:b/>
      <w:sz w:val="32"/>
      <w:szCs w:val="24"/>
      <w:lang w:val="en-US" w:eastAsia="zh-CN" w:bidi="ar-SA"/>
    </w:rPr>
  </w:style>
  <w:style w:type="paragraph" w:customStyle="1" w:styleId="545">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46">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47">
    <w:name w:val="Body Text First Indent 21"/>
    <w:basedOn w:val="251"/>
    <w:qFormat/>
    <w:uiPriority w:val="99"/>
    <w:pPr>
      <w:ind w:firstLine="420"/>
    </w:pPr>
  </w:style>
  <w:style w:type="paragraph" w:customStyle="1" w:styleId="548">
    <w:name w:val="CM17"/>
    <w:basedOn w:val="1"/>
    <w:next w:val="1"/>
    <w:qFormat/>
    <w:uiPriority w:val="0"/>
    <w:pPr>
      <w:spacing w:after="273" w:line="360" w:lineRule="auto"/>
      <w:jc w:val="left"/>
    </w:pPr>
    <w:rPr>
      <w:rFonts w:ascii="宋体"/>
      <w:sz w:val="24"/>
    </w:rPr>
  </w:style>
  <w:style w:type="paragraph" w:customStyle="1" w:styleId="549">
    <w:name w:val="pa-0"/>
    <w:basedOn w:val="1"/>
    <w:qFormat/>
    <w:uiPriority w:val="0"/>
    <w:pPr>
      <w:widowControl/>
      <w:spacing w:line="360" w:lineRule="atLeast"/>
      <w:ind w:firstLine="480"/>
    </w:pPr>
    <w:rPr>
      <w:rFonts w:ascii="宋体" w:cs="宋体"/>
      <w:sz w:val="24"/>
    </w:rPr>
  </w:style>
  <w:style w:type="paragraph" w:customStyle="1" w:styleId="550">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1">
    <w:name w:val="D&amp;L"/>
    <w:basedOn w:val="269"/>
    <w:qFormat/>
    <w:uiPriority w:val="0"/>
    <w:pPr>
      <w:pBdr>
        <w:bottom w:val="single" w:color="000000" w:sz="18" w:space="1"/>
      </w:pBdr>
      <w:spacing w:line="240" w:lineRule="atLeast"/>
    </w:pPr>
    <w:rPr>
      <w:sz w:val="24"/>
      <w:szCs w:val="20"/>
    </w:rPr>
  </w:style>
  <w:style w:type="paragraph" w:customStyle="1" w:styleId="552">
    <w:name w:val="Normal_16"/>
    <w:qFormat/>
    <w:uiPriority w:val="0"/>
    <w:rPr>
      <w:rFonts w:hint="default" w:ascii="黑体" w:hAnsi="黑体" w:eastAsia="黑体" w:cs="Times New Roman"/>
      <w:b/>
      <w:sz w:val="32"/>
      <w:szCs w:val="24"/>
      <w:lang w:val="en-US" w:eastAsia="zh-CN" w:bidi="ar-SA"/>
    </w:rPr>
  </w:style>
  <w:style w:type="paragraph" w:customStyle="1" w:styleId="553">
    <w:name w:val="正文_6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54">
    <w:name w:val="font5"/>
    <w:basedOn w:val="1"/>
    <w:qFormat/>
    <w:uiPriority w:val="0"/>
    <w:pPr>
      <w:widowControl/>
      <w:spacing w:before="100" w:beforeAutospacing="1" w:after="100" w:afterAutospacing="1"/>
      <w:jc w:val="left"/>
    </w:pPr>
    <w:rPr>
      <w:rFonts w:ascii="宋体"/>
      <w:sz w:val="18"/>
      <w:szCs w:val="18"/>
    </w:rPr>
  </w:style>
  <w:style w:type="paragraph" w:customStyle="1" w:styleId="555">
    <w:name w:val="正文_6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56">
    <w:name w:val="大汉方案正文 Char"/>
    <w:basedOn w:val="1"/>
    <w:qFormat/>
    <w:uiPriority w:val="0"/>
    <w:pPr>
      <w:spacing w:line="360" w:lineRule="auto"/>
      <w:ind w:firstLine="200"/>
    </w:pPr>
    <w:rPr>
      <w:rFonts w:ascii="Arial" w:hAnsi="Arial"/>
      <w:sz w:val="24"/>
    </w:rPr>
  </w:style>
  <w:style w:type="paragraph" w:customStyle="1" w:styleId="557">
    <w:name w:val="样式2"/>
    <w:basedOn w:val="223"/>
    <w:qFormat/>
    <w:uiPriority w:val="0"/>
    <w:pPr>
      <w:spacing w:line="415" w:lineRule="auto"/>
    </w:pPr>
    <w:rPr>
      <w:rFonts w:ascii="Calibri" w:hAnsi="Calibri"/>
      <w:bCs/>
      <w:color w:val="000000"/>
      <w:sz w:val="28"/>
      <w:szCs w:val="28"/>
    </w:rPr>
  </w:style>
  <w:style w:type="paragraph" w:customStyle="1" w:styleId="558">
    <w:name w:val="Normal_2_0"/>
    <w:qFormat/>
    <w:uiPriority w:val="0"/>
    <w:rPr>
      <w:rFonts w:hint="default" w:ascii="黑体" w:hAnsi="黑体" w:eastAsia="黑体" w:cs="Times New Roman"/>
      <w:b/>
      <w:sz w:val="32"/>
      <w:szCs w:val="24"/>
      <w:lang w:val="en-US" w:eastAsia="zh-CN" w:bidi="ar-SA"/>
    </w:rPr>
  </w:style>
  <w:style w:type="paragraph" w:customStyle="1" w:styleId="559">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560">
    <w:name w:val="Normal_4"/>
    <w:qFormat/>
    <w:uiPriority w:val="0"/>
    <w:rPr>
      <w:rFonts w:hint="default" w:ascii="黑体" w:hAnsi="黑体" w:eastAsia="黑体" w:cs="Times New Roman"/>
      <w:b/>
      <w:sz w:val="32"/>
      <w:szCs w:val="24"/>
      <w:lang w:val="en-US" w:eastAsia="zh-CN" w:bidi="ar-SA"/>
    </w:rPr>
  </w:style>
  <w:style w:type="paragraph" w:customStyle="1" w:styleId="56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2">
    <w:name w:val="txt"/>
    <w:basedOn w:val="1"/>
    <w:qFormat/>
    <w:uiPriority w:val="0"/>
    <w:pPr>
      <w:widowControl/>
      <w:spacing w:before="100" w:beforeAutospacing="1" w:after="100" w:afterAutospacing="1"/>
      <w:jc w:val="left"/>
    </w:pPr>
    <w:rPr>
      <w:rFonts w:ascii="宋体" w:cs="宋体"/>
      <w:sz w:val="24"/>
    </w:rPr>
  </w:style>
  <w:style w:type="paragraph" w:customStyle="1" w:styleId="563">
    <w:name w:val="样式5"/>
    <w:basedOn w:val="223"/>
    <w:qFormat/>
    <w:uiPriority w:val="0"/>
    <w:pPr>
      <w:spacing w:line="415" w:lineRule="auto"/>
    </w:pPr>
    <w:rPr>
      <w:rFonts w:ascii="Calibri" w:hAnsi="Calibri"/>
      <w:bCs/>
      <w:color w:val="000000"/>
      <w:sz w:val="28"/>
      <w:szCs w:val="28"/>
    </w:rPr>
  </w:style>
  <w:style w:type="paragraph" w:customStyle="1" w:styleId="564">
    <w:name w:val="font7"/>
    <w:basedOn w:val="1"/>
    <w:qFormat/>
    <w:uiPriority w:val="0"/>
    <w:pPr>
      <w:widowControl/>
      <w:spacing w:before="100" w:beforeAutospacing="1" w:after="100" w:afterAutospacing="1"/>
      <w:jc w:val="left"/>
    </w:pPr>
    <w:rPr>
      <w:rFonts w:ascii="宋体"/>
      <w:sz w:val="20"/>
      <w:szCs w:val="20"/>
    </w:rPr>
  </w:style>
  <w:style w:type="paragraph" w:customStyle="1" w:styleId="565">
    <w:name w:val="正文_4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66">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67">
    <w:name w:val="编号"/>
    <w:basedOn w:val="1"/>
    <w:next w:val="435"/>
    <w:qFormat/>
    <w:uiPriority w:val="0"/>
    <w:pPr>
      <w:widowControl/>
      <w:tabs>
        <w:tab w:val="left" w:pos="420"/>
      </w:tabs>
      <w:ind w:left="420" w:right="-136" w:hanging="420"/>
    </w:pPr>
    <w:rPr>
      <w:rFonts w:ascii="仿宋_GB2312" w:eastAsia="仿宋_GB2312"/>
      <w:b/>
      <w:bCs/>
      <w:sz w:val="24"/>
      <w:szCs w:val="21"/>
    </w:rPr>
  </w:style>
  <w:style w:type="paragraph" w:customStyle="1" w:styleId="568">
    <w:name w:val="TOC 标题2"/>
    <w:basedOn w:val="221"/>
    <w:next w:val="1"/>
    <w:qFormat/>
    <w:uiPriority w:val="0"/>
    <w:pPr>
      <w:widowControl/>
      <w:spacing w:before="480" w:after="0" w:line="276" w:lineRule="auto"/>
      <w:outlineLvl w:val="9"/>
    </w:pPr>
    <w:rPr>
      <w:rFonts w:ascii="Cambria" w:hAnsi="Cambria"/>
      <w:color w:val="365F91"/>
      <w:sz w:val="28"/>
    </w:rPr>
  </w:style>
  <w:style w:type="paragraph" w:customStyle="1" w:styleId="569">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70">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71">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72">
    <w:name w:val="Char Char Char Char Char Char Char Char Char Char1"/>
    <w:basedOn w:val="1"/>
    <w:qFormat/>
    <w:uiPriority w:val="0"/>
    <w:rPr>
      <w:rFonts w:ascii="Tahoma" w:hAnsi="Tahoma" w:cs="Tahoma"/>
      <w:sz w:val="24"/>
    </w:rPr>
  </w:style>
  <w:style w:type="paragraph" w:customStyle="1" w:styleId="573">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74">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75">
    <w:name w:val="正文_14"/>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76">
    <w:name w:val="Normal_11"/>
    <w:qFormat/>
    <w:uiPriority w:val="0"/>
    <w:rPr>
      <w:rFonts w:hint="default" w:ascii="黑体" w:hAnsi="黑体" w:eastAsia="黑体" w:cs="Times New Roman"/>
      <w:b/>
      <w:sz w:val="32"/>
      <w:szCs w:val="24"/>
      <w:lang w:val="en-US" w:eastAsia="zh-CN" w:bidi="ar-SA"/>
    </w:rPr>
  </w:style>
  <w:style w:type="paragraph" w:customStyle="1" w:styleId="577">
    <w:name w:val="Char12"/>
    <w:basedOn w:val="1"/>
    <w:qFormat/>
    <w:uiPriority w:val="0"/>
    <w:pPr>
      <w:tabs>
        <w:tab w:val="left" w:pos="360"/>
      </w:tabs>
      <w:spacing w:line="480" w:lineRule="auto"/>
      <w:ind w:left="360" w:right="202" w:firstLine="360"/>
    </w:pPr>
    <w:rPr>
      <w:sz w:val="24"/>
    </w:rPr>
  </w:style>
  <w:style w:type="paragraph" w:customStyle="1" w:styleId="578">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57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80">
    <w:name w:val="正文_11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81">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82">
    <w:name w:val="样式 标题 2 + Times New Roman 四号 非加粗 段前: 5 磅 段后: 0 磅 行距: 固定值 20..."/>
    <w:basedOn w:val="222"/>
    <w:qFormat/>
    <w:uiPriority w:val="0"/>
    <w:pPr>
      <w:spacing w:before="100" w:after="0" w:line="400" w:lineRule="exact"/>
    </w:pPr>
    <w:rPr>
      <w:rFonts w:ascii="Times New Roman" w:hAnsi="Times New Roman" w:cs="宋体"/>
      <w:b w:val="0"/>
      <w:sz w:val="28"/>
    </w:rPr>
  </w:style>
  <w:style w:type="paragraph" w:customStyle="1" w:styleId="583">
    <w:name w:val="font6"/>
    <w:basedOn w:val="1"/>
    <w:qFormat/>
    <w:uiPriority w:val="0"/>
    <w:pPr>
      <w:widowControl/>
      <w:spacing w:before="100" w:beforeAutospacing="1" w:after="100" w:afterAutospacing="1"/>
      <w:jc w:val="left"/>
    </w:pPr>
    <w:rPr>
      <w:sz w:val="20"/>
      <w:szCs w:val="20"/>
    </w:rPr>
  </w:style>
  <w:style w:type="paragraph" w:customStyle="1" w:styleId="584">
    <w:name w:val="样式 正文首行缩进 + 宋体 首行缩进:  0.74 厘米"/>
    <w:basedOn w:val="290"/>
    <w:qFormat/>
    <w:uiPriority w:val="0"/>
    <w:pPr>
      <w:spacing w:before="120" w:after="0" w:line="380" w:lineRule="exact"/>
      <w:ind w:firstLine="210"/>
    </w:pPr>
    <w:rPr>
      <w:rFonts w:ascii="宋体" w:cs="宋体"/>
      <w:sz w:val="24"/>
      <w:szCs w:val="20"/>
    </w:rPr>
  </w:style>
  <w:style w:type="paragraph" w:customStyle="1" w:styleId="585">
    <w:name w:val="正文_7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86">
    <w:name w:val="Normal_17_0"/>
    <w:qFormat/>
    <w:uiPriority w:val="0"/>
    <w:rPr>
      <w:rFonts w:hint="default" w:ascii="黑体" w:hAnsi="黑体" w:eastAsia="黑体" w:cs="Times New Roman"/>
      <w:b/>
      <w:sz w:val="32"/>
      <w:szCs w:val="24"/>
      <w:lang w:val="en-US" w:eastAsia="zh-CN" w:bidi="ar-SA"/>
    </w:rPr>
  </w:style>
  <w:style w:type="paragraph" w:customStyle="1" w:styleId="587">
    <w:name w:val="Char Char Char Char Char Char Char Char Char Char2"/>
    <w:basedOn w:val="1"/>
    <w:qFormat/>
    <w:uiPriority w:val="0"/>
    <w:rPr>
      <w:rFonts w:ascii="Tahoma" w:hAnsi="Tahoma"/>
      <w:sz w:val="24"/>
      <w:szCs w:val="20"/>
    </w:rPr>
  </w:style>
  <w:style w:type="paragraph" w:customStyle="1" w:styleId="588">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589">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590">
    <w:name w:val="Char Char Char Char Char Char Char1 Char"/>
    <w:basedOn w:val="1"/>
    <w:qFormat/>
    <w:uiPriority w:val="0"/>
    <w:rPr>
      <w:rFonts w:ascii="Tahoma" w:hAnsi="Tahoma"/>
      <w:sz w:val="24"/>
      <w:szCs w:val="20"/>
    </w:rPr>
  </w:style>
  <w:style w:type="paragraph" w:customStyle="1" w:styleId="591">
    <w:name w:val="Char Char1 Char Char Char Char Char Char"/>
    <w:basedOn w:val="1"/>
    <w:qFormat/>
    <w:uiPriority w:val="0"/>
    <w:pPr>
      <w:widowControl/>
      <w:jc w:val="center"/>
    </w:pPr>
    <w:rPr>
      <w:szCs w:val="20"/>
    </w:rPr>
  </w:style>
  <w:style w:type="paragraph" w:customStyle="1" w:styleId="592">
    <w:name w:val="Normal Paragraph Char"/>
    <w:basedOn w:val="1"/>
    <w:qFormat/>
    <w:uiPriority w:val="0"/>
    <w:pPr>
      <w:widowControl/>
      <w:spacing w:before="120" w:line="360" w:lineRule="auto"/>
      <w:ind w:firstLine="425"/>
    </w:pPr>
    <w:rPr>
      <w:rFonts w:ascii="Calibri" w:hAnsi="Calibri"/>
      <w:sz w:val="24"/>
    </w:rPr>
  </w:style>
  <w:style w:type="paragraph" w:customStyle="1" w:styleId="593">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94">
    <w:name w:val="默认段落字体 Para Char"/>
    <w:basedOn w:val="1"/>
    <w:qFormat/>
    <w:uiPriority w:val="0"/>
    <w:rPr>
      <w:rFonts w:ascii="宋体"/>
      <w:b/>
      <w:sz w:val="28"/>
      <w:szCs w:val="28"/>
    </w:rPr>
  </w:style>
  <w:style w:type="paragraph" w:customStyle="1" w:styleId="595">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6">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97">
    <w:name w:val="Char Char Char1"/>
    <w:basedOn w:val="1"/>
    <w:qFormat/>
    <w:uiPriority w:val="0"/>
    <w:rPr>
      <w:rFonts w:ascii="Tahoma" w:hAnsi="Tahoma"/>
      <w:sz w:val="24"/>
      <w:szCs w:val="20"/>
    </w:rPr>
  </w:style>
  <w:style w:type="paragraph" w:customStyle="1" w:styleId="598">
    <w:name w:val="Normal1"/>
    <w:qFormat/>
    <w:uiPriority w:val="0"/>
    <w:rPr>
      <w:rFonts w:hint="default" w:ascii="Times New Roman" w:hAnsi="Times New Roman" w:eastAsia="Times New Roman" w:cs="Times New Roman"/>
      <w:sz w:val="24"/>
      <w:szCs w:val="24"/>
      <w:lang w:val="en-US" w:eastAsia="zh-CN" w:bidi="ar-SA"/>
    </w:rPr>
  </w:style>
  <w:style w:type="paragraph" w:customStyle="1" w:styleId="599">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600">
    <w:name w:val="表格"/>
    <w:basedOn w:val="1"/>
    <w:qFormat/>
    <w:uiPriority w:val="0"/>
    <w:pPr>
      <w:ind w:firstLine="21"/>
    </w:pPr>
    <w:rPr>
      <w:rFonts w:ascii="宋体"/>
      <w:szCs w:val="20"/>
    </w:rPr>
  </w:style>
  <w:style w:type="paragraph" w:customStyle="1" w:styleId="601">
    <w:name w:val="正文_1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02">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3">
    <w:name w:val="正文_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04">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05">
    <w:name w:val="项目"/>
    <w:basedOn w:val="1"/>
    <w:qFormat/>
    <w:uiPriority w:val="0"/>
    <w:pPr>
      <w:tabs>
        <w:tab w:val="left" w:pos="840"/>
      </w:tabs>
      <w:spacing w:before="60" w:after="60" w:line="360" w:lineRule="auto"/>
      <w:ind w:left="840" w:hanging="420"/>
    </w:pPr>
    <w:rPr>
      <w:rFonts w:ascii="宋体"/>
      <w:szCs w:val="20"/>
    </w:rPr>
  </w:style>
  <w:style w:type="paragraph" w:customStyle="1" w:styleId="606">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07">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608">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609">
    <w:name w:val="正文_9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0">
    <w:name w:val="规范正文"/>
    <w:basedOn w:val="1"/>
    <w:qFormat/>
    <w:uiPriority w:val="0"/>
    <w:pPr>
      <w:spacing w:line="360" w:lineRule="auto"/>
      <w:ind w:left="480"/>
    </w:pPr>
    <w:rPr>
      <w:sz w:val="24"/>
      <w:szCs w:val="20"/>
    </w:rPr>
  </w:style>
  <w:style w:type="paragraph" w:customStyle="1" w:styleId="611">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612">
    <w:name w:val="正文_8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3">
    <w:name w:val="正文_4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4">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5">
    <w:name w:val="正文_2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16">
    <w:name w:val="特点"/>
    <w:basedOn w:val="1"/>
    <w:next w:val="1"/>
    <w:qFormat/>
    <w:uiPriority w:val="0"/>
    <w:pPr>
      <w:spacing w:line="360" w:lineRule="auto"/>
      <w:jc w:val="center"/>
    </w:pPr>
    <w:rPr>
      <w:rFonts w:ascii="Arial" w:hAnsi="Arial"/>
      <w:sz w:val="24"/>
      <w:szCs w:val="20"/>
    </w:rPr>
  </w:style>
  <w:style w:type="paragraph" w:customStyle="1" w:styleId="617">
    <w:name w:val="正文小四"/>
    <w:basedOn w:val="1"/>
    <w:qFormat/>
    <w:uiPriority w:val="0"/>
    <w:pPr>
      <w:spacing w:line="312" w:lineRule="auto"/>
    </w:pPr>
    <w:rPr>
      <w:rFonts w:ascii="Calibri" w:hAnsi="Calibri"/>
      <w:sz w:val="24"/>
    </w:rPr>
  </w:style>
  <w:style w:type="paragraph" w:customStyle="1" w:styleId="618">
    <w:name w:val="Normal_15_0"/>
    <w:qFormat/>
    <w:uiPriority w:val="0"/>
    <w:rPr>
      <w:rFonts w:hint="default" w:ascii="黑体" w:hAnsi="黑体" w:eastAsia="黑体" w:cs="Times New Roman"/>
      <w:b/>
      <w:sz w:val="32"/>
      <w:szCs w:val="24"/>
      <w:lang w:val="en-US" w:eastAsia="zh-CN" w:bidi="ar-SA"/>
    </w:rPr>
  </w:style>
  <w:style w:type="paragraph" w:customStyle="1" w:styleId="619">
    <w:name w:val="tabletext"/>
    <w:basedOn w:val="1"/>
    <w:qFormat/>
    <w:uiPriority w:val="0"/>
    <w:pPr>
      <w:widowControl/>
      <w:spacing w:before="100" w:beforeAutospacing="1" w:after="100" w:afterAutospacing="1"/>
      <w:jc w:val="left"/>
    </w:pPr>
    <w:rPr>
      <w:rFonts w:ascii="宋体"/>
      <w:sz w:val="24"/>
    </w:rPr>
  </w:style>
  <w:style w:type="paragraph" w:customStyle="1" w:styleId="620">
    <w:name w:val="表内容"/>
    <w:basedOn w:val="451"/>
    <w:qFormat/>
    <w:uiPriority w:val="0"/>
    <w:pPr>
      <w:spacing w:line="320" w:lineRule="exact"/>
      <w:ind w:left="0" w:firstLine="0"/>
    </w:pPr>
    <w:rPr>
      <w:sz w:val="20"/>
    </w:rPr>
  </w:style>
  <w:style w:type="paragraph" w:customStyle="1" w:styleId="621">
    <w:name w:val="Char13"/>
    <w:basedOn w:val="1"/>
    <w:qFormat/>
    <w:uiPriority w:val="0"/>
  </w:style>
  <w:style w:type="paragraph" w:customStyle="1" w:styleId="622">
    <w:name w:val="我的样式"/>
    <w:basedOn w:val="1"/>
    <w:qFormat/>
    <w:uiPriority w:val="0"/>
    <w:pPr>
      <w:widowControl/>
      <w:spacing w:after="120"/>
      <w:ind w:firstLine="420"/>
      <w:jc w:val="left"/>
    </w:pPr>
    <w:rPr>
      <w:rFonts w:ascii="宋体"/>
      <w:color w:val="000000"/>
      <w:sz w:val="24"/>
      <w:szCs w:val="16"/>
    </w:rPr>
  </w:style>
  <w:style w:type="paragraph" w:customStyle="1" w:styleId="623">
    <w:name w:val="正文_19"/>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24">
    <w:name w:val="编号1"/>
    <w:next w:val="435"/>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625">
    <w:name w:val="Normal_0"/>
    <w:qFormat/>
    <w:uiPriority w:val="0"/>
    <w:rPr>
      <w:rFonts w:hint="default" w:ascii="黑体" w:hAnsi="黑体" w:eastAsia="黑体" w:cs="Times New Roman"/>
      <w:b/>
      <w:sz w:val="32"/>
      <w:szCs w:val="24"/>
      <w:lang w:val="en-US" w:eastAsia="zh-CN" w:bidi="ar-SA"/>
    </w:rPr>
  </w:style>
  <w:style w:type="paragraph" w:customStyle="1" w:styleId="626">
    <w:name w:val="首页单位日期"/>
    <w:basedOn w:val="1"/>
    <w:qFormat/>
    <w:uiPriority w:val="0"/>
    <w:pPr>
      <w:widowControl/>
      <w:jc w:val="center"/>
    </w:pPr>
    <w:rPr>
      <w:rFonts w:ascii="宋体" w:cs="宋体"/>
      <w:bCs/>
      <w:sz w:val="28"/>
      <w:szCs w:val="20"/>
    </w:rPr>
  </w:style>
  <w:style w:type="paragraph" w:customStyle="1" w:styleId="627">
    <w:name w:val="Normal Paragraph"/>
    <w:basedOn w:val="1"/>
    <w:qFormat/>
    <w:uiPriority w:val="0"/>
    <w:pPr>
      <w:widowControl/>
      <w:spacing w:before="120" w:line="360" w:lineRule="auto"/>
      <w:ind w:firstLine="425"/>
    </w:pPr>
    <w:rPr>
      <w:rFonts w:ascii="Calibri" w:hAnsi="Calibri"/>
      <w:sz w:val="24"/>
      <w:szCs w:val="20"/>
    </w:rPr>
  </w:style>
  <w:style w:type="paragraph" w:customStyle="1" w:styleId="628">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29">
    <w:name w:val="È±Ê¡ÎÄ±¾"/>
    <w:basedOn w:val="1"/>
    <w:qFormat/>
    <w:uiPriority w:val="0"/>
    <w:pPr>
      <w:widowControl/>
      <w:spacing w:line="360" w:lineRule="auto"/>
      <w:jc w:val="left"/>
    </w:pPr>
    <w:rPr>
      <w:sz w:val="24"/>
      <w:szCs w:val="20"/>
    </w:rPr>
  </w:style>
  <w:style w:type="paragraph" w:customStyle="1" w:styleId="630">
    <w:name w:val="Char Char Char Char Char Char Char Char Char Char3"/>
    <w:basedOn w:val="1"/>
    <w:qFormat/>
    <w:uiPriority w:val="0"/>
    <w:rPr>
      <w:rFonts w:ascii="Tahoma" w:hAnsi="Tahoma"/>
      <w:sz w:val="24"/>
      <w:szCs w:val="20"/>
    </w:rPr>
  </w:style>
  <w:style w:type="paragraph" w:customStyle="1" w:styleId="631">
    <w:name w:val="a1"/>
    <w:basedOn w:val="1"/>
    <w:qFormat/>
    <w:uiPriority w:val="0"/>
    <w:pPr>
      <w:widowControl/>
      <w:spacing w:before="100" w:beforeAutospacing="1" w:after="100" w:afterAutospacing="1"/>
      <w:jc w:val="left"/>
    </w:pPr>
    <w:rPr>
      <w:rFonts w:ascii="宋体"/>
      <w:sz w:val="24"/>
    </w:rPr>
  </w:style>
  <w:style w:type="paragraph" w:customStyle="1" w:styleId="632">
    <w:name w:val="正文_1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33">
    <w:name w:val="正文_11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34">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35">
    <w:name w:val="正文段"/>
    <w:basedOn w:val="1"/>
    <w:qFormat/>
    <w:uiPriority w:val="0"/>
    <w:pPr>
      <w:widowControl/>
      <w:spacing w:after="240" w:line="240" w:lineRule="atLeast"/>
      <w:ind w:firstLine="425"/>
    </w:pPr>
    <w:rPr>
      <w:sz w:val="24"/>
      <w:szCs w:val="20"/>
    </w:rPr>
  </w:style>
  <w:style w:type="paragraph" w:customStyle="1" w:styleId="636">
    <w:name w:val="Normal_16_0"/>
    <w:qFormat/>
    <w:uiPriority w:val="0"/>
    <w:rPr>
      <w:rFonts w:hint="default" w:ascii="黑体" w:hAnsi="黑体" w:eastAsia="黑体" w:cs="Times New Roman"/>
      <w:b/>
      <w:sz w:val="32"/>
      <w:szCs w:val="24"/>
      <w:lang w:val="en-US" w:eastAsia="zh-CN" w:bidi="ar-SA"/>
    </w:rPr>
  </w:style>
  <w:style w:type="paragraph" w:customStyle="1" w:styleId="637">
    <w:name w:val="Normal_17"/>
    <w:qFormat/>
    <w:uiPriority w:val="0"/>
    <w:rPr>
      <w:rFonts w:hint="default" w:ascii="黑体" w:hAnsi="黑体" w:eastAsia="黑体" w:cs="Times New Roman"/>
      <w:b/>
      <w:sz w:val="32"/>
      <w:szCs w:val="24"/>
      <w:lang w:val="en-US" w:eastAsia="zh-CN" w:bidi="ar-SA"/>
    </w:rPr>
  </w:style>
  <w:style w:type="paragraph" w:customStyle="1" w:styleId="638">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39">
    <w:name w:val="列出段落[858D7CFB-ED40-4347-BF05-701D383B685F][858D7CFB-ED40-4347-BF05-701D383B685F]"/>
    <w:basedOn w:val="1"/>
    <w:qFormat/>
    <w:uiPriority w:val="0"/>
    <w:pPr>
      <w:ind w:firstLine="200"/>
    </w:pPr>
    <w:rPr>
      <w:rFonts w:ascii="Calibri" w:hAnsi="Calibri"/>
    </w:rPr>
  </w:style>
  <w:style w:type="paragraph" w:customStyle="1" w:styleId="640">
    <w:name w:val="缺省文本"/>
    <w:basedOn w:val="1"/>
    <w:qFormat/>
    <w:uiPriority w:val="0"/>
    <w:pPr>
      <w:jc w:val="left"/>
    </w:pPr>
    <w:rPr>
      <w:sz w:val="24"/>
      <w:szCs w:val="20"/>
    </w:rPr>
  </w:style>
  <w:style w:type="paragraph" w:customStyle="1" w:styleId="641">
    <w:name w:val="Normal_13"/>
    <w:qFormat/>
    <w:uiPriority w:val="0"/>
    <w:rPr>
      <w:rFonts w:hint="default" w:ascii="黑体" w:hAnsi="黑体" w:eastAsia="黑体" w:cs="Times New Roman"/>
      <w:b/>
      <w:sz w:val="32"/>
      <w:szCs w:val="24"/>
      <w:lang w:val="en-US" w:eastAsia="zh-CN" w:bidi="ar-SA"/>
    </w:rPr>
  </w:style>
  <w:style w:type="paragraph" w:customStyle="1" w:styleId="642">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643">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44">
    <w:name w:val="附图居中"/>
    <w:basedOn w:val="1"/>
    <w:next w:val="477"/>
    <w:qFormat/>
    <w:uiPriority w:val="0"/>
    <w:pPr>
      <w:keepNext/>
      <w:tabs>
        <w:tab w:val="left" w:pos="0"/>
      </w:tabs>
      <w:spacing w:line="360" w:lineRule="auto"/>
      <w:ind w:left="1271" w:hanging="420"/>
      <w:jc w:val="center"/>
    </w:pPr>
    <w:rPr>
      <w:caps/>
      <w:sz w:val="24"/>
    </w:rPr>
  </w:style>
  <w:style w:type="paragraph" w:customStyle="1" w:styleId="645">
    <w:name w:val="正文_0_0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46">
    <w:name w:val="正文 + 宋体"/>
    <w:basedOn w:val="1"/>
    <w:qFormat/>
    <w:uiPriority w:val="0"/>
    <w:pPr>
      <w:ind w:firstLine="250"/>
    </w:pPr>
    <w:rPr>
      <w:rFonts w:ascii="宋体"/>
      <w:szCs w:val="21"/>
    </w:rPr>
  </w:style>
  <w:style w:type="paragraph" w:customStyle="1" w:styleId="647">
    <w:name w:val="Normal_5"/>
    <w:qFormat/>
    <w:uiPriority w:val="0"/>
    <w:rPr>
      <w:rFonts w:hint="default" w:ascii="黑体" w:hAnsi="黑体" w:eastAsia="黑体" w:cs="Times New Roman"/>
      <w:b/>
      <w:sz w:val="32"/>
      <w:szCs w:val="24"/>
      <w:lang w:val="en-US" w:eastAsia="zh-CN" w:bidi="ar-SA"/>
    </w:rPr>
  </w:style>
  <w:style w:type="paragraph" w:customStyle="1" w:styleId="648">
    <w:name w:val="Normal_13_0"/>
    <w:qFormat/>
    <w:uiPriority w:val="0"/>
    <w:rPr>
      <w:rFonts w:hint="default" w:ascii="黑体" w:hAnsi="黑体" w:eastAsia="黑体" w:cs="Times New Roman"/>
      <w:b/>
      <w:sz w:val="32"/>
      <w:szCs w:val="24"/>
      <w:lang w:val="en-US" w:eastAsia="zh-CN" w:bidi="ar-SA"/>
    </w:rPr>
  </w:style>
  <w:style w:type="paragraph" w:customStyle="1" w:styleId="649">
    <w:name w:val="Normal_14"/>
    <w:qFormat/>
    <w:uiPriority w:val="0"/>
    <w:rPr>
      <w:rFonts w:hint="default" w:ascii="黑体" w:hAnsi="黑体" w:eastAsia="黑体" w:cs="Times New Roman"/>
      <w:b/>
      <w:sz w:val="32"/>
      <w:szCs w:val="24"/>
      <w:lang w:val="en-US" w:eastAsia="zh-CN" w:bidi="ar-SA"/>
    </w:rPr>
  </w:style>
  <w:style w:type="paragraph" w:customStyle="1" w:styleId="650">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51">
    <w:name w:val="正文_7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52">
    <w:name w:val="Normal_3_0"/>
    <w:qFormat/>
    <w:uiPriority w:val="0"/>
    <w:rPr>
      <w:rFonts w:hint="default" w:ascii="黑体" w:hAnsi="黑体" w:eastAsia="黑体" w:cs="Times New Roman"/>
      <w:b/>
      <w:sz w:val="32"/>
      <w:szCs w:val="24"/>
      <w:lang w:val="en-US" w:eastAsia="zh-CN" w:bidi="ar-SA"/>
    </w:rPr>
  </w:style>
  <w:style w:type="paragraph" w:customStyle="1" w:styleId="653">
    <w:name w:val="保密事宜格式"/>
    <w:basedOn w:val="241"/>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654">
    <w:name w:val="样式 正文缩进 + (中文) 仿宋_GB2312 小四 Char"/>
    <w:basedOn w:val="240"/>
    <w:qFormat/>
    <w:uiPriority w:val="0"/>
    <w:pPr>
      <w:spacing w:line="360" w:lineRule="auto"/>
      <w:ind w:firstLine="200"/>
    </w:pPr>
    <w:rPr>
      <w:szCs w:val="24"/>
    </w:rPr>
  </w:style>
  <w:style w:type="paragraph" w:customStyle="1" w:styleId="655">
    <w:name w:val="默认段落字体 Para Char Char Char Char Char Char Char Char Char Char Char Char Char Char"/>
    <w:basedOn w:val="245"/>
    <w:qFormat/>
    <w:uiPriority w:val="0"/>
    <w:rPr>
      <w:rFonts w:ascii="Tahoma" w:hAnsi="Tahoma"/>
      <w:sz w:val="24"/>
    </w:rPr>
  </w:style>
  <w:style w:type="character" w:customStyle="1" w:styleId="656">
    <w:name w:val="font71"/>
    <w:basedOn w:val="37"/>
    <w:qFormat/>
    <w:uiPriority w:val="0"/>
    <w:rPr>
      <w:rFonts w:hint="eastAsia" w:ascii="宋体" w:hAnsi="宋体" w:eastAsia="宋体" w:cs="宋体"/>
      <w:color w:val="FF0000"/>
      <w:sz w:val="24"/>
      <w:szCs w:val="24"/>
      <w:u w:val="none"/>
    </w:rPr>
  </w:style>
  <w:style w:type="paragraph" w:customStyle="1" w:styleId="657">
    <w:name w:val="正文缩进1"/>
    <w:basedOn w:val="1"/>
    <w:qFormat/>
    <w:uiPriority w:val="0"/>
    <w:pPr>
      <w:ind w:firstLine="420"/>
    </w:pPr>
    <w:rPr>
      <w:szCs w:val="20"/>
    </w:rPr>
  </w:style>
  <w:style w:type="character" w:customStyle="1" w:styleId="658">
    <w:name w:val="占位符文本1"/>
    <w:qFormat/>
    <w:uiPriority w:val="99"/>
    <w:rPr>
      <w:color w:val="808080"/>
    </w:rPr>
  </w:style>
  <w:style w:type="paragraph" w:customStyle="1" w:styleId="659">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60">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61">
    <w:name w:val="正文文本11"/>
    <w:basedOn w:val="1"/>
    <w:next w:val="1"/>
    <w:qFormat/>
    <w:uiPriority w:val="0"/>
    <w:rPr>
      <w:rFonts w:ascii="楷体_GB2312" w:hAnsi="Arial" w:eastAsia="楷体_GB2312"/>
      <w:sz w:val="28"/>
      <w:szCs w:val="28"/>
    </w:rPr>
  </w:style>
  <w:style w:type="paragraph" w:customStyle="1" w:styleId="662">
    <w:name w:val="Table Text"/>
    <w:basedOn w:val="1"/>
    <w:semiHidden/>
    <w:qFormat/>
    <w:uiPriority w:val="0"/>
    <w:rPr>
      <w:rFonts w:ascii="宋体" w:hAnsi="宋体" w:cs="宋体"/>
      <w:sz w:val="17"/>
      <w:szCs w:val="17"/>
      <w:lang w:eastAsia="en-US"/>
    </w:rPr>
  </w:style>
  <w:style w:type="table" w:customStyle="1" w:styleId="663">
    <w:name w:val="Table Normal"/>
    <w:unhideWhenUsed/>
    <w:qFormat/>
    <w:uiPriority w:val="0"/>
    <w:tblPr>
      <w:tblCellMar>
        <w:top w:w="0" w:type="dxa"/>
        <w:left w:w="0" w:type="dxa"/>
        <w:bottom w:w="0" w:type="dxa"/>
        <w:right w:w="0" w:type="dxa"/>
      </w:tblCellMar>
    </w:tblPr>
  </w:style>
  <w:style w:type="character" w:customStyle="1" w:styleId="664">
    <w:name w:val="mark"/>
    <w:qFormat/>
    <w:uiPriority w:val="0"/>
    <w:rPr>
      <w:rFonts w:ascii="Times New Roman" w:hAnsi="Times New Roman" w:eastAsia="宋体" w:cs="Times New Roman"/>
    </w:rPr>
  </w:style>
  <w:style w:type="paragraph" w:customStyle="1" w:styleId="665">
    <w:name w:val="标题 311"/>
    <w:basedOn w:val="1"/>
    <w:next w:val="1"/>
    <w:qFormat/>
    <w:uiPriority w:val="0"/>
    <w:pPr>
      <w:keepNext/>
      <w:keepLines/>
      <w:spacing w:before="260" w:after="260" w:line="416" w:lineRule="auto"/>
      <w:outlineLvl w:val="2"/>
    </w:pPr>
    <w:rPr>
      <w:b/>
      <w:sz w:val="32"/>
      <w:szCs w:val="20"/>
    </w:rPr>
  </w:style>
  <w:style w:type="paragraph" w:customStyle="1" w:styleId="666">
    <w:name w:val="修订2"/>
    <w:hidden/>
    <w:unhideWhenUsed/>
    <w:qFormat/>
    <w:uiPriority w:val="99"/>
    <w:rPr>
      <w:rFonts w:hint="default" w:ascii="Times New Roman" w:hAnsi="Times New Roman" w:eastAsia="宋体" w:cs="Times New Roman"/>
      <w:sz w:val="21"/>
      <w:szCs w:val="22"/>
      <w:lang w:val="en-US" w:eastAsia="zh-CN" w:bidi="ar-SA"/>
    </w:rPr>
  </w:style>
  <w:style w:type="paragraph" w:customStyle="1" w:styleId="667">
    <w:name w:val="列表段落2"/>
    <w:basedOn w:val="1"/>
    <w:qFormat/>
    <w:uiPriority w:val="0"/>
    <w:pPr>
      <w:ind w:firstLine="420"/>
    </w:pPr>
  </w:style>
  <w:style w:type="character" w:customStyle="1" w:styleId="668">
    <w:name w:val="标题 2 Char"/>
    <w:qFormat/>
    <w:uiPriority w:val="0"/>
    <w:rPr>
      <w:rFonts w:ascii="Cambria" w:hAnsi="Cambria" w:eastAsia="宋体" w:cs="Times New Roman"/>
      <w:b/>
      <w:bCs/>
      <w:sz w:val="32"/>
      <w:szCs w:val="32"/>
      <w14:ligatures w14:val="none"/>
    </w:rPr>
  </w:style>
  <w:style w:type="character" w:customStyle="1" w:styleId="669">
    <w:name w:val="列表段落 字符"/>
    <w:link w:val="456"/>
    <w:qFormat/>
    <w:uiPriority w:val="34"/>
    <w:rPr>
      <w:rFonts w:ascii="Calibri" w:hAnsi="Calibri"/>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EA5633-B521-4C11-83B2-3320347C969B}">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61</Pages>
  <Words>14593</Words>
  <Characters>15737</Characters>
  <TotalTime>9</TotalTime>
  <ScaleCrop>false</ScaleCrop>
  <LinksUpToDate>false</LinksUpToDate>
  <CharactersWithSpaces>15868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2023-04-11T08:14:00Z</dcterms:created>
  <dc:creator>Adminis</dc:creator>
  <cp:lastModifiedBy>诸葛思远</cp:lastModifiedBy>
  <dcterms:modified xsi:type="dcterms:W3CDTF">2026-08-20T02:07:58Z</dcterms:modified>
  <cp:revision>168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eyJoZGlkIjoiYzQyMzdkOTA4NGFjNTcxZjM5YWQ3NWUxNmJiYmMzN2MiLCJ1c2VySWQiOiIzMTg5MzgxNzEifQ==</vt:lpwstr>
  </property>
  <property fmtid="{D5CDD505-2E9C-101B-9397-08002B2CF9AE}" pid="4" name="ICV">
    <vt:lpwstr>7F4667A9FA174217A96FE38F170FC1A4_13</vt:lpwstr>
  </property>
</Properties>
</file>