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7F03577D">
      <w:pPr>
        <w:jc w:val="center"/>
        <w:rPr>
          <w:rFonts w:hint="eastAsia" w:eastAsia="宋体"/>
          <w:color w:val="auto"/>
          <w:sz w:val="22"/>
          <w:szCs w:val="28"/>
          <w:highlight w:val="none"/>
          <w:lang w:val="zh-CN" w:eastAsia="zh-CN"/>
        </w:rPr>
      </w:pPr>
      <w:r>
        <w:rPr>
          <w:rFonts w:hint="eastAsia" w:ascii="Times New Roman" w:hAnsi="Times New Roman" w:cs="Times New Roman"/>
          <w:b/>
          <w:bCs/>
          <w:color w:val="auto"/>
          <w:sz w:val="48"/>
          <w:szCs w:val="44"/>
          <w:highlight w:val="none"/>
          <w:lang w:val="en-US" w:eastAsia="zh-CN"/>
        </w:rPr>
        <w:t>省属船闸运行方案编制报批</w:t>
      </w:r>
    </w:p>
    <w:p w14:paraId="1A20466F">
      <w:pPr>
        <w:pStyle w:val="2"/>
        <w:numPr>
          <w:ilvl w:val="1"/>
          <w:numId w:val="0"/>
        </w:numPr>
        <w:ind w:leftChars="0"/>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b/>
          <w:color w:val="auto"/>
          <w:kern w:val="0"/>
          <w:sz w:val="32"/>
          <w:szCs w:val="32"/>
          <w:highlight w:val="none"/>
        </w:rPr>
      </w:pPr>
      <w:r>
        <w:rPr>
          <w:b/>
          <w:color w:val="auto"/>
          <w:kern w:val="0"/>
          <w:sz w:val="32"/>
          <w:szCs w:val="32"/>
          <w:highlight w:val="none"/>
        </w:rPr>
        <w:t>项目编号：JSZC-320000-HYGS-G2026-0021</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default" w:eastAsia="宋体"/>
          <w:color w:val="auto"/>
          <w:sz w:val="32"/>
          <w:szCs w:val="28"/>
          <w:highlight w:val="none"/>
          <w:lang w:val="en-US"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w:t>
      </w:r>
      <w:r>
        <w:rPr>
          <w:rFonts w:hint="eastAsia" w:cs="Times New Roman"/>
          <w:color w:val="auto"/>
          <w:sz w:val="32"/>
          <w:szCs w:val="28"/>
          <w:highlight w:val="none"/>
          <w:lang w:val="en-US" w:eastAsia="zh-CN"/>
        </w:rPr>
        <w:t>江都水利工程管理处</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九</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31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3"/>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0" w:firstLineChars="200"/>
        <w:jc w:val="left"/>
        <w:rPr>
          <w:color w:val="auto"/>
          <w:szCs w:val="21"/>
          <w:highlight w:val="none"/>
        </w:rPr>
      </w:pPr>
      <w:r>
        <w:rPr>
          <w:rFonts w:ascii="Segoe UI" w:hAnsi="Segoe UI" w:eastAsia="Segoe UI" w:cs="Segoe UI"/>
          <w:b/>
          <w:bCs/>
          <w:i w:val="0"/>
          <w:iCs w:val="0"/>
          <w:caps w:val="0"/>
          <w:spacing w:val="0"/>
          <w:sz w:val="21"/>
          <w:szCs w:val="21"/>
          <w:shd w:val="clear" w:fill="FFFFFF"/>
        </w:rPr>
        <w:t>省属船闸运行方案编制报批</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9</w:t>
      </w:r>
      <w:r>
        <w:rPr>
          <w:b/>
          <w:bCs/>
          <w:color w:val="auto"/>
          <w:szCs w:val="21"/>
          <w:highlight w:val="none"/>
        </w:rPr>
        <w:t>月</w:t>
      </w:r>
      <w:r>
        <w:rPr>
          <w:rFonts w:hint="eastAsia"/>
          <w:b/>
          <w:bCs/>
          <w:color w:val="auto"/>
          <w:szCs w:val="21"/>
          <w:highlight w:val="none"/>
          <w:lang w:val="en-US" w:eastAsia="zh-CN"/>
        </w:rPr>
        <w:t>28</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35393790"/>
      <w:bookmarkStart w:id="3" w:name="_Toc35393621"/>
      <w:bookmarkStart w:id="4" w:name="_Toc28359079"/>
      <w:bookmarkStart w:id="5" w:name="_Toc28359002"/>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项目编号：JSZC-320000-HYGS-G2026-0021</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ascii="Segoe UI" w:hAnsi="Segoe UI" w:eastAsia="Segoe UI" w:cs="Segoe UI"/>
          <w:b/>
          <w:bCs/>
          <w:i w:val="0"/>
          <w:iCs w:val="0"/>
          <w:caps w:val="0"/>
          <w:spacing w:val="0"/>
          <w:sz w:val="21"/>
          <w:szCs w:val="21"/>
          <w:shd w:val="clear" w:fill="FFFFFF"/>
        </w:rPr>
        <w:t>省属船闸运行方案编制报批</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w:t>
      </w:r>
      <w:r>
        <w:rPr>
          <w:rFonts w:hint="eastAsia" w:cs="Times New Roman"/>
          <w:b/>
          <w:bCs/>
          <w:color w:val="auto"/>
          <w:szCs w:val="21"/>
          <w:highlight w:val="none"/>
          <w:lang w:val="en-US" w:eastAsia="zh-CN"/>
        </w:rPr>
        <w:t>壹佰肆拾万元整</w:t>
      </w:r>
      <w:r>
        <w:rPr>
          <w:rFonts w:hint="eastAsia"/>
          <w:b/>
          <w:bCs/>
          <w:color w:val="auto"/>
          <w:szCs w:val="21"/>
          <w:highlight w:val="none"/>
          <w:lang w:val="en-US" w:eastAsia="zh-CN"/>
        </w:rPr>
        <w:t>（RMB140万元）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采购需求：根据《通航建筑物运行方案编制导则》（JTS 123-2019）等规范和文件要求，结合水利通航建筑物具体情况及水利行政主管部门、交通运输综合执法机构、航运企业等有关单位的意见，编制包含邵仙套闸等13座江苏省属水利通航建筑物运行方案并取得批复。详见第四章采购需求。</w:t>
      </w:r>
    </w:p>
    <w:p w14:paraId="1F6B010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具体工作内容包括但不限于：</w:t>
      </w:r>
    </w:p>
    <w:p w14:paraId="67129206">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1）编制工作：业主方按照国家和省有关规定及水利行业标准提供有关资料，施工方应当按照国家和省有关规定及交通行业标准，编制13座省属水利通航建筑物运行方案，包括船闸概况、运行条件、开放时间、调度规则、养护停航安排、信息公开与社会监督等内容。重点突出船闸开放时间、调度规则、养护停航安排与船舶通行需要的适应性，以及与相邻船闸开放时间、养护停航安排之间的协调性。</w:t>
      </w:r>
    </w:p>
    <w:p w14:paraId="2B797B9A">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（2）报批工作：配合做好通航建筑物运行方案的报批工作。其中邵仙套闸等3座</w:t>
      </w:r>
      <w:bookmarkStart w:id="7" w:name="OLE_LINK4"/>
      <w:r>
        <w:rPr>
          <w:rFonts w:hint="eastAsia"/>
          <w:b/>
          <w:bCs/>
          <w:color w:val="auto"/>
          <w:szCs w:val="21"/>
          <w:highlight w:val="none"/>
          <w:lang w:val="en-US" w:eastAsia="zh-CN"/>
        </w:rPr>
        <w:t>船闸</w:t>
      </w:r>
      <w:bookmarkEnd w:id="7"/>
      <w:r>
        <w:rPr>
          <w:rFonts w:hint="eastAsia"/>
          <w:b/>
          <w:bCs/>
          <w:color w:val="auto"/>
          <w:szCs w:val="21"/>
          <w:highlight w:val="none"/>
          <w:lang w:val="en-US" w:eastAsia="zh-CN"/>
        </w:rPr>
        <w:t>向省交通运输主管部门申请运行方案审批；宜陵闸等10座船闸向属地交通运输主管部门申请运行方案审批。</w:t>
      </w:r>
    </w:p>
    <w:p w14:paraId="306569DC">
      <w:pPr>
        <w:spacing w:line="360" w:lineRule="auto"/>
        <w:ind w:firstLine="422" w:firstLineChars="200"/>
        <w:rPr>
          <w:rFonts w:hint="default"/>
          <w:b/>
          <w:bCs/>
          <w:color w:val="auto"/>
          <w:szCs w:val="21"/>
          <w:highlight w:val="none"/>
          <w:lang w:val="en-US" w:eastAsia="zh-CN"/>
        </w:rPr>
      </w:pPr>
      <w:r>
        <w:rPr>
          <w:rFonts w:hint="eastAsia"/>
          <w:b/>
          <w:bCs/>
          <w:color w:val="auto"/>
          <w:szCs w:val="21"/>
          <w:highlight w:val="none"/>
          <w:lang w:val="en-US" w:eastAsia="zh-CN"/>
        </w:rPr>
        <w:t>合同履行期限：合同签订后，70日历天内完成本项目通航建筑物运行方案编制并配合完成报批工作。</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8" w:name="_Toc35393622"/>
      <w:bookmarkStart w:id="9" w:name="_Toc28359003"/>
      <w:bookmarkStart w:id="10" w:name="_Toc35393791"/>
      <w:bookmarkStart w:id="11" w:name="_Toc28359080"/>
      <w:r>
        <w:rPr>
          <w:b/>
          <w:bCs/>
          <w:color w:val="auto"/>
          <w:szCs w:val="21"/>
          <w:highlight w:val="none"/>
        </w:rPr>
        <w:t>二、申请人的资格要求：</w:t>
      </w:r>
      <w:bookmarkEnd w:id="8"/>
      <w:bookmarkEnd w:id="9"/>
      <w:bookmarkEnd w:id="10"/>
      <w:bookmarkEnd w:id="11"/>
    </w:p>
    <w:p w14:paraId="27BBD316">
      <w:pPr>
        <w:spacing w:line="360" w:lineRule="auto"/>
        <w:ind w:firstLine="420" w:firstLineChars="200"/>
        <w:jc w:val="left"/>
        <w:rPr>
          <w:color w:val="auto"/>
          <w:szCs w:val="21"/>
          <w:highlight w:val="none"/>
        </w:rPr>
      </w:pPr>
      <w:bookmarkStart w:id="12" w:name="_Toc28359081"/>
      <w:bookmarkStart w:id="13" w:name="_Toc28359004"/>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w:t>
      </w:r>
      <w:r>
        <w:rPr>
          <w:rFonts w:hint="eastAsia"/>
          <w:b/>
          <w:bCs/>
          <w:color w:val="auto"/>
          <w:szCs w:val="21"/>
          <w:highlight w:val="none"/>
          <w:u w:val="single"/>
        </w:rPr>
        <w:t>：</w:t>
      </w:r>
      <w:r>
        <w:rPr>
          <w:rFonts w:ascii="宋体" w:hAnsi="宋体" w:eastAsia="宋体" w:cs="宋体"/>
          <w:b/>
          <w:bCs/>
          <w:color w:val="auto"/>
          <w:sz w:val="21"/>
          <w:szCs w:val="21"/>
          <w:highlight w:val="none"/>
          <w:u w:val="single"/>
        </w:rPr>
        <w:t>本项目为专门面向中小企业采购项目</w:t>
      </w:r>
      <w:r>
        <w:rPr>
          <w:rFonts w:hint="eastAsia" w:ascii="宋体" w:hAnsi="宋体" w:eastAsia="宋体" w:cs="宋体"/>
          <w:b/>
          <w:bCs/>
          <w:color w:val="auto"/>
          <w:sz w:val="21"/>
          <w:szCs w:val="21"/>
          <w:highlight w:val="none"/>
          <w:u w:val="single"/>
        </w:rPr>
        <w:t>（提供中小企业声明函）</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本项目采购标的物属于:</w:t>
      </w:r>
      <w:r>
        <w:rPr>
          <w:rFonts w:hint="eastAsia" w:ascii="宋体" w:hAnsi="宋体" w:cs="宋体"/>
          <w:b/>
          <w:bCs/>
          <w:color w:val="auto"/>
          <w:sz w:val="21"/>
          <w:szCs w:val="21"/>
          <w:highlight w:val="none"/>
          <w:u w:val="single"/>
          <w:lang w:val="en-US" w:eastAsia="zh-CN"/>
        </w:rPr>
        <w:t>其他未列明行业</w:t>
      </w:r>
      <w:r>
        <w:rPr>
          <w:rFonts w:hint="eastAsia"/>
          <w:b/>
          <w:bCs/>
          <w:color w:val="auto"/>
          <w:szCs w:val="21"/>
          <w:highlight w:val="none"/>
          <w:u w:val="single"/>
          <w:lang w:val="en-US" w:eastAsia="zh-CN"/>
        </w:rPr>
        <w:t>。</w:t>
      </w:r>
      <w:r>
        <w:rPr>
          <w:rFonts w:hint="eastAsia"/>
          <w:color w:val="auto"/>
          <w:szCs w:val="21"/>
          <w:highlight w:val="none"/>
        </w:rPr>
        <w:t>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lang w:val="en-US" w:eastAsia="zh-CN"/>
        </w:rPr>
        <w:t>无</w:t>
      </w:r>
      <w:r>
        <w:rPr>
          <w:b/>
          <w:color w:val="auto"/>
          <w:highlight w:val="none"/>
        </w:rPr>
        <w:t>。</w:t>
      </w:r>
    </w:p>
    <w:p w14:paraId="78BB439B">
      <w:pPr>
        <w:spacing w:line="360" w:lineRule="auto"/>
        <w:jc w:val="left"/>
        <w:rPr>
          <w:b/>
          <w:bCs/>
          <w:color w:val="auto"/>
          <w:szCs w:val="21"/>
          <w:highlight w:val="none"/>
        </w:rPr>
      </w:pPr>
      <w:bookmarkStart w:id="14" w:name="_Toc35393623"/>
      <w:bookmarkStart w:id="15" w:name="_Toc35393792"/>
      <w:r>
        <w:rPr>
          <w:b/>
          <w:bCs/>
          <w:color w:val="auto"/>
          <w:szCs w:val="21"/>
          <w:highlight w:val="none"/>
        </w:rPr>
        <w:t>三、获取招标文件</w:t>
      </w:r>
      <w:bookmarkEnd w:id="12"/>
      <w:bookmarkEnd w:id="13"/>
      <w:bookmarkEnd w:id="14"/>
      <w:bookmarkEnd w:id="15"/>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6" w:name="_Toc28359082"/>
      <w:bookmarkStart w:id="17" w:name="_Toc28359005"/>
      <w:bookmarkStart w:id="18" w:name="_Toc35393624"/>
      <w:bookmarkStart w:id="19"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6"/>
      <w:bookmarkEnd w:id="17"/>
      <w:r>
        <w:rPr>
          <w:b/>
          <w:bCs/>
          <w:color w:val="auto"/>
          <w:szCs w:val="21"/>
          <w:highlight w:val="none"/>
        </w:rPr>
        <w:t>截止时间、开标时间和地点</w:t>
      </w:r>
      <w:bookmarkEnd w:id="18"/>
      <w:bookmarkEnd w:id="19"/>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28</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28</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20" w:name="_Toc28359007"/>
      <w:bookmarkStart w:id="21" w:name="_Toc28359084"/>
      <w:bookmarkStart w:id="22" w:name="_Toc35393794"/>
      <w:bookmarkStart w:id="23" w:name="_Toc35393625"/>
      <w:r>
        <w:rPr>
          <w:b/>
          <w:bCs/>
          <w:color w:val="auto"/>
          <w:szCs w:val="21"/>
          <w:highlight w:val="none"/>
        </w:rPr>
        <w:t>五、公告期限</w:t>
      </w:r>
      <w:bookmarkEnd w:id="20"/>
      <w:bookmarkEnd w:id="21"/>
      <w:bookmarkEnd w:id="22"/>
      <w:bookmarkEnd w:id="23"/>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4" w:name="_Toc35393626"/>
      <w:bookmarkStart w:id="25" w:name="_Toc35393795"/>
      <w:r>
        <w:rPr>
          <w:b/>
          <w:bCs/>
          <w:color w:val="auto"/>
          <w:szCs w:val="21"/>
          <w:highlight w:val="none"/>
        </w:rPr>
        <w:t>六、其他补充事宜</w:t>
      </w:r>
      <w:bookmarkEnd w:id="24"/>
      <w:bookmarkEnd w:id="25"/>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6" w:name="_Toc35393796"/>
      <w:bookmarkStart w:id="27" w:name="_Toc28359085"/>
      <w:bookmarkStart w:id="28" w:name="_Toc35393627"/>
      <w:bookmarkStart w:id="29" w:name="_Toc28359008"/>
      <w:r>
        <w:rPr>
          <w:b/>
          <w:bCs/>
          <w:color w:val="auto"/>
          <w:szCs w:val="21"/>
          <w:highlight w:val="none"/>
        </w:rPr>
        <w:t>七、对本次招标提出询问，请按以下方式联系。</w:t>
      </w:r>
      <w:bookmarkEnd w:id="26"/>
      <w:bookmarkEnd w:id="27"/>
      <w:bookmarkEnd w:id="28"/>
      <w:bookmarkEnd w:id="29"/>
    </w:p>
    <w:p w14:paraId="745583A2">
      <w:pPr>
        <w:widowControl/>
        <w:spacing w:line="360" w:lineRule="auto"/>
        <w:ind w:firstLine="420" w:firstLineChars="200"/>
        <w:jc w:val="left"/>
        <w:rPr>
          <w:rFonts w:hint="default"/>
          <w:color w:val="auto"/>
          <w:szCs w:val="21"/>
          <w:highlight w:val="none"/>
          <w:lang w:val="en-US"/>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w:t>
      </w:r>
      <w:r>
        <w:rPr>
          <w:rFonts w:hint="eastAsia" w:cs="Times New Roman"/>
          <w:color w:val="auto"/>
          <w:szCs w:val="21"/>
          <w:highlight w:val="none"/>
          <w:lang w:val="en-US" w:eastAsia="zh-CN"/>
        </w:rPr>
        <w:t>江都水利工程管理处</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ascii="Segoe UI" w:hAnsi="Segoe UI" w:eastAsia="Segoe UI" w:cs="Segoe UI"/>
          <w:i w:val="0"/>
          <w:iCs w:val="0"/>
          <w:caps w:val="0"/>
          <w:spacing w:val="0"/>
          <w:sz w:val="21"/>
          <w:szCs w:val="21"/>
          <w:shd w:val="clear" w:fill="FAFAFA"/>
        </w:rPr>
        <w:t>扬州市江都区龙城路133号</w:t>
      </w:r>
    </w:p>
    <w:p w14:paraId="3571F9CE">
      <w:pPr>
        <w:widowControl/>
        <w:spacing w:line="360" w:lineRule="auto"/>
        <w:ind w:firstLine="420" w:firstLineChars="200"/>
        <w:jc w:val="left"/>
        <w:rPr>
          <w:rFonts w:hint="default" w:eastAsia="宋体"/>
          <w:color w:val="auto"/>
          <w:szCs w:val="21"/>
          <w:highlight w:val="yellow"/>
          <w:lang w:val="en-US" w:eastAsia="zh-CN"/>
        </w:rPr>
      </w:pPr>
      <w:r>
        <w:rPr>
          <w:rFonts w:hint="eastAsia"/>
          <w:color w:val="auto"/>
          <w:szCs w:val="21"/>
          <w:highlight w:val="none"/>
        </w:rPr>
        <w:t>联系人及联系方式：</w:t>
      </w:r>
      <w:r>
        <w:rPr>
          <w:rFonts w:ascii="Segoe UI" w:hAnsi="Segoe UI" w:eastAsia="Segoe UI" w:cs="Segoe UI"/>
          <w:i w:val="0"/>
          <w:iCs w:val="0"/>
          <w:caps w:val="0"/>
          <w:spacing w:val="0"/>
          <w:sz w:val="21"/>
          <w:szCs w:val="21"/>
        </w:rPr>
        <w:t>黄春</w:t>
      </w:r>
      <w:r>
        <w:rPr>
          <w:rFonts w:hint="eastAsia"/>
          <w:color w:val="auto"/>
          <w:szCs w:val="21"/>
          <w:highlight w:val="none"/>
        </w:rPr>
        <w:t xml:space="preserve">华 </w:t>
      </w:r>
      <w:r>
        <w:rPr>
          <w:rFonts w:hint="eastAsia"/>
          <w:color w:val="auto"/>
          <w:szCs w:val="21"/>
          <w:highlight w:val="none"/>
          <w:lang w:val="en-US" w:eastAsia="zh-CN"/>
        </w:rPr>
        <w:t>0514-80802125</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30" w:name="_Toc452625218"/>
      <w:r>
        <w:rPr>
          <w:color w:val="auto"/>
          <w:highlight w:val="none"/>
        </w:rPr>
        <w:br w:type="page"/>
      </w:r>
    </w:p>
    <w:p w14:paraId="4214055C">
      <w:pPr>
        <w:pStyle w:val="3"/>
        <w:rPr>
          <w:color w:val="auto"/>
          <w:kern w:val="0"/>
          <w:sz w:val="36"/>
          <w:szCs w:val="36"/>
          <w:highlight w:val="none"/>
          <w:shd w:val="clear" w:color="auto" w:fill="FFFFFF"/>
        </w:rPr>
      </w:pPr>
      <w:r>
        <w:rPr>
          <w:color w:val="auto"/>
          <w:highlight w:val="none"/>
        </w:rPr>
        <w:t xml:space="preserve"> </w:t>
      </w:r>
      <w:bookmarkStart w:id="31" w:name="_Toc25957"/>
      <w:r>
        <w:rPr>
          <w:color w:val="auto"/>
          <w:kern w:val="0"/>
          <w:sz w:val="36"/>
          <w:szCs w:val="36"/>
          <w:highlight w:val="none"/>
          <w:shd w:val="clear" w:color="auto" w:fill="FFFFFF"/>
        </w:rPr>
        <w:t>投标人须知</w:t>
      </w:r>
      <w:bookmarkEnd w:id="30"/>
      <w:bookmarkEnd w:id="31"/>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53038F4D">
      <w:pPr>
        <w:snapToGrid w:val="0"/>
        <w:spacing w:line="360" w:lineRule="auto"/>
        <w:ind w:firstLine="422" w:firstLineChars="200"/>
        <w:rPr>
          <w:rStyle w:val="87"/>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Style w:val="87"/>
          <w:color w:val="auto"/>
          <w:szCs w:val="21"/>
          <w:highlight w:val="none"/>
        </w:rPr>
        <w:t>费用金额，</w:t>
      </w:r>
      <w:r>
        <w:rPr>
          <w:rStyle w:val="87"/>
          <w:b/>
          <w:bCs/>
          <w:color w:val="auto"/>
          <w:szCs w:val="21"/>
          <w:highlight w:val="none"/>
          <w:u w:val="single"/>
        </w:rPr>
        <w:t>按如下表格以差额定率累进法计算基数</w:t>
      </w:r>
      <w:r>
        <w:rPr>
          <w:rStyle w:val="87"/>
          <w:rFonts w:hint="eastAsia"/>
          <w:b/>
          <w:bCs/>
          <w:color w:val="auto"/>
          <w:szCs w:val="21"/>
          <w:highlight w:val="none"/>
          <w:u w:val="single"/>
        </w:rPr>
        <w:t>*80%</w:t>
      </w:r>
      <w:r>
        <w:rPr>
          <w:rStyle w:val="87"/>
          <w:b/>
          <w:bCs/>
          <w:color w:val="auto"/>
          <w:szCs w:val="21"/>
          <w:highlight w:val="none"/>
          <w:u w:val="single"/>
        </w:rPr>
        <w:t>计取</w:t>
      </w:r>
      <w:r>
        <w:rPr>
          <w:rStyle w:val="87"/>
          <w:color w:val="auto"/>
          <w:szCs w:val="21"/>
          <w:highlight w:val="none"/>
        </w:rPr>
        <w:t>。</w:t>
      </w:r>
    </w:p>
    <w:p w14:paraId="5E8F1B98">
      <w:pPr>
        <w:snapToGrid w:val="0"/>
        <w:spacing w:line="360" w:lineRule="auto"/>
        <w:ind w:firstLine="422" w:firstLineChars="200"/>
        <w:jc w:val="center"/>
        <w:rPr>
          <w:b/>
          <w:bCs/>
          <w:color w:val="auto"/>
          <w:szCs w:val="21"/>
          <w:highlight w:val="none"/>
        </w:rPr>
      </w:pPr>
      <w:r>
        <w:rPr>
          <w:rStyle w:val="87"/>
          <w:b/>
          <w:bCs/>
          <w:color w:val="auto"/>
          <w:szCs w:val="21"/>
          <w:highlight w:val="none"/>
        </w:rPr>
        <w:t>综合费率计算方法</w:t>
      </w:r>
    </w:p>
    <w:tbl>
      <w:tblPr>
        <w:tblStyle w:val="52"/>
        <w:tblW w:w="6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1"/>
        <w:gridCol w:w="2206"/>
      </w:tblGrid>
      <w:tr w14:paraId="601D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blHeader/>
          <w:jc w:val="center"/>
        </w:trPr>
        <w:tc>
          <w:tcPr>
            <w:tcW w:w="3951" w:type="dxa"/>
            <w:tcBorders>
              <w:top w:val="single" w:color="auto" w:sz="4" w:space="0"/>
              <w:left w:val="single" w:color="auto" w:sz="4" w:space="0"/>
              <w:bottom w:val="single" w:color="auto" w:sz="4" w:space="0"/>
              <w:right w:val="single" w:color="auto" w:sz="4" w:space="0"/>
            </w:tcBorders>
            <w:noWrap w:val="0"/>
            <w:vAlign w:val="bottom"/>
          </w:tcPr>
          <w:p w14:paraId="4600E135">
            <w:pPr>
              <w:keepNext w:val="0"/>
              <w:keepLines w:val="0"/>
              <w:suppressLineNumbers w:val="0"/>
              <w:snapToGrid w:val="0"/>
              <w:spacing w:before="0" w:beforeAutospacing="0" w:after="0" w:afterAutospacing="0" w:line="360" w:lineRule="auto"/>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中标金额</w:t>
            </w:r>
          </w:p>
        </w:tc>
        <w:tc>
          <w:tcPr>
            <w:tcW w:w="2206" w:type="dxa"/>
            <w:tcBorders>
              <w:top w:val="single" w:color="auto" w:sz="4" w:space="0"/>
              <w:left w:val="single" w:color="auto" w:sz="4" w:space="0"/>
              <w:bottom w:val="single" w:color="auto" w:sz="4" w:space="0"/>
              <w:right w:val="single" w:color="auto" w:sz="4" w:space="0"/>
            </w:tcBorders>
            <w:noWrap w:val="0"/>
            <w:vAlign w:val="bottom"/>
          </w:tcPr>
          <w:p w14:paraId="31E93D79">
            <w:pPr>
              <w:keepNext w:val="0"/>
              <w:keepLines w:val="0"/>
              <w:suppressLineNumbers w:val="0"/>
              <w:snapToGrid w:val="0"/>
              <w:spacing w:before="0" w:beforeAutospacing="0" w:after="0" w:afterAutospacing="0" w:line="360" w:lineRule="auto"/>
              <w:ind w:left="0" w:right="0"/>
              <w:jc w:val="center"/>
              <w:rPr>
                <w:rStyle w:val="87"/>
                <w:rFonts w:hint="default" w:ascii="Times New Roman" w:hAnsi="Times New Roman"/>
                <w:color w:val="auto"/>
                <w:szCs w:val="21"/>
                <w:highlight w:val="none"/>
              </w:rPr>
            </w:pPr>
            <w:r>
              <w:rPr>
                <w:rStyle w:val="87"/>
                <w:rFonts w:hint="eastAsia" w:ascii="Times New Roman" w:hAnsi="Times New Roman"/>
                <w:color w:val="auto"/>
                <w:szCs w:val="21"/>
                <w:highlight w:val="none"/>
                <w:lang w:val="en-US" w:eastAsia="zh-CN"/>
              </w:rPr>
              <w:t>服务</w:t>
            </w:r>
            <w:r>
              <w:rPr>
                <w:rStyle w:val="87"/>
                <w:rFonts w:hint="default" w:ascii="Times New Roman" w:hAnsi="Times New Roman"/>
                <w:color w:val="auto"/>
                <w:szCs w:val="21"/>
                <w:highlight w:val="none"/>
              </w:rPr>
              <w:t>招标</w:t>
            </w:r>
          </w:p>
        </w:tc>
      </w:tr>
      <w:tr w14:paraId="557B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51" w:type="dxa"/>
            <w:tcBorders>
              <w:top w:val="single" w:color="auto" w:sz="4" w:space="0"/>
              <w:left w:val="single" w:color="auto" w:sz="4" w:space="0"/>
              <w:bottom w:val="single" w:color="auto" w:sz="4" w:space="0"/>
              <w:right w:val="single" w:color="auto" w:sz="4" w:space="0"/>
            </w:tcBorders>
            <w:noWrap w:val="0"/>
            <w:vAlign w:val="center"/>
          </w:tcPr>
          <w:p w14:paraId="0688E36D">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50万元以下（含50万元)</w:t>
            </w:r>
          </w:p>
        </w:tc>
        <w:tc>
          <w:tcPr>
            <w:tcW w:w="2206" w:type="dxa"/>
            <w:tcBorders>
              <w:top w:val="single" w:color="auto" w:sz="4" w:space="0"/>
              <w:left w:val="single" w:color="auto" w:sz="4" w:space="0"/>
              <w:bottom w:val="single" w:color="auto" w:sz="4" w:space="0"/>
              <w:right w:val="single" w:color="auto" w:sz="4" w:space="0"/>
            </w:tcBorders>
            <w:noWrap w:val="0"/>
            <w:vAlign w:val="center"/>
          </w:tcPr>
          <w:p w14:paraId="5D1E00D2">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1万元</w:t>
            </w:r>
          </w:p>
        </w:tc>
      </w:tr>
      <w:tr w14:paraId="3628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51" w:type="dxa"/>
            <w:tcBorders>
              <w:top w:val="single" w:color="auto" w:sz="4" w:space="0"/>
              <w:left w:val="single" w:color="auto" w:sz="4" w:space="0"/>
              <w:bottom w:val="single" w:color="auto" w:sz="4" w:space="0"/>
              <w:right w:val="single" w:color="auto" w:sz="4" w:space="0"/>
            </w:tcBorders>
            <w:noWrap w:val="0"/>
            <w:vAlign w:val="center"/>
          </w:tcPr>
          <w:p w14:paraId="66537D6D">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50万元-400万元（含400万元)</w:t>
            </w:r>
          </w:p>
        </w:tc>
        <w:tc>
          <w:tcPr>
            <w:tcW w:w="2206" w:type="dxa"/>
            <w:tcBorders>
              <w:top w:val="single" w:color="auto" w:sz="4" w:space="0"/>
              <w:left w:val="single" w:color="auto" w:sz="4" w:space="0"/>
              <w:bottom w:val="single" w:color="auto" w:sz="4" w:space="0"/>
              <w:right w:val="single" w:color="auto" w:sz="4" w:space="0"/>
            </w:tcBorders>
            <w:noWrap w:val="0"/>
            <w:vAlign w:val="center"/>
          </w:tcPr>
          <w:p w14:paraId="6CB4C20C">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1.50%</w:t>
            </w:r>
          </w:p>
        </w:tc>
      </w:tr>
      <w:tr w14:paraId="30C3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51" w:type="dxa"/>
            <w:tcBorders>
              <w:top w:val="single" w:color="auto" w:sz="4" w:space="0"/>
              <w:left w:val="single" w:color="auto" w:sz="4" w:space="0"/>
              <w:bottom w:val="single" w:color="auto" w:sz="4" w:space="0"/>
              <w:right w:val="single" w:color="auto" w:sz="4" w:space="0"/>
            </w:tcBorders>
            <w:noWrap w:val="0"/>
            <w:vAlign w:val="center"/>
          </w:tcPr>
          <w:p w14:paraId="68998ED1">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400-1000万元（含1000万元)</w:t>
            </w:r>
          </w:p>
        </w:tc>
        <w:tc>
          <w:tcPr>
            <w:tcW w:w="2206" w:type="dxa"/>
            <w:tcBorders>
              <w:top w:val="single" w:color="auto" w:sz="4" w:space="0"/>
              <w:left w:val="single" w:color="auto" w:sz="4" w:space="0"/>
              <w:bottom w:val="single" w:color="auto" w:sz="4" w:space="0"/>
              <w:right w:val="single" w:color="auto" w:sz="4" w:space="0"/>
            </w:tcBorders>
            <w:noWrap w:val="0"/>
            <w:vAlign w:val="center"/>
          </w:tcPr>
          <w:p w14:paraId="4BF0D03C">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0.90%</w:t>
            </w:r>
          </w:p>
        </w:tc>
      </w:tr>
      <w:tr w14:paraId="0265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51" w:type="dxa"/>
            <w:tcBorders>
              <w:top w:val="single" w:color="auto" w:sz="4" w:space="0"/>
              <w:left w:val="single" w:color="auto" w:sz="4" w:space="0"/>
              <w:bottom w:val="single" w:color="auto" w:sz="4" w:space="0"/>
              <w:right w:val="single" w:color="auto" w:sz="4" w:space="0"/>
            </w:tcBorders>
            <w:noWrap w:val="0"/>
            <w:vAlign w:val="center"/>
          </w:tcPr>
          <w:p w14:paraId="7D966395">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1000-5000万元（含5000万元）</w:t>
            </w:r>
          </w:p>
        </w:tc>
        <w:tc>
          <w:tcPr>
            <w:tcW w:w="2206" w:type="dxa"/>
            <w:tcBorders>
              <w:top w:val="single" w:color="auto" w:sz="4" w:space="0"/>
              <w:left w:val="single" w:color="auto" w:sz="4" w:space="0"/>
              <w:bottom w:val="single" w:color="auto" w:sz="4" w:space="0"/>
              <w:right w:val="single" w:color="auto" w:sz="4" w:space="0"/>
            </w:tcBorders>
            <w:noWrap w:val="0"/>
            <w:vAlign w:val="center"/>
          </w:tcPr>
          <w:p w14:paraId="657A8626">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0.45%</w:t>
            </w:r>
          </w:p>
        </w:tc>
      </w:tr>
      <w:tr w14:paraId="33200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51" w:type="dxa"/>
            <w:tcBorders>
              <w:top w:val="single" w:color="auto" w:sz="4" w:space="0"/>
              <w:left w:val="single" w:color="auto" w:sz="4" w:space="0"/>
              <w:bottom w:val="single" w:color="auto" w:sz="4" w:space="0"/>
              <w:right w:val="single" w:color="auto" w:sz="4" w:space="0"/>
            </w:tcBorders>
            <w:noWrap w:val="0"/>
            <w:vAlign w:val="center"/>
          </w:tcPr>
          <w:p w14:paraId="2FB3278B">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5000万元-1亿元（含1亿元)</w:t>
            </w:r>
          </w:p>
        </w:tc>
        <w:tc>
          <w:tcPr>
            <w:tcW w:w="2206" w:type="dxa"/>
            <w:tcBorders>
              <w:top w:val="single" w:color="auto" w:sz="4" w:space="0"/>
              <w:left w:val="single" w:color="auto" w:sz="4" w:space="0"/>
              <w:bottom w:val="single" w:color="auto" w:sz="4" w:space="0"/>
              <w:right w:val="single" w:color="auto" w:sz="4" w:space="0"/>
            </w:tcBorders>
            <w:noWrap w:val="0"/>
            <w:vAlign w:val="center"/>
          </w:tcPr>
          <w:p w14:paraId="7510512E">
            <w:pPr>
              <w:keepNext w:val="0"/>
              <w:keepLines w:val="0"/>
              <w:suppressLineNumbers w:val="0"/>
              <w:snapToGrid w:val="0"/>
              <w:spacing w:before="0" w:beforeAutospacing="0" w:after="0" w:afterAutospacing="0"/>
              <w:ind w:left="0" w:right="0"/>
              <w:jc w:val="center"/>
              <w:rPr>
                <w:rStyle w:val="87"/>
                <w:rFonts w:hint="default" w:ascii="Times New Roman" w:hAnsi="Times New Roman"/>
                <w:color w:val="auto"/>
                <w:szCs w:val="21"/>
                <w:highlight w:val="none"/>
              </w:rPr>
            </w:pPr>
            <w:r>
              <w:rPr>
                <w:rStyle w:val="87"/>
                <w:rFonts w:hint="default" w:ascii="Times New Roman" w:hAnsi="Times New Roman"/>
                <w:color w:val="auto"/>
                <w:szCs w:val="21"/>
                <w:highlight w:val="none"/>
              </w:rPr>
              <w:t>0.15%</w:t>
            </w:r>
          </w:p>
        </w:tc>
      </w:tr>
    </w:tbl>
    <w:p w14:paraId="78EFEA6A">
      <w:pPr>
        <w:adjustRightInd w:val="0"/>
        <w:snapToGrid w:val="0"/>
        <w:spacing w:line="360" w:lineRule="auto"/>
        <w:ind w:firstLine="420" w:firstLineChars="200"/>
        <w:rPr>
          <w:rStyle w:val="87"/>
          <w:color w:val="auto"/>
          <w:szCs w:val="21"/>
          <w:highlight w:val="none"/>
        </w:rPr>
      </w:pPr>
      <w:r>
        <w:rPr>
          <w:rStyle w:val="87"/>
          <w:color w:val="auto"/>
          <w:szCs w:val="21"/>
          <w:highlight w:val="none"/>
        </w:rPr>
        <w:t>举例：中标价400万元，则采购代理服务费为：</w:t>
      </w:r>
      <w:r>
        <w:rPr>
          <w:rStyle w:val="87"/>
          <w:rFonts w:hint="eastAsia"/>
          <w:color w:val="auto"/>
          <w:szCs w:val="21"/>
          <w:highlight w:val="none"/>
        </w:rPr>
        <w:t>（</w:t>
      </w:r>
      <w:r>
        <w:rPr>
          <w:rStyle w:val="87"/>
          <w:color w:val="auto"/>
          <w:szCs w:val="21"/>
          <w:highlight w:val="none"/>
        </w:rPr>
        <w:t>1+350*1.5%</w:t>
      </w:r>
      <w:r>
        <w:rPr>
          <w:rStyle w:val="87"/>
          <w:rFonts w:hint="eastAsia"/>
          <w:color w:val="auto"/>
          <w:szCs w:val="21"/>
          <w:highlight w:val="none"/>
        </w:rPr>
        <w:t>）*80%</w:t>
      </w:r>
      <w:r>
        <w:rPr>
          <w:rStyle w:val="87"/>
          <w:color w:val="auto"/>
          <w:szCs w:val="21"/>
          <w:highlight w:val="none"/>
        </w:rPr>
        <w:t xml:space="preserve"> =</w:t>
      </w:r>
      <w:r>
        <w:rPr>
          <w:rStyle w:val="87"/>
          <w:rFonts w:hint="eastAsia"/>
          <w:color w:val="auto"/>
          <w:szCs w:val="21"/>
          <w:highlight w:val="none"/>
        </w:rPr>
        <w:t>5</w:t>
      </w:r>
      <w:r>
        <w:rPr>
          <w:rStyle w:val="87"/>
          <w:color w:val="auto"/>
          <w:szCs w:val="21"/>
          <w:highlight w:val="none"/>
        </w:rPr>
        <w:t>万元。</w:t>
      </w:r>
    </w:p>
    <w:p w14:paraId="6B929C0E">
      <w:pPr>
        <w:adjustRightInd w:val="0"/>
        <w:snapToGrid w:val="0"/>
        <w:spacing w:line="360" w:lineRule="auto"/>
        <w:ind w:firstLine="420" w:firstLineChars="200"/>
        <w:rPr>
          <w:color w:val="auto"/>
          <w:szCs w:val="21"/>
          <w:highlight w:val="none"/>
        </w:rPr>
      </w:pPr>
      <w:r>
        <w:rPr>
          <w:rStyle w:val="87"/>
          <w:color w:val="auto"/>
          <w:szCs w:val="21"/>
          <w:highlight w:val="none"/>
        </w:rPr>
        <w:t>以此类推</w:t>
      </w:r>
      <w:r>
        <w:rPr>
          <w:color w:val="auto"/>
          <w:szCs w:val="21"/>
          <w:highlight w:val="none"/>
        </w:rPr>
        <w:t>。</w:t>
      </w:r>
    </w:p>
    <w:p w14:paraId="0CFFAB3B">
      <w:pPr>
        <w:adjustRightInd w:val="0"/>
        <w:snapToGrid w:val="0"/>
        <w:spacing w:line="360" w:lineRule="auto"/>
        <w:ind w:firstLine="420" w:firstLineChars="200"/>
        <w:rPr>
          <w:color w:val="auto"/>
          <w:szCs w:val="21"/>
          <w:highlight w:val="none"/>
        </w:rPr>
      </w:pPr>
      <w:r>
        <w:rPr>
          <w:color w:val="auto"/>
          <w:szCs w:val="21"/>
          <w:highlight w:val="none"/>
        </w:rPr>
        <w:t>Ⅱ、支付时间，由采购人在发出中标（成交）公告发布后、双方签订合同协议书前支付。</w:t>
      </w:r>
    </w:p>
    <w:p w14:paraId="233D2E33">
      <w:pPr>
        <w:widowControl/>
        <w:shd w:val="clear" w:color="auto" w:fill="FFFFFF"/>
        <w:spacing w:line="360" w:lineRule="auto"/>
        <w:ind w:firstLine="420" w:firstLineChars="200"/>
        <w:rPr>
          <w:color w:val="auto"/>
          <w:szCs w:val="21"/>
          <w:highlight w:val="none"/>
        </w:rPr>
      </w:pPr>
      <w:r>
        <w:rPr>
          <w:color w:val="auto"/>
          <w:szCs w:val="21"/>
          <w:highlight w:val="none"/>
        </w:rPr>
        <w:t>Ⅲ、该费用不含在投标报价中。</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采购人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41682338">
      <w:pPr>
        <w:pStyle w:val="51"/>
        <w:rPr>
          <w:b/>
          <w:bCs/>
          <w:color w:val="auto"/>
          <w:kern w:val="0"/>
          <w:sz w:val="32"/>
          <w:szCs w:val="44"/>
          <w:highlight w:val="none"/>
        </w:rPr>
      </w:pPr>
    </w:p>
    <w:p w14:paraId="35F78DBC">
      <w:pPr>
        <w:pStyle w:val="3"/>
        <w:rPr>
          <w:color w:val="auto"/>
          <w:kern w:val="0"/>
          <w:sz w:val="36"/>
          <w:szCs w:val="36"/>
          <w:highlight w:val="none"/>
          <w:shd w:val="clear" w:color="auto" w:fill="FFFFFF"/>
        </w:rPr>
      </w:pPr>
      <w:bookmarkStart w:id="32" w:name="_Toc481057145"/>
      <w:r>
        <w:rPr>
          <w:color w:val="auto"/>
          <w:kern w:val="0"/>
          <w:sz w:val="36"/>
          <w:szCs w:val="36"/>
          <w:highlight w:val="none"/>
          <w:shd w:val="clear" w:color="auto" w:fill="FFFFFF"/>
        </w:rPr>
        <w:t xml:space="preserve">  </w:t>
      </w:r>
      <w:bookmarkStart w:id="33" w:name="_Toc22836"/>
      <w:r>
        <w:rPr>
          <w:color w:val="auto"/>
          <w:kern w:val="0"/>
          <w:sz w:val="36"/>
          <w:szCs w:val="36"/>
          <w:highlight w:val="none"/>
          <w:shd w:val="clear" w:color="auto" w:fill="FFFFFF"/>
        </w:rPr>
        <w:t>评标标准</w:t>
      </w:r>
      <w:bookmarkEnd w:id="33"/>
    </w:p>
    <w:bookmarkEnd w:id="32"/>
    <w:p w14:paraId="04749F2A">
      <w:pPr>
        <w:spacing w:line="360" w:lineRule="auto"/>
        <w:ind w:firstLine="482"/>
        <w:outlineLvl w:val="1"/>
        <w:rPr>
          <w:b/>
          <w:color w:val="auto"/>
          <w:kern w:val="44"/>
          <w:szCs w:val="21"/>
          <w:highlight w:val="none"/>
        </w:rPr>
      </w:pPr>
      <w:bookmarkStart w:id="34" w:name="_Toc518305475"/>
      <w:r>
        <w:rPr>
          <w:b/>
          <w:color w:val="auto"/>
          <w:kern w:val="44"/>
          <w:szCs w:val="21"/>
          <w:highlight w:val="none"/>
        </w:rPr>
        <w:t>一、评标方法与定标原则</w:t>
      </w:r>
      <w:bookmarkEnd w:id="34"/>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b/>
          <w:bCs/>
          <w:color w:val="auto"/>
          <w:sz w:val="24"/>
          <w:szCs w:val="28"/>
          <w:highlight w:val="none"/>
          <w:lang w:val="en-US" w:eastAsia="zh-CN"/>
        </w:rPr>
        <w:t>15</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color w:val="auto"/>
          <w:szCs w:val="21"/>
          <w:highlight w:val="none"/>
          <w:lang w:val="en-US" w:eastAsia="zh-CN"/>
        </w:rPr>
        <w:t>15</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color w:val="auto"/>
          <w:szCs w:val="21"/>
          <w:highlight w:val="none"/>
          <w:lang w:val="en-US" w:eastAsia="zh-CN"/>
        </w:rPr>
        <w:t>15</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B、技术部分（85分）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技术</w:t>
            </w:r>
            <w:r>
              <w:rPr>
                <w:rFonts w:hint="eastAsia" w:cs="Times New Roman"/>
                <w:b/>
                <w:color w:val="auto"/>
                <w:sz w:val="21"/>
                <w:szCs w:val="21"/>
                <w:highlight w:val="none"/>
                <w:lang w:val="en-US" w:eastAsia="zh-CN"/>
              </w:rPr>
              <w:t>部分</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45</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Calibri" w:hAnsi="Calibri" w:cs="Calibri"/>
                <w:b/>
                <w:kern w:val="0"/>
                <w:sz w:val="18"/>
                <w:szCs w:val="18"/>
              </w:rPr>
              <w:t>项目研究范围和内容的理解</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F3B9D93">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投标人对通航建筑物运行方案研究工作的内容和范围能够全面阐述（包括（但）不限于通航建筑物的总体布置、建设规模、设计指标、运行管理范围、配套设施、船闸管理机构、人员配置以及近年相关工程建设情况等方面内容），制定详细、可行的运行方案配合报批工作方案。</w:t>
            </w:r>
          </w:p>
          <w:p w14:paraId="3D18E526">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对项目研究范围和内容理解准确、全面，工作阐述清晰、完整，得10分；</w:t>
            </w:r>
          </w:p>
          <w:p w14:paraId="7F1BA6FC">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对项目研究范围和内容理解较为准确、全面，工作阐述相对清晰、完整的，得7分；</w:t>
            </w:r>
          </w:p>
          <w:p w14:paraId="62E21CFD">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对项目研究范围和内容理解基本准确，工作阐述合理的，得4分；</w:t>
            </w:r>
          </w:p>
          <w:p w14:paraId="177EF11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对项目研究范围和内容认识理解不足，工作阐述偏差较大，得1分；</w:t>
            </w:r>
          </w:p>
          <w:p w14:paraId="52F7FA5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auto"/>
                <w:sz w:val="22"/>
                <w:szCs w:val="22"/>
                <w:highlight w:val="none"/>
              </w:rPr>
            </w:pP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08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Calibri" w:hAnsi="Calibri" w:cs="Calibri"/>
                <w:b/>
                <w:kern w:val="0"/>
                <w:sz w:val="18"/>
                <w:szCs w:val="18"/>
              </w:rPr>
              <w:t>工作思路和计划</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0DA421F4">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投标人应按照通航建筑物运行方案相关编制要求，详细阐述研究工作思路、主要章节内容的实施方案（包括（但）不限于船闸概况、船闸运行需求、船闸运行计划、船闸运行调度、船闸运行保障等内容）及预计达到的成果，工作计划满足招标文件报批要求。</w:t>
            </w:r>
          </w:p>
          <w:p w14:paraId="00E09181">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工作思路清晰，内容框架完整，计划科学合理，得10分；</w:t>
            </w:r>
          </w:p>
          <w:p w14:paraId="72236986">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工作思路较清晰，内容框架较完整，计划较合理，得7分；</w:t>
            </w:r>
          </w:p>
          <w:p w14:paraId="4565F948">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工作思路一般，内容框架、计划略有缺陷，得4分；</w:t>
            </w:r>
          </w:p>
          <w:p w14:paraId="29CCC79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auto"/>
                <w:sz w:val="22"/>
                <w:szCs w:val="22"/>
                <w:highlight w:val="none"/>
              </w:rPr>
            </w:pPr>
            <w:r>
              <w:rPr>
                <w:rFonts w:hint="eastAsia" w:ascii="宋体" w:hAnsi="宋体" w:eastAsia="宋体" w:cs="宋体"/>
                <w:sz w:val="20"/>
                <w:szCs w:val="20"/>
              </w:rPr>
              <w:t>思路不清晰，内容框架有明显缺失，计划不合理，得1分。</w:t>
            </w:r>
            <w:r>
              <w:rPr>
                <w:rFonts w:hint="eastAsia" w:ascii="宋体" w:hAnsi="宋体" w:eastAsia="宋体" w:cs="宋体"/>
                <w:sz w:val="20"/>
                <w:szCs w:val="20"/>
              </w:rPr>
              <w:br w:type="textWrapping"/>
            </w: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Calibri" w:hAnsi="Calibri" w:cs="Calibri"/>
                <w:b/>
                <w:kern w:val="0"/>
                <w:sz w:val="18"/>
                <w:szCs w:val="18"/>
              </w:rPr>
              <w:t>项目研究方法和技术路线</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22BE93FB">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投标人应按照通航建筑物运行方案编制相关技术要求，详细阐述开展该项目拟采用的研究方法和技术路线，重点明确调研大纲、研究成果以及报批相关文件等内容，从可行性、规范性、需求匹配度、技术成熟度、架构合理性等方面进行评价。</w:t>
            </w:r>
          </w:p>
          <w:p w14:paraId="0623AE8B">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研究方法、技术路线、研究成果可行性、规范性好，需求匹配度和技术成熟度高，架构合理性强，得10分；</w:t>
            </w:r>
          </w:p>
          <w:p w14:paraId="145F37A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研究方法、技术路线、研究成果的可行、规范较好，需求匹配度和技术成熟度较高，架构合理性较强，得7分；</w:t>
            </w:r>
          </w:p>
          <w:p w14:paraId="651B4370">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研究方法、技术路线、研究成果的</w:t>
            </w:r>
            <w:bookmarkStart w:id="35" w:name="OLE_LINK11"/>
            <w:r>
              <w:rPr>
                <w:rFonts w:hint="eastAsia" w:ascii="宋体" w:hAnsi="宋体" w:eastAsia="宋体" w:cs="宋体"/>
                <w:sz w:val="20"/>
                <w:szCs w:val="20"/>
              </w:rPr>
              <w:t>可行性、规范性一般，需求匹配度和技术成熟度一般，架构合理性一般</w:t>
            </w:r>
            <w:bookmarkEnd w:id="35"/>
            <w:r>
              <w:rPr>
                <w:rFonts w:hint="eastAsia" w:ascii="宋体" w:hAnsi="宋体" w:eastAsia="宋体" w:cs="宋体"/>
                <w:sz w:val="20"/>
                <w:szCs w:val="20"/>
              </w:rPr>
              <w:t>，得4分；</w:t>
            </w:r>
          </w:p>
          <w:p w14:paraId="341B9A8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研究方法、技术路线、研究成果的可行性、规范性、需求匹配度和技术成熟度不足，架构合理性较差，得1分；</w:t>
            </w:r>
          </w:p>
          <w:p w14:paraId="2DBC04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Calibri" w:hAnsi="Calibri" w:cs="Calibri"/>
                <w:b/>
                <w:kern w:val="0"/>
                <w:sz w:val="18"/>
                <w:szCs w:val="18"/>
              </w:rPr>
              <w:t>质量管理体系与措施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DAE5833">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针对本项目制定的质量管理措施、制度切实可行，技术和人员力量配置充足，能够提高项目成果质量、</w:t>
            </w:r>
            <w:bookmarkStart w:id="36" w:name="OLE_LINK7"/>
            <w:r>
              <w:rPr>
                <w:rFonts w:hint="eastAsia" w:ascii="宋体" w:hAnsi="宋体" w:eastAsia="宋体" w:cs="宋体"/>
                <w:sz w:val="20"/>
                <w:szCs w:val="20"/>
              </w:rPr>
              <w:t>满足招标文件中明确的相关报批要求。</w:t>
            </w:r>
            <w:bookmarkEnd w:id="36"/>
          </w:p>
          <w:p w14:paraId="7A6F8D4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质量保障措施完善，针对性强、可操作性强的，得5分；</w:t>
            </w:r>
          </w:p>
          <w:p w14:paraId="33663091">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质量保障措施一般，有一定针对性和可操作性的，得3分；</w:t>
            </w:r>
          </w:p>
          <w:p w14:paraId="0C2253AE">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质量保障措施不合理，缺乏针对性和可操作性的，得1分；</w:t>
            </w:r>
          </w:p>
          <w:p w14:paraId="30B5BB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2"/>
                <w:szCs w:val="22"/>
                <w:highlight w:val="none"/>
              </w:rPr>
            </w:pP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r>
      <w:tr w14:paraId="746FFE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3DA4B3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DEB8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Calibri" w:hAnsi="Calibri" w:cs="Calibri"/>
                <w:b/>
                <w:kern w:val="0"/>
                <w:sz w:val="18"/>
                <w:szCs w:val="18"/>
              </w:rPr>
              <w:t>实施进度计划安排</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05C1BC8E">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针对本项目制定的进度计划及管理措施切实可行，技术和人员力量配置充足（须明确项目调研计划，包括调研内容、人员时间安排等），能够加快项目进展、满足招标文件中明确的相关报批要求。</w:t>
            </w:r>
          </w:p>
          <w:p w14:paraId="490AC480">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进度保障措施完善，针对性强、可操作性强的，得5分；</w:t>
            </w:r>
          </w:p>
          <w:p w14:paraId="4A1DAC2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进度保障措施一般，有一定针对性和可操作性的，得3分；</w:t>
            </w:r>
          </w:p>
          <w:p w14:paraId="022E7ACB">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进度保障措施不合理，缺乏针对性和可操作性的，得1分；</w:t>
            </w:r>
          </w:p>
          <w:p w14:paraId="01EC58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D400D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r>
      <w:tr w14:paraId="5F3BB3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538B3D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w:t>
            </w:r>
            <w:bookmarkStart w:id="57" w:name="_GoBack"/>
            <w:bookmarkEnd w:id="57"/>
          </w:p>
        </w:tc>
        <w:tc>
          <w:tcPr>
            <w:tcW w:w="1215" w:type="dxa"/>
            <w:tcBorders>
              <w:top w:val="single" w:color="auto" w:sz="4" w:space="0"/>
              <w:left w:val="single" w:color="auto" w:sz="4" w:space="0"/>
              <w:bottom w:val="single" w:color="auto" w:sz="4" w:space="0"/>
              <w:right w:val="single" w:color="auto" w:sz="4" w:space="0"/>
            </w:tcBorders>
            <w:noWrap w:val="0"/>
            <w:vAlign w:val="center"/>
          </w:tcPr>
          <w:p w14:paraId="0F68A6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Calibri" w:hAnsi="Calibri" w:cs="Calibri"/>
                <w:b/>
                <w:kern w:val="0"/>
                <w:sz w:val="18"/>
                <w:szCs w:val="18"/>
              </w:rPr>
              <w:t>协调配合及后续服务措施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5404827">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针对本项目制定的协调配合措施（包括（但）不限于与水运行政主管部门、交通运输综合执法机构、航运企业等相关单位的沟通协调（须明确相关单位征求意见的格式和内容要求），及后续服务措施切实可行（须提供承诺书），能够保障项目进展、满足招标文件中明确的相关报批要求。</w:t>
            </w:r>
          </w:p>
          <w:p w14:paraId="27F8AF70">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协调配合及后续服务得当，得5分；</w:t>
            </w:r>
          </w:p>
          <w:p w14:paraId="62E87576">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协调配合及后续服务一般，得3分；</w:t>
            </w:r>
          </w:p>
          <w:p w14:paraId="70AF2CC5">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协调配合及后续服务较差，得1分；</w:t>
            </w:r>
          </w:p>
          <w:p w14:paraId="6246AF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z w:val="20"/>
                <w:szCs w:val="20"/>
              </w:rPr>
              <w:t>无此项内容的得0分。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26009B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eastAsia" w:ascii="Calibri" w:hAnsi="Calibri" w:cs="Calibri"/>
                <w:b/>
                <w:kern w:val="0"/>
                <w:sz w:val="18"/>
                <w:szCs w:val="18"/>
              </w:rPr>
              <w:t>项目管理机构</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24</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Calibri" w:hAnsi="Calibri" w:cs="Calibri"/>
                <w:b/>
                <w:kern w:val="0"/>
                <w:sz w:val="18"/>
                <w:szCs w:val="18"/>
              </w:rPr>
              <w:t>项目负责人素质</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5DE4E21F">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1 \* GB3 </w:instrText>
            </w:r>
            <w:r>
              <w:rPr>
                <w:rFonts w:hint="eastAsia" w:ascii="宋体" w:hAnsi="宋体" w:eastAsia="宋体" w:cs="宋体"/>
                <w:sz w:val="20"/>
                <w:szCs w:val="20"/>
              </w:rPr>
              <w:fldChar w:fldCharType="separate"/>
            </w:r>
            <w:r>
              <w:rPr>
                <w:rFonts w:hint="eastAsia" w:ascii="宋体" w:hAnsi="宋体" w:eastAsia="宋体" w:cs="宋体"/>
                <w:sz w:val="20"/>
                <w:szCs w:val="20"/>
              </w:rPr>
              <w:t>①</w:t>
            </w:r>
            <w:r>
              <w:rPr>
                <w:rFonts w:hint="eastAsia" w:ascii="宋体" w:hAnsi="宋体" w:eastAsia="宋体" w:cs="宋体"/>
                <w:sz w:val="20"/>
                <w:szCs w:val="20"/>
              </w:rPr>
              <w:fldChar w:fldCharType="end"/>
            </w:r>
            <w:r>
              <w:rPr>
                <w:rFonts w:hint="eastAsia" w:ascii="宋体" w:hAnsi="宋体" w:eastAsia="宋体" w:cs="宋体"/>
                <w:sz w:val="20"/>
                <w:szCs w:val="20"/>
              </w:rPr>
              <w:t>项目负责人自2021年1月1日以来（以合同签订时间为准）担任过通航建筑物运行方案编制并通过审查的项目负责人的，得3分，本项最高得3分。（提供合同复印件并加盖单位公章及方案批复复印件，如上述材料无法体现项目负责人身份可提供业主证明。）</w:t>
            </w:r>
          </w:p>
          <w:p w14:paraId="30C3961B">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2 \* GB3 </w:instrText>
            </w:r>
            <w:r>
              <w:rPr>
                <w:rFonts w:hint="eastAsia" w:ascii="宋体" w:hAnsi="宋体" w:eastAsia="宋体" w:cs="宋体"/>
                <w:sz w:val="20"/>
                <w:szCs w:val="20"/>
              </w:rPr>
              <w:fldChar w:fldCharType="separate"/>
            </w:r>
            <w:r>
              <w:rPr>
                <w:rFonts w:hint="eastAsia" w:ascii="宋体" w:hAnsi="宋体" w:eastAsia="宋体" w:cs="宋体"/>
                <w:sz w:val="20"/>
                <w:szCs w:val="20"/>
              </w:rPr>
              <w:t>②</w:t>
            </w:r>
            <w:r>
              <w:rPr>
                <w:rFonts w:hint="eastAsia" w:ascii="宋体" w:hAnsi="宋体" w:eastAsia="宋体" w:cs="宋体"/>
                <w:sz w:val="20"/>
                <w:szCs w:val="20"/>
              </w:rPr>
              <w:fldChar w:fldCharType="end"/>
            </w:r>
            <w:r>
              <w:rPr>
                <w:rFonts w:hint="eastAsia" w:ascii="宋体" w:hAnsi="宋体" w:eastAsia="宋体" w:cs="宋体"/>
                <w:sz w:val="20"/>
                <w:szCs w:val="20"/>
              </w:rPr>
              <w:t>项目负责人自2021年1月1日以来（以合同签订时间为准）担任过其他水运咨询或服务类项目负责人的，得3分，本项最高得3分。（提供合同复印件或结题证明或方案批复复印件并加盖单位公章，如上述材料无法体现项目负责人身份可提供业主证明。）</w:t>
            </w:r>
          </w:p>
          <w:p w14:paraId="26E6CEA4">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③项目负责人具有高级工程师及以上职称的，得4分，本项最高得4分。（提供相关证书复印件并加盖单位公章。）</w:t>
            </w:r>
          </w:p>
          <w:p w14:paraId="7CAB2D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z w:val="20"/>
                <w:szCs w:val="20"/>
              </w:rPr>
              <w:t>项目负责人须提供2026年6月及以来任1个月社保证明材料并加盖公章，否则不予计算</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r>
      <w:tr w14:paraId="43777E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99DCE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E05D1D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cs="Calibri"/>
                <w:b/>
                <w:kern w:val="0"/>
                <w:sz w:val="18"/>
                <w:szCs w:val="18"/>
              </w:rPr>
            </w:pPr>
            <w:r>
              <w:rPr>
                <w:rFonts w:hint="eastAsia" w:ascii="Calibri" w:hAnsi="Calibri" w:cs="Calibri"/>
                <w:b/>
                <w:kern w:val="0"/>
                <w:sz w:val="18"/>
                <w:szCs w:val="18"/>
              </w:rPr>
              <w:t>人员专业配备</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298F57A">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根据拟投入项目组的人员数量及资历进行评审。</w:t>
            </w:r>
          </w:p>
          <w:p w14:paraId="210E2782">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1 \* GB3 </w:instrText>
            </w:r>
            <w:r>
              <w:rPr>
                <w:rFonts w:hint="eastAsia" w:ascii="宋体" w:hAnsi="宋体" w:eastAsia="宋体" w:cs="宋体"/>
                <w:sz w:val="20"/>
                <w:szCs w:val="20"/>
              </w:rPr>
              <w:fldChar w:fldCharType="separate"/>
            </w:r>
            <w:r>
              <w:rPr>
                <w:rFonts w:hint="eastAsia" w:ascii="宋体" w:hAnsi="宋体" w:eastAsia="宋体" w:cs="宋体"/>
                <w:sz w:val="20"/>
                <w:szCs w:val="20"/>
              </w:rPr>
              <w:t>①</w:t>
            </w:r>
            <w:r>
              <w:rPr>
                <w:rFonts w:hint="eastAsia" w:ascii="宋体" w:hAnsi="宋体" w:eastAsia="宋体" w:cs="宋体"/>
                <w:sz w:val="20"/>
                <w:szCs w:val="20"/>
              </w:rPr>
              <w:fldChar w:fldCharType="end"/>
            </w:r>
            <w:r>
              <w:rPr>
                <w:rFonts w:hint="eastAsia" w:ascii="宋体" w:hAnsi="宋体" w:eastAsia="宋体" w:cs="宋体"/>
                <w:sz w:val="20"/>
                <w:szCs w:val="20"/>
              </w:rPr>
              <w:t>拟派的项目团队组成合理（项目负责人除外），人数超过（含）</w:t>
            </w:r>
            <w:r>
              <w:rPr>
                <w:rFonts w:hint="eastAsia" w:ascii="宋体" w:hAnsi="宋体" w:eastAsia="宋体" w:cs="宋体"/>
                <w:sz w:val="20"/>
                <w:szCs w:val="20"/>
                <w:lang w:val="en-US" w:eastAsia="zh-CN"/>
              </w:rPr>
              <w:t>10</w:t>
            </w:r>
            <w:r>
              <w:rPr>
                <w:rFonts w:hint="eastAsia" w:ascii="宋体" w:hAnsi="宋体" w:eastAsia="宋体" w:cs="宋体"/>
                <w:sz w:val="20"/>
                <w:szCs w:val="20"/>
              </w:rPr>
              <w:t>人的，得</w:t>
            </w:r>
            <w:r>
              <w:rPr>
                <w:rFonts w:hint="eastAsia" w:ascii="宋体" w:hAnsi="宋体" w:eastAsia="宋体" w:cs="宋体"/>
                <w:sz w:val="20"/>
                <w:szCs w:val="20"/>
                <w:lang w:val="en-US" w:eastAsia="zh-CN"/>
              </w:rPr>
              <w:t>10</w:t>
            </w:r>
            <w:r>
              <w:rPr>
                <w:rFonts w:hint="eastAsia" w:ascii="宋体" w:hAnsi="宋体" w:eastAsia="宋体" w:cs="宋体"/>
                <w:sz w:val="20"/>
                <w:szCs w:val="20"/>
              </w:rPr>
              <w:t>分；人数不足</w:t>
            </w:r>
            <w:r>
              <w:rPr>
                <w:rFonts w:hint="eastAsia" w:ascii="宋体" w:hAnsi="宋体" w:eastAsia="宋体" w:cs="宋体"/>
                <w:sz w:val="20"/>
                <w:szCs w:val="20"/>
                <w:lang w:val="en-US" w:eastAsia="zh-CN"/>
              </w:rPr>
              <w:t>10</w:t>
            </w:r>
            <w:r>
              <w:rPr>
                <w:rFonts w:hint="eastAsia" w:ascii="宋体" w:hAnsi="宋体" w:eastAsia="宋体" w:cs="宋体"/>
                <w:sz w:val="20"/>
                <w:szCs w:val="20"/>
              </w:rPr>
              <w:t>人，但超过（含）4人的，得4分；人数不足4人的，不得分。</w:t>
            </w:r>
          </w:p>
          <w:p w14:paraId="36DE5060">
            <w:pPr>
              <w:keepNext w:val="0"/>
              <w:keepLines w:val="0"/>
              <w:suppressLineNumbers w:val="0"/>
              <w:spacing w:before="0" w:beforeAutospacing="0" w:after="0" w:afterAutospacing="0" w:line="380" w:lineRule="exact"/>
              <w:ind w:left="0" w:right="0"/>
              <w:rPr>
                <w:rFonts w:hint="eastAsia" w:ascii="宋体" w:hAnsi="宋体" w:eastAsia="宋体" w:cs="宋体"/>
                <w:sz w:val="20"/>
                <w:szCs w:val="20"/>
                <w:lang w:val="en-US" w:eastAsia="zh-CN"/>
              </w:rPr>
            </w:pPr>
            <w:r>
              <w:rPr>
                <w:rFonts w:hint="eastAsia" w:ascii="宋体" w:hAnsi="宋体" w:eastAsia="宋体" w:cs="宋体"/>
                <w:sz w:val="20"/>
                <w:szCs w:val="20"/>
              </w:rPr>
              <w:t>②项目组成员（项目负责人除外），具有中级及以上技术职称的，每1人得2分，最高</w:t>
            </w:r>
            <w:r>
              <w:rPr>
                <w:rFonts w:hint="eastAsia" w:ascii="宋体" w:hAnsi="宋体" w:eastAsia="宋体" w:cs="宋体"/>
                <w:sz w:val="20"/>
                <w:szCs w:val="20"/>
                <w:lang w:val="en-US" w:eastAsia="zh-CN"/>
              </w:rPr>
              <w:t>4</w:t>
            </w:r>
            <w:r>
              <w:rPr>
                <w:rFonts w:hint="eastAsia" w:ascii="宋体" w:hAnsi="宋体" w:eastAsia="宋体" w:cs="宋体"/>
                <w:sz w:val="20"/>
                <w:szCs w:val="20"/>
              </w:rPr>
              <w:t>分。（同一人员多项职称不重复计分</w:t>
            </w:r>
            <w:r>
              <w:rPr>
                <w:rFonts w:hint="eastAsia" w:ascii="宋体" w:hAnsi="宋体" w:eastAsia="宋体" w:cs="宋体"/>
                <w:sz w:val="20"/>
                <w:szCs w:val="20"/>
                <w:lang w:eastAsia="zh-CN"/>
              </w:rPr>
              <w:t>。</w:t>
            </w:r>
          </w:p>
          <w:p w14:paraId="23E252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sz w:val="20"/>
                <w:szCs w:val="20"/>
              </w:rPr>
            </w:pPr>
            <w:r>
              <w:rPr>
                <w:rFonts w:hint="eastAsia" w:ascii="宋体" w:hAnsi="宋体" w:eastAsia="宋体" w:cs="宋体"/>
                <w:sz w:val="20"/>
                <w:szCs w:val="20"/>
              </w:rPr>
              <w:t>项目团队成员</w:t>
            </w:r>
            <w:bookmarkStart w:id="37" w:name="OLE_LINK6"/>
            <w:r>
              <w:rPr>
                <w:rFonts w:hint="eastAsia" w:ascii="宋体" w:hAnsi="宋体" w:eastAsia="宋体" w:cs="宋体"/>
                <w:sz w:val="20"/>
                <w:szCs w:val="20"/>
              </w:rPr>
              <w:t>须提供2026年6月及以来任1个月社保证明材料并加盖公章</w:t>
            </w:r>
            <w:bookmarkEnd w:id="37"/>
            <w:r>
              <w:rPr>
                <w:rFonts w:hint="eastAsia" w:ascii="宋体" w:hAnsi="宋体" w:eastAsia="宋体" w:cs="宋体"/>
                <w:sz w:val="20"/>
                <w:szCs w:val="20"/>
              </w:rPr>
              <w:t>，否则不予计算。</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57BF6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14</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eastAsia" w:ascii="Calibri" w:hAnsi="Calibri" w:cs="Calibri"/>
                <w:b/>
                <w:sz w:val="18"/>
                <w:szCs w:val="18"/>
              </w:rPr>
              <w:t>供应商业绩</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16</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Calibri" w:hAnsi="Calibri" w:cs="Calibri"/>
                <w:b/>
                <w:kern w:val="0"/>
                <w:sz w:val="18"/>
                <w:szCs w:val="18"/>
              </w:rPr>
              <w:t>供应商</w:t>
            </w:r>
            <w:r>
              <w:rPr>
                <w:rFonts w:hint="eastAsia" w:ascii="Calibri" w:hAnsi="Calibri" w:cs="Calibri"/>
                <w:b/>
                <w:kern w:val="0"/>
                <w:sz w:val="18"/>
                <w:szCs w:val="18"/>
              </w:rPr>
              <w:t>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4A0D1D2">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1 \* GB3 </w:instrText>
            </w:r>
            <w:r>
              <w:rPr>
                <w:rFonts w:hint="eastAsia" w:ascii="宋体" w:hAnsi="宋体" w:eastAsia="宋体" w:cs="宋体"/>
                <w:sz w:val="20"/>
                <w:szCs w:val="20"/>
              </w:rPr>
              <w:fldChar w:fldCharType="separate"/>
            </w:r>
            <w:r>
              <w:rPr>
                <w:rFonts w:hint="eastAsia" w:ascii="宋体" w:hAnsi="宋体" w:eastAsia="宋体" w:cs="宋体"/>
                <w:sz w:val="20"/>
                <w:szCs w:val="20"/>
              </w:rPr>
              <w:t>①</w:t>
            </w:r>
            <w:r>
              <w:rPr>
                <w:rFonts w:hint="eastAsia" w:ascii="宋体" w:hAnsi="宋体" w:eastAsia="宋体" w:cs="宋体"/>
                <w:sz w:val="20"/>
                <w:szCs w:val="20"/>
              </w:rPr>
              <w:fldChar w:fldCharType="end"/>
            </w:r>
            <w:r>
              <w:rPr>
                <w:rFonts w:hint="eastAsia" w:ascii="宋体" w:hAnsi="宋体" w:eastAsia="宋体" w:cs="宋体"/>
                <w:sz w:val="20"/>
                <w:szCs w:val="20"/>
              </w:rPr>
              <w:t>供应商自2021年1月1日以来（以合同签订时间为准）承担过通航建筑物运行方案编制等类似项目并通过审查的，1项得2分，最高得6分。（提供合同复印件并加盖单位公章及方案批复复印件。）</w:t>
            </w:r>
          </w:p>
          <w:p w14:paraId="189E40A1">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2 \* GB3 </w:instrText>
            </w:r>
            <w:r>
              <w:rPr>
                <w:rFonts w:hint="eastAsia" w:ascii="宋体" w:hAnsi="宋体" w:eastAsia="宋体" w:cs="宋体"/>
                <w:sz w:val="20"/>
                <w:szCs w:val="20"/>
              </w:rPr>
              <w:fldChar w:fldCharType="separate"/>
            </w:r>
            <w:r>
              <w:rPr>
                <w:rFonts w:hint="eastAsia" w:ascii="宋体" w:hAnsi="宋体" w:eastAsia="宋体" w:cs="宋体"/>
                <w:sz w:val="20"/>
                <w:szCs w:val="20"/>
              </w:rPr>
              <w:t>②</w:t>
            </w:r>
            <w:r>
              <w:rPr>
                <w:rFonts w:hint="eastAsia" w:ascii="宋体" w:hAnsi="宋体" w:eastAsia="宋体" w:cs="宋体"/>
                <w:sz w:val="20"/>
                <w:szCs w:val="20"/>
              </w:rPr>
              <w:fldChar w:fldCharType="end"/>
            </w:r>
            <w:r>
              <w:rPr>
                <w:rFonts w:hint="eastAsia" w:ascii="宋体" w:hAnsi="宋体" w:eastAsia="宋体" w:cs="宋体"/>
                <w:sz w:val="20"/>
                <w:szCs w:val="20"/>
              </w:rPr>
              <w:t>供应商自2021年1月1日以来（以合同签订时间为准）承担过其他水运咨询或服务类项目的，1项目得2分，最高得6分。（提供合同复印件并加盖单位公章。）</w:t>
            </w:r>
          </w:p>
          <w:p w14:paraId="0A222414">
            <w:pPr>
              <w:keepNext w:val="0"/>
              <w:keepLines w:val="0"/>
              <w:suppressLineNumbers w:val="0"/>
              <w:spacing w:before="0" w:beforeAutospacing="0" w:after="0" w:afterAutospacing="0" w:line="380" w:lineRule="exact"/>
              <w:ind w:left="0" w:right="0"/>
              <w:rPr>
                <w:rFonts w:hint="eastAsia" w:ascii="宋体" w:hAnsi="宋体" w:eastAsia="宋体" w:cs="宋体"/>
                <w:sz w:val="20"/>
                <w:szCs w:val="20"/>
              </w:rPr>
            </w:pPr>
            <w:r>
              <w:rPr>
                <w:rFonts w:hint="eastAsia" w:ascii="宋体" w:hAnsi="宋体" w:eastAsia="宋体" w:cs="宋体"/>
                <w:sz w:val="20"/>
                <w:szCs w:val="20"/>
              </w:rPr>
              <w:t>③供应商自2021年1月1日及以来获得船闸运行相关发明专利授权的，每有1项得2分。本项最高得4分。（提供发明专利授权相关证明材料复印件并加盖单位公章，时间以专利证明上时间为准）。</w:t>
            </w:r>
          </w:p>
          <w:p w14:paraId="6D6B9864">
            <w:pPr>
              <w:keepNext w:val="0"/>
              <w:keepLines w:val="0"/>
              <w:suppressLineNumbers w:val="0"/>
              <w:spacing w:before="0" w:beforeAutospacing="0" w:after="0" w:afterAutospacing="0" w:line="380" w:lineRule="exact"/>
              <w:ind w:left="0" w:right="0"/>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sz w:val="20"/>
                <w:szCs w:val="20"/>
              </w:rPr>
              <w:t>注：供应商业绩与项目负责人业绩可重复计取。</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bCs/>
                <w:color w:val="auto"/>
                <w:sz w:val="21"/>
                <w:szCs w:val="21"/>
                <w:highlight w:val="none"/>
                <w:lang w:val="en-US" w:eastAsia="zh-CN"/>
              </w:rPr>
              <w:t>85</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其他未列明行业</w:t>
      </w:r>
      <w:r>
        <w:rPr>
          <w:rFonts w:hint="eastAsia"/>
          <w:b/>
          <w:color w:val="auto"/>
          <w:szCs w:val="21"/>
          <w:highlight w:val="none"/>
        </w:rPr>
        <w:t>。</w:t>
      </w:r>
    </w:p>
    <w:p w14:paraId="408AD128">
      <w:pPr>
        <w:rPr>
          <w:color w:val="auto"/>
          <w:highlight w:val="none"/>
        </w:rPr>
      </w:pPr>
    </w:p>
    <w:p w14:paraId="060807D6">
      <w:pPr>
        <w:pStyle w:val="3"/>
        <w:rPr>
          <w:color w:val="auto"/>
          <w:kern w:val="0"/>
          <w:sz w:val="36"/>
          <w:szCs w:val="36"/>
          <w:highlight w:val="none"/>
          <w:shd w:val="clear" w:color="auto" w:fill="FFFFFF"/>
        </w:rPr>
      </w:pPr>
      <w:r>
        <w:rPr>
          <w:b w:val="0"/>
          <w:color w:val="auto"/>
          <w:szCs w:val="21"/>
          <w:highlight w:val="none"/>
        </w:rPr>
        <w:br w:type="page"/>
      </w:r>
      <w:bookmarkStart w:id="38" w:name="_Toc472945164"/>
      <w:bookmarkStart w:id="39" w:name="_Toc481057147"/>
      <w:r>
        <w:rPr>
          <w:color w:val="auto"/>
          <w:kern w:val="0"/>
          <w:sz w:val="36"/>
          <w:szCs w:val="36"/>
          <w:highlight w:val="none"/>
          <w:shd w:val="clear" w:color="auto" w:fill="FFFFFF"/>
        </w:rPr>
        <w:t xml:space="preserve">  </w:t>
      </w:r>
      <w:bookmarkStart w:id="40" w:name="_Toc28482"/>
      <w:r>
        <w:rPr>
          <w:color w:val="auto"/>
          <w:kern w:val="0"/>
          <w:sz w:val="36"/>
          <w:szCs w:val="36"/>
          <w:highlight w:val="none"/>
          <w:shd w:val="clear" w:color="auto" w:fill="FFFFFF"/>
        </w:rPr>
        <w:t>采购需求</w:t>
      </w:r>
      <w:bookmarkEnd w:id="40"/>
    </w:p>
    <w:bookmarkEnd w:id="38"/>
    <w:p w14:paraId="2CF909B2">
      <w:pPr>
        <w:spacing w:line="420" w:lineRule="exact"/>
        <w:ind w:firstLine="420"/>
        <w:rPr>
          <w:rFonts w:hint="eastAsia"/>
          <w:color w:val="auto"/>
          <w:highlight w:val="none"/>
        </w:rPr>
      </w:pPr>
      <w:bookmarkStart w:id="41"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145E5EDB">
      <w:pPr>
        <w:widowControl/>
        <w:spacing w:before="240" w:beforeLines="100" w:line="360" w:lineRule="auto"/>
        <w:ind w:firstLine="422" w:firstLineChars="200"/>
        <w:outlineLvl w:val="1"/>
        <w:rPr>
          <w:rStyle w:val="55"/>
          <w:rFonts w:ascii="Arial" w:hAnsi="Arial" w:cs="Arial"/>
          <w:color w:val="000000"/>
          <w:kern w:val="0"/>
          <w:sz w:val="24"/>
          <w:lang w:bidi="ar"/>
        </w:rPr>
      </w:pPr>
      <w:bookmarkStart w:id="42" w:name="_Toc234877523"/>
      <w:r>
        <w:rPr>
          <w:rStyle w:val="55"/>
          <w:rFonts w:hint="eastAsia"/>
          <w:kern w:val="0"/>
          <w:lang w:bidi="ar"/>
        </w:rPr>
        <w:t>一、项目名称</w:t>
      </w:r>
      <w:bookmarkEnd w:id="42"/>
    </w:p>
    <w:p w14:paraId="1A87AD51">
      <w:pPr>
        <w:spacing w:line="420" w:lineRule="exact"/>
        <w:ind w:firstLine="420" w:firstLineChars="200"/>
      </w:pPr>
      <w:r>
        <w:rPr>
          <w:rFonts w:hint="eastAsia"/>
        </w:rPr>
        <w:t>省属船闸运行方案编制报批项目</w:t>
      </w:r>
    </w:p>
    <w:p w14:paraId="3E8565C8">
      <w:pPr>
        <w:widowControl/>
        <w:spacing w:before="240" w:beforeLines="100" w:line="360" w:lineRule="auto"/>
        <w:ind w:firstLine="422" w:firstLineChars="200"/>
        <w:outlineLvl w:val="1"/>
        <w:rPr>
          <w:rStyle w:val="55"/>
          <w:kern w:val="0"/>
          <w:lang w:bidi="ar"/>
        </w:rPr>
      </w:pPr>
      <w:bookmarkStart w:id="43" w:name="_Toc234877524"/>
      <w:r>
        <w:rPr>
          <w:rStyle w:val="55"/>
          <w:rFonts w:hint="eastAsia"/>
          <w:kern w:val="0"/>
          <w:lang w:bidi="ar"/>
        </w:rPr>
        <w:t>二、立项缘由</w:t>
      </w:r>
      <w:bookmarkEnd w:id="43"/>
    </w:p>
    <w:p w14:paraId="652AE8D7">
      <w:pPr>
        <w:spacing w:line="420" w:lineRule="exact"/>
        <w:ind w:firstLine="420" w:firstLineChars="200"/>
      </w:pPr>
      <w:r>
        <w:t>为规范通航建筑物运行管理，保障通航建筑物高效运行和船舶安全通行，《中华人民共和国航道法》第二十五条明确设立了通航建筑物运行方案审批制度。2016年国务院审改办将通航建筑物运行方案审批列入中央指定地方实施的行政许可事项。根据《通航建筑物运行管理办法》（</w:t>
      </w:r>
      <w:r>
        <w:rPr>
          <w:rFonts w:hint="eastAsia"/>
        </w:rPr>
        <w:t>2019年2月5日交通运输部公布 根据2026年1月14日《交通运输部关于修改〈通航建筑物运行管理办法〉的决定》修正</w:t>
      </w:r>
      <w:r>
        <w:t>）要求，通航建筑物投入运行前，通航建筑物运行单位应当按照相关技术标准编制运行方案，并明确了通航建筑物运行方案的编制、审批等事项。为贯彻落实国家及交通运输相关管理要求，切实保障省属水利</w:t>
      </w:r>
      <w:r>
        <w:rPr>
          <w:rFonts w:hint="eastAsia"/>
        </w:rPr>
        <w:t>通航建筑物</w:t>
      </w:r>
      <w:r>
        <w:t>的规范化运行，江苏省水利厅计划全面推进并完成管辖范围内相关</w:t>
      </w:r>
      <w:r>
        <w:rPr>
          <w:rFonts w:hint="eastAsia"/>
        </w:rPr>
        <w:t>通航建筑物</w:t>
      </w:r>
      <w:r>
        <w:t>运行方案的编制及报批工作。</w:t>
      </w:r>
    </w:p>
    <w:p w14:paraId="3571FCD0">
      <w:pPr>
        <w:widowControl/>
        <w:spacing w:before="240" w:beforeLines="100" w:line="360" w:lineRule="auto"/>
        <w:ind w:firstLine="422" w:firstLineChars="200"/>
        <w:outlineLvl w:val="1"/>
        <w:rPr>
          <w:rStyle w:val="55"/>
          <w:kern w:val="0"/>
          <w:lang w:bidi="ar"/>
        </w:rPr>
      </w:pPr>
      <w:bookmarkStart w:id="44" w:name="_Toc234877525"/>
      <w:r>
        <w:rPr>
          <w:rStyle w:val="55"/>
          <w:rFonts w:hint="eastAsia"/>
          <w:kern w:val="0"/>
          <w:lang w:bidi="ar"/>
        </w:rPr>
        <w:t>三、研究范围</w:t>
      </w:r>
      <w:bookmarkEnd w:id="44"/>
    </w:p>
    <w:p w14:paraId="0B1E15AE">
      <w:pPr>
        <w:spacing w:line="420" w:lineRule="exact"/>
        <w:ind w:firstLine="420" w:firstLineChars="200"/>
      </w:pPr>
      <w:r>
        <w:t>江苏省水系发达，省属水利</w:t>
      </w:r>
      <w:r>
        <w:rPr>
          <w:rFonts w:hint="eastAsia"/>
        </w:rPr>
        <w:t>通航建筑物</w:t>
      </w:r>
      <w:r>
        <w:t>在沟通水系、服务区域航运经济中发挥着重要作用。本项目涉及江都水利工程管理处、太湖地区水利工程管理处、</w:t>
      </w:r>
      <w:r>
        <w:rPr>
          <w:rFonts w:hint="eastAsia"/>
        </w:rPr>
        <w:t>淮沭新河管理处、引江河管理处</w:t>
      </w:r>
      <w:r>
        <w:t>等多个管理单位</w:t>
      </w:r>
      <w:r>
        <w:rPr>
          <w:rFonts w:hint="eastAsia"/>
        </w:rPr>
        <w:t>的13处通航建筑物</w:t>
      </w:r>
      <w:r>
        <w:t>，需依据各</w:t>
      </w:r>
      <w:r>
        <w:rPr>
          <w:rFonts w:hint="eastAsia"/>
        </w:rPr>
        <w:t>通航建筑物</w:t>
      </w:r>
      <w:r>
        <w:t>所在航道的管理权限，分别向省级或市级交通运输主管部门报批</w:t>
      </w:r>
      <w:r>
        <w:rPr>
          <w:rFonts w:hint="eastAsia"/>
        </w:rPr>
        <w:t>。</w:t>
      </w:r>
    </w:p>
    <w:p w14:paraId="3B50745C">
      <w:pPr>
        <w:spacing w:line="420" w:lineRule="exact"/>
        <w:ind w:firstLine="420" w:firstLineChars="200"/>
      </w:pPr>
      <w:r>
        <w:t>各通航建筑物详细基础信息如下：</w:t>
      </w:r>
    </w:p>
    <w:p w14:paraId="237C8E6F">
      <w:pPr>
        <w:spacing w:line="420" w:lineRule="exact"/>
        <w:ind w:firstLine="420" w:firstLineChars="200"/>
      </w:pPr>
      <w:r>
        <w:t>1.</w:t>
      </w:r>
      <w:bookmarkStart w:id="45" w:name="OLE_LINK10"/>
      <w:r>
        <w:t>邵仙套闸</w:t>
      </w:r>
      <w:bookmarkEnd w:id="45"/>
      <w:r>
        <w:rPr>
          <w:rFonts w:hint="eastAsia"/>
        </w:rPr>
        <w:t>：</w:t>
      </w:r>
    </w:p>
    <w:p w14:paraId="18A5A662">
      <w:pPr>
        <w:spacing w:line="420" w:lineRule="exact"/>
        <w:ind w:firstLine="420" w:firstLineChars="200"/>
      </w:pPr>
      <w:r>
        <w:t>所在航道：芒稻河</w:t>
      </w:r>
      <w:r>
        <w:rPr>
          <w:rFonts w:hint="eastAsia"/>
        </w:rPr>
        <w:t>；</w:t>
      </w:r>
    </w:p>
    <w:p w14:paraId="02A8C088">
      <w:pPr>
        <w:spacing w:line="420" w:lineRule="exact"/>
        <w:ind w:firstLine="420" w:firstLineChars="200"/>
      </w:pPr>
      <w:r>
        <w:t>工程概况：1998年开工、1999年建成通航，</w:t>
      </w:r>
      <w:r>
        <w:rPr>
          <w:rFonts w:hint="eastAsia"/>
        </w:rPr>
        <w:t>是江都水利枢纽工程的重要组成部分，</w:t>
      </w:r>
      <w:r>
        <w:t>为南水北调东线关键通航节点，兼具调水、防洪、通航多重功能；闸室有效尺寸长160m、宽16m，最小通航水深3.5m，已建成智能</w:t>
      </w:r>
      <w:r>
        <w:rPr>
          <w:rFonts w:hint="eastAsia"/>
        </w:rPr>
        <w:t>运管</w:t>
      </w:r>
      <w:r>
        <w:t>系统，支持船舶线上申报、缴费，通航流量大、船舶往来密集。</w:t>
      </w:r>
    </w:p>
    <w:p w14:paraId="75E83050">
      <w:pPr>
        <w:spacing w:line="420" w:lineRule="exact"/>
        <w:ind w:firstLine="420" w:firstLineChars="200"/>
      </w:pPr>
      <w:r>
        <w:t>2.宜陵闸（通航孔）</w:t>
      </w:r>
    </w:p>
    <w:p w14:paraId="0E3AFB0A">
      <w:pPr>
        <w:spacing w:line="420" w:lineRule="exact"/>
        <w:ind w:firstLine="420" w:firstLineChars="200"/>
      </w:pPr>
      <w:r>
        <w:t>所在航道：新通扬运河</w:t>
      </w:r>
      <w:r>
        <w:rPr>
          <w:rFonts w:hint="eastAsia"/>
        </w:rPr>
        <w:t>；</w:t>
      </w:r>
    </w:p>
    <w:p w14:paraId="3F0122F1">
      <w:pPr>
        <w:spacing w:line="420" w:lineRule="exact"/>
        <w:ind w:firstLine="420" w:firstLineChars="200"/>
      </w:pPr>
      <w:r>
        <w:t>工程概况：1963年建成，属江都水利枢纽工程的配套工程之一</w:t>
      </w:r>
      <w:r>
        <w:rPr>
          <w:rFonts w:hint="eastAsia"/>
        </w:rPr>
        <w:t>，</w:t>
      </w:r>
      <w:r>
        <w:rPr>
          <w:rFonts w:ascii="宋体" w:hAnsi="宋体"/>
          <w:color w:val="222222"/>
          <w:kern w:val="0"/>
        </w:rPr>
        <w:t>主要建筑物设计等级为</w:t>
      </w:r>
      <w:r>
        <w:rPr>
          <w:color w:val="222222"/>
          <w:kern w:val="0"/>
        </w:rPr>
        <w:t>Ⅲ</w:t>
      </w:r>
      <w:r>
        <w:rPr>
          <w:rFonts w:ascii="宋体" w:hAnsi="宋体"/>
          <w:color w:val="222222"/>
          <w:kern w:val="0"/>
        </w:rPr>
        <w:t>级，全闸共</w:t>
      </w:r>
      <w:r>
        <w:rPr>
          <w:color w:val="222222"/>
          <w:kern w:val="0"/>
        </w:rPr>
        <w:t>13</w:t>
      </w:r>
      <w:r>
        <w:rPr>
          <w:rFonts w:ascii="宋体" w:hAnsi="宋体"/>
          <w:color w:val="222222"/>
          <w:kern w:val="0"/>
        </w:rPr>
        <w:t>孔，其中</w:t>
      </w:r>
      <w:r>
        <w:rPr>
          <w:color w:val="222222"/>
          <w:kern w:val="0"/>
        </w:rPr>
        <w:t>12</w:t>
      </w:r>
      <w:r>
        <w:rPr>
          <w:rFonts w:ascii="宋体" w:hAnsi="宋体"/>
          <w:color w:val="222222"/>
          <w:kern w:val="0"/>
        </w:rPr>
        <w:t>孔是节制孔，</w:t>
      </w:r>
      <w:r>
        <w:rPr>
          <w:color w:val="222222"/>
          <w:kern w:val="0"/>
        </w:rPr>
        <w:t>1</w:t>
      </w:r>
      <w:r>
        <w:rPr>
          <w:rFonts w:ascii="宋体" w:hAnsi="宋体"/>
          <w:color w:val="222222"/>
          <w:kern w:val="0"/>
        </w:rPr>
        <w:t>孔为通航孔，净宽</w:t>
      </w:r>
      <w:r>
        <w:rPr>
          <w:color w:val="222222"/>
          <w:kern w:val="0"/>
        </w:rPr>
        <w:t>10m</w:t>
      </w:r>
      <w:r>
        <w:rPr>
          <w:rFonts w:hint="eastAsia" w:ascii="宋体" w:hAnsi="宋体"/>
          <w:color w:val="222222"/>
          <w:kern w:val="0"/>
        </w:rPr>
        <w:t>，</w:t>
      </w:r>
      <w:r>
        <w:rPr>
          <w:rFonts w:ascii="宋体" w:hAnsi="宋体"/>
          <w:color w:val="222222"/>
          <w:kern w:val="0"/>
        </w:rPr>
        <w:t>可通航</w:t>
      </w:r>
      <w:r>
        <w:rPr>
          <w:rFonts w:hint="eastAsia"/>
          <w:color w:val="222222"/>
          <w:kern w:val="0"/>
        </w:rPr>
        <w:t>300</w:t>
      </w:r>
      <w:r>
        <w:rPr>
          <w:rFonts w:ascii="宋体" w:hAnsi="宋体"/>
          <w:color w:val="222222"/>
          <w:kern w:val="0"/>
        </w:rPr>
        <w:t>吨级</w:t>
      </w:r>
      <w:r>
        <w:rPr>
          <w:rFonts w:hint="eastAsia" w:ascii="宋体" w:hAnsi="宋体"/>
          <w:color w:val="222222"/>
          <w:kern w:val="0"/>
        </w:rPr>
        <w:t>及以下</w:t>
      </w:r>
      <w:r>
        <w:rPr>
          <w:rFonts w:ascii="宋体" w:hAnsi="宋体"/>
          <w:color w:val="222222"/>
          <w:kern w:val="0"/>
        </w:rPr>
        <w:t>船舶</w:t>
      </w:r>
      <w:r>
        <w:t>。</w:t>
      </w:r>
    </w:p>
    <w:p w14:paraId="337CA706">
      <w:pPr>
        <w:spacing w:line="420" w:lineRule="exact"/>
        <w:ind w:firstLine="420" w:firstLineChars="200"/>
      </w:pPr>
      <w:r>
        <w:t>3.望亭枢纽船闸</w:t>
      </w:r>
      <w:r>
        <w:rPr>
          <w:rFonts w:hint="eastAsia"/>
        </w:rPr>
        <w:t>（</w:t>
      </w:r>
      <w:r>
        <w:t>蠡河</w:t>
      </w:r>
      <w:r>
        <w:rPr>
          <w:rFonts w:hint="eastAsia"/>
        </w:rPr>
        <w:t>）</w:t>
      </w:r>
    </w:p>
    <w:p w14:paraId="27CAEC8B">
      <w:pPr>
        <w:spacing w:line="420" w:lineRule="exact"/>
        <w:ind w:firstLine="420" w:firstLineChars="200"/>
      </w:pPr>
      <w:r>
        <w:t>所在航道：望虞河</w:t>
      </w:r>
      <w:r>
        <w:rPr>
          <w:rFonts w:hint="eastAsia"/>
        </w:rPr>
        <w:t>；</w:t>
      </w:r>
    </w:p>
    <w:p w14:paraId="62B1847F">
      <w:pPr>
        <w:spacing w:line="420" w:lineRule="exact"/>
        <w:ind w:firstLine="420" w:firstLineChars="200"/>
      </w:pPr>
      <w:r>
        <w:t>工程概况：1994年竣工，位于苏州市相城区望虞河立交工程下游左侧，上通京杭大运河，下接望虞河，是望虞河左岸配套建筑物之一；船闸闸室长135m、宽8m，承担防洪防倒灌、水质保护、区间通航功能</w:t>
      </w:r>
      <w:r>
        <w:rPr>
          <w:rFonts w:hint="eastAsia"/>
        </w:rPr>
        <w:t>。</w:t>
      </w:r>
    </w:p>
    <w:p w14:paraId="1FC40634">
      <w:pPr>
        <w:spacing w:line="420" w:lineRule="exact"/>
        <w:ind w:firstLine="420" w:firstLineChars="200"/>
      </w:pPr>
      <w:r>
        <w:t>4.望亭枢纽船闸</w:t>
      </w:r>
      <w:r>
        <w:rPr>
          <w:rFonts w:hint="eastAsia"/>
        </w:rPr>
        <w:t>（</w:t>
      </w:r>
      <w:r>
        <w:t>月城河</w:t>
      </w:r>
      <w:r>
        <w:rPr>
          <w:rFonts w:hint="eastAsia"/>
        </w:rPr>
        <w:t>）</w:t>
      </w:r>
    </w:p>
    <w:p w14:paraId="3EEC9CEF">
      <w:pPr>
        <w:spacing w:line="420" w:lineRule="exact"/>
        <w:ind w:firstLine="420" w:firstLineChars="200"/>
      </w:pPr>
      <w:r>
        <w:t>所在航道：漫山望亭线</w:t>
      </w:r>
      <w:r>
        <w:rPr>
          <w:rFonts w:hint="eastAsia"/>
        </w:rPr>
        <w:t>；</w:t>
      </w:r>
    </w:p>
    <w:p w14:paraId="24C19B62">
      <w:pPr>
        <w:spacing w:line="420" w:lineRule="exact"/>
        <w:ind w:firstLine="420" w:firstLineChars="200"/>
      </w:pPr>
      <w:r>
        <w:t>工程概况：</w:t>
      </w:r>
      <w:r>
        <w:rPr>
          <w:rFonts w:hint="eastAsia"/>
        </w:rPr>
        <w:t>1998年竣工，</w:t>
      </w:r>
      <w:r>
        <w:t>位于望亭立交上游右岸月城河河口，上通太湖口，下接京杭大运河，是望虞河工程右岸配套建筑物之一</w:t>
      </w:r>
      <w:r>
        <w:rPr>
          <w:rFonts w:hint="eastAsia"/>
        </w:rPr>
        <w:t>；</w:t>
      </w:r>
      <w:r>
        <w:t>船闸闸室长135m、宽8m</w:t>
      </w:r>
      <w:r>
        <w:rPr>
          <w:rFonts w:hint="eastAsia"/>
        </w:rPr>
        <w:t>，</w:t>
      </w:r>
      <w:r>
        <w:t>兼顾太湖流域洪水调度、清水入湖管控与短途船舶通行，与蠡河控制工程联合调度运行。</w:t>
      </w:r>
    </w:p>
    <w:p w14:paraId="337C4740">
      <w:pPr>
        <w:spacing w:line="420" w:lineRule="exact"/>
        <w:ind w:firstLine="420" w:firstLineChars="200"/>
      </w:pPr>
      <w:r>
        <w:t>5.丹金船闸</w:t>
      </w:r>
    </w:p>
    <w:p w14:paraId="5A016810">
      <w:pPr>
        <w:spacing w:line="420" w:lineRule="exact"/>
        <w:ind w:firstLine="420" w:firstLineChars="200"/>
      </w:pPr>
      <w:r>
        <w:t>所在航道：老丹金溧漕河</w:t>
      </w:r>
      <w:r>
        <w:rPr>
          <w:rFonts w:hint="eastAsia"/>
        </w:rPr>
        <w:t>；</w:t>
      </w:r>
    </w:p>
    <w:p w14:paraId="24323219">
      <w:pPr>
        <w:spacing w:line="420" w:lineRule="exact"/>
        <w:ind w:firstLine="420" w:firstLineChars="200"/>
      </w:pPr>
      <w:r>
        <w:t>工程概况：2004年竣工验收，位于金坛境内</w:t>
      </w:r>
      <w:r>
        <w:rPr>
          <w:rFonts w:hint="eastAsia"/>
        </w:rPr>
        <w:t>老</w:t>
      </w:r>
      <w:r>
        <w:t>丹金溧漕河上</w:t>
      </w:r>
      <w:r>
        <w:rPr>
          <w:rFonts w:hint="eastAsia"/>
        </w:rPr>
        <w:t>，是</w:t>
      </w:r>
      <w:r>
        <w:t>太湖湖西引排骨干枢纽，由节制闸、船闸、公路桥组成；船闸长135m、宽16m，兼顾洮滆圩区防洪、水环境改善、干线货运通航，货运船舶流量稳定</w:t>
      </w:r>
      <w:r>
        <w:rPr>
          <w:rFonts w:hint="eastAsia"/>
        </w:rPr>
        <w:t>。</w:t>
      </w:r>
    </w:p>
    <w:p w14:paraId="53C2376B">
      <w:pPr>
        <w:spacing w:line="420" w:lineRule="exact"/>
        <w:ind w:firstLine="420" w:firstLineChars="200"/>
      </w:pPr>
      <w:r>
        <w:t>6.张家港</w:t>
      </w:r>
      <w:r>
        <w:rPr>
          <w:rFonts w:hint="eastAsia"/>
        </w:rPr>
        <w:t>水利</w:t>
      </w:r>
      <w:r>
        <w:t>枢纽船闸</w:t>
      </w:r>
      <w:r>
        <w:rPr>
          <w:rFonts w:hint="eastAsia"/>
        </w:rPr>
        <w:t>（通航孔）</w:t>
      </w:r>
    </w:p>
    <w:p w14:paraId="3E5BE0BC">
      <w:pPr>
        <w:spacing w:line="420" w:lineRule="exact"/>
        <w:ind w:firstLine="420" w:firstLineChars="200"/>
      </w:pPr>
      <w:r>
        <w:t>所在航道：走马塘</w:t>
      </w:r>
      <w:r>
        <w:rPr>
          <w:rFonts w:hint="eastAsia"/>
        </w:rPr>
        <w:t>；</w:t>
      </w:r>
    </w:p>
    <w:p w14:paraId="326F233B">
      <w:pPr>
        <w:spacing w:line="420" w:lineRule="exact"/>
        <w:ind w:firstLine="420" w:firstLineChars="200"/>
      </w:pPr>
      <w:r>
        <w:t>工程概况：</w:t>
      </w:r>
      <w:r>
        <w:rPr>
          <w:rFonts w:hint="eastAsia"/>
        </w:rPr>
        <w:t>于2013年建成，</w:t>
      </w:r>
      <w:r>
        <w:t>由泵站、节制闸、立交地涵及退水闸四座水工建筑物组成</w:t>
      </w:r>
      <w:r>
        <w:rPr>
          <w:rFonts w:hint="eastAsia"/>
        </w:rPr>
        <w:t>，是</w:t>
      </w:r>
      <w:r>
        <w:t>太湖流域阳澄淀泖区防洪排涝、水资源调配配套通航枢纽，连通苏南内河航道网，主要通行区域砂石、建材内河货运船舶，汛期需同步执行排涝调度。张家港水利枢纽船闸属于节制闸与退水闸兼顾通航的通航孔，退水闸单孔，净宽14米；节制闸共2孔，单孔净宽12米。</w:t>
      </w:r>
    </w:p>
    <w:p w14:paraId="3BBF35D4">
      <w:pPr>
        <w:spacing w:line="420" w:lineRule="exact"/>
        <w:ind w:firstLine="420" w:firstLineChars="200"/>
      </w:pPr>
      <w:r>
        <w:rPr>
          <w:rFonts w:hint="eastAsia"/>
        </w:rPr>
        <w:t>7.</w:t>
      </w:r>
      <w:r>
        <w:t>丹阳</w:t>
      </w:r>
      <w:r>
        <w:rPr>
          <w:rFonts w:hint="eastAsia"/>
        </w:rPr>
        <w:t>水利</w:t>
      </w:r>
      <w:r>
        <w:t>枢纽船闸（已编制运行方案，本次拟作修订）</w:t>
      </w:r>
    </w:p>
    <w:p w14:paraId="7BBA29A5">
      <w:pPr>
        <w:spacing w:line="420" w:lineRule="exact"/>
        <w:ind w:firstLine="420" w:firstLineChars="200"/>
      </w:pPr>
      <w:r>
        <w:t>所在航道：新孟河</w:t>
      </w:r>
      <w:r>
        <w:rPr>
          <w:rFonts w:hint="eastAsia"/>
        </w:rPr>
        <w:t>；</w:t>
      </w:r>
    </w:p>
    <w:p w14:paraId="13F079C0">
      <w:pPr>
        <w:spacing w:line="420" w:lineRule="exact"/>
        <w:ind w:firstLine="420" w:firstLineChars="200"/>
      </w:pPr>
      <w:r>
        <w:t>工程概况：</w:t>
      </w:r>
      <w:r>
        <w:rPr>
          <w:rFonts w:hint="eastAsia"/>
        </w:rPr>
        <w:t>于2023年建成，</w:t>
      </w:r>
      <w:r>
        <w:t>位于镇江丹阳市界牌镇新孟河向北延伸段入江口处，具有引长江水进入太湖、湖西区，排泄流域上游洪水进入长江，兼顾地区航运等重要功能</w:t>
      </w:r>
      <w:r>
        <w:rPr>
          <w:rFonts w:hint="eastAsia"/>
        </w:rPr>
        <w:t>，</w:t>
      </w:r>
      <w:r>
        <w:t>船闸长1</w:t>
      </w:r>
      <w:r>
        <w:rPr>
          <w:rFonts w:hint="eastAsia"/>
        </w:rPr>
        <w:t>80</w:t>
      </w:r>
      <w:r>
        <w:t>m、宽16m</w:t>
      </w:r>
      <w:r>
        <w:rPr>
          <w:rFonts w:hint="eastAsia"/>
        </w:rPr>
        <w:t>，</w:t>
      </w:r>
      <w:r>
        <w:t>已完成首轮运行方案编制</w:t>
      </w:r>
      <w:r>
        <w:rPr>
          <w:rFonts w:hint="eastAsia"/>
        </w:rPr>
        <w:t>并获批</w:t>
      </w:r>
      <w:r>
        <w:t>。</w:t>
      </w:r>
    </w:p>
    <w:p w14:paraId="1B50B439">
      <w:pPr>
        <w:spacing w:line="420" w:lineRule="exact"/>
        <w:ind w:firstLine="420" w:firstLineChars="200"/>
      </w:pPr>
      <w:r>
        <w:t>8.奔牛</w:t>
      </w:r>
      <w:r>
        <w:rPr>
          <w:rFonts w:hint="eastAsia"/>
        </w:rPr>
        <w:t>水利</w:t>
      </w:r>
      <w:r>
        <w:t>枢纽船闸（已编制运行方案，本次拟作修订）</w:t>
      </w:r>
    </w:p>
    <w:p w14:paraId="4D4A7375">
      <w:pPr>
        <w:spacing w:line="420" w:lineRule="exact"/>
        <w:ind w:firstLine="420" w:firstLineChars="200"/>
      </w:pPr>
      <w:r>
        <w:t>所在航道：新孟河</w:t>
      </w:r>
      <w:r>
        <w:rPr>
          <w:rFonts w:hint="eastAsia"/>
        </w:rPr>
        <w:t>；</w:t>
      </w:r>
    </w:p>
    <w:p w14:paraId="09C6FE4F">
      <w:pPr>
        <w:spacing w:line="420" w:lineRule="exact"/>
        <w:ind w:firstLine="420" w:firstLineChars="200"/>
      </w:pPr>
      <w:r>
        <w:t>工程概况：2022年投入运行，为新孟河延伸拓浚工程干河枢纽工程之一，位于常州市奔牛镇新孟河与京杭运河交汇处，工程的主要任务包括防洪、引排水和通航</w:t>
      </w:r>
      <w:r>
        <w:rPr>
          <w:rFonts w:hint="eastAsia"/>
        </w:rPr>
        <w:t>，</w:t>
      </w:r>
      <w:r>
        <w:t>船闸长1</w:t>
      </w:r>
      <w:r>
        <w:rPr>
          <w:rFonts w:hint="eastAsia"/>
        </w:rPr>
        <w:t>35</w:t>
      </w:r>
      <w:r>
        <w:t>m、宽16m</w:t>
      </w:r>
      <w:r>
        <w:rPr>
          <w:rFonts w:hint="eastAsia"/>
        </w:rPr>
        <w:t>，</w:t>
      </w:r>
      <w:r>
        <w:t>已完成首轮运行方案编制</w:t>
      </w:r>
      <w:r>
        <w:rPr>
          <w:rFonts w:hint="eastAsia"/>
        </w:rPr>
        <w:t>并获批。</w:t>
      </w:r>
    </w:p>
    <w:p w14:paraId="74FAD827">
      <w:pPr>
        <w:spacing w:line="420" w:lineRule="exact"/>
        <w:ind w:firstLine="420" w:firstLineChars="200"/>
      </w:pPr>
      <w:r>
        <w:t>9.沭阳闸（通航孔）</w:t>
      </w:r>
    </w:p>
    <w:p w14:paraId="54E28620">
      <w:pPr>
        <w:spacing w:line="420" w:lineRule="exact"/>
        <w:ind w:firstLine="420" w:firstLineChars="200"/>
      </w:pPr>
      <w:r>
        <w:t>所在航道：淮沭新河</w:t>
      </w:r>
      <w:r>
        <w:rPr>
          <w:rFonts w:hint="eastAsia"/>
        </w:rPr>
        <w:t>；</w:t>
      </w:r>
    </w:p>
    <w:p w14:paraId="4E207DF4">
      <w:pPr>
        <w:spacing w:line="420" w:lineRule="exact"/>
        <w:ind w:firstLine="420" w:firstLineChars="200"/>
      </w:pPr>
      <w:r>
        <w:t>工程概况：1959年建成，位于淮沭河尾闾，沭阳县沭城镇以南7km处，为淮河下游分淮入沂工程之控制建筑物</w:t>
      </w:r>
      <w:r>
        <w:rPr>
          <w:rFonts w:hint="eastAsia"/>
        </w:rPr>
        <w:t>，</w:t>
      </w:r>
      <w:r>
        <w:t>沭阳闸通航孔为1号与25号孔，目前1号孔上下游淤积约2.6m，不具备通航条件，仅有25号孔作为通航孔运行</w:t>
      </w:r>
      <w:r>
        <w:rPr>
          <w:rFonts w:hint="eastAsia"/>
        </w:rPr>
        <w:t>。</w:t>
      </w:r>
    </w:p>
    <w:p w14:paraId="26786E2D">
      <w:pPr>
        <w:spacing w:line="420" w:lineRule="exact"/>
        <w:ind w:firstLine="420" w:firstLineChars="200"/>
      </w:pPr>
      <w:r>
        <w:t>10.淮沭船闸</w:t>
      </w:r>
    </w:p>
    <w:p w14:paraId="76CA80D3">
      <w:pPr>
        <w:spacing w:line="420" w:lineRule="exact"/>
        <w:ind w:firstLine="420" w:firstLineChars="200"/>
      </w:pPr>
      <w:r>
        <w:t>所在航道：淮沭新河</w:t>
      </w:r>
      <w:r>
        <w:rPr>
          <w:rFonts w:hint="eastAsia"/>
        </w:rPr>
        <w:t>；</w:t>
      </w:r>
    </w:p>
    <w:p w14:paraId="1437B748">
      <w:pPr>
        <w:spacing w:line="420" w:lineRule="exact"/>
        <w:ind w:firstLine="420" w:firstLineChars="200"/>
      </w:pPr>
      <w:r>
        <w:t>工程概况：</w:t>
      </w:r>
      <w:r>
        <w:rPr>
          <w:rFonts w:hint="eastAsia"/>
        </w:rPr>
        <w:t>1964年建成，</w:t>
      </w:r>
      <w:r>
        <w:t>位于中运河与淮沭新河交汇处，是分淮入沂综合利用工程之一，与淮阴节制闸等建筑物组成淮阴枢纽，发挥防洪及航运的作用</w:t>
      </w:r>
      <w:r>
        <w:rPr>
          <w:rFonts w:hint="eastAsia"/>
        </w:rPr>
        <w:t>。闸室</w:t>
      </w:r>
      <w:r>
        <w:t>长1</w:t>
      </w:r>
      <w:r>
        <w:rPr>
          <w:rFonts w:hint="eastAsia"/>
        </w:rPr>
        <w:t>35</w:t>
      </w:r>
      <w:r>
        <w:t>m、宽</w:t>
      </w:r>
      <w:r>
        <w:rPr>
          <w:rFonts w:hint="eastAsia"/>
        </w:rPr>
        <w:t>12</w:t>
      </w:r>
      <w:r>
        <w:t>m</w:t>
      </w:r>
      <w:r>
        <w:rPr>
          <w:rFonts w:hint="eastAsia"/>
        </w:rPr>
        <w:t>，上下闸首宽10m，</w:t>
      </w:r>
      <w:r>
        <w:t>为Ⅴ级船闸，设计船型尺度42m×9.2m×1.9m。</w:t>
      </w:r>
    </w:p>
    <w:p w14:paraId="3B04AC24">
      <w:pPr>
        <w:spacing w:line="420" w:lineRule="exact"/>
        <w:ind w:firstLine="420" w:firstLineChars="200"/>
      </w:pPr>
      <w:r>
        <w:t>11.沭新北船闸</w:t>
      </w:r>
    </w:p>
    <w:p w14:paraId="5B977B82">
      <w:pPr>
        <w:spacing w:line="420" w:lineRule="exact"/>
        <w:ind w:firstLine="420" w:firstLineChars="200"/>
      </w:pPr>
      <w:r>
        <w:t>所在航道：淮沭新河</w:t>
      </w:r>
      <w:r>
        <w:rPr>
          <w:rFonts w:hint="eastAsia"/>
        </w:rPr>
        <w:t>；</w:t>
      </w:r>
    </w:p>
    <w:p w14:paraId="1B787882">
      <w:pPr>
        <w:spacing w:line="420" w:lineRule="exact"/>
        <w:ind w:firstLine="420" w:firstLineChars="200"/>
      </w:pPr>
      <w:r>
        <w:t>工程概况：</w:t>
      </w:r>
      <w:r>
        <w:rPr>
          <w:rFonts w:hint="eastAsia"/>
        </w:rPr>
        <w:t>1974年建成，</w:t>
      </w:r>
      <w:r>
        <w:t>位于沭阳县桑墟镇沭新河与黄泥河、蔷薇河交汇处，是分淮入沂综合利用沭新河工程之一，具有通航、补水等功能</w:t>
      </w:r>
      <w:r>
        <w:rPr>
          <w:rFonts w:hint="eastAsia"/>
        </w:rPr>
        <w:t>。闸室</w:t>
      </w:r>
      <w:r>
        <w:t>长1</w:t>
      </w:r>
      <w:r>
        <w:rPr>
          <w:rFonts w:hint="eastAsia"/>
        </w:rPr>
        <w:t>35</w:t>
      </w:r>
      <w:r>
        <w:t>m、宽</w:t>
      </w:r>
      <w:r>
        <w:rPr>
          <w:rFonts w:hint="eastAsia"/>
        </w:rPr>
        <w:t>12</w:t>
      </w:r>
      <w:r>
        <w:t>m</w:t>
      </w:r>
      <w:r>
        <w:rPr>
          <w:rFonts w:hint="eastAsia"/>
        </w:rPr>
        <w:t>，上下闸首宽10m，</w:t>
      </w:r>
      <w:r>
        <w:t>设计船型尺度为42.0m×9.2m×1.9m。</w:t>
      </w:r>
    </w:p>
    <w:p w14:paraId="1D4EB782">
      <w:pPr>
        <w:spacing w:line="420" w:lineRule="exact"/>
        <w:ind w:firstLine="420" w:firstLineChars="200"/>
      </w:pPr>
      <w:r>
        <w:t>12.高港船闸</w:t>
      </w:r>
    </w:p>
    <w:p w14:paraId="56A3049B">
      <w:pPr>
        <w:spacing w:line="420" w:lineRule="exact"/>
        <w:ind w:firstLine="420" w:firstLineChars="200"/>
      </w:pPr>
      <w:r>
        <w:t>所在航道：引江河</w:t>
      </w:r>
      <w:r>
        <w:rPr>
          <w:rFonts w:hint="eastAsia"/>
        </w:rPr>
        <w:t>；</w:t>
      </w:r>
    </w:p>
    <w:p w14:paraId="27ED1074">
      <w:pPr>
        <w:spacing w:line="420" w:lineRule="exact"/>
        <w:ind w:firstLine="420" w:firstLineChars="200"/>
      </w:pPr>
      <w:r>
        <w:t>工程概况：</w:t>
      </w:r>
      <w:r>
        <w:rPr>
          <w:rFonts w:hint="eastAsia"/>
        </w:rPr>
        <w:t>1999年建成，</w:t>
      </w:r>
      <w:r>
        <w:t>位于泰州市与扬州市交界处，连通长江与泰东河航道，兼具长江引水、里下河排涝、干线通航功能</w:t>
      </w:r>
      <w:r>
        <w:rPr>
          <w:rFonts w:hint="eastAsia"/>
        </w:rPr>
        <w:t>，</w:t>
      </w:r>
      <w:r>
        <w:t>为苏中里下河地区与长江之间重要的通航渠道</w:t>
      </w:r>
      <w:r>
        <w:rPr>
          <w:rFonts w:hint="eastAsia"/>
        </w:rPr>
        <w:t>。</w:t>
      </w:r>
      <w:r>
        <w:t>泰州引江河高港船闸由一、二线船闸组成，其中一线船闸于1998年12月投用，闸室长196米、宽16米，槛上水深3.5米；二线船闸于2015年7月投用，闸室长230米、宽23米，槛上水深4米。全年24小时通航</w:t>
      </w:r>
      <w:r>
        <w:rPr>
          <w:rFonts w:hint="eastAsia"/>
        </w:rPr>
        <w:t>。</w:t>
      </w:r>
    </w:p>
    <w:p w14:paraId="52DDE090">
      <w:pPr>
        <w:spacing w:line="420" w:lineRule="exact"/>
        <w:ind w:firstLine="420" w:firstLineChars="200"/>
      </w:pPr>
      <w:r>
        <w:t>13.拉马河闸（通航孔）</w:t>
      </w:r>
    </w:p>
    <w:p w14:paraId="0AB3F2AE">
      <w:pPr>
        <w:spacing w:line="420" w:lineRule="exact"/>
        <w:ind w:firstLine="420" w:firstLineChars="200"/>
      </w:pPr>
      <w:r>
        <w:rPr>
          <w:rFonts w:hint="eastAsia"/>
        </w:rPr>
        <w:t>所在航道：拉马河；</w:t>
      </w:r>
    </w:p>
    <w:p w14:paraId="58F8407B">
      <w:pPr>
        <w:spacing w:line="420" w:lineRule="exact"/>
        <w:ind w:firstLine="420" w:firstLineChars="200"/>
      </w:pPr>
      <w:r>
        <w:t>工程概况：</w:t>
      </w:r>
      <w:r>
        <w:rPr>
          <w:rFonts w:hint="eastAsia"/>
        </w:rPr>
        <w:t>1988年建成，</w:t>
      </w:r>
      <w:r>
        <w:t>位于如皋市黄市乡，是解决西部高沙土地区农田灌溉用水，并联系拉马河与靖江夏仕港交通运输的水利船闸（通航孔）</w:t>
      </w:r>
      <w:r>
        <w:rPr>
          <w:rFonts w:hint="eastAsia"/>
        </w:rPr>
        <w:t>，现有</w:t>
      </w:r>
      <w:r>
        <w:t>1孔通航孔，净宽8米。</w:t>
      </w:r>
    </w:p>
    <w:p w14:paraId="60822BC2">
      <w:pPr>
        <w:spacing w:line="420" w:lineRule="exact"/>
        <w:ind w:firstLine="420" w:firstLineChars="200"/>
      </w:pPr>
      <w:r>
        <w:br w:type="page"/>
      </w:r>
    </w:p>
    <w:p w14:paraId="6F0C83E4">
      <w:pPr>
        <w:pStyle w:val="51"/>
        <w:ind w:left="0" w:leftChars="0" w:firstLine="0" w:firstLineChars="0"/>
        <w:jc w:val="center"/>
        <w:rPr>
          <w:b/>
          <w:bCs/>
        </w:rPr>
      </w:pPr>
      <w:r>
        <w:rPr>
          <w:rFonts w:hint="eastAsia"/>
          <w:b/>
          <w:bCs/>
        </w:rPr>
        <w:t>表</w:t>
      </w:r>
      <w:r>
        <w:rPr>
          <w:b/>
          <w:bCs/>
        </w:rPr>
        <w:t xml:space="preserve">  </w:t>
      </w:r>
      <w:r>
        <w:rPr>
          <w:rFonts w:hint="eastAsia"/>
          <w:b/>
          <w:bCs/>
        </w:rPr>
        <w:t>省属水利通航建筑物清单</w:t>
      </w:r>
    </w:p>
    <w:tbl>
      <w:tblPr>
        <w:tblStyle w:val="53"/>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83"/>
        <w:gridCol w:w="1752"/>
        <w:gridCol w:w="1028"/>
        <w:gridCol w:w="1170"/>
        <w:gridCol w:w="1022"/>
        <w:gridCol w:w="2193"/>
        <w:gridCol w:w="1172"/>
      </w:tblGrid>
      <w:tr w14:paraId="7D77B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8" w:hRule="atLeast"/>
          <w:tblHeader/>
          <w:jc w:val="center"/>
        </w:trPr>
        <w:tc>
          <w:tcPr>
            <w:tcW w:w="327" w:type="pct"/>
            <w:vAlign w:val="center"/>
          </w:tcPr>
          <w:p w14:paraId="456C057B">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default"/>
                <w:b/>
                <w:kern w:val="0"/>
                <w:sz w:val="18"/>
                <w:szCs w:val="18"/>
              </w:rPr>
              <w:t>序号</w:t>
            </w:r>
          </w:p>
        </w:tc>
        <w:tc>
          <w:tcPr>
            <w:tcW w:w="982" w:type="pct"/>
            <w:vAlign w:val="center"/>
          </w:tcPr>
          <w:p w14:paraId="116F4EDE">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eastAsia"/>
                <w:b/>
                <w:kern w:val="0"/>
                <w:sz w:val="18"/>
                <w:szCs w:val="18"/>
              </w:rPr>
              <w:t>通航建筑物</w:t>
            </w:r>
            <w:r>
              <w:rPr>
                <w:rFonts w:hint="default"/>
                <w:b/>
                <w:kern w:val="0"/>
                <w:sz w:val="18"/>
                <w:szCs w:val="18"/>
              </w:rPr>
              <w:t>名称</w:t>
            </w:r>
          </w:p>
        </w:tc>
        <w:tc>
          <w:tcPr>
            <w:tcW w:w="576" w:type="pct"/>
            <w:vAlign w:val="center"/>
          </w:tcPr>
          <w:p w14:paraId="1F8104D6">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eastAsia"/>
                <w:b/>
                <w:kern w:val="0"/>
                <w:sz w:val="18"/>
                <w:szCs w:val="18"/>
              </w:rPr>
              <w:t>建成年份</w:t>
            </w:r>
          </w:p>
        </w:tc>
        <w:tc>
          <w:tcPr>
            <w:tcW w:w="656" w:type="pct"/>
            <w:vAlign w:val="center"/>
          </w:tcPr>
          <w:p w14:paraId="472B4DE4">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eastAsia"/>
                <w:b/>
                <w:kern w:val="0"/>
                <w:sz w:val="18"/>
                <w:szCs w:val="18"/>
              </w:rPr>
              <w:t>闸室长×宽（米）</w:t>
            </w:r>
          </w:p>
        </w:tc>
        <w:tc>
          <w:tcPr>
            <w:tcW w:w="573" w:type="pct"/>
            <w:vAlign w:val="center"/>
          </w:tcPr>
          <w:p w14:paraId="5379B5FA">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eastAsia"/>
                <w:b/>
                <w:kern w:val="0"/>
                <w:sz w:val="18"/>
                <w:szCs w:val="18"/>
              </w:rPr>
              <w:t>收费情况</w:t>
            </w:r>
          </w:p>
        </w:tc>
        <w:tc>
          <w:tcPr>
            <w:tcW w:w="1229" w:type="pct"/>
            <w:vAlign w:val="center"/>
          </w:tcPr>
          <w:p w14:paraId="6900B696">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default"/>
                <w:b/>
                <w:kern w:val="0"/>
                <w:sz w:val="18"/>
                <w:szCs w:val="18"/>
              </w:rPr>
              <w:t>管理单位</w:t>
            </w:r>
          </w:p>
        </w:tc>
        <w:tc>
          <w:tcPr>
            <w:tcW w:w="657" w:type="pct"/>
            <w:vAlign w:val="center"/>
          </w:tcPr>
          <w:p w14:paraId="4E1C4F2C">
            <w:pPr>
              <w:keepNext w:val="0"/>
              <w:keepLines w:val="0"/>
              <w:suppressLineNumbers w:val="0"/>
              <w:snapToGrid w:val="0"/>
              <w:spacing w:before="0" w:beforeAutospacing="0" w:after="0" w:afterAutospacing="0" w:line="360" w:lineRule="auto"/>
              <w:ind w:left="0" w:right="0"/>
              <w:jc w:val="center"/>
              <w:rPr>
                <w:rFonts w:hint="default"/>
                <w:b/>
                <w:kern w:val="0"/>
                <w:sz w:val="18"/>
                <w:szCs w:val="18"/>
              </w:rPr>
            </w:pPr>
            <w:r>
              <w:rPr>
                <w:rFonts w:hint="default"/>
                <w:b/>
                <w:kern w:val="0"/>
                <w:sz w:val="18"/>
                <w:szCs w:val="18"/>
              </w:rPr>
              <w:t>所在航道</w:t>
            </w:r>
          </w:p>
        </w:tc>
      </w:tr>
      <w:tr w14:paraId="679D9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18F0312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1</w:t>
            </w:r>
          </w:p>
        </w:tc>
        <w:tc>
          <w:tcPr>
            <w:tcW w:w="982" w:type="pct"/>
            <w:vAlign w:val="center"/>
          </w:tcPr>
          <w:p w14:paraId="6D9027F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邵仙套闸</w:t>
            </w:r>
          </w:p>
        </w:tc>
        <w:tc>
          <w:tcPr>
            <w:tcW w:w="576" w:type="pct"/>
            <w:vAlign w:val="center"/>
          </w:tcPr>
          <w:p w14:paraId="2CAE589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1999</w:t>
            </w:r>
          </w:p>
        </w:tc>
        <w:tc>
          <w:tcPr>
            <w:tcW w:w="656" w:type="pct"/>
            <w:vAlign w:val="center"/>
          </w:tcPr>
          <w:p w14:paraId="683A63F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160×16</w:t>
            </w:r>
          </w:p>
        </w:tc>
        <w:tc>
          <w:tcPr>
            <w:tcW w:w="573" w:type="pct"/>
            <w:vAlign w:val="center"/>
          </w:tcPr>
          <w:p w14:paraId="3CC2301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478CA5F8">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江都水利工程管理处</w:t>
            </w:r>
          </w:p>
        </w:tc>
        <w:tc>
          <w:tcPr>
            <w:tcW w:w="657" w:type="pct"/>
            <w:vAlign w:val="center"/>
          </w:tcPr>
          <w:p w14:paraId="42BF3D8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芒稻河</w:t>
            </w:r>
          </w:p>
        </w:tc>
      </w:tr>
      <w:tr w14:paraId="54050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112AFFB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2</w:t>
            </w:r>
          </w:p>
        </w:tc>
        <w:tc>
          <w:tcPr>
            <w:tcW w:w="982" w:type="pct"/>
            <w:vAlign w:val="center"/>
          </w:tcPr>
          <w:p w14:paraId="4B3C1EF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宜陵闸（通航孔）</w:t>
            </w:r>
          </w:p>
        </w:tc>
        <w:tc>
          <w:tcPr>
            <w:tcW w:w="576" w:type="pct"/>
            <w:vAlign w:val="center"/>
          </w:tcPr>
          <w:p w14:paraId="0630DAA1">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1963</w:t>
            </w:r>
          </w:p>
        </w:tc>
        <w:tc>
          <w:tcPr>
            <w:tcW w:w="656" w:type="pct"/>
            <w:vAlign w:val="center"/>
          </w:tcPr>
          <w:p w14:paraId="2FA8504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p>
        </w:tc>
        <w:tc>
          <w:tcPr>
            <w:tcW w:w="573" w:type="pct"/>
            <w:vAlign w:val="center"/>
          </w:tcPr>
          <w:p w14:paraId="0DD3494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5C96067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江都水利工程管理处</w:t>
            </w:r>
          </w:p>
        </w:tc>
        <w:tc>
          <w:tcPr>
            <w:tcW w:w="657" w:type="pct"/>
            <w:vAlign w:val="center"/>
          </w:tcPr>
          <w:p w14:paraId="3AA91CC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新</w:t>
            </w:r>
            <w:r>
              <w:rPr>
                <w:rFonts w:hint="default"/>
                <w:kern w:val="0"/>
                <w:sz w:val="18"/>
                <w:szCs w:val="18"/>
              </w:rPr>
              <w:t>通扬运河</w:t>
            </w:r>
          </w:p>
        </w:tc>
      </w:tr>
      <w:tr w14:paraId="3018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D9F4FE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3</w:t>
            </w:r>
          </w:p>
        </w:tc>
        <w:tc>
          <w:tcPr>
            <w:tcW w:w="982" w:type="pct"/>
            <w:vAlign w:val="center"/>
          </w:tcPr>
          <w:p w14:paraId="4002331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望亭枢纽船闸</w:t>
            </w:r>
          </w:p>
          <w:p w14:paraId="14822FB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w:t>
            </w:r>
            <w:r>
              <w:rPr>
                <w:rFonts w:hint="default"/>
                <w:kern w:val="0"/>
                <w:sz w:val="18"/>
                <w:szCs w:val="18"/>
              </w:rPr>
              <w:t>蠡河</w:t>
            </w:r>
            <w:r>
              <w:rPr>
                <w:rFonts w:hint="eastAsia"/>
                <w:kern w:val="0"/>
                <w:sz w:val="18"/>
                <w:szCs w:val="18"/>
              </w:rPr>
              <w:t>）</w:t>
            </w:r>
          </w:p>
        </w:tc>
        <w:tc>
          <w:tcPr>
            <w:tcW w:w="576" w:type="pct"/>
            <w:vAlign w:val="center"/>
          </w:tcPr>
          <w:p w14:paraId="2489340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1994</w:t>
            </w:r>
          </w:p>
        </w:tc>
        <w:tc>
          <w:tcPr>
            <w:tcW w:w="656" w:type="pct"/>
            <w:vAlign w:val="center"/>
          </w:tcPr>
          <w:p w14:paraId="6B42AD48">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135×8</w:t>
            </w:r>
          </w:p>
        </w:tc>
        <w:tc>
          <w:tcPr>
            <w:tcW w:w="573" w:type="pct"/>
            <w:vAlign w:val="center"/>
          </w:tcPr>
          <w:p w14:paraId="25D4613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65EA853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4EA62118">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望虞河</w:t>
            </w:r>
          </w:p>
        </w:tc>
      </w:tr>
      <w:tr w14:paraId="59E2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33FD6A4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4</w:t>
            </w:r>
          </w:p>
        </w:tc>
        <w:tc>
          <w:tcPr>
            <w:tcW w:w="982" w:type="pct"/>
            <w:vAlign w:val="center"/>
          </w:tcPr>
          <w:p w14:paraId="5AFCF7B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望亭枢纽船闸</w:t>
            </w:r>
          </w:p>
          <w:p w14:paraId="28FC371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w:t>
            </w:r>
            <w:r>
              <w:rPr>
                <w:rFonts w:hint="default"/>
                <w:kern w:val="0"/>
                <w:sz w:val="18"/>
                <w:szCs w:val="18"/>
              </w:rPr>
              <w:t>月城河</w:t>
            </w:r>
            <w:r>
              <w:rPr>
                <w:rFonts w:hint="eastAsia"/>
                <w:kern w:val="0"/>
                <w:sz w:val="18"/>
                <w:szCs w:val="18"/>
              </w:rPr>
              <w:t>）</w:t>
            </w:r>
          </w:p>
        </w:tc>
        <w:tc>
          <w:tcPr>
            <w:tcW w:w="576" w:type="pct"/>
            <w:vAlign w:val="center"/>
          </w:tcPr>
          <w:p w14:paraId="4A75BEE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1998</w:t>
            </w:r>
          </w:p>
        </w:tc>
        <w:tc>
          <w:tcPr>
            <w:tcW w:w="656" w:type="pct"/>
            <w:vAlign w:val="center"/>
          </w:tcPr>
          <w:p w14:paraId="0E0FF81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135×8</w:t>
            </w:r>
          </w:p>
        </w:tc>
        <w:tc>
          <w:tcPr>
            <w:tcW w:w="573" w:type="pct"/>
            <w:vAlign w:val="center"/>
          </w:tcPr>
          <w:p w14:paraId="6CBCA64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4D72DBD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4D0EA08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漫山望亭线</w:t>
            </w:r>
          </w:p>
        </w:tc>
      </w:tr>
      <w:tr w14:paraId="6D17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099A6E3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5</w:t>
            </w:r>
          </w:p>
        </w:tc>
        <w:tc>
          <w:tcPr>
            <w:tcW w:w="982" w:type="pct"/>
            <w:vAlign w:val="center"/>
          </w:tcPr>
          <w:p w14:paraId="609684D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丹金船闸</w:t>
            </w:r>
          </w:p>
        </w:tc>
        <w:tc>
          <w:tcPr>
            <w:tcW w:w="576" w:type="pct"/>
            <w:vAlign w:val="center"/>
          </w:tcPr>
          <w:p w14:paraId="72F3718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2004</w:t>
            </w:r>
          </w:p>
        </w:tc>
        <w:tc>
          <w:tcPr>
            <w:tcW w:w="656" w:type="pct"/>
            <w:vAlign w:val="center"/>
          </w:tcPr>
          <w:p w14:paraId="42FA0EC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135×16</w:t>
            </w:r>
          </w:p>
        </w:tc>
        <w:tc>
          <w:tcPr>
            <w:tcW w:w="573" w:type="pct"/>
            <w:vAlign w:val="center"/>
          </w:tcPr>
          <w:p w14:paraId="54DBFB1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26F41CA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678E4A3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老</w:t>
            </w:r>
            <w:r>
              <w:rPr>
                <w:rFonts w:hint="default"/>
                <w:kern w:val="0"/>
                <w:sz w:val="18"/>
                <w:szCs w:val="18"/>
              </w:rPr>
              <w:t>丹金溧漕河</w:t>
            </w:r>
          </w:p>
        </w:tc>
      </w:tr>
      <w:tr w14:paraId="64189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A01337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6</w:t>
            </w:r>
          </w:p>
        </w:tc>
        <w:tc>
          <w:tcPr>
            <w:tcW w:w="982" w:type="pct"/>
            <w:vAlign w:val="center"/>
          </w:tcPr>
          <w:p w14:paraId="28C08BF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张家港</w:t>
            </w:r>
            <w:r>
              <w:rPr>
                <w:rFonts w:hint="eastAsia"/>
                <w:kern w:val="0"/>
                <w:sz w:val="18"/>
                <w:szCs w:val="18"/>
              </w:rPr>
              <w:t>水利</w:t>
            </w:r>
            <w:r>
              <w:rPr>
                <w:rFonts w:hint="default"/>
                <w:kern w:val="0"/>
                <w:sz w:val="18"/>
                <w:szCs w:val="18"/>
              </w:rPr>
              <w:t>枢纽船闸</w:t>
            </w:r>
            <w:r>
              <w:rPr>
                <w:rFonts w:hint="eastAsia"/>
                <w:kern w:val="0"/>
                <w:sz w:val="18"/>
                <w:szCs w:val="18"/>
              </w:rPr>
              <w:t>（通航孔）</w:t>
            </w:r>
          </w:p>
        </w:tc>
        <w:tc>
          <w:tcPr>
            <w:tcW w:w="576" w:type="pct"/>
            <w:vAlign w:val="center"/>
          </w:tcPr>
          <w:p w14:paraId="0162F3D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2013</w:t>
            </w:r>
          </w:p>
        </w:tc>
        <w:tc>
          <w:tcPr>
            <w:tcW w:w="656" w:type="pct"/>
            <w:vAlign w:val="center"/>
          </w:tcPr>
          <w:p w14:paraId="557656B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p>
        </w:tc>
        <w:tc>
          <w:tcPr>
            <w:tcW w:w="573" w:type="pct"/>
            <w:vAlign w:val="center"/>
          </w:tcPr>
          <w:p w14:paraId="4E9B4E28">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71D123A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61EB7184">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走马塘</w:t>
            </w:r>
          </w:p>
        </w:tc>
      </w:tr>
      <w:tr w14:paraId="48A1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7F68991">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7</w:t>
            </w:r>
          </w:p>
        </w:tc>
        <w:tc>
          <w:tcPr>
            <w:tcW w:w="982" w:type="pct"/>
            <w:vAlign w:val="center"/>
          </w:tcPr>
          <w:p w14:paraId="32F1B9B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丹阳水利</w:t>
            </w:r>
            <w:r>
              <w:rPr>
                <w:rFonts w:hint="default"/>
                <w:kern w:val="0"/>
                <w:sz w:val="18"/>
                <w:szCs w:val="18"/>
              </w:rPr>
              <w:t>枢纽船闸</w:t>
            </w:r>
          </w:p>
          <w:p w14:paraId="2437C98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（已编制运行方案，本次拟作修订）</w:t>
            </w:r>
          </w:p>
        </w:tc>
        <w:tc>
          <w:tcPr>
            <w:tcW w:w="576" w:type="pct"/>
            <w:vAlign w:val="center"/>
          </w:tcPr>
          <w:p w14:paraId="6905EEB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2023</w:t>
            </w:r>
          </w:p>
        </w:tc>
        <w:tc>
          <w:tcPr>
            <w:tcW w:w="656" w:type="pct"/>
            <w:vAlign w:val="center"/>
          </w:tcPr>
          <w:p w14:paraId="0C4DB33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180×16</w:t>
            </w:r>
          </w:p>
        </w:tc>
        <w:tc>
          <w:tcPr>
            <w:tcW w:w="573" w:type="pct"/>
            <w:vAlign w:val="center"/>
          </w:tcPr>
          <w:p w14:paraId="6E1298A3">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0D5939D1">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4F4A1F4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新孟河</w:t>
            </w:r>
          </w:p>
        </w:tc>
      </w:tr>
      <w:tr w14:paraId="16E53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DE4D42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8</w:t>
            </w:r>
          </w:p>
        </w:tc>
        <w:tc>
          <w:tcPr>
            <w:tcW w:w="982" w:type="pct"/>
            <w:vAlign w:val="center"/>
          </w:tcPr>
          <w:p w14:paraId="656F832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奔牛</w:t>
            </w:r>
            <w:r>
              <w:rPr>
                <w:rFonts w:hint="eastAsia"/>
                <w:kern w:val="0"/>
                <w:sz w:val="18"/>
                <w:szCs w:val="18"/>
              </w:rPr>
              <w:t>水利</w:t>
            </w:r>
            <w:r>
              <w:rPr>
                <w:rFonts w:hint="default"/>
                <w:kern w:val="0"/>
                <w:sz w:val="18"/>
                <w:szCs w:val="18"/>
              </w:rPr>
              <w:t>枢纽船闸</w:t>
            </w:r>
          </w:p>
          <w:p w14:paraId="06EB348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（已编制运行方案，本次拟作修订）</w:t>
            </w:r>
          </w:p>
        </w:tc>
        <w:tc>
          <w:tcPr>
            <w:tcW w:w="576" w:type="pct"/>
            <w:vAlign w:val="center"/>
          </w:tcPr>
          <w:p w14:paraId="61D1327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2022</w:t>
            </w:r>
          </w:p>
        </w:tc>
        <w:tc>
          <w:tcPr>
            <w:tcW w:w="656" w:type="pct"/>
            <w:vAlign w:val="center"/>
          </w:tcPr>
          <w:p w14:paraId="168F3B1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135×16</w:t>
            </w:r>
          </w:p>
        </w:tc>
        <w:tc>
          <w:tcPr>
            <w:tcW w:w="573" w:type="pct"/>
            <w:vAlign w:val="center"/>
          </w:tcPr>
          <w:p w14:paraId="6058B4A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3E6647A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太湖地区水利工程管理处</w:t>
            </w:r>
          </w:p>
        </w:tc>
        <w:tc>
          <w:tcPr>
            <w:tcW w:w="657" w:type="pct"/>
            <w:vAlign w:val="center"/>
          </w:tcPr>
          <w:p w14:paraId="470EC1C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新孟河</w:t>
            </w:r>
          </w:p>
        </w:tc>
      </w:tr>
      <w:tr w14:paraId="11AC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E2D222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9</w:t>
            </w:r>
          </w:p>
        </w:tc>
        <w:tc>
          <w:tcPr>
            <w:tcW w:w="982" w:type="pct"/>
            <w:vAlign w:val="center"/>
          </w:tcPr>
          <w:p w14:paraId="3CA9409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沭阳闸</w:t>
            </w:r>
            <w:r>
              <w:rPr>
                <w:rFonts w:hint="eastAsia"/>
                <w:kern w:val="0"/>
                <w:sz w:val="18"/>
                <w:szCs w:val="18"/>
              </w:rPr>
              <w:t>（</w:t>
            </w:r>
            <w:r>
              <w:rPr>
                <w:rFonts w:hint="default"/>
                <w:kern w:val="0"/>
                <w:sz w:val="18"/>
                <w:szCs w:val="18"/>
              </w:rPr>
              <w:t>通航孔</w:t>
            </w:r>
            <w:r>
              <w:rPr>
                <w:rFonts w:hint="eastAsia"/>
                <w:kern w:val="0"/>
                <w:sz w:val="18"/>
                <w:szCs w:val="18"/>
              </w:rPr>
              <w:t>）</w:t>
            </w:r>
          </w:p>
        </w:tc>
        <w:tc>
          <w:tcPr>
            <w:tcW w:w="576" w:type="pct"/>
            <w:vAlign w:val="center"/>
          </w:tcPr>
          <w:p w14:paraId="3D03F5F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1959</w:t>
            </w:r>
          </w:p>
        </w:tc>
        <w:tc>
          <w:tcPr>
            <w:tcW w:w="656" w:type="pct"/>
            <w:vAlign w:val="center"/>
          </w:tcPr>
          <w:p w14:paraId="512C0E5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可通1000吨船队</w:t>
            </w:r>
          </w:p>
        </w:tc>
        <w:tc>
          <w:tcPr>
            <w:tcW w:w="573" w:type="pct"/>
            <w:vAlign w:val="center"/>
          </w:tcPr>
          <w:p w14:paraId="6D494AC7">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39D4EE5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淮沭新河管理处</w:t>
            </w:r>
          </w:p>
        </w:tc>
        <w:tc>
          <w:tcPr>
            <w:tcW w:w="657" w:type="pct"/>
            <w:vAlign w:val="center"/>
          </w:tcPr>
          <w:p w14:paraId="7CC36D5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淮沭新河</w:t>
            </w:r>
          </w:p>
        </w:tc>
      </w:tr>
      <w:tr w14:paraId="4F1F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079FE84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10</w:t>
            </w:r>
          </w:p>
        </w:tc>
        <w:tc>
          <w:tcPr>
            <w:tcW w:w="982" w:type="pct"/>
            <w:vAlign w:val="center"/>
          </w:tcPr>
          <w:p w14:paraId="0F3C8F03">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淮沭船闸</w:t>
            </w:r>
          </w:p>
        </w:tc>
        <w:tc>
          <w:tcPr>
            <w:tcW w:w="576" w:type="pct"/>
            <w:vAlign w:val="center"/>
          </w:tcPr>
          <w:p w14:paraId="6F5168B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1964</w:t>
            </w:r>
          </w:p>
        </w:tc>
        <w:tc>
          <w:tcPr>
            <w:tcW w:w="656" w:type="pct"/>
            <w:vAlign w:val="center"/>
          </w:tcPr>
          <w:p w14:paraId="10AAA81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135×12</w:t>
            </w:r>
          </w:p>
        </w:tc>
        <w:tc>
          <w:tcPr>
            <w:tcW w:w="573" w:type="pct"/>
            <w:vAlign w:val="center"/>
          </w:tcPr>
          <w:p w14:paraId="5E03AD5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53A44C1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淮沭新河管理处</w:t>
            </w:r>
          </w:p>
        </w:tc>
        <w:tc>
          <w:tcPr>
            <w:tcW w:w="657" w:type="pct"/>
            <w:vAlign w:val="center"/>
          </w:tcPr>
          <w:p w14:paraId="0C132624">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淮沭</w:t>
            </w:r>
            <w:r>
              <w:rPr>
                <w:rFonts w:hint="eastAsia"/>
                <w:kern w:val="0"/>
                <w:sz w:val="18"/>
                <w:szCs w:val="18"/>
              </w:rPr>
              <w:t>新</w:t>
            </w:r>
            <w:r>
              <w:rPr>
                <w:rFonts w:hint="default"/>
                <w:kern w:val="0"/>
                <w:sz w:val="18"/>
                <w:szCs w:val="18"/>
              </w:rPr>
              <w:t>河</w:t>
            </w:r>
          </w:p>
        </w:tc>
      </w:tr>
      <w:tr w14:paraId="74D9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530FF13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11</w:t>
            </w:r>
          </w:p>
        </w:tc>
        <w:tc>
          <w:tcPr>
            <w:tcW w:w="982" w:type="pct"/>
            <w:vAlign w:val="center"/>
          </w:tcPr>
          <w:p w14:paraId="41579C14">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沭新北船闸</w:t>
            </w:r>
          </w:p>
        </w:tc>
        <w:tc>
          <w:tcPr>
            <w:tcW w:w="576" w:type="pct"/>
            <w:vAlign w:val="center"/>
          </w:tcPr>
          <w:p w14:paraId="34805988">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1974</w:t>
            </w:r>
          </w:p>
        </w:tc>
        <w:tc>
          <w:tcPr>
            <w:tcW w:w="656" w:type="pct"/>
            <w:vAlign w:val="center"/>
          </w:tcPr>
          <w:p w14:paraId="027BFF80">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135×12</w:t>
            </w:r>
          </w:p>
        </w:tc>
        <w:tc>
          <w:tcPr>
            <w:tcW w:w="573" w:type="pct"/>
            <w:vAlign w:val="center"/>
          </w:tcPr>
          <w:p w14:paraId="607C355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750EEAEC">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淮沭新河管理处</w:t>
            </w:r>
          </w:p>
        </w:tc>
        <w:tc>
          <w:tcPr>
            <w:tcW w:w="657" w:type="pct"/>
            <w:vAlign w:val="center"/>
          </w:tcPr>
          <w:p w14:paraId="7E3DDA2A">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淮</w:t>
            </w:r>
            <w:r>
              <w:rPr>
                <w:rFonts w:hint="default"/>
                <w:kern w:val="0"/>
                <w:sz w:val="18"/>
                <w:szCs w:val="18"/>
              </w:rPr>
              <w:t>沭新河</w:t>
            </w:r>
          </w:p>
        </w:tc>
      </w:tr>
      <w:tr w14:paraId="654D1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5B6616CD">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12</w:t>
            </w:r>
          </w:p>
        </w:tc>
        <w:tc>
          <w:tcPr>
            <w:tcW w:w="982" w:type="pct"/>
            <w:vAlign w:val="center"/>
          </w:tcPr>
          <w:p w14:paraId="7211E1DB">
            <w:pPr>
              <w:keepNext w:val="0"/>
              <w:keepLines w:val="0"/>
              <w:suppressLineNumbers w:val="0"/>
              <w:snapToGrid w:val="0"/>
              <w:spacing w:before="0" w:beforeAutospacing="0" w:after="0" w:afterAutospacing="0"/>
              <w:ind w:left="0" w:right="0"/>
              <w:jc w:val="center"/>
              <w:rPr>
                <w:rFonts w:hint="default"/>
                <w:kern w:val="0"/>
                <w:sz w:val="18"/>
                <w:szCs w:val="18"/>
              </w:rPr>
            </w:pPr>
            <w:r>
              <w:rPr>
                <w:rFonts w:hint="default"/>
                <w:kern w:val="0"/>
                <w:sz w:val="18"/>
                <w:szCs w:val="18"/>
              </w:rPr>
              <w:t>高港船闸</w:t>
            </w:r>
            <w:r>
              <w:rPr>
                <w:rFonts w:hint="eastAsia"/>
                <w:kern w:val="0"/>
                <w:sz w:val="18"/>
                <w:szCs w:val="18"/>
              </w:rPr>
              <w:t>一线闸</w:t>
            </w:r>
          </w:p>
          <w:p w14:paraId="3ACDC03D">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高港船闸</w:t>
            </w:r>
            <w:r>
              <w:rPr>
                <w:rFonts w:hint="eastAsia"/>
                <w:kern w:val="0"/>
                <w:sz w:val="18"/>
                <w:szCs w:val="18"/>
              </w:rPr>
              <w:t>二线闸</w:t>
            </w:r>
          </w:p>
        </w:tc>
        <w:tc>
          <w:tcPr>
            <w:tcW w:w="576" w:type="pct"/>
            <w:vAlign w:val="center"/>
          </w:tcPr>
          <w:p w14:paraId="3C21D03E">
            <w:pPr>
              <w:keepNext w:val="0"/>
              <w:keepLines w:val="0"/>
              <w:suppressLineNumbers w:val="0"/>
              <w:snapToGrid w:val="0"/>
              <w:spacing w:before="0" w:beforeAutospacing="0" w:after="0" w:afterAutospacing="0"/>
              <w:ind w:left="0" w:right="0"/>
              <w:jc w:val="center"/>
              <w:rPr>
                <w:rFonts w:hint="default"/>
                <w:kern w:val="0"/>
                <w:sz w:val="18"/>
                <w:szCs w:val="18"/>
              </w:rPr>
            </w:pPr>
            <w:r>
              <w:rPr>
                <w:rFonts w:hint="eastAsia"/>
                <w:kern w:val="0"/>
                <w:sz w:val="18"/>
                <w:szCs w:val="18"/>
              </w:rPr>
              <w:t>1999</w:t>
            </w:r>
          </w:p>
          <w:p w14:paraId="66567321">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2015</w:t>
            </w:r>
          </w:p>
        </w:tc>
        <w:tc>
          <w:tcPr>
            <w:tcW w:w="656" w:type="pct"/>
            <w:vAlign w:val="center"/>
          </w:tcPr>
          <w:p w14:paraId="636F8742">
            <w:pPr>
              <w:keepNext w:val="0"/>
              <w:keepLines w:val="0"/>
              <w:suppressLineNumbers w:val="0"/>
              <w:snapToGrid w:val="0"/>
              <w:spacing w:before="0" w:beforeAutospacing="0" w:after="0" w:afterAutospacing="0"/>
              <w:ind w:left="0" w:right="0"/>
              <w:jc w:val="center"/>
              <w:rPr>
                <w:rFonts w:hint="default"/>
                <w:kern w:val="0"/>
                <w:sz w:val="18"/>
                <w:szCs w:val="18"/>
              </w:rPr>
            </w:pPr>
            <w:r>
              <w:rPr>
                <w:rFonts w:hint="eastAsia"/>
                <w:kern w:val="0"/>
                <w:sz w:val="18"/>
                <w:szCs w:val="18"/>
              </w:rPr>
              <w:t>196×16</w:t>
            </w:r>
          </w:p>
          <w:p w14:paraId="7D5D1B8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230×23</w:t>
            </w:r>
          </w:p>
        </w:tc>
        <w:tc>
          <w:tcPr>
            <w:tcW w:w="573" w:type="pct"/>
            <w:vAlign w:val="center"/>
          </w:tcPr>
          <w:p w14:paraId="52C43914">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收费</w:t>
            </w:r>
          </w:p>
        </w:tc>
        <w:tc>
          <w:tcPr>
            <w:tcW w:w="1229" w:type="pct"/>
            <w:vAlign w:val="center"/>
          </w:tcPr>
          <w:p w14:paraId="7B18A98E">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省泰州</w:t>
            </w:r>
            <w:r>
              <w:rPr>
                <w:rFonts w:hint="default"/>
                <w:kern w:val="0"/>
                <w:sz w:val="18"/>
                <w:szCs w:val="18"/>
              </w:rPr>
              <w:t>引江河管理处</w:t>
            </w:r>
          </w:p>
        </w:tc>
        <w:tc>
          <w:tcPr>
            <w:tcW w:w="657" w:type="pct"/>
            <w:vAlign w:val="center"/>
          </w:tcPr>
          <w:p w14:paraId="044EFCD2">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引江河</w:t>
            </w:r>
          </w:p>
        </w:tc>
      </w:tr>
      <w:tr w14:paraId="3386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327" w:type="pct"/>
            <w:vAlign w:val="center"/>
          </w:tcPr>
          <w:p w14:paraId="7EC6B815">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13</w:t>
            </w:r>
          </w:p>
        </w:tc>
        <w:tc>
          <w:tcPr>
            <w:tcW w:w="982" w:type="pct"/>
            <w:vAlign w:val="center"/>
          </w:tcPr>
          <w:p w14:paraId="19F46246">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拉马河闸（通航孔）</w:t>
            </w:r>
          </w:p>
        </w:tc>
        <w:tc>
          <w:tcPr>
            <w:tcW w:w="576" w:type="pct"/>
            <w:vAlign w:val="center"/>
          </w:tcPr>
          <w:p w14:paraId="046D24CB">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1988</w:t>
            </w:r>
          </w:p>
        </w:tc>
        <w:tc>
          <w:tcPr>
            <w:tcW w:w="656" w:type="pct"/>
            <w:vAlign w:val="center"/>
          </w:tcPr>
          <w:p w14:paraId="602EF292">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单孔节制闸，兼有通航功能</w:t>
            </w:r>
          </w:p>
        </w:tc>
        <w:tc>
          <w:tcPr>
            <w:tcW w:w="573" w:type="pct"/>
            <w:vAlign w:val="center"/>
          </w:tcPr>
          <w:p w14:paraId="4D0AC22F">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已取消收费</w:t>
            </w:r>
          </w:p>
        </w:tc>
        <w:tc>
          <w:tcPr>
            <w:tcW w:w="1229" w:type="pct"/>
            <w:vAlign w:val="center"/>
          </w:tcPr>
          <w:p w14:paraId="12188E59">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eastAsia"/>
                <w:kern w:val="0"/>
                <w:sz w:val="18"/>
                <w:szCs w:val="18"/>
              </w:rPr>
              <w:t>省泰州</w:t>
            </w:r>
            <w:r>
              <w:rPr>
                <w:rFonts w:hint="default"/>
                <w:kern w:val="0"/>
                <w:sz w:val="18"/>
                <w:szCs w:val="18"/>
              </w:rPr>
              <w:t>引江河管理处</w:t>
            </w:r>
          </w:p>
        </w:tc>
        <w:tc>
          <w:tcPr>
            <w:tcW w:w="657" w:type="pct"/>
            <w:vAlign w:val="center"/>
          </w:tcPr>
          <w:p w14:paraId="013F5CC2">
            <w:pPr>
              <w:keepNext w:val="0"/>
              <w:keepLines w:val="0"/>
              <w:suppressLineNumbers w:val="0"/>
              <w:snapToGrid w:val="0"/>
              <w:spacing w:before="0" w:beforeAutospacing="0" w:after="0" w:afterAutospacing="0" w:line="360" w:lineRule="auto"/>
              <w:ind w:left="0" w:right="0"/>
              <w:jc w:val="center"/>
              <w:rPr>
                <w:rFonts w:hint="default"/>
                <w:kern w:val="0"/>
                <w:sz w:val="18"/>
                <w:szCs w:val="18"/>
              </w:rPr>
            </w:pPr>
            <w:r>
              <w:rPr>
                <w:rFonts w:hint="default"/>
                <w:kern w:val="0"/>
                <w:sz w:val="18"/>
                <w:szCs w:val="18"/>
              </w:rPr>
              <w:t>拉马河</w:t>
            </w:r>
          </w:p>
        </w:tc>
      </w:tr>
    </w:tbl>
    <w:p w14:paraId="7BB51660">
      <w:pPr>
        <w:widowControl/>
        <w:spacing w:line="360" w:lineRule="auto"/>
        <w:ind w:firstLine="420" w:firstLineChars="200"/>
        <w:rPr>
          <w:rFonts w:hint="eastAsia"/>
          <w:color w:val="0C0C0C"/>
          <w:kern w:val="0"/>
          <w:szCs w:val="21"/>
          <w:lang w:bidi="ar"/>
        </w:rPr>
      </w:pPr>
      <w:bookmarkStart w:id="46" w:name="OLE_LINK9"/>
      <w:bookmarkStart w:id="47" w:name="_Toc234877526"/>
    </w:p>
    <w:p w14:paraId="0A7242B3">
      <w:pPr>
        <w:widowControl/>
        <w:spacing w:line="360" w:lineRule="auto"/>
        <w:ind w:firstLine="632" w:firstLineChars="300"/>
        <w:rPr>
          <w:rFonts w:hint="eastAsia"/>
          <w:b/>
          <w:bCs/>
          <w:color w:val="0C0C0C"/>
          <w:kern w:val="0"/>
          <w:szCs w:val="21"/>
          <w:lang w:bidi="ar"/>
        </w:rPr>
      </w:pPr>
      <w:r>
        <w:rPr>
          <w:rFonts w:hint="eastAsia"/>
          <w:b/>
          <w:bCs/>
          <w:color w:val="0C0C0C"/>
          <w:kern w:val="0"/>
          <w:szCs w:val="21"/>
          <w:lang w:bidi="ar"/>
        </w:rPr>
        <w:t>各船闸联系人信息</w:t>
      </w:r>
      <w:bookmarkEnd w:id="46"/>
    </w:p>
    <w:p w14:paraId="493FC5CC">
      <w:pPr>
        <w:widowControl/>
        <w:spacing w:line="360" w:lineRule="auto"/>
        <w:ind w:firstLine="422" w:firstLineChars="200"/>
        <w:rPr>
          <w:b/>
          <w:bCs/>
          <w:color w:val="0C0C0C"/>
          <w:kern w:val="0"/>
          <w:szCs w:val="21"/>
          <w:lang w:bidi="ar"/>
        </w:rPr>
      </w:pPr>
      <w:r>
        <w:rPr>
          <w:rFonts w:hint="eastAsia"/>
          <w:b/>
          <w:bCs/>
          <w:color w:val="0C0C0C"/>
          <w:kern w:val="0"/>
          <w:szCs w:val="21"/>
          <w:lang w:bidi="ar"/>
        </w:rPr>
        <w:t>（1）邵仙套闸联系人及联系方式：</w:t>
      </w:r>
      <w:r>
        <w:rPr>
          <w:b/>
          <w:bCs/>
          <w:color w:val="0C0C0C"/>
          <w:kern w:val="0"/>
          <w:szCs w:val="21"/>
          <w:lang w:bidi="ar"/>
        </w:rPr>
        <w:t>沈金阳</w:t>
      </w:r>
      <w:r>
        <w:rPr>
          <w:rFonts w:hint="eastAsia"/>
          <w:b/>
          <w:bCs/>
          <w:color w:val="0C0C0C"/>
          <w:kern w:val="0"/>
          <w:szCs w:val="21"/>
          <w:lang w:bidi="ar"/>
        </w:rPr>
        <w:t>，</w:t>
      </w:r>
      <w:r>
        <w:rPr>
          <w:b/>
          <w:bCs/>
          <w:color w:val="0C0C0C"/>
          <w:kern w:val="0"/>
          <w:szCs w:val="21"/>
          <w:lang w:bidi="ar"/>
        </w:rPr>
        <w:t>15850436355</w:t>
      </w:r>
    </w:p>
    <w:p w14:paraId="172E5122">
      <w:pPr>
        <w:widowControl/>
        <w:spacing w:line="360" w:lineRule="auto"/>
        <w:ind w:firstLine="422" w:firstLineChars="200"/>
        <w:rPr>
          <w:b/>
          <w:bCs/>
          <w:color w:val="0C0C0C"/>
          <w:kern w:val="0"/>
          <w:szCs w:val="21"/>
          <w:lang w:bidi="ar"/>
        </w:rPr>
      </w:pPr>
      <w:r>
        <w:rPr>
          <w:rFonts w:hint="eastAsia"/>
          <w:b/>
          <w:bCs/>
          <w:color w:val="0C0C0C"/>
          <w:kern w:val="0"/>
          <w:szCs w:val="21"/>
          <w:lang w:bidi="ar"/>
        </w:rPr>
        <w:t>（2）</w:t>
      </w:r>
      <w:r>
        <w:rPr>
          <w:b/>
          <w:bCs/>
          <w:color w:val="0C0C0C"/>
          <w:kern w:val="0"/>
          <w:szCs w:val="21"/>
          <w:lang w:bidi="ar"/>
        </w:rPr>
        <w:t>宜陵闸（通航孔）</w:t>
      </w:r>
      <w:r>
        <w:rPr>
          <w:rFonts w:hint="eastAsia"/>
          <w:b/>
          <w:bCs/>
          <w:color w:val="0C0C0C"/>
          <w:kern w:val="0"/>
          <w:szCs w:val="21"/>
          <w:lang w:bidi="ar"/>
        </w:rPr>
        <w:t>联系人及联系方式：</w:t>
      </w:r>
      <w:r>
        <w:rPr>
          <w:b/>
          <w:bCs/>
          <w:color w:val="0C0C0C"/>
          <w:kern w:val="0"/>
          <w:szCs w:val="21"/>
          <w:lang w:bidi="ar"/>
        </w:rPr>
        <w:t>缪树杰</w:t>
      </w:r>
      <w:r>
        <w:rPr>
          <w:rFonts w:hint="eastAsia"/>
          <w:b/>
          <w:bCs/>
          <w:color w:val="0C0C0C"/>
          <w:kern w:val="0"/>
          <w:szCs w:val="21"/>
          <w:lang w:bidi="ar"/>
        </w:rPr>
        <w:t>，</w:t>
      </w:r>
      <w:r>
        <w:rPr>
          <w:b/>
          <w:bCs/>
          <w:color w:val="0C0C0C"/>
          <w:kern w:val="0"/>
          <w:szCs w:val="21"/>
          <w:lang w:bidi="ar"/>
        </w:rPr>
        <w:t>15161402702</w:t>
      </w:r>
    </w:p>
    <w:p w14:paraId="0965FD40">
      <w:pPr>
        <w:widowControl/>
        <w:spacing w:line="360" w:lineRule="auto"/>
        <w:ind w:firstLine="422" w:firstLineChars="200"/>
        <w:rPr>
          <w:b/>
          <w:bCs/>
          <w:color w:val="0C0C0C"/>
          <w:kern w:val="0"/>
          <w:szCs w:val="21"/>
          <w:lang w:bidi="ar"/>
        </w:rPr>
      </w:pPr>
      <w:r>
        <w:rPr>
          <w:rFonts w:hint="eastAsia"/>
          <w:b/>
          <w:bCs/>
          <w:color w:val="0C0C0C"/>
          <w:kern w:val="0"/>
          <w:szCs w:val="21"/>
          <w:lang w:bidi="ar"/>
        </w:rPr>
        <w:t>（3）</w:t>
      </w:r>
      <w:r>
        <w:rPr>
          <w:b/>
          <w:bCs/>
          <w:color w:val="0C0C0C"/>
          <w:kern w:val="0"/>
          <w:szCs w:val="21"/>
          <w:lang w:bidi="ar"/>
        </w:rPr>
        <w:t>望亭枢纽船闸</w:t>
      </w:r>
      <w:r>
        <w:rPr>
          <w:rFonts w:hint="eastAsia"/>
          <w:b/>
          <w:bCs/>
          <w:color w:val="0C0C0C"/>
          <w:kern w:val="0"/>
          <w:szCs w:val="21"/>
          <w:lang w:bidi="ar"/>
        </w:rPr>
        <w:t>（</w:t>
      </w:r>
      <w:r>
        <w:rPr>
          <w:b/>
          <w:bCs/>
          <w:color w:val="0C0C0C"/>
          <w:kern w:val="0"/>
          <w:szCs w:val="21"/>
          <w:lang w:bidi="ar"/>
        </w:rPr>
        <w:t>蠡河</w:t>
      </w:r>
      <w:r>
        <w:rPr>
          <w:rFonts w:hint="eastAsia"/>
          <w:b/>
          <w:bCs/>
          <w:color w:val="0C0C0C"/>
          <w:kern w:val="0"/>
          <w:szCs w:val="21"/>
          <w:lang w:bidi="ar"/>
        </w:rPr>
        <w:t>）联系人及联系方式：</w:t>
      </w:r>
      <w:r>
        <w:rPr>
          <w:b/>
          <w:bCs/>
          <w:color w:val="0C0C0C"/>
          <w:kern w:val="0"/>
          <w:szCs w:val="21"/>
          <w:lang w:bidi="ar"/>
        </w:rPr>
        <w:t>何清，13771391591</w:t>
      </w:r>
    </w:p>
    <w:p w14:paraId="5BECB580">
      <w:pPr>
        <w:widowControl/>
        <w:spacing w:line="360" w:lineRule="auto"/>
        <w:ind w:firstLine="422" w:firstLineChars="200"/>
        <w:rPr>
          <w:b/>
          <w:bCs/>
          <w:color w:val="0C0C0C"/>
          <w:kern w:val="0"/>
          <w:szCs w:val="21"/>
          <w:lang w:bidi="ar"/>
        </w:rPr>
      </w:pPr>
      <w:r>
        <w:rPr>
          <w:rFonts w:hint="eastAsia"/>
          <w:b/>
          <w:bCs/>
          <w:color w:val="0C0C0C"/>
          <w:kern w:val="0"/>
          <w:szCs w:val="21"/>
          <w:lang w:bidi="ar"/>
        </w:rPr>
        <w:t>（4）</w:t>
      </w:r>
      <w:r>
        <w:rPr>
          <w:b/>
          <w:bCs/>
          <w:color w:val="0C0C0C"/>
          <w:kern w:val="0"/>
          <w:szCs w:val="21"/>
          <w:lang w:bidi="ar"/>
        </w:rPr>
        <w:t>望亭枢纽船闸</w:t>
      </w:r>
      <w:r>
        <w:rPr>
          <w:rFonts w:hint="eastAsia"/>
          <w:b/>
          <w:bCs/>
          <w:color w:val="0C0C0C"/>
          <w:kern w:val="0"/>
          <w:szCs w:val="21"/>
          <w:lang w:bidi="ar"/>
        </w:rPr>
        <w:t>（</w:t>
      </w:r>
      <w:r>
        <w:rPr>
          <w:b/>
          <w:bCs/>
          <w:color w:val="0C0C0C"/>
          <w:kern w:val="0"/>
          <w:szCs w:val="21"/>
          <w:lang w:bidi="ar"/>
        </w:rPr>
        <w:t>月城河</w:t>
      </w:r>
      <w:r>
        <w:rPr>
          <w:rFonts w:hint="eastAsia"/>
          <w:b/>
          <w:bCs/>
          <w:color w:val="0C0C0C"/>
          <w:kern w:val="0"/>
          <w:szCs w:val="21"/>
          <w:lang w:bidi="ar"/>
        </w:rPr>
        <w:t>）联系人及联系方式：</w:t>
      </w:r>
      <w:r>
        <w:rPr>
          <w:b/>
          <w:bCs/>
          <w:color w:val="0C0C0C"/>
          <w:kern w:val="0"/>
          <w:szCs w:val="21"/>
          <w:lang w:bidi="ar"/>
        </w:rPr>
        <w:t>何清，13771391591</w:t>
      </w:r>
    </w:p>
    <w:p w14:paraId="0221B10F">
      <w:pPr>
        <w:widowControl/>
        <w:spacing w:line="360" w:lineRule="auto"/>
        <w:ind w:firstLine="422" w:firstLineChars="200"/>
        <w:rPr>
          <w:b/>
          <w:bCs/>
          <w:color w:val="0C0C0C"/>
          <w:kern w:val="0"/>
          <w:szCs w:val="21"/>
          <w:lang w:bidi="ar"/>
        </w:rPr>
      </w:pPr>
      <w:r>
        <w:rPr>
          <w:rFonts w:hint="eastAsia"/>
          <w:b/>
          <w:bCs/>
          <w:color w:val="0C0C0C"/>
          <w:kern w:val="0"/>
          <w:szCs w:val="21"/>
          <w:lang w:bidi="ar"/>
        </w:rPr>
        <w:t>（5）</w:t>
      </w:r>
      <w:r>
        <w:rPr>
          <w:b/>
          <w:bCs/>
          <w:color w:val="0C0C0C"/>
          <w:kern w:val="0"/>
          <w:szCs w:val="21"/>
          <w:lang w:bidi="ar"/>
        </w:rPr>
        <w:t>丹金船闸</w:t>
      </w:r>
      <w:r>
        <w:rPr>
          <w:rFonts w:hint="eastAsia"/>
          <w:b/>
          <w:bCs/>
          <w:color w:val="0C0C0C"/>
          <w:kern w:val="0"/>
          <w:szCs w:val="21"/>
          <w:lang w:bidi="ar"/>
        </w:rPr>
        <w:t>联系人及联系方式：</w:t>
      </w:r>
      <w:r>
        <w:rPr>
          <w:b/>
          <w:bCs/>
          <w:color w:val="0C0C0C"/>
          <w:kern w:val="0"/>
          <w:szCs w:val="21"/>
          <w:lang w:bidi="ar"/>
        </w:rPr>
        <w:t>徐克凡，18861156598</w:t>
      </w:r>
    </w:p>
    <w:p w14:paraId="5C604604">
      <w:pPr>
        <w:widowControl/>
        <w:spacing w:line="360" w:lineRule="auto"/>
        <w:ind w:firstLine="422" w:firstLineChars="200"/>
        <w:rPr>
          <w:b/>
          <w:bCs/>
          <w:color w:val="0C0C0C"/>
          <w:kern w:val="0"/>
          <w:szCs w:val="21"/>
          <w:lang w:bidi="ar"/>
        </w:rPr>
      </w:pPr>
      <w:r>
        <w:rPr>
          <w:rFonts w:hint="eastAsia"/>
          <w:b/>
          <w:bCs/>
          <w:color w:val="0C0C0C"/>
          <w:kern w:val="0"/>
          <w:szCs w:val="21"/>
          <w:lang w:bidi="ar"/>
        </w:rPr>
        <w:t>（6）</w:t>
      </w:r>
      <w:r>
        <w:rPr>
          <w:b/>
          <w:bCs/>
          <w:color w:val="0C0C0C"/>
          <w:kern w:val="0"/>
          <w:szCs w:val="21"/>
          <w:lang w:bidi="ar"/>
        </w:rPr>
        <w:t>张家港</w:t>
      </w:r>
      <w:r>
        <w:rPr>
          <w:rFonts w:hint="eastAsia"/>
          <w:b/>
          <w:bCs/>
          <w:color w:val="0C0C0C"/>
          <w:kern w:val="0"/>
          <w:szCs w:val="21"/>
          <w:lang w:bidi="ar"/>
        </w:rPr>
        <w:t>水利</w:t>
      </w:r>
      <w:r>
        <w:rPr>
          <w:b/>
          <w:bCs/>
          <w:color w:val="0C0C0C"/>
          <w:kern w:val="0"/>
          <w:szCs w:val="21"/>
          <w:lang w:bidi="ar"/>
        </w:rPr>
        <w:t>枢纽船闸</w:t>
      </w:r>
      <w:r>
        <w:rPr>
          <w:rFonts w:hint="eastAsia"/>
          <w:b/>
          <w:bCs/>
          <w:color w:val="0C0C0C"/>
          <w:kern w:val="0"/>
          <w:szCs w:val="21"/>
          <w:lang w:bidi="ar"/>
        </w:rPr>
        <w:t>（通航孔）联系人及联系方式：</w:t>
      </w:r>
      <w:r>
        <w:rPr>
          <w:b/>
          <w:bCs/>
          <w:color w:val="0C0C0C"/>
          <w:kern w:val="0"/>
          <w:szCs w:val="21"/>
          <w:lang w:bidi="ar"/>
        </w:rPr>
        <w:t>陈振华，19951239916</w:t>
      </w:r>
    </w:p>
    <w:p w14:paraId="34729B1D">
      <w:pPr>
        <w:widowControl/>
        <w:spacing w:line="360" w:lineRule="auto"/>
        <w:ind w:firstLine="422" w:firstLineChars="200"/>
        <w:rPr>
          <w:b/>
          <w:bCs/>
          <w:color w:val="0C0C0C"/>
          <w:kern w:val="0"/>
          <w:szCs w:val="21"/>
          <w:lang w:bidi="ar"/>
        </w:rPr>
      </w:pPr>
      <w:r>
        <w:rPr>
          <w:rFonts w:hint="eastAsia"/>
          <w:b/>
          <w:bCs/>
          <w:color w:val="0C0C0C"/>
          <w:kern w:val="0"/>
          <w:szCs w:val="21"/>
          <w:lang w:bidi="ar"/>
        </w:rPr>
        <w:t>（7）</w:t>
      </w:r>
      <w:r>
        <w:rPr>
          <w:b/>
          <w:bCs/>
          <w:color w:val="0C0C0C"/>
          <w:kern w:val="0"/>
          <w:szCs w:val="21"/>
          <w:lang w:bidi="ar"/>
        </w:rPr>
        <w:t>丹阳</w:t>
      </w:r>
      <w:r>
        <w:rPr>
          <w:rFonts w:hint="eastAsia"/>
          <w:b/>
          <w:bCs/>
          <w:color w:val="0C0C0C"/>
          <w:kern w:val="0"/>
          <w:szCs w:val="21"/>
          <w:lang w:bidi="ar"/>
        </w:rPr>
        <w:t>水利</w:t>
      </w:r>
      <w:r>
        <w:rPr>
          <w:b/>
          <w:bCs/>
          <w:color w:val="0C0C0C"/>
          <w:kern w:val="0"/>
          <w:szCs w:val="21"/>
          <w:lang w:bidi="ar"/>
        </w:rPr>
        <w:t>枢纽船闸</w:t>
      </w:r>
      <w:r>
        <w:rPr>
          <w:rFonts w:hint="eastAsia"/>
          <w:b/>
          <w:bCs/>
          <w:color w:val="0C0C0C"/>
          <w:kern w:val="0"/>
          <w:szCs w:val="21"/>
          <w:lang w:bidi="ar"/>
        </w:rPr>
        <w:t>联系人及联系方式：</w:t>
      </w:r>
      <w:r>
        <w:rPr>
          <w:b/>
          <w:bCs/>
          <w:color w:val="0C0C0C"/>
          <w:kern w:val="0"/>
          <w:szCs w:val="21"/>
          <w:lang w:bidi="ar"/>
        </w:rPr>
        <w:t>姜正峰，15715291823</w:t>
      </w:r>
    </w:p>
    <w:p w14:paraId="47D37AC0">
      <w:pPr>
        <w:widowControl/>
        <w:spacing w:line="360" w:lineRule="auto"/>
        <w:ind w:firstLine="422" w:firstLineChars="200"/>
        <w:rPr>
          <w:b/>
          <w:bCs/>
          <w:color w:val="0C0C0C"/>
          <w:kern w:val="0"/>
          <w:szCs w:val="21"/>
          <w:lang w:bidi="ar"/>
        </w:rPr>
      </w:pPr>
      <w:r>
        <w:rPr>
          <w:rFonts w:hint="eastAsia"/>
          <w:b/>
          <w:bCs/>
          <w:color w:val="0C0C0C"/>
          <w:kern w:val="0"/>
          <w:szCs w:val="21"/>
          <w:lang w:bidi="ar"/>
        </w:rPr>
        <w:t>（8）</w:t>
      </w:r>
      <w:r>
        <w:rPr>
          <w:b/>
          <w:bCs/>
          <w:color w:val="0C0C0C"/>
          <w:kern w:val="0"/>
          <w:szCs w:val="21"/>
          <w:lang w:bidi="ar"/>
        </w:rPr>
        <w:t>奔牛</w:t>
      </w:r>
      <w:r>
        <w:rPr>
          <w:rFonts w:hint="eastAsia"/>
          <w:b/>
          <w:bCs/>
          <w:color w:val="0C0C0C"/>
          <w:kern w:val="0"/>
          <w:szCs w:val="21"/>
          <w:lang w:bidi="ar"/>
        </w:rPr>
        <w:t>水利</w:t>
      </w:r>
      <w:r>
        <w:rPr>
          <w:b/>
          <w:bCs/>
          <w:color w:val="0C0C0C"/>
          <w:kern w:val="0"/>
          <w:szCs w:val="21"/>
          <w:lang w:bidi="ar"/>
        </w:rPr>
        <w:t>枢纽船闸</w:t>
      </w:r>
      <w:r>
        <w:rPr>
          <w:rFonts w:hint="eastAsia"/>
          <w:b/>
          <w:bCs/>
          <w:color w:val="0C0C0C"/>
          <w:kern w:val="0"/>
          <w:szCs w:val="21"/>
          <w:lang w:bidi="ar"/>
        </w:rPr>
        <w:t>联系人及联系方式：</w:t>
      </w:r>
      <w:r>
        <w:rPr>
          <w:b/>
          <w:bCs/>
          <w:color w:val="0C0C0C"/>
          <w:kern w:val="0"/>
          <w:szCs w:val="21"/>
          <w:lang w:bidi="ar"/>
        </w:rPr>
        <w:t>曹海桦，15852630096</w:t>
      </w:r>
    </w:p>
    <w:p w14:paraId="050CD8E0">
      <w:pPr>
        <w:widowControl/>
        <w:spacing w:line="360" w:lineRule="auto"/>
        <w:ind w:firstLine="422" w:firstLineChars="200"/>
        <w:rPr>
          <w:b/>
          <w:bCs/>
          <w:color w:val="0C0C0C"/>
          <w:kern w:val="0"/>
          <w:szCs w:val="21"/>
          <w:lang w:bidi="ar"/>
        </w:rPr>
      </w:pPr>
      <w:r>
        <w:rPr>
          <w:rFonts w:hint="eastAsia"/>
          <w:b/>
          <w:bCs/>
          <w:color w:val="0C0C0C"/>
          <w:kern w:val="0"/>
          <w:szCs w:val="21"/>
          <w:lang w:bidi="ar"/>
        </w:rPr>
        <w:t>（9）</w:t>
      </w:r>
      <w:r>
        <w:rPr>
          <w:b/>
          <w:bCs/>
          <w:color w:val="0C0C0C"/>
          <w:kern w:val="0"/>
          <w:szCs w:val="21"/>
          <w:lang w:bidi="ar"/>
        </w:rPr>
        <w:t>沭阳闸（通航孔）</w:t>
      </w:r>
      <w:r>
        <w:rPr>
          <w:rFonts w:hint="eastAsia"/>
          <w:b/>
          <w:bCs/>
          <w:color w:val="0C0C0C"/>
          <w:kern w:val="0"/>
          <w:szCs w:val="21"/>
          <w:lang w:bidi="ar"/>
        </w:rPr>
        <w:t>联系人及联系方式：叶建光，</w:t>
      </w:r>
      <w:r>
        <w:rPr>
          <w:b/>
          <w:bCs/>
          <w:color w:val="0C0C0C"/>
          <w:kern w:val="0"/>
          <w:szCs w:val="21"/>
          <w:lang w:bidi="ar"/>
        </w:rPr>
        <w:t xml:space="preserve"> 18912079998</w:t>
      </w:r>
    </w:p>
    <w:p w14:paraId="1A3A7F04">
      <w:pPr>
        <w:widowControl/>
        <w:spacing w:line="360" w:lineRule="auto"/>
        <w:ind w:firstLine="422" w:firstLineChars="200"/>
        <w:rPr>
          <w:b/>
          <w:bCs/>
          <w:color w:val="0C0C0C"/>
          <w:kern w:val="0"/>
          <w:szCs w:val="21"/>
          <w:lang w:bidi="ar"/>
        </w:rPr>
      </w:pPr>
      <w:r>
        <w:rPr>
          <w:rFonts w:hint="eastAsia"/>
          <w:b/>
          <w:bCs/>
          <w:color w:val="0C0C0C"/>
          <w:kern w:val="0"/>
          <w:szCs w:val="21"/>
          <w:lang w:bidi="ar"/>
        </w:rPr>
        <w:t>（10）</w:t>
      </w:r>
      <w:r>
        <w:rPr>
          <w:b/>
          <w:bCs/>
          <w:color w:val="0C0C0C"/>
          <w:kern w:val="0"/>
          <w:szCs w:val="21"/>
          <w:lang w:bidi="ar"/>
        </w:rPr>
        <w:t>淮沭船闸</w:t>
      </w:r>
      <w:r>
        <w:rPr>
          <w:rFonts w:hint="eastAsia"/>
          <w:b/>
          <w:bCs/>
          <w:color w:val="0C0C0C"/>
          <w:kern w:val="0"/>
          <w:szCs w:val="21"/>
          <w:lang w:bidi="ar"/>
        </w:rPr>
        <w:t>联系人及联系方式：侯海燕，</w:t>
      </w:r>
      <w:r>
        <w:rPr>
          <w:b/>
          <w:bCs/>
          <w:color w:val="0C0C0C"/>
          <w:kern w:val="0"/>
          <w:szCs w:val="21"/>
          <w:lang w:bidi="ar"/>
        </w:rPr>
        <w:t>13365176876</w:t>
      </w:r>
    </w:p>
    <w:p w14:paraId="442ECF8B">
      <w:pPr>
        <w:widowControl/>
        <w:spacing w:line="360" w:lineRule="auto"/>
        <w:ind w:firstLine="422" w:firstLineChars="200"/>
        <w:rPr>
          <w:b/>
          <w:bCs/>
          <w:color w:val="0C0C0C"/>
          <w:kern w:val="0"/>
          <w:szCs w:val="21"/>
          <w:lang w:bidi="ar"/>
        </w:rPr>
      </w:pPr>
      <w:r>
        <w:rPr>
          <w:rFonts w:hint="eastAsia"/>
          <w:b/>
          <w:bCs/>
          <w:color w:val="0C0C0C"/>
          <w:kern w:val="0"/>
          <w:szCs w:val="21"/>
          <w:lang w:bidi="ar"/>
        </w:rPr>
        <w:t>（11）</w:t>
      </w:r>
      <w:r>
        <w:rPr>
          <w:b/>
          <w:bCs/>
          <w:color w:val="0C0C0C"/>
          <w:kern w:val="0"/>
          <w:szCs w:val="21"/>
          <w:lang w:bidi="ar"/>
        </w:rPr>
        <w:t>沭新北船闸</w:t>
      </w:r>
      <w:r>
        <w:rPr>
          <w:rFonts w:hint="eastAsia"/>
          <w:b/>
          <w:bCs/>
          <w:color w:val="0C0C0C"/>
          <w:kern w:val="0"/>
          <w:szCs w:val="21"/>
          <w:lang w:bidi="ar"/>
        </w:rPr>
        <w:t>联系人及联系方式：王开磊，</w:t>
      </w:r>
      <w:r>
        <w:rPr>
          <w:b/>
          <w:bCs/>
          <w:color w:val="0C0C0C"/>
          <w:kern w:val="0"/>
          <w:szCs w:val="21"/>
          <w:lang w:bidi="ar"/>
        </w:rPr>
        <w:t>13196988768</w:t>
      </w:r>
    </w:p>
    <w:p w14:paraId="15E55FB9">
      <w:pPr>
        <w:widowControl/>
        <w:spacing w:line="360" w:lineRule="auto"/>
        <w:ind w:firstLine="422" w:firstLineChars="200"/>
        <w:rPr>
          <w:b/>
          <w:bCs/>
          <w:color w:val="0C0C0C"/>
          <w:kern w:val="0"/>
          <w:szCs w:val="21"/>
          <w:lang w:bidi="ar"/>
        </w:rPr>
      </w:pPr>
      <w:r>
        <w:rPr>
          <w:rFonts w:hint="eastAsia"/>
          <w:b/>
          <w:bCs/>
          <w:color w:val="0C0C0C"/>
          <w:kern w:val="0"/>
          <w:szCs w:val="21"/>
          <w:lang w:bidi="ar"/>
        </w:rPr>
        <w:t>（12）</w:t>
      </w:r>
      <w:r>
        <w:rPr>
          <w:b/>
          <w:bCs/>
          <w:color w:val="0C0C0C"/>
          <w:kern w:val="0"/>
          <w:szCs w:val="21"/>
          <w:lang w:bidi="ar"/>
        </w:rPr>
        <w:t>高港船闸</w:t>
      </w:r>
      <w:r>
        <w:rPr>
          <w:rFonts w:hint="eastAsia"/>
          <w:b/>
          <w:bCs/>
          <w:color w:val="0C0C0C"/>
          <w:kern w:val="0"/>
          <w:szCs w:val="21"/>
          <w:lang w:bidi="ar"/>
        </w:rPr>
        <w:t>联系人及联系方式：</w:t>
      </w:r>
      <w:r>
        <w:rPr>
          <w:b/>
          <w:bCs/>
          <w:color w:val="0C0C0C"/>
          <w:kern w:val="0"/>
          <w:szCs w:val="21"/>
          <w:lang w:bidi="ar"/>
        </w:rPr>
        <w:t>杜晓啸</w:t>
      </w:r>
      <w:r>
        <w:rPr>
          <w:rFonts w:hint="eastAsia"/>
          <w:b/>
          <w:bCs/>
          <w:color w:val="0C0C0C"/>
          <w:kern w:val="0"/>
          <w:szCs w:val="21"/>
          <w:lang w:bidi="ar"/>
        </w:rPr>
        <w:t>，</w:t>
      </w:r>
      <w:r>
        <w:rPr>
          <w:b/>
          <w:bCs/>
          <w:color w:val="0C0C0C"/>
          <w:kern w:val="0"/>
          <w:szCs w:val="21"/>
          <w:lang w:bidi="ar"/>
        </w:rPr>
        <w:t>19975153060</w:t>
      </w:r>
    </w:p>
    <w:p w14:paraId="360A2B91">
      <w:pPr>
        <w:widowControl/>
        <w:spacing w:line="360" w:lineRule="auto"/>
        <w:ind w:firstLine="422" w:firstLineChars="200"/>
        <w:rPr>
          <w:rFonts w:hint="eastAsia"/>
          <w:b/>
          <w:bCs/>
          <w:color w:val="0C0C0C"/>
          <w:kern w:val="0"/>
          <w:szCs w:val="21"/>
          <w:lang w:bidi="ar"/>
        </w:rPr>
      </w:pPr>
      <w:r>
        <w:rPr>
          <w:rFonts w:hint="eastAsia"/>
          <w:b/>
          <w:bCs/>
          <w:color w:val="0C0C0C"/>
          <w:kern w:val="0"/>
          <w:szCs w:val="21"/>
          <w:lang w:bidi="ar"/>
        </w:rPr>
        <w:t>（13）</w:t>
      </w:r>
      <w:r>
        <w:rPr>
          <w:b/>
          <w:bCs/>
          <w:color w:val="0C0C0C"/>
          <w:kern w:val="0"/>
          <w:szCs w:val="21"/>
          <w:lang w:bidi="ar"/>
        </w:rPr>
        <w:t>拉马河闸（通航孔）</w:t>
      </w:r>
      <w:r>
        <w:rPr>
          <w:rFonts w:hint="eastAsia"/>
          <w:b/>
          <w:bCs/>
          <w:color w:val="0C0C0C"/>
          <w:kern w:val="0"/>
          <w:szCs w:val="21"/>
          <w:lang w:bidi="ar"/>
        </w:rPr>
        <w:t>联系人及联系方式：朱益锋  19975153004</w:t>
      </w:r>
    </w:p>
    <w:p w14:paraId="470A4E39">
      <w:pPr>
        <w:widowControl/>
        <w:spacing w:before="240" w:beforeLines="100" w:line="360" w:lineRule="auto"/>
        <w:ind w:firstLine="422" w:firstLineChars="200"/>
        <w:outlineLvl w:val="1"/>
        <w:rPr>
          <w:rStyle w:val="55"/>
          <w:kern w:val="0"/>
          <w:lang w:bidi="ar"/>
        </w:rPr>
      </w:pPr>
      <w:r>
        <w:rPr>
          <w:rStyle w:val="55"/>
          <w:rFonts w:hint="eastAsia"/>
          <w:kern w:val="0"/>
          <w:lang w:bidi="ar"/>
        </w:rPr>
        <w:t>四、工作内容</w:t>
      </w:r>
      <w:bookmarkEnd w:id="47"/>
    </w:p>
    <w:p w14:paraId="316F06A5">
      <w:pPr>
        <w:spacing w:line="360" w:lineRule="auto"/>
        <w:ind w:firstLine="420" w:firstLineChars="200"/>
        <w:rPr>
          <w:szCs w:val="21"/>
        </w:rPr>
      </w:pPr>
      <w:r>
        <w:rPr>
          <w:rFonts w:hint="eastAsia"/>
          <w:szCs w:val="21"/>
        </w:rPr>
        <w:t>按照《通航建筑物运行管理办法》（2019年2月5日交通运输部公布 根据2026年1月14日《交通运输部关于修改〈通航建筑物运行管理办法〉的决定》修正）、《通航建筑物运行方案编制导则》（JTS 123-2019）等规范和文件要求，根据各通航建筑物的具体情况及水运行政主管部门、交通运输综合执法机构、航运企业等有关单位的意见编制通航建筑物运行方案，并负责做好通航建筑物运行方案的报批工作。</w:t>
      </w:r>
    </w:p>
    <w:p w14:paraId="3F03D0B7">
      <w:pPr>
        <w:spacing w:line="360" w:lineRule="auto"/>
        <w:ind w:firstLine="420" w:firstLineChars="200"/>
        <w:rPr>
          <w:szCs w:val="21"/>
        </w:rPr>
      </w:pPr>
      <w:r>
        <w:rPr>
          <w:rFonts w:hint="eastAsia"/>
          <w:szCs w:val="21"/>
        </w:rPr>
        <w:t>具体工作内容包括但不限于：</w:t>
      </w:r>
    </w:p>
    <w:p w14:paraId="27E55458">
      <w:pPr>
        <w:spacing w:line="360" w:lineRule="auto"/>
        <w:ind w:firstLine="420" w:firstLineChars="200"/>
        <w:rPr>
          <w:color w:val="0C0C0C"/>
          <w:szCs w:val="21"/>
        </w:rPr>
      </w:pPr>
      <w:r>
        <w:rPr>
          <w:rFonts w:hint="eastAsia"/>
          <w:color w:val="0C0C0C"/>
          <w:szCs w:val="21"/>
        </w:rPr>
        <w:t>（一）通航建筑物运行方案编制工作</w:t>
      </w:r>
    </w:p>
    <w:p w14:paraId="1E09BAD4">
      <w:pPr>
        <w:spacing w:line="360" w:lineRule="auto"/>
        <w:ind w:firstLine="420" w:firstLineChars="200"/>
        <w:rPr>
          <w:szCs w:val="21"/>
        </w:rPr>
      </w:pPr>
      <w:r>
        <w:rPr>
          <w:rFonts w:hint="eastAsia"/>
          <w:szCs w:val="21"/>
        </w:rPr>
        <w:t>应当按照国家和省有关规定和技术标准编制通航建筑物运行方案，包括通航建筑物概况、运行条件、开放时间、调度规则、养护停航安排、信息公开与社会监督等内容。重点突出通航建筑物开放时间、调度规则、养护停航安排与船舶通行需要的适应性，以及与相邻通航建筑物开放时间、养护停航安排之间的协调性。</w:t>
      </w:r>
    </w:p>
    <w:p w14:paraId="331F570E">
      <w:pPr>
        <w:spacing w:line="360" w:lineRule="auto"/>
        <w:ind w:firstLine="420" w:firstLineChars="200"/>
        <w:rPr>
          <w:szCs w:val="21"/>
        </w:rPr>
      </w:pPr>
      <w:r>
        <w:rPr>
          <w:rFonts w:hint="eastAsia"/>
          <w:szCs w:val="21"/>
        </w:rPr>
        <w:t>（1）通航建筑物运行方案报告</w:t>
      </w:r>
    </w:p>
    <w:p w14:paraId="2C2DC1C0">
      <w:pPr>
        <w:spacing w:line="360" w:lineRule="auto"/>
        <w:ind w:firstLine="420" w:firstLineChars="200"/>
        <w:rPr>
          <w:szCs w:val="21"/>
        </w:rPr>
      </w:pPr>
      <w:r>
        <w:rPr>
          <w:rFonts w:hint="eastAsia"/>
          <w:szCs w:val="21"/>
        </w:rPr>
        <w:t>①船闸概况。基本情况应包括船闸总体布置、船闸级别、船闸规模及设计指标、船闸主要设备设施、船闸配套设施、船闸运行管理范围、相关水利设施情况，运行条件应包括设计水位、通航流量、通航气象条件、通航净空尺度、上下游引航道通航条件，船闸管理应包括管理体制、管理主体、机构和人员设置等内容；</w:t>
      </w:r>
    </w:p>
    <w:p w14:paraId="29800E19">
      <w:pPr>
        <w:spacing w:line="360" w:lineRule="auto"/>
        <w:ind w:firstLine="420" w:firstLineChars="200"/>
        <w:rPr>
          <w:szCs w:val="21"/>
        </w:rPr>
      </w:pPr>
      <w:r>
        <w:rPr>
          <w:rFonts w:hint="eastAsia"/>
          <w:szCs w:val="21"/>
        </w:rPr>
        <w:t>②</w:t>
      </w:r>
      <w:r>
        <w:rPr>
          <w:szCs w:val="21"/>
        </w:rPr>
        <w:t>船闸运行需求</w:t>
      </w:r>
      <w:r>
        <w:rPr>
          <w:rFonts w:hint="eastAsia"/>
          <w:szCs w:val="21"/>
        </w:rPr>
        <w:t>。</w:t>
      </w:r>
      <w:r>
        <w:rPr>
          <w:szCs w:val="21"/>
        </w:rPr>
        <w:t>与设计指标的对比分析应包括船型、通航率、日均闸次数、设备设施运行时间、上下游引航道通航条件等内容</w:t>
      </w:r>
      <w:r>
        <w:rPr>
          <w:rFonts w:hint="eastAsia"/>
          <w:szCs w:val="21"/>
        </w:rPr>
        <w:t>，运行基本情况应对船闸近5年来的运行情况进行统计分析，包括通航率统计分析、通过量统计分析、过闸船舶统计分析、安全事故情况等，运行需求分析</w:t>
      </w:r>
      <w:r>
        <w:rPr>
          <w:szCs w:val="21"/>
        </w:rPr>
        <w:t>应包括通过量变化趋势分析、通过能力分析、通过能力与通过量匹配分析等内容</w:t>
      </w:r>
      <w:r>
        <w:rPr>
          <w:rFonts w:hint="eastAsia"/>
          <w:szCs w:val="21"/>
        </w:rPr>
        <w:t>；</w:t>
      </w:r>
    </w:p>
    <w:p w14:paraId="41400BEA">
      <w:pPr>
        <w:spacing w:line="360" w:lineRule="auto"/>
        <w:ind w:firstLine="420" w:firstLineChars="200"/>
        <w:rPr>
          <w:szCs w:val="21"/>
        </w:rPr>
      </w:pPr>
      <w:r>
        <w:rPr>
          <w:rFonts w:hint="eastAsia"/>
          <w:szCs w:val="21"/>
        </w:rPr>
        <w:t>③</w:t>
      </w:r>
      <w:r>
        <w:rPr>
          <w:szCs w:val="21"/>
        </w:rPr>
        <w:t>船闸运行计划</w:t>
      </w:r>
      <w:r>
        <w:rPr>
          <w:rFonts w:hint="eastAsia"/>
          <w:szCs w:val="21"/>
        </w:rPr>
        <w:t>。运行计划应包括船闸运行方式、船闸开放时间、船闸运行的主要指标及标准值，</w:t>
      </w:r>
      <w:r>
        <w:rPr>
          <w:szCs w:val="21"/>
        </w:rPr>
        <w:t>养护停航安排应包括定期保养停航安排、专项修理停航安排、大修停航安排等内容</w:t>
      </w:r>
      <w:r>
        <w:rPr>
          <w:rFonts w:hint="eastAsia"/>
          <w:szCs w:val="21"/>
        </w:rPr>
        <w:t>；</w:t>
      </w:r>
    </w:p>
    <w:p w14:paraId="526836AE">
      <w:pPr>
        <w:spacing w:line="360" w:lineRule="auto"/>
        <w:ind w:firstLine="420" w:firstLineChars="200"/>
        <w:rPr>
          <w:szCs w:val="21"/>
        </w:rPr>
      </w:pPr>
      <w:r>
        <w:rPr>
          <w:rFonts w:hint="eastAsia"/>
          <w:szCs w:val="21"/>
        </w:rPr>
        <w:t>④</w:t>
      </w:r>
      <w:r>
        <w:rPr>
          <w:szCs w:val="21"/>
        </w:rPr>
        <w:t>船闸运行调度</w:t>
      </w:r>
      <w:r>
        <w:rPr>
          <w:rFonts w:hint="eastAsia"/>
          <w:szCs w:val="21"/>
        </w:rPr>
        <w:t>，</w:t>
      </w:r>
      <w:r>
        <w:rPr>
          <w:szCs w:val="21"/>
        </w:rPr>
        <w:t>应包括过闸调度、船闸运行、应急调度、开放通闸调度、船闸联合调度、载运危险货物船舶调度、特殊船舶调度、客运船舶调度</w:t>
      </w:r>
      <w:r>
        <w:rPr>
          <w:rFonts w:hint="eastAsia"/>
          <w:szCs w:val="21"/>
        </w:rPr>
        <w:t>，其中过闸调度包括船舶申报、计划编制、计划执行、其它规定，船闸运行包括船舶进出船闸的运行组织、设备运行工艺流程、安全技术要求；</w:t>
      </w:r>
    </w:p>
    <w:p w14:paraId="381558BB">
      <w:pPr>
        <w:spacing w:line="360" w:lineRule="auto"/>
        <w:ind w:firstLine="420" w:firstLineChars="200"/>
        <w:rPr>
          <w:szCs w:val="21"/>
        </w:rPr>
      </w:pPr>
      <w:r>
        <w:rPr>
          <w:rFonts w:hint="eastAsia"/>
          <w:szCs w:val="21"/>
        </w:rPr>
        <w:t>⑤船闸运行保障。</w:t>
      </w:r>
      <w:r>
        <w:rPr>
          <w:szCs w:val="21"/>
        </w:rPr>
        <w:t>运行机构与经费</w:t>
      </w:r>
      <w:r>
        <w:rPr>
          <w:rFonts w:hint="eastAsia"/>
          <w:szCs w:val="21"/>
        </w:rPr>
        <w:t>应包括</w:t>
      </w:r>
      <w:r>
        <w:rPr>
          <w:szCs w:val="21"/>
        </w:rPr>
        <w:t>运行和维修管理的机构情况</w:t>
      </w:r>
      <w:r>
        <w:rPr>
          <w:rFonts w:hint="eastAsia"/>
          <w:szCs w:val="21"/>
        </w:rPr>
        <w:t>、</w:t>
      </w:r>
      <w:r>
        <w:rPr>
          <w:szCs w:val="21"/>
        </w:rPr>
        <w:t>说明经费计划以及来源渠道</w:t>
      </w:r>
      <w:r>
        <w:rPr>
          <w:rFonts w:hint="eastAsia"/>
          <w:szCs w:val="21"/>
        </w:rPr>
        <w:t>，</w:t>
      </w:r>
      <w:r>
        <w:rPr>
          <w:szCs w:val="21"/>
        </w:rPr>
        <w:t>信息公开与社会监督应包括信息公开内容与方式、社会监督方式等</w:t>
      </w:r>
      <w:r>
        <w:rPr>
          <w:rFonts w:hint="eastAsia"/>
          <w:szCs w:val="21"/>
        </w:rPr>
        <w:t>，</w:t>
      </w:r>
      <w:r>
        <w:rPr>
          <w:szCs w:val="21"/>
        </w:rPr>
        <w:t>应急体系应包括应急组织机构、运作机制、应急预案、保障措施等内容</w:t>
      </w:r>
      <w:r>
        <w:rPr>
          <w:rFonts w:hint="eastAsia"/>
          <w:szCs w:val="21"/>
        </w:rPr>
        <w:t>。</w:t>
      </w:r>
    </w:p>
    <w:p w14:paraId="2205C839">
      <w:pPr>
        <w:spacing w:line="360" w:lineRule="auto"/>
        <w:ind w:firstLine="420" w:firstLineChars="200"/>
        <w:rPr>
          <w:szCs w:val="21"/>
        </w:rPr>
      </w:pPr>
      <w:r>
        <w:rPr>
          <w:rFonts w:hint="eastAsia"/>
          <w:szCs w:val="21"/>
        </w:rPr>
        <w:t>（2）通航建筑物</w:t>
      </w:r>
      <w:r>
        <w:rPr>
          <w:szCs w:val="21"/>
        </w:rPr>
        <w:t>运行方案</w:t>
      </w:r>
      <w:r>
        <w:rPr>
          <w:rFonts w:hint="eastAsia"/>
          <w:szCs w:val="21"/>
        </w:rPr>
        <w:t>编制说明</w:t>
      </w:r>
    </w:p>
    <w:p w14:paraId="0E457381">
      <w:pPr>
        <w:spacing w:line="360" w:lineRule="auto"/>
        <w:ind w:firstLine="420" w:firstLineChars="200"/>
        <w:rPr>
          <w:szCs w:val="21"/>
        </w:rPr>
      </w:pPr>
      <w:r>
        <w:rPr>
          <w:rFonts w:hint="eastAsia"/>
          <w:szCs w:val="21"/>
        </w:rPr>
        <w:t>应包括船闸基本情况、编制方案的必要性、编制方案的过程、方案的主要内容，包括</w:t>
      </w:r>
      <w:r>
        <w:rPr>
          <w:szCs w:val="21"/>
        </w:rPr>
        <w:t>（但）</w:t>
      </w:r>
      <w:r>
        <w:rPr>
          <w:rFonts w:hint="eastAsia"/>
          <w:szCs w:val="21"/>
        </w:rPr>
        <w:t>不限于船闸开放时间、船闸过闸申报、船闸过闸调度流程、船闸养护停航安排等。</w:t>
      </w:r>
    </w:p>
    <w:p w14:paraId="268F19EE">
      <w:pPr>
        <w:spacing w:line="360" w:lineRule="auto"/>
        <w:ind w:firstLine="420" w:firstLineChars="200"/>
        <w:rPr>
          <w:szCs w:val="21"/>
        </w:rPr>
      </w:pPr>
      <w:r>
        <w:rPr>
          <w:rFonts w:hint="eastAsia"/>
          <w:szCs w:val="21"/>
        </w:rPr>
        <w:t>（3）通航建筑物</w:t>
      </w:r>
      <w:r>
        <w:rPr>
          <w:szCs w:val="21"/>
        </w:rPr>
        <w:t>运行方案（信息公开）</w:t>
      </w:r>
    </w:p>
    <w:p w14:paraId="2328CA0A">
      <w:pPr>
        <w:spacing w:line="360" w:lineRule="auto"/>
        <w:ind w:firstLine="420" w:firstLineChars="200"/>
        <w:rPr>
          <w:szCs w:val="21"/>
        </w:rPr>
      </w:pPr>
      <w:r>
        <w:rPr>
          <w:rFonts w:hint="eastAsia" w:ascii="宋体" w:hAnsi="宋体"/>
          <w:szCs w:val="21"/>
        </w:rPr>
        <w:t>应</w:t>
      </w:r>
      <w:r>
        <w:rPr>
          <w:rFonts w:hint="eastAsia"/>
          <w:szCs w:val="21"/>
        </w:rPr>
        <w:t>包括经审批的运行方案主要内容，包括船闸运行条件、开放时间、调度规则、船舶过闸收费标准、信息公开与社会监督、应急体系等；实时船舶过闸信息，包括过闸船舶吃水控制标准、航道维护尺度、具体停航与复航安排、待闸船舶排序、船舶过闸计划等。</w:t>
      </w:r>
    </w:p>
    <w:p w14:paraId="59A45462">
      <w:pPr>
        <w:spacing w:line="360" w:lineRule="auto"/>
        <w:ind w:firstLine="420" w:firstLineChars="200"/>
        <w:rPr>
          <w:color w:val="0C0C0C"/>
          <w:szCs w:val="21"/>
        </w:rPr>
      </w:pPr>
      <w:r>
        <w:rPr>
          <w:rFonts w:hint="eastAsia"/>
          <w:color w:val="0C0C0C"/>
          <w:szCs w:val="21"/>
        </w:rPr>
        <w:t>（二）通航建筑物运行方案报批工作</w:t>
      </w:r>
    </w:p>
    <w:p w14:paraId="53165F9A">
      <w:pPr>
        <w:spacing w:line="360" w:lineRule="auto"/>
        <w:ind w:firstLine="420" w:firstLineChars="200"/>
        <w:rPr>
          <w:szCs w:val="21"/>
        </w:rPr>
      </w:pPr>
      <w:r>
        <w:rPr>
          <w:rFonts w:hint="eastAsia"/>
          <w:szCs w:val="21"/>
        </w:rPr>
        <w:t>配合13座省属水利通航建筑物运行单位做好运行方案的报批工作，运行方案应当征求水行政主管部门、交通运输综合执法机构、航运企业等有关单位的意见，完成相关部门组织的专家审查和运行方案审批工作。</w:t>
      </w:r>
    </w:p>
    <w:p w14:paraId="5037C6A5">
      <w:pPr>
        <w:spacing w:line="360" w:lineRule="auto"/>
        <w:ind w:firstLine="420" w:firstLineChars="200"/>
        <w:rPr>
          <w:szCs w:val="21"/>
        </w:rPr>
      </w:pPr>
      <w:r>
        <w:rPr>
          <w:rFonts w:hint="eastAsia"/>
          <w:szCs w:val="21"/>
        </w:rPr>
        <w:t>其中，</w:t>
      </w:r>
      <w:r>
        <w:rPr>
          <w:szCs w:val="21"/>
        </w:rPr>
        <w:t>邵仙套闸</w:t>
      </w:r>
      <w:r>
        <w:rPr>
          <w:rFonts w:hint="eastAsia"/>
          <w:szCs w:val="21"/>
        </w:rPr>
        <w:t>、</w:t>
      </w:r>
      <w:r>
        <w:rPr>
          <w:szCs w:val="21"/>
        </w:rPr>
        <w:t>望亭枢纽船闸</w:t>
      </w:r>
      <w:r>
        <w:rPr>
          <w:rFonts w:hint="eastAsia"/>
          <w:szCs w:val="21"/>
        </w:rPr>
        <w:t>（</w:t>
      </w:r>
      <w:r>
        <w:rPr>
          <w:szCs w:val="21"/>
        </w:rPr>
        <w:t>蠡河</w:t>
      </w:r>
      <w:r>
        <w:rPr>
          <w:rFonts w:hint="eastAsia"/>
          <w:szCs w:val="21"/>
        </w:rPr>
        <w:t>）、</w:t>
      </w:r>
      <w:r>
        <w:rPr>
          <w:szCs w:val="21"/>
        </w:rPr>
        <w:t>高港船闸</w:t>
      </w:r>
      <w:r>
        <w:rPr>
          <w:rFonts w:hint="eastAsia"/>
          <w:szCs w:val="21"/>
        </w:rPr>
        <w:t>分别位于省干线航道芒稻河、望虞河和引江河，须向省交通运输主管部门申请运行方案审批；</w:t>
      </w:r>
      <w:r>
        <w:rPr>
          <w:szCs w:val="21"/>
        </w:rPr>
        <w:t>望亭枢纽船闸</w:t>
      </w:r>
      <w:r>
        <w:rPr>
          <w:rFonts w:hint="eastAsia"/>
          <w:szCs w:val="21"/>
        </w:rPr>
        <w:t>（</w:t>
      </w:r>
      <w:r>
        <w:rPr>
          <w:szCs w:val="21"/>
        </w:rPr>
        <w:t>月城河</w:t>
      </w:r>
      <w:r>
        <w:rPr>
          <w:rFonts w:hint="eastAsia"/>
          <w:szCs w:val="21"/>
        </w:rPr>
        <w:t>）位于漫山望亭线、</w:t>
      </w:r>
      <w:r>
        <w:rPr>
          <w:szCs w:val="21"/>
        </w:rPr>
        <w:t>张家港</w:t>
      </w:r>
      <w:r>
        <w:rPr>
          <w:rFonts w:hint="eastAsia"/>
          <w:szCs w:val="21"/>
        </w:rPr>
        <w:t>水利</w:t>
      </w:r>
      <w:r>
        <w:rPr>
          <w:szCs w:val="21"/>
        </w:rPr>
        <w:t>枢纽船闸</w:t>
      </w:r>
      <w:r>
        <w:rPr>
          <w:rFonts w:hint="eastAsia"/>
          <w:szCs w:val="21"/>
        </w:rPr>
        <w:t>（通航孔）位于</w:t>
      </w:r>
      <w:r>
        <w:rPr>
          <w:szCs w:val="21"/>
        </w:rPr>
        <w:t>走马塘</w:t>
      </w:r>
      <w:r>
        <w:rPr>
          <w:rFonts w:hint="eastAsia"/>
          <w:szCs w:val="21"/>
        </w:rPr>
        <w:t>，须向苏州市交通运输主管部门申请运行方案审批；</w:t>
      </w:r>
      <w:r>
        <w:rPr>
          <w:szCs w:val="21"/>
        </w:rPr>
        <w:t>丹金船闸</w:t>
      </w:r>
      <w:r>
        <w:rPr>
          <w:rFonts w:hint="eastAsia"/>
          <w:szCs w:val="21"/>
        </w:rPr>
        <w:t>位于老</w:t>
      </w:r>
      <w:r>
        <w:rPr>
          <w:szCs w:val="21"/>
        </w:rPr>
        <w:t>丹金溧漕河</w:t>
      </w:r>
      <w:r>
        <w:rPr>
          <w:rFonts w:hint="eastAsia"/>
          <w:szCs w:val="21"/>
        </w:rPr>
        <w:t>、</w:t>
      </w:r>
      <w:r>
        <w:rPr>
          <w:szCs w:val="21"/>
        </w:rPr>
        <w:t>奔牛</w:t>
      </w:r>
      <w:r>
        <w:rPr>
          <w:rFonts w:hint="eastAsia"/>
          <w:szCs w:val="21"/>
        </w:rPr>
        <w:t>水利</w:t>
      </w:r>
      <w:r>
        <w:rPr>
          <w:szCs w:val="21"/>
        </w:rPr>
        <w:t>枢纽船闸</w:t>
      </w:r>
      <w:r>
        <w:rPr>
          <w:rFonts w:hint="eastAsia"/>
          <w:szCs w:val="21"/>
        </w:rPr>
        <w:t>位于新孟河，须向常州市交通运输主管部门申请运行方案审批；</w:t>
      </w:r>
      <w:r>
        <w:rPr>
          <w:szCs w:val="21"/>
        </w:rPr>
        <w:t>沭阳闸</w:t>
      </w:r>
      <w:r>
        <w:rPr>
          <w:rFonts w:hint="eastAsia"/>
          <w:szCs w:val="21"/>
        </w:rPr>
        <w:t>（</w:t>
      </w:r>
      <w:r>
        <w:rPr>
          <w:szCs w:val="21"/>
        </w:rPr>
        <w:t>通航孔</w:t>
      </w:r>
      <w:r>
        <w:rPr>
          <w:rFonts w:hint="eastAsia"/>
          <w:szCs w:val="21"/>
        </w:rPr>
        <w:t>）、</w:t>
      </w:r>
      <w:r>
        <w:rPr>
          <w:szCs w:val="21"/>
        </w:rPr>
        <w:t>沭新北船闸</w:t>
      </w:r>
      <w:r>
        <w:rPr>
          <w:rFonts w:hint="eastAsia"/>
          <w:szCs w:val="21"/>
        </w:rPr>
        <w:t>均位于淮沭新河，须向宿迁市交通运输主管部门申请运行方案审批；</w:t>
      </w:r>
      <w:r>
        <w:rPr>
          <w:szCs w:val="21"/>
        </w:rPr>
        <w:t>宜陵闸（通航孔）</w:t>
      </w:r>
      <w:r>
        <w:rPr>
          <w:rFonts w:hint="eastAsia"/>
          <w:szCs w:val="21"/>
        </w:rPr>
        <w:t>位于</w:t>
      </w:r>
      <w:r>
        <w:rPr>
          <w:szCs w:val="21"/>
        </w:rPr>
        <w:t>新通扬运河</w:t>
      </w:r>
      <w:r>
        <w:rPr>
          <w:rFonts w:hint="eastAsia"/>
          <w:szCs w:val="21"/>
        </w:rPr>
        <w:t>，须向扬州市交通运输主管部门申请运行方案审批；</w:t>
      </w:r>
      <w:r>
        <w:rPr>
          <w:szCs w:val="21"/>
        </w:rPr>
        <w:t>丹阳</w:t>
      </w:r>
      <w:r>
        <w:rPr>
          <w:rFonts w:hint="eastAsia"/>
          <w:szCs w:val="21"/>
        </w:rPr>
        <w:t>水利</w:t>
      </w:r>
      <w:r>
        <w:rPr>
          <w:szCs w:val="21"/>
        </w:rPr>
        <w:t>枢纽船闸</w:t>
      </w:r>
      <w:r>
        <w:rPr>
          <w:rFonts w:hint="eastAsia"/>
          <w:szCs w:val="21"/>
        </w:rPr>
        <w:t>位于</w:t>
      </w:r>
      <w:r>
        <w:rPr>
          <w:szCs w:val="21"/>
        </w:rPr>
        <w:t>新孟河</w:t>
      </w:r>
      <w:r>
        <w:rPr>
          <w:rFonts w:hint="eastAsia"/>
          <w:szCs w:val="21"/>
        </w:rPr>
        <w:t>，须向镇江市交通运输主管部门申请运行方案审批；</w:t>
      </w:r>
      <w:r>
        <w:rPr>
          <w:szCs w:val="21"/>
        </w:rPr>
        <w:t>淮沭船闸</w:t>
      </w:r>
      <w:r>
        <w:rPr>
          <w:rFonts w:hint="eastAsia"/>
          <w:szCs w:val="21"/>
        </w:rPr>
        <w:t>位于淮沭新河，须向淮安市交通运输主管部门申请运行方案审批；</w:t>
      </w:r>
      <w:r>
        <w:rPr>
          <w:szCs w:val="21"/>
        </w:rPr>
        <w:t>拉马河闸（通航孔）</w:t>
      </w:r>
      <w:r>
        <w:rPr>
          <w:rFonts w:hint="eastAsia"/>
          <w:szCs w:val="21"/>
        </w:rPr>
        <w:t>位于</w:t>
      </w:r>
      <w:r>
        <w:rPr>
          <w:szCs w:val="21"/>
        </w:rPr>
        <w:t>拉马河</w:t>
      </w:r>
      <w:r>
        <w:rPr>
          <w:rFonts w:hint="eastAsia"/>
          <w:szCs w:val="21"/>
        </w:rPr>
        <w:t>，须向南通市交通运输主管部门申请运行方案审批。</w:t>
      </w:r>
    </w:p>
    <w:p w14:paraId="7EF15914">
      <w:pPr>
        <w:widowControl/>
        <w:spacing w:line="360" w:lineRule="auto"/>
        <w:ind w:firstLine="422" w:firstLineChars="200"/>
        <w:outlineLvl w:val="1"/>
        <w:rPr>
          <w:rStyle w:val="55"/>
          <w:kern w:val="0"/>
          <w:lang w:bidi="ar"/>
        </w:rPr>
      </w:pPr>
      <w:bookmarkStart w:id="48" w:name="_Toc234877527"/>
      <w:r>
        <w:rPr>
          <w:rStyle w:val="55"/>
          <w:rFonts w:hint="eastAsia"/>
          <w:kern w:val="0"/>
          <w:lang w:bidi="ar"/>
        </w:rPr>
        <w:t>五、工作成果要求</w:t>
      </w:r>
      <w:bookmarkEnd w:id="48"/>
    </w:p>
    <w:p w14:paraId="582ECEAE">
      <w:pPr>
        <w:spacing w:line="360" w:lineRule="auto"/>
        <w:ind w:firstLine="420" w:firstLineChars="200"/>
        <w:rPr>
          <w:szCs w:val="21"/>
        </w:rPr>
      </w:pPr>
      <w:r>
        <w:rPr>
          <w:szCs w:val="21"/>
        </w:rPr>
        <w:t>完成</w:t>
      </w:r>
      <w:r>
        <w:rPr>
          <w:rFonts w:hint="eastAsia"/>
          <w:szCs w:val="21"/>
        </w:rPr>
        <w:t>13座通航建筑物</w:t>
      </w:r>
      <w:r>
        <w:rPr>
          <w:szCs w:val="21"/>
        </w:rPr>
        <w:t>运行方案的编制及报批工作，包括《</w:t>
      </w:r>
      <w:r>
        <w:rPr>
          <w:rFonts w:hint="eastAsia"/>
          <w:szCs w:val="21"/>
        </w:rPr>
        <w:t>通航建筑物</w:t>
      </w:r>
      <w:r>
        <w:rPr>
          <w:szCs w:val="21"/>
        </w:rPr>
        <w:t>运行方案》</w:t>
      </w:r>
      <w:r>
        <w:rPr>
          <w:rFonts w:hint="eastAsia"/>
          <w:szCs w:val="21"/>
        </w:rPr>
        <w:t>《通航建筑物</w:t>
      </w:r>
      <w:r>
        <w:rPr>
          <w:szCs w:val="21"/>
        </w:rPr>
        <w:t>运行方案</w:t>
      </w:r>
      <w:r>
        <w:rPr>
          <w:rFonts w:hint="eastAsia"/>
          <w:szCs w:val="21"/>
        </w:rPr>
        <w:t>编制说明</w:t>
      </w:r>
      <w:r>
        <w:rPr>
          <w:szCs w:val="21"/>
        </w:rPr>
        <w:t>》《</w:t>
      </w:r>
      <w:r>
        <w:rPr>
          <w:rFonts w:hint="eastAsia"/>
          <w:szCs w:val="21"/>
        </w:rPr>
        <w:t>通航建筑物</w:t>
      </w:r>
      <w:r>
        <w:rPr>
          <w:szCs w:val="21"/>
        </w:rPr>
        <w:t>运行方案（信息公开）》等。</w:t>
      </w:r>
    </w:p>
    <w:p w14:paraId="26C803DB">
      <w:pPr>
        <w:widowControl/>
        <w:spacing w:line="360" w:lineRule="auto"/>
        <w:ind w:firstLine="422" w:firstLineChars="200"/>
        <w:outlineLvl w:val="1"/>
        <w:rPr>
          <w:rStyle w:val="55"/>
          <w:b/>
          <w:bCs/>
          <w:kern w:val="0"/>
          <w:u w:val="single"/>
          <w:lang w:bidi="ar"/>
        </w:rPr>
      </w:pPr>
      <w:r>
        <w:rPr>
          <w:rStyle w:val="55"/>
          <w:rFonts w:hint="eastAsia"/>
          <w:b/>
          <w:bCs/>
          <w:kern w:val="0"/>
          <w:u w:val="single"/>
          <w:lang w:bidi="ar"/>
        </w:rPr>
        <w:t>六、</w:t>
      </w:r>
      <w:r>
        <w:rPr>
          <w:rStyle w:val="55"/>
          <w:b/>
          <w:bCs/>
          <w:kern w:val="0"/>
          <w:u w:val="single"/>
          <w:lang w:bidi="ar"/>
        </w:rPr>
        <w:t>最高限价</w:t>
      </w:r>
    </w:p>
    <w:p w14:paraId="1778AA23">
      <w:pPr>
        <w:spacing w:line="360" w:lineRule="auto"/>
        <w:ind w:firstLine="422" w:firstLineChars="200"/>
        <w:rPr>
          <w:b/>
          <w:bCs/>
          <w:color w:val="0C0C0C"/>
          <w:szCs w:val="21"/>
          <w:u w:val="single"/>
        </w:rPr>
      </w:pPr>
      <w:r>
        <w:rPr>
          <w:rFonts w:hint="eastAsia"/>
          <w:b/>
          <w:bCs/>
          <w:color w:val="0C0C0C"/>
          <w:szCs w:val="21"/>
          <w:u w:val="single"/>
        </w:rPr>
        <w:t>本项目最高限价：</w:t>
      </w:r>
      <w:r>
        <w:rPr>
          <w:b/>
          <w:bCs/>
          <w:color w:val="0C0C0C"/>
          <w:szCs w:val="21"/>
          <w:u w:val="single"/>
        </w:rPr>
        <w:t>140</w:t>
      </w:r>
      <w:r>
        <w:rPr>
          <w:rFonts w:hint="eastAsia"/>
          <w:b/>
          <w:bCs/>
          <w:color w:val="0C0C0C"/>
          <w:szCs w:val="21"/>
          <w:u w:val="single"/>
        </w:rPr>
        <w:t>万元，其中投标人的各部分内容投标报价均不得超过对应限价，否则作无效投标处理。其中：</w:t>
      </w:r>
    </w:p>
    <w:p w14:paraId="29EC6E09">
      <w:pPr>
        <w:spacing w:line="360" w:lineRule="auto"/>
        <w:ind w:firstLine="422" w:firstLineChars="200"/>
        <w:rPr>
          <w:b/>
          <w:bCs/>
          <w:color w:val="0C0C0C"/>
          <w:szCs w:val="21"/>
          <w:u w:val="single"/>
        </w:rPr>
      </w:pPr>
      <w:r>
        <w:rPr>
          <w:rFonts w:hint="eastAsia"/>
          <w:b/>
          <w:bCs/>
          <w:color w:val="0C0C0C"/>
          <w:szCs w:val="21"/>
          <w:u w:val="single"/>
        </w:rPr>
        <w:t>内容1：</w:t>
      </w:r>
      <w:r>
        <w:rPr>
          <w:b/>
          <w:bCs/>
          <w:color w:val="0C0C0C"/>
          <w:szCs w:val="21"/>
          <w:u w:val="single"/>
        </w:rPr>
        <w:t>高港船闸</w:t>
      </w:r>
      <w:r>
        <w:rPr>
          <w:rFonts w:hint="eastAsia"/>
          <w:b/>
          <w:bCs/>
          <w:color w:val="0C0C0C"/>
          <w:szCs w:val="21"/>
          <w:u w:val="single"/>
        </w:rPr>
        <w:t>运行方案编制报批，最高限价25万元；</w:t>
      </w:r>
    </w:p>
    <w:p w14:paraId="3CA791A8">
      <w:pPr>
        <w:spacing w:line="360" w:lineRule="auto"/>
        <w:ind w:firstLine="422" w:firstLineChars="200"/>
        <w:rPr>
          <w:b/>
          <w:bCs/>
          <w:color w:val="0C0C0C"/>
          <w:szCs w:val="21"/>
          <w:u w:val="single"/>
        </w:rPr>
      </w:pPr>
      <w:r>
        <w:rPr>
          <w:rFonts w:hint="eastAsia"/>
          <w:b/>
          <w:bCs/>
          <w:color w:val="0C0C0C"/>
          <w:szCs w:val="21"/>
          <w:u w:val="single"/>
        </w:rPr>
        <w:t>内容2：</w:t>
      </w:r>
      <w:r>
        <w:rPr>
          <w:b/>
          <w:bCs/>
          <w:color w:val="0C0C0C"/>
          <w:szCs w:val="21"/>
          <w:u w:val="single"/>
        </w:rPr>
        <w:t>邵仙套闸船闸</w:t>
      </w:r>
      <w:r>
        <w:rPr>
          <w:rFonts w:hint="eastAsia"/>
          <w:b/>
          <w:bCs/>
          <w:color w:val="0C0C0C"/>
          <w:szCs w:val="21"/>
          <w:u w:val="single"/>
        </w:rPr>
        <w:t>运行方案编制报批，最高限价15万元；</w:t>
      </w:r>
    </w:p>
    <w:p w14:paraId="59BABE6F">
      <w:pPr>
        <w:spacing w:line="360" w:lineRule="auto"/>
        <w:ind w:firstLine="422" w:firstLineChars="200"/>
        <w:rPr>
          <w:b/>
          <w:bCs/>
          <w:color w:val="0C0C0C"/>
          <w:szCs w:val="21"/>
          <w:u w:val="single"/>
        </w:rPr>
      </w:pPr>
      <w:r>
        <w:rPr>
          <w:rFonts w:hint="eastAsia"/>
          <w:b/>
          <w:bCs/>
          <w:color w:val="0C0C0C"/>
          <w:szCs w:val="21"/>
          <w:u w:val="single"/>
        </w:rPr>
        <w:t>内容3：宜陵闸（通航孔）、望亭枢纽船闸（蠡河）、望亭枢纽船闸（月城河）、丹金船闸、张家港水利枢纽船闸（通航孔）、沭阳闸（通航孔）、淮沭船闸、沭新北船闸、拉马河闸（通航孔）等船闸运行方案编制报批，最高限价均为10万元；</w:t>
      </w:r>
    </w:p>
    <w:p w14:paraId="07209A61">
      <w:pPr>
        <w:spacing w:line="360" w:lineRule="auto"/>
        <w:ind w:firstLine="422" w:firstLineChars="200"/>
        <w:rPr>
          <w:b/>
          <w:bCs/>
          <w:color w:val="0C0C0C"/>
          <w:szCs w:val="21"/>
          <w:u w:val="single"/>
        </w:rPr>
      </w:pPr>
      <w:r>
        <w:rPr>
          <w:rFonts w:hint="eastAsia"/>
          <w:b/>
          <w:bCs/>
          <w:color w:val="0C0C0C"/>
          <w:szCs w:val="21"/>
          <w:u w:val="single"/>
        </w:rPr>
        <w:t>内容4：丹阳水利</w:t>
      </w:r>
      <w:r>
        <w:rPr>
          <w:b/>
          <w:bCs/>
          <w:color w:val="0C0C0C"/>
          <w:szCs w:val="21"/>
          <w:u w:val="single"/>
        </w:rPr>
        <w:t>枢纽船闸</w:t>
      </w:r>
      <w:r>
        <w:rPr>
          <w:rFonts w:hint="eastAsia"/>
          <w:b/>
          <w:bCs/>
          <w:color w:val="0C0C0C"/>
          <w:szCs w:val="21"/>
          <w:u w:val="single"/>
        </w:rPr>
        <w:t>、</w:t>
      </w:r>
      <w:r>
        <w:rPr>
          <w:b/>
          <w:bCs/>
          <w:color w:val="0C0C0C"/>
          <w:szCs w:val="21"/>
          <w:u w:val="single"/>
        </w:rPr>
        <w:t>奔牛</w:t>
      </w:r>
      <w:r>
        <w:rPr>
          <w:rFonts w:hint="eastAsia"/>
          <w:b/>
          <w:bCs/>
          <w:color w:val="0C0C0C"/>
          <w:szCs w:val="21"/>
          <w:u w:val="single"/>
        </w:rPr>
        <w:t>水利</w:t>
      </w:r>
      <w:r>
        <w:rPr>
          <w:b/>
          <w:bCs/>
          <w:color w:val="0C0C0C"/>
          <w:szCs w:val="21"/>
          <w:u w:val="single"/>
        </w:rPr>
        <w:t>枢纽船闸</w:t>
      </w:r>
      <w:r>
        <w:rPr>
          <w:rFonts w:hint="eastAsia"/>
          <w:b/>
          <w:bCs/>
          <w:color w:val="0C0C0C"/>
          <w:szCs w:val="21"/>
          <w:u w:val="single"/>
        </w:rPr>
        <w:t>运行方案编制报批，最高限价均为5万元。</w:t>
      </w:r>
    </w:p>
    <w:p w14:paraId="5C3DABE1">
      <w:pPr>
        <w:widowControl/>
        <w:spacing w:line="360" w:lineRule="auto"/>
        <w:ind w:firstLine="422" w:firstLineChars="200"/>
        <w:outlineLvl w:val="1"/>
        <w:rPr>
          <w:rStyle w:val="55"/>
          <w:kern w:val="0"/>
          <w:lang w:bidi="ar"/>
        </w:rPr>
      </w:pPr>
      <w:bookmarkStart w:id="49" w:name="_Toc234877528"/>
      <w:r>
        <w:rPr>
          <w:rStyle w:val="55"/>
          <w:rFonts w:hint="eastAsia"/>
          <w:kern w:val="0"/>
          <w:lang w:bidi="ar"/>
        </w:rPr>
        <w:t>七、</w:t>
      </w:r>
      <w:r>
        <w:rPr>
          <w:rStyle w:val="55"/>
          <w:kern w:val="0"/>
          <w:lang w:bidi="ar"/>
        </w:rPr>
        <w:t>合同</w:t>
      </w:r>
      <w:bookmarkEnd w:id="49"/>
      <w:r>
        <w:rPr>
          <w:rStyle w:val="55"/>
          <w:rFonts w:hint="eastAsia"/>
          <w:kern w:val="0"/>
          <w:lang w:bidi="ar"/>
        </w:rPr>
        <w:t>签订</w:t>
      </w:r>
    </w:p>
    <w:p w14:paraId="23C585D0">
      <w:pPr>
        <w:spacing w:line="360" w:lineRule="auto"/>
        <w:ind w:firstLine="422" w:firstLineChars="200"/>
        <w:rPr>
          <w:b/>
          <w:bCs/>
          <w:szCs w:val="21"/>
          <w:u w:val="single"/>
        </w:rPr>
      </w:pPr>
      <w:r>
        <w:rPr>
          <w:b/>
          <w:bCs/>
          <w:szCs w:val="21"/>
          <w:u w:val="single"/>
        </w:rPr>
        <w:t>合同</w:t>
      </w:r>
      <w:r>
        <w:rPr>
          <w:rFonts w:hint="eastAsia"/>
          <w:b/>
          <w:bCs/>
          <w:szCs w:val="21"/>
          <w:u w:val="single"/>
        </w:rPr>
        <w:t>由中标人分别与各船闸相关管理单位</w:t>
      </w:r>
      <w:r>
        <w:rPr>
          <w:b/>
          <w:bCs/>
          <w:szCs w:val="21"/>
          <w:u w:val="single"/>
        </w:rPr>
        <w:t>签订</w:t>
      </w:r>
      <w:r>
        <w:rPr>
          <w:rFonts w:hint="eastAsia"/>
          <w:b/>
          <w:bCs/>
          <w:szCs w:val="21"/>
          <w:u w:val="single"/>
        </w:rPr>
        <w:t>，并由各相关管理单位按照合同约定支付相关费用</w:t>
      </w:r>
      <w:r>
        <w:rPr>
          <w:b/>
          <w:bCs/>
          <w:szCs w:val="21"/>
          <w:u w:val="single"/>
        </w:rPr>
        <w:t>。</w:t>
      </w:r>
    </w:p>
    <w:p w14:paraId="718EE253">
      <w:pPr>
        <w:widowControl/>
        <w:spacing w:line="360" w:lineRule="auto"/>
        <w:ind w:firstLine="422" w:firstLineChars="200"/>
        <w:outlineLvl w:val="1"/>
        <w:rPr>
          <w:rStyle w:val="55"/>
          <w:kern w:val="0"/>
          <w:lang w:bidi="ar"/>
        </w:rPr>
      </w:pPr>
      <w:r>
        <w:rPr>
          <w:rStyle w:val="55"/>
          <w:rFonts w:hint="eastAsia"/>
          <w:kern w:val="0"/>
          <w:lang w:bidi="ar"/>
        </w:rPr>
        <w:t>八、</w:t>
      </w:r>
      <w:r>
        <w:rPr>
          <w:rStyle w:val="55"/>
          <w:kern w:val="0"/>
          <w:lang w:bidi="ar"/>
        </w:rPr>
        <w:t>合同履行期限</w:t>
      </w:r>
    </w:p>
    <w:p w14:paraId="559516D1">
      <w:pPr>
        <w:spacing w:line="360" w:lineRule="auto"/>
        <w:ind w:firstLine="420" w:firstLineChars="200"/>
        <w:rPr>
          <w:szCs w:val="21"/>
        </w:rPr>
      </w:pPr>
      <w:r>
        <w:rPr>
          <w:szCs w:val="21"/>
        </w:rPr>
        <w:t>合同签订后，70日历天内完成本项目通航建筑物运行方案编制</w:t>
      </w:r>
      <w:r>
        <w:rPr>
          <w:rFonts w:hint="eastAsia"/>
          <w:szCs w:val="21"/>
        </w:rPr>
        <w:t>并配合完成</w:t>
      </w:r>
      <w:r>
        <w:rPr>
          <w:szCs w:val="21"/>
        </w:rPr>
        <w:t>报批工作。</w:t>
      </w:r>
    </w:p>
    <w:p w14:paraId="7F023A23">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04EC6109">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3C206ED5">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0923941A">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59728E7E">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5776A4DA">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0C54090B">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3C2288CB">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35EDB059">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4FEBDC0C">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16386740">
      <w:pPr>
        <w:pStyle w:val="3"/>
        <w:ind w:left="210" w:leftChars="0" w:firstLineChars="0"/>
        <w:rPr>
          <w:rFonts w:ascii="Times New Roman" w:hAnsi="Times New Roman" w:eastAsia="宋体" w:cs="Times New Roman"/>
          <w:b/>
          <w:bCs/>
          <w:color w:val="auto"/>
          <w:highlight w:val="none"/>
        </w:rPr>
      </w:pPr>
      <w:bookmarkStart w:id="50"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51" w:name="_Toc25299"/>
      <w:r>
        <w:rPr>
          <w:rFonts w:ascii="Times New Roman" w:hAnsi="Times New Roman" w:eastAsia="宋体" w:cs="Times New Roman"/>
          <w:b/>
          <w:bCs/>
          <w:color w:val="auto"/>
          <w:kern w:val="0"/>
          <w:sz w:val="36"/>
          <w:szCs w:val="36"/>
          <w:highlight w:val="none"/>
          <w:shd w:val="clear" w:color="auto" w:fill="FFFFFF"/>
        </w:rPr>
        <w:t>主要条款及格式</w:t>
      </w:r>
      <w:bookmarkEnd w:id="50"/>
      <w:bookmarkEnd w:id="51"/>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52" w:name="_Toc22209"/>
    </w:p>
    <w:bookmarkEnd w:id="52"/>
    <w:p w14:paraId="0724E1CC">
      <w:pPr>
        <w:spacing w:line="360" w:lineRule="auto"/>
        <w:jc w:val="center"/>
        <w:rPr>
          <w:sz w:val="24"/>
        </w:rPr>
      </w:pPr>
      <w:r>
        <w:rPr>
          <w:rFonts w:ascii="宋体" w:hAnsi="宋体"/>
          <w:b/>
        </w:rPr>
        <w:t>（说明：本合同内容条款在正式签署前可具体补充细化，仅作参考）</w:t>
      </w:r>
    </w:p>
    <w:p w14:paraId="2CF70403">
      <w:pPr>
        <w:pStyle w:val="329"/>
        <w:ind w:firstLine="0" w:firstLineChars="0"/>
      </w:pPr>
      <w:r>
        <w:t xml:space="preserve"> </w:t>
      </w:r>
    </w:p>
    <w:p w14:paraId="1B61A3B6">
      <w:pPr>
        <w:spacing w:before="120" w:line="360" w:lineRule="auto"/>
        <w:ind w:left="674" w:leftChars="246" w:hanging="157" w:hangingChars="75"/>
        <w:rPr>
          <w:u w:val="single"/>
        </w:rPr>
      </w:pPr>
      <w:r>
        <w:rPr>
          <w:rFonts w:hint="eastAsia"/>
        </w:rPr>
        <w:t>合同名称：</w:t>
      </w:r>
      <w:r>
        <w:rPr>
          <w:u w:val="single"/>
        </w:rPr>
        <w:t xml:space="preserve">    </w:t>
      </w:r>
      <w:r>
        <w:rPr>
          <w:rFonts w:hint="eastAsia"/>
          <w:u w:val="single"/>
        </w:rPr>
        <w:t xml:space="preserve">省属船闸运行方案编制报批项目（xx船闸） </w:t>
      </w:r>
    </w:p>
    <w:p w14:paraId="0BD22E93">
      <w:pPr>
        <w:spacing w:before="120" w:after="120" w:afterLines="50" w:line="360" w:lineRule="auto"/>
        <w:ind w:firstLine="525" w:firstLineChars="250"/>
        <w:rPr>
          <w:u w:val="single"/>
        </w:rPr>
      </w:pPr>
      <w:r>
        <w:rPr>
          <w:rFonts w:hint="eastAsia"/>
        </w:rPr>
        <w:t>合同编号：</w:t>
      </w:r>
      <w:r>
        <w:rPr>
          <w:u w:val="single"/>
        </w:rPr>
        <w:t xml:space="preserve">                                           </w:t>
      </w:r>
    </w:p>
    <w:p w14:paraId="19516C63">
      <w:pPr>
        <w:adjustRightInd w:val="0"/>
        <w:snapToGrid w:val="0"/>
        <w:spacing w:line="360" w:lineRule="auto"/>
        <w:ind w:firstLine="735" w:firstLineChars="350"/>
      </w:pPr>
      <w:r>
        <w:rPr>
          <w:u w:val="single"/>
        </w:rPr>
        <w:t xml:space="preserve">           </w:t>
      </w:r>
      <w:r>
        <w:rPr>
          <w:rFonts w:hint="eastAsia"/>
        </w:rPr>
        <w:t>（以下简称</w:t>
      </w:r>
      <w:r>
        <w:t>“</w:t>
      </w:r>
      <w:r>
        <w:rPr>
          <w:rFonts w:hint="eastAsia"/>
        </w:rPr>
        <w:t>甲方</w:t>
      </w:r>
      <w:r>
        <w:t>”</w:t>
      </w:r>
      <w:r>
        <w:rPr>
          <w:rFonts w:hint="eastAsia"/>
        </w:rPr>
        <w:t>）作为一方与</w:t>
      </w:r>
      <w:r>
        <w:rPr>
          <w:u w:val="single"/>
        </w:rPr>
        <w:t xml:space="preserve">      </w:t>
      </w:r>
      <w:r>
        <w:rPr>
          <w:rFonts w:hint="eastAsia"/>
          <w:u w:val="single"/>
        </w:rPr>
        <w:t>中标人</w:t>
      </w:r>
      <w:r>
        <w:rPr>
          <w:u w:val="single"/>
        </w:rPr>
        <w:t xml:space="preserve">      </w:t>
      </w:r>
      <w:r>
        <w:rPr>
          <w:rFonts w:hint="eastAsia"/>
        </w:rPr>
        <w:t>（以下简称</w:t>
      </w:r>
      <w:r>
        <w:t>“</w:t>
      </w:r>
      <w:r>
        <w:rPr>
          <w:rFonts w:hint="eastAsia"/>
        </w:rPr>
        <w:t>乙方</w:t>
      </w:r>
      <w:r>
        <w:t>”</w:t>
      </w:r>
      <w:r>
        <w:rPr>
          <w:rFonts w:hint="eastAsia"/>
        </w:rPr>
        <w:t>）作为另一方，于</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日在</w:t>
      </w:r>
      <w:r>
        <w:rPr>
          <w:u w:val="single"/>
        </w:rPr>
        <w:t xml:space="preserve">   </w:t>
      </w:r>
      <w:r>
        <w:rPr>
          <w:rFonts w:hint="eastAsia"/>
          <w:u w:val="single"/>
        </w:rPr>
        <w:t>地点</w:t>
      </w:r>
      <w:r>
        <w:rPr>
          <w:u w:val="single"/>
        </w:rPr>
        <w:t xml:space="preserve">     </w:t>
      </w:r>
      <w:r>
        <w:rPr>
          <w:rFonts w:hint="eastAsia"/>
        </w:rPr>
        <w:t>达成本合同。甲方委托乙方完成</w:t>
      </w:r>
      <w:r>
        <w:t xml:space="preserve"> </w:t>
      </w:r>
      <w:r>
        <w:rPr>
          <w:u w:val="single"/>
        </w:rPr>
        <w:t xml:space="preserve">    </w:t>
      </w:r>
      <w:r>
        <w:rPr>
          <w:rFonts w:hint="eastAsia"/>
        </w:rPr>
        <w:t>（合同编号：</w:t>
      </w:r>
      <w:r>
        <w:rPr>
          <w:u w:val="single"/>
        </w:rPr>
        <w:t xml:space="preserve">       </w:t>
      </w:r>
      <w:r>
        <w:rPr>
          <w:rFonts w:hint="eastAsia"/>
        </w:rPr>
        <w:t>）项目，甲方已接受乙方完成上述工作总价为</w:t>
      </w:r>
      <w:r>
        <w:rPr>
          <w:rFonts w:hint="eastAsia"/>
          <w:u w:val="single"/>
        </w:rPr>
        <w:t>（合同价格用大写和数字表示）</w:t>
      </w:r>
      <w:r>
        <w:t xml:space="preserve"> </w:t>
      </w:r>
      <w:r>
        <w:rPr>
          <w:rFonts w:hint="eastAsia"/>
        </w:rPr>
        <w:t>（人民币，以下简称为</w:t>
      </w:r>
      <w:r>
        <w:t>“</w:t>
      </w:r>
      <w:r>
        <w:rPr>
          <w:rFonts w:hint="eastAsia"/>
        </w:rPr>
        <w:t>合同价格</w:t>
      </w:r>
      <w:r>
        <w:t>”</w:t>
      </w:r>
      <w:r>
        <w:rPr>
          <w:rFonts w:hint="eastAsia"/>
        </w:rPr>
        <w:t xml:space="preserve">）的投标，并与乙方达成如下协议： </w:t>
      </w:r>
    </w:p>
    <w:p w14:paraId="63B7C12B">
      <w:pPr>
        <w:adjustRightInd w:val="0"/>
        <w:snapToGrid w:val="0"/>
        <w:spacing w:line="360" w:lineRule="auto"/>
        <w:ind w:firstLine="420" w:firstLineChars="200"/>
      </w:pPr>
      <w:r>
        <w:t>1</w:t>
      </w:r>
      <w:r>
        <w:rPr>
          <w:rFonts w:hint="eastAsia"/>
        </w:rPr>
        <w:t>．合同的组成应包括下列文件：</w:t>
      </w:r>
    </w:p>
    <w:p w14:paraId="1B7A7919">
      <w:pPr>
        <w:adjustRightInd w:val="0"/>
        <w:snapToGrid w:val="0"/>
        <w:spacing w:line="360" w:lineRule="auto"/>
        <w:ind w:firstLine="420" w:firstLineChars="200"/>
      </w:pPr>
      <w:r>
        <w:rPr>
          <w:rFonts w:hint="eastAsia"/>
        </w:rPr>
        <w:t>（</w:t>
      </w:r>
      <w:r>
        <w:t>1</w:t>
      </w:r>
      <w:r>
        <w:rPr>
          <w:rFonts w:hint="eastAsia"/>
        </w:rPr>
        <w:t>） 合同书（包括补充协议）</w:t>
      </w:r>
    </w:p>
    <w:p w14:paraId="44846BD4">
      <w:pPr>
        <w:adjustRightInd w:val="0"/>
        <w:snapToGrid w:val="0"/>
        <w:spacing w:line="360" w:lineRule="auto"/>
        <w:ind w:firstLine="420" w:firstLineChars="200"/>
      </w:pPr>
      <w:r>
        <w:rPr>
          <w:rFonts w:hint="eastAsia"/>
        </w:rPr>
        <w:t>（</w:t>
      </w:r>
      <w:r>
        <w:t>2</w:t>
      </w:r>
      <w:r>
        <w:rPr>
          <w:rFonts w:hint="eastAsia"/>
        </w:rPr>
        <w:t>） 中标通知书</w:t>
      </w:r>
    </w:p>
    <w:p w14:paraId="27298340">
      <w:pPr>
        <w:adjustRightInd w:val="0"/>
        <w:snapToGrid w:val="0"/>
        <w:spacing w:line="360" w:lineRule="auto"/>
        <w:ind w:firstLine="420" w:firstLineChars="200"/>
      </w:pPr>
      <w:r>
        <w:rPr>
          <w:rFonts w:hint="eastAsia"/>
        </w:rPr>
        <w:t>（</w:t>
      </w:r>
      <w:r>
        <w:t>3</w:t>
      </w:r>
      <w:r>
        <w:rPr>
          <w:rFonts w:hint="eastAsia"/>
        </w:rPr>
        <w:t>） 投标报价书</w:t>
      </w:r>
    </w:p>
    <w:p w14:paraId="7E9D02EA">
      <w:pPr>
        <w:adjustRightInd w:val="0"/>
        <w:snapToGrid w:val="0"/>
        <w:spacing w:line="360" w:lineRule="auto"/>
        <w:ind w:firstLine="420" w:firstLineChars="200"/>
      </w:pPr>
      <w:r>
        <w:rPr>
          <w:rFonts w:hint="eastAsia"/>
        </w:rPr>
        <w:t>（</w:t>
      </w:r>
      <w:r>
        <w:t>4</w:t>
      </w:r>
      <w:r>
        <w:rPr>
          <w:rFonts w:hint="eastAsia"/>
        </w:rPr>
        <w:t>） 技术资料、文件</w:t>
      </w:r>
    </w:p>
    <w:p w14:paraId="6885D4F3">
      <w:pPr>
        <w:adjustRightInd w:val="0"/>
        <w:snapToGrid w:val="0"/>
        <w:spacing w:line="360" w:lineRule="auto"/>
        <w:ind w:firstLine="420" w:firstLineChars="200"/>
      </w:pPr>
      <w:r>
        <w:rPr>
          <w:rFonts w:hint="eastAsia"/>
        </w:rPr>
        <w:t>（</w:t>
      </w:r>
      <w:r>
        <w:t>5</w:t>
      </w:r>
      <w:r>
        <w:rPr>
          <w:rFonts w:hint="eastAsia"/>
        </w:rPr>
        <w:t>） 投标文件</w:t>
      </w:r>
    </w:p>
    <w:p w14:paraId="7147578D">
      <w:pPr>
        <w:adjustRightInd w:val="0"/>
        <w:snapToGrid w:val="0"/>
        <w:spacing w:line="360" w:lineRule="auto"/>
        <w:ind w:firstLine="420" w:firstLineChars="200"/>
      </w:pPr>
      <w:r>
        <w:rPr>
          <w:rFonts w:hint="eastAsia"/>
        </w:rPr>
        <w:t>（</w:t>
      </w:r>
      <w:r>
        <w:t>6</w:t>
      </w:r>
      <w:r>
        <w:rPr>
          <w:rFonts w:hint="eastAsia"/>
        </w:rPr>
        <w:t>） 经双方确认进入合同的其他文件</w:t>
      </w:r>
    </w:p>
    <w:p w14:paraId="58F69DEE">
      <w:pPr>
        <w:adjustRightInd w:val="0"/>
        <w:snapToGrid w:val="0"/>
        <w:spacing w:line="360" w:lineRule="auto"/>
        <w:ind w:firstLine="420" w:firstLineChars="200"/>
      </w:pPr>
      <w:r>
        <w:rPr>
          <w:rFonts w:hint="eastAsia"/>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081587E9">
      <w:pPr>
        <w:adjustRightInd w:val="0"/>
        <w:snapToGrid w:val="0"/>
        <w:spacing w:line="360" w:lineRule="auto"/>
        <w:ind w:firstLine="480"/>
      </w:pPr>
      <w:r>
        <w:t>2</w:t>
      </w:r>
      <w:r>
        <w:rPr>
          <w:rFonts w:hint="eastAsia"/>
        </w:rPr>
        <w:t>．乙方必须认真组织实施合同项目，保证项目如期完成。甲方将不定期组织检查项目执行情况。乙方需无条件接受和配合甲方单位及其上级部门对本项目所组织的审计工作。</w:t>
      </w:r>
    </w:p>
    <w:p w14:paraId="3D0B9DF5">
      <w:pPr>
        <w:adjustRightInd w:val="0"/>
        <w:snapToGrid w:val="0"/>
        <w:spacing w:line="360" w:lineRule="auto"/>
        <w:ind w:firstLine="420" w:firstLineChars="200"/>
      </w:pPr>
      <w:r>
        <w:t>3</w:t>
      </w:r>
      <w:r>
        <w:rPr>
          <w:rFonts w:hint="eastAsia"/>
        </w:rPr>
        <w:t>．在合同执行过程中，乙方如需要修改合同某项条款，需向甲方提出修改内容及理由的申请报告后，经甲方审核同意后，由甲、乙双方共同商定具体修改。</w:t>
      </w:r>
    </w:p>
    <w:p w14:paraId="01B78F35">
      <w:pPr>
        <w:adjustRightInd w:val="0"/>
        <w:snapToGrid w:val="0"/>
        <w:spacing w:line="360" w:lineRule="auto"/>
        <w:ind w:firstLine="420" w:firstLineChars="200"/>
      </w:pPr>
      <w:r>
        <w:t>4</w:t>
      </w:r>
      <w:r>
        <w:rPr>
          <w:rFonts w:hint="eastAsia"/>
        </w:rPr>
        <w:t>．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p>
    <w:p w14:paraId="79FD9780">
      <w:pPr>
        <w:widowControl/>
        <w:shd w:val="clear" w:color="auto" w:fill="FFFFFF"/>
        <w:spacing w:line="360" w:lineRule="auto"/>
        <w:ind w:firstLine="370"/>
      </w:pPr>
      <w:r>
        <w:t>5</w:t>
      </w:r>
      <w:r>
        <w:rPr>
          <w:rFonts w:hint="eastAsia"/>
        </w:rPr>
        <w:t>．合同履行期限：合同签订后，70日历天内完成本项目通航建筑物运行方案编制并配合完成报批工作。</w:t>
      </w:r>
    </w:p>
    <w:p w14:paraId="10AA1300">
      <w:pPr>
        <w:adjustRightInd w:val="0"/>
        <w:snapToGrid w:val="0"/>
        <w:spacing w:line="360" w:lineRule="auto"/>
        <w:ind w:firstLine="420" w:firstLineChars="200"/>
      </w:pPr>
      <w:r>
        <w:t>6</w:t>
      </w:r>
      <w:r>
        <w:rPr>
          <w:rFonts w:hint="eastAsia"/>
        </w:rPr>
        <w:t>．本合同一经签订，甲、乙双方应负合同条款的法律责任。在执行过程中，若发生争议、纠纷时，应协商解决，直至提交经济法庭仲裁或向有管辖权的人民法院起诉。</w:t>
      </w:r>
    </w:p>
    <w:p w14:paraId="67A79707">
      <w:pPr>
        <w:adjustRightInd w:val="0"/>
        <w:snapToGrid w:val="0"/>
        <w:spacing w:line="360" w:lineRule="auto"/>
        <w:ind w:firstLine="420" w:firstLineChars="200"/>
      </w:pPr>
      <w:r>
        <w:t>7</w:t>
      </w:r>
      <w:r>
        <w:rPr>
          <w:rFonts w:hint="eastAsia"/>
        </w:rPr>
        <w:t>．本合同所协议的其它条款如下：</w:t>
      </w:r>
    </w:p>
    <w:p w14:paraId="2359D1F1">
      <w:pPr>
        <w:adjustRightInd w:val="0"/>
        <w:snapToGrid w:val="0"/>
        <w:spacing w:line="360" w:lineRule="auto"/>
        <w:ind w:firstLine="480"/>
        <w:rPr>
          <w:b/>
        </w:rPr>
      </w:pPr>
      <w:r>
        <w:rPr>
          <w:rFonts w:hint="eastAsia"/>
        </w:rPr>
        <w:t>（</w:t>
      </w:r>
      <w:r>
        <w:t>1</w:t>
      </w:r>
      <w:r>
        <w:rPr>
          <w:rFonts w:hint="eastAsia"/>
        </w:rPr>
        <w:t>）付款计划：</w:t>
      </w:r>
    </w:p>
    <w:p w14:paraId="47D7E1B1">
      <w:pPr>
        <w:adjustRightInd w:val="0"/>
        <w:snapToGrid w:val="0"/>
        <w:spacing w:line="360" w:lineRule="auto"/>
        <w:ind w:firstLine="420" w:firstLineChars="200"/>
      </w:pPr>
      <w:r>
        <w:rPr>
          <w:rFonts w:hint="eastAsia"/>
        </w:rPr>
        <w:t>合同签订并提交初步成果后，甲方向乙方支付合同款至</w:t>
      </w:r>
      <w:r>
        <w:t>50%</w:t>
      </w:r>
      <w:r>
        <w:rPr>
          <w:rFonts w:hint="eastAsia"/>
        </w:rPr>
        <w:t>；</w:t>
      </w:r>
      <w:r>
        <w:rPr>
          <w:rFonts w:ascii="宋体" w:hAnsi="宋体"/>
          <w:bCs/>
        </w:rPr>
        <w:t>乙方完成合同所有方案编制并通过专家审查，</w:t>
      </w:r>
      <w:r>
        <w:rPr>
          <w:rFonts w:hint="eastAsia"/>
        </w:rPr>
        <w:t>甲方向乙方支付合同款至80%；通航建筑物</w:t>
      </w:r>
      <w:r>
        <w:t>运行方案</w:t>
      </w:r>
      <w:r>
        <w:rPr>
          <w:rFonts w:hint="eastAsia"/>
        </w:rPr>
        <w:t>通过</w:t>
      </w:r>
      <w:r>
        <w:t>批复</w:t>
      </w:r>
      <w:r>
        <w:rPr>
          <w:rFonts w:hint="eastAsia"/>
        </w:rPr>
        <w:t>，</w:t>
      </w:r>
      <w:r>
        <w:rPr>
          <w:rFonts w:ascii="宋体" w:hAnsi="宋体"/>
          <w:bCs/>
        </w:rPr>
        <w:t>甲方向乙方付清全部合同价款余款</w:t>
      </w:r>
      <w:r>
        <w:rPr>
          <w:rFonts w:hint="eastAsia"/>
        </w:rPr>
        <w:t>。</w:t>
      </w:r>
    </w:p>
    <w:p w14:paraId="3FFA26A8">
      <w:pPr>
        <w:adjustRightInd w:val="0"/>
        <w:snapToGrid w:val="0"/>
        <w:spacing w:line="360" w:lineRule="auto"/>
        <w:ind w:firstLine="420" w:firstLineChars="200"/>
      </w:pPr>
      <w:r>
        <w:rPr>
          <w:rFonts w:hint="eastAsia"/>
        </w:rPr>
        <w:t>（2）因项目时间紧、任务重，在合同签订后，乙方应通过书面形式向甲方（即：</w:t>
      </w:r>
      <w:r>
        <w:rPr>
          <w:rFonts w:hint="eastAsia"/>
          <w:color w:val="0C0C0C"/>
          <w:kern w:val="0"/>
          <w:szCs w:val="21"/>
          <w:lang w:bidi="ar"/>
        </w:rPr>
        <w:t>各船闸联系人</w:t>
      </w:r>
      <w:r>
        <w:rPr>
          <w:rFonts w:hint="eastAsia"/>
        </w:rPr>
        <w:t>）提供有关通航建筑物运行方案编制、调研及报批工作的相关任务清单，甲方应在收到任务清单后5个工作日内予以书面回复、涉及期限整改的应在规定时间内完成并达到验收要求。如因甲方未在规定时间内完成而导致的工期延误或专家审查、现场验收、批复不合格，乙方不承担相应责任。</w:t>
      </w:r>
    </w:p>
    <w:p w14:paraId="7AA9CF53">
      <w:pPr>
        <w:adjustRightInd w:val="0"/>
        <w:snapToGrid w:val="0"/>
        <w:spacing w:line="360" w:lineRule="auto"/>
        <w:ind w:firstLine="420" w:firstLineChars="200"/>
      </w:pPr>
      <w:r>
        <w:rPr>
          <w:rFonts w:hint="eastAsia"/>
        </w:rPr>
        <w:t>（3）专家审查会的组织安排，须与</w:t>
      </w:r>
      <w:bookmarkStart w:id="53" w:name="OLE_LINK8"/>
      <w:r>
        <w:rPr>
          <w:rFonts w:hint="eastAsia"/>
        </w:rPr>
        <w:t>通航建筑物运行方案</w:t>
      </w:r>
      <w:bookmarkEnd w:id="53"/>
      <w:r>
        <w:rPr>
          <w:rFonts w:hint="eastAsia"/>
        </w:rPr>
        <w:t>的审批部门商议后确定。</w:t>
      </w:r>
    </w:p>
    <w:p w14:paraId="5F838A41">
      <w:pPr>
        <w:adjustRightInd w:val="0"/>
        <w:snapToGrid w:val="0"/>
        <w:spacing w:line="360" w:lineRule="auto"/>
        <w:ind w:firstLine="420" w:firstLineChars="200"/>
      </w:pPr>
      <w:r>
        <w:rPr>
          <w:rFonts w:hint="eastAsia"/>
        </w:rPr>
        <w:t>（4）乙方未在规定时间内（或甲方允许延长的时间内）提交成果，甲方可终止合同，并要求乙方退还甲方已支付的全部款项和提交阶段性研究成果。</w:t>
      </w:r>
    </w:p>
    <w:p w14:paraId="545BB70E">
      <w:pPr>
        <w:adjustRightInd w:val="0"/>
        <w:snapToGrid w:val="0"/>
        <w:spacing w:line="360" w:lineRule="auto"/>
        <w:ind w:firstLine="480"/>
        <w:rPr>
          <w:u w:val="single"/>
        </w:rPr>
      </w:pPr>
      <w:r>
        <w:rPr>
          <w:rFonts w:hint="eastAsia"/>
        </w:rPr>
        <w:t>（5）</w:t>
      </w:r>
      <w:r>
        <w:rPr>
          <w:u w:val="single"/>
        </w:rPr>
        <w:t xml:space="preserve">          </w:t>
      </w:r>
      <w:r>
        <w:rPr>
          <w:rFonts w:hint="eastAsia"/>
          <w:u w:val="single"/>
        </w:rPr>
        <w:t>双方协商确定的其他条款</w:t>
      </w:r>
      <w:r>
        <w:rPr>
          <w:u w:val="single"/>
        </w:rPr>
        <w:t xml:space="preserve">                  </w:t>
      </w:r>
      <w:r>
        <w:rPr>
          <w:rFonts w:hint="eastAsia"/>
          <w:u w:val="single"/>
        </w:rPr>
        <w:t>。</w:t>
      </w:r>
    </w:p>
    <w:p w14:paraId="5D8A6CF3">
      <w:pPr>
        <w:adjustRightInd w:val="0"/>
        <w:snapToGrid w:val="0"/>
        <w:spacing w:line="360" w:lineRule="auto"/>
        <w:ind w:firstLine="480"/>
      </w:pPr>
      <w:r>
        <w:t>8.</w:t>
      </w:r>
      <w:r>
        <w:rPr>
          <w:rFonts w:hint="eastAsia"/>
        </w:rPr>
        <w:t>成果</w:t>
      </w:r>
    </w:p>
    <w:p w14:paraId="22829074">
      <w:pPr>
        <w:adjustRightInd w:val="0"/>
        <w:snapToGrid w:val="0"/>
        <w:spacing w:line="360" w:lineRule="auto"/>
        <w:ind w:firstLine="480"/>
      </w:pPr>
      <w:r>
        <w:t>8.1</w:t>
      </w:r>
      <w:r>
        <w:rPr>
          <w:rFonts w:hint="eastAsia"/>
        </w:rPr>
        <w:t>编制成果：</w:t>
      </w:r>
    </w:p>
    <w:p w14:paraId="05EC7462">
      <w:pPr>
        <w:adjustRightInd w:val="0"/>
        <w:snapToGrid w:val="0"/>
        <w:spacing w:line="360" w:lineRule="auto"/>
        <w:ind w:firstLine="420" w:firstLineChars="200"/>
      </w:pPr>
      <w:r>
        <w:rPr>
          <w:rFonts w:hint="eastAsia"/>
        </w:rPr>
        <w:t>（1）</w:t>
      </w:r>
      <w:r>
        <w:t>13座通航建筑物运行方案</w:t>
      </w:r>
      <w:r>
        <w:rPr>
          <w:rFonts w:hint="eastAsia"/>
        </w:rPr>
        <w:t>报告</w:t>
      </w:r>
      <w:r>
        <w:t>，包括《通航建筑物运行方案》《通航建筑物运行方案编制说明》《通航建筑物运行方案（信息公开）》等</w:t>
      </w:r>
      <w:r>
        <w:rPr>
          <w:rFonts w:hint="eastAsia"/>
        </w:rPr>
        <w:t>；</w:t>
      </w:r>
    </w:p>
    <w:p w14:paraId="5B397697">
      <w:pPr>
        <w:adjustRightInd w:val="0"/>
        <w:snapToGrid w:val="0"/>
        <w:spacing w:line="360" w:lineRule="auto"/>
        <w:ind w:firstLine="420" w:firstLineChars="200"/>
      </w:pPr>
      <w:r>
        <w:rPr>
          <w:rFonts w:hint="eastAsia"/>
        </w:rPr>
        <w:t>（2）配合完成</w:t>
      </w:r>
      <w:r>
        <w:t>13座通航建筑物运行方案</w:t>
      </w:r>
      <w:r>
        <w:rPr>
          <w:rFonts w:hint="eastAsia"/>
        </w:rPr>
        <w:t>的报批工作。</w:t>
      </w:r>
    </w:p>
    <w:p w14:paraId="46877864">
      <w:pPr>
        <w:adjustRightInd w:val="0"/>
        <w:snapToGrid w:val="0"/>
        <w:spacing w:line="360" w:lineRule="auto"/>
        <w:ind w:firstLine="480"/>
      </w:pPr>
      <w:r>
        <w:rPr>
          <w:color w:val="FF0000"/>
        </w:rPr>
        <w:t xml:space="preserve"> </w:t>
      </w:r>
      <w:r>
        <w:t>8.2</w:t>
      </w:r>
      <w:r>
        <w:rPr>
          <w:rFonts w:hint="eastAsia"/>
        </w:rPr>
        <w:t>全部成果所有权归甲方享有，未经甲方许可，乙方不得转让或挪作他用。</w:t>
      </w:r>
    </w:p>
    <w:p w14:paraId="56225FA1">
      <w:pPr>
        <w:adjustRightInd w:val="0"/>
        <w:snapToGrid w:val="0"/>
        <w:spacing w:line="360" w:lineRule="auto"/>
        <w:ind w:firstLine="480"/>
      </w:pPr>
      <w:r>
        <w:t xml:space="preserve">9. </w:t>
      </w:r>
      <w:r>
        <w:rPr>
          <w:rFonts w:hint="eastAsia"/>
        </w:rPr>
        <w:t>廉政</w:t>
      </w:r>
    </w:p>
    <w:p w14:paraId="7FBB9261">
      <w:pPr>
        <w:adjustRightInd w:val="0"/>
        <w:snapToGrid w:val="0"/>
        <w:spacing w:line="360" w:lineRule="auto"/>
        <w:ind w:firstLine="480"/>
      </w:pPr>
      <w:r>
        <w:t>9.1</w:t>
      </w:r>
      <w:r>
        <w:rPr>
          <w:rFonts w:hint="eastAsia"/>
        </w:rPr>
        <w:t>严格遵守党和国家有关法规及党风廉政建设各项规定，严格执行中央八项规定、省委十项规定和省水利厅实施细则精神。</w:t>
      </w:r>
    </w:p>
    <w:p w14:paraId="59EB8CD8">
      <w:pPr>
        <w:adjustRightInd w:val="0"/>
        <w:snapToGrid w:val="0"/>
        <w:spacing w:line="360" w:lineRule="auto"/>
        <w:ind w:firstLine="480"/>
      </w:pPr>
      <w:r>
        <w:t>9.2</w:t>
      </w:r>
      <w:r>
        <w:rPr>
          <w:rFonts w:hint="eastAsia"/>
        </w:rPr>
        <w:t>严格执行本合同的各项规定，自觉按合同办事。</w:t>
      </w:r>
    </w:p>
    <w:p w14:paraId="3C87332E">
      <w:pPr>
        <w:adjustRightInd w:val="0"/>
        <w:snapToGrid w:val="0"/>
        <w:spacing w:line="360" w:lineRule="auto"/>
        <w:ind w:firstLine="480"/>
      </w:pPr>
      <w:r>
        <w:t>9.3</w:t>
      </w:r>
      <w:r>
        <w:rPr>
          <w:rFonts w:hint="eastAsia"/>
        </w:rPr>
        <w:t>双方的业务活动坚持公开、公正、公平、诚信的原则（法律认定的商业秘密和合同文件另有规定除外），严禁损害国家和集体利益、违反工程建设管理规章制度。</w:t>
      </w:r>
    </w:p>
    <w:p w14:paraId="29C33717">
      <w:pPr>
        <w:adjustRightInd w:val="0"/>
        <w:snapToGrid w:val="0"/>
        <w:spacing w:line="360" w:lineRule="auto"/>
        <w:ind w:firstLine="480"/>
      </w:pPr>
      <w:r>
        <w:t>9.4</w:t>
      </w:r>
      <w:r>
        <w:rPr>
          <w:rFonts w:hint="eastAsia"/>
        </w:rPr>
        <w:t>建立健全并严格执行党风廉政建设各项制度，开展反腐倡廉宣传教育，加强对本方工作人员的监督检查。</w:t>
      </w:r>
    </w:p>
    <w:p w14:paraId="41253CDB">
      <w:pPr>
        <w:adjustRightInd w:val="0"/>
        <w:snapToGrid w:val="0"/>
        <w:spacing w:line="360" w:lineRule="auto"/>
        <w:ind w:firstLine="480"/>
      </w:pPr>
      <w:r>
        <w:t>9.5</w:t>
      </w:r>
      <w:r>
        <w:rPr>
          <w:rFonts w:hint="eastAsia"/>
        </w:rPr>
        <w:t>发现对方在业务活动中有违反廉政规定的行为，有及时提醒和督促对方纠正的权利和义务，并加强对本方工作人员的批评教育，严肃查处违纪违规行为；发现重大违纪违法行为，应向执纪执法机关举报。</w:t>
      </w:r>
    </w:p>
    <w:p w14:paraId="4C9C6CAF">
      <w:pPr>
        <w:adjustRightInd w:val="0"/>
        <w:snapToGrid w:val="0"/>
        <w:spacing w:line="360" w:lineRule="auto"/>
        <w:ind w:firstLine="480"/>
      </w:pPr>
      <w:r>
        <w:t>10</w:t>
      </w:r>
      <w:r>
        <w:rPr>
          <w:rFonts w:hint="eastAsia"/>
        </w:rPr>
        <w:t>．本合同书经甲乙双方法定代表人或其委托代理人签名并分别加盖本单位公章后生效。</w:t>
      </w:r>
    </w:p>
    <w:p w14:paraId="28024839">
      <w:pPr>
        <w:adjustRightInd w:val="0"/>
        <w:snapToGrid w:val="0"/>
        <w:spacing w:line="360" w:lineRule="auto"/>
        <w:ind w:firstLine="480"/>
      </w:pPr>
      <w:r>
        <w:t>11</w:t>
      </w:r>
      <w:r>
        <w:rPr>
          <w:rFonts w:hint="eastAsia"/>
        </w:rPr>
        <w:t>．本合同一式肆份，双方各执贰份。</w:t>
      </w:r>
      <w:r>
        <w:t xml:space="preserve"> </w:t>
      </w:r>
    </w:p>
    <w:p w14:paraId="7A997397">
      <w:pPr>
        <w:spacing w:line="360" w:lineRule="auto"/>
      </w:pPr>
      <w:r>
        <w:t xml:space="preserve"> </w:t>
      </w:r>
    </w:p>
    <w:p w14:paraId="6BF47398">
      <w:pPr>
        <w:adjustRightInd w:val="0"/>
        <w:snapToGrid w:val="0"/>
        <w:spacing w:line="360" w:lineRule="auto"/>
      </w:pPr>
      <w:r>
        <w:rPr>
          <w:rFonts w:hint="eastAsia"/>
        </w:rPr>
        <w:t>甲方：</w:t>
      </w:r>
      <w:r>
        <w:rPr>
          <w:u w:val="single"/>
        </w:rPr>
        <w:t xml:space="preserve">                </w:t>
      </w:r>
      <w:r>
        <w:rPr>
          <w:rFonts w:hint="eastAsia"/>
        </w:rPr>
        <w:t>（盖单位章）</w:t>
      </w:r>
      <w:r>
        <w:t xml:space="preserve">        </w:t>
      </w:r>
      <w:r>
        <w:rPr>
          <w:rFonts w:hint="eastAsia"/>
        </w:rPr>
        <w:t>乙方：</w:t>
      </w:r>
      <w:r>
        <w:rPr>
          <w:u w:val="single"/>
        </w:rPr>
        <w:t xml:space="preserve">                   </w:t>
      </w:r>
      <w:r>
        <w:rPr>
          <w:rFonts w:hint="eastAsia"/>
        </w:rPr>
        <w:t>（盖单位章）</w:t>
      </w:r>
    </w:p>
    <w:p w14:paraId="1C038548">
      <w:pPr>
        <w:adjustRightInd w:val="0"/>
        <w:snapToGrid w:val="0"/>
        <w:spacing w:line="360" w:lineRule="auto"/>
      </w:pPr>
      <w:r>
        <w:rPr>
          <w:rFonts w:hint="eastAsia"/>
        </w:rPr>
        <w:t>法定代表人或其委托代理人：</w:t>
      </w:r>
      <w:r>
        <w:rPr>
          <w:u w:val="single"/>
        </w:rPr>
        <w:t xml:space="preserve">    </w:t>
      </w:r>
      <w:r>
        <w:rPr>
          <w:rFonts w:hint="eastAsia"/>
        </w:rPr>
        <w:t>（签字）</w:t>
      </w:r>
      <w:r>
        <w:t xml:space="preserve">    </w:t>
      </w:r>
      <w:r>
        <w:rPr>
          <w:rFonts w:hint="eastAsia"/>
        </w:rPr>
        <w:t>法定代表人或其委托代理人：</w:t>
      </w:r>
      <w:r>
        <w:rPr>
          <w:u w:val="single"/>
        </w:rPr>
        <w:t xml:space="preserve">      </w:t>
      </w:r>
      <w:r>
        <w:rPr>
          <w:rFonts w:hint="eastAsia"/>
        </w:rPr>
        <w:t>（签字）</w:t>
      </w:r>
    </w:p>
    <w:p w14:paraId="6E52024F">
      <w:pPr>
        <w:adjustRightInd w:val="0"/>
        <w:snapToGrid w:val="0"/>
        <w:spacing w:line="360" w:lineRule="auto"/>
        <w:rPr>
          <w:rFonts w:ascii="Times New Roman" w:hAnsi="Times New Roman" w:cs="Times New Roman"/>
          <w:b/>
          <w:bCs/>
          <w:color w:val="auto"/>
          <w:kern w:val="44"/>
          <w:sz w:val="32"/>
          <w:szCs w:val="44"/>
          <w:highlight w:val="none"/>
        </w:rPr>
      </w:pPr>
      <w:r>
        <w:rPr>
          <w:u w:val="single"/>
        </w:rPr>
        <w:t xml:space="preserve">         </w:t>
      </w:r>
      <w:r>
        <w:rPr>
          <w:rFonts w:hint="eastAsia"/>
        </w:rPr>
        <w:t>年</w:t>
      </w:r>
      <w:r>
        <w:rPr>
          <w:u w:val="single"/>
        </w:rPr>
        <w:t xml:space="preserve">       </w:t>
      </w:r>
      <w:r>
        <w:rPr>
          <w:rFonts w:hint="eastAsia"/>
        </w:rPr>
        <w:t>月</w:t>
      </w:r>
      <w:r>
        <w:t xml:space="preserve"> </w:t>
      </w:r>
      <w:r>
        <w:rPr>
          <w:u w:val="single"/>
        </w:rPr>
        <w:t xml:space="preserve">       </w:t>
      </w:r>
      <w:r>
        <w:t xml:space="preserve"> </w:t>
      </w:r>
      <w:r>
        <w:rPr>
          <w:rFonts w:hint="eastAsia"/>
        </w:rPr>
        <w:t>日</w:t>
      </w:r>
      <w:r>
        <w:t xml:space="preserve">            </w:t>
      </w:r>
      <w:r>
        <w:rPr>
          <w:u w:val="single"/>
        </w:rPr>
        <w:t xml:space="preserve">        </w:t>
      </w:r>
      <w:r>
        <w:rPr>
          <w:rFonts w:hint="eastAsia"/>
        </w:rPr>
        <w:t>年</w:t>
      </w:r>
      <w:r>
        <w:rPr>
          <w:u w:val="single"/>
        </w:rPr>
        <w:t xml:space="preserve">         </w:t>
      </w:r>
      <w:r>
        <w:rPr>
          <w:rFonts w:hint="eastAsia"/>
        </w:rPr>
        <w:t>月</w:t>
      </w:r>
      <w:r>
        <w:t xml:space="preserve"> </w:t>
      </w:r>
      <w:r>
        <w:rPr>
          <w:u w:val="single"/>
        </w:rPr>
        <w:t xml:space="preserve">         </w:t>
      </w:r>
      <w:r>
        <w:rPr>
          <w:rFonts w:hint="eastAsia"/>
        </w:rPr>
        <w:t>日</w:t>
      </w:r>
    </w:p>
    <w:p w14:paraId="5A5F3B73">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54" w:name="_Toc2147"/>
      <w:r>
        <w:rPr>
          <w:color w:val="auto"/>
          <w:kern w:val="0"/>
          <w:sz w:val="36"/>
          <w:szCs w:val="36"/>
          <w:highlight w:val="none"/>
          <w:shd w:val="clear" w:color="auto" w:fill="FFFFFF"/>
        </w:rPr>
        <w:t>投标文件格式</w:t>
      </w:r>
      <w:bookmarkEnd w:id="5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rPr>
        <w:t xml:space="preserve">省属水利通航建筑物清单 </w:t>
      </w:r>
      <w:r>
        <w:rPr>
          <w:b/>
          <w:bCs/>
          <w:color w:val="auto"/>
          <w:szCs w:val="21"/>
          <w:highlight w:val="none"/>
          <w:u w:val="single"/>
        </w:rPr>
        <w:t>编制一一对应的报价表。</w:t>
      </w:r>
    </w:p>
    <w:tbl>
      <w:tblPr>
        <w:tblStyle w:val="52"/>
        <w:tblW w:w="7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559"/>
        <w:gridCol w:w="1397"/>
        <w:gridCol w:w="1025"/>
        <w:gridCol w:w="1000"/>
        <w:gridCol w:w="948"/>
      </w:tblGrid>
      <w:tr w14:paraId="38FE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tblHeader/>
          <w:jc w:val="center"/>
        </w:trPr>
        <w:tc>
          <w:tcPr>
            <w:tcW w:w="708" w:type="dxa"/>
            <w:noWrap w:val="0"/>
            <w:vAlign w:val="center"/>
          </w:tcPr>
          <w:p w14:paraId="0E1172BE">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2559" w:type="dxa"/>
            <w:noWrap w:val="0"/>
            <w:vAlign w:val="center"/>
          </w:tcPr>
          <w:p w14:paraId="254326C3">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eastAsia"/>
                <w:b/>
                <w:kern w:val="0"/>
                <w:sz w:val="18"/>
                <w:szCs w:val="18"/>
                <w:highlight w:val="none"/>
              </w:rPr>
              <w:t>通航建筑物</w:t>
            </w:r>
            <w:r>
              <w:rPr>
                <w:rFonts w:hint="default"/>
                <w:b/>
                <w:kern w:val="0"/>
                <w:sz w:val="18"/>
                <w:szCs w:val="18"/>
                <w:highlight w:val="none"/>
              </w:rPr>
              <w:t>名称</w:t>
            </w:r>
          </w:p>
        </w:tc>
        <w:tc>
          <w:tcPr>
            <w:tcW w:w="1397" w:type="dxa"/>
            <w:noWrap w:val="0"/>
            <w:vAlign w:val="center"/>
          </w:tcPr>
          <w:p w14:paraId="2B9D7938">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b/>
                <w:bCs/>
                <w:color w:val="auto"/>
                <w:sz w:val="21"/>
                <w:szCs w:val="21"/>
                <w:highlight w:val="none"/>
              </w:rPr>
            </w:pPr>
            <w:r>
              <w:rPr>
                <w:rFonts w:hint="default"/>
                <w:b/>
                <w:kern w:val="0"/>
                <w:sz w:val="18"/>
                <w:szCs w:val="18"/>
                <w:highlight w:val="none"/>
              </w:rPr>
              <w:t>管理单位</w:t>
            </w:r>
          </w:p>
        </w:tc>
        <w:tc>
          <w:tcPr>
            <w:tcW w:w="1025" w:type="dxa"/>
            <w:noWrap w:val="0"/>
            <w:vAlign w:val="center"/>
          </w:tcPr>
          <w:p w14:paraId="50A14354">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b/>
                <w:bCs/>
                <w:color w:val="auto"/>
                <w:sz w:val="21"/>
                <w:szCs w:val="21"/>
                <w:highlight w:val="none"/>
              </w:rPr>
            </w:pPr>
            <w:r>
              <w:rPr>
                <w:rFonts w:hint="default"/>
                <w:b/>
                <w:kern w:val="0"/>
                <w:sz w:val="18"/>
                <w:szCs w:val="18"/>
                <w:highlight w:val="none"/>
              </w:rPr>
              <w:t>所在航道</w:t>
            </w:r>
          </w:p>
        </w:tc>
        <w:tc>
          <w:tcPr>
            <w:tcW w:w="1000" w:type="dxa"/>
            <w:noWrap w:val="0"/>
            <w:vAlign w:val="center"/>
          </w:tcPr>
          <w:p w14:paraId="5340BF8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报价</w:t>
            </w:r>
            <w:r>
              <w:rPr>
                <w:rFonts w:hint="default" w:ascii="Times New Roman" w:hAnsi="Times New Roman" w:eastAsia="宋体" w:cs="Times New Roman"/>
                <w:b/>
                <w:bCs/>
                <w:color w:val="auto"/>
                <w:sz w:val="21"/>
                <w:szCs w:val="21"/>
                <w:highlight w:val="none"/>
              </w:rPr>
              <w:t>（元）</w:t>
            </w:r>
          </w:p>
        </w:tc>
        <w:tc>
          <w:tcPr>
            <w:tcW w:w="948" w:type="dxa"/>
            <w:noWrap w:val="0"/>
            <w:vAlign w:val="center"/>
          </w:tcPr>
          <w:p w14:paraId="011F6AB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备注</w:t>
            </w:r>
          </w:p>
        </w:tc>
      </w:tr>
      <w:tr w14:paraId="3714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6AF4B8F5">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1</w:t>
            </w:r>
          </w:p>
        </w:tc>
        <w:tc>
          <w:tcPr>
            <w:tcW w:w="2559" w:type="dxa"/>
            <w:noWrap w:val="0"/>
            <w:vAlign w:val="center"/>
          </w:tcPr>
          <w:p w14:paraId="4F3005CC">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邵仙套闸</w:t>
            </w:r>
          </w:p>
        </w:tc>
        <w:tc>
          <w:tcPr>
            <w:tcW w:w="1397" w:type="dxa"/>
            <w:noWrap w:val="0"/>
            <w:vAlign w:val="center"/>
          </w:tcPr>
          <w:p w14:paraId="33420E79">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lang w:val="en-US" w:eastAsia="zh-CN"/>
              </w:rPr>
            </w:pPr>
            <w:r>
              <w:rPr>
                <w:rFonts w:hint="default"/>
                <w:kern w:val="0"/>
                <w:sz w:val="18"/>
                <w:szCs w:val="18"/>
                <w:highlight w:val="none"/>
              </w:rPr>
              <w:t>江都水利工程管理处</w:t>
            </w:r>
          </w:p>
        </w:tc>
        <w:tc>
          <w:tcPr>
            <w:tcW w:w="1025" w:type="dxa"/>
            <w:noWrap w:val="0"/>
            <w:vAlign w:val="center"/>
          </w:tcPr>
          <w:p w14:paraId="460F69B1">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芒稻河</w:t>
            </w:r>
          </w:p>
        </w:tc>
        <w:tc>
          <w:tcPr>
            <w:tcW w:w="1000" w:type="dxa"/>
            <w:noWrap w:val="0"/>
            <w:vAlign w:val="center"/>
          </w:tcPr>
          <w:p w14:paraId="5FCCECC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586EE8C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r>
      <w:tr w14:paraId="212E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7E3C44D2">
            <w:pPr>
              <w:keepNext w:val="0"/>
              <w:keepLines w:val="0"/>
              <w:suppressLineNumbers w:val="0"/>
              <w:spacing w:before="0" w:beforeAutospacing="0" w:after="0" w:afterAutospacing="0" w:line="360" w:lineRule="auto"/>
              <w:ind w:left="0" w:right="0" w:firstLine="29" w:firstLineChars="14"/>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2</w:t>
            </w:r>
          </w:p>
        </w:tc>
        <w:tc>
          <w:tcPr>
            <w:tcW w:w="2559" w:type="dxa"/>
            <w:noWrap w:val="0"/>
            <w:vAlign w:val="center"/>
          </w:tcPr>
          <w:p w14:paraId="53285BD9">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宜陵闸（通航孔）</w:t>
            </w:r>
          </w:p>
        </w:tc>
        <w:tc>
          <w:tcPr>
            <w:tcW w:w="1397" w:type="dxa"/>
            <w:noWrap w:val="0"/>
            <w:vAlign w:val="center"/>
          </w:tcPr>
          <w:p w14:paraId="0818CFE4">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江都水利工程管理处</w:t>
            </w:r>
          </w:p>
        </w:tc>
        <w:tc>
          <w:tcPr>
            <w:tcW w:w="1025" w:type="dxa"/>
            <w:noWrap w:val="0"/>
            <w:vAlign w:val="center"/>
          </w:tcPr>
          <w:p w14:paraId="399F0669">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新</w:t>
            </w:r>
            <w:r>
              <w:rPr>
                <w:rFonts w:hint="default"/>
                <w:kern w:val="0"/>
                <w:sz w:val="18"/>
                <w:szCs w:val="18"/>
                <w:highlight w:val="none"/>
              </w:rPr>
              <w:t>通扬运河</w:t>
            </w:r>
          </w:p>
        </w:tc>
        <w:tc>
          <w:tcPr>
            <w:tcW w:w="1000" w:type="dxa"/>
            <w:noWrap w:val="0"/>
            <w:vAlign w:val="center"/>
          </w:tcPr>
          <w:p w14:paraId="0C69C394">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109B537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0581B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2F64F03D">
            <w:pPr>
              <w:keepNext w:val="0"/>
              <w:keepLines w:val="0"/>
              <w:suppressLineNumbers w:val="0"/>
              <w:spacing w:before="0" w:beforeAutospacing="0" w:after="0" w:afterAutospacing="0" w:line="360" w:lineRule="auto"/>
              <w:ind w:left="0" w:right="0" w:firstLine="29" w:firstLineChars="14"/>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3</w:t>
            </w:r>
          </w:p>
        </w:tc>
        <w:tc>
          <w:tcPr>
            <w:tcW w:w="2559" w:type="dxa"/>
            <w:noWrap w:val="0"/>
            <w:vAlign w:val="center"/>
          </w:tcPr>
          <w:p w14:paraId="473A1BC4">
            <w:pPr>
              <w:keepNext w:val="0"/>
              <w:keepLines w:val="0"/>
              <w:suppressLineNumbers w:val="0"/>
              <w:snapToGrid w:val="0"/>
              <w:spacing w:before="0" w:beforeAutospacing="0" w:after="0" w:afterAutospacing="0" w:line="360" w:lineRule="auto"/>
              <w:ind w:left="0" w:right="0"/>
              <w:jc w:val="center"/>
              <w:rPr>
                <w:rFonts w:hint="default"/>
                <w:kern w:val="0"/>
                <w:sz w:val="18"/>
                <w:szCs w:val="18"/>
                <w:highlight w:val="none"/>
              </w:rPr>
            </w:pPr>
            <w:r>
              <w:rPr>
                <w:rFonts w:hint="default"/>
                <w:kern w:val="0"/>
                <w:sz w:val="18"/>
                <w:szCs w:val="18"/>
                <w:highlight w:val="none"/>
              </w:rPr>
              <w:t>望亭枢纽船闸</w:t>
            </w:r>
          </w:p>
          <w:p w14:paraId="5ED58DB3">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w:t>
            </w:r>
            <w:r>
              <w:rPr>
                <w:rFonts w:hint="default"/>
                <w:kern w:val="0"/>
                <w:sz w:val="18"/>
                <w:szCs w:val="18"/>
                <w:highlight w:val="none"/>
              </w:rPr>
              <w:t>蠡河</w:t>
            </w:r>
            <w:r>
              <w:rPr>
                <w:rFonts w:hint="eastAsia"/>
                <w:kern w:val="0"/>
                <w:sz w:val="18"/>
                <w:szCs w:val="18"/>
                <w:highlight w:val="none"/>
              </w:rPr>
              <w:t>）</w:t>
            </w:r>
          </w:p>
        </w:tc>
        <w:tc>
          <w:tcPr>
            <w:tcW w:w="1397" w:type="dxa"/>
            <w:noWrap w:val="0"/>
            <w:vAlign w:val="center"/>
          </w:tcPr>
          <w:p w14:paraId="7B09EB7D">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3CFAE7E3">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望虞河</w:t>
            </w:r>
          </w:p>
        </w:tc>
        <w:tc>
          <w:tcPr>
            <w:tcW w:w="1000" w:type="dxa"/>
            <w:noWrap w:val="0"/>
            <w:vAlign w:val="center"/>
          </w:tcPr>
          <w:p w14:paraId="6743EE30">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660CA5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04E37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8" w:type="dxa"/>
            <w:noWrap w:val="0"/>
            <w:vAlign w:val="center"/>
          </w:tcPr>
          <w:p w14:paraId="7B91F0ED">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4</w:t>
            </w:r>
          </w:p>
        </w:tc>
        <w:tc>
          <w:tcPr>
            <w:tcW w:w="2559" w:type="dxa"/>
            <w:noWrap w:val="0"/>
            <w:vAlign w:val="center"/>
          </w:tcPr>
          <w:p w14:paraId="21ECD637">
            <w:pPr>
              <w:keepNext w:val="0"/>
              <w:keepLines w:val="0"/>
              <w:suppressLineNumbers w:val="0"/>
              <w:snapToGrid w:val="0"/>
              <w:spacing w:before="0" w:beforeAutospacing="0" w:after="0" w:afterAutospacing="0" w:line="360" w:lineRule="auto"/>
              <w:ind w:left="0" w:right="0"/>
              <w:jc w:val="center"/>
              <w:rPr>
                <w:rFonts w:hint="default"/>
                <w:kern w:val="0"/>
                <w:sz w:val="18"/>
                <w:szCs w:val="18"/>
                <w:highlight w:val="none"/>
              </w:rPr>
            </w:pPr>
            <w:r>
              <w:rPr>
                <w:rFonts w:hint="default"/>
                <w:kern w:val="0"/>
                <w:sz w:val="18"/>
                <w:szCs w:val="18"/>
                <w:highlight w:val="none"/>
              </w:rPr>
              <w:t>望亭枢纽船闸</w:t>
            </w:r>
          </w:p>
          <w:p w14:paraId="393CE4E2">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w:t>
            </w:r>
            <w:r>
              <w:rPr>
                <w:rFonts w:hint="default"/>
                <w:kern w:val="0"/>
                <w:sz w:val="18"/>
                <w:szCs w:val="18"/>
                <w:highlight w:val="none"/>
              </w:rPr>
              <w:t>月城河</w:t>
            </w:r>
            <w:r>
              <w:rPr>
                <w:rFonts w:hint="eastAsia"/>
                <w:kern w:val="0"/>
                <w:sz w:val="18"/>
                <w:szCs w:val="18"/>
                <w:highlight w:val="none"/>
              </w:rPr>
              <w:t>）</w:t>
            </w:r>
          </w:p>
        </w:tc>
        <w:tc>
          <w:tcPr>
            <w:tcW w:w="1397" w:type="dxa"/>
            <w:noWrap w:val="0"/>
            <w:vAlign w:val="center"/>
          </w:tcPr>
          <w:p w14:paraId="7B7D4FBB">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63167C74">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漫山望亭线</w:t>
            </w:r>
          </w:p>
        </w:tc>
        <w:tc>
          <w:tcPr>
            <w:tcW w:w="1000" w:type="dxa"/>
            <w:noWrap w:val="0"/>
            <w:vAlign w:val="center"/>
          </w:tcPr>
          <w:p w14:paraId="0AB028E8">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3AD216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r>
      <w:tr w14:paraId="76CE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05A4BF2F">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5</w:t>
            </w:r>
          </w:p>
        </w:tc>
        <w:tc>
          <w:tcPr>
            <w:tcW w:w="2559" w:type="dxa"/>
            <w:noWrap w:val="0"/>
            <w:vAlign w:val="center"/>
          </w:tcPr>
          <w:p w14:paraId="4CE8FDBD">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丹金船闸</w:t>
            </w:r>
          </w:p>
        </w:tc>
        <w:tc>
          <w:tcPr>
            <w:tcW w:w="1397" w:type="dxa"/>
            <w:noWrap w:val="0"/>
            <w:vAlign w:val="center"/>
          </w:tcPr>
          <w:p w14:paraId="4EA7635F">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54A60D71">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老</w:t>
            </w:r>
            <w:r>
              <w:rPr>
                <w:rFonts w:hint="default"/>
                <w:kern w:val="0"/>
                <w:sz w:val="18"/>
                <w:szCs w:val="18"/>
                <w:highlight w:val="none"/>
              </w:rPr>
              <w:t>丹金溧漕河</w:t>
            </w:r>
          </w:p>
        </w:tc>
        <w:tc>
          <w:tcPr>
            <w:tcW w:w="1000" w:type="dxa"/>
            <w:noWrap w:val="0"/>
            <w:vAlign w:val="center"/>
          </w:tcPr>
          <w:p w14:paraId="48A8C56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0019CA4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741D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49629C1B">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6</w:t>
            </w:r>
          </w:p>
        </w:tc>
        <w:tc>
          <w:tcPr>
            <w:tcW w:w="2559" w:type="dxa"/>
            <w:noWrap w:val="0"/>
            <w:vAlign w:val="center"/>
          </w:tcPr>
          <w:p w14:paraId="2E224BBF">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张家港</w:t>
            </w:r>
            <w:r>
              <w:rPr>
                <w:rFonts w:hint="eastAsia"/>
                <w:kern w:val="0"/>
                <w:sz w:val="18"/>
                <w:szCs w:val="18"/>
                <w:highlight w:val="none"/>
              </w:rPr>
              <w:t>水利</w:t>
            </w:r>
            <w:r>
              <w:rPr>
                <w:rFonts w:hint="default"/>
                <w:kern w:val="0"/>
                <w:sz w:val="18"/>
                <w:szCs w:val="18"/>
                <w:highlight w:val="none"/>
              </w:rPr>
              <w:t>枢纽船闸</w:t>
            </w:r>
            <w:r>
              <w:rPr>
                <w:rFonts w:hint="eastAsia"/>
                <w:kern w:val="0"/>
                <w:sz w:val="18"/>
                <w:szCs w:val="18"/>
                <w:highlight w:val="none"/>
              </w:rPr>
              <w:t>（通航孔）</w:t>
            </w:r>
          </w:p>
        </w:tc>
        <w:tc>
          <w:tcPr>
            <w:tcW w:w="1397" w:type="dxa"/>
            <w:noWrap w:val="0"/>
            <w:vAlign w:val="center"/>
          </w:tcPr>
          <w:p w14:paraId="24289B80">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5DDCE39B">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走马塘</w:t>
            </w:r>
          </w:p>
        </w:tc>
        <w:tc>
          <w:tcPr>
            <w:tcW w:w="1000" w:type="dxa"/>
            <w:noWrap w:val="0"/>
            <w:vAlign w:val="center"/>
          </w:tcPr>
          <w:p w14:paraId="5C581CB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10E2657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r>
      <w:tr w14:paraId="5A78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099DE13E">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7</w:t>
            </w:r>
          </w:p>
        </w:tc>
        <w:tc>
          <w:tcPr>
            <w:tcW w:w="2559" w:type="dxa"/>
            <w:noWrap w:val="0"/>
            <w:vAlign w:val="center"/>
          </w:tcPr>
          <w:p w14:paraId="167FBC13">
            <w:pPr>
              <w:keepNext w:val="0"/>
              <w:keepLines w:val="0"/>
              <w:suppressLineNumbers w:val="0"/>
              <w:snapToGrid w:val="0"/>
              <w:spacing w:before="0" w:beforeAutospacing="0" w:after="0" w:afterAutospacing="0" w:line="360" w:lineRule="auto"/>
              <w:ind w:left="0" w:right="0"/>
              <w:jc w:val="center"/>
              <w:rPr>
                <w:rFonts w:hint="default"/>
                <w:kern w:val="0"/>
                <w:sz w:val="18"/>
                <w:szCs w:val="18"/>
                <w:highlight w:val="none"/>
              </w:rPr>
            </w:pPr>
            <w:r>
              <w:rPr>
                <w:rFonts w:hint="eastAsia"/>
                <w:kern w:val="0"/>
                <w:sz w:val="18"/>
                <w:szCs w:val="18"/>
                <w:highlight w:val="none"/>
              </w:rPr>
              <w:t>丹阳水利</w:t>
            </w:r>
            <w:r>
              <w:rPr>
                <w:rFonts w:hint="default"/>
                <w:kern w:val="0"/>
                <w:sz w:val="18"/>
                <w:szCs w:val="18"/>
                <w:highlight w:val="none"/>
              </w:rPr>
              <w:t>枢纽船闸</w:t>
            </w:r>
          </w:p>
          <w:p w14:paraId="109E8260">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（已编制运行方案，本次拟作修订）</w:t>
            </w:r>
          </w:p>
        </w:tc>
        <w:tc>
          <w:tcPr>
            <w:tcW w:w="1397" w:type="dxa"/>
            <w:noWrap w:val="0"/>
            <w:vAlign w:val="center"/>
          </w:tcPr>
          <w:p w14:paraId="622BB175">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4A4D01C1">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新孟河</w:t>
            </w:r>
          </w:p>
        </w:tc>
        <w:tc>
          <w:tcPr>
            <w:tcW w:w="1000" w:type="dxa"/>
            <w:noWrap w:val="0"/>
            <w:vAlign w:val="center"/>
          </w:tcPr>
          <w:p w14:paraId="5FD168F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06AC84F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r>
      <w:tr w14:paraId="453E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00AE7D92">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8</w:t>
            </w:r>
          </w:p>
        </w:tc>
        <w:tc>
          <w:tcPr>
            <w:tcW w:w="2559" w:type="dxa"/>
            <w:noWrap w:val="0"/>
            <w:vAlign w:val="center"/>
          </w:tcPr>
          <w:p w14:paraId="6C9FAE78">
            <w:pPr>
              <w:keepNext w:val="0"/>
              <w:keepLines w:val="0"/>
              <w:suppressLineNumbers w:val="0"/>
              <w:snapToGrid w:val="0"/>
              <w:spacing w:before="0" w:beforeAutospacing="0" w:after="0" w:afterAutospacing="0" w:line="360" w:lineRule="auto"/>
              <w:ind w:left="0" w:right="0"/>
              <w:jc w:val="center"/>
              <w:rPr>
                <w:rFonts w:hint="default"/>
                <w:kern w:val="0"/>
                <w:sz w:val="18"/>
                <w:szCs w:val="18"/>
                <w:highlight w:val="none"/>
              </w:rPr>
            </w:pPr>
            <w:r>
              <w:rPr>
                <w:rFonts w:hint="default"/>
                <w:kern w:val="0"/>
                <w:sz w:val="18"/>
                <w:szCs w:val="18"/>
                <w:highlight w:val="none"/>
              </w:rPr>
              <w:t>奔牛</w:t>
            </w:r>
            <w:r>
              <w:rPr>
                <w:rFonts w:hint="eastAsia"/>
                <w:kern w:val="0"/>
                <w:sz w:val="18"/>
                <w:szCs w:val="18"/>
                <w:highlight w:val="none"/>
              </w:rPr>
              <w:t>水利</w:t>
            </w:r>
            <w:r>
              <w:rPr>
                <w:rFonts w:hint="default"/>
                <w:kern w:val="0"/>
                <w:sz w:val="18"/>
                <w:szCs w:val="18"/>
                <w:highlight w:val="none"/>
              </w:rPr>
              <w:t>枢纽船闸</w:t>
            </w:r>
          </w:p>
          <w:p w14:paraId="412FF88D">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（已编制运行方案，本次拟作修订）</w:t>
            </w:r>
          </w:p>
        </w:tc>
        <w:tc>
          <w:tcPr>
            <w:tcW w:w="1397" w:type="dxa"/>
            <w:noWrap w:val="0"/>
            <w:vAlign w:val="center"/>
          </w:tcPr>
          <w:p w14:paraId="6A7E432E">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default"/>
                <w:kern w:val="0"/>
                <w:sz w:val="18"/>
                <w:szCs w:val="18"/>
                <w:highlight w:val="none"/>
              </w:rPr>
              <w:t>太湖地区水利工程管理处</w:t>
            </w:r>
          </w:p>
        </w:tc>
        <w:tc>
          <w:tcPr>
            <w:tcW w:w="1025" w:type="dxa"/>
            <w:noWrap w:val="0"/>
            <w:vAlign w:val="center"/>
          </w:tcPr>
          <w:p w14:paraId="3D262E68">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新孟河</w:t>
            </w:r>
          </w:p>
        </w:tc>
        <w:tc>
          <w:tcPr>
            <w:tcW w:w="1000" w:type="dxa"/>
            <w:noWrap w:val="0"/>
            <w:vAlign w:val="center"/>
          </w:tcPr>
          <w:p w14:paraId="3F0294B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47466B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45BA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2694C47E">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9</w:t>
            </w:r>
          </w:p>
        </w:tc>
        <w:tc>
          <w:tcPr>
            <w:tcW w:w="2559" w:type="dxa"/>
            <w:noWrap w:val="0"/>
            <w:vAlign w:val="center"/>
          </w:tcPr>
          <w:p w14:paraId="07E7791C">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沭阳闸</w:t>
            </w:r>
            <w:r>
              <w:rPr>
                <w:rFonts w:hint="eastAsia"/>
                <w:kern w:val="0"/>
                <w:sz w:val="18"/>
                <w:szCs w:val="18"/>
                <w:highlight w:val="none"/>
              </w:rPr>
              <w:t>（</w:t>
            </w:r>
            <w:r>
              <w:rPr>
                <w:rFonts w:hint="default"/>
                <w:kern w:val="0"/>
                <w:sz w:val="18"/>
                <w:szCs w:val="18"/>
                <w:highlight w:val="none"/>
              </w:rPr>
              <w:t>通航孔</w:t>
            </w:r>
            <w:r>
              <w:rPr>
                <w:rFonts w:hint="eastAsia"/>
                <w:kern w:val="0"/>
                <w:sz w:val="18"/>
                <w:szCs w:val="18"/>
                <w:highlight w:val="none"/>
              </w:rPr>
              <w:t>）</w:t>
            </w:r>
          </w:p>
        </w:tc>
        <w:tc>
          <w:tcPr>
            <w:tcW w:w="1397" w:type="dxa"/>
            <w:noWrap w:val="0"/>
            <w:vAlign w:val="center"/>
          </w:tcPr>
          <w:p w14:paraId="3039E040">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rPr>
            </w:pPr>
            <w:r>
              <w:rPr>
                <w:rFonts w:hint="eastAsia"/>
                <w:kern w:val="0"/>
                <w:sz w:val="18"/>
                <w:szCs w:val="18"/>
                <w:highlight w:val="none"/>
              </w:rPr>
              <w:t>淮沭新河管理处</w:t>
            </w:r>
          </w:p>
        </w:tc>
        <w:tc>
          <w:tcPr>
            <w:tcW w:w="1025" w:type="dxa"/>
            <w:noWrap w:val="0"/>
            <w:vAlign w:val="center"/>
          </w:tcPr>
          <w:p w14:paraId="35CCB95F">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淮沭新河</w:t>
            </w:r>
          </w:p>
        </w:tc>
        <w:tc>
          <w:tcPr>
            <w:tcW w:w="1000" w:type="dxa"/>
            <w:noWrap w:val="0"/>
            <w:vAlign w:val="center"/>
          </w:tcPr>
          <w:p w14:paraId="640F30B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3D5BF7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r>
      <w:tr w14:paraId="12726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000B8E27">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10</w:t>
            </w:r>
          </w:p>
        </w:tc>
        <w:tc>
          <w:tcPr>
            <w:tcW w:w="2559" w:type="dxa"/>
            <w:noWrap w:val="0"/>
            <w:vAlign w:val="center"/>
          </w:tcPr>
          <w:p w14:paraId="1712A495">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淮沭船闸</w:t>
            </w:r>
          </w:p>
        </w:tc>
        <w:tc>
          <w:tcPr>
            <w:tcW w:w="1397" w:type="dxa"/>
            <w:noWrap w:val="0"/>
            <w:vAlign w:val="center"/>
          </w:tcPr>
          <w:p w14:paraId="29DB66B9">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eastAsia"/>
                <w:kern w:val="0"/>
                <w:sz w:val="18"/>
                <w:szCs w:val="18"/>
                <w:highlight w:val="none"/>
              </w:rPr>
              <w:t>淮沭新河管理处</w:t>
            </w:r>
          </w:p>
        </w:tc>
        <w:tc>
          <w:tcPr>
            <w:tcW w:w="1025" w:type="dxa"/>
            <w:noWrap w:val="0"/>
            <w:vAlign w:val="center"/>
          </w:tcPr>
          <w:p w14:paraId="5825BF55">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淮沭</w:t>
            </w:r>
            <w:r>
              <w:rPr>
                <w:rFonts w:hint="eastAsia"/>
                <w:kern w:val="0"/>
                <w:sz w:val="18"/>
                <w:szCs w:val="18"/>
                <w:highlight w:val="none"/>
              </w:rPr>
              <w:t>新</w:t>
            </w:r>
            <w:r>
              <w:rPr>
                <w:rFonts w:hint="default"/>
                <w:kern w:val="0"/>
                <w:sz w:val="18"/>
                <w:szCs w:val="18"/>
                <w:highlight w:val="none"/>
              </w:rPr>
              <w:t>河</w:t>
            </w:r>
          </w:p>
        </w:tc>
        <w:tc>
          <w:tcPr>
            <w:tcW w:w="1000" w:type="dxa"/>
            <w:noWrap w:val="0"/>
            <w:vAlign w:val="center"/>
          </w:tcPr>
          <w:p w14:paraId="4CDBCAE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6BF0F54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7D2A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5CAFECE1">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11</w:t>
            </w:r>
          </w:p>
        </w:tc>
        <w:tc>
          <w:tcPr>
            <w:tcW w:w="2559" w:type="dxa"/>
            <w:noWrap w:val="0"/>
            <w:vAlign w:val="center"/>
          </w:tcPr>
          <w:p w14:paraId="4B218FFB">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沭新北船闸</w:t>
            </w:r>
          </w:p>
        </w:tc>
        <w:tc>
          <w:tcPr>
            <w:tcW w:w="1397" w:type="dxa"/>
            <w:noWrap w:val="0"/>
            <w:vAlign w:val="center"/>
          </w:tcPr>
          <w:p w14:paraId="1880D8EE">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eastAsia"/>
                <w:kern w:val="0"/>
                <w:sz w:val="18"/>
                <w:szCs w:val="18"/>
                <w:highlight w:val="none"/>
              </w:rPr>
              <w:t>淮沭新河管理处</w:t>
            </w:r>
          </w:p>
        </w:tc>
        <w:tc>
          <w:tcPr>
            <w:tcW w:w="1025" w:type="dxa"/>
            <w:noWrap w:val="0"/>
            <w:vAlign w:val="center"/>
          </w:tcPr>
          <w:p w14:paraId="4DF93016">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kern w:val="0"/>
                <w:sz w:val="18"/>
                <w:szCs w:val="18"/>
                <w:highlight w:val="none"/>
              </w:rPr>
              <w:t>淮</w:t>
            </w:r>
            <w:r>
              <w:rPr>
                <w:rFonts w:hint="default"/>
                <w:kern w:val="0"/>
                <w:sz w:val="18"/>
                <w:szCs w:val="18"/>
                <w:highlight w:val="none"/>
              </w:rPr>
              <w:t>沭新河</w:t>
            </w:r>
          </w:p>
        </w:tc>
        <w:tc>
          <w:tcPr>
            <w:tcW w:w="1000" w:type="dxa"/>
            <w:noWrap w:val="0"/>
            <w:vAlign w:val="center"/>
          </w:tcPr>
          <w:p w14:paraId="344D9631">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42196A0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378B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708" w:type="dxa"/>
            <w:noWrap w:val="0"/>
            <w:vAlign w:val="center"/>
          </w:tcPr>
          <w:p w14:paraId="1A706ABF">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12</w:t>
            </w:r>
          </w:p>
        </w:tc>
        <w:tc>
          <w:tcPr>
            <w:tcW w:w="2559" w:type="dxa"/>
            <w:noWrap w:val="0"/>
            <w:vAlign w:val="center"/>
          </w:tcPr>
          <w:p w14:paraId="281C4707">
            <w:pPr>
              <w:keepNext w:val="0"/>
              <w:keepLines w:val="0"/>
              <w:suppressLineNumbers w:val="0"/>
              <w:snapToGrid w:val="0"/>
              <w:spacing w:before="0" w:beforeAutospacing="0" w:after="0" w:afterAutospacing="0"/>
              <w:ind w:left="0" w:right="0"/>
              <w:jc w:val="center"/>
              <w:rPr>
                <w:rFonts w:hint="default"/>
                <w:kern w:val="0"/>
                <w:sz w:val="18"/>
                <w:szCs w:val="18"/>
                <w:highlight w:val="none"/>
              </w:rPr>
            </w:pPr>
            <w:r>
              <w:rPr>
                <w:rFonts w:hint="default"/>
                <w:kern w:val="0"/>
                <w:sz w:val="18"/>
                <w:szCs w:val="18"/>
                <w:highlight w:val="none"/>
              </w:rPr>
              <w:t>高港船闸</w:t>
            </w:r>
            <w:r>
              <w:rPr>
                <w:rFonts w:hint="eastAsia"/>
                <w:kern w:val="0"/>
                <w:sz w:val="18"/>
                <w:szCs w:val="18"/>
                <w:highlight w:val="none"/>
              </w:rPr>
              <w:t>一线闸</w:t>
            </w:r>
          </w:p>
          <w:p w14:paraId="76F5A450">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高港船闸</w:t>
            </w:r>
            <w:r>
              <w:rPr>
                <w:rFonts w:hint="eastAsia"/>
                <w:kern w:val="0"/>
                <w:sz w:val="18"/>
                <w:szCs w:val="18"/>
                <w:highlight w:val="none"/>
              </w:rPr>
              <w:t>二线闸</w:t>
            </w:r>
          </w:p>
        </w:tc>
        <w:tc>
          <w:tcPr>
            <w:tcW w:w="1397" w:type="dxa"/>
            <w:noWrap w:val="0"/>
            <w:vAlign w:val="center"/>
          </w:tcPr>
          <w:p w14:paraId="0FD9B7CE">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eastAsia"/>
                <w:kern w:val="0"/>
                <w:sz w:val="18"/>
                <w:szCs w:val="18"/>
                <w:highlight w:val="none"/>
              </w:rPr>
              <w:t>省泰州</w:t>
            </w:r>
            <w:r>
              <w:rPr>
                <w:rFonts w:hint="default"/>
                <w:kern w:val="0"/>
                <w:sz w:val="18"/>
                <w:szCs w:val="18"/>
                <w:highlight w:val="none"/>
              </w:rPr>
              <w:t>引江河管理处</w:t>
            </w:r>
          </w:p>
        </w:tc>
        <w:tc>
          <w:tcPr>
            <w:tcW w:w="1025" w:type="dxa"/>
            <w:noWrap w:val="0"/>
            <w:vAlign w:val="center"/>
          </w:tcPr>
          <w:p w14:paraId="418195B8">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引江河</w:t>
            </w:r>
          </w:p>
        </w:tc>
        <w:tc>
          <w:tcPr>
            <w:tcW w:w="1000" w:type="dxa"/>
            <w:noWrap w:val="0"/>
            <w:vAlign w:val="center"/>
          </w:tcPr>
          <w:p w14:paraId="111500F8">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0831104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p>
        </w:tc>
      </w:tr>
      <w:tr w14:paraId="27AB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jc w:val="center"/>
        </w:trPr>
        <w:tc>
          <w:tcPr>
            <w:tcW w:w="708" w:type="dxa"/>
            <w:noWrap w:val="0"/>
            <w:vAlign w:val="center"/>
          </w:tcPr>
          <w:p w14:paraId="07E0837B">
            <w:pPr>
              <w:keepNext w:val="0"/>
              <w:keepLines w:val="0"/>
              <w:suppressLineNumbers w:val="0"/>
              <w:spacing w:before="0" w:beforeAutospacing="0" w:after="0" w:afterAutospacing="0" w:line="360" w:lineRule="auto"/>
              <w:ind w:left="0" w:right="0" w:firstLine="29" w:firstLineChars="14"/>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13</w:t>
            </w:r>
          </w:p>
        </w:tc>
        <w:tc>
          <w:tcPr>
            <w:tcW w:w="2559" w:type="dxa"/>
            <w:noWrap w:val="0"/>
            <w:vAlign w:val="center"/>
          </w:tcPr>
          <w:p w14:paraId="7F2576C0">
            <w:pPr>
              <w:keepNext w:val="0"/>
              <w:keepLines w:val="0"/>
              <w:suppressLineNumbers w:val="0"/>
              <w:snapToGrid w:val="0"/>
              <w:spacing w:before="0" w:beforeAutospacing="0" w:after="0" w:afterAutospacing="0" w:line="360" w:lineRule="auto"/>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default"/>
                <w:kern w:val="0"/>
                <w:sz w:val="18"/>
                <w:szCs w:val="18"/>
                <w:highlight w:val="none"/>
              </w:rPr>
              <w:t>拉马河闸（通航孔）</w:t>
            </w:r>
          </w:p>
        </w:tc>
        <w:tc>
          <w:tcPr>
            <w:tcW w:w="1397" w:type="dxa"/>
            <w:noWrap w:val="0"/>
            <w:vAlign w:val="center"/>
          </w:tcPr>
          <w:p w14:paraId="439FA1F0">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eastAsia"/>
                <w:kern w:val="0"/>
                <w:sz w:val="18"/>
                <w:szCs w:val="18"/>
                <w:highlight w:val="none"/>
              </w:rPr>
              <w:t>省泰州</w:t>
            </w:r>
            <w:r>
              <w:rPr>
                <w:rFonts w:hint="default"/>
                <w:kern w:val="0"/>
                <w:sz w:val="18"/>
                <w:szCs w:val="18"/>
                <w:highlight w:val="none"/>
              </w:rPr>
              <w:t>引江河管理处</w:t>
            </w:r>
          </w:p>
        </w:tc>
        <w:tc>
          <w:tcPr>
            <w:tcW w:w="1025" w:type="dxa"/>
            <w:noWrap w:val="0"/>
            <w:vAlign w:val="center"/>
          </w:tcPr>
          <w:p w14:paraId="3E46D269">
            <w:pPr>
              <w:keepNext w:val="0"/>
              <w:keepLines w:val="0"/>
              <w:suppressLineNumbers w:val="0"/>
              <w:snapToGrid w:val="0"/>
              <w:spacing w:before="0" w:beforeAutospacing="0" w:after="0" w:afterAutospacing="0" w:line="360" w:lineRule="auto"/>
              <w:ind w:left="0" w:leftChars="0" w:right="0" w:rightChars="0"/>
              <w:jc w:val="center"/>
              <w:rPr>
                <w:rFonts w:hint="default" w:ascii="Times New Roman" w:hAnsi="Times New Roman" w:eastAsia="等线" w:cs="Calibri"/>
                <w:color w:val="auto"/>
                <w:kern w:val="2"/>
                <w:sz w:val="21"/>
                <w:szCs w:val="21"/>
                <w:highlight w:val="none"/>
                <w:lang w:val="en-US" w:eastAsia="zh-CN" w:bidi="ar-SA"/>
              </w:rPr>
            </w:pPr>
            <w:r>
              <w:rPr>
                <w:rFonts w:hint="default"/>
                <w:kern w:val="0"/>
                <w:sz w:val="18"/>
                <w:szCs w:val="18"/>
                <w:highlight w:val="none"/>
              </w:rPr>
              <w:t>拉马河</w:t>
            </w:r>
          </w:p>
        </w:tc>
        <w:tc>
          <w:tcPr>
            <w:tcW w:w="1000" w:type="dxa"/>
            <w:noWrap w:val="0"/>
            <w:vAlign w:val="center"/>
          </w:tcPr>
          <w:p w14:paraId="78E540E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center"/>
              <w:textAlignment w:val="auto"/>
              <w:rPr>
                <w:rFonts w:hint="default" w:ascii="Times New Roman" w:hAnsi="Times New Roman" w:eastAsia="宋体" w:cs="Times New Roman"/>
                <w:color w:val="auto"/>
                <w:sz w:val="21"/>
                <w:szCs w:val="21"/>
                <w:highlight w:val="none"/>
              </w:rPr>
            </w:pPr>
          </w:p>
        </w:tc>
        <w:tc>
          <w:tcPr>
            <w:tcW w:w="948" w:type="dxa"/>
            <w:noWrap w:val="0"/>
            <w:vAlign w:val="center"/>
          </w:tcPr>
          <w:p w14:paraId="58F92B2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p>
        </w:tc>
      </w:tr>
      <w:tr w14:paraId="11DC4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jc w:val="center"/>
        </w:trPr>
        <w:tc>
          <w:tcPr>
            <w:tcW w:w="5689" w:type="dxa"/>
            <w:gridSpan w:val="4"/>
            <w:noWrap w:val="0"/>
            <w:vAlign w:val="center"/>
          </w:tcPr>
          <w:p w14:paraId="78D9D459">
            <w:pPr>
              <w:keepNext w:val="0"/>
              <w:keepLines w:val="0"/>
              <w:suppressLineNumbers w:val="0"/>
              <w:snapToGrid w:val="0"/>
              <w:spacing w:before="0" w:beforeAutospacing="0" w:after="0" w:afterAutospacing="0" w:line="360" w:lineRule="auto"/>
              <w:ind w:left="0" w:leftChars="0" w:right="0" w:rightChars="0"/>
              <w:jc w:val="center"/>
              <w:rPr>
                <w:rFonts w:hint="eastAsia" w:eastAsia="宋体"/>
                <w:kern w:val="0"/>
                <w:sz w:val="18"/>
                <w:szCs w:val="18"/>
                <w:highlight w:val="none"/>
                <w:lang w:val="en-US" w:eastAsia="zh-CN"/>
              </w:rPr>
            </w:pPr>
            <w:r>
              <w:rPr>
                <w:rFonts w:hint="eastAsia"/>
                <w:kern w:val="0"/>
                <w:sz w:val="18"/>
                <w:szCs w:val="18"/>
                <w:highlight w:val="none"/>
                <w:lang w:val="en-US" w:eastAsia="zh-CN"/>
              </w:rPr>
              <w:t>总价（元）</w:t>
            </w:r>
          </w:p>
        </w:tc>
        <w:tc>
          <w:tcPr>
            <w:tcW w:w="1948" w:type="dxa"/>
            <w:gridSpan w:val="2"/>
            <w:noWrap w:val="0"/>
            <w:vAlign w:val="center"/>
          </w:tcPr>
          <w:p w14:paraId="05D481F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p>
        </w:tc>
      </w:tr>
    </w:tbl>
    <w:p w14:paraId="6F68D374">
      <w:pPr>
        <w:pStyle w:val="51"/>
        <w:rPr>
          <w:highlight w:val="none"/>
        </w:rPr>
      </w:pP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w:t>
      </w:r>
      <w:r>
        <w:rPr>
          <w:rFonts w:hint="eastAsia" w:cs="Times New Roman"/>
          <w:b/>
          <w:bCs/>
          <w:color w:val="auto"/>
          <w:kern w:val="0"/>
          <w:szCs w:val="21"/>
          <w:highlight w:val="none"/>
          <w:u w:val="single"/>
          <w:lang w:val="en-US" w:eastAsia="zh-CN"/>
        </w:rPr>
        <w:t xml:space="preserve"> </w:t>
      </w:r>
      <w:r>
        <w:rPr>
          <w:rFonts w:hint="eastAsia"/>
          <w:b/>
          <w:bCs/>
          <w:color w:val="auto"/>
          <w:szCs w:val="21"/>
          <w:highlight w:val="none"/>
          <w:u w:val="single"/>
        </w:rPr>
        <w:t>省属水利通航建筑物清单</w:t>
      </w:r>
      <w:r>
        <w:rPr>
          <w:rFonts w:hint="eastAsia"/>
          <w:b/>
          <w:bCs/>
          <w:color w:val="auto"/>
          <w:szCs w:val="21"/>
          <w:highlight w:val="none"/>
          <w:u w:val="single"/>
          <w:lang w:val="en-US" w:eastAsia="zh-CN"/>
        </w:rPr>
        <w:t xml:space="preserve"> </w:t>
      </w:r>
      <w:r>
        <w:rPr>
          <w:rFonts w:hint="eastAsia" w:ascii="Times New Roman" w:hAnsi="Times New Roman" w:eastAsia="宋体" w:cs="Times New Roman"/>
          <w:b/>
          <w:bCs/>
          <w:color w:val="auto"/>
          <w:kern w:val="0"/>
          <w:szCs w:val="21"/>
          <w:highlight w:val="none"/>
          <w:u w:val="single"/>
          <w:lang w:val="en-US" w:eastAsia="zh-CN"/>
        </w:rPr>
        <w:t>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20B52354">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w:t>
      </w:r>
      <w:r>
        <w:rPr>
          <w:rFonts w:hint="eastAsia"/>
          <w:b/>
          <w:color w:val="auto"/>
          <w:szCs w:val="21"/>
          <w:highlight w:val="none"/>
          <w:u w:val="single"/>
          <w:lang w:val="en-US" w:eastAsia="zh-CN"/>
        </w:rPr>
        <w:t>技术</w:t>
      </w:r>
      <w:r>
        <w:rPr>
          <w:b/>
          <w:color w:val="auto"/>
          <w:szCs w:val="21"/>
          <w:highlight w:val="none"/>
          <w:u w:val="single"/>
        </w:rPr>
        <w:t>条款偏离的条目列入</w:t>
      </w:r>
      <w:r>
        <w:rPr>
          <w:rFonts w:hint="eastAsia"/>
          <w:b/>
          <w:color w:val="auto"/>
          <w:szCs w:val="21"/>
          <w:highlight w:val="none"/>
          <w:u w:val="single"/>
          <w:lang w:val="en-US" w:eastAsia="zh-CN"/>
        </w:rPr>
        <w:t>上</w:t>
      </w:r>
      <w:r>
        <w:rPr>
          <w:b/>
          <w:color w:val="auto"/>
          <w:szCs w:val="21"/>
          <w:highlight w:val="none"/>
          <w:u w:val="single"/>
        </w:rPr>
        <w:t>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4756556A">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9"/>
      <w:bookmarkEnd w:id="41"/>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55" w:name="OLE_LINK14"/>
      <w:bookmarkStart w:id="56" w:name="OLE_LINK13"/>
      <w:r>
        <w:rPr>
          <w:b/>
          <w:bCs/>
          <w:color w:val="auto"/>
          <w:szCs w:val="21"/>
          <w:highlight w:val="none"/>
        </w:rPr>
        <w:t>中小企业声明函（</w:t>
      </w:r>
      <w:r>
        <w:rPr>
          <w:rFonts w:hint="eastAsia"/>
          <w:b/>
          <w:bCs/>
          <w:color w:val="auto"/>
          <w:szCs w:val="21"/>
          <w:highlight w:val="none"/>
          <w:lang w:val="en-US" w:eastAsia="zh-CN"/>
        </w:rPr>
        <w:t>服务</w:t>
      </w:r>
      <w:r>
        <w:rPr>
          <w:b/>
          <w:bCs/>
          <w:color w:val="auto"/>
          <w:szCs w:val="21"/>
          <w:highlight w:val="none"/>
        </w:rPr>
        <w:t>）</w:t>
      </w:r>
    </w:p>
    <w:p w14:paraId="71A307FE">
      <w:pPr>
        <w:spacing w:line="360" w:lineRule="auto"/>
        <w:ind w:firstLine="315" w:firstLineChars="150"/>
        <w:rPr>
          <w:snapToGrid w:val="0"/>
          <w:color w:val="auto"/>
          <w:kern w:val="0"/>
          <w:szCs w:val="21"/>
          <w:highlight w:val="none"/>
        </w:rPr>
      </w:pPr>
      <w:r>
        <w:rPr>
          <w:snapToGrid w:val="0"/>
          <w:color w:val="auto"/>
          <w:kern w:val="0"/>
          <w:szCs w:val="21"/>
          <w:highlight w:val="none"/>
        </w:rPr>
        <w:t xml:space="preserve">   </w:t>
      </w:r>
      <w:r>
        <w:rPr>
          <w:color w:val="auto"/>
          <w:szCs w:val="21"/>
          <w:highlight w:val="none"/>
        </w:rPr>
        <w:t>本公司（联合体）郑重声明，根据《政府采购促进中小企业发展管理办法》（财库</w:t>
      </w:r>
      <w:r>
        <w:rPr>
          <w:rFonts w:hint="eastAsia"/>
          <w:color w:val="auto"/>
          <w:szCs w:val="21"/>
          <w:highlight w:val="none"/>
          <w:lang w:eastAsia="zh-CN"/>
        </w:rPr>
        <w:t>〔2020〕46号</w:t>
      </w:r>
      <w:r>
        <w:rPr>
          <w:color w:val="auto"/>
          <w:szCs w:val="21"/>
          <w:highlight w:val="none"/>
        </w:rPr>
        <w:t>）的规定，本公司（联合体）参加</w:t>
      </w:r>
      <w:r>
        <w:rPr>
          <w:color w:val="auto"/>
          <w:szCs w:val="21"/>
          <w:highlight w:val="none"/>
          <w:u w:val="single"/>
        </w:rPr>
        <w:t xml:space="preserve">  （采购人/采购代理机构）  </w:t>
      </w:r>
      <w:r>
        <w:rPr>
          <w:color w:val="auto"/>
          <w:szCs w:val="21"/>
          <w:highlight w:val="none"/>
        </w:rPr>
        <w:t>组织的采购编号为</w:t>
      </w:r>
      <w:r>
        <w:rPr>
          <w:i/>
          <w:color w:val="auto"/>
          <w:szCs w:val="21"/>
          <w:highlight w:val="none"/>
          <w:u w:val="single"/>
        </w:rPr>
        <w:t>* * *</w:t>
      </w:r>
      <w:r>
        <w:rPr>
          <w:color w:val="auto"/>
          <w:szCs w:val="21"/>
          <w:highlight w:val="none"/>
        </w:rPr>
        <w:t>，</w:t>
      </w:r>
      <w:r>
        <w:rPr>
          <w:i/>
          <w:color w:val="auto"/>
          <w:szCs w:val="21"/>
          <w:highlight w:val="none"/>
          <w:u w:val="single"/>
        </w:rPr>
        <w:t>（项目名称）</w:t>
      </w:r>
      <w:r>
        <w:rPr>
          <w:color w:val="auto"/>
          <w:szCs w:val="21"/>
          <w:highlight w:val="none"/>
        </w:rPr>
        <w:t>的采购活动</w:t>
      </w:r>
      <w:r>
        <w:rPr>
          <w:snapToGrid w:val="0"/>
          <w:color w:val="auto"/>
          <w:kern w:val="0"/>
          <w:szCs w:val="21"/>
          <w:highlight w:val="none"/>
        </w:rPr>
        <w:t>，提供的服务全部由符合政策要求的中小企业承接。</w:t>
      </w:r>
      <w:r>
        <w:rPr>
          <w:color w:val="auto"/>
          <w:szCs w:val="21"/>
          <w:highlight w:val="none"/>
        </w:rPr>
        <w:t>根据《工业和信息化部、国家统计局、国家发展和改革委员会、财政部关于印发中小企业划型标准规定的通知》（工信部联企业</w:t>
      </w:r>
      <w:r>
        <w:rPr>
          <w:rFonts w:hint="eastAsia"/>
          <w:color w:val="auto"/>
          <w:szCs w:val="21"/>
          <w:highlight w:val="none"/>
          <w:lang w:eastAsia="zh-CN"/>
        </w:rPr>
        <w:t>〔2011〕300号</w:t>
      </w:r>
      <w:r>
        <w:rPr>
          <w:color w:val="auto"/>
          <w:szCs w:val="21"/>
          <w:highlight w:val="none"/>
        </w:rPr>
        <w:t>）的规定，相关企业（含联合体中的中小企业、签订分包意向协议的中小企业）的具体情况如下：</w:t>
      </w:r>
    </w:p>
    <w:p w14:paraId="6AE5396B">
      <w:pPr>
        <w:spacing w:line="360" w:lineRule="auto"/>
        <w:jc w:val="left"/>
        <w:rPr>
          <w:snapToGrid w:val="0"/>
          <w:color w:val="auto"/>
          <w:kern w:val="0"/>
          <w:szCs w:val="21"/>
          <w:highlight w:val="none"/>
        </w:rPr>
      </w:pPr>
      <w:r>
        <w:rPr>
          <w:snapToGrid w:val="0"/>
          <w:color w:val="auto"/>
          <w:kern w:val="0"/>
          <w:szCs w:val="21"/>
          <w:highlight w:val="none"/>
        </w:rPr>
        <w:t>1、 [标的名称] ，属于</w:t>
      </w:r>
      <w:r>
        <w:rPr>
          <w:rFonts w:hint="eastAsia"/>
          <w:b/>
          <w:bCs/>
          <w:snapToGrid w:val="0"/>
          <w:color w:val="auto"/>
          <w:kern w:val="0"/>
          <w:szCs w:val="21"/>
          <w:highlight w:val="none"/>
          <w:u w:val="single"/>
        </w:rPr>
        <w:t>（需填入采购文件明确的所属行业）</w:t>
      </w:r>
      <w:r>
        <w:rPr>
          <w:snapToGrid w:val="0"/>
          <w:color w:val="auto"/>
          <w:kern w:val="0"/>
          <w:szCs w:val="21"/>
          <w:highlight w:val="none"/>
        </w:rPr>
        <w:t>行业；承接企业为</w:t>
      </w:r>
      <w:r>
        <w:rPr>
          <w:snapToGrid w:val="0"/>
          <w:color w:val="auto"/>
          <w:kern w:val="0"/>
          <w:szCs w:val="21"/>
          <w:highlight w:val="none"/>
          <w:u w:val="single"/>
        </w:rPr>
        <w:t xml:space="preserve">  [企业名称]  </w:t>
      </w:r>
      <w:r>
        <w:rPr>
          <w:snapToGrid w:val="0"/>
          <w:color w:val="auto"/>
          <w:kern w:val="0"/>
          <w:szCs w:val="21"/>
          <w:highlight w:val="none"/>
        </w:rPr>
        <w:t>，从业人员</w:t>
      </w:r>
      <w:r>
        <w:rPr>
          <w:snapToGrid w:val="0"/>
          <w:color w:val="auto"/>
          <w:kern w:val="0"/>
          <w:szCs w:val="21"/>
          <w:highlight w:val="none"/>
          <w:u w:val="single"/>
        </w:rPr>
        <w:t xml:space="preserve">    </w:t>
      </w:r>
      <w:r>
        <w:rPr>
          <w:snapToGrid w:val="0"/>
          <w:color w:val="auto"/>
          <w:kern w:val="0"/>
          <w:szCs w:val="21"/>
          <w:highlight w:val="none"/>
        </w:rPr>
        <w:t>人，营业收入为</w:t>
      </w:r>
      <w:r>
        <w:rPr>
          <w:snapToGrid w:val="0"/>
          <w:color w:val="auto"/>
          <w:kern w:val="0"/>
          <w:szCs w:val="21"/>
          <w:highlight w:val="none"/>
          <w:u w:val="single"/>
        </w:rPr>
        <w:t xml:space="preserve">     </w:t>
      </w:r>
      <w:r>
        <w:rPr>
          <w:snapToGrid w:val="0"/>
          <w:color w:val="auto"/>
          <w:kern w:val="0"/>
          <w:szCs w:val="21"/>
          <w:highlight w:val="none"/>
        </w:rPr>
        <w:t>万元，资产总额为</w:t>
      </w:r>
      <w:r>
        <w:rPr>
          <w:snapToGrid w:val="0"/>
          <w:color w:val="auto"/>
          <w:kern w:val="0"/>
          <w:szCs w:val="21"/>
          <w:highlight w:val="none"/>
          <w:u w:val="single"/>
        </w:rPr>
        <w:t xml:space="preserve">      </w:t>
      </w:r>
      <w:r>
        <w:rPr>
          <w:snapToGrid w:val="0"/>
          <w:color w:val="auto"/>
          <w:kern w:val="0"/>
          <w:szCs w:val="21"/>
          <w:highlight w:val="none"/>
        </w:rPr>
        <w:t>万元，属于</w:t>
      </w:r>
      <w:r>
        <w:rPr>
          <w:snapToGrid w:val="0"/>
          <w:color w:val="auto"/>
          <w:kern w:val="0"/>
          <w:szCs w:val="21"/>
          <w:highlight w:val="none"/>
          <w:u w:val="single"/>
        </w:rPr>
        <w:t xml:space="preserve">    （中型企业/小型企业/微型企业）    </w:t>
      </w:r>
      <w:r>
        <w:rPr>
          <w:snapToGrid w:val="0"/>
          <w:color w:val="auto"/>
          <w:kern w:val="0"/>
          <w:szCs w:val="21"/>
          <w:highlight w:val="none"/>
        </w:rPr>
        <w:t>；</w:t>
      </w:r>
    </w:p>
    <w:p w14:paraId="19393F2F">
      <w:pPr>
        <w:spacing w:line="360" w:lineRule="auto"/>
        <w:jc w:val="left"/>
        <w:rPr>
          <w:snapToGrid w:val="0"/>
          <w:color w:val="auto"/>
          <w:kern w:val="0"/>
          <w:szCs w:val="21"/>
          <w:highlight w:val="none"/>
        </w:rPr>
      </w:pPr>
      <w:r>
        <w:rPr>
          <w:snapToGrid w:val="0"/>
          <w:color w:val="auto"/>
          <w:kern w:val="0"/>
          <w:szCs w:val="21"/>
          <w:highlight w:val="none"/>
        </w:rPr>
        <w:t>2、 [标的名称] ，属于</w:t>
      </w:r>
      <w:r>
        <w:rPr>
          <w:rFonts w:hint="eastAsia"/>
          <w:b/>
          <w:bCs/>
          <w:snapToGrid w:val="0"/>
          <w:color w:val="auto"/>
          <w:kern w:val="0"/>
          <w:szCs w:val="21"/>
          <w:highlight w:val="none"/>
          <w:u w:val="single"/>
        </w:rPr>
        <w:t>（需填入采购文件明确的所属行业）</w:t>
      </w:r>
      <w:r>
        <w:rPr>
          <w:snapToGrid w:val="0"/>
          <w:color w:val="auto"/>
          <w:kern w:val="0"/>
          <w:szCs w:val="21"/>
          <w:highlight w:val="none"/>
        </w:rPr>
        <w:t>行业；承接企业为</w:t>
      </w:r>
      <w:r>
        <w:rPr>
          <w:snapToGrid w:val="0"/>
          <w:color w:val="auto"/>
          <w:kern w:val="0"/>
          <w:szCs w:val="21"/>
          <w:highlight w:val="none"/>
          <w:u w:val="single"/>
        </w:rPr>
        <w:t xml:space="preserve">  [企业名称]  </w:t>
      </w:r>
      <w:r>
        <w:rPr>
          <w:snapToGrid w:val="0"/>
          <w:color w:val="auto"/>
          <w:kern w:val="0"/>
          <w:szCs w:val="21"/>
          <w:highlight w:val="none"/>
        </w:rPr>
        <w:t>，从业人员</w:t>
      </w:r>
      <w:r>
        <w:rPr>
          <w:snapToGrid w:val="0"/>
          <w:color w:val="auto"/>
          <w:kern w:val="0"/>
          <w:szCs w:val="21"/>
          <w:highlight w:val="none"/>
          <w:u w:val="single"/>
        </w:rPr>
        <w:t xml:space="preserve">    </w:t>
      </w:r>
      <w:r>
        <w:rPr>
          <w:snapToGrid w:val="0"/>
          <w:color w:val="auto"/>
          <w:kern w:val="0"/>
          <w:szCs w:val="21"/>
          <w:highlight w:val="none"/>
        </w:rPr>
        <w:t>人，营业收入为</w:t>
      </w:r>
      <w:r>
        <w:rPr>
          <w:snapToGrid w:val="0"/>
          <w:color w:val="auto"/>
          <w:kern w:val="0"/>
          <w:szCs w:val="21"/>
          <w:highlight w:val="none"/>
          <w:u w:val="single"/>
        </w:rPr>
        <w:t xml:space="preserve">     </w:t>
      </w:r>
      <w:r>
        <w:rPr>
          <w:snapToGrid w:val="0"/>
          <w:color w:val="auto"/>
          <w:kern w:val="0"/>
          <w:szCs w:val="21"/>
          <w:highlight w:val="none"/>
        </w:rPr>
        <w:t>万元，资产总额为</w:t>
      </w:r>
      <w:r>
        <w:rPr>
          <w:snapToGrid w:val="0"/>
          <w:color w:val="auto"/>
          <w:kern w:val="0"/>
          <w:szCs w:val="21"/>
          <w:highlight w:val="none"/>
          <w:u w:val="single"/>
        </w:rPr>
        <w:t xml:space="preserve">      </w:t>
      </w:r>
      <w:r>
        <w:rPr>
          <w:snapToGrid w:val="0"/>
          <w:color w:val="auto"/>
          <w:kern w:val="0"/>
          <w:szCs w:val="21"/>
          <w:highlight w:val="none"/>
        </w:rPr>
        <w:t>万元，属于</w:t>
      </w:r>
      <w:r>
        <w:rPr>
          <w:snapToGrid w:val="0"/>
          <w:color w:val="auto"/>
          <w:kern w:val="0"/>
          <w:szCs w:val="21"/>
          <w:highlight w:val="none"/>
          <w:u w:val="single"/>
        </w:rPr>
        <w:t xml:space="preserve">    （中型企业/小型企业/微型企业）    </w:t>
      </w:r>
      <w:r>
        <w:rPr>
          <w:snapToGrid w:val="0"/>
          <w:color w:val="auto"/>
          <w:kern w:val="0"/>
          <w:szCs w:val="21"/>
          <w:highlight w:val="none"/>
        </w:rPr>
        <w:t>；</w:t>
      </w:r>
    </w:p>
    <w:p w14:paraId="25F95F34">
      <w:pPr>
        <w:spacing w:line="360" w:lineRule="auto"/>
        <w:jc w:val="center"/>
        <w:rPr>
          <w:snapToGrid w:val="0"/>
          <w:color w:val="auto"/>
          <w:kern w:val="0"/>
          <w:szCs w:val="21"/>
          <w:highlight w:val="none"/>
        </w:rPr>
      </w:pPr>
      <w:r>
        <w:rPr>
          <w:snapToGrid w:val="0"/>
          <w:color w:val="auto"/>
          <w:kern w:val="0"/>
          <w:szCs w:val="21"/>
          <w:highlight w:val="none"/>
        </w:rPr>
        <w:t>……</w:t>
      </w:r>
    </w:p>
    <w:p w14:paraId="211218BF">
      <w:pPr>
        <w:spacing w:line="360" w:lineRule="auto"/>
        <w:ind w:firstLine="420" w:firstLineChars="200"/>
        <w:jc w:val="left"/>
        <w:rPr>
          <w:snapToGrid w:val="0"/>
          <w:color w:val="auto"/>
          <w:kern w:val="0"/>
          <w:szCs w:val="21"/>
          <w:highlight w:val="none"/>
        </w:rPr>
      </w:pPr>
      <w:r>
        <w:rPr>
          <w:snapToGrid w:val="0"/>
          <w:color w:val="auto"/>
          <w:kern w:val="0"/>
          <w:szCs w:val="21"/>
          <w:highlight w:val="none"/>
        </w:rPr>
        <w:t>以上企业，不属于大企业的分支机构，不存在控股股东为大企业的情形，也不存在与大企业的负责人为同一人的情形。</w:t>
      </w:r>
    </w:p>
    <w:p w14:paraId="4967B5E7">
      <w:pPr>
        <w:spacing w:line="360" w:lineRule="auto"/>
        <w:ind w:firstLine="420" w:firstLineChars="200"/>
        <w:jc w:val="left"/>
        <w:rPr>
          <w:snapToGrid w:val="0"/>
          <w:color w:val="auto"/>
          <w:kern w:val="0"/>
          <w:szCs w:val="21"/>
          <w:highlight w:val="none"/>
        </w:rPr>
      </w:pPr>
      <w:r>
        <w:rPr>
          <w:snapToGrid w:val="0"/>
          <w:color w:val="auto"/>
          <w:kern w:val="0"/>
          <w:szCs w:val="21"/>
          <w:highlight w:val="none"/>
        </w:rPr>
        <w:t>如组成联合体或者接受分包合同的中小企业与联合体内的其他企业，分包企业之间不存在直接控制、管理关系；</w:t>
      </w:r>
    </w:p>
    <w:p w14:paraId="1097951A">
      <w:pPr>
        <w:spacing w:line="360" w:lineRule="auto"/>
        <w:ind w:firstLine="420" w:firstLineChars="200"/>
        <w:jc w:val="left"/>
        <w:rPr>
          <w:snapToGrid w:val="0"/>
          <w:color w:val="auto"/>
          <w:kern w:val="0"/>
          <w:szCs w:val="21"/>
          <w:highlight w:val="none"/>
        </w:rPr>
      </w:pPr>
      <w:r>
        <w:rPr>
          <w:snapToGrid w:val="0"/>
          <w:color w:val="auto"/>
          <w:kern w:val="0"/>
          <w:szCs w:val="21"/>
          <w:highlight w:val="none"/>
        </w:rPr>
        <w:t>本企业对上述声明内容的真实性负责。如有虚假，将依法承担相应责任。</w:t>
      </w:r>
    </w:p>
    <w:p w14:paraId="2A9443F8">
      <w:pPr>
        <w:spacing w:line="360" w:lineRule="auto"/>
        <w:jc w:val="left"/>
        <w:rPr>
          <w:b/>
          <w:bCs/>
          <w:snapToGrid w:val="0"/>
          <w:color w:val="auto"/>
          <w:kern w:val="0"/>
          <w:szCs w:val="21"/>
          <w:highlight w:val="none"/>
        </w:rPr>
      </w:pPr>
      <w:r>
        <w:rPr>
          <w:snapToGrid w:val="0"/>
          <w:color w:val="auto"/>
          <w:kern w:val="0"/>
          <w:szCs w:val="21"/>
          <w:highlight w:val="none"/>
        </w:rPr>
        <w:t>备注：</w:t>
      </w:r>
      <w:r>
        <w:rPr>
          <w:b/>
          <w:bCs/>
          <w:snapToGrid w:val="0"/>
          <w:color w:val="auto"/>
          <w:kern w:val="0"/>
          <w:szCs w:val="21"/>
          <w:highlight w:val="none"/>
        </w:rPr>
        <w:t>（1）从业人员、营业收入、资产总额填报上一年度数据，无上一年度数据的新成立企业可不填报。</w:t>
      </w:r>
    </w:p>
    <w:p w14:paraId="1602E3B7">
      <w:pPr>
        <w:spacing w:line="360" w:lineRule="auto"/>
        <w:jc w:val="left"/>
        <w:rPr>
          <w:b/>
          <w:bCs/>
          <w:snapToGrid w:val="0"/>
          <w:color w:val="auto"/>
          <w:kern w:val="0"/>
          <w:szCs w:val="21"/>
          <w:highlight w:val="none"/>
        </w:rPr>
      </w:pPr>
      <w:r>
        <w:rPr>
          <w:b/>
          <w:bCs/>
          <w:snapToGrid w:val="0"/>
          <w:color w:val="auto"/>
          <w:kern w:val="0"/>
          <w:szCs w:val="21"/>
          <w:highlight w:val="none"/>
        </w:rPr>
        <w:t>（2）上述“相关企业”包括：拟承接本项目全部服务的中小企业、联合体中的中小企业、签订分包意向协议的中小企业；</w:t>
      </w:r>
    </w:p>
    <w:p w14:paraId="065DD61D">
      <w:pPr>
        <w:spacing w:line="360" w:lineRule="auto"/>
        <w:jc w:val="left"/>
        <w:rPr>
          <w:b/>
          <w:bCs/>
          <w:snapToGrid w:val="0"/>
          <w:color w:val="auto"/>
          <w:kern w:val="0"/>
          <w:szCs w:val="21"/>
          <w:highlight w:val="none"/>
        </w:rPr>
      </w:pPr>
      <w:r>
        <w:rPr>
          <w:b/>
          <w:bCs/>
          <w:snapToGrid w:val="0"/>
          <w:color w:val="auto"/>
          <w:kern w:val="0"/>
          <w:szCs w:val="21"/>
          <w:highlight w:val="none"/>
        </w:rPr>
        <w:t>（3）供应商如未按要求提供此声明函，报价将不做相应扣除；中标（成交）供应商如享受本项目中小企业扶持政策的，其《中小企业声明函》将随本项目的中标（成交）结果同时公告，接受社会监督；</w:t>
      </w:r>
    </w:p>
    <w:p w14:paraId="7C3AD737">
      <w:pPr>
        <w:spacing w:line="360" w:lineRule="auto"/>
        <w:jc w:val="left"/>
        <w:rPr>
          <w:b/>
          <w:bCs/>
          <w:snapToGrid w:val="0"/>
          <w:color w:val="auto"/>
          <w:kern w:val="0"/>
          <w:szCs w:val="21"/>
          <w:highlight w:val="none"/>
        </w:rPr>
      </w:pPr>
    </w:p>
    <w:p w14:paraId="7C4909CF">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55"/>
    <w:bookmarkEnd w:id="5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0C3E0FA2">
      <w:pPr>
        <w:widowControl/>
        <w:shd w:val="clear" w:color="auto" w:fill="FFFFFF"/>
        <w:spacing w:line="360" w:lineRule="auto"/>
        <w:ind w:firstLine="420"/>
      </w:pPr>
      <w:r>
        <w:rPr>
          <w:rFonts w:hint="eastAsia"/>
          <w:b/>
          <w:bCs/>
          <w:color w:val="auto"/>
          <w:kern w:val="0"/>
          <w:szCs w:val="21"/>
          <w:highlight w:val="none"/>
          <w:u w:val="single"/>
        </w:rPr>
        <w:t>（三）</w:t>
      </w:r>
      <w:r>
        <w:rPr>
          <w:rFonts w:ascii="宋体" w:hAnsi="宋体" w:eastAsia="宋体" w:cs="宋体"/>
          <w:b/>
          <w:bCs/>
          <w:color w:val="auto"/>
          <w:sz w:val="21"/>
          <w:szCs w:val="21"/>
          <w:highlight w:val="none"/>
          <w:u w:val="single"/>
        </w:rPr>
        <w:t>本项目为专门面向中小企业采购项目</w:t>
      </w:r>
      <w:r>
        <w:rPr>
          <w:rFonts w:hint="eastAsia" w:ascii="宋体" w:hAnsi="宋体" w:eastAsia="宋体" w:cs="宋体"/>
          <w:b/>
          <w:bCs/>
          <w:color w:val="auto"/>
          <w:sz w:val="21"/>
          <w:szCs w:val="21"/>
          <w:highlight w:val="none"/>
          <w:u w:val="single"/>
        </w:rPr>
        <w:t>（提供中小企业声明函）</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本项目采购标的物属于:</w:t>
      </w:r>
      <w:r>
        <w:rPr>
          <w:rFonts w:hint="eastAsia" w:ascii="宋体" w:hAnsi="宋体" w:cs="宋体"/>
          <w:b/>
          <w:bCs/>
          <w:color w:val="auto"/>
          <w:sz w:val="21"/>
          <w:szCs w:val="21"/>
          <w:highlight w:val="none"/>
          <w:u w:val="single"/>
          <w:lang w:val="en-US" w:eastAsia="zh-CN"/>
        </w:rPr>
        <w:t>其他未列明行业</w:t>
      </w:r>
      <w:r>
        <w:rPr>
          <w:rFonts w:hint="eastAsia"/>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w:t>
      </w:r>
      <w:r>
        <w:rPr>
          <w:rFonts w:hint="eastAsia"/>
          <w:color w:val="auto"/>
          <w:kern w:val="0"/>
          <w:szCs w:val="21"/>
          <w:highlight w:val="none"/>
          <w:u w:val="single"/>
          <w:lang w:val="en-US" w:eastAsia="zh-CN"/>
        </w:rPr>
        <w:t>四</w:t>
      </w:r>
      <w:r>
        <w:rPr>
          <w:rFonts w:hint="eastAsia"/>
          <w:color w:val="auto"/>
          <w:kern w:val="0"/>
          <w:szCs w:val="21"/>
          <w:highlight w:val="none"/>
          <w:u w:val="single"/>
        </w:rPr>
        <w:t>）联合体协议（如有，明确约定联合体各方承担的工作和相应的责任）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江苏省省属船闸运行方案编制报批训练中心速度训练器采购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ascii="Segoe UI" w:hAnsi="Segoe UI" w:eastAsia="Segoe UI" w:cs="Segoe UI"/>
        <w:b w:val="0"/>
        <w:bCs w:val="0"/>
        <w:i w:val="0"/>
        <w:iCs w:val="0"/>
        <w:caps w:val="0"/>
        <w:spacing w:val="0"/>
        <w:sz w:val="21"/>
        <w:szCs w:val="21"/>
        <w:shd w:val="clear" w:fill="FFFFFF"/>
      </w:rPr>
      <w:t>省属船闸运行方案编制报批</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rPr>
        <w:rFonts w:hint="eastAsia"/>
        <w:sz w:val="36"/>
        <w:szCs w:val="36"/>
      </w:rPr>
    </w:lvl>
    <w:lvl w:ilvl="1" w:tentative="0">
      <w:start w:val="1"/>
      <w:numFmt w:val="none"/>
      <w:pStyle w:val="2"/>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5EE3433"/>
    <w:rsid w:val="161C05C8"/>
    <w:rsid w:val="1622760D"/>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9E1ABC"/>
    <w:rsid w:val="19A144DF"/>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2A5036"/>
    <w:rsid w:val="1C36433C"/>
    <w:rsid w:val="1C376E21"/>
    <w:rsid w:val="1C427076"/>
    <w:rsid w:val="1C504438"/>
    <w:rsid w:val="1C607E4F"/>
    <w:rsid w:val="1C721035"/>
    <w:rsid w:val="1C887DF5"/>
    <w:rsid w:val="1C89288A"/>
    <w:rsid w:val="1CA47846"/>
    <w:rsid w:val="1CD565D5"/>
    <w:rsid w:val="1CD777BF"/>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5974D2"/>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05D2B"/>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6D2E3E"/>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59382D"/>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386BCF"/>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10F7B"/>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C32359"/>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3173C4"/>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875714"/>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B067C2"/>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03269"/>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4485A"/>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614A1E"/>
    <w:rsid w:val="717148E2"/>
    <w:rsid w:val="718176C8"/>
    <w:rsid w:val="719A5803"/>
    <w:rsid w:val="719F53DF"/>
    <w:rsid w:val="71BB1264"/>
    <w:rsid w:val="71C14470"/>
    <w:rsid w:val="71DD01AD"/>
    <w:rsid w:val="71E01DDD"/>
    <w:rsid w:val="71F53885"/>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E32885"/>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2A3DBC"/>
    <w:rsid w:val="78376308"/>
    <w:rsid w:val="783D4AFF"/>
    <w:rsid w:val="7840297E"/>
    <w:rsid w:val="784415E2"/>
    <w:rsid w:val="784D30F3"/>
    <w:rsid w:val="785D5482"/>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6410EB"/>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2">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link w:val="74"/>
    <w:qFormat/>
    <w:uiPriority w:val="0"/>
    <w:pPr>
      <w:spacing w:line="360" w:lineRule="auto"/>
      <w:ind w:firstLine="422" w:firstLineChars="200"/>
    </w:pPr>
    <w:rPr>
      <w:rFonts w:ascii="宋体" w:hAnsi="宋体"/>
      <w:b/>
      <w:szCs w:val="21"/>
    </w:rPr>
  </w:style>
  <w:style w:type="paragraph" w:styleId="21">
    <w:name w:val="List 2"/>
    <w:basedOn w:val="1"/>
    <w:qFormat/>
    <w:uiPriority w:val="0"/>
    <w:pPr>
      <w:ind w:left="100" w:hanging="200"/>
    </w:pPr>
    <w:rPr>
      <w:kern w:val="0"/>
      <w:szCs w:val="21"/>
    </w:rPr>
  </w:style>
  <w:style w:type="paragraph" w:styleId="22">
    <w:name w:val="Block Text"/>
    <w:basedOn w:val="1"/>
    <w:unhideWhenUsed/>
    <w:qFormat/>
    <w:uiPriority w:val="99"/>
    <w:pPr>
      <w:spacing w:after="120"/>
      <w:ind w:left="1440" w:leftChars="700" w:right="1440" w:rightChars="700"/>
    </w:pPr>
  </w:style>
  <w:style w:type="paragraph" w:styleId="23">
    <w:name w:val="index 4"/>
    <w:basedOn w:val="1"/>
    <w:next w:val="1"/>
    <w:qFormat/>
    <w:uiPriority w:val="0"/>
    <w:pPr>
      <w:ind w:left="600" w:leftChars="600"/>
    </w:pPr>
  </w:style>
  <w:style w:type="paragraph" w:styleId="24">
    <w:name w:val="toc 5"/>
    <w:basedOn w:val="1"/>
    <w:next w:val="1"/>
    <w:semiHidden/>
    <w:qFormat/>
    <w:uiPriority w:val="0"/>
    <w:pPr>
      <w:ind w:left="840"/>
      <w:jc w:val="left"/>
    </w:pPr>
    <w:rPr>
      <w:kern w:val="0"/>
      <w:szCs w:val="21"/>
    </w:rPr>
  </w:style>
  <w:style w:type="paragraph" w:styleId="25">
    <w:name w:val="toc 3"/>
    <w:basedOn w:val="1"/>
    <w:next w:val="1"/>
    <w:semiHidden/>
    <w:qFormat/>
    <w:uiPriority w:val="0"/>
    <w:pPr>
      <w:ind w:left="420"/>
      <w:jc w:val="left"/>
    </w:pPr>
    <w:rPr>
      <w:i/>
      <w:iCs/>
      <w:kern w:val="0"/>
    </w:rPr>
  </w:style>
  <w:style w:type="paragraph" w:styleId="26">
    <w:name w:val="Plain Text"/>
    <w:basedOn w:val="1"/>
    <w:link w:val="262"/>
    <w:qFormat/>
    <w:uiPriority w:val="0"/>
    <w:rPr>
      <w:rFonts w:ascii="宋体" w:hAnsi="Courier New" w:cs="Courier New"/>
    </w:rPr>
  </w:style>
  <w:style w:type="paragraph" w:styleId="27">
    <w:name w:val="toc 8"/>
    <w:basedOn w:val="1"/>
    <w:next w:val="1"/>
    <w:semiHidden/>
    <w:qFormat/>
    <w:uiPriority w:val="0"/>
    <w:pPr>
      <w:ind w:left="1470"/>
      <w:jc w:val="left"/>
    </w:pPr>
    <w:rPr>
      <w:kern w:val="0"/>
      <w:szCs w:val="21"/>
    </w:rPr>
  </w:style>
  <w:style w:type="paragraph" w:styleId="28">
    <w:name w:val="Date"/>
    <w:basedOn w:val="1"/>
    <w:next w:val="1"/>
    <w:link w:val="109"/>
    <w:qFormat/>
    <w:uiPriority w:val="0"/>
    <w:rPr>
      <w:kern w:val="0"/>
      <w:sz w:val="24"/>
    </w:rPr>
  </w:style>
  <w:style w:type="paragraph" w:styleId="29">
    <w:name w:val="Body Text Indent 2"/>
    <w:basedOn w:val="1"/>
    <w:link w:val="110"/>
    <w:qFormat/>
    <w:uiPriority w:val="0"/>
    <w:pPr>
      <w:ind w:left="630" w:firstLine="645"/>
    </w:pPr>
    <w:rPr>
      <w:rFonts w:ascii="Arial" w:hAnsi="Arial" w:eastAsia="仿宋_GB2312" w:cs="Arial"/>
      <w:kern w:val="0"/>
      <w:sz w:val="32"/>
      <w:szCs w:val="32"/>
    </w:rPr>
  </w:style>
  <w:style w:type="paragraph" w:styleId="30">
    <w:name w:val="endnote text"/>
    <w:basedOn w:val="1"/>
    <w:link w:val="111"/>
    <w:semiHidden/>
    <w:unhideWhenUsed/>
    <w:qFormat/>
    <w:uiPriority w:val="99"/>
    <w:rPr>
      <w:kern w:val="0"/>
      <w:sz w:val="20"/>
      <w:szCs w:val="21"/>
    </w:rPr>
  </w:style>
  <w:style w:type="paragraph" w:styleId="31">
    <w:name w:val="Balloon Text"/>
    <w:basedOn w:val="1"/>
    <w:link w:val="75"/>
    <w:qFormat/>
    <w:uiPriority w:val="0"/>
    <w:rPr>
      <w:sz w:val="18"/>
      <w:szCs w:val="18"/>
    </w:rPr>
  </w:style>
  <w:style w:type="paragraph" w:styleId="32">
    <w:name w:val="footer"/>
    <w:basedOn w:val="1"/>
    <w:link w:val="76"/>
    <w:qFormat/>
    <w:uiPriority w:val="99"/>
    <w:pPr>
      <w:tabs>
        <w:tab w:val="center" w:pos="4153"/>
        <w:tab w:val="right" w:pos="8306"/>
      </w:tabs>
      <w:snapToGrid w:val="0"/>
      <w:jc w:val="left"/>
    </w:pPr>
    <w:rPr>
      <w:sz w:val="18"/>
      <w:szCs w:val="18"/>
    </w:rPr>
  </w:style>
  <w:style w:type="paragraph" w:styleId="33">
    <w:name w:val="envelope return"/>
    <w:basedOn w:val="1"/>
    <w:unhideWhenUsed/>
    <w:qFormat/>
    <w:uiPriority w:val="99"/>
    <w:pPr>
      <w:snapToGrid w:val="0"/>
    </w:pPr>
    <w:rPr>
      <w:rFonts w:ascii="Arial" w:hAnsi="Arial"/>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2"/>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1"/>
    <w:qFormat/>
    <w:uiPriority w:val="0"/>
    <w:rPr>
      <w:kern w:val="2"/>
      <w:sz w:val="18"/>
      <w:szCs w:val="18"/>
    </w:rPr>
  </w:style>
  <w:style w:type="character" w:customStyle="1" w:styleId="76">
    <w:name w:val="页脚 字符1"/>
    <w:link w:val="32"/>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2"/>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8"/>
    <w:qFormat/>
    <w:uiPriority w:val="0"/>
    <w:rPr>
      <w:sz w:val="24"/>
      <w:szCs w:val="24"/>
    </w:rPr>
  </w:style>
  <w:style w:type="character" w:customStyle="1" w:styleId="110">
    <w:name w:val="正文文本缩进 2 字符"/>
    <w:basedOn w:val="54"/>
    <w:link w:val="29"/>
    <w:qFormat/>
    <w:uiPriority w:val="0"/>
    <w:rPr>
      <w:rFonts w:ascii="Arial" w:hAnsi="Arial" w:eastAsia="仿宋_GB2312" w:cs="Arial"/>
      <w:sz w:val="32"/>
      <w:szCs w:val="32"/>
    </w:rPr>
  </w:style>
  <w:style w:type="character" w:customStyle="1" w:styleId="111">
    <w:name w:val="尾注文本 字符"/>
    <w:basedOn w:val="54"/>
    <w:link w:val="30"/>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6"/>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3"/>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9">
    <w:name w:val="列表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53</Pages>
  <Words>20667</Words>
  <Characters>21998</Characters>
  <Lines>1</Lines>
  <Paragraphs>1</Paragraphs>
  <TotalTime>14</TotalTime>
  <ScaleCrop>false</ScaleCrop>
  <LinksUpToDate>false</LinksUpToDate>
  <CharactersWithSpaces>22094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2026-09-07T06:43:01Z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C34D6C46FA48402481EBAB6F834379D6_13</vt:lpwstr>
  </property>
  <property fmtid="{D5CDD505-2E9C-101B-9397-08002B2CF9AE}" pid="4" name="KSOSaveFontToCloudKey">
    <vt:lpwstr>511707097_btnclosed</vt:lpwstr>
  </property>
  <property fmtid="{D5CDD505-2E9C-101B-9397-08002B2CF9AE}" pid="5" name="KSOTemplateDocerSaveRecord">
    <vt:lpwstr>eyJoZGlkIjoiOWQ4NzY5M2IzM2Q2OGYzZTVmNTk3NzBhN2JhZjZjYWYiLCJ1c2VySWQiOiIxMDQ1OTkyNDcwIn0=</vt:lpwstr>
  </property>
</Properties>
</file>