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西苑医院苏州医院后勤综合服务</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eastAsia="zh-CN"/>
        </w:rPr>
        <w:t xml:space="preserve">9月9日13点30分</w:t>
      </w:r>
      <w:r>
        <w:rPr>
          <w:rFonts w:hint="eastAsia" w:ascii="宋体" w:hAnsi="宋体"/>
          <w:color w:val="auto"/>
          <w:sz w:val="24"/>
          <w:szCs w:val="24"/>
          <w:highlight w:val="none"/>
        </w:rPr>
        <w:t xml:space="preserve">（北京时间）前递交电子投标文件。</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rPr>
        <w:t xml:space="preserve">JSZC-320500-SZWK-G2026-0241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2、项目名称：西苑医院苏州医院后勤综合服务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3、采购内容、采购预算及最高限价：</w:t>
      </w:r>
      <w:r/>
    </w:p>
    <w:tbl>
      <w:tblPr>
        <w:tblStyle w:val="739"/>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3"/>
        <w:gridCol w:w="2675"/>
        <w:gridCol w:w="2200"/>
        <w:gridCol w:w="2255"/>
      </w:tblGrid>
      <w:tr>
        <w:trPr>
          <w:trHeight w:val="340"/>
        </w:trPr>
        <w:tc>
          <w:tcPr>
            <w:tcW w:w="1483"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采购包号</w:t>
            </w:r>
            <w:r/>
          </w:p>
        </w:tc>
        <w:tc>
          <w:tcPr>
            <w:tcW w:w="2675" w:type="dxa"/>
            <w:vAlign w:val="center"/>
            <w:textDirection w:val="lrTb"/>
            <w:noWrap w:val="false"/>
          </w:tcPr>
          <w:p>
            <w:pPr>
              <w:pStyle w:val="763"/>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采购内容</w:t>
            </w:r>
            <w:r/>
          </w:p>
        </w:tc>
        <w:tc>
          <w:tcPr>
            <w:tcW w:w="22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预算金额（万元）</w:t>
            </w:r>
            <w:r/>
          </w:p>
        </w:tc>
        <w:tc>
          <w:tcPr>
            <w:tcW w:w="22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最高限价（万元）</w:t>
            </w:r>
            <w:r/>
          </w:p>
        </w:tc>
      </w:tr>
      <w:tr>
        <w:trPr>
          <w:trHeight w:val="359"/>
        </w:trPr>
        <w:tc>
          <w:tcPr>
            <w:tcW w:w="1483"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p>
        </w:tc>
        <w:tc>
          <w:tcPr>
            <w:tcW w:w="2675" w:type="dxa"/>
            <w:vAlign w:val="center"/>
            <w:textDirection w:val="lrTb"/>
            <w:noWrap w:val="false"/>
          </w:tcPr>
          <w:p>
            <w:pPr>
              <w:pStyle w:val="763"/>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安保服务</w:t>
            </w:r>
            <w:r/>
          </w:p>
        </w:tc>
        <w:tc>
          <w:tcPr>
            <w:tcW w:w="22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443.262</w:t>
            </w:r>
            <w:r/>
          </w:p>
        </w:tc>
        <w:tc>
          <w:tcPr>
            <w:tcW w:w="22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443.262</w:t>
            </w:r>
            <w:r/>
          </w:p>
        </w:tc>
      </w:tr>
      <w:tr>
        <w:trPr>
          <w:trHeight w:val="340"/>
        </w:trPr>
        <w:tc>
          <w:tcPr>
            <w:tcW w:w="1483"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2675" w:type="dxa"/>
            <w:vAlign w:val="center"/>
            <w:textDirection w:val="lrTb"/>
            <w:noWrap w:val="false"/>
          </w:tcPr>
          <w:p>
            <w:pPr>
              <w:pStyle w:val="763"/>
              <w:ind w:left="0"/>
              <w:jc w:val="left"/>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配电运维服务</w:t>
            </w:r>
            <w:r/>
          </w:p>
        </w:tc>
        <w:tc>
          <w:tcPr>
            <w:tcW w:w="22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65.3</w:t>
            </w:r>
            <w:r/>
          </w:p>
        </w:tc>
        <w:tc>
          <w:tcPr>
            <w:tcW w:w="22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65.3</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采购包1：包含西苑医院苏州医院的门岗值守、安检服务、消控值守服务、车辆引导、停车秩序维护及停车收费服务等安保服务。</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采购包2：包括西苑医院苏州医院下述地点：吴中区苏蠡路138号10KV高压供电线路、变电所、输出母线、柴油发电机房的管理、数据分析、设备维护等内容；</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采购包1：合同签订后壹年；</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采购包2：合同签订后壹年；</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（2）服务地点：西苑医院苏州医院指定地点：苏州市吴中区澄湖西路318号。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2.落实政府采购政策需满足的资格要求：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本项目专门面向中小企业采购。投标人所属行业：采购包1为</w:t>
      </w:r>
      <w:r>
        <w:rPr>
          <w:rFonts w:hint="eastAsia" w:ascii="宋体" w:hAnsi="宋体" w:cs="宋体"/>
          <w:color w:val="auto"/>
          <w:sz w:val="24"/>
          <w:szCs w:val="24"/>
          <w:highlight w:val="none"/>
          <w:u w:val="single"/>
        </w:rPr>
        <w:t xml:space="preserve">租赁和商务服务业</w:t>
      </w:r>
      <w:r>
        <w:rPr>
          <w:rFonts w:hint="eastAsia" w:ascii="宋体" w:hAnsi="宋体" w:cs="宋体"/>
          <w:color w:val="auto"/>
          <w:sz w:val="24"/>
          <w:szCs w:val="24"/>
          <w:highlight w:val="none"/>
        </w:rPr>
        <w:t xml:space="preserve">，采购包2为</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采购包1：投标人具有公安部门颁发的保安服务许可证。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（1）投标人具备电力工程施工总承包贰级及以上资质。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（2）投标人具备承装(修、试)电力设施许可三级及以上资质。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（3）投标人具备安全生产许可证。</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hint="eastAsia"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hint="eastAsia"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hint="eastAsia"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1、上传投标文件截止时间：2026年</w:t>
      </w:r>
      <w:r>
        <w:rPr>
          <w:rFonts w:hint="eastAsia"/>
          <w:color w:val="auto"/>
          <w:highlight w:val="none"/>
          <w:lang w:eastAsia="zh-CN"/>
        </w:rPr>
        <w:t xml:space="preserve">9月9日13点30分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2、开标时间：2026年</w:t>
      </w:r>
      <w:r>
        <w:rPr>
          <w:rFonts w:hint="eastAsia"/>
          <w:color w:val="auto"/>
          <w:highlight w:val="none"/>
          <w:lang w:eastAsia="zh-CN"/>
        </w:rPr>
        <w:t xml:space="preserve">9月9日13点30分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color w:val="auto"/>
          <w:highlight w:val="none"/>
        </w:rPr>
      </w:pPr>
      <w:r>
        <w:rPr>
          <w:rFonts w:hint="eastAsia"/>
          <w:color w:val="auto"/>
          <w:highlight w:val="none"/>
        </w:rPr>
        <w:t xml:space="preserve">名称：西苑医院苏州医院</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苏州市吴中区澄湖西路318号</w:t>
      </w:r>
      <w:r/>
    </w:p>
    <w:p>
      <w:pPr>
        <w:pStyle w:val="746"/>
        <w:ind w:firstLine="480"/>
        <w:spacing w:line="240" w:lineRule="auto"/>
        <w:rPr>
          <w:color w:val="auto"/>
          <w:highlight w:val="none"/>
        </w:rPr>
      </w:pPr>
      <w:r>
        <w:rPr>
          <w:rFonts w:hint="eastAsia"/>
          <w:color w:val="auto"/>
          <w:highlight w:val="none"/>
        </w:rPr>
        <w:t xml:space="preserve">联系人：徐洪</w:t>
      </w:r>
      <w:r/>
    </w:p>
    <w:p>
      <w:pPr>
        <w:pStyle w:val="746"/>
        <w:ind w:firstLine="480"/>
        <w:spacing w:line="240" w:lineRule="auto"/>
        <w:rPr>
          <w:color w:val="auto"/>
          <w:highlight w:val="none"/>
        </w:rPr>
      </w:pPr>
      <w:r>
        <w:rPr>
          <w:rFonts w:hint="eastAsia"/>
          <w:color w:val="auto"/>
          <w:highlight w:val="none"/>
        </w:rPr>
        <w:t xml:space="preserve">联系电话：0512-67870690</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pStyle w:val="746"/>
        <w:ind w:firstLine="480"/>
        <w:jc w:val="right"/>
        <w:spacing w:line="240" w:lineRule="auto"/>
        <w:rPr>
          <w:color w:val="auto"/>
          <w:highlight w:val="none"/>
        </w:rPr>
      </w:pPr>
      <w:r>
        <w:rPr>
          <w:rFonts w:hint="eastAsia"/>
          <w:color w:val="auto"/>
          <w:highlight w:val="none"/>
        </w:rPr>
        <w:t xml:space="preserve"> 苏州市卫康招投标咨询服务有限公司</w:t>
      </w:r>
      <w:r/>
    </w:p>
    <w:p>
      <w:pPr>
        <w:jc w:val="center"/>
        <w:rPr>
          <w:rFonts w:hint="eastAsia"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采购编号：JSZC-320500-SZWK-G2026-0241号</w:t>
      </w:r>
      <w:r/>
    </w:p>
    <w:p>
      <w:pPr>
        <w:ind w:firstLine="1800"/>
        <w:spacing w:line="480" w:lineRule="auto"/>
        <w:rPr>
          <w:color w:val="auto"/>
          <w:sz w:val="30"/>
          <w:szCs w:val="30"/>
          <w:highlight w:val="none"/>
        </w:rPr>
      </w:pPr>
      <w:r>
        <w:rPr>
          <w:rFonts w:hint="eastAsia"/>
          <w:color w:val="auto"/>
          <w:sz w:val="30"/>
          <w:szCs w:val="30"/>
          <w:highlight w:val="none"/>
        </w:rPr>
        <w:t xml:space="preserve">采购项目：西苑医院苏州医院后勤综合服务</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西苑医院苏州医院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hint="eastAsia" w:ascii="宋体" w:hAnsi="宋体"/>
          <w:b/>
          <w:bCs/>
          <w:color w:val="auto"/>
          <w:sz w:val="30"/>
          <w:highlight w:val="none"/>
        </w:rPr>
      </w:pPr>
      <w:r>
        <w:rPr>
          <w:rFonts w:hint="eastAsia" w:ascii="宋体" w:hAnsi="宋体"/>
          <w:color w:val="auto"/>
          <w:sz w:val="30"/>
          <w:highlight w:val="none"/>
        </w:rPr>
        <w:t xml:space="preserve">二〇二六年八月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rFonts w:hint="eastAsia"/>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JSZC-320500-SZWK-G2026-0241</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西苑医院苏州医院后勤综合服务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西苑医院苏州医院</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联系人：徐洪</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联系电话：0512-67870690</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hint="eastAsia"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2026年9月9日13点30分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2026年9月9日13点30分</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rPr>
              <w:t xml:space="preserve">本项目的中标服务费第一采购包为</w:t>
            </w:r>
            <w:r>
              <w:rPr>
                <w:rFonts w:hint="eastAsia" w:ascii="宋体" w:hAnsi="宋体"/>
                <w:color w:val="auto"/>
                <w:szCs w:val="21"/>
                <w:highlight w:val="none"/>
                <w:lang w:val="zh-CN"/>
              </w:rPr>
              <w:t xml:space="preserve">52758.82</w:t>
            </w:r>
            <w:r>
              <w:rPr>
                <w:rFonts w:hint="eastAsia" w:ascii="宋体" w:hAnsi="宋体"/>
                <w:color w:val="auto"/>
                <w:szCs w:val="21"/>
                <w:highlight w:val="none"/>
              </w:rPr>
              <w:t xml:space="preserve">元</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第二采购包：9795元。</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bookmarkStart w:id="19" w:name="_GoBack"/>
      <w:r/>
      <w:bookmarkEnd w:id="19"/>
      <w:r>
        <w:rPr>
          <w:rFonts w:ascii="宋体" w:hAnsi="宋体"/>
          <w:b/>
          <w:bCs/>
          <w:color w:val="auto"/>
          <w:spacing w:val="-14"/>
          <w:sz w:val="30"/>
          <w:highlight w:val="none"/>
        </w:rPr>
        <w:br w:type="page" w:clear="all"/>
      </w:r>
      <w:bookmarkEnd w:id="2"/>
      <w:r/>
      <w:bookmarkStart w:id="3" w:name="_Hlk131152744"/>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768"/>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rFonts w:hint="eastAsia"/>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768"/>
        <w:jc w:val="center"/>
        <w:spacing w:before="0" w:beforeAutospacing="0" w:after="0" w:afterAutospacing="0" w:line="360" w:lineRule="auto"/>
        <w:tabs>
          <w:tab w:val="right" w:pos="8302" w:leader="dot"/>
        </w:tabs>
        <w:rPr>
          <w:rFonts w:hint="eastAsia"/>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苏州市卫康招投标咨询服务有限公司受西苑医院苏州医院委托，对其西苑医院苏州医院后勤综合服务进行国内公开招标采购，欢迎符合招标公告投标资格条件的各公司前来报名参加投标。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1、采购编号：JSZC-320500-SZWK-G2026-0241号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2、采购项目名称：西苑医院苏州医院后勤综合服务</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3、采购内容及预算：</w:t>
      </w:r>
      <w:r/>
    </w:p>
    <w:tbl>
      <w:tblPr>
        <w:tblStyle w:val="739"/>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3"/>
        <w:gridCol w:w="2675"/>
        <w:gridCol w:w="2200"/>
        <w:gridCol w:w="2255"/>
      </w:tblGrid>
      <w:tr>
        <w:trPr>
          <w:trHeight w:val="340"/>
        </w:trPr>
        <w:tc>
          <w:tcPr>
            <w:tcW w:w="1483"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采购包号</w:t>
            </w:r>
            <w:r/>
          </w:p>
        </w:tc>
        <w:tc>
          <w:tcPr>
            <w:tcW w:w="2675" w:type="dxa"/>
            <w:vAlign w:val="center"/>
            <w:textDirection w:val="lrTb"/>
            <w:noWrap w:val="false"/>
          </w:tcPr>
          <w:p>
            <w:pPr>
              <w:pStyle w:val="763"/>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采购内容</w:t>
            </w:r>
            <w:r/>
          </w:p>
        </w:tc>
        <w:tc>
          <w:tcPr>
            <w:tcW w:w="22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预算金额（万元）</w:t>
            </w:r>
            <w:r/>
          </w:p>
        </w:tc>
        <w:tc>
          <w:tcPr>
            <w:tcW w:w="22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最高限价（万元）</w:t>
            </w:r>
            <w:r/>
          </w:p>
        </w:tc>
      </w:tr>
      <w:tr>
        <w:trPr>
          <w:trHeight w:val="359"/>
        </w:trPr>
        <w:tc>
          <w:tcPr>
            <w:tcW w:w="1483"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p>
        </w:tc>
        <w:tc>
          <w:tcPr>
            <w:tcW w:w="2675" w:type="dxa"/>
            <w:vAlign w:val="center"/>
            <w:textDirection w:val="lrTb"/>
            <w:noWrap w:val="false"/>
          </w:tcPr>
          <w:p>
            <w:pPr>
              <w:pStyle w:val="763"/>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安保服务</w:t>
            </w:r>
            <w:r/>
          </w:p>
        </w:tc>
        <w:tc>
          <w:tcPr>
            <w:tcW w:w="22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443.262</w:t>
            </w:r>
            <w:r/>
          </w:p>
        </w:tc>
        <w:tc>
          <w:tcPr>
            <w:tcW w:w="22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443.262</w:t>
            </w:r>
            <w:r/>
          </w:p>
        </w:tc>
      </w:tr>
      <w:tr>
        <w:trPr>
          <w:trHeight w:val="340"/>
        </w:trPr>
        <w:tc>
          <w:tcPr>
            <w:tcW w:w="1483"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p>
        </w:tc>
        <w:tc>
          <w:tcPr>
            <w:tcW w:w="2675" w:type="dxa"/>
            <w:vAlign w:val="center"/>
            <w:textDirection w:val="lrTb"/>
            <w:noWrap w:val="false"/>
          </w:tcPr>
          <w:p>
            <w:pPr>
              <w:pStyle w:val="763"/>
              <w:ind w:left="0"/>
              <w:jc w:val="left"/>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配电运维服务</w:t>
            </w:r>
            <w:r/>
          </w:p>
        </w:tc>
        <w:tc>
          <w:tcPr>
            <w:tcW w:w="2200"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65.3</w:t>
            </w:r>
            <w:r/>
          </w:p>
        </w:tc>
        <w:tc>
          <w:tcPr>
            <w:tcW w:w="2255" w:type="dxa"/>
            <w:vAlign w:val="center"/>
            <w:textDirection w:val="lrTb"/>
            <w:noWrap w:val="false"/>
          </w:tcPr>
          <w:p>
            <w:pPr>
              <w:pStyle w:val="763"/>
              <w:ind w:left="0"/>
              <w:jc w:val="center"/>
              <w:spacing w:after="0" w:line="320" w:lineRule="exact"/>
              <w:tabs>
                <w:tab w:val="left" w:pos="5100" w:leader="none"/>
              </w:tabs>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65.3</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6、上传投标文件截止时间：2026年</w:t>
      </w:r>
      <w:r>
        <w:rPr>
          <w:rFonts w:hint="eastAsia" w:ascii="宋体" w:hAnsi="宋体"/>
          <w:color w:val="auto"/>
          <w:szCs w:val="21"/>
          <w:highlight w:val="none"/>
          <w:lang w:eastAsia="zh-CN"/>
        </w:rPr>
        <w:t xml:space="preserve">9月9日13点30分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7、开标时间：2026年</w:t>
      </w:r>
      <w:r>
        <w:rPr>
          <w:rFonts w:hint="eastAsia" w:ascii="宋体" w:hAnsi="宋体"/>
          <w:color w:val="auto"/>
          <w:szCs w:val="21"/>
          <w:highlight w:val="none"/>
          <w:lang w:eastAsia="zh-CN"/>
        </w:rPr>
        <w:t xml:space="preserve">9月9日13点30分</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西苑医院苏州医院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联系人：徐洪</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联系电话：0512-67870690</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hint="eastAsia"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Cs w:val="21"/>
          <w:highlight w:val="none"/>
        </w:rPr>
      </w:pPr>
      <w:r>
        <w:rPr>
          <w:rFonts w:hint="eastAsia" w:ascii="宋体" w:hAnsi="宋体"/>
          <w:color w:val="auto"/>
          <w:szCs w:val="21"/>
          <w:highlight w:val="none"/>
        </w:rPr>
      </w:r>
      <w:r/>
    </w:p>
    <w:p>
      <w:pPr>
        <w:ind w:right="-159" w:firstLine="420"/>
        <w:jc w:val="right"/>
        <w:spacing w:line="400" w:lineRule="exact"/>
        <w:rPr>
          <w:rFonts w:hint="eastAsia"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hint="eastAsia"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3.2本项目的特定资格要求：</w:t>
      </w:r>
      <w:r/>
    </w:p>
    <w:p>
      <w:pPr>
        <w:ind w:firstLine="420"/>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采购包1：投标人具有公安部门颁发的保安服务许可证。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采购包2：</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（1）投标人具备电力工程施工总承包贰级及以上资质。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（2）投标人具备承装(修、试)电力设施许可三级及以上资质。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（3）投标人具备安全生产许可证。</w:t>
      </w:r>
      <w:r/>
    </w:p>
    <w:p>
      <w:pPr>
        <w:ind w:firstLine="420"/>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3.3 中小企业或残疾人福利性单位或监狱企业的证明。</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en-US"/>
        </w:rPr>
        <w:t xml:space="preserve">10.7</w:t>
      </w:r>
      <w:r>
        <w:rPr>
          <w:rFonts w:ascii="宋体" w:hAnsi="宋体"/>
          <w:color w:val="auto"/>
          <w:szCs w:val="21"/>
          <w:highlight w:val="none"/>
          <w:lang w:val="zh-CN"/>
        </w:rPr>
        <w:t xml:space="preserve">收件人</w:t>
      </w:r>
      <w:r>
        <w:rPr>
          <w:rFonts w:ascii="宋体" w:hAnsi="宋体"/>
          <w:color w:val="auto"/>
          <w:szCs w:val="21"/>
          <w:highlight w:val="none"/>
          <w:lang w:val="en-US"/>
        </w:rPr>
        <w:t xml:space="preserve">：</w:t>
      </w:r>
      <w:r>
        <w:rPr>
          <w:rFonts w:hint="eastAsia" w:ascii="宋体" w:hAnsi="宋体"/>
          <w:color w:val="auto"/>
          <w:szCs w:val="21"/>
          <w:highlight w:val="none"/>
        </w:rPr>
        <w:t xml:space="preserve">季女士（前台）</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hint="eastAsia"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color w:val="auto"/>
          <w:szCs w:val="21"/>
          <w:highlight w:val="none"/>
        </w:rPr>
      </w:pPr>
      <w:r>
        <w:rPr>
          <w:rFonts w:hint="eastAsia"/>
          <w:color w:val="auto"/>
          <w:szCs w:val="21"/>
          <w:highlight w:val="none"/>
        </w:rPr>
        <w:t xml:space="preserve">3.6提供特定资格要求证明材料。</w:t>
      </w:r>
      <w:r/>
    </w:p>
    <w:p>
      <w:pPr>
        <w:ind w:right="-161" w:firstLine="420"/>
        <w:spacing w:line="400" w:lineRule="exact"/>
        <w:rPr>
          <w:b/>
          <w:bCs/>
          <w:color w:val="auto"/>
          <w:szCs w:val="21"/>
          <w:highlight w:val="none"/>
        </w:rPr>
      </w:pPr>
      <w:r>
        <w:rPr>
          <w:rFonts w:hint="eastAsia"/>
          <w:b/>
          <w:bCs/>
          <w:color w:val="auto"/>
          <w:szCs w:val="21"/>
          <w:highlight w:val="none"/>
        </w:rPr>
        <w:t xml:space="preserve">3.7</w:t>
      </w:r>
      <w:r>
        <w:rPr>
          <w:rFonts w:hint="eastAsia" w:ascii="宋体" w:hAnsi="宋体"/>
          <w:b/>
          <w:bCs/>
          <w:color w:val="auto"/>
          <w:szCs w:val="21"/>
          <w:highlight w:val="none"/>
        </w:rPr>
        <w:t xml:space="preserve">中小企业或残疾人福利性单位或监狱企业的证明材料。</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0"/>
        <w:spacing w:line="400" w:lineRule="exact"/>
        <w:rPr>
          <w:rFonts w:hint="eastAsia" w:ascii="宋体" w:hAnsi="宋体"/>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1pt;height:56.8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hint="eastAsia"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lang w:val="en-US"/>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lang w:val="en-US"/>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lang w:val="en-US"/>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lang w:val="en-US"/>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lang w:val="en-US"/>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lang w:val="en-US"/>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int="eastAsia"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int="eastAsia"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rPr>
        <w:t xml:space="preserve">65</w:t>
      </w:r>
      <w:r>
        <w:rPr>
          <w:rFonts w:hint="eastAsia" w:hAnsi="宋体"/>
          <w:b/>
          <w:color w:val="auto"/>
          <w:szCs w:val="21"/>
          <w:highlight w:val="none"/>
          <w:lang w:val="zh-CN"/>
        </w:rPr>
        <w:t xml:space="preserve">%；</w:t>
      </w:r>
      <w:r/>
    </w:p>
    <w:p>
      <w:pPr>
        <w:ind w:firstLine="422"/>
        <w:spacing w:line="360" w:lineRule="auto"/>
        <w:rPr>
          <w:rFonts w:hint="eastAsia"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rPr>
        <w:t xml:space="preserve">65</w:t>
      </w:r>
      <w:r>
        <w:rPr>
          <w:rFonts w:hint="eastAsia" w:hAnsi="宋体"/>
          <w:b/>
          <w:color w:val="auto"/>
          <w:szCs w:val="21"/>
          <w:highlight w:val="none"/>
          <w:lang w:val="zh-CN"/>
        </w:rPr>
        <w:t xml:space="preserve">%；</w:t>
      </w:r>
      <w:r/>
    </w:p>
    <w:p>
      <w:pPr>
        <w:ind w:firstLine="422"/>
        <w:spacing w:line="360" w:lineRule="auto"/>
        <w:rPr>
          <w:rFonts w:hint="eastAsia"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rPr>
        <w:t xml:space="preserve">65</w:t>
      </w:r>
      <w:r>
        <w:rPr>
          <w:rFonts w:hint="eastAsia" w:hAnsi="宋体"/>
          <w:b/>
          <w:color w:val="auto"/>
          <w:szCs w:val="21"/>
          <w:highlight w:val="none"/>
          <w:lang w:val="zh-CN"/>
        </w:rPr>
        <w:t xml:space="preserve">%；</w:t>
      </w:r>
      <w:r/>
    </w:p>
    <w:p>
      <w:pPr>
        <w:ind w:firstLine="422"/>
        <w:spacing w:line="360" w:lineRule="auto"/>
        <w:rPr>
          <w:rFonts w:hint="eastAsia"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hint="eastAsia"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hint="eastAsia" w:ascii="宋体" w:hAnsi="宋体"/>
          <w:b/>
          <w:bCs/>
          <w:color w:val="auto"/>
          <w:sz w:val="32"/>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8" w:name="_Hlk99527780"/>
      <w:r/>
      <w:bookmarkStart w:id="9" w:name="_Hlk131152848"/>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731"/>
        <w:spacing w:line="420" w:lineRule="exact"/>
        <w:rPr>
          <w:rFonts w:hint="eastAsia"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hint="eastAsia"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400" w:lineRule="exact"/>
        <w:rPr>
          <w:rFonts w:hint="eastAsia"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采购编号：JSZC-320500-SZWK-G2026-0241号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0"/>
        <w:rPr>
          <w:rFonts w:hint="eastAsia" w:ascii="宋体" w:hAnsi="宋体"/>
          <w:color w:val="auto"/>
          <w:szCs w:val="21"/>
          <w:highlight w:val="none"/>
        </w:rPr>
      </w:pPr>
      <w:r>
        <w:rPr>
          <w:rFonts w:hint="eastAsia" w:ascii="宋体" w:hAnsi="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pStyle w:val="750"/>
        <w:jc w:val="center"/>
        <w:spacing w:line="400" w:lineRule="exact"/>
        <w:rPr>
          <w:rFonts w:ascii="黑体" w:hAnsi="Times New Roman" w:eastAsia="黑体"/>
          <w:b/>
          <w:bCs/>
          <w:color w:val="auto"/>
          <w:sz w:val="28"/>
          <w:szCs w:val="28"/>
          <w:highlight w:val="none"/>
        </w:rPr>
      </w:pPr>
      <w:r>
        <w:rPr>
          <w:rFonts w:hint="eastAsia" w:ascii="黑体" w:hAnsi="Times New Roman" w:eastAsia="黑体"/>
          <w:b/>
          <w:bCs/>
          <w:color w:val="auto"/>
          <w:sz w:val="28"/>
          <w:szCs w:val="28"/>
          <w:highlight w:val="none"/>
        </w:rPr>
        <w:t xml:space="preserve">采购包1 投标报价分析表</w:t>
      </w:r>
      <w:r/>
    </w:p>
    <w:p>
      <w:pPr>
        <w:spacing w:line="360" w:lineRule="auto"/>
        <w:rPr>
          <w:rFonts w:hint="eastAsia" w:hAnsi="宋体"/>
          <w:color w:val="auto"/>
          <w:spacing w:val="20"/>
          <w:szCs w:val="21"/>
          <w:highlight w:val="none"/>
        </w:rPr>
      </w:pPr>
      <w:r>
        <w:rPr>
          <w:rFonts w:hint="eastAsia" w:hAnsi="宋体"/>
          <w:color w:val="auto"/>
          <w:spacing w:val="20"/>
          <w:szCs w:val="21"/>
          <w:highlight w:val="none"/>
        </w:rPr>
        <w:t xml:space="preserve">采购编号：</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Cs/>
                <w:color w:val="auto"/>
                <w:szCs w:val="21"/>
                <w:highlight w:val="none"/>
                <w:lang w:val="zh-CN"/>
              </w:rPr>
            </w:pPr>
            <w:r>
              <w:rPr>
                <w:rFonts w:ascii="Times New Roman" w:hAnsi="Times New Roman"/>
                <w:bCs/>
                <w:color w:val="auto"/>
                <w:szCs w:val="21"/>
                <w:highlight w:val="none"/>
                <w:lang w:val="zh-CN"/>
              </w:rPr>
              <w:t xml:space="preserve">（小写）：</w:t>
            </w:r>
            <w:r/>
          </w:p>
          <w:p>
            <w:pPr>
              <w:jc w:val="left"/>
              <w:widowControl/>
              <w:rPr>
                <w:rFonts w:ascii="Times New Roman" w:hAnsi="Times New Roman"/>
                <w:bCs/>
                <w:color w:val="auto"/>
                <w:szCs w:val="21"/>
                <w:highlight w:val="none"/>
                <w:lang w:val="zh-CN"/>
              </w:rPr>
            </w:pPr>
            <w:r>
              <w:rPr>
                <w:rFonts w:ascii="Times New Roman" w:hAnsi="Times New Roman"/>
                <w:bCs/>
                <w:color w:val="auto"/>
                <w:szCs w:val="21"/>
                <w:highlight w:val="none"/>
                <w:lang w:val="zh-CN"/>
              </w:rPr>
              <w:t xml:space="preserve">（大写）：</w:t>
            </w:r>
            <w:r/>
          </w:p>
        </w:tc>
      </w:tr>
    </w:tbl>
    <w:p>
      <w:pPr>
        <w:pStyle w:val="740"/>
        <w:rPr>
          <w:rFonts w:hint="eastAsia" w:hAnsi="宋体"/>
          <w:color w:val="auto"/>
          <w:szCs w:val="21"/>
          <w:highlight w:val="none"/>
        </w:rPr>
      </w:pPr>
      <w:r>
        <w:rPr>
          <w:rFonts w:hint="eastAsia" w:hAnsi="宋体"/>
          <w:color w:val="auto"/>
          <w:szCs w:val="21"/>
          <w:highlight w:val="none"/>
        </w:rPr>
      </w:r>
      <w:r/>
    </w:p>
    <w:p>
      <w:pPr>
        <w:ind w:firstLine="210"/>
        <w:spacing w:line="360" w:lineRule="auto"/>
        <w:rPr>
          <w:color w:val="auto"/>
          <w:szCs w:val="21"/>
          <w:highlight w:val="none"/>
        </w:rPr>
      </w:pPr>
      <w:r>
        <w:rPr>
          <w:color w:val="auto"/>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ind w:firstLine="210"/>
        <w:spacing w:line="36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rFonts w:ascii="宋体" w:cs="宋体"/>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center"/>
        <w:spacing w:line="400" w:lineRule="exact"/>
        <w:rPr>
          <w:rFonts w:hint="eastAsia"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采购包</w:t>
      </w:r>
      <w:r>
        <w:rPr>
          <w:rFonts w:hint="eastAsia" w:ascii="黑体" w:hAnsi="黑体" w:eastAsia="黑体"/>
          <w:b/>
          <w:bCs/>
          <w:color w:val="auto"/>
          <w:sz w:val="28"/>
          <w:szCs w:val="28"/>
          <w:highlight w:val="none"/>
          <w:lang w:val="en-US" w:eastAsia="zh-CN"/>
        </w:rPr>
        <w:t xml:space="preserve">2</w:t>
      </w:r>
      <w:r>
        <w:rPr>
          <w:rFonts w:hint="eastAsia" w:ascii="黑体" w:hAnsi="黑体" w:eastAsia="黑体"/>
          <w:b/>
          <w:bCs/>
          <w:color w:val="auto"/>
          <w:sz w:val="28"/>
          <w:szCs w:val="28"/>
          <w:highlight w:val="none"/>
        </w:rPr>
        <w:t xml:space="preserve">投标报价分析表</w:t>
      </w:r>
      <w:r/>
    </w:p>
    <w:p>
      <w:pPr>
        <w:spacing w:line="360" w:lineRule="auto"/>
        <w:rPr>
          <w:rFonts w:ascii="Times New Roman" w:hAnsi="Times New Roman"/>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6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9"/>
        <w:gridCol w:w="2162"/>
        <w:gridCol w:w="1874"/>
        <w:gridCol w:w="1873"/>
        <w:gridCol w:w="1591"/>
      </w:tblGrid>
      <w:tr>
        <w:trPr>
          <w:trHeight w:val="753"/>
        </w:trPr>
        <w:tc>
          <w:tcPr>
            <w:tcW w:w="1119"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序号</w:t>
            </w:r>
            <w:r/>
          </w:p>
        </w:tc>
        <w:tc>
          <w:tcPr>
            <w:tcW w:w="2162"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费用名称</w:t>
            </w:r>
            <w:r/>
          </w:p>
        </w:tc>
        <w:tc>
          <w:tcPr>
            <w:tcW w:w="1874"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单价（元）</w:t>
            </w:r>
            <w:r/>
          </w:p>
        </w:tc>
        <w:tc>
          <w:tcPr>
            <w:tcW w:w="1873"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总价（元）</w:t>
            </w:r>
            <w:r/>
          </w:p>
        </w:tc>
        <w:tc>
          <w:tcPr>
            <w:tcW w:w="1589" w:type="dxa"/>
            <w:vAlign w:val="center"/>
            <w:textDirection w:val="lrTb"/>
            <w:noWrap w:val="false"/>
          </w:tcPr>
          <w:p>
            <w:pPr>
              <w:spacing w:line="360" w:lineRule="auto"/>
              <w:rPr>
                <w:b/>
                <w:color w:val="auto"/>
                <w:spacing w:val="20"/>
                <w:szCs w:val="21"/>
                <w:highlight w:val="none"/>
              </w:rPr>
            </w:pPr>
            <w:r>
              <w:rPr>
                <w:rFonts w:hint="eastAsia"/>
                <w:b/>
                <w:color w:val="auto"/>
                <w:spacing w:val="20"/>
                <w:szCs w:val="21"/>
                <w:highlight w:val="none"/>
              </w:rPr>
              <w:t xml:space="preserve">备注</w:t>
            </w:r>
            <w:r/>
          </w:p>
        </w:tc>
      </w:tr>
      <w:tr>
        <w:trPr>
          <w:trHeight w:val="653"/>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1</w:t>
            </w:r>
            <w:r/>
          </w:p>
        </w:tc>
        <w:tc>
          <w:tcPr>
            <w:tcW w:w="2162" w:type="dxa"/>
            <w:textDirection w:val="lrTb"/>
            <w:noWrap w:val="false"/>
          </w:tcPr>
          <w:p>
            <w:pPr>
              <w:spacing w:line="360" w:lineRule="auto"/>
              <w:rPr>
                <w:color w:val="auto"/>
                <w:spacing w:val="20"/>
                <w:szCs w:val="21"/>
                <w:highlight w:val="none"/>
              </w:rPr>
            </w:pPr>
            <w:r>
              <w:rPr>
                <w:rFonts w:hint="eastAsia"/>
                <w:color w:val="auto"/>
                <w:szCs w:val="21"/>
                <w:highlight w:val="none"/>
              </w:rPr>
              <w:t xml:space="preserve">人员工资</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3</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耗品</w:t>
            </w:r>
            <w:r/>
          </w:p>
        </w:tc>
        <w:tc>
          <w:tcPr>
            <w:tcW w:w="1874" w:type="dxa"/>
            <w:vAlign w:val="center"/>
            <w:textDirection w:val="lrTb"/>
            <w:noWrap w:val="false"/>
          </w:tcPr>
          <w:p>
            <w:pPr>
              <w:spacing w:line="360" w:lineRule="auto"/>
              <w:rPr>
                <w:b/>
                <w:bCs/>
                <w:color w:val="auto"/>
                <w:spacing w:val="20"/>
                <w:szCs w:val="21"/>
                <w:highlight w:val="none"/>
              </w:rPr>
            </w:pPr>
            <w:r>
              <w:rPr>
                <w:b/>
                <w:bCs/>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4</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配件</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5</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保养清洁</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6</w:t>
            </w:r>
            <w:r/>
          </w:p>
        </w:tc>
        <w:tc>
          <w:tcPr>
            <w:tcW w:w="2162" w:type="dxa"/>
            <w:vAlign w:val="center"/>
            <w:textDirection w:val="lrTb"/>
            <w:noWrap w:val="false"/>
          </w:tcPr>
          <w:p>
            <w:pPr>
              <w:spacing w:line="360" w:lineRule="auto"/>
              <w:rPr>
                <w:color w:val="auto"/>
                <w:spacing w:val="20"/>
                <w:szCs w:val="21"/>
                <w:highlight w:val="none"/>
              </w:rPr>
            </w:pPr>
            <w:r>
              <w:rPr>
                <w:rFonts w:hint="eastAsia"/>
                <w:color w:val="auto"/>
                <w:szCs w:val="21"/>
                <w:highlight w:val="none"/>
              </w:rPr>
              <w:t xml:space="preserve">检测</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7</w:t>
            </w:r>
            <w:r/>
          </w:p>
        </w:tc>
        <w:tc>
          <w:tcPr>
            <w:tcW w:w="2162" w:type="dxa"/>
            <w:textDirection w:val="lrTb"/>
            <w:noWrap w:val="false"/>
          </w:tcPr>
          <w:p>
            <w:pPr>
              <w:spacing w:line="360" w:lineRule="auto"/>
              <w:rPr>
                <w:color w:val="auto"/>
                <w:spacing w:val="20"/>
                <w:szCs w:val="21"/>
                <w:highlight w:val="none"/>
              </w:rPr>
            </w:pPr>
            <w:r>
              <w:rPr>
                <w:rFonts w:hint="eastAsia"/>
                <w:color w:val="auto"/>
                <w:szCs w:val="21"/>
                <w:highlight w:val="none"/>
              </w:rPr>
              <w:t xml:space="preserve">利润</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8</w:t>
            </w:r>
            <w:r/>
          </w:p>
        </w:tc>
        <w:tc>
          <w:tcPr>
            <w:tcW w:w="2162" w:type="dxa"/>
            <w:textDirection w:val="lrTb"/>
            <w:noWrap w:val="false"/>
          </w:tcPr>
          <w:p>
            <w:pPr>
              <w:spacing w:line="360" w:lineRule="auto"/>
              <w:rPr>
                <w:color w:val="auto"/>
                <w:spacing w:val="20"/>
                <w:szCs w:val="21"/>
                <w:highlight w:val="none"/>
              </w:rPr>
            </w:pPr>
            <w:r>
              <w:rPr>
                <w:rFonts w:hint="eastAsia"/>
                <w:bCs/>
                <w:color w:val="auto"/>
                <w:szCs w:val="21"/>
                <w:highlight w:val="none"/>
              </w:rPr>
              <w:t xml:space="preserve">税费</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9</w:t>
            </w:r>
            <w:r/>
          </w:p>
        </w:tc>
        <w:tc>
          <w:tcPr>
            <w:tcW w:w="2162" w:type="dxa"/>
            <w:textDirection w:val="lrTb"/>
            <w:noWrap w:val="false"/>
          </w:tcPr>
          <w:p>
            <w:pPr>
              <w:spacing w:line="360" w:lineRule="auto"/>
              <w:rPr>
                <w:color w:val="auto"/>
                <w:spacing w:val="20"/>
                <w:szCs w:val="21"/>
                <w:highlight w:val="none"/>
              </w:rPr>
            </w:pPr>
            <w:r>
              <w:rPr>
                <w:rFonts w:hint="eastAsia"/>
                <w:bCs/>
                <w:color w:val="auto"/>
                <w:szCs w:val="21"/>
                <w:highlight w:val="none"/>
              </w:rPr>
              <w:t xml:space="preserve">其他费用</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508"/>
        </w:trPr>
        <w:tc>
          <w:tcPr>
            <w:tcW w:w="1119" w:type="dxa"/>
            <w:vAlign w:val="center"/>
            <w:textDirection w:val="lrTb"/>
            <w:noWrap w:val="false"/>
          </w:tcPr>
          <w:p>
            <w:pPr>
              <w:spacing w:line="360" w:lineRule="auto"/>
              <w:rPr>
                <w:color w:val="auto"/>
                <w:spacing w:val="20"/>
                <w:szCs w:val="21"/>
                <w:highlight w:val="none"/>
              </w:rPr>
            </w:pPr>
            <w:r>
              <w:rPr>
                <w:color w:val="auto"/>
                <w:spacing w:val="20"/>
                <w:szCs w:val="21"/>
                <w:highlight w:val="none"/>
              </w:rPr>
              <w:t xml:space="preserve">10</w:t>
            </w:r>
            <w:r/>
          </w:p>
        </w:tc>
        <w:tc>
          <w:tcPr>
            <w:tcW w:w="2162" w:type="dxa"/>
            <w:textDirection w:val="lrTb"/>
            <w:noWrap w:val="false"/>
          </w:tcPr>
          <w:p>
            <w:pPr>
              <w:spacing w:line="360" w:lineRule="auto"/>
              <w:rPr>
                <w:bCs/>
                <w:color w:val="auto"/>
                <w:szCs w:val="21"/>
                <w:highlight w:val="none"/>
              </w:rPr>
            </w:pPr>
            <w:r>
              <w:rPr>
                <w:bCs/>
                <w:color w:val="auto"/>
                <w:szCs w:val="21"/>
                <w:highlight w:val="none"/>
              </w:rPr>
              <w:t xml:space="preserve">……</w:t>
            </w:r>
            <w:r/>
          </w:p>
        </w:tc>
        <w:tc>
          <w:tcPr>
            <w:tcW w:w="1874"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873"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c>
          <w:tcPr>
            <w:tcW w:w="1589" w:type="dxa"/>
            <w:vAlign w:val="center"/>
            <w:textDirection w:val="lrTb"/>
            <w:noWrap w:val="false"/>
          </w:tcPr>
          <w:p>
            <w:pPr>
              <w:spacing w:line="360" w:lineRule="auto"/>
              <w:rPr>
                <w:color w:val="auto"/>
                <w:spacing w:val="20"/>
                <w:szCs w:val="21"/>
                <w:highlight w:val="none"/>
              </w:rPr>
            </w:pPr>
            <w:r>
              <w:rPr>
                <w:color w:val="auto"/>
                <w:spacing w:val="20"/>
                <w:szCs w:val="21"/>
                <w:highlight w:val="none"/>
              </w:rPr>
            </w:r>
            <w:r/>
          </w:p>
        </w:tc>
      </w:tr>
      <w:tr>
        <w:trPr>
          <w:trHeight w:val="810"/>
        </w:trPr>
        <w:tc>
          <w:tcPr>
            <w:gridSpan w:val="5"/>
            <w:tcW w:w="8619" w:type="dxa"/>
            <w:vAlign w:val="center"/>
            <w:textDirection w:val="lrTb"/>
            <w:noWrap w:val="false"/>
          </w:tcPr>
          <w:p>
            <w:pPr>
              <w:spacing w:line="360" w:lineRule="auto"/>
              <w:rPr>
                <w:color w:val="auto"/>
                <w:spacing w:val="20"/>
                <w:szCs w:val="21"/>
                <w:highlight w:val="none"/>
              </w:rPr>
            </w:pPr>
            <w:r>
              <w:rPr>
                <w:rFonts w:hint="eastAsia"/>
                <w:b/>
                <w:color w:val="auto"/>
                <w:spacing w:val="20"/>
                <w:szCs w:val="21"/>
                <w:highlight w:val="none"/>
              </w:rPr>
              <w:t xml:space="preserve">合计（元）</w:t>
            </w:r>
            <w:r/>
          </w:p>
        </w:tc>
      </w:tr>
    </w:tbl>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rPr>
          <w:rFonts w:hint="eastAsia" w:ascii="宋体" w:hAnsi="宋体"/>
          <w:b/>
          <w:color w:val="auto"/>
          <w:highlight w:val="none"/>
        </w:rPr>
      </w:pPr>
      <w:r>
        <w:rPr>
          <w:rFonts w:hint="eastAsia" w:ascii="宋体" w:hAnsi="宋体"/>
          <w:b/>
          <w:color w:val="auto"/>
          <w:highlight w:val="none"/>
        </w:rPr>
        <w:br w:type="page" w:clear="all"/>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int="eastAsia"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r>
        <w:trPr>
          <w:trHeight w:val="510"/>
        </w:trPr>
        <w:tc>
          <w:tcPr>
            <w:tcW w:w="670"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524"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2372"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913"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c>
          <w:tcPr>
            <w:tcW w:w="1015" w:type="dxa"/>
            <w:vAlign w:val="center"/>
            <w:textDirection w:val="lrTb"/>
            <w:noWrap w:val="false"/>
          </w:tcPr>
          <w:p>
            <w:pPr>
              <w:jc w:val="center"/>
              <w:rPr>
                <w:rFonts w:hint="eastAsia" w:hAnsi="宋体"/>
                <w:color w:val="auto"/>
                <w:szCs w:val="21"/>
                <w:highlight w:val="none"/>
              </w:rPr>
            </w:pPr>
            <w:r>
              <w:rPr>
                <w:rFonts w:hint="eastAsia"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int="eastAsia"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20"/>
        <w:rPr>
          <w:rFonts w:hint="eastAsia" w:ascii="宋体" w:hAnsi="宋体"/>
          <w:b/>
          <w:color w:val="auto"/>
          <w:szCs w:val="21"/>
          <w:highlight w:val="none"/>
        </w:rPr>
      </w:pPr>
      <w:r>
        <w:rPr>
          <w:rFonts w:hint="eastAsia" w:ascii="宋体" w:hAnsi="宋体"/>
          <w:b/>
          <w:color w:val="auto"/>
          <w:szCs w:val="21"/>
          <w:highlight w:val="none"/>
        </w:rPr>
      </w:r>
      <w:r/>
    </w:p>
    <w:p>
      <w:pPr>
        <w:ind w:firstLine="422"/>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hint="eastAsia"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59"/>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59"/>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59"/>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478"/>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r>
        <w:trPr>
          <w:trHeight w:val="513"/>
        </w:trPr>
        <w:tc>
          <w:tcPr>
            <w:tcW w:w="906"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548"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3350"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c>
          <w:tcPr>
            <w:tcW w:w="1379" w:type="dxa"/>
            <w:vAlign w:val="center"/>
            <w:textDirection w:val="lrTb"/>
            <w:noWrap w:val="false"/>
          </w:tcPr>
          <w:p>
            <w:pPr>
              <w:rPr>
                <w:rFonts w:hint="eastAsia" w:ascii="宋体" w:hAnsi="宋体"/>
                <w:color w:val="auto"/>
                <w:szCs w:val="24"/>
                <w:highlight w:val="none"/>
              </w:rPr>
            </w:pPr>
            <w:r>
              <w:rPr>
                <w:rFonts w:hint="eastAsia" w:ascii="宋体" w:hAnsi="宋体"/>
                <w:color w:val="auto"/>
                <w:szCs w:val="24"/>
                <w:highlight w:val="none"/>
              </w:rPr>
            </w:r>
            <w:r/>
          </w:p>
        </w:tc>
      </w:tr>
    </w:tbl>
    <w:p>
      <w:pPr>
        <w:ind w:firstLine="422"/>
        <w:spacing w:line="360" w:lineRule="auto"/>
        <w:rPr>
          <w:rFonts w:hint="eastAsia"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hint="eastAsia"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hint="eastAsia"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hint="eastAsia" w:ascii="Times New Roman" w:hAnsi="宋体"/>
          <w:b/>
          <w:color w:val="auto"/>
          <w:szCs w:val="21"/>
          <w:highlight w:val="none"/>
          <w:lang w:val="en-US" w:eastAsia="zh-CN"/>
        </w:rPr>
        <w:t xml:space="preserve">采购包1</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r>
      <w:r/>
    </w:p>
    <w:p>
      <w:pPr>
        <w:pStyle w:val="742"/>
        <w:ind w:firstLine="422"/>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8835" w:type="dxa"/>
        <w:tblInd w:w="93" w:type="dxa"/>
        <w:tblLayout w:type="fixed"/>
        <w:tblCellMar>
          <w:left w:w="108" w:type="dxa"/>
          <w:top w:w="0" w:type="dxa"/>
          <w:right w:w="108" w:type="dxa"/>
          <w:bottom w:w="0" w:type="dxa"/>
        </w:tblCellMar>
        <w:tblLook w:val="04A0" w:firstRow="1" w:lastRow="0" w:firstColumn="1" w:lastColumn="0" w:noHBand="0" w:noVBand="1"/>
      </w:tblPr>
      <w:tblGrid>
        <w:gridCol w:w="734"/>
        <w:gridCol w:w="2519"/>
        <w:gridCol w:w="1984"/>
        <w:gridCol w:w="1799"/>
        <w:gridCol w:w="1799"/>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widowControl/>
              <w:rPr>
                <w:rFonts w:eastAsiaTheme="minorEastAsia"/>
                <w:b/>
                <w:bCs/>
                <w:color w:val="auto"/>
                <w:szCs w:val="21"/>
                <w:highlight w:val="none"/>
              </w:rPr>
            </w:pPr>
            <w:r>
              <w:rPr>
                <w:rFonts w:hint="eastAsia" w:eastAsiaTheme="minorEastAsia"/>
                <w:b/>
                <w:bCs/>
                <w:color w:val="auto"/>
                <w:szCs w:val="21"/>
                <w:highlight w:val="none"/>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hint="eastAsia" w:ascii="Times New Roman" w:hAnsi="宋体" w:eastAsia="宋体"/>
          <w:b/>
          <w:color w:val="auto"/>
          <w:sz w:val="21"/>
          <w:szCs w:val="21"/>
          <w:highlight w:val="none"/>
        </w:rPr>
      </w:pPr>
      <w:r>
        <w:rPr>
          <w:rFonts w:hint="eastAsia"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firstLine="210"/>
        <w:spacing w:line="360" w:lineRule="auto"/>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int="eastAsia"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hint="eastAsia"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spacing w:line="400" w:lineRule="exact"/>
        <w:rPr>
          <w:b/>
          <w:color w:val="auto"/>
          <w:szCs w:val="21"/>
          <w:highlight w:val="none"/>
        </w:rPr>
      </w:pPr>
      <w:r>
        <w:rPr>
          <w:color w:val="auto"/>
          <w:szCs w:val="21"/>
          <w:highlight w:val="none"/>
        </w:rPr>
        <w:br w:type="page" w:clear="all"/>
      </w:r>
      <w:r>
        <w:rPr>
          <w:rFonts w:hint="eastAsia" w:hAnsi="宋体"/>
          <w:b/>
          <w:color w:val="auto"/>
          <w:szCs w:val="21"/>
          <w:highlight w:val="none"/>
        </w:rPr>
        <w:t xml:space="preserve">格式9、资格证明文件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int="eastAsia"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hint="eastAsia"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479"/>
        <w:gridCol w:w="1479"/>
        <w:gridCol w:w="1760"/>
        <w:gridCol w:w="1549"/>
        <w:gridCol w:w="1337"/>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47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147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176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4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管理面积（</w:t>
            </w:r>
            <w:r>
              <w:rPr>
                <w:color w:val="auto"/>
                <w:szCs w:val="21"/>
                <w:highlight w:val="none"/>
              </w:rPr>
              <w:t xml:space="preserve">m</w:t>
            </w:r>
            <w:r>
              <w:rPr>
                <w:color w:val="auto"/>
                <w:szCs w:val="21"/>
                <w:highlight w:val="none"/>
                <w:vertAlign w:val="superscript"/>
              </w:rPr>
              <w:t xml:space="preserve">2</w:t>
            </w:r>
            <w:r>
              <w:rPr>
                <w:rFonts w:hint="eastAsia"/>
                <w:color w:val="auto"/>
                <w:szCs w:val="21"/>
                <w:highlight w:val="none"/>
              </w:rPr>
              <w:t xml:space="preserve">）</w:t>
            </w:r>
            <w:r/>
          </w:p>
        </w:tc>
        <w:tc>
          <w:tcPr>
            <w:tcW w:w="1337"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47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76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4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337"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hint="eastAsia"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hint="eastAsia" w:ascii="宋体" w:hAnsi="宋体"/>
          <w:b/>
          <w:bCs/>
          <w:color w:val="auto"/>
          <w:sz w:val="24"/>
          <w:highlight w:val="none"/>
        </w:rPr>
      </w:pPr>
      <w:r>
        <w:rPr>
          <w:rFonts w:hint="eastAsia"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hint="eastAsia" w:ascii="黑体" w:hAnsi="宋体" w:eastAsia="黑体"/>
          <w:b/>
          <w:color w:val="auto"/>
          <w:sz w:val="36"/>
          <w:szCs w:val="36"/>
          <w:highlight w:val="none"/>
        </w:rPr>
      </w:pPr>
      <w:r>
        <w:rPr>
          <w:rFonts w:hint="eastAsia"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hint="eastAsia"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int="eastAsia"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本项目专门面向中小企业采购，采购包1为租赁和商务服务业，采购包2为其他未列明行业。投标人应如实、完整填报《中小企业声明函》，否则为无效投标。</w:t>
      </w:r>
      <w:r/>
    </w:p>
    <w:p>
      <w:pPr>
        <w:spacing w:line="400" w:lineRule="exact"/>
        <w:rPr>
          <w:b/>
          <w:color w:val="auto"/>
          <w:szCs w:val="21"/>
          <w:highlight w:val="none"/>
          <w:u w:val="single"/>
        </w:rPr>
      </w:pPr>
      <w:r>
        <w:rPr>
          <w:b/>
          <w:color w:val="auto"/>
          <w:szCs w:val="21"/>
          <w:highlight w:val="none"/>
          <w:u w:val="single"/>
        </w:rPr>
      </w:r>
      <w:r/>
    </w:p>
    <w:p>
      <w:pPr>
        <w:rPr>
          <w:rFonts w:hint="eastAsia"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西苑医院苏州医院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西苑医院苏州医院后勤综合服务</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一、采购编号：</w:t>
      </w:r>
      <w:r>
        <w:rPr>
          <w:rFonts w:hint="eastAsia" w:ascii="Times New Roman" w:hAnsi="Times New Roman"/>
          <w:color w:val="auto"/>
          <w:szCs w:val="21"/>
          <w:highlight w:val="none"/>
        </w:rPr>
        <w:t xml:space="preserve">JSZC-320500-SZWK-G2026-0241</w:t>
      </w:r>
      <w:r>
        <w:rPr>
          <w:rFonts w:ascii="Times New Roman" w:hAnsi="Times New Roman"/>
          <w:color w:val="auto"/>
          <w:szCs w:val="21"/>
          <w:highlight w:val="none"/>
        </w:rPr>
        <w:t xml:space="preserve">号</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二、采购项目名称：</w:t>
      </w:r>
      <w:r>
        <w:rPr>
          <w:rFonts w:hint="eastAsia" w:ascii="Times New Roman" w:hAnsi="Times New Roman"/>
          <w:color w:val="auto"/>
          <w:szCs w:val="21"/>
          <w:highlight w:val="none"/>
        </w:rPr>
        <w:t xml:space="preserve">西苑医院苏州医院后勤综合服务</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三、</w:t>
      </w:r>
      <w:r>
        <w:rPr>
          <w:rFonts w:hint="eastAsia" w:ascii="Times New Roman" w:hAnsi="Times New Roman"/>
          <w:color w:val="auto"/>
          <w:szCs w:val="21"/>
          <w:highlight w:val="none"/>
        </w:rPr>
        <w:t xml:space="preserve">招标要求</w:t>
      </w:r>
      <w:r>
        <w:rPr>
          <w:rFonts w:ascii="Times New Roman" w:hAnsi="Times New Roman"/>
          <w:color w:val="auto"/>
          <w:szCs w:val="21"/>
          <w:highlight w:val="none"/>
        </w:rPr>
        <w:t xml:space="preserve">：</w:t>
      </w:r>
      <w:r/>
    </w:p>
    <w:p>
      <w:pPr>
        <w:ind w:firstLine="422"/>
        <w:spacing w:line="4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采购包1：</w:t>
      </w:r>
      <w:r>
        <w:rPr>
          <w:rFonts w:hint="eastAsia" w:ascii="Times New Roman" w:hAnsi="Times New Roman"/>
          <w:b/>
          <w:bCs/>
          <w:color w:val="auto"/>
          <w:szCs w:val="21"/>
          <w:highlight w:val="none"/>
        </w:rPr>
        <w:t xml:space="preserve">安保服务</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（一）基本信息</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西苑医院苏州医院位于苏州市吴中区澄湖西路318号，占地面积84亩，建筑面积20万平方米，设计床位1000张，2025年底投入使用340张床位，拟于2026年底前扩充至400张床位。东住院楼和西住院楼地下两层联通，西住院楼为地下三层。</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安保服务管理内容所有相关服务，包含但不限于下列内容: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（1）门岗值守服务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（2）安检服务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（3）消控值守服务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（4）车辆引导、停车秩序维护及停车收费服务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（5）日常巡逻服务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（6）消防巡查服务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（7）监控值班服务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（8）突发事件应急处置服务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（9）控烟、动火作业等管控服务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（10）其他院方合理要求的相关服务</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（三）服务人员配置要求</w:t>
      </w:r>
      <w:r/>
    </w:p>
    <w:tbl>
      <w:tblPr>
        <w:tblStyle w:val="739"/>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394"/>
        <w:gridCol w:w="797"/>
        <w:gridCol w:w="1239"/>
        <w:gridCol w:w="1154"/>
        <w:gridCol w:w="612"/>
        <w:gridCol w:w="658"/>
        <w:gridCol w:w="1246"/>
        <w:gridCol w:w="3617"/>
      </w:tblGrid>
      <w:tr>
        <w:trPr>
          <w:jc w:val="center"/>
          <w:trHeight w:val="763"/>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ascii="Times New Roman" w:hAnsi="Times New Roman"/>
                <w:b/>
                <w:bCs/>
                <w:color w:val="auto"/>
                <w:highlight w:val="none"/>
              </w:rPr>
              <w:t xml:space="preserve">序号</w:t>
            </w:r>
            <w:r/>
          </w:p>
        </w:tc>
        <w:tc>
          <w:tcPr>
            <w:shd w:val="clear" w:color="auto" w:fill="ffffff"/>
            <w:tcMar>
              <w:left w:w="40" w:type="dxa"/>
              <w:top w:w="10" w:type="dxa"/>
              <w:right w:w="40" w:type="dxa"/>
              <w:bottom w:w="10" w:type="dxa"/>
            </w:tcMar>
            <w:tcW w:w="797"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岗位类别</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ascii="Times New Roman" w:hAnsi="Times New Roman"/>
                <w:b/>
                <w:bCs/>
                <w:color w:val="auto"/>
                <w:highlight w:val="none"/>
              </w:rPr>
              <w:t xml:space="preserve">岗位名称</w:t>
            </w:r>
            <w:r/>
          </w:p>
        </w:tc>
        <w:tc>
          <w:tcPr>
            <w:shd w:val="clear" w:color="auto" w:fill="ffffff"/>
            <w:tcMar>
              <w:left w:w="40" w:type="dxa"/>
              <w:top w:w="10" w:type="dxa"/>
              <w:right w:w="40" w:type="dxa"/>
              <w:bottom w:w="10" w:type="dxa"/>
            </w:tcMar>
            <w:tcW w:w="1154"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ascii="Times New Roman" w:hAnsi="Times New Roman"/>
                <w:b/>
                <w:bCs/>
                <w:color w:val="auto"/>
                <w:highlight w:val="none"/>
              </w:rPr>
              <w:t xml:space="preserve">年龄</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ascii="Times New Roman" w:hAnsi="Times New Roman"/>
                <w:b/>
                <w:bCs/>
                <w:color w:val="auto"/>
                <w:highlight w:val="none"/>
              </w:rPr>
              <w:t xml:space="preserve">岗位数</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班次</w:t>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hint="eastAsia" w:ascii="Times New Roman" w:hAnsi="Times New Roman"/>
                <w:b/>
                <w:bCs/>
                <w:color w:val="auto"/>
                <w:highlight w:val="none"/>
              </w:rPr>
              <w:t xml:space="preserve">工作时间</w:t>
            </w:r>
            <w:r/>
          </w:p>
        </w:tc>
        <w:tc>
          <w:tcPr>
            <w:shd w:val="clear" w:color="auto" w:fill="ffffff"/>
            <w:tcMar>
              <w:left w:w="40" w:type="dxa"/>
              <w:top w:w="10" w:type="dxa"/>
              <w:right w:w="40" w:type="dxa"/>
              <w:bottom w:w="10" w:type="dxa"/>
            </w:tcMar>
            <w:tcW w:w="3617" w:type="dxa"/>
            <w:vAlign w:val="center"/>
            <w:textDirection w:val="lrTb"/>
            <w:noWrap w:val="false"/>
          </w:tcPr>
          <w:p>
            <w:pPr>
              <w:ind w:left="15" w:right="15"/>
              <w:jc w:val="center"/>
              <w:spacing w:line="360" w:lineRule="auto"/>
              <w:rPr>
                <w:rFonts w:ascii="Times New Roman" w:hAnsi="Times New Roman"/>
                <w:b/>
                <w:bCs/>
                <w:color w:val="auto"/>
                <w:highlight w:val="none"/>
              </w:rPr>
            </w:pPr>
            <w:r>
              <w:rPr>
                <w:rFonts w:ascii="Times New Roman" w:hAnsi="Times New Roman"/>
                <w:b/>
                <w:bCs/>
                <w:color w:val="auto"/>
                <w:highlight w:val="none"/>
              </w:rPr>
              <w:t xml:space="preserve">岗位要求</w:t>
            </w:r>
            <w:r/>
          </w:p>
        </w:tc>
      </w:tr>
      <w:tr>
        <w:trPr>
          <w:jc w:val="center"/>
          <w:trHeight w:val="9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1</w:t>
            </w:r>
            <w:r/>
          </w:p>
        </w:tc>
        <w:tc>
          <w:tcPr>
            <w:shd w:val="clear" w:color="auto" w:fill="ffffff"/>
            <w:tcMar>
              <w:left w:w="40" w:type="dxa"/>
              <w:top w:w="10" w:type="dxa"/>
              <w:right w:w="40" w:type="dxa"/>
              <w:bottom w:w="10" w:type="dxa"/>
            </w:tcMar>
            <w:tcW w:w="797" w:type="dxa"/>
            <w:vAlign w:val="center"/>
            <w:vMerge w:val="restart"/>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管理岗</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项目经理</w:t>
            </w:r>
            <w:r/>
          </w:p>
        </w:tc>
        <w:tc>
          <w:tcPr>
            <w:shd w:val="clear" w:color="auto" w:fill="ffffff"/>
            <w:tcMar>
              <w:left w:w="40" w:type="dxa"/>
              <w:top w:w="10" w:type="dxa"/>
              <w:right w:w="40" w:type="dxa"/>
              <w:bottom w:w="10" w:type="dxa"/>
            </w:tcMar>
            <w:tcW w:w="115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男性、30-45周岁</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7:00—19:00</w:t>
            </w:r>
            <w:r/>
          </w:p>
        </w:tc>
        <w:tc>
          <w:tcPr>
            <w:shd w:val="clear" w:color="auto" w:fill="ffffff"/>
            <w:tcMar>
              <w:left w:w="40" w:type="dxa"/>
              <w:top w:w="10" w:type="dxa"/>
              <w:right w:w="40" w:type="dxa"/>
              <w:bottom w:w="10" w:type="dxa"/>
            </w:tcMar>
            <w:tcW w:w="3617" w:type="dxa"/>
            <w:vAlign w:val="center"/>
            <w:textDirection w:val="lrTb"/>
            <w:noWrap w:val="false"/>
          </w:tcPr>
          <w:p>
            <w:pPr>
              <w:ind w:left="15" w:right="15" w:firstLine="420"/>
              <w:spacing w:line="360" w:lineRule="auto"/>
              <w:rPr>
                <w:rFonts w:cs="宋体"/>
                <w:color w:val="auto"/>
                <w:highlight w:val="none"/>
              </w:rPr>
            </w:pPr>
            <w:r>
              <w:rPr>
                <w:rFonts w:ascii="Times New Roman" w:hAnsi="Times New Roman"/>
                <w:color w:val="auto"/>
                <w:highlight w:val="none"/>
              </w:rPr>
              <w:t xml:space="preserve">大专及以上学历，</w:t>
            </w:r>
            <w:r>
              <w:rPr>
                <w:rFonts w:hint="eastAsia"/>
                <w:color w:val="auto"/>
                <w:highlight w:val="none"/>
              </w:rPr>
              <w:t xml:space="preserve">负责项目的整体规划、组织和协调工作，与医院管理层保持密切沟通，确保项目目标与医院需求高度契合。具备多年的医院安保项目管理经验，熟悉医院的运作流程和安全要求，能够迅速应对各种突发情况，保障项目的顺利推进。</w:t>
            </w:r>
            <w:r/>
          </w:p>
          <w:p>
            <w:pPr>
              <w:ind w:right="15"/>
              <w:spacing w:line="360" w:lineRule="auto"/>
              <w:rPr>
                <w:b/>
                <w:color w:val="auto"/>
                <w:highlight w:val="none"/>
              </w:rPr>
            </w:pPr>
            <w:r>
              <w:rPr>
                <w:rFonts w:hint="eastAsia"/>
                <w:b/>
                <w:color w:val="auto"/>
                <w:highlight w:val="none"/>
              </w:rPr>
              <w:t xml:space="preserve">★具有公安部门颁发的保安员证书；</w:t>
            </w:r>
            <w:r/>
          </w:p>
          <w:p>
            <w:pPr>
              <w:ind w:right="15"/>
              <w:spacing w:line="360" w:lineRule="auto"/>
              <w:rPr>
                <w:color w:val="auto"/>
                <w:highlight w:val="none"/>
              </w:rPr>
            </w:pPr>
            <w:r>
              <w:rPr>
                <w:rFonts w:hint="eastAsia"/>
                <w:b/>
                <w:color w:val="auto"/>
                <w:highlight w:val="none"/>
              </w:rPr>
              <w:t xml:space="preserve">★具有建（构）筑物消防员或消防设施操作员证书。</w:t>
            </w:r>
            <w:r/>
          </w:p>
        </w:tc>
      </w:tr>
      <w:tr>
        <w:trPr>
          <w:jc w:val="center"/>
          <w:trHeight w:val="1659"/>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2</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内勤</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男女不限，40周岁及以下</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7:00—19:00</w:t>
            </w:r>
            <w:r/>
          </w:p>
        </w:tc>
        <w:tc>
          <w:tcPr>
            <w:shd w:val="clear" w:color="auto" w:fill="ffffff"/>
            <w:tcMar>
              <w:left w:w="40" w:type="dxa"/>
              <w:top w:w="10" w:type="dxa"/>
              <w:right w:w="40" w:type="dxa"/>
              <w:bottom w:w="10" w:type="dxa"/>
            </w:tcMar>
            <w:tcW w:w="3617" w:type="dxa"/>
            <w:vAlign w:val="center"/>
            <w:textDirection w:val="lrTb"/>
            <w:noWrap w:val="false"/>
          </w:tcPr>
          <w:p>
            <w:pPr>
              <w:ind w:firstLine="420"/>
              <w:spacing w:line="360" w:lineRule="auto"/>
              <w:rPr>
                <w:bCs/>
                <w:color w:val="auto"/>
                <w:highlight w:val="none"/>
              </w:rPr>
            </w:pPr>
            <w:r>
              <w:rPr>
                <w:rFonts w:ascii="Times New Roman" w:hAnsi="Times New Roman"/>
                <w:color w:val="auto"/>
                <w:highlight w:val="none"/>
              </w:rPr>
              <w:t xml:space="preserve">大专及以上学历，</w:t>
            </w:r>
            <w:r>
              <w:rPr>
                <w:rFonts w:hint="eastAsia"/>
                <w:bCs/>
                <w:color w:val="auto"/>
                <w:highlight w:val="none"/>
              </w:rPr>
              <w:t xml:space="preserve">配合医院完成保安相关的各类勤务、文档、会议记录、信息采集、编辑文宣等工作等。</w:t>
            </w:r>
            <w:r/>
          </w:p>
          <w:p>
            <w:pPr>
              <w:spacing w:line="360" w:lineRule="auto"/>
              <w:rPr>
                <w:rFonts w:ascii="Times New Roman" w:hAnsi="Times New Roman"/>
                <w:color w:val="auto"/>
                <w:highlight w:val="none"/>
              </w:rPr>
            </w:pPr>
            <w:r>
              <w:rPr>
                <w:rFonts w:hint="eastAsia"/>
                <w:bCs/>
                <w:color w:val="auto"/>
                <w:highlight w:val="none"/>
              </w:rPr>
              <w:t xml:space="preserve">熟练使用电脑等办公软件，具备良好的文字编写能力。</w:t>
            </w:r>
            <w:r/>
          </w:p>
          <w:p>
            <w:pPr>
              <w:spacing w:line="360" w:lineRule="auto"/>
              <w:rPr>
                <w:rFonts w:ascii="Times New Roman" w:hAnsi="Times New Roman"/>
                <w:color w:val="auto"/>
                <w:highlight w:val="none"/>
              </w:rPr>
            </w:pPr>
            <w:r>
              <w:rPr>
                <w:rFonts w:hint="eastAsia"/>
                <w:b/>
                <w:color w:val="auto"/>
                <w:highlight w:val="none"/>
              </w:rPr>
              <w:t xml:space="preserve">★具有公安部门颁发的保安员证书；</w:t>
            </w:r>
            <w:r/>
          </w:p>
        </w:tc>
      </w:tr>
      <w:tr>
        <w:trPr>
          <w:jc w:val="center"/>
          <w:trHeight w:val="9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3</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保安主管</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男性，30-50周岁</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ind w:right="15"/>
              <w:jc w:val="center"/>
              <w:spacing w:line="360" w:lineRule="auto"/>
              <w:rPr>
                <w:rFonts w:ascii="Times New Roman" w:hAnsi="Times New Roman"/>
                <w:color w:val="auto"/>
                <w:highlight w:val="none"/>
              </w:rPr>
            </w:pPr>
            <w:r/>
            <w:bookmarkStart w:id="13" w:name="OLE_LINK14"/>
            <w:r/>
            <w:bookmarkStart w:id="14" w:name="OLE_LINK13"/>
            <w:r>
              <w:rPr>
                <w:rFonts w:hint="eastAsia" w:ascii="Times New Roman" w:hAnsi="Times New Roman"/>
                <w:color w:val="auto"/>
                <w:highlight w:val="none"/>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7:00—19:00</w:t>
            </w:r>
            <w:r/>
          </w:p>
        </w:tc>
        <w:tc>
          <w:tcPr>
            <w:shd w:val="clear" w:color="auto" w:fill="ffffff"/>
            <w:tcMar>
              <w:left w:w="40" w:type="dxa"/>
              <w:top w:w="10" w:type="dxa"/>
              <w:right w:w="40" w:type="dxa"/>
              <w:bottom w:w="10" w:type="dxa"/>
            </w:tcMar>
            <w:tcW w:w="3617" w:type="dxa"/>
            <w:vAlign w:val="center"/>
            <w:textDirection w:val="lrTb"/>
            <w:noWrap w:val="false"/>
          </w:tcPr>
          <w:p>
            <w:pPr>
              <w:ind w:firstLine="420"/>
              <w:spacing w:line="360" w:lineRule="auto"/>
              <w:rPr>
                <w:color w:val="auto"/>
                <w:highlight w:val="none"/>
              </w:rPr>
            </w:pPr>
            <w:r>
              <w:rPr>
                <w:rFonts w:hint="eastAsia" w:ascii="Times New Roman" w:hAnsi="Times New Roman"/>
                <w:color w:val="auto"/>
                <w:highlight w:val="none"/>
              </w:rPr>
              <w:t xml:space="preserve">高中</w:t>
            </w:r>
            <w:r>
              <w:rPr>
                <w:rFonts w:ascii="Times New Roman" w:hAnsi="Times New Roman"/>
                <w:color w:val="auto"/>
                <w:highlight w:val="none"/>
              </w:rPr>
              <w:t xml:space="preserve">及以上学历</w:t>
            </w:r>
            <w:bookmarkEnd w:id="13"/>
            <w:r/>
            <w:bookmarkEnd w:id="14"/>
            <w:r>
              <w:rPr>
                <w:rFonts w:ascii="Times New Roman" w:hAnsi="Times New Roman"/>
                <w:color w:val="auto"/>
                <w:highlight w:val="none"/>
              </w:rPr>
              <w:t xml:space="preserve">，</w:t>
            </w:r>
            <w:r>
              <w:rPr>
                <w:rFonts w:hint="eastAsia"/>
                <w:color w:val="auto"/>
                <w:highlight w:val="none"/>
              </w:rPr>
              <w:t xml:space="preserve">协助项目负责人进行项目管理和现场指挥，负责监督保安队伍的工作质量和服务标准，确保各项安保措施得到有效落实。主管人员具有丰富的现场管理经验和较强的应急处置能力，能够及时发现和解决现场问题，提升保安服务的整体水平。</w:t>
            </w:r>
            <w:r/>
          </w:p>
          <w:p>
            <w:pPr>
              <w:ind w:right="15"/>
              <w:spacing w:line="360" w:lineRule="auto"/>
              <w:rPr>
                <w:b/>
                <w:color w:val="auto"/>
                <w:highlight w:val="none"/>
              </w:rPr>
            </w:pPr>
            <w:r>
              <w:rPr>
                <w:rFonts w:hint="eastAsia"/>
                <w:b/>
                <w:color w:val="auto"/>
                <w:highlight w:val="none"/>
              </w:rPr>
              <w:t xml:space="preserve">★具有公安部门颁发的保安员证书；</w:t>
            </w:r>
            <w:r/>
          </w:p>
          <w:p>
            <w:pPr>
              <w:ind w:right="15"/>
              <w:spacing w:line="360" w:lineRule="auto"/>
              <w:rPr>
                <w:rFonts w:cs="宋体"/>
                <w:color w:val="auto"/>
                <w:highlight w:val="none"/>
              </w:rPr>
            </w:pPr>
            <w:r>
              <w:rPr>
                <w:rFonts w:hint="eastAsia"/>
                <w:b/>
                <w:color w:val="auto"/>
                <w:highlight w:val="none"/>
              </w:rPr>
              <w:t xml:space="preserve">★具有建（构）筑物消防员或消防设施操作员证书。</w:t>
            </w:r>
            <w:r/>
          </w:p>
        </w:tc>
      </w:tr>
      <w:tr>
        <w:trPr>
          <w:jc w:val="center"/>
          <w:trHeight w:val="203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4</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保安队长</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男性，30-50周岁</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白一夜一</w:t>
            </w:r>
            <w:r/>
          </w:p>
        </w:tc>
        <w:tc>
          <w:tcPr>
            <w:shd w:val="clear" w:color="auto" w:fill="ffffff"/>
            <w:tcMar>
              <w:left w:w="40" w:type="dxa"/>
              <w:top w:w="10" w:type="dxa"/>
              <w:right w:w="40" w:type="dxa"/>
              <w:bottom w:w="10" w:type="dxa"/>
            </w:tcMar>
            <w:tcW w:w="1246" w:type="dxa"/>
            <w:vAlign w:val="center"/>
            <w:textDirection w:val="lrTb"/>
            <w:noWrap w:val="false"/>
          </w:tcPr>
          <w:p>
            <w:pPr>
              <w:ind w:right="15"/>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textDirection w:val="lrTb"/>
            <w:noWrap w:val="false"/>
          </w:tcPr>
          <w:p>
            <w:pPr>
              <w:ind w:firstLine="420"/>
              <w:spacing w:line="360" w:lineRule="auto"/>
              <w:rPr>
                <w:color w:val="auto"/>
                <w:highlight w:val="none"/>
              </w:rPr>
            </w:pPr>
            <w:r>
              <w:rPr>
                <w:rFonts w:hint="eastAsia" w:ascii="Times New Roman" w:hAnsi="Times New Roman"/>
                <w:color w:val="auto"/>
                <w:highlight w:val="none"/>
              </w:rPr>
              <w:t xml:space="preserve">高中</w:t>
            </w:r>
            <w:r>
              <w:rPr>
                <w:rFonts w:ascii="Times New Roman" w:hAnsi="Times New Roman"/>
                <w:color w:val="auto"/>
                <w:highlight w:val="none"/>
              </w:rPr>
              <w:t xml:space="preserve">及以上学历，</w:t>
            </w:r>
            <w:r>
              <w:rPr>
                <w:rFonts w:hint="eastAsia"/>
                <w:color w:val="auto"/>
                <w:highlight w:val="none"/>
              </w:rPr>
              <w:t xml:space="preserve">负责保安队伍的日常管理和培训工作，制定详细的巡逻计划和值班安排，确保队员能够严格按照标准执行任务。具备专业的保安技能和团队管理能力，能够激励队员保持高昂的工作热情和良好的工作状态，打造一支纪律严明、作风优良的保安队伍。</w:t>
            </w:r>
            <w:r/>
          </w:p>
          <w:p>
            <w:pPr>
              <w:spacing w:line="360" w:lineRule="auto"/>
              <w:rPr>
                <w:b/>
                <w:color w:val="auto"/>
                <w:highlight w:val="none"/>
              </w:rPr>
            </w:pPr>
            <w:r/>
            <w:bookmarkStart w:id="15" w:name="OLE_LINK6"/>
            <w:r/>
            <w:bookmarkStart w:id="16" w:name="OLE_LINK7"/>
            <w:r>
              <w:rPr>
                <w:rFonts w:hint="eastAsia"/>
                <w:b/>
                <w:color w:val="auto"/>
                <w:highlight w:val="none"/>
              </w:rPr>
              <w:t xml:space="preserve">★具有公安部门颁发的保安员证书；</w:t>
            </w:r>
            <w:r/>
          </w:p>
          <w:p>
            <w:pPr>
              <w:spacing w:line="360" w:lineRule="auto"/>
              <w:rPr>
                <w:color w:val="auto"/>
                <w:highlight w:val="none"/>
              </w:rPr>
            </w:pPr>
            <w:r>
              <w:rPr>
                <w:rFonts w:hint="eastAsia"/>
                <w:b/>
                <w:color w:val="auto"/>
                <w:highlight w:val="none"/>
              </w:rPr>
              <w:t xml:space="preserve">★具有建（构）筑物消防员或消防设施操作员证书。</w:t>
            </w:r>
            <w:bookmarkEnd w:id="15"/>
            <w:r/>
            <w:bookmarkEnd w:id="16"/>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管理岗合计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5</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96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5</w:t>
            </w:r>
            <w:r/>
          </w:p>
        </w:tc>
        <w:tc>
          <w:tcPr>
            <w:shd w:val="clear" w:color="auto" w:fill="ffffff"/>
            <w:tcMar>
              <w:left w:w="40" w:type="dxa"/>
              <w:top w:w="10" w:type="dxa"/>
              <w:right w:w="40" w:type="dxa"/>
              <w:bottom w:w="10" w:type="dxa"/>
            </w:tcMar>
            <w:tcW w:w="797"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门岗、出入口及停车场保安</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南门岗</w:t>
            </w:r>
            <w:r/>
          </w:p>
        </w:tc>
        <w:tc>
          <w:tcPr>
            <w:shd w:val="clear" w:color="auto" w:fill="ffffff"/>
            <w:tcMar>
              <w:left w:w="40" w:type="dxa"/>
              <w:top w:w="10" w:type="dxa"/>
              <w:right w:w="40" w:type="dxa"/>
              <w:bottom w:w="10" w:type="dxa"/>
            </w:tcMar>
            <w:tcW w:w="1154"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男性，18——60周岁</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3</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cs="宋体"/>
                <w:color w:val="auto"/>
                <w:highlight w:val="none"/>
              </w:rPr>
            </w:pPr>
            <w:r>
              <w:rPr>
                <w:rFonts w:hint="eastAsia" w:cs="宋体"/>
                <w:color w:val="auto"/>
                <w:highlight w:val="none"/>
                <w:lang w:bidi="ar"/>
              </w:rPr>
              <w:t xml:space="preserve">白二夜一</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cs="宋体"/>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restart"/>
            <w:textDirection w:val="lrTb"/>
            <w:noWrap w:val="false"/>
          </w:tcPr>
          <w:p>
            <w:pPr>
              <w:ind w:firstLine="420"/>
              <w:spacing w:line="360" w:lineRule="auto"/>
              <w:rPr>
                <w:rFonts w:cs="宋体"/>
                <w:color w:val="auto"/>
                <w:highlight w:val="none"/>
              </w:rPr>
            </w:pPr>
            <w:r>
              <w:rPr>
                <w:rFonts w:hint="eastAsia" w:cs="宋体"/>
                <w:color w:val="auto"/>
                <w:highlight w:val="none"/>
              </w:rPr>
              <w:t xml:space="preserve">初中及以上学历，身体健康、品貌端正、无传染性疾病、能使用普通话交流且口齿清晰；具备相关法律法规知识及安保和消防知识、良好的语言表达及沟通协调能力；</w:t>
            </w:r>
            <w:r/>
          </w:p>
          <w:p>
            <w:pPr>
              <w:ind w:firstLine="420"/>
              <w:spacing w:line="360" w:lineRule="auto"/>
              <w:rPr>
                <w:color w:val="auto"/>
                <w:highlight w:val="none"/>
              </w:rPr>
            </w:pPr>
            <w:r>
              <w:rPr>
                <w:rFonts w:hint="eastAsia"/>
                <w:color w:val="auto"/>
                <w:highlight w:val="none"/>
              </w:rPr>
              <w:t xml:space="preserve">门岗保安坚守医院各出入口、重点区域及病房楼层安保岗位，严格执行门禁制度，对进出人员和车辆进行细致检查、规范登记，以高度的责任心和警惕性，严禁无关人员与危险物品进入医院，守护医院第一道安全防线。</w:t>
            </w:r>
            <w:r/>
          </w:p>
          <w:p>
            <w:pPr>
              <w:ind w:firstLine="420"/>
              <w:spacing w:line="360" w:lineRule="auto"/>
              <w:rPr>
                <w:color w:val="auto"/>
                <w:highlight w:val="none"/>
              </w:rPr>
            </w:pPr>
            <w:r>
              <w:rPr>
                <w:rFonts w:hint="eastAsia"/>
                <w:color w:val="auto"/>
                <w:highlight w:val="none"/>
              </w:rPr>
              <w:t xml:space="preserve">出入口及停车场保安专注于医院出入口及停车场管理工作，精准引导车辆有序进出、规范停放，严格管控人员和车辆通行，维护出入口及停车场秩序井然，保障交通顺畅与安全，避免拥堵和事故发生。</w:t>
            </w:r>
            <w:r/>
          </w:p>
          <w:p>
            <w:pPr>
              <w:ind w:right="15"/>
              <w:spacing w:line="360" w:lineRule="auto"/>
              <w:rPr>
                <w:rFonts w:ascii="Times New Roman" w:hAnsi="Times New Roman"/>
                <w:color w:val="auto"/>
                <w:highlight w:val="none"/>
              </w:rPr>
            </w:pPr>
            <w:r>
              <w:rPr>
                <w:rFonts w:hint="eastAsia"/>
                <w:b/>
                <w:color w:val="auto"/>
                <w:highlight w:val="none"/>
              </w:rPr>
              <w:t xml:space="preserve">★具有公安部门颁发的保安员证书。</w:t>
            </w:r>
            <w:r/>
          </w:p>
        </w:tc>
      </w:tr>
      <w:tr>
        <w:trPr>
          <w:jc w:val="center"/>
          <w:trHeight w:val="96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6</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北门岗</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白一夜一</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96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7</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东门岗</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白一夜一</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96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8</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西门岗</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96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9</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地下车库</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门岗、出入口及停车场保安合计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10</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68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10</w:t>
            </w:r>
            <w:r/>
          </w:p>
        </w:tc>
        <w:tc>
          <w:tcPr>
            <w:shd w:val="clear" w:color="auto" w:fill="ffffff"/>
            <w:tcMar>
              <w:left w:w="40" w:type="dxa"/>
              <w:top w:w="10" w:type="dxa"/>
              <w:right w:w="40" w:type="dxa"/>
              <w:bottom w:w="10" w:type="dxa"/>
            </w:tcMar>
            <w:tcW w:w="797"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住院部、地面及各科室保安</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门诊大厅</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男性，18——60周岁</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cs="宋体"/>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cs="宋体"/>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restart"/>
            <w:textDirection w:val="lrTb"/>
            <w:noWrap w:val="false"/>
          </w:tcPr>
          <w:p>
            <w:pPr>
              <w:ind w:left="15" w:right="15" w:firstLine="420"/>
              <w:spacing w:line="360" w:lineRule="auto"/>
              <w:rPr>
                <w:rFonts w:cs="宋体"/>
                <w:color w:val="auto"/>
                <w:highlight w:val="none"/>
              </w:rPr>
            </w:pPr>
            <w:r>
              <w:rPr>
                <w:rFonts w:hint="eastAsia" w:cs="宋体"/>
                <w:color w:val="auto"/>
                <w:highlight w:val="none"/>
              </w:rPr>
              <w:t xml:space="preserve">初中及以上学历，身体健康、品貌端正、无传染性疾病、能使用普通话交流且口齿清晰；具备相关法律法规知识及安保和消防知识、良好的语言表达及沟通协调能力；</w:t>
            </w:r>
            <w:r/>
          </w:p>
          <w:p>
            <w:pPr>
              <w:ind w:left="15" w:right="15" w:firstLine="420"/>
              <w:spacing w:line="360" w:lineRule="auto"/>
              <w:rPr>
                <w:color w:val="auto"/>
                <w:highlight w:val="none"/>
              </w:rPr>
            </w:pPr>
            <w:r>
              <w:rPr>
                <w:rFonts w:hint="eastAsia"/>
                <w:color w:val="auto"/>
                <w:highlight w:val="none"/>
              </w:rPr>
              <w:t xml:space="preserve">住院部保安负责住院部各楼层、病房及周边区域的安保巡查，严格管控人员进出，确保住院患者及医护人员的人身和财产安全，维护住院部的安静与秩序，助力医疗服务的有序开展。</w:t>
            </w:r>
            <w:r/>
          </w:p>
          <w:p>
            <w:pPr>
              <w:ind w:left="15" w:right="15" w:firstLine="420"/>
              <w:spacing w:line="360" w:lineRule="auto"/>
              <w:rPr>
                <w:color w:val="auto"/>
                <w:highlight w:val="none"/>
              </w:rPr>
            </w:pPr>
            <w:r>
              <w:rPr>
                <w:rFonts w:hint="eastAsia"/>
                <w:color w:val="auto"/>
                <w:highlight w:val="none"/>
              </w:rPr>
              <w:t xml:space="preserve">地面及各科室保安负责医院地面区域与各科室安全巡逻及秩序维护，定时巡查，及时发现并妥善处理安全隐患与异常情况，如设施设备故障、可疑人员徘徊等，为医护人员与患者提供安全的工作和就医环境。</w:t>
            </w:r>
            <w:r/>
          </w:p>
          <w:p>
            <w:pPr>
              <w:ind w:right="15"/>
              <w:spacing w:line="360" w:lineRule="auto"/>
              <w:rPr>
                <w:rFonts w:cs="宋体"/>
                <w:color w:val="auto"/>
                <w:highlight w:val="none"/>
              </w:rPr>
            </w:pPr>
            <w:r>
              <w:rPr>
                <w:rFonts w:hint="eastAsia"/>
                <w:b/>
                <w:color w:val="auto"/>
                <w:highlight w:val="none"/>
              </w:rPr>
              <w:t xml:space="preserve">★具有公安部门颁发的保安员证书。</w:t>
            </w:r>
            <w:r/>
          </w:p>
        </w:tc>
      </w:tr>
      <w:tr>
        <w:trPr>
          <w:jc w:val="center"/>
          <w:trHeight w:val="34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11</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门诊安检</w:t>
            </w:r>
            <w:r/>
          </w:p>
        </w:tc>
        <w:tc>
          <w:tcPr>
            <w:shd w:val="clear" w:color="auto" w:fill="ffffff"/>
            <w:tcMar>
              <w:left w:w="40" w:type="dxa"/>
              <w:top w:w="10" w:type="dxa"/>
              <w:right w:w="40" w:type="dxa"/>
              <w:bottom w:w="10" w:type="dxa"/>
            </w:tcMar>
            <w:tcW w:w="1154"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男性，50周岁及以下；女性，45周岁及以下</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34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12</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门诊出口</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34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13</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急诊安检</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4</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白二夜二</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34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14</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急诊出口</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白一夜一</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34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15</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住院部大厅</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白一夜一</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45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16</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输液室</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男性，18——60周岁</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白一夜一</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1020"/>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17</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行政岗</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男性，50周岁及以下；女性，45周岁及以下</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住院部、地面及各科室保安合计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15</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113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18</w:t>
            </w:r>
            <w:r/>
          </w:p>
        </w:tc>
        <w:tc>
          <w:tcPr>
            <w:shd w:val="clear" w:color="auto" w:fill="ffffff"/>
            <w:tcMar>
              <w:left w:w="40" w:type="dxa"/>
              <w:top w:w="10" w:type="dxa"/>
              <w:right w:w="40" w:type="dxa"/>
              <w:bottom w:w="10" w:type="dxa"/>
            </w:tcMar>
            <w:tcW w:w="797"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机动、巡逻保安</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门诊及外围巡逻</w:t>
            </w:r>
            <w:r/>
          </w:p>
        </w:tc>
        <w:tc>
          <w:tcPr>
            <w:shd w:val="clear" w:color="auto" w:fill="ffffff"/>
            <w:tcMar>
              <w:left w:w="40" w:type="dxa"/>
              <w:top w:w="10" w:type="dxa"/>
              <w:right w:w="40" w:type="dxa"/>
              <w:bottom w:w="10" w:type="dxa"/>
            </w:tcMar>
            <w:tcW w:w="1154"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男性，45周岁及以下</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restart"/>
            <w:textDirection w:val="lrTb"/>
            <w:noWrap w:val="false"/>
          </w:tcPr>
          <w:p>
            <w:pPr>
              <w:ind w:firstLine="420"/>
              <w:spacing w:line="360" w:lineRule="auto"/>
              <w:rPr>
                <w:rFonts w:cs="宋体"/>
                <w:color w:val="auto"/>
                <w:highlight w:val="none"/>
              </w:rPr>
            </w:pPr>
            <w:r>
              <w:rPr>
                <w:rFonts w:hint="eastAsia" w:cs="宋体"/>
                <w:color w:val="auto"/>
                <w:highlight w:val="none"/>
              </w:rPr>
              <w:t xml:space="preserve">初中及以上学历，身体健康、品貌端正、无传染性疾病、能使用普通话交流且口齿清晰；具备相关法律法规知识及安保和消防知识、良好的语言表达及沟通协调能力；</w:t>
            </w:r>
            <w:r/>
          </w:p>
          <w:p>
            <w:pPr>
              <w:ind w:firstLine="420"/>
              <w:spacing w:line="360" w:lineRule="auto"/>
              <w:rPr>
                <w:color w:val="auto"/>
                <w:highlight w:val="none"/>
              </w:rPr>
            </w:pPr>
            <w:r>
              <w:rPr>
                <w:rFonts w:hint="eastAsia"/>
                <w:color w:val="auto"/>
                <w:highlight w:val="none"/>
              </w:rPr>
              <w:t xml:space="preserve">按照预定巡逻路线与时间间隔，全面负责医院内部巡逻工作，保持高度警觉，深度排查安全隐患，对重点部位和薄弱环节重点关注，确保医院无安全死角，有效预防各类安全事件发生。</w:t>
            </w:r>
            <w:r/>
          </w:p>
          <w:p>
            <w:pPr>
              <w:spacing w:line="360" w:lineRule="auto"/>
              <w:rPr>
                <w:color w:val="auto"/>
                <w:highlight w:val="none"/>
              </w:rPr>
            </w:pPr>
            <w:r>
              <w:rPr>
                <w:rFonts w:hint="eastAsia"/>
                <w:color w:val="auto"/>
                <w:highlight w:val="none"/>
              </w:rPr>
              <w:t xml:space="preserve">时刻待命应对突发事件与特殊任务，在紧急状况下迅速依应急预案行动，采取果断措施控制现场局势、保障人员安全；在医院重要活动期间，全力维护现场秩序，保障活动顺利进行，展现专业应急处置能力。</w:t>
            </w:r>
            <w:r/>
          </w:p>
          <w:p>
            <w:pPr>
              <w:ind w:right="15"/>
              <w:spacing w:line="360" w:lineRule="auto"/>
              <w:rPr>
                <w:rFonts w:ascii="Times New Roman" w:hAnsi="Times New Roman"/>
                <w:color w:val="auto"/>
                <w:highlight w:val="none"/>
              </w:rPr>
            </w:pPr>
            <w:r>
              <w:rPr>
                <w:rFonts w:hint="eastAsia"/>
                <w:b/>
                <w:color w:val="auto"/>
                <w:highlight w:val="none"/>
              </w:rPr>
              <w:t xml:space="preserve">★具有公安部门颁发的保安员证书。</w:t>
            </w:r>
            <w:r/>
          </w:p>
        </w:tc>
      </w:tr>
      <w:tr>
        <w:trPr>
          <w:jc w:val="center"/>
          <w:trHeight w:val="113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19</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2号楼巡逻</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1</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113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20</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住院部巡逻</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113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21</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全院机动巡逻兼消防特勤</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夜班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19:00—7:00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机动、巡逻保安合计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7</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1361"/>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22</w:t>
            </w:r>
            <w:r/>
          </w:p>
        </w:tc>
        <w:tc>
          <w:tcPr>
            <w:shd w:val="clear" w:color="auto" w:fill="ffffff"/>
            <w:tcMar>
              <w:left w:w="40" w:type="dxa"/>
              <w:top w:w="10" w:type="dxa"/>
              <w:right w:w="40" w:type="dxa"/>
              <w:bottom w:w="10" w:type="dxa"/>
            </w:tcMar>
            <w:tcW w:w="797"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特勤保安</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治安特勤</w:t>
            </w:r>
            <w:r/>
          </w:p>
        </w:tc>
        <w:tc>
          <w:tcPr>
            <w:shd w:val="clear" w:color="auto" w:fill="ffffff"/>
            <w:tcMar>
              <w:left w:w="40" w:type="dxa"/>
              <w:top w:w="10" w:type="dxa"/>
              <w:right w:w="40" w:type="dxa"/>
              <w:bottom w:w="10" w:type="dxa"/>
            </w:tcMar>
            <w:tcW w:w="1154" w:type="dxa"/>
            <w:vAlign w:val="center"/>
            <w:vMerge w:val="restart"/>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男性，40周岁及以下</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6</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白三夜三</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vMerge w:val="restart"/>
            <w:textDirection w:val="lrTb"/>
            <w:noWrap w:val="false"/>
          </w:tcPr>
          <w:p>
            <w:pPr>
              <w:ind w:firstLine="420"/>
              <w:spacing w:line="360" w:lineRule="auto"/>
              <w:rPr>
                <w:rFonts w:cs="宋体"/>
                <w:color w:val="auto"/>
                <w:highlight w:val="none"/>
              </w:rPr>
            </w:pPr>
            <w:r>
              <w:rPr>
                <w:rFonts w:hint="eastAsia" w:cs="宋体"/>
                <w:color w:val="auto"/>
                <w:highlight w:val="none"/>
              </w:rPr>
              <w:t xml:space="preserve">高中及以上学历，身体素质强，熟练掌握消防及防暴的相关业务知识与技能，具备一定的突发事件处置能力。</w:t>
            </w:r>
            <w:r/>
          </w:p>
          <w:p>
            <w:pPr>
              <w:ind w:firstLine="420"/>
              <w:spacing w:line="360" w:lineRule="auto"/>
              <w:rPr>
                <w:color w:val="auto"/>
                <w:highlight w:val="none"/>
              </w:rPr>
            </w:pPr>
            <w:r>
              <w:rPr>
                <w:rFonts w:hint="eastAsia"/>
                <w:color w:val="auto"/>
                <w:highlight w:val="none"/>
              </w:rPr>
              <w:t xml:space="preserve">时刻待命应对突发事件与特殊任务，在紧急状况下迅速依应急预案行动，采取果断措施控制现场局势、保障人员安全；在医院重要活动期间，全力维护现场秩序，保障活动顺利进行，展现专业应急处置能力。</w:t>
            </w:r>
            <w:r/>
          </w:p>
          <w:p>
            <w:pPr>
              <w:ind w:left="15" w:right="15"/>
              <w:spacing w:line="360" w:lineRule="auto"/>
              <w:rPr>
                <w:rFonts w:ascii="Times New Roman" w:hAnsi="Times New Roman"/>
                <w:color w:val="auto"/>
                <w:highlight w:val="none"/>
              </w:rPr>
            </w:pPr>
            <w:r>
              <w:rPr>
                <w:rFonts w:hint="eastAsia"/>
                <w:b/>
                <w:color w:val="auto"/>
                <w:highlight w:val="none"/>
              </w:rPr>
              <w:t xml:space="preserve">★具有公安部门颁发的保安员证书。</w:t>
            </w:r>
            <w:r/>
          </w:p>
        </w:tc>
      </w:tr>
      <w:tr>
        <w:trPr>
          <w:jc w:val="center"/>
          <w:trHeight w:val="1361"/>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23</w:t>
            </w:r>
            <w:r/>
          </w:p>
        </w:tc>
        <w:tc>
          <w:tcPr>
            <w:shd w:val="clear" w:color="auto" w:fill="ffffff"/>
            <w:tcMar>
              <w:left w:w="40" w:type="dxa"/>
              <w:top w:w="10" w:type="dxa"/>
              <w:right w:w="40" w:type="dxa"/>
              <w:bottom w:w="10" w:type="dxa"/>
            </w:tcMar>
            <w:tcW w:w="797"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消防特勤</w:t>
            </w:r>
            <w:r/>
          </w:p>
        </w:tc>
        <w:tc>
          <w:tcPr>
            <w:shd w:val="clear" w:color="auto" w:fill="ffffff"/>
            <w:tcMar>
              <w:left w:w="40" w:type="dxa"/>
              <w:top w:w="10" w:type="dxa"/>
              <w:right w:w="40" w:type="dxa"/>
              <w:bottom w:w="10" w:type="dxa"/>
            </w:tcMar>
            <w:tcW w:w="1154" w:type="dxa"/>
            <w:vAlign w:val="center"/>
            <w:vMerge w:val="continue"/>
            <w:textDirection w:val="lrTb"/>
            <w:noWrap w:val="false"/>
          </w:tcPr>
          <w:p>
            <w:pPr>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3</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白班</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7:00—19:00</w:t>
            </w:r>
            <w:r/>
          </w:p>
        </w:tc>
        <w:tc>
          <w:tcPr>
            <w:shd w:val="clear" w:color="auto" w:fill="ffffff"/>
            <w:tcMar>
              <w:left w:w="40" w:type="dxa"/>
              <w:top w:w="10" w:type="dxa"/>
              <w:right w:w="40" w:type="dxa"/>
              <w:bottom w:w="10" w:type="dxa"/>
            </w:tcMar>
            <w:tcW w:w="3617" w:type="dxa"/>
            <w:vAlign w:val="center"/>
            <w:vMerge w:val="continue"/>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特勤保安合计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9</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2494"/>
        </w:trPr>
        <w:tc>
          <w:tcPr>
            <w:shd w:val="clear" w:color="auto" w:fill="ffffff"/>
            <w:tcMar>
              <w:left w:w="40" w:type="dxa"/>
              <w:top w:w="10" w:type="dxa"/>
              <w:right w:w="40" w:type="dxa"/>
              <w:bottom w:w="10" w:type="dxa"/>
            </w:tcMar>
            <w:tcW w:w="394"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24</w:t>
            </w:r>
            <w:r/>
          </w:p>
        </w:tc>
        <w:tc>
          <w:tcPr>
            <w:shd w:val="clear" w:color="auto" w:fill="ffffff"/>
            <w:tcMar>
              <w:left w:w="40" w:type="dxa"/>
              <w:top w:w="10" w:type="dxa"/>
              <w:right w:w="40" w:type="dxa"/>
              <w:bottom w:w="10" w:type="dxa"/>
            </w:tcMar>
            <w:tcW w:w="797"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消控室值守保安</w:t>
            </w:r>
            <w:r/>
          </w:p>
        </w:tc>
        <w:tc>
          <w:tcPr>
            <w:shd w:val="clear" w:color="auto" w:fill="ffffff"/>
            <w:tcMar>
              <w:left w:w="40" w:type="dxa"/>
              <w:top w:w="10" w:type="dxa"/>
              <w:right w:w="40" w:type="dxa"/>
              <w:bottom w:w="10" w:type="dxa"/>
            </w:tcMar>
            <w:tcW w:w="1239"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消控值守</w:t>
            </w:r>
            <w:r/>
          </w:p>
        </w:tc>
        <w:tc>
          <w:tcPr>
            <w:shd w:val="clear" w:color="auto" w:fill="ffffff"/>
            <w:tcMar>
              <w:left w:w="40" w:type="dxa"/>
              <w:top w:w="10" w:type="dxa"/>
              <w:right w:w="40" w:type="dxa"/>
              <w:bottom w:w="10" w:type="dxa"/>
            </w:tcMar>
            <w:tcW w:w="115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男性，55周岁及以下</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4</w:t>
            </w:r>
            <w:r/>
          </w:p>
        </w:tc>
        <w:tc>
          <w:tcPr>
            <w:shd w:val="clear" w:color="auto" w:fill="ffffff"/>
            <w:tcMar>
              <w:left w:w="40" w:type="dxa"/>
              <w:top w:w="10" w:type="dxa"/>
              <w:right w:w="40" w:type="dxa"/>
              <w:bottom w:w="10" w:type="dxa"/>
            </w:tcMar>
            <w:tcW w:w="658"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白二夜二</w:t>
            </w:r>
            <w:r/>
          </w:p>
        </w:tc>
        <w:tc>
          <w:tcPr>
            <w:shd w:val="clear" w:color="auto" w:fill="ffffff"/>
            <w:tcMar>
              <w:left w:w="40" w:type="dxa"/>
              <w:top w:w="10" w:type="dxa"/>
              <w:right w:w="40" w:type="dxa"/>
              <w:bottom w:w="10" w:type="dxa"/>
            </w:tcMar>
            <w:tcW w:w="1246" w:type="dxa"/>
            <w:vAlign w:val="center"/>
            <w:textDirection w:val="lrTb"/>
            <w:noWrap w:val="false"/>
          </w:tcPr>
          <w:p>
            <w:pPr>
              <w:jc w:val="center"/>
              <w:spacing w:line="360" w:lineRule="auto"/>
              <w:rPr>
                <w:rFonts w:ascii="Times New Roman" w:hAnsi="Times New Roman"/>
                <w:color w:val="auto"/>
                <w:highlight w:val="none"/>
              </w:rPr>
            </w:pPr>
            <w:r>
              <w:rPr>
                <w:rFonts w:hint="eastAsia" w:cs="宋体"/>
                <w:color w:val="auto"/>
                <w:highlight w:val="none"/>
                <w:lang w:bidi="ar"/>
              </w:rPr>
              <w:t xml:space="preserve">12小时制</w:t>
            </w:r>
            <w:r/>
          </w:p>
        </w:tc>
        <w:tc>
          <w:tcPr>
            <w:shd w:val="clear" w:color="auto" w:fill="ffffff"/>
            <w:tcMar>
              <w:left w:w="40" w:type="dxa"/>
              <w:top w:w="10" w:type="dxa"/>
              <w:right w:w="40" w:type="dxa"/>
              <w:bottom w:w="10" w:type="dxa"/>
            </w:tcMar>
            <w:tcW w:w="3617" w:type="dxa"/>
            <w:vAlign w:val="center"/>
            <w:textDirection w:val="lrTb"/>
            <w:noWrap w:val="false"/>
          </w:tcPr>
          <w:p>
            <w:pPr>
              <w:ind w:firstLine="420"/>
              <w:spacing w:line="360" w:lineRule="auto"/>
              <w:rPr>
                <w:rFonts w:cs="宋体"/>
                <w:color w:val="auto"/>
                <w:highlight w:val="none"/>
              </w:rPr>
            </w:pPr>
            <w:r>
              <w:rPr>
                <w:rFonts w:hint="eastAsia" w:cs="宋体"/>
                <w:color w:val="auto"/>
                <w:highlight w:val="none"/>
              </w:rPr>
              <w:t xml:space="preserve">高中及以上学历，熟练掌握消、监控室设施设备相关业务知识与操作技能，具备一定的突发事件处置能力。</w:t>
            </w:r>
            <w:r/>
          </w:p>
          <w:p>
            <w:pPr>
              <w:ind w:firstLine="420"/>
              <w:spacing w:line="360" w:lineRule="auto"/>
              <w:rPr>
                <w:color w:val="auto"/>
                <w:highlight w:val="none"/>
              </w:rPr>
            </w:pPr>
            <w:r>
              <w:rPr>
                <w:rFonts w:hint="eastAsia"/>
                <w:color w:val="auto"/>
                <w:highlight w:val="none"/>
              </w:rPr>
              <w:t xml:space="preserve">全时专注医院内部监控工作，严密监视监控画面与消防设备运行状态，敏锐察觉并及时消除安全隐患，确保消防系统随时处于应急备战状态，在紧急状况下迅速响应，保障人员与财产安全。</w:t>
            </w:r>
            <w:r/>
          </w:p>
          <w:p>
            <w:pPr>
              <w:spacing w:line="360" w:lineRule="auto"/>
              <w:rPr>
                <w:b/>
                <w:color w:val="auto"/>
                <w:highlight w:val="none"/>
              </w:rPr>
            </w:pPr>
            <w:r>
              <w:rPr>
                <w:rFonts w:hint="eastAsia"/>
                <w:b/>
                <w:color w:val="auto"/>
                <w:highlight w:val="none"/>
              </w:rPr>
              <w:t xml:space="preserve">★具有公安部门颁发的保安员证书；</w:t>
            </w:r>
            <w:r/>
          </w:p>
          <w:p>
            <w:pPr>
              <w:ind w:left="15" w:right="15"/>
              <w:spacing w:line="360" w:lineRule="auto"/>
              <w:rPr>
                <w:rFonts w:ascii="Times New Roman" w:hAnsi="Times New Roman"/>
                <w:color w:val="auto"/>
                <w:highlight w:val="none"/>
              </w:rPr>
            </w:pPr>
            <w:r>
              <w:rPr>
                <w:rFonts w:hint="eastAsia"/>
                <w:b/>
                <w:color w:val="auto"/>
                <w:highlight w:val="none"/>
              </w:rPr>
              <w:t xml:space="preserve">★具有建（构）筑物消防员或消防设施操作员证书。</w:t>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消控室值守保安合计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4</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r>
        <w:trPr>
          <w:jc w:val="center"/>
          <w:trHeight w:val="510"/>
        </w:trPr>
        <w:tc>
          <w:tcPr>
            <w:gridSpan w:val="4"/>
            <w:shd w:val="clear" w:color="auto" w:fill="ffffff"/>
            <w:tcMar>
              <w:left w:w="40" w:type="dxa"/>
              <w:top w:w="10" w:type="dxa"/>
              <w:right w:w="40" w:type="dxa"/>
              <w:bottom w:w="10" w:type="dxa"/>
            </w:tcMar>
            <w:tcW w:w="3584" w:type="dxa"/>
            <w:vAlign w:val="center"/>
            <w:textDirection w:val="lrTb"/>
            <w:noWrap w:val="false"/>
          </w:tcPr>
          <w:p>
            <w:pPr>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以上岗位合计</w:t>
            </w:r>
            <w:r/>
          </w:p>
        </w:tc>
        <w:tc>
          <w:tcPr>
            <w:shd w:val="clear" w:color="auto" w:fill="ffffff"/>
            <w:tcMar>
              <w:left w:w="40" w:type="dxa"/>
              <w:top w:w="10" w:type="dxa"/>
              <w:right w:w="40" w:type="dxa"/>
              <w:bottom w:w="10" w:type="dxa"/>
            </w:tcMar>
            <w:tcW w:w="612" w:type="dxa"/>
            <w:vAlign w:val="center"/>
            <w:textDirection w:val="lrTb"/>
            <w:noWrap w:val="false"/>
          </w:tcPr>
          <w:p>
            <w:pPr>
              <w:ind w:left="15" w:right="15"/>
              <w:jc w:val="center"/>
              <w:spacing w:line="360" w:lineRule="auto"/>
              <w:rPr>
                <w:rFonts w:ascii="Times New Roman" w:hAnsi="Times New Roman"/>
                <w:color w:val="auto"/>
                <w:highlight w:val="none"/>
              </w:rPr>
            </w:pPr>
            <w:r>
              <w:rPr>
                <w:rFonts w:hint="eastAsia" w:ascii="Times New Roman" w:hAnsi="Times New Roman"/>
                <w:color w:val="auto"/>
                <w:highlight w:val="none"/>
              </w:rPr>
              <w:t xml:space="preserve">50</w:t>
            </w:r>
            <w:r/>
          </w:p>
        </w:tc>
        <w:tc>
          <w:tcPr>
            <w:shd w:val="clear" w:color="auto" w:fill="ffffff"/>
            <w:tcMar>
              <w:left w:w="40" w:type="dxa"/>
              <w:top w:w="10" w:type="dxa"/>
              <w:right w:w="40" w:type="dxa"/>
              <w:bottom w:w="10" w:type="dxa"/>
            </w:tcMar>
            <w:tcW w:w="658"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1246" w:type="dxa"/>
            <w:vAlign w:val="center"/>
            <w:textDirection w:val="lrTb"/>
            <w:noWrap w:val="false"/>
          </w:tcPr>
          <w:p>
            <w:pPr>
              <w:ind w:left="15" w:right="15"/>
              <w:jc w:val="center"/>
              <w:spacing w:line="360" w:lineRule="auto"/>
              <w:rPr>
                <w:rFonts w:ascii="Times New Roman" w:hAnsi="Times New Roman"/>
                <w:color w:val="auto"/>
                <w:highlight w:val="none"/>
              </w:rPr>
            </w:pPr>
            <w:r>
              <w:rPr>
                <w:rFonts w:ascii="Times New Roman" w:hAnsi="Times New Roman"/>
                <w:color w:val="auto"/>
                <w:highlight w:val="none"/>
              </w:rPr>
            </w:r>
            <w:r/>
          </w:p>
        </w:tc>
        <w:tc>
          <w:tcPr>
            <w:shd w:val="clear" w:color="auto" w:fill="ffffff"/>
            <w:tcMar>
              <w:left w:w="40" w:type="dxa"/>
              <w:top w:w="10" w:type="dxa"/>
              <w:right w:w="40" w:type="dxa"/>
              <w:bottom w:w="10" w:type="dxa"/>
            </w:tcMar>
            <w:tcW w:w="3617" w:type="dxa"/>
            <w:vAlign w:val="center"/>
            <w:textDirection w:val="lrTb"/>
            <w:noWrap w:val="false"/>
          </w:tcPr>
          <w:p>
            <w:pPr>
              <w:ind w:left="15" w:right="15"/>
              <w:spacing w:line="360" w:lineRule="auto"/>
              <w:rPr>
                <w:rFonts w:ascii="Times New Roman" w:hAnsi="Times New Roman"/>
                <w:color w:val="auto"/>
                <w:highlight w:val="none"/>
              </w:rPr>
            </w:pPr>
            <w:r>
              <w:rPr>
                <w:rFonts w:ascii="Times New Roman" w:hAnsi="Times New Roman"/>
                <w:color w:val="auto"/>
                <w:highlight w:val="none"/>
              </w:rPr>
            </w:r>
            <w:r/>
          </w:p>
        </w:tc>
      </w:tr>
    </w:tbl>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人员配置说明：</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1、表格中加★项为实质性响应要求，需按照要求提供相应材料。</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项目经理、保安主管、保安队长、消控室值班员、消防特勤保安的岗位人员应具有公安部门颁发的保安员证书以及具有建（构）筑物消防员或消防设施操作员证书，服务方须提供证书复印件并加盖单位公章，未提供的视为非实质性响应。</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内勤、住院部、地面及各科室保安、门岗、出入口及停车场保安、机动、巡逻岗保安、特勤保安应具有公安部门颁发的保安员证，服务方可提供承诺函（承诺上岗前提供公安部门颁发的保安员证书，承诺书格式自拟）并加盖单位公章，未提供承诺函的视为非实质性响应。</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2、所有服务人员年龄在18—60周岁，其中55周岁及以上的人员不超过队伍总人数的20%。</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所有人员上岗前服务方需将人员配置要求中的相关材料提供给院方核查，待院方确认后方可上岗。上岗后所有人员调整必须书面报告院方，调整人员需符合或高于原岗位配置的采购需求，经院方同意后方可进行调整。</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4、本项目设置服务岗位50个，服务方自行根据岗位数量合理配备值守人员，总人数必须大于等于设置的岗位数量。由此产生的劳动费用与用工风险由服务方自行承担。</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（四）服务配置要求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1、服务方需提供安保服务所必需的设施器材，包括以下内容：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（1）安保人员的工作服装（款式需经过院方认可）、工作证件等；</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（2）安保人员所使用的办公桌椅、办公电脑、打印机、纸、笔、文件盒等办公耗材；</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（3）安保人员所使用的对讲机、执法记录仪等设备；</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（4）安保服务所需要的路面引导或阻隔用品（水马、拒马、栏杆、警戒线等）；</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（5）安保人员所使用的交通工具（两轮巡逻车）</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2、以上设备器材由服务方根据项目实际需要自行采购，费用均由服务方自行承担。</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（五）门岗值守服务要求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（1）负责医院各出入口24小时在岗值守，看管大门通道，禁止推销人员、流浪人员随意进入院区。</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（2）礼貌接待来访人员、患者及家属，简单解答问路、就医指引等基础问题，引导有序进出。</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（3）严控禁止物品带入院区，拦截管制刀具、易燃易爆、剧毒、腐蚀性、化学性、异味刺鼻等危险物品。发现带宠物进入院区的患者进行劝阻。</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（4）管控出入口通行秩序，禁止人员扎堆聚集、堵门堵路，杜绝闲杂人员在门口逗留闹事。</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（5）晚夜间严格管控进出人员，对陌生人员、无合理事由进出人员进行询问核实。</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（1）开诊高峰期立正站姿、精神饱满，不坐岗、不脱岗、不玩手机、不闲聊打闹。其余期间可适当坐岗休息。</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（2）待人文明礼貌、态度平和，不和患者、家属、访客发生争执、冲突。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（3）发现可疑人员必问，可疑物品必查，做到不漏查、不漏放。</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（4）门口始终保持畅通整洁，无人员拥堵、无杂物堆放，突发情况第一时间处置上报。</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（六）安检服务要求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（1）负责医院门诊、急诊、住院楼主要入口的常态化安检工作，操作安检门、安检机、手持探测器。上岗前应具备经培训取得的上岗证或培训合格证。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（2）对所有进入院区的人员、随身包裹、行李进行安全检查，排查危险违禁物品。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（3）发现刀具、酒精、汽油、鞭炮、易燃易爆气瓶等违禁物品，当场拦截、登记、暂扣。</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（4）耐心向被检查人员解释安检规定，妥善处理安检纠纷，避免引发医患矛盾。</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（5）做好安检设备日常看管，发现设备故障及时上报维修。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（1）安检全程认真细致，不走过场、不敷衍，做到人人过检、件件排查，无漏检情况。</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（2）严格依规处置违禁品，不私自放行、不私自藏匿、不随意归还危险物品。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（3）服务态度温和，规范用语，不粗暴检查、不刁难患者及家属。</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（4）安检设备全天正常开启使用，在岗人员熟练操作，能及时识别可疑物品报警信号。</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（七）消控值守服务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（1）24小时专人值守消防控制室，全程监控全院消防设备、报警系统、喷淋、烟感、消火栓等设施运行状态。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（2）实时监测消防报警信号，区分误报、故障报警、真实火情报警，第一时间通知特勤队员到达现场查看处置。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（3）做好消控值班记录，如实填写设备运行、报警、故障、维修等相关台账。</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（4）发现消防设备故障、线路问题、信号异常，立即上报并跟进处理。</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（5）熟悉消防应急流程，火情发生时第一时间启动消防控制系统，配合现场灭火、疏散工作。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（1）必须持证上岗，24小时不空岗、不脱岗，严禁无关人员进入消控室。</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（2）熟练掌握所有消防设备操作方法，能快速判断报警原因，处置精准、不慌乱。</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（3）值班记录清晰、真实、完整，不漏记、不造假。</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（4）消控室保持干净整洁，设备摆放规整，无杂物堆积，通道畅通。</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（八）车辆引导、停车秩序维护及停车收费服务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（1）负责医院大门口、院内主干道、地上及地下停车场的车辆疏导工作，引导就诊车辆有序进出、规范停放。</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（2）主动引导急救车辆、医护车辆优先通行、优先停放，保障急救通道绝对畅通。</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（3）制止车辆乱停乱放、占道停车、堵塞通道、碾压绿化带等违规行为，发现未锁车未关窗等异常及时提醒车主。</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（4）高峰期主动疏导车流、人流，缓解院区拥堵，避免出入口堵车、通道堵塞。</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（5）看管院内车辆，防止车辆剐蹭、丢失，协助车主解决停车问题，处理简单车辆纠纷。</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（6）保障重大活动或参观调研等相关车辆的指引和特殊位置的停放。</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（7）做好特殊车位（如：快充车位、残障人士车位等）的停放管理。</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（8）负责停车收费工作，包括计时收费、现金或电子支付收取、发票开具、异常订单处理等，确保收费准确、不漏收错收。</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（9）每日对停车收费系统设备（道闸、车牌识别摄像头、支付终端等）进行运行状态检查，发现故障或异常及时上报并配合维修，确保系统稳定运行。</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（10）做好每日停车收费数据统计与对账工作，协助院方处理月租车、免费车、应急车辆等特殊放行登记，及时上交收费款项及报表。</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（1）手势规范、指引清晰，主动上前引导，不被动等待、不推诿。</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（2）院内无长期占道车辆、无堵塞消防通道及急救通道的车辆，停车区域整齐有序。</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（3）对待车主耐心礼貌，不争执、不斗气，快速化解停车矛盾。</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（4）高峰期在岗值守，及时疏通拥堵，保障院区通行顺畅。</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（5）院内突发交通事故第一时间上报处置，必要时报交警处理。对现场交通及时做好引导处置。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（6）停车收费操作规范、按标准收费，主动提供或引导缴费车辆开具票据。妥善处理异常支付，做到日清月结、帐实相符。</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（7）每日对收费设备和道闸设施至少巡查1次，发现设备故障或车牌识别误差需在30分钟内报修并设置临时处置措施，保障出入口通行不中断。</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 （8）收费数据和现金（或电子账单）每日核对无误后按时上交，不得私自截留、挪用或虚假录入，主动接收院方抽查和对账审核。</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（九）日常巡逻服务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（1）按照规定路线、规定频次对全院区域开展巡逻，涵盖门急诊、住院楼、行政楼、楼道、楼梯间、院区空地、边角盲区、地下车库等所有区域。</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（2）巡逻中排查可疑人员、可疑行为、无人看管的可疑物品，及时制止打闹、喧哗、滋事、盗窃等违规违法行为。</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（3）检查各科室门窗、水电是否关闭，公共设施是否完好，有无安全隐患。</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（4）晚夜间重点巡查偏僻区域、无人区域，防止人员滞留、财物丢失、安全事故发生。</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（5）发现患者摔倒、突发不适、纠纷冲突等情况，第一时间上前协助、制止、上报。</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（6）重点关注充电桩区域、非机动车违规充电等，发现问题及时处置或上报。</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（7）每日下班前将巡更打点棒送往消控室进行数据上传，对当日巡查问题进行登记和后续跟进处理。</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（1）白天对病区及门诊科室两小时巡查一次，武装巡逻区域门诊1-4层及外围，上午下午各一次。夜间对规划的巡更打点路线前半夜一次，后半夜一次。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（2）巡逻不偷懒、不走形式，严格按规定时间、路线完成巡逻。</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（3）巡逻记录真实完整，发现问题当场记录、当场处置，无法处置的立即上报。</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（4）重点区域、薄弱区域加密巡逻频次，夜间巡逻提高警惕，全程留意周边动态。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（5）做到隐患早发现、问题早处置、纠纷早制止，杜绝小问题演变成安全事故。</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（十）消防巡查服务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（1）每日对全院消防设施、消防通道、防火分区开展专项消防巡查并扫码上传。</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（2）检查灭火器、消火栓、水带、应急灯、疏散指示标志是否完好、有效、在位，无过期、无损坏、无遮挡。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（3）检查消防通道、安全出口是否畅通，无堵塞、无锁闭、无杂物堆放，检查常开常闭防火门启闭状态是否正常。</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（4）排查院区违规用电、违规拉线、大功率电器私用、易燃易爆物品违规存放等消防隐患。</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（5）对排查出的消防隐患当场整改，无法当场整改的登记上报、跟踪督办，闭环处理。</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（6）按要求填写消防巡查台账，定期上报汇总隐患情况。</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（7）定期做好消防相关培训与演练。</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（1）巡查全覆盖消防重点部位、不遗漏楼层、设备间等重点区域。</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（2）所有消防设施完好可用，过期、损坏、缺失设备第一时间上报更换。</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（3）消防通道、安全出口时刻保持畅通，严禁任何人员占用、堵塞、锁闭。</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（4）发现隐患问题及时现场整改，无法现场整改的及时上报并做好记录。</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（十一）监控值班服务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（1）24小时值守监控室，实时查看全院所有监控画面，紧盯重点区域动态。收到病区及科室的求助电话及时上报管理人员到现场处置。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（2）重点关注门诊大厅、收费处、药房、住院通道、停车场、出入口等人员密集、易发纠纷、易发盗窃的区域。</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（3）发现画面中出现纠纷、争吵、斗殴、摔倒、盗窃、可疑人员逗留等异常情况，第一时间通知现场巡逻队员前往处置，并做好画面留存。</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（4）负责监控设备日常看管，发现画面黑屏、卡顿、无信号、摄像头损坏、监控画面模糊、画面被遮挡等问题，及时上报维修。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（5）配合院方、公安部门、患者调取查看监控资料，做好登记和相关审批流程后方可查看或调取。</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（6）做好应急钥匙的管理，有人借钥匙需院方同意并安排巡逻队员全程跟进开门锁门。</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（7）接收到治安一键报警信号及时确认位置，通知特勤队员前往现场查看处置，并做好相关记录。</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（8）收到电梯五方通话报警信号，确认位置及被困人员等信息及时通知巡逻队员去现场查看警戒和安抚，同时通知电梯维保人员到现场处置。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（9）对监控室的其它检测设备进行监管，有异常报警或故障信号及时上报处置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（1）在岗期间不打瞌睡、不闲聊，不空岗脱岗。</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（2）实时监控重点区域、发现异常不拖延、不视而不见，第一时间通知附近巡逻队员查看处置。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（3）监控台账、查看调取记录清晰完整，规范存档。</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（4）熟练操作监控系统，会回放、调取、备份录像。</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（十二）突发事件应急处置服务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（1）针对医患纠纷、患者闹事、打架斗殴、盗窃、医闹、突发火情、人员晕倒、踩踏、极端天气等各类突发事件，第一时间到场处置。</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（2）现场快速控制事态，隔离冲突人员、疏散围观人群，防止事态扩大、矛盾升级。</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（3）火情、险情发生时，立即组织人员疏散、初期灭火、现场警戒，配合专业救援。</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（4）遇到紧急医疗情况，配合医护人员转运、搀扶、维持现场秩序。</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（5）事件处置后，做好现场清理、情况记录，及时上报主管及院方，配合后续调查处理。</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（1）反应迅速、行动果断，接到指令或发现险情，3分钟内抵达现场。</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（2）处置规范、克制文明，先劝阻疏导，杜绝暴力处置、激化矛盾，注意语言话术。</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（3）熟悉各类应急流程，会用消防和防爆器材、懂疏散流程、懂现场警戒规范。</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（4）各类突发事件都做好记录，处置流程完整规范、上报及时。</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（十三）控烟、动火作业等管控服务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（1）全院全域落实控烟管控，巡逻、值守过程中及时发现、劝阻院内吸烟人员。</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（2）严禁院区楼道、病房、走廊等区域吸烟，杜绝明火、烟头遗留隐患。</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（3）严格管控院内动火作业（焊接、切割、明火施工等），作业前核查院方审批手续。</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（4）动火作业全程现场旁站监护，检查灭火器材是否到位，清理周边易燃杂物，作业后复查现场，杜绝遗留火种。</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（5）制止院内违规施工、违规动用明火、违规堆放易燃物品等行为。</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（1）院内无随处吸烟现象，发现吸烟人员及时劝阻并制止。</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（2）劝阻吸烟态度礼貌、有理有据，不引发冲突。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（3）严格执行动火作业相关规定，安保监护人员认真负责、不脱岗、完工后检查施工方垃圾必须清理，全程零疏漏，杜绝动火安全事故。</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（4）常态化排查易燃杂物、违规明火，及时清理整改。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（十四）其他配合院方的服务要求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（1）配合院方完成日常安全管理、秩序维护、物资看管等安全保障工作。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（2）配合医院开展会议、义诊、检查、调研等各类院内活动的现场秩序维护、安全保障。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（3）协助院方搬运物资、隔离现场、维持排队秩序、管控人员进出等辅助工作。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（4）配合院方对太平间的管理及遗体转运监护和遗体接收相关台账登记工作。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（5）配合院方合理工作安排，完成临时性、突发性安保相关工作。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2、标准要求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（1）积极配合、不推诿、不抵触，按时保质完成各项临时工作任务。</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（2）工作认真负责，服从管理、听从调度，主动配合院方开展安全管理工作。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（3）立足岗位，主动补位，保障医院各项工作平稳有序开展。</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（十五）其他说明</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1、安保管理人员用房：安保服务管理人员的办公用房、保安队员的更衣室、物料仓库由院方提供，管理用房的水电费由院方承担。</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2、服务方需建立上岗前培训制度。所有管理服务人员在服务期间按岗位要求进行定期培训，必要时应接受院方对服务人员的集中培训。</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3、服务方应按国家和当地政府有关劳动法规、条例，向项目管理服务人员提供相应工种的劳动工资、加班工资、劳动保护等待遇。</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4、重大活动保障要求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重大活动期间有组织及分工并明确相关人员职责，保证重大活动保障到位。重大活动期间，如岗位原配置的人数不能满足需要，服务方应临时从本公司内抽调具备相应服务能力和素质的人员加强力量，以保障重大活动的顺利开展。</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医院内有各类创建活动、上级检查、外来参观，积极配合做好保障工作（包括：精神文明单位创建、无烟医院创建、大型义诊活动，医院庆典，文体活动等多种活动）。</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5、应急处理应对要求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突发事件有应急处理应对方案，遇突发事件第一时间到达现场，果断阻止不良事件发生，必要时及时报警并上报，防止事态进一步恶化，协助保护现场。针对本项目，服务方应提供安保服务区域内各级各类应急预案，方案要科学、合理、可行，应包括各类纠纷、灾害性天气、发生火灾、公共事件及其他突发事件的应急处理方案。</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6、进退场交接</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要求服务方与原服务单位安全平稳过渡。服务方针对本项目制定全面有效的进退场交接方案。方案内容包括但不限于进场前的准备，人员及物资的配备及调配，明确交接及到岗时间。服务方在合同签订后7日内，需按照响应人数提交相关的服务人员名单、相关资质证书以及响应的相关设备至院方备案并安排及时到岗服务。做好与院方及上一个服务方的交接工作，与院方做好固定物资交接手续，尽快熟悉院内范围内各项设施情况并逐一检查核对，发现问题及时向院方反应并做好文字交接记录。主动配合并协调院方做好培训上岗等进场交接的相关工作。</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方退场前需向院方移交将职责范围内各项设施检查情况汇总信息交于院方，并逐项与院方交接，有损坏或遗失的物资需修补或补充到位，并做好文字交接记录，需要明确与院方以及下一个服务方的工作交接、明确退场时间、确保下一个服务方能够及时开展安保服务工作，所有交接工作需经院方验收通过后方可退场。</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（十六）服务期限：合同签订后1年；</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（十七）考核要求：</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安保服务实行百分制考核，每月考核一次，综合考评分应在90（含）分以上，如出现考评分低于90分的情况，按如下处理：</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（1）医院后勤保障部（运营保障中心）每月对服务单位进行抽查，并提出整改意见。</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（2）扣分项、加分项由后勤保障部（运营保障中心）进行相应记录。</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（3）考核表一式两份，每月底统计分值后，由考核部门、被考核单位双方签字确认后留存。</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被考核单位与医院结算当月相关费用时，以该考核分为依据。该考核分≥90分，则结算费用的100%;85≤考核分&lt;90分，每低1分，则结算费用扣除1%。80≤考核分&lt;85分，每低1分，则结算费用扣除2%。该考核分&lt;80分，视为不合格。每低1分，则结算费用扣除5%。</w:t>
      </w:r>
      <w:r/>
    </w:p>
    <w:p>
      <w:pPr>
        <w:ind w:firstLine="422"/>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（5）累计三次考核不合格，院方有权无条件单方面解除合同。</w:t>
      </w:r>
      <w:r/>
    </w:p>
    <w:p>
      <w:pPr>
        <w:ind w:firstLine="48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后勤社会化部门月度考核表</w:t>
      </w:r>
      <w:r/>
    </w:p>
    <w:tbl>
      <w:tblPr>
        <w:tblStyle w:val="739"/>
        <w:tblW w:w="8971" w:type="dxa"/>
        <w:jc w:val="center"/>
        <w:tblLayout w:type="fixed"/>
        <w:tblCellMar>
          <w:left w:w="108" w:type="dxa"/>
          <w:top w:w="0" w:type="dxa"/>
          <w:right w:w="108" w:type="dxa"/>
          <w:bottom w:w="0" w:type="dxa"/>
        </w:tblCellMar>
        <w:tblLook w:val="04A0" w:firstRow="1" w:lastRow="0" w:firstColumn="1" w:lastColumn="0" w:noHBand="0" w:noVBand="1"/>
      </w:tblPr>
      <w:tblGrid>
        <w:gridCol w:w="625"/>
        <w:gridCol w:w="2792"/>
        <w:gridCol w:w="650"/>
        <w:gridCol w:w="4229"/>
        <w:gridCol w:w="675"/>
      </w:tblGrid>
      <w:tr>
        <w:trPr>
          <w:jc w:val="center"/>
          <w:trHeight w:val="358" w:hRule="exact"/>
        </w:trPr>
        <w:tc>
          <w:tcPr>
            <w:gridSpan w:val="5"/>
            <w:tcBorders>
              <w:top w:val="none" w:color="000000" w:sz="4" w:space="0"/>
              <w:left w:val="none" w:color="000000" w:sz="4" w:space="0"/>
              <w:bottom w:val="none" w:color="000000" w:sz="4" w:space="0"/>
              <w:right w:val="none" w:color="000000" w:sz="4" w:space="0"/>
            </w:tcBorders>
            <w:tcW w:w="8971" w:type="dxa"/>
            <w:vAlign w:val="center"/>
            <w:textDirection w:val="lrTb"/>
            <w:noWrap w:val="false"/>
          </w:tcPr>
          <w:p>
            <w:pPr>
              <w:pStyle w:val="740"/>
              <w:ind w:firstLine="0"/>
              <w:spacing w:line="240" w:lineRule="auto"/>
              <w:rPr>
                <w:color w:val="auto"/>
                <w:highlight w:val="none"/>
              </w:rPr>
            </w:pPr>
            <w:r>
              <w:rPr>
                <w:rFonts w:hint="eastAsia" w:hAnsi="宋体" w:cs="宋体"/>
                <w:b/>
                <w:bCs/>
                <w:color w:val="auto"/>
                <w:sz w:val="28"/>
                <w:szCs w:val="28"/>
                <w:highlight w:val="none"/>
                <w:lang w:bidi="ar"/>
              </w:rPr>
              <w:t xml:space="preserve">                                    </w:t>
            </w:r>
            <w:r>
              <w:rPr>
                <w:rFonts w:hint="eastAsia" w:ascii="宋体" w:hAnsi="宋体" w:cs="宋体"/>
                <w:color w:val="auto"/>
                <w:spacing w:val="0"/>
                <w:szCs w:val="21"/>
                <w:highlight w:val="none"/>
              </w:rPr>
              <w:t xml:space="preserve">  年   月   日</w:t>
            </w:r>
            <w:r/>
          </w:p>
        </w:tc>
      </w:tr>
      <w:tr>
        <w:trPr>
          <w:jc w:val="center"/>
          <w:trHeight w:val="90" w:hRule="exact"/>
        </w:trPr>
        <w:tc>
          <w:tcPr>
            <w:gridSpan w:val="5"/>
            <w:tcBorders>
              <w:top w:val="none" w:color="000000" w:sz="4" w:space="0"/>
              <w:left w:val="none" w:color="000000" w:sz="4" w:space="0"/>
              <w:bottom w:val="none" w:color="000000" w:sz="4" w:space="0"/>
              <w:right w:val="none" w:color="000000" w:sz="4" w:space="0"/>
            </w:tcBorders>
            <w:tcW w:w="8971" w:type="dxa"/>
            <w:vAlign w:val="center"/>
            <w:textDirection w:val="lrTb"/>
            <w:noWrap w:val="false"/>
          </w:tcPr>
          <w:p>
            <w:pPr>
              <w:jc w:val="righ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年      月</w:t>
            </w:r>
            <w:r/>
          </w:p>
        </w:tc>
      </w:tr>
      <w:tr>
        <w:trPr>
          <w:jc w:val="center"/>
          <w:trHeight w:val="351" w:hRule="exact"/>
        </w:trPr>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tcBorders>
              <w:top w:val="single" w:color="000000" w:sz="8"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扣分项</w:t>
            </w:r>
            <w:r/>
          </w:p>
        </w:tc>
        <w:tc>
          <w:tcPr>
            <w:tcBorders>
              <w:top w:val="single" w:color="000000" w:sz="8"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分值</w:t>
            </w:r>
            <w:r/>
          </w:p>
        </w:tc>
        <w:tc>
          <w:tcPr>
            <w:tcBorders>
              <w:top w:val="single" w:color="000000" w:sz="8"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说明</w:t>
            </w:r>
            <w:r/>
          </w:p>
        </w:tc>
        <w:tc>
          <w:tcPr>
            <w:tcBorders>
              <w:top w:val="single" w:color="000000" w:sz="8"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得分</w:t>
            </w:r>
            <w:r/>
          </w:p>
        </w:tc>
      </w:tr>
      <w:tr>
        <w:trPr>
          <w:jc w:val="center"/>
          <w:trHeight w:val="800"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工作人员管理：规范穿戴工作服、持证上岗、安保防护装备配备到位</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日常抽查发现人员着装不规范、无证上岗、安保装备缺失/不规范的，每人次扣1分，本项分值扣完为止，按月累计核算得分。</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778"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人员配置管理：管理人员、在岗工作人员配置足额到位，符合合同及岗位要求</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抽查发现岗位人员缺岗、人员配置与备案名单不符、未按要求足额配置的，每人次扣2分，本项分值扣完为止。</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905"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安防及消防装管理：安防设施齐全完好、运行正常，微型消防站建设规范、器材合规可用</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抽查发现安防、消防装备缺失、损坏、无法正常运转，微型消防站设置不规范、器材配备不达标的，每频次扣2分，本项分值扣完为止。</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875"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安全生产责任制落实情况</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当月发生安全生产不良事件，造成院内人员受伤、物资设备损坏、财产损失或不良影响的，每起扣10分，本项分值扣完为止。</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1125"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tcBorders>
              <w:top w:val="none" w:color="000000" w:sz="4" w:space="0"/>
              <w:left w:val="none" w:color="000000" w:sz="4" w:space="0"/>
              <w:bottom w:val="none" w:color="000000" w:sz="4"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日常运维及应急管理：落实日常巡查巡检、安全培训、应急演练制度，治安、消防应急响应达标，严格执行“1.3.5”应急处置要求</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none" w:color="000000" w:sz="4"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20</w:t>
            </w:r>
            <w:r/>
          </w:p>
        </w:tc>
        <w:tc>
          <w:tcPr>
            <w:tcBorders>
              <w:top w:val="none" w:color="000000" w:sz="4" w:space="0"/>
              <w:left w:val="none" w:color="000000" w:sz="4" w:space="0"/>
              <w:bottom w:val="none" w:color="000000" w:sz="4"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经日常抽查、上级部门检查发现，未按合同及制度开展巡查巡检、安全培训、应急演练，或治安、消防应急响应未达到“1.3.5”处置标准的，每频次扣2分，本项分值扣完为止。</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1085"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tcBorders>
              <w:top w:val="single" w:color="000000" w:sz="8"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安保服务质量：在岗履职、服务规范、沟通文明</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single" w:color="000000" w:sz="8"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30</w:t>
            </w:r>
            <w:r/>
          </w:p>
        </w:tc>
        <w:tc>
          <w:tcPr>
            <w:tcBorders>
              <w:top w:val="single" w:color="000000" w:sz="8"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抽查发现工作人员在岗玩忽职守、履职不力、滥用职权，服务态度粗暴、言语不当、推诿漠视院内工作人员及就诊人员诉求，存在故意刁难等违规行为的，每起每项扣2分，本项分值扣完为止。</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855" w:hRule="exact"/>
        </w:trPr>
        <w:tc>
          <w:tcPr>
            <w:tcBorders>
              <w:top w:val="none" w:color="000000" w:sz="4" w:space="0"/>
              <w:left w:val="single" w:color="000000" w:sz="8" w:space="0"/>
              <w:bottom w:val="none" w:color="000000" w:sz="4"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投诉事件处置：服务投诉及舆情问题</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10</w:t>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经核实，当月发生有效服务投诉、履职投诉及相关负面舆情的，每起扣2分，本项分值扣完为止，按月累计核算。</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01" w:hRule="exact"/>
        </w:trPr>
        <w:tc>
          <w:tcPr>
            <w:tcBorders>
              <w:top w:val="single" w:color="000000" w:sz="8"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序号</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b/>
                <w:bCs/>
                <w:color w:val="auto"/>
                <w:sz w:val="18"/>
                <w:szCs w:val="18"/>
                <w:highlight w:val="none"/>
              </w:rPr>
              <w:t xml:space="preserve">加分项</w:t>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920"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先进事迹：获表扬表彰、好人好事行为</w:t>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当月工作人员发生拾金不昧、见义勇为、助人为乐等正向行为，或收到院内、患者及家属正式表扬信、锦旗等表彰的，经核实后，每起加2分，按次累计加分。</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980"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服务创新举措：优化服务、提质增效创新工作</w:t>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t xml:space="preserve">主动推出服务优化、安全管理、提质增效等创新举措，落地实施、成效显著、获得各方广泛好评，且持续推行满3个月及以上的，每项加5分。</w:t>
            </w:r>
            <w:r/>
          </w:p>
          <w:p>
            <w:pPr>
              <w:ind w:firstLine="422"/>
              <w:spacing w:line="260" w:lineRule="exact"/>
              <w:widowControl/>
              <w:rPr>
                <w:rFonts w:hint="eastAsia" w:ascii="宋体" w:hAnsi="宋体"/>
                <w:color w:val="auto"/>
                <w:sz w:val="18"/>
                <w:szCs w:val="18"/>
                <w:highlight w:val="none"/>
              </w:rPr>
            </w:pPr>
            <w:r>
              <w:rPr>
                <w:rFonts w:hint="eastAsia" w:ascii="宋体" w:hAnsi="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462" w:hRule="exact"/>
        </w:trPr>
        <w:tc>
          <w:tcPr>
            <w:tcBorders>
              <w:top w:val="none" w:color="000000" w:sz="4" w:space="0"/>
              <w:left w:val="single" w:color="000000" w:sz="8" w:space="0"/>
              <w:bottom w:val="single" w:color="000000" w:sz="8" w:space="0"/>
              <w:right w:val="single" w:color="000000" w:sz="8" w:space="0"/>
            </w:tcBorders>
            <w:tcW w:w="62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2792"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当月合计得分</w:t>
            </w:r>
            <w:r/>
          </w:p>
        </w:tc>
        <w:tc>
          <w:tcPr>
            <w:tcBorders>
              <w:top w:val="none" w:color="000000" w:sz="4" w:space="0"/>
              <w:left w:val="none" w:color="000000" w:sz="4" w:space="0"/>
              <w:bottom w:val="single" w:color="000000" w:sz="8" w:space="0"/>
              <w:right w:val="single" w:color="000000" w:sz="8" w:space="0"/>
            </w:tcBorders>
            <w:tcW w:w="650"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lang w:bidi="ar"/>
              </w:rPr>
              <w:t xml:space="preserve">100</w:t>
            </w:r>
            <w:r/>
          </w:p>
        </w:tc>
        <w:tc>
          <w:tcPr>
            <w:tcBorders>
              <w:top w:val="none" w:color="000000" w:sz="4" w:space="0"/>
              <w:left w:val="none" w:color="000000" w:sz="4" w:space="0"/>
              <w:bottom w:val="single" w:color="000000" w:sz="8" w:space="0"/>
              <w:right w:val="single" w:color="000000" w:sz="8" w:space="0"/>
            </w:tcBorders>
            <w:tcW w:w="4229" w:type="dxa"/>
            <w:vAlign w:val="center"/>
            <w:textDirection w:val="lrTb"/>
            <w:noWrap w:val="false"/>
          </w:tcPr>
          <w:p>
            <w:pPr>
              <w:spacing w:line="260" w:lineRule="exac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W w:w="675" w:type="dxa"/>
            <w:vAlign w:val="center"/>
            <w:textDirection w:val="lrTb"/>
            <w:noWrap w:val="false"/>
          </w:tcPr>
          <w:p>
            <w:pPr>
              <w:spacing w:line="260" w:lineRule="exact"/>
              <w:widowControl/>
              <w:rPr>
                <w:rFonts w:hint="eastAsia" w:ascii="宋体" w:hAnsi="宋体" w:cs="宋体"/>
                <w:color w:val="auto"/>
                <w:sz w:val="18"/>
                <w:szCs w:val="18"/>
                <w:highlight w:val="none"/>
              </w:rPr>
            </w:pPr>
            <w:r>
              <w:rPr>
                <w:rFonts w:hint="eastAsia" w:ascii="宋体" w:hAnsi="宋体" w:cs="宋体"/>
                <w:color w:val="auto"/>
                <w:sz w:val="18"/>
                <w:szCs w:val="18"/>
                <w:highlight w:val="none"/>
              </w:rPr>
            </w:r>
            <w:r/>
          </w:p>
        </w:tc>
      </w:tr>
      <w:tr>
        <w:trPr>
          <w:jc w:val="center"/>
          <w:trHeight w:val="537" w:hRule="exact"/>
        </w:trPr>
        <w:tc>
          <w:tcPr>
            <w:gridSpan w:val="5"/>
            <w:tcBorders>
              <w:top w:val="none" w:color="000000" w:sz="4" w:space="0"/>
              <w:left w:val="none" w:color="000000" w:sz="4" w:space="0"/>
              <w:bottom w:val="none" w:color="000000" w:sz="4" w:space="0"/>
              <w:right w:val="none" w:color="000000" w:sz="4" w:space="0"/>
            </w:tcBorders>
            <w:tcW w:w="8971" w:type="dxa"/>
            <w:vAlign w:val="center"/>
            <w:textDirection w:val="lrTb"/>
            <w:noWrap w:val="false"/>
          </w:tcPr>
          <w:p>
            <w:pPr>
              <w:ind w:firstLine="843"/>
              <w:jc w:val="left"/>
              <w:spacing w:line="400" w:lineRule="exact"/>
              <w:widowControl/>
              <w:rPr>
                <w:rFonts w:hint="eastAsia" w:ascii="宋体" w:hAnsi="宋体" w:cs="宋体"/>
                <w:b/>
                <w:bCs/>
                <w:color w:val="auto"/>
                <w:szCs w:val="21"/>
                <w:highlight w:val="none"/>
              </w:rPr>
            </w:pPr>
            <w:r>
              <w:rPr>
                <w:rStyle w:val="1116"/>
                <w:rFonts w:hint="default" w:ascii="宋体" w:hAnsi="宋体" w:eastAsia="宋体" w:cs="宋体"/>
                <w:color w:val="auto"/>
                <w:sz w:val="21"/>
                <w:szCs w:val="21"/>
                <w:highlight w:val="none"/>
                <w:lang w:bidi="ar"/>
              </w:rPr>
              <w:t xml:space="preserve">医院考核部门：</w:t>
            </w:r>
            <w:r>
              <w:rPr>
                <w:rStyle w:val="1116"/>
                <w:rFonts w:ascii="宋体" w:hAnsi="宋体" w:eastAsia="宋体" w:cs="宋体"/>
                <w:color w:val="auto"/>
                <w:sz w:val="21"/>
                <w:szCs w:val="21"/>
                <w:highlight w:val="none"/>
                <w:lang w:bidi="ar"/>
              </w:rPr>
              <w:t xml:space="preserve">运营保障中心</w:t>
            </w:r>
            <w:r>
              <w:rPr>
                <w:rStyle w:val="1117"/>
                <w:rFonts w:hint="default" w:ascii="宋体" w:hAnsi="宋体" w:eastAsia="宋体" w:cs="宋体"/>
                <w:color w:val="auto"/>
                <w:sz w:val="21"/>
                <w:szCs w:val="21"/>
                <w:highlight w:val="none"/>
                <w:lang w:bidi="ar"/>
              </w:rPr>
              <w:t xml:space="preserve">                       </w:t>
            </w:r>
            <w:r>
              <w:rPr>
                <w:rStyle w:val="1116"/>
                <w:rFonts w:hint="default" w:ascii="宋体" w:hAnsi="宋体" w:eastAsia="宋体" w:cs="宋体"/>
                <w:color w:val="auto"/>
                <w:sz w:val="21"/>
                <w:szCs w:val="21"/>
                <w:highlight w:val="none"/>
                <w:lang w:bidi="ar"/>
              </w:rPr>
              <w:t xml:space="preserve">被考核单位：</w:t>
            </w:r>
            <w:r>
              <w:rPr>
                <w:rStyle w:val="1117"/>
                <w:rFonts w:hint="default" w:ascii="宋体" w:hAnsi="宋体" w:eastAsia="宋体" w:cs="宋体"/>
                <w:color w:val="auto"/>
                <w:sz w:val="21"/>
                <w:szCs w:val="21"/>
                <w:highlight w:val="none"/>
                <w:lang w:bidi="ar"/>
              </w:rPr>
              <w:t xml:space="preserve"> </w:t>
            </w:r>
            <w:r>
              <w:rPr>
                <w:rStyle w:val="1116"/>
                <w:rFonts w:hint="default" w:ascii="宋体" w:hAnsi="宋体" w:eastAsia="宋体" w:cs="宋体"/>
                <w:color w:val="auto"/>
                <w:sz w:val="21"/>
                <w:szCs w:val="21"/>
                <w:highlight w:val="none"/>
              </w:rPr>
              <w:t xml:space="preserve">  </w:t>
            </w:r>
            <w:r>
              <w:rPr>
                <w:rStyle w:val="1117"/>
                <w:rFonts w:hint="default" w:ascii="宋体" w:hAnsi="宋体" w:eastAsia="宋体" w:cs="宋体"/>
                <w:color w:val="auto"/>
                <w:sz w:val="21"/>
                <w:szCs w:val="21"/>
                <w:highlight w:val="none"/>
                <w:lang w:bidi="ar"/>
              </w:rPr>
              <w:t xml:space="preserve">                                           </w:t>
            </w:r>
            <w:r/>
          </w:p>
        </w:tc>
      </w:tr>
    </w:tbl>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采购包2：配电运维服务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（一）服务范围：西苑医院苏州医院10KV变配电系统主要由：高压进线电缆、高压柜侧、变压器侧、低压柜侧、直流屏、信号屏、柴油发电机组等组成。</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（二）服务期限：</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（三）项目范围：本项目管理范围包括但不限于下述地点：吴中区苏蠡路138号10KV高压供电线路、变电所、输出母线、柴油发电机房的管理、数据分析、设备维护；</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（四）西苑医院苏州医院变配电系统主要设备表（包括但不限于）：</w:t>
      </w:r>
      <w:r/>
    </w:p>
    <w:tbl>
      <w:tblPr>
        <w:tblStyle w:val="739"/>
        <w:tblW w:w="9067" w:type="dxa"/>
        <w:tblInd w:w="113" w:type="dxa"/>
        <w:tblLayout w:type="autofit"/>
        <w:tblCellMar>
          <w:left w:w="108" w:type="dxa"/>
          <w:top w:w="0" w:type="dxa"/>
          <w:right w:w="108" w:type="dxa"/>
          <w:bottom w:w="0" w:type="dxa"/>
        </w:tblCellMar>
        <w:tblLook w:val="04A0" w:firstRow="1" w:lastRow="0" w:firstColumn="1" w:lastColumn="0" w:noHBand="0" w:noVBand="1"/>
      </w:tblPr>
      <w:tblGrid>
        <w:gridCol w:w="1020"/>
        <w:gridCol w:w="1040"/>
        <w:gridCol w:w="1621"/>
        <w:gridCol w:w="2316"/>
        <w:gridCol w:w="944"/>
        <w:gridCol w:w="851"/>
        <w:gridCol w:w="1275"/>
      </w:tblGrid>
      <w:tr>
        <w:trPr>
          <w:trHeight w:val="270"/>
        </w:trPr>
        <w:tc>
          <w:tcPr>
            <w:shd w:val="clear" w:color="000000" w:fill="c2d69b"/>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变电所</w:t>
            </w:r>
            <w:r/>
          </w:p>
        </w:tc>
        <w:tc>
          <w:tcPr>
            <w:shd w:val="clear" w:color="000000" w:fill="c2d69b"/>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序号</w:t>
            </w:r>
            <w:r/>
          </w:p>
        </w:tc>
        <w:tc>
          <w:tcPr>
            <w:shd w:val="clear" w:color="000000" w:fill="c2d69b"/>
            <w:tcBorders>
              <w:top w:val="single" w:color="auto"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设备名称</w:t>
            </w:r>
            <w:r/>
          </w:p>
        </w:tc>
        <w:tc>
          <w:tcPr>
            <w:shd w:val="clear" w:color="000000" w:fill="c2d69b"/>
            <w:tcBorders>
              <w:top w:val="single" w:color="auto"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品牌、规格</w:t>
            </w:r>
            <w:r/>
          </w:p>
        </w:tc>
        <w:tc>
          <w:tcPr>
            <w:shd w:val="clear" w:color="000000" w:fill="c2d69b"/>
            <w:tcBorders>
              <w:top w:val="single" w:color="auto"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单位</w:t>
            </w:r>
            <w:r/>
          </w:p>
        </w:tc>
        <w:tc>
          <w:tcPr>
            <w:shd w:val="clear" w:color="000000" w:fill="c2d69b"/>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数量</w:t>
            </w:r>
            <w:r/>
          </w:p>
        </w:tc>
        <w:tc>
          <w:tcPr>
            <w:shd w:val="clear" w:color="000000" w:fill="c2d69b"/>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生产厂家</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分变电所</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干式变压器</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SCB14-2000KVA/10KV</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海南金盘</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进线柜 SIVACON 8PT</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联络柜 SIVACON 8PT</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无功补偿柜  DTS-F</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525"/>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有源滤波柜  SLYAPF-100A*2/380V/4</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馈线柜  SIVACON 8PT</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高压开关柜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进线柜 UniGear ZS1</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厦门ABB</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高压开关柜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主变柜 UniGear ZS1</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厦门ABB</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主变电所</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干式变压器</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SCB14-2000KVA/10KV</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海南金盘</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进线柜 SIVACON 8PT</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联络柜 SIVACON 8PT</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无功补偿柜  DTS-F</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525"/>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shd w:val="clear" w:color="000000" w:fill="ffffff"/>
            <w:tcBorders>
              <w:top w:val="none" w:color="000000" w:sz="4" w:space="0"/>
              <w:left w:val="none" w:color="000000" w:sz="4" w:space="0"/>
              <w:bottom w:val="single" w:color="auto" w:sz="4" w:space="0"/>
              <w:right w:val="single" w:color="auto" w:sz="4" w:space="0"/>
            </w:tcBorders>
            <w:tcW w:w="2316"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有源滤波柜  SLYAPF-100A*2/380V/4</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低压开关柜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馈线柜  SIVACON 8PT</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48</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高压开关柜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进线柜 UniGear ZS1</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高压开关柜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计量柜 UniGear ZS1</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高压开关柜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PT柜   UniGear ZS1</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高压开关柜</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出线柜 UniGear ZS1</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162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直流屏</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GZDW33-65/220-M</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信号屏</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GXL</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苏州龙源</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621"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风冷式柴油发电机组</w:t>
            </w:r>
            <w:r/>
          </w:p>
        </w:tc>
        <w:tc>
          <w:tcPr>
            <w:tcBorders>
              <w:top w:val="none" w:color="000000" w:sz="4" w:space="0"/>
              <w:left w:val="none" w:color="000000" w:sz="4" w:space="0"/>
              <w:bottom w:val="single" w:color="auto" w:sz="4" w:space="0"/>
              <w:right w:val="single" w:color="auto" w:sz="4" w:space="0"/>
            </w:tcBorders>
            <w:tcW w:w="2316"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UW 1000</w:t>
            </w:r>
            <w:r/>
          </w:p>
        </w:tc>
        <w:tc>
          <w:tcPr>
            <w:shd w:val="clear" w:color="000000" w:fill="ffffff"/>
            <w:tcBorders>
              <w:top w:val="none" w:color="000000" w:sz="4" w:space="0"/>
              <w:left w:val="none" w:color="000000" w:sz="4" w:space="0"/>
              <w:bottom w:val="single" w:color="auto" w:sz="4" w:space="0"/>
              <w:right w:val="single" w:color="auto" w:sz="4" w:space="0"/>
            </w:tcBorders>
            <w:tcW w:w="94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75" w:type="dxa"/>
            <w:vAlign w:val="center"/>
            <w:textDirection w:val="lrTb"/>
            <w:noWrap/>
          </w:tcPr>
          <w:p>
            <w:pPr>
              <w:jc w:val="center"/>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厦门工钛</w:t>
            </w:r>
            <w:r/>
          </w:p>
        </w:tc>
      </w:tr>
    </w:tbl>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（五）变配电系统日常管理方案及要求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1、管理内容</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（1）变配电设备及线路24小时不间断的运行监测、管理；</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（2）设备及线路24小时不定期的维护保养，设备故障抢修；</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（3）定期预防性试验、绝缘用具检测；定期热成像试验；</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（4）建立运行档案资料及运行分析报告；</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（5）进行电能监测，提供合理优化方案，降低电能损耗；</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（6）柴油发电机系统的定期巡视、运行监测、管理，发电机年度大保养工作。</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2、维保及预防性试验项目</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（1）柜体、外壳、元件连接铜排除尘。高压电缆沟下检查，封堵电缆口，清除杂物，半个月为1次维保周期，所有设备运行状况必须记录在案，确保供电设施设备工况良好。</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（2）一次系统紧固件重新紧固，如发现热退火螺丝要进行更换。插件连接部分加凡士林，一年为1次维保周期，所有设备运行状况必须记录在案，确保供电设施设备工况良好。</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二次系统紧固件重新紧固，检查连接确保紧固、可靠，变压器风扇、温控检查、测试，电容器检查、测试，插件连接部分加凡士林，一年为1次维保周期，所有设备运行状况必须记录在案，确保供电设施设备工况良好。</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（4）检查中发现设备设施有缺陷或隐患的必须及时向院方以书面形式提出。</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（5）按照供电部门要求：对高压进线、高压配电柜、变压器、高压电缆、中置柜等需要进行预防性试验的供电设备设施进行预防性试验，合同期内免费试验一次，提供供电部门认可的检测报告一份。</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（6）每半年对安全用具进行免费检测，如绝缘手套、绝缘靴、高低压绝缘垫、接地线等。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7）每月做好柴油发电机房（机组）的日常巡视、场地保洁、试运行、厂家月检、年度大保养工作（本项目含保养所需润滑油、冷冻液、过滤器等耗材费用及常备柴油不低于储油箱总容量2/3的储备量的采购和灌装 ）。</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3、定期试验项目及周期</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（1）验电笔按绝缘安全工器具试验项目、周期和要求规定，1年周期内试验一次。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（2）短路接地线、400V短路接地线按绝缘安全工器具试验项目、周期和要求规定，1年周期内试验一次。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（3）绝缘地毯（胶垫）按绝缘安全工器具试验项目、周期和要求规定，半年周期内试验一次。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（4）绝缘鞋、绝缘手套按绝缘安全工器具试验项目、周期和要求规定，半年周期内试验一次。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（5）试验合格贴好标签、签名、日期及试验报告，院方确认人签名。绝缘安全工器具有缺陷或隐患的维保单位以书面形式提出。 </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4、能耗监测平台管理要求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（1）运行数据管理</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通过变电站各种设备的实时运行数据，实时掌握电气设备的运行状态，排除安全隐患、提高使用寿命。</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（2）月能耗报表上报</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根据能耗监测平台数据，每月分析各分类分项数据、各建筑能耗数据、同比环比能耗，并提出可行性的节能措施，形成月能耗报表，上报医院。</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（3）平台维护</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负责能耗监测平台的软硬件维护，出现故障及时解决。</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（4）功能要求如下：</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10KV高压回路监测要求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高压开关回路须实现以下运行数据的实时采集与处理：电压、电流、有功功率、无功功率、功率因数、频率、总电度量及峰谷平电度量、总谐波及分路谐波、三相不平衡、电流电压骤变等</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400V低压回路监测要求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所有变电所400V低压总开关及分路，实现电气设备运行数据的24小时在线实时采集和处理（包含电压、电流、功率、功率因数、谐波电流、电量等），传输速率为毫秒级，实现“遥测”“遥信”“遥控”“遥视”“遥调”功能；同时建立统一的变电所门禁管理系统。</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变压器（干式变压器）监测要求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实时监测变压器本体或绕组运行温度，确保变压器处于经济运行温度范围，杜绝高温跳闸现象发生；异常升温须即时告警</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三相电流、电压实时监测</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配电房视频监控要求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（1）高清摄像机须覆盖配电房内所有设施设备，做到监控无死角；可自动识别、自动拍照及录像，并配合红外安防系统自动追踪</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（2）正常巡检时防止人员误入带电区域，人员非正常进入时，智慧化运维平台须发出报警，摄像机自动对进入人员进行拍摄。</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5、服务员工要求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(1)服务员工统一着装，佩证上岗，在工作中礼貌用语，保证文明和安全施工。</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(2)变配电系统定期维修护过程中做好相应防护措施，服务企业对自身人员的安全负责，院方免责。</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(3)服务人员必须符合劳动部门有关用工规定，持证上岗，院方有权对此进行审核并提出整改意见。服务企业必须严格按劳动法用工，因违反劳动法用工所引发的劳动纠纷由服务企业承担完全责任。</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(4)服务人员应具有江苏省应急管理厅及相关部门颁发的高压电工资格证书。</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(5)提供驻场服务：提供全年365天无休24小时驻场运维服务，确保白2人在岗、夜间2人在岗服务。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(6)强化专业技能培训，规范巡检与记录。培训每季度不得少于一次。</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(7)严格安全管理与操作规范，服务人员必须主动学习，听从院方后勤部门工作安排。</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(8)服务人员必须主动细化设备预防性维护。</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(9)本项目配置</w:t>
      </w:r>
      <w:r>
        <w:rPr>
          <w:rFonts w:hint="eastAsia" w:ascii="宋体" w:hAnsi="宋体"/>
          <w:color w:val="auto"/>
          <w:szCs w:val="21"/>
          <w:highlight w:val="none"/>
          <w:lang w:val="en-US" w:eastAsia="zh-CN"/>
        </w:rPr>
        <w:t xml:space="preserve">不少于6人，其中</w:t>
      </w:r>
      <w:r>
        <w:rPr>
          <w:rFonts w:hint="eastAsia" w:ascii="宋体" w:hAnsi="宋体"/>
          <w:color w:val="auto"/>
          <w:szCs w:val="21"/>
          <w:highlight w:val="none"/>
        </w:rPr>
        <w:t xml:space="preserve">项目经理1人，负责医院日常的事务对接与联系。医院配电房白天不少于2个人，晚上不少于2个人，负责医院配电房的日常巡检、维护及值班。变电站实现标准的数字化管理，建设数字化运维平台，服务方每月派专人负责巡检。</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6、服务条款综合说明</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（1）院方提供管理所需的值班场所及水、电的供应。</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（2）服务维护工作必须通过国家电力部门的检查。如检查不合格的，扣除全部维保费用，由此造成的损失由服务单位全部承担。</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维修更换的配件必须与原品牌、型号一致，并经院方相关管理人员签字确认（若原厂配件停产，双方协商解决），更换的配件（价值超过500元人民币）由院方承担，由运维方提出采购申请，经院方确认后，由院方进行采购，由运维方进行安装、更换、调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（4）服务单位要有固定的具有相关资质的项目经理与院方进行交接，并提供固定的联系方式（含电子邮箱、地址、电话、传真）。</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服务单位执行定期测试任务时，必须持有致院方的联系单（写明维保内容、执行情况、维保人、时间等），经院方签字确认后作为合同考核及付款凭证，未经院方确认的，视为无效维护，不计入考核和付款凭证。</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（6）服务单位设备预防性试验结束后，十五个工作日内必须提供国家电力部门认可的设备预防性试验服务合格报告。</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7）服务单位在投标文件中应参照《中华人民共和国公共安全行业标准》制定详细的安全施工计划书和岗位职责，在施工中应严格按相关规定执行，如有施工安全、质量问题，由此引发的损失及责任全部由服务单位自行承担。</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8）如服务单位在接到医院两次下达整改通知后未能及时前来检测或维护、维修，或两次以上未能修复的，院方有权请第三方介入维修，由此引起的费用由维保单位支付，院方有权在当年维保费中扣除。由此故障造成的损失由服务单位全部承担。</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（9）服务单位应对服务范围内的设备、材料、工具及成品做好保护工作，并保证工作区域的整洁。</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（10）服务单位须在文件中应制定相应的应急方案，并作出实质性阐述以证明能够满足响应时间的要求。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11）服务单位应对管理的工作做好记录，其内容为：用电统计数据及分析、漏电监测数据、设备的维护保养记录、配电间日巡视记录、柴油发电机各项巡检记录、每次的抢修记录、每月开机记录、耗材等一并形成档案，档案规范整洁并满足三甲医院标准要求。该档案在合同结束时，需要移交给院方。</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（12）服务单位应提供在服务期间与院方的综合协调方案。</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13）服务单位在合同期满后，所有变配电系统必须保证正常运行，并出具所在科室及部门负责人确认签字单方可交付。如有设备未恢复正常，院方有权委派具有资质的单位进行维修或更换，费用从服务合同中扣除。</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（14）服务单位需定期安排巡视人员巡视整个医院的配电系统，制定相对应的负荷管理方案，尽量降低医院的能耗。</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15）服务单位所聘人员必须符合劳动部门有关用工规定，并经服务单位相关专业考核合格后持证上岗，院方有权对此进行审核并提出整改意见。服务单位必须严格按劳动法用工，因违反劳动法用工所引发的劳动纠纷由服务单位承担完全责任。</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16）服务单位需提供24小时全天候服务，如发生停电故障现场值班人员应于10分钟内响应，迅速排查故障原因，现场值班人员无法解决的，应立即上报公司，服务单位应于30分钟内响应，委派专业技术力量进行维修。对于信息系统、消控中心、电梯、ICU、手术室、急诊科等重要医疗区域，服务单位必须提供更快、更好、更优质的服务，确保全天候正常用电。</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（17）服务单位提供配电远程监控系统改造，实现变电站的数字化管理。</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（18）服务方有责任配合医院接受上级领导部门的监督、检查，并提供必需的材料。服务单位应参照医院后勤社会化管理部门接受医院的统一管理并进行考核，考核结果与每月费用结算挂钩，考核办法另行约定。</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（19）服务期内如遇国家最低工资标准和社会保险缴费基数调整，由中标人负责，采购人不再给予中标人相应调整。</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（六）服务企业责任及赔偿制度</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1、对医院变电站负责，当发生操作失误造成的设备损失由服务方100％赔偿。</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2、当发生因服务方投入的设备质量造成的设备损失由服务方按100％的价格赔偿。</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3、当配电间内发生因短路、过载等其他原因造成的设备损失由服务方按70％的价格赔偿。</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4、当配电间内发生电气故障，因人为因素导致未及时送电的，扣除当月服务费用，发生1次以上，院方有权终止协议。</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（七）考核要求：</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1、医院后勤保障部、运营保障中心每月对服务单位进行抽查，并提出整改意见。</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2、扣分项、加分项由后勤保障部、运营保障中心进行相应记录。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3、本表一式两份，每月底统计分值后，由考核部门、被考核单位双方签字确认后留存。</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4、被考核单位与医院结算相关费用时，以该考核分为依据。该考核分≥90分，则结算每月服务费用的100%;85≤考核分&lt;90分，每低1分，则结算每月服务费用扣除1%。80≤考核分&lt;85分，每低1分，则结算每月服务费用扣除2%。该考核分&lt;80分，视为不合格，则结算每月服务费用扣除5%。</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5、累计三次考核不合格，采购人有权无条件单方面解除合同。</w:t>
      </w:r>
      <w:r/>
    </w:p>
    <w:p>
      <w:pPr>
        <w:ind w:firstLine="48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后勤社会化部门月度考核表</w:t>
      </w:r>
      <w:r/>
    </w:p>
    <w:tbl>
      <w:tblPr>
        <w:tblStyle w:val="739"/>
        <w:tblW w:w="8151"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3077"/>
        <w:gridCol w:w="708"/>
        <w:gridCol w:w="2984"/>
        <w:gridCol w:w="792"/>
      </w:tblGrid>
      <w:tr>
        <w:trPr>
          <w:trHeight w:val="5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ind w:firstLine="360"/>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扣分项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ind w:firstLine="360"/>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得分</w:t>
            </w:r>
            <w:r/>
          </w:p>
        </w:tc>
      </w:tr>
      <w:tr>
        <w:trPr>
          <w:trHeight w:val="6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是否按合同约定配备足够数量的具有资质的驻场运维人员</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经抽查发现配备不足或资质不符的，每一次每一人扣2分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是否按合同约定开展维修、保养工作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经抽查发现维修、保养不到位或记录不全的，每次扣2分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是否按合同约定做好应急处置工作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发生紧急情况未按合同约定及时处置的，每次扣2分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ind w:firstLine="360"/>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安全工具管理</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经抽查发现安全工具、 绝缘物品未按规范年检的每次扣2分；使用不合格产品的，每次扣10分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87"/>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ind w:firstLine="360"/>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是否落实安全生产责任</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经抽查发现未按规范操作、工作中存在安全生产隐患的，每次扣2分；发生安全生产责任事故的，扣10分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ind w:firstLine="360"/>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是否按合同约定落实制度建设</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经抽查发现管理制度、维保制度、培训制度、应急预案制度不全或落实不到位的，每次扣2分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20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柴油发电机房管理</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经抽查发现柴油发电机房卫生状况较差，备用柴油不足，设备损坏、标识不清或缺失，未定期开机测试的，每次扣2分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在上级主管部门、行业主管部门检查中发现问题，被列为负面典型案例，受到通报批评、行政处罚的，每次扣10分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加分项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ind w:firstLine="360"/>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医院收到有关配电运维人员的表扬信、锦旗，或配电运维人员发生拾金不昧、见义勇为、助人为乐等行为</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经核实属实的，当月每收到一次加2分，月底合计得分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推出创新举措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受到广泛好评并连续推行3个月以上的，每一项加5分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340"/>
        </w:trPr>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ind w:firstLine="360"/>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ind w:firstLine="360"/>
              <w:jc w:val="left"/>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当月合计得分</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984" w:type="dxa"/>
            <w:vAlign w:val="center"/>
            <w:textDirection w:val="lrTb"/>
            <w:noWrap w:val="false"/>
          </w:tcPr>
          <w:p>
            <w:pPr>
              <w:ind w:firstLine="360"/>
              <w:jc w:val="center"/>
              <w:spacing w:line="2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ind w:firstLine="360"/>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40"/>
        <w:spacing w:line="320" w:lineRule="exact"/>
        <w:rPr>
          <w:rFonts w:hint="eastAsia" w:ascii="宋体" w:hAnsi="宋体"/>
          <w:color w:val="auto"/>
          <w:sz w:val="18"/>
          <w:szCs w:val="18"/>
          <w:highlight w:val="none"/>
        </w:rPr>
      </w:pPr>
      <w:r>
        <w:rPr>
          <w:rStyle w:val="1116"/>
          <w:rFonts w:hint="default" w:ascii="宋体" w:hAnsi="宋体" w:eastAsia="宋体" w:cs="宋体"/>
          <w:color w:val="auto"/>
          <w:sz w:val="21"/>
          <w:szCs w:val="21"/>
          <w:highlight w:val="none"/>
          <w:lang w:bidi="ar"/>
        </w:rPr>
        <w:t xml:space="preserve">医院考核部门：</w:t>
      </w:r>
      <w:r>
        <w:rPr>
          <w:rStyle w:val="1116"/>
          <w:rFonts w:ascii="宋体" w:hAnsi="宋体" w:eastAsia="宋体" w:cs="宋体"/>
          <w:color w:val="auto"/>
          <w:sz w:val="21"/>
          <w:szCs w:val="21"/>
          <w:highlight w:val="none"/>
          <w:lang w:bidi="ar"/>
        </w:rPr>
        <w:t xml:space="preserve">运营保障中心</w:t>
      </w:r>
      <w:r>
        <w:rPr>
          <w:rStyle w:val="1117"/>
          <w:rFonts w:hint="default" w:ascii="宋体" w:hAnsi="宋体" w:eastAsia="宋体" w:cs="宋体"/>
          <w:color w:val="auto"/>
          <w:sz w:val="21"/>
          <w:szCs w:val="21"/>
          <w:highlight w:val="none"/>
          <w:lang w:bidi="ar"/>
        </w:rPr>
        <w:t xml:space="preserve">                       </w:t>
      </w:r>
      <w:r>
        <w:rPr>
          <w:rStyle w:val="1116"/>
          <w:rFonts w:hint="default" w:ascii="宋体" w:hAnsi="宋体" w:eastAsia="宋体" w:cs="宋体"/>
          <w:color w:val="auto"/>
          <w:sz w:val="21"/>
          <w:szCs w:val="21"/>
          <w:highlight w:val="none"/>
          <w:lang w:bidi="ar"/>
        </w:rPr>
        <w:t xml:space="preserve">被考核单位：</w:t>
      </w:r>
      <w:r>
        <w:rPr>
          <w:rStyle w:val="1117"/>
          <w:rFonts w:hint="default" w:ascii="宋体" w:hAnsi="宋体" w:eastAsia="宋体" w:cs="宋体"/>
          <w:color w:val="auto"/>
          <w:sz w:val="21"/>
          <w:szCs w:val="21"/>
          <w:highlight w:val="none"/>
          <w:lang w:bidi="ar"/>
        </w:rPr>
        <w:t xml:space="preserve"> </w:t>
      </w:r>
      <w:r>
        <w:rPr>
          <w:rStyle w:val="1116"/>
          <w:rFonts w:hint="default" w:ascii="宋体" w:hAnsi="宋体" w:eastAsia="宋体" w:cs="宋体"/>
          <w:color w:val="auto"/>
          <w:sz w:val="21"/>
          <w:szCs w:val="21"/>
          <w:highlight w:val="none"/>
        </w:rPr>
        <w:t xml:space="preserve">  </w:t>
      </w:r>
      <w:r>
        <w:rPr>
          <w:rStyle w:val="1117"/>
          <w:rFonts w:hint="default" w:ascii="宋体" w:hAnsi="宋体" w:eastAsia="宋体" w:cs="宋体"/>
          <w:color w:val="auto"/>
          <w:sz w:val="21"/>
          <w:szCs w:val="21"/>
          <w:highlight w:val="none"/>
          <w:lang w:bidi="ar"/>
        </w:rPr>
        <w:t xml:space="preserve">  </w:t>
      </w:r>
      <w:r/>
    </w:p>
    <w:p>
      <w:pPr>
        <w:ind w:left="1" w:right="-176" w:firstLine="449"/>
        <w:spacing w:line="39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1" w:right="-176" w:firstLine="449"/>
        <w:spacing w:line="39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四、报价要求：人民币报价</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1、投标总价一次报定。</w:t>
      </w:r>
      <w:r/>
    </w:p>
    <w:p>
      <w:pPr>
        <w:ind w:firstLine="48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2、投标人应对所投项目的全部内容进行报价，只投其中部分内容者，其标书将被拒绝；</w:t>
      </w:r>
      <w:r/>
    </w:p>
    <w:p>
      <w:pPr>
        <w:ind w:firstLine="480"/>
        <w:spacing w:line="400" w:lineRule="exact"/>
        <w:rPr>
          <w:rFonts w:hint="eastAsia" w:ascii="宋体" w:hAnsi="宋体"/>
          <w:color w:val="auto"/>
          <w:szCs w:val="21"/>
          <w:highlight w:val="none"/>
        </w:rPr>
      </w:pPr>
      <w:r>
        <w:rPr>
          <w:rFonts w:hint="eastAsia" w:ascii="宋体" w:hAnsi="宋体" w:cs="宋体"/>
          <w:color w:val="auto"/>
          <w:szCs w:val="21"/>
          <w:highlight w:val="none"/>
        </w:rPr>
        <w:t xml:space="preserve">3、报价应包括：报价包括在承包期内完成服务内容所需要的一切费用，人工（包括工资、奖金、社保、</w:t>
      </w:r>
      <w:r>
        <w:rPr>
          <w:rFonts w:hint="eastAsia"/>
          <w:color w:val="auto"/>
          <w:szCs w:val="21"/>
          <w:highlight w:val="none"/>
        </w:rPr>
        <w:t xml:space="preserve">节假日及临时加班</w:t>
      </w:r>
      <w:r>
        <w:rPr>
          <w:rFonts w:hint="eastAsia" w:ascii="宋体" w:hAnsi="宋体" w:cs="宋体"/>
          <w:color w:val="auto"/>
          <w:szCs w:val="21"/>
          <w:highlight w:val="none"/>
        </w:rPr>
        <w:t xml:space="preserve">等费用）、包括但不限于所有耗材、</w:t>
      </w:r>
      <w:r>
        <w:rPr>
          <w:rFonts w:hint="eastAsia" w:ascii="宋体" w:hAnsi="宋体"/>
          <w:color w:val="auto"/>
          <w:szCs w:val="21"/>
          <w:highlight w:val="none"/>
        </w:rPr>
        <w:t xml:space="preserve">保安各类日常费用及对讲机费用、</w:t>
      </w:r>
      <w:r>
        <w:rPr>
          <w:rFonts w:hint="eastAsia" w:ascii="宋体" w:hAnsi="宋体" w:cs="宋体"/>
          <w:color w:val="auto"/>
          <w:szCs w:val="21"/>
          <w:highlight w:val="none"/>
        </w:rPr>
        <w:t xml:space="preserve">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服务期内如遇国家最低工资标准和社会保险缴费基数调整，由中标人负责，采购人不再给予中标人相应调整。</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00" w:lineRule="exact"/>
        <w:rPr>
          <w:rFonts w:hint="eastAsia" w:ascii="宋体" w:hAnsi="宋体"/>
          <w:b/>
          <w:bCs/>
          <w:color w:val="auto"/>
          <w:szCs w:val="21"/>
          <w:highlight w:val="none"/>
        </w:rPr>
      </w:pPr>
      <w:r>
        <w:rPr>
          <w:rFonts w:hint="eastAsia" w:ascii="宋体" w:hAnsi="宋体" w:cs="宋体"/>
          <w:b/>
          <w:bCs/>
          <w:color w:val="auto"/>
          <w:szCs w:val="21"/>
          <w:highlight w:val="none"/>
        </w:rPr>
        <w:t xml:space="preserve">五、其他说明：</w:t>
      </w:r>
      <w:r/>
    </w:p>
    <w:p>
      <w:pPr>
        <w:ind w:firstLine="420"/>
        <w:spacing w:line="400" w:lineRule="exact"/>
        <w:rPr>
          <w:rFonts w:hint="eastAsia" w:ascii="宋体" w:hAnsi="宋体" w:cs="宋体"/>
          <w:color w:val="auto"/>
          <w:szCs w:val="21"/>
          <w:highlight w:val="none"/>
        </w:rPr>
      </w:pPr>
      <w:r>
        <w:rPr>
          <w:rFonts w:ascii="宋体" w:hAnsi="宋体"/>
          <w:color w:val="auto"/>
          <w:szCs w:val="21"/>
          <w:highlight w:val="none"/>
        </w:rPr>
        <w:t xml:space="preserve">1</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中标单位须按照本招标采购文件的要求对该上述项目进行服务工作。</w:t>
      </w:r>
      <w:r>
        <w:rPr>
          <w:rFonts w:hint="eastAsia" w:ascii="宋体" w:hAnsi="宋体" w:cs="宋体"/>
          <w:color w:val="auto"/>
          <w:szCs w:val="21"/>
          <w:highlight w:val="none"/>
        </w:rPr>
        <w:t xml:space="preserve">中标单位对服务缺陷不予更正，招标人有权另请其他单位更正，所发生的费用在服务费中扣除。</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、投标人必须承诺招标文件中提出的全部服务要求；如果其中某些条款不响应时，应在文件中逐条列出，未列出的视同响应。</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s="宋体"/>
          <w:color w:val="auto"/>
          <w:szCs w:val="21"/>
          <w:highlight w:val="none"/>
        </w:rPr>
        <w:t xml:space="preserve">、如遇采购单位有重大基建等特殊情况（工作量减少或增加幅度较大时），采购单位将提前三个月告知乙方，合同内容经双方协商调整。</w:t>
      </w:r>
      <w:r/>
    </w:p>
    <w:p>
      <w:pPr>
        <w:ind w:firstLine="420"/>
        <w:spacing w:line="400" w:lineRule="exact"/>
        <w:rPr>
          <w:rFonts w:hint="eastAsia" w:ascii="宋体" w:hAnsi="宋体" w:cs="宋体"/>
          <w:color w:val="auto"/>
          <w:szCs w:val="21"/>
          <w:highlight w:val="none"/>
        </w:rPr>
      </w:pPr>
      <w:r>
        <w:rPr>
          <w:rFonts w:ascii="宋体" w:hAnsi="宋体"/>
          <w:color w:val="auto"/>
          <w:szCs w:val="21"/>
          <w:highlight w:val="none"/>
        </w:rPr>
        <w:t xml:space="preserve">4</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投标人须严格按照国家和政府规定给所有的员工缴纳各种社会保险（包括养老、医疗、工伤、生育保险、失业保险等）。负责其招聘员工的一切工资、福利；如发生工伤、疾病乃至死亡的一切责任及费用由中标人全部负责；应严格遵守国家有关的法律、法规及行业标准，否则采购人有权终止合同。</w:t>
      </w:r>
      <w:r>
        <w:rPr>
          <w:rFonts w:hint="eastAsia" w:ascii="宋体" w:hAnsi="宋体" w:cs="宋体"/>
          <w:color w:val="auto"/>
          <w:szCs w:val="21"/>
          <w:highlight w:val="none"/>
        </w:rPr>
        <w:t xml:space="preserve">投标人要充分考虑所有工作人员的值休、轮休、法定假日休息以及岗位顶班、日常机动人员的配备，以上所有费用均计入总价。</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5、投标报价中人员的工资、社保等标准，不得低于苏州市政府文件最新规定的最低标准，否则视为无效投标</w:t>
      </w:r>
      <w:r>
        <w:rPr>
          <w:rFonts w:hint="eastAsia" w:ascii="宋体" w:hAnsi="宋体" w:cs="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、招标人不接受投标人任何因遗漏报价而发生的费用追加，因投标人违反《中华人民共和国劳动法》等法律法规而造成采购人的连带责任和损失全部由中标方承担。</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、投标人应在投标文件中说明，如能中标，在服务过程中需要采购人配合的工作和需要提供的条件。</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凡涉及采购文件的补充说明和修改，均以江苏政府采购网、苏州政府采购网所发布的公告为准。</w:t>
      </w:r>
      <w:bookmarkEnd w:id="11"/>
      <w:r/>
      <w:bookmarkEnd w:id="12"/>
      <w:r/>
      <w:r/>
    </w:p>
    <w:p>
      <w:pPr>
        <w:jc w:val="center"/>
        <w:spacing w:line="400" w:lineRule="exact"/>
        <w:rPr>
          <w:rFonts w:hint="eastAsia" w:ascii="宋体" w:hAnsi="宋体"/>
          <w:color w:val="auto"/>
          <w:sz w:val="36"/>
          <w:szCs w:val="36"/>
          <w:highlight w:val="none"/>
        </w:rPr>
      </w:pPr>
      <w:r>
        <w:rPr>
          <w:rFonts w:ascii="宋体" w:hAnsi="宋体"/>
          <w:color w:val="auto"/>
          <w:sz w:val="36"/>
          <w:szCs w:val="36"/>
          <w:highlight w:val="none"/>
        </w:rPr>
        <w:br w:type="page" w:clear="all"/>
      </w:r>
      <w:bookmarkStart w:id="17" w:name="_Hlk131153011"/>
      <w:r/>
      <w:bookmarkStart w:id="18" w:name="_Hlk99527961"/>
      <w:r>
        <w:rPr>
          <w:rFonts w:hint="eastAsia" w:ascii="宋体" w:hAnsi="宋体"/>
          <w:color w:val="auto"/>
          <w:sz w:val="36"/>
          <w:szCs w:val="36"/>
          <w:highlight w:val="none"/>
        </w:rPr>
        <w:t xml:space="preserve">第五章 合同主要条款</w:t>
      </w:r>
      <w:r/>
    </w:p>
    <w:p>
      <w:pPr>
        <w:jc w:val="center"/>
        <w:rPr>
          <w:rFonts w:hint="eastAsia" w:ascii="宋体" w:hAnsi="宋体"/>
          <w:b/>
          <w:bCs/>
          <w:color w:val="auto"/>
          <w:szCs w:val="21"/>
          <w:highlight w:val="none"/>
        </w:rPr>
      </w:pPr>
      <w:r>
        <w:rPr>
          <w:rFonts w:hint="eastAsia" w:ascii="宋体" w:hAnsi="宋体"/>
          <w:b/>
          <w:bCs/>
          <w:color w:val="auto"/>
          <w:szCs w:val="21"/>
          <w:highlight w:val="none"/>
        </w:rPr>
        <w:t xml:space="preserve">采购包1</w:t>
      </w:r>
      <w:r>
        <w:rPr>
          <w:rFonts w:ascii="宋体" w:hAnsi="宋体"/>
          <w:b/>
          <w:bCs/>
          <w:color w:val="auto"/>
          <w:szCs w:val="21"/>
          <w:highlight w:val="non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rPr>
          <w:rFonts w:ascii="宋体" w:hAnsi="宋体"/>
          <w:color w:val="auto"/>
          <w:szCs w:val="21"/>
          <w:highlight w:val="none"/>
        </w:rPr>
        <w:t xml:space="preserve">     </w:t>
      </w:r>
      <w:r/>
    </w:p>
    <w:p>
      <w:pPr>
        <w:spacing w:line="360" w:lineRule="exact"/>
        <w:rPr>
          <w:rFonts w:hint="eastAsia"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根据苏州市政府采购招标编号为</w:t>
      </w: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的招标文件及该文件的投标文件和中标通知书，甲乙双方就甲方聘用乙方从事医院安保服务工作，签订本合同书。</w:t>
      </w:r>
      <w:r>
        <w:rPr>
          <w:rFonts w:ascii="宋体" w:hAnsi="宋体"/>
          <w:color w:val="auto"/>
          <w:szCs w:val="21"/>
          <w:highlight w:val="none"/>
        </w:rPr>
        <w:t xml:space="preserve">  </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lang w:val="zh-CN"/>
        </w:rPr>
        <w:t xml:space="preserve">一、合同内容：</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乙方负责西苑医院苏州医院区域的</w:t>
      </w:r>
      <w:r>
        <w:rPr>
          <w:rFonts w:hint="eastAsia" w:ascii="宋体" w:hAnsi="宋体"/>
          <w:color w:val="auto"/>
          <w:szCs w:val="21"/>
          <w:highlight w:val="none"/>
          <w:u w:val="single"/>
        </w:rPr>
        <w:t xml:space="preserve">医院安保服务以及每月提交月度工作分析报告</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管理时间自</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日。在协议有效期内一方不得擅自变更或中止此项协议，如未经双方同意，擅自变更或中止此项的一方要负违约责任。此项协议需终止或续签，应在协议期内提前半个月通知对方。</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以上与本合同具有同等法律效力</w:t>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以上价格包括在承包期内完成服务内容所需要的一切费用，人工（包括工资、奖金、社保、加班费、当地最低工资基数上调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、安保服务付款步骤：</w:t>
      </w:r>
      <w:r/>
    </w:p>
    <w:p>
      <w:pPr>
        <w:pStyle w:val="750"/>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）经甲方依据考核细则考核后按月支付，乙方出具合格的发票，经甲、乙双方确认的服务合同履约报告，甲方在收到发票后 30 个工作日内向乙方支付费用。乙方逾期提交发票或报告的，甲方付款日期相应顺延，且不承担逾期付款违约责任。</w:t>
      </w:r>
      <w:r/>
    </w:p>
    <w:p>
      <w:pPr>
        <w:pStyle w:val="750"/>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）如中标人对服务缺陷不予更正，招标人有权另请其他单位更正，更正费用在月度费用中扣除。</w:t>
      </w:r>
      <w:r/>
    </w:p>
    <w:p>
      <w:pPr>
        <w:pStyle w:val="750"/>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）甲方支付合同项下费用外不再承担其它任何费用（包括个人）。</w:t>
      </w:r>
      <w:r/>
    </w:p>
    <w:p>
      <w:pPr>
        <w:pStyle w:val="750"/>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）确因甲方工作需要，乙方应无条件配合甲方完成一些突击工作。如：安排服务人员（内部）临时加班。</w:t>
      </w:r>
      <w:r/>
    </w:p>
    <w:p>
      <w:pPr>
        <w:pStyle w:val="750"/>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5</w:t>
      </w:r>
      <w:r>
        <w:rPr>
          <w:rFonts w:hint="eastAsia" w:hAnsi="宋体" w:eastAsia="宋体"/>
          <w:color w:val="auto"/>
          <w:sz w:val="21"/>
          <w:szCs w:val="21"/>
          <w:highlight w:val="none"/>
        </w:rPr>
        <w:t xml:space="preserve">）甲方对乙方的服务工作进行考核，每月考核结果与服务费用挂钩，考核细则详见采购要求。</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结算时须提供以下材料：</w:t>
      </w:r>
      <w:r>
        <w:rPr>
          <w:rFonts w:hAnsi="宋体" w:eastAsia="宋体"/>
          <w:color w:val="auto"/>
          <w:sz w:val="21"/>
          <w:szCs w:val="21"/>
          <w:highlight w:val="none"/>
        </w:rPr>
        <w:t xml:space="preserve"> </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A</w:t>
      </w:r>
      <w:r>
        <w:rPr>
          <w:rFonts w:hint="eastAsia" w:hAnsi="宋体" w:eastAsia="宋体"/>
          <w:color w:val="auto"/>
          <w:sz w:val="21"/>
          <w:szCs w:val="21"/>
          <w:highlight w:val="none"/>
        </w:rPr>
        <w:t xml:space="preserve">、考核结果表。</w:t>
      </w:r>
      <w:r/>
    </w:p>
    <w:p>
      <w:pPr>
        <w:ind w:firstLine="420"/>
        <w:spacing w:line="400" w:lineRule="exact"/>
        <w:tabs>
          <w:tab w:val="left" w:pos="0" w:leader="none"/>
        </w:tabs>
        <w:rPr>
          <w:rFonts w:hint="eastAsia"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tabs>
          <w:tab w:val="left" w:pos="0" w:leader="none"/>
        </w:tabs>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、乙方有责任配合甲方接受上级领导部门的监督、检查，并提供必须的材料。甲方有权对乙方进行月度考核，考核结果与当月度费用结算挂钩。具体考核方法和标准见</w:t>
      </w:r>
      <w:r>
        <w:rPr>
          <w:rFonts w:hint="eastAsia" w:ascii="宋体" w:hAnsi="宋体"/>
          <w:color w:val="auto"/>
          <w:szCs w:val="21"/>
          <w:highlight w:val="none"/>
          <w:lang w:val="en-US" w:eastAsia="zh-CN"/>
        </w:rPr>
        <w:t xml:space="preserve">附件</w:t>
      </w:r>
      <w:r>
        <w:rPr>
          <w:rFonts w:hint="eastAsia" w:ascii="宋体" w:hAnsi="宋体"/>
          <w:color w:val="auto"/>
          <w:szCs w:val="21"/>
          <w:highlight w:val="none"/>
        </w:rPr>
        <w:t xml:space="preserve">。除合同约定外，甲方不再向乙方额外支付其他费用。</w:t>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三、服务质量与检验：</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四、甲、乙双方的责任</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、甲方责任：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）为乙方提供办公用房及通讯设施（</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部市内固定电话），并指定专人作为甲方联系人予以协调工作。加强与乙方沟通，交流情况，互通信息。</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）甲方应教育所属人员尊重乙方工作人员的劳动成果，积极配合乙方工作人员履行好合同所规定的职责和义务。</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、乙方责任：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）乙方在从事医院安保服务工作中应当做到文明工作、安全生产，采取必要的安全防范措施，合同期内若发生安全事故由乙方承担，与甲方无关。</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）乙方应及时调整不适应工作需求的医院安保服务人员及其员工。如甲方认为该员工不能胜任本职工作的，必须调整。</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（4）乙方必须与全部驻场人员依法建立劳动关系，足额缴纳社会保险，所有劳动争议、</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工伤、工亡、薪资纠纷等均由乙方独立处理并承担全部责任，与甲方无关。</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（5）乙方承诺具备合法保安服务许可证，所有在岗保安员持有效保安员证，消控室人</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员持有效消防设施操作员证，特种岗位人员持证上岗；相关证书复印件报甲方备案，甲方有权随时核验。</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五、违约责任</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、违约责任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合同一方不履行合同义务或者履行合同义务不符合约定的，应当承担继续履行、采取补救措施或者赔偿损失等违约责任。</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、甲方违约责任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）在合同生效后，甲方要求解除合同的，应向乙方偿付合同总价款</w:t>
      </w:r>
      <w:r>
        <w:rPr>
          <w:rFonts w:hint="eastAsia" w:hAnsi="宋体" w:eastAsia="宋体"/>
          <w:color w:val="auto"/>
          <w:sz w:val="21"/>
          <w:szCs w:val="21"/>
          <w:highlight w:val="none"/>
          <w:lang w:val="en-US" w:eastAsia="zh-CN"/>
        </w:rPr>
        <w:t xml:space="preserve">5</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的违约金，违约金不足以补偿损失的，乙方有权要求甲方补足。</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）甲方逾期付款的应按照逾期付款金额的每天万分之四支付逾期付款违约金。</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、乙方违约责任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lang w:val="en-US" w:eastAsia="zh-CN"/>
        </w:rPr>
        <w:t xml:space="preserve">1</w:t>
      </w:r>
      <w:r>
        <w:rPr>
          <w:rFonts w:hint="eastAsia" w:hAnsi="宋体" w:eastAsia="宋体"/>
          <w:color w:val="auto"/>
          <w:sz w:val="21"/>
          <w:szCs w:val="21"/>
          <w:highlight w:val="none"/>
          <w:lang w:eastAsia="zh-CN"/>
        </w:rPr>
        <w:t xml:space="preserve">）</w:t>
      </w:r>
      <w:r>
        <w:rPr>
          <w:rFonts w:hint="eastAsia" w:hAnsi="宋体" w:eastAsia="宋体"/>
          <w:color w:val="auto"/>
          <w:sz w:val="21"/>
          <w:szCs w:val="21"/>
          <w:highlight w:val="none"/>
        </w:rPr>
        <w:t xml:space="preserve">乙方不能履行合同从而影响甲方按期正常使用的，甲方有权解除合同，乙方向甲方偿付合同总价款</w:t>
      </w:r>
      <w:r>
        <w:rPr>
          <w:rFonts w:hint="eastAsia" w:hAnsi="宋体" w:eastAsia="宋体"/>
          <w:color w:val="auto"/>
          <w:sz w:val="21"/>
          <w:szCs w:val="21"/>
          <w:highlight w:val="none"/>
          <w:lang w:val="en-US" w:eastAsia="zh-CN"/>
        </w:rPr>
        <w:t xml:space="preserve">5</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的违约金，违约金不足以补偿损失的甲方有权要求乙方补足。</w:t>
      </w:r>
      <w:r/>
    </w:p>
    <w:p>
      <w:pPr>
        <w:pStyle w:val="750"/>
        <w:ind w:firstLine="420"/>
        <w:spacing w:line="400" w:lineRule="exact"/>
        <w:rPr>
          <w:rFonts w:hint="eastAsia" w:hAnsi="宋体" w:eastAsia="宋体"/>
          <w:color w:val="auto"/>
          <w:sz w:val="21"/>
          <w:szCs w:val="21"/>
          <w:highlight w:val="none"/>
        </w:rPr>
      </w:pPr>
      <w:r>
        <w:rPr>
          <w:rFonts w:ascii="宋体" w:hAnsi="宋体" w:eastAsia="宋体" w:cs="宋体"/>
          <w:color w:val="auto"/>
          <w:sz w:val="21"/>
          <w:szCs w:val="21"/>
          <w:highlight w:val="none"/>
        </w:rPr>
        <w:t xml:space="preserve">（2）乙方违约责任以本合同附件《西苑医院苏州医院社会化部门月度考核表》及备注 中的考核扣分、费用扣除、不合格认定、单方解除等约定为准执行。若发生附件中未约定的重大违约行为，乙方仍应承担继续履行、赔偿损失等全部法律责任。</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、不可抗力</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）因不可抗力不能履行合同的，根据不可抗力的影响，部分或者全部免除责任。但合同一方迟延履行后发生不可抗力的，不能免除责任。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）合同一方因不可抗力不能履行合同的，应当及时通知对方，以减轻可能给对方造成的损失，并应当在合理期限内提供证明。</w:t>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六、合同的解除和转让</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、合同的解除</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）有下列情形之一，合同一方可以解除合同：</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①</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因不可抗力致使不能实现合同目的，未受不可抗力影响的一方有权解除合同；</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②</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因合同一方违约导致合同不能履行，另一方有权解除合同；</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）有权解除合同的一方，应当在违约事实或不可抗力发生之后三十天内书面通知对方以主张解除合同，合同在书面通知到达对方时解除。</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、合同的转让</w:t>
      </w:r>
      <w:r/>
    </w:p>
    <w:p>
      <w:pPr>
        <w:pStyle w:val="750"/>
        <w:ind w:firstLine="422"/>
        <w:spacing w:line="400" w:lineRule="exact"/>
        <w:rPr>
          <w:rFonts w:hint="eastAsia" w:hAnsi="宋体" w:eastAsia="宋体"/>
          <w:b w:val="0"/>
          <w:bCs/>
          <w:color w:val="auto"/>
          <w:sz w:val="21"/>
          <w:szCs w:val="21"/>
          <w:highlight w:val="none"/>
        </w:rPr>
      </w:pPr>
      <w:r>
        <w:rPr>
          <w:rFonts w:hint="eastAsia" w:hAnsi="宋体" w:eastAsia="宋体"/>
          <w:b w:val="0"/>
          <w:bCs/>
          <w:color w:val="auto"/>
          <w:sz w:val="21"/>
          <w:szCs w:val="21"/>
          <w:highlight w:val="none"/>
        </w:rPr>
        <w:t xml:space="preserve">合同的全部不得转让。乙方不得转包、分包、挂靠或委托第三方提供本合同服务，违者视为根本违约，甲方有权立即解约。</w:t>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七、合同的生效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1、本合同在双方签字盖章后生效。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八、争议解决</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九、附则</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本合同一式叁份，甲乙双方各执一份，采购代理机构一份。</w:t>
      </w:r>
      <w:r/>
    </w:p>
    <w:p>
      <w:pPr>
        <w:ind w:firstLine="42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本合同未尽事宜应按照《中华人民共和国民法典》、《中华人民共和国政府采购法》以及其同相关法律、法规之规定解释。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乙方代表签字：</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380"/>
        <w:jc w:val="center"/>
        <w:spacing w:line="400" w:lineRule="exact"/>
        <w:rPr>
          <w:rFonts w:hint="eastAsia" w:ascii="宋体" w:hAnsi="宋体"/>
          <w:b/>
          <w:bCs/>
          <w:color w:val="auto"/>
          <w:szCs w:val="28"/>
          <w:highlight w:val="none"/>
        </w:rPr>
      </w:pPr>
      <w:r>
        <w:rPr>
          <w:rFonts w:ascii="宋体" w:hAnsi="宋体"/>
          <w:b/>
          <w:bCs/>
          <w:color w:val="auto"/>
          <w:szCs w:val="28"/>
          <w:highlight w:val="none"/>
        </w:rPr>
        <w:br w:type="page" w:clear="all"/>
      </w:r>
      <w:r>
        <w:rPr>
          <w:rFonts w:hint="eastAsia" w:ascii="宋体" w:hAnsi="宋体"/>
          <w:b/>
          <w:bCs/>
          <w:color w:val="auto"/>
          <w:szCs w:val="28"/>
          <w:highlight w:val="none"/>
        </w:rPr>
        <w:t xml:space="preserve">采购包2</w:t>
      </w:r>
      <w:r>
        <w:rPr>
          <w:rFonts w:ascii="宋体" w:hAnsi="宋体"/>
          <w:b/>
          <w:bCs/>
          <w:color w:val="auto"/>
          <w:szCs w:val="28"/>
          <w:highlight w:val="none"/>
        </w:rPr>
        <w:t xml:space="preserve"> </w:t>
      </w:r>
      <w:bookmarkEnd w:id="17"/>
      <w:r>
        <w:rPr>
          <w:rFonts w:hint="eastAsia" w:ascii="宋体" w:hAnsi="宋体"/>
          <w:b/>
          <w:bCs/>
          <w:color w:val="auto"/>
          <w:szCs w:val="28"/>
          <w:highlight w:val="none"/>
        </w:rPr>
        <w:t xml:space="preserve">合同主要条款</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一、合同内容：</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乙方为甲方提供</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变配电系统管理及维护服务以及每月提交月度工作分析报告</w:t>
      </w:r>
      <w:r>
        <w:rPr>
          <w:rFonts w:hint="eastAsia" w:ascii="宋体" w:hAnsi="宋体"/>
          <w:color w:val="auto"/>
          <w:szCs w:val="21"/>
          <w:highlight w:val="none"/>
        </w:rPr>
        <w:t xml:space="preserve">。</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、维保时间</w:t>
      </w:r>
      <w:r>
        <w:rPr>
          <w:rFonts w:hint="eastAsia" w:ascii="宋体" w:hAnsi="宋体"/>
          <w:color w:val="auto"/>
          <w:szCs w:val="21"/>
          <w:highlight w:val="none"/>
          <w:u w:val="single"/>
        </w:rPr>
        <w:t xml:space="preserve">自</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日至</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年</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月</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日</w:t>
      </w:r>
      <w:r>
        <w:rPr>
          <w:rFonts w:hint="eastAsia" w:ascii="宋体" w:hAnsi="宋体"/>
          <w:color w:val="auto"/>
          <w:szCs w:val="21"/>
          <w:highlight w:val="none"/>
        </w:rPr>
        <w:t xml:space="preserve">。在合同有效期内一方不得擅自变更或中止此项合同，如未经双方同意，擅自变更或中止此项合同的一方要负违约责任。此项合同需终止或续签，应在合同期内提前半个月通知对方。</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、下列文件为本合同不可分割部分：</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）中标通知书；</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）乙方的投标文件；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）乙方在招投标过程中所作的其它承诺、声明、书面澄清等；</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）采购文件及其附件；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）合同附件。</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以上与本合同具有同等法律效力</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二、合同价格及费用结算：</w:t>
      </w:r>
      <w:r/>
    </w:p>
    <w:p>
      <w:pPr>
        <w:pStyle w:val="750"/>
        <w:ind w:firstLine="435"/>
        <w:spacing w:line="400" w:lineRule="exact"/>
        <w:rPr>
          <w:rFonts w:hint="eastAsia" w:hAnsi="宋体" w:eastAsia="宋体"/>
          <w:color w:val="auto"/>
          <w:sz w:val="21"/>
          <w:szCs w:val="21"/>
          <w:highlight w:val="none"/>
          <w:u w:val="singl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、合同总价：</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元整（￥</w:t>
      </w:r>
      <w:r>
        <w:rPr>
          <w:rFonts w:hAnsi="宋体" w:eastAsia="宋体"/>
          <w:color w:val="auto"/>
          <w:sz w:val="21"/>
          <w:szCs w:val="21"/>
          <w:highlight w:val="none"/>
          <w:u w:val="single"/>
        </w:rPr>
        <w:t xml:space="preserve">       .00</w:t>
      </w:r>
      <w:r>
        <w:rPr>
          <w:rFonts w:hint="eastAsia" w:hAnsi="宋体" w:eastAsia="宋体"/>
          <w:color w:val="auto"/>
          <w:sz w:val="21"/>
          <w:szCs w:val="21"/>
          <w:highlight w:val="none"/>
          <w:u w:val="single"/>
        </w:rPr>
        <w:t xml:space="preserve">）</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以上价格应包括在承包期内完成服务内容所需要的一切费用，包括但不限于所有耗品、耗材、通讯器材、服装、胸卡、办公设备、巡检器材、各种税费、人工、保险、当地最低工资基数上调、劳保、管理、维护、利润、税金及合同包含的所有风险、责任等各项应有费用。</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、付款步骤：</w:t>
      </w:r>
      <w:r>
        <w:rPr>
          <w:rFonts w:hAnsi="宋体" w:eastAsia="宋体"/>
          <w:color w:val="auto"/>
          <w:sz w:val="21"/>
          <w:szCs w:val="21"/>
          <w:highlight w:val="none"/>
        </w:rPr>
        <w:t xml:space="preserve"> </w:t>
      </w:r>
      <w:r/>
    </w:p>
    <w:p>
      <w:pPr>
        <w:pStyle w:val="750"/>
        <w:ind w:firstLine="435"/>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）经甲方依据考核细则考核后按月支付，乙方出具合格的发票，经甲、乙双方确认的服务合同履约报告，甲方在收到发票后 30 个工作日内向乙方支付费用。乙方逾期提交发票或报告的，甲方付款日期相应顺延，且不承担逾期付款违约责任。</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）如中标人对服务缺陷不予更正，招标人有权另请其他单位更正，更正费用在月度费用中扣除。</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）甲方支付合同项下费用外不再承担其它任何费用（包括个人）。</w:t>
      </w:r>
      <w:r/>
    </w:p>
    <w:p>
      <w:pPr>
        <w:pStyle w:val="750"/>
        <w:ind w:firstLine="42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、乙方有责任配合甲方接受上级领导部门的监督、检查，并提供必须的材料。甲方有权对乙方进行月度考核，考核结果与当月度费用结算挂钩。具体考核方法和标准见</w:t>
      </w:r>
      <w:r>
        <w:rPr>
          <w:rFonts w:hint="eastAsia" w:hAnsi="宋体" w:eastAsia="宋体"/>
          <w:color w:val="auto"/>
          <w:sz w:val="21"/>
          <w:szCs w:val="21"/>
          <w:highlight w:val="none"/>
          <w:lang w:val="en-US" w:eastAsia="zh-CN"/>
        </w:rPr>
        <w:t xml:space="preserve">附件</w:t>
      </w:r>
      <w:r>
        <w:rPr>
          <w:rFonts w:hint="eastAsia" w:hAnsi="宋体" w:eastAsia="宋体"/>
          <w:color w:val="auto"/>
          <w:sz w:val="21"/>
          <w:szCs w:val="21"/>
          <w:highlight w:val="none"/>
        </w:rPr>
        <w:t xml:space="preserve">。除合同约定外，甲方不再向乙方额外支付其他费用。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三、服务质量与检验：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四、甲、乙双方的责任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（一）甲方责任：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、为乙方提供办公用房、办公家具、设备</w:t>
      </w:r>
      <w:r>
        <w:rPr>
          <w:rFonts w:ascii="宋体" w:hAnsi="宋体"/>
          <w:color w:val="auto"/>
          <w:szCs w:val="21"/>
          <w:highlight w:val="none"/>
        </w:rPr>
        <w:t xml:space="preserve"> </w:t>
      </w:r>
      <w:r>
        <w:rPr>
          <w:rFonts w:hint="eastAsia" w:ascii="宋体" w:hAnsi="宋体"/>
          <w:color w:val="auto"/>
          <w:szCs w:val="21"/>
          <w:highlight w:val="none"/>
        </w:rPr>
        <w:t xml:space="preserve">及通讯、网络设施；并指定专人作为甲方联系人予以协调工作。加强与乙方沟通，交流情况，互通信息。</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、甲方应教育所属人员尊重乙方工作人员的劳动成果，积极配合乙方工作人员履行好合同所规定的职责和义务。</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（二）乙方责任：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、乙方在从事服务工作中应当做到文明工作、安全生产，采取必要的安全防范措施。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、乙方应及时调整不适应工作需求的服务人员及其员工。如甲方认为该员工不能胜任本职工作的，必须调整。</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pStyle w:val="740"/>
        <w:ind w:firstLine="420"/>
        <w:spacing w:line="400" w:lineRule="exact"/>
        <w:rPr>
          <w:rFonts w:hint="eastAsia" w:ascii="宋体" w:hAnsi="宋体"/>
          <w:color w:val="auto"/>
          <w:spacing w:val="0"/>
          <w:szCs w:val="21"/>
          <w:highlight w:val="none"/>
        </w:rPr>
      </w:pPr>
      <w:r>
        <w:rPr>
          <w:rFonts w:hint="eastAsia" w:ascii="宋体" w:hAnsi="宋体"/>
          <w:color w:val="auto"/>
          <w:spacing w:val="0"/>
          <w:szCs w:val="21"/>
          <w:highlight w:val="none"/>
        </w:rPr>
        <w:t xml:space="preserve">4、乙方承诺并保证其具备承接变配电系统管理及维护服务的法定资质，所有在岗维保人员均持有有效的国家或行业规定的必要证书，并将全部证书复印件报甲方备案。甲方有权随时核验，对无证或证书失效人员，有权要求乙方立即更换。</w:t>
      </w:r>
      <w:r/>
    </w:p>
    <w:p>
      <w:pPr>
        <w:pStyle w:val="740"/>
        <w:ind w:firstLine="420"/>
        <w:spacing w:line="400" w:lineRule="exact"/>
        <w:rPr>
          <w:rFonts w:hint="eastAsia" w:ascii="宋体" w:hAnsi="宋体"/>
          <w:color w:val="auto"/>
          <w:spacing w:val="0"/>
          <w:szCs w:val="21"/>
          <w:highlight w:val="none"/>
        </w:rPr>
      </w:pPr>
      <w:r>
        <w:rPr>
          <w:rFonts w:hint="eastAsia" w:ascii="宋体" w:hAnsi="宋体"/>
          <w:color w:val="auto"/>
          <w:spacing w:val="0"/>
          <w:szCs w:val="21"/>
          <w:highlight w:val="none"/>
        </w:rPr>
        <w:t xml:space="preserve">5、乙方在从事服务工作中应当做到文明工作、安全生产，采取必要的安全防范措施。因乙方或其员工在履行本合同过程中的过错（包括但不限于管理不善、违规操作、未尽合理注意义务等）导致发生安全事故，造成甲方或第三方人身、财产损失的，由乙方承担全部赔偿责任。</w:t>
      </w:r>
      <w:r/>
    </w:p>
    <w:p>
      <w:pPr>
        <w:pStyle w:val="740"/>
        <w:ind w:firstLine="420"/>
        <w:spacing w:line="400" w:lineRule="exact"/>
        <w:rPr>
          <w:rFonts w:hint="eastAsia" w:ascii="宋体" w:hAnsi="宋体"/>
          <w:color w:val="auto"/>
          <w:spacing w:val="0"/>
          <w:szCs w:val="21"/>
          <w:highlight w:val="none"/>
        </w:rPr>
      </w:pPr>
      <w:r>
        <w:rPr>
          <w:rFonts w:hint="eastAsia" w:ascii="宋体" w:hAnsi="宋体"/>
          <w:color w:val="auto"/>
          <w:spacing w:val="0"/>
          <w:szCs w:val="21"/>
          <w:highlight w:val="none"/>
        </w:rPr>
        <w:t xml:space="preserve">6、乙方必须与全部驻场人员依法建立劳动关系，足额缴纳社会保险，所有劳动争议、工伤、工亡、薪资纠纷等均由乙方独立处理并承担全部责任，与甲方无关。</w:t>
      </w:r>
      <w:r/>
    </w:p>
    <w:p>
      <w:pPr>
        <w:pStyle w:val="740"/>
        <w:rPr>
          <w:rFonts w:hint="eastAsia"/>
          <w:color w:val="auto"/>
          <w:highlight w:val="none"/>
        </w:rPr>
      </w:pPr>
      <w:r>
        <w:rPr>
          <w:rFonts w:hint="eastAsia"/>
          <w:color w:val="auto"/>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五、违约责任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合同一方不履行合同义务或者履行合同义务不符合约定的，应当承担继续履行、采取补救措施或者赔偿损失等违约责任。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（二）甲方违约责任</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、在合同生效后，甲方要求解除合同的，应向乙方偿付合同总价款</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的违约金，违约金不足以补偿损失的，乙方有权要求甲方补足。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、甲方逾期付款的应按照逾期付款金额的每天万分之四支付逾期付款违约金。</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、乙方违约责任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乙方不能履行合同从而影响甲方按期正常使用的，甲方有权解除合同，乙方向甲方偿付合同总价款</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的违约金，违约金不足以补偿损失的甲方有权要求乙方补足。</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、不可抗力</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）因不可抗力不能履行合同的，根据不可抗力的影响，部分或者全部免除责任。但合同一方迟延履行后发生不可抗力的，不能免除责任。</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）合同一方因不可抗力不能履行合同的，应当及时通知对方，以减轻可能给对方造成的损失，并应当在合理期限内提供证明。</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六、合同的解除和转让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（一）合同的解除</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、有下列情形之一，合同一方可以解除合同：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）因不可抗力致使不能实现合同目的，未受不可抗力影响的一方有权解除合同；</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）因合同一方违约导致合同不能履行，另一方有权解除合同；</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、有权解除合同的一方，应当在违约事实或不可抗力发生之后三十天内书面通知对方以主张解除合同，合同在书面通知到达对方时解除。</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（二）合同的转让</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合同的全部不得转让。乙方不得转包、分包、挂靠或委托第三方提供本合同服务，违者视为根本违约，甲方有权立即解约。</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七、合同生效及其它：</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、合同经甲乙双方代表签字并加盖公章（或合同章）后生效。</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、合同在执行过程中出现的未尽事宜，双方在不违背本合同和采购文件的原则下协商解决，协商结果以书面形式盖章记录在案，作为本合同的附件，与本合同具有同等效力，但需向采购代理方提交二份备存。</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八、争议解决</w:t>
      </w:r>
      <w:r/>
    </w:p>
    <w:p>
      <w:pPr>
        <w:ind w:firstLine="420"/>
        <w:spacing w:line="400" w:lineRule="exact"/>
        <w:rPr>
          <w:color w:val="auto"/>
          <w:highlight w:val="none"/>
        </w:rPr>
      </w:pPr>
      <w:r>
        <w:rPr>
          <w:rFonts w:hint="eastAsia" w:ascii="宋体" w:hAnsi="宋体"/>
          <w:color w:val="auto"/>
          <w:szCs w:val="21"/>
          <w:highlight w:val="none"/>
        </w:rPr>
        <w:t xml:space="preserve">甲乙双方因合同发生争议，应在代理机构的主持下进行调解，协商不成，任何一方可以向甲方所在地人民法院起诉。</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九、附则</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、合同份数</w:t>
      </w:r>
      <w:r/>
    </w:p>
    <w:p>
      <w:pPr>
        <w:ind w:firstLine="380"/>
        <w:spacing w:line="400" w:lineRule="exact"/>
        <w:rPr>
          <w:rFonts w:hint="eastAsia" w:ascii="宋体" w:hAnsi="宋体"/>
          <w:color w:val="auto"/>
          <w:szCs w:val="21"/>
          <w:highlight w:val="none"/>
        </w:rPr>
      </w:pPr>
      <w:r>
        <w:rPr>
          <w:rFonts w:hint="eastAsia" w:ascii="宋体" w:hAnsi="宋体"/>
          <w:color w:val="auto"/>
          <w:szCs w:val="21"/>
          <w:highlight w:val="none"/>
        </w:rPr>
        <w:t xml:space="preserve">本合同一式叁份，甲乙双方各执一份，采购代理机构一份。</w:t>
      </w:r>
      <w:r/>
    </w:p>
    <w:p>
      <w:pPr>
        <w:ind w:firstLine="380"/>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、未尽事宜</w:t>
      </w:r>
      <w:r/>
    </w:p>
    <w:p>
      <w:pPr>
        <w:ind w:right="-159" w:firstLine="420"/>
        <w:spacing w:line="360" w:lineRule="atLeast"/>
        <w:rPr>
          <w:rFonts w:hint="eastAsia" w:ascii="宋体" w:hAnsi="宋体"/>
          <w:color w:val="auto"/>
          <w:szCs w:val="21"/>
          <w:highlight w:val="none"/>
        </w:rPr>
      </w:pPr>
      <w:r>
        <w:rPr>
          <w:rFonts w:hint="eastAsia" w:ascii="宋体" w:hAnsi="宋体"/>
          <w:color w:val="auto"/>
          <w:szCs w:val="21"/>
          <w:highlight w:val="none"/>
        </w:rPr>
        <w:t xml:space="preserve">本合同未尽事宜应按《中华人民共和国政府采购法》以及其他相关法律、法规之规定解释。</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rPr>
          <w:rFonts w:ascii="宋体" w:hAnsi="宋体"/>
          <w:color w:val="auto"/>
          <w:szCs w:val="21"/>
          <w:highlight w:val="none"/>
        </w:rPr>
        <w:t xml:space="preserve">                                           </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甲方代表签字：</w:t>
      </w:r>
      <w:r>
        <w:rPr>
          <w:rFonts w:ascii="宋体" w:hAnsi="宋体"/>
          <w:color w:val="auto"/>
          <w:szCs w:val="21"/>
          <w:highlight w:val="none"/>
        </w:rPr>
        <w:t xml:space="preserve">    </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乙</w:t>
      </w:r>
      <w:r>
        <w:rPr>
          <w:rFonts w:ascii="宋体" w:hAnsi="宋体"/>
          <w:color w:val="auto"/>
          <w:szCs w:val="21"/>
          <w:highlight w:val="none"/>
        </w:rPr>
        <w:t xml:space="preserve"> </w:t>
      </w:r>
      <w:r>
        <w:rPr>
          <w:rFonts w:hint="eastAsia" w:ascii="宋体" w:hAnsi="宋体"/>
          <w:color w:val="auto"/>
          <w:szCs w:val="21"/>
          <w:highlight w:val="none"/>
        </w:rPr>
        <w:t xml:space="preserve">方：（公章或合同章）</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乙方代表签字：</w:t>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r>
      <w:r/>
    </w:p>
    <w:p>
      <w:pPr>
        <w:ind w:right="-159"/>
        <w:spacing w:line="360" w:lineRule="atLeast"/>
        <w:rPr>
          <w:rFonts w:hint="eastAsia" w:ascii="宋体" w:hAnsi="宋体"/>
          <w:color w:val="auto"/>
          <w:szCs w:val="21"/>
          <w:highlight w:val="none"/>
        </w:rPr>
      </w:pPr>
      <w:r>
        <w:rPr>
          <w:rFonts w:hint="eastAsia" w:ascii="宋体" w:hAnsi="宋体"/>
          <w:color w:val="auto"/>
          <w:szCs w:val="21"/>
          <w:highlight w:val="none"/>
        </w:rPr>
        <w:t xml:space="preserve">合同签订日期：</w:t>
      </w:r>
      <w:r>
        <w:rPr>
          <w:rFonts w:ascii="宋体" w:hAnsi="宋体"/>
          <w:color w:val="auto"/>
          <w:szCs w:val="21"/>
          <w:highlight w:val="non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firstLine="420"/>
        <w:jc w:val="center"/>
        <w:spacing w:line="400" w:lineRule="exact"/>
        <w:rPr>
          <w:rFonts w:hint="eastAsia" w:ascii="宋体" w:hAnsi="宋体"/>
          <w:b/>
          <w:bCs/>
          <w:color w:val="auto"/>
          <w:szCs w:val="21"/>
          <w:highlight w:val="none"/>
        </w:rPr>
      </w:pPr>
      <w:r>
        <w:rPr>
          <w:rFonts w:ascii="宋体" w:hAnsi="宋体"/>
          <w:color w:val="auto"/>
          <w:szCs w:val="21"/>
          <w:highlight w:val="none"/>
        </w:rPr>
        <w:br w:type="page" w:clear="all"/>
      </w:r>
      <w:bookmarkEnd w:id="18"/>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hint="eastAsia"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专门面向中小企业采购：</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本项目专门面向中小企业采购。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投标人应如实、完整填报《中小企业声明函》，否则为无效投标。</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残疾人福利性单位填报《残疾人福利性单位声明函》、监狱企业提供由省级以上监狱管理局、戒毒管理局（含新疆生产建设兵团）出具的属于监狱企业的证明文件。</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投标人获得政府采购合同的，小微企业不得将合同分包给大中型企业，中型企业不得将合同分包给大型企业。</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投标人如属于监狱企业、残疾人企业的视同中小企业。</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如投标人提供虚假材料，将按“政府采购法”相关规定处理并由政府监管部门给予严肃处理。</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采购包1：安保服务</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（一）价格分：（20分）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以进入评标程序、满足采购文件要求且报价最低的投标报价为评标基准价（须未超过采购预算价和最高限价），其价格分为满分20分。其他投标人的价格分统一按照下列公式计算：</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投标报价得分=（评标基准价/投标报价）X价格权值X100（价格权值为20%）</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（二）服务方案比较（56分）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1、制度建设方案（8分）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培训、考核、档案管理制度完善，岗位职责明确，针对性强、满足本项目要求，具有较高可行性的得8分；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培训、考核、档案管理制度基本完善，岗位职责基本明确，针对性较强、基本满足本项目要求，具有一定可行性的得5分；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培训、考核、档案管理制度欠缺，岗位职责不明确，可行性较差的得2分；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2、现场服务方案（24分）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（1）安保（治安、反恐、处突、纠纷调解）服务方案（8分）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安保服务方案完善且合理、贴合项目实际，具有较高可行性的得8分；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安保服务方案基本合理，基本贴合项目实际，具有一定可行性的得5分；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安保服务方案存在缺陷，可行性较差的得2分。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（2）消防（现场处置、培训、演练）服务方案（8分）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消防服务方案完善且合理、贴合项目实际，具有较高可行性的得8分；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消防服务方案基本合理，基本贴合项目实际，具有一定可行性的得5分；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消防服务方案存在缺陷，可行性较差的得2分。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（3）车辆管理（指挥、收费、停车场管理）服务方案（8分）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车辆管理服务方案完善且合理、贴合项目实际，具有较高可行性的得8分；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车辆管理服务方案基本合理，基本贴合项目实际，具有一定可行性的得5分；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车辆管理服务方案存在缺陷，可行性较差的得2分。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3、装备及设施设备配置方案（8分）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装备及设施设备配置方案完善，贴合项目实际，具有较高可行性的得8分；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装备及设施设备配置方案基本完善，基本贴合项目实际，可行性一般的得5分；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装备及设施设备配置方案欠缺，可行性较差的得2分；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4、应急预案编制（8分）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应急预案完善规范、预防措施针对性较强，具有较高可行性的得8分；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应急预案完善基本合理，具有一定可行性的得5分；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应急预案较差或存在缺陷，可行性较差的得2分。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5、进退场交接方案（8分）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进退场交接方案完善且合理、贴合项目实际，具有较高可行性的得8分；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进退场交接方案基本合理，基本贴合项目实际，具有一定可行性的得5分；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进退场交接方案存在缺陷，可行性较差的得2分。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（四）投标人履约能力比较（24分）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1、人员配置（8分）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本项目投标人拟派的项目经理、保安主管具备：</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（1）大专及以上学历证书，提供1份得1分，最高2分；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（2）高级（国家职业资格三级）及以上保安员资格证书，提供1份得1分，最高2分；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（3）中级（四级）及以上建（构）筑物消防员或消防设施操作员证书，提供1份得1分，最高2分；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（4）红十字会颁发的救护培训合格证书，提供1份得1分，最高2分；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本项最高得8分。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注：投标文件内提供身份证扫描件、有效证书或证明扫描件</w:t>
      </w:r>
      <w:r>
        <w:rPr>
          <w:rFonts w:hint="eastAsia" w:ascii="宋体" w:hAnsi="宋体"/>
          <w:color w:val="auto"/>
          <w:highlight w:val="none"/>
          <w:lang w:eastAsia="zh-CN"/>
        </w:rPr>
        <w:t xml:space="preserve">、</w:t>
      </w:r>
      <w:r>
        <w:rPr>
          <w:rFonts w:hint="eastAsia" w:ascii="宋体" w:hAnsi="宋体"/>
          <w:color w:val="auto"/>
          <w:highlight w:val="none"/>
        </w:rPr>
        <w:t xml:space="preserve">投标人为其缴纳的最新一期社保证明资料并加盖投标人公章，其中国家职业资格等级证书必须提供网上查询截图，否则不得分。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2、体系认证（6分）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投标人具备：</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（1）质量管理体系认证证书；</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（2）环境管理体系认证证书；</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（3）职业健康管理体系认证证书。</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每项得2分，本项目最高6分。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注：投标文件中需提供证书复印件及国家认证认可监督管理委员会－全国认证认可信息公共服务平台网站查询证书截图并加盖投标单位公章，缺失、不符或不提供者，对应内容不得分。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3、获奖情况（4分）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投标人自2023年1月1日以来获得过政府部门颁发的相关荣誉或表彰，每有一项得2分，最高得4分。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注：投标文件中须提供以上证书或证明复印件并加盖投标人公章或网络查询截图并加盖投标人公章，未提供不得分。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4、类似业绩（6分）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投标人提供自2023年1月1日（以合同签订时间为准）至今履行的类似安保服务项目业绩。每提供1项得2分，本项最高得6分。</w:t>
      </w:r>
      <w:r/>
    </w:p>
    <w:p>
      <w:pPr>
        <w:ind w:firstLine="422"/>
        <w:spacing w:line="400" w:lineRule="exact"/>
        <w:rPr>
          <w:rFonts w:hint="eastAsia" w:ascii="宋体" w:hAnsi="宋体"/>
          <w:color w:val="auto"/>
          <w:highlight w:val="none"/>
        </w:rPr>
      </w:pPr>
      <w:r>
        <w:rPr>
          <w:rFonts w:hint="eastAsia" w:ascii="宋体" w:hAnsi="宋体"/>
          <w:color w:val="auto"/>
          <w:highlight w:val="none"/>
        </w:rPr>
        <w:t xml:space="preserve">注：投标文件中需提供完整合同扫描件或复印件，对应合同期内的任意一期服务发票，  缺失、不符或不提供者，对应内容不得分。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2"/>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采购包2：配电运维服务</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（一）价格（20分）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以进入评标程序、满足采购文件要求且报价最低的投标报价为评标基准价（须未超过采购预算价和最高限价），其价格分为满分20分。其他投标人的价格分统一按照下列公式计算：</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投标报价得分=（评标基准价/投标报价）X价格权值X100（价格权值为20%）</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（二）技术及方案部分：（50分）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1、变配电系统运行维护服务方案（10分）：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运行维护服务方案内容针对性强、满足本项目要求，具有较高可行性的得10分；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运行维护服务方案内容较为合理、基本满足本项目要求，具有一定可行性的得6分；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运行维护服务方案内容逻辑性较差或存在缺陷，可行性较差的得2分。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2、变配电系统运行维护服务管理制度（10分）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变配电系统运行维护服管理制度务完善规范、内容针对性强、满足本项目要求的得10分；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变配电系统运行维护服务管理制度基本完善、内容较为合理、基本满足本项目要求的得6分；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变配电系统运行维护服务管理制度欠缺、内容逻辑性较差或存在缺陷，可行性较差的得2分；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3、变配电系统运行维护应急预案及抢修组织措施、响应时间等比较（10分）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变配电系统运行维护应急预案完善、内容针对性强，抢修时间合理、及时、响应方式具有较高可行性的得10分；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变配电系统运行维护应急预案基本完善、内容较为合理，抢修时间基本合理，响应方式具有一定可行性的得6分；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变配电系统运行维护应急预案欠缺、内容逻辑性较差或存在缺陷，可行性较差的得2分；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4、发生重大事件或灾害时的用电保障方案（10分）：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发生重大事件或灾害时的用电保障方案完善、内容针对性强，且科学、合理、规范、高效具有较高可行性的得10分；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发生重大事件或灾害时的用电保障方案基本完善、内容较为合理，具有一定可行性的得6分；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发生重大事件或灾害时的用电保障方案欠缺、内容逻辑性较差或存在缺陷，可行性较差的得2分；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5、配电系统运行维护服务进退场交接措施方案比较（10分）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配电系统运行维护服务进退场交接措施科学合理、、内容针对性强、满足本项目要求的得10分；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配电系统运行维护服务进退场交接措施基本合理、内容较为合理、基本满足本项目要求的得6分；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配电系统运行维护服务进退场交接措施欠缺、内容逻辑性较差或存在缺陷，可行性较差的得2分；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其余情况不得分。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（三）配置人员情况（12分）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拟投入服务人员中具备高级职称的，每一个得2分；最高4分。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拟投入值班人员同时具备应急管理部门颁发的高压电工作业证、低压电工作业证的，每提供一人得2分，最高得8分。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注：以上人员须提供有效的证书复印件、劳动合同复印件及投标单位为其缴纳的社保证明，否则不得分。（12分）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（四）投标人履约能力（18分）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1、管理体系认证证书（6分）：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具备有效期内的信息技术服务管理体系、能源管理体系认证、信息安全管理体系认证，以上体系认证范围需与电力领域相关，每项有效证书得2分，最高得6分。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提供证书复印件及中国认监委网站查询结果截图，未提供或提供不全或证书状态暂停的，不得分。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2、软件知识产权（6分）：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（1）具有自有数字化电力运维平台的，进行功能阐述，提供正在使用的用户界面，不少于3个不同的平台界面展示（截图），每提供1个得1分，最高得3分；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（2）具有有效期内的电力能源监测管理类软件、电力故障分析类软件、电力设备巡检类软件著作权登记证，每提供1份软件著作权证书复印件得1分，最高得3分。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3、项目服务经验（6分）：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响应单位自2023年1月1日（以合同签订日期为准）以来具有的类似配电运维服务项目业绩，有一份得</w:t>
      </w:r>
      <w:r>
        <w:rPr>
          <w:rFonts w:hint="eastAsia" w:hAnsi="宋体"/>
          <w:color w:val="auto"/>
          <w:szCs w:val="21"/>
          <w:highlight w:val="none"/>
          <w:lang w:val="en-US" w:eastAsia="zh-CN"/>
        </w:rPr>
        <w:t xml:space="preserve">1</w:t>
      </w:r>
      <w:r>
        <w:rPr>
          <w:rFonts w:hint="eastAsia" w:hAnsi="宋体"/>
          <w:color w:val="auto"/>
          <w:szCs w:val="21"/>
          <w:highlight w:val="none"/>
        </w:rPr>
        <w:t xml:space="preserve">分，最高得6分。投标文件中须提供完整的合同复印件，否则不得分。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5481"/>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35</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55</w:t>
    </w:r>
    <w:r>
      <w:fldChar w:fldCharType="end"/>
    </w:r>
    <w:r>
      <w:rPr>
        <w:rFonts w:hint="eastAsia"/>
      </w:rPr>
      <w:t xml:space="preserve">页 共6</w:t>
    </w:r>
    <w:r>
      <w:rPr>
        <w:rFonts w:hint="eastAsia"/>
        <w:lang w:val="en-US" w:eastAsia="zh-CN"/>
      </w:rPr>
      <w:t xml:space="preserve">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u w:val="single"/>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rPr>
      <w:t xml:space="preserve">JSZC-320500-SZWK-G2026-0241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0"/>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0"/>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表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paragraph" w:styleId="1124" w:customStyle="1">
    <w:name w:val="Revision"/>
    <w:hidden/>
    <w:uiPriority w:val="99"/>
    <w:unhideWhenUsed/>
    <w:qFormat/>
    <w:rPr>
      <w:rFonts w:ascii="Calibri" w:hAnsi="Calibri" w:eastAsia="宋体" w:cs="Times New Roman"/>
      <w:sz w:val="21"/>
      <w:szCs w:val="22"/>
      <w:lang w:val="en-US" w:eastAsia="zh-CN" w:bidi="ar-SA"/>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3DB1CF60-1C08-477F-9CE6-75A272822B25}"/>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2026-08-19T07:49:38Z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2052-12.1.0.28043</vt:lpwstr>
  </property>
  <property fmtid="{D5CDD505-2E9C-101B-9397-08002B2CF9AE}" pid="4" name="ICV">
    <vt:lpwstr>DBE1CD31BD414F50A3A4C4D0DA6C7F13_13</vt:lpwstr>
  </property>
</Properties>
</file>