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61"/>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69"/>
        <w:ind w:firstLine="1606"/>
        <w:rPr>
          <w:rFonts w:hint="eastAsia" w:ascii="Arial" w:hAnsi="Arial" w:eastAsia="宋体" w:cs="Times New Roman"/>
          <w:b/>
          <w:bCs/>
          <w:sz w:val="32"/>
          <w:szCs w:val="24"/>
          <w:highlight w:val="none"/>
          <w:lang w:val="en-US" w:eastAsia="zh-CN"/>
        </w:rPr>
      </w:pPr>
      <w:r>
        <w:rPr>
          <w:rFonts w:hint="eastAsia" w:ascii="Arial" w:hAnsi="Arial" w:eastAsia="宋体" w:cs="Times New Roman"/>
          <w:b/>
          <w:bCs/>
          <w:sz w:val="32"/>
          <w:szCs w:val="24"/>
          <w:highlight w:val="none"/>
          <w:lang w:eastAsia="zh-CN"/>
        </w:rPr>
        <w:t xml:space="preserve">项目名称：</w:t>
      </w:r>
      <w:r>
        <w:rPr>
          <w:rFonts w:hint="eastAsia" w:ascii="Arial" w:hAnsi="Arial" w:eastAsia="宋体" w:cs="Times New Roman"/>
          <w:b/>
          <w:bCs/>
          <w:sz w:val="32"/>
          <w:szCs w:val="24"/>
          <w:highlight w:val="none"/>
          <w:lang w:eastAsia="zh-CN"/>
        </w:rPr>
        <w:t xml:space="preserve">南京市秦淮区军休中心物业服务（</w:t>
      </w:r>
      <w:r>
        <w:rPr>
          <w:rFonts w:hint="eastAsia" w:ascii="Times New Roman" w:hAnsi="Times New Roman" w:eastAsia="宋体" w:cs="Times New Roman"/>
          <w:b/>
          <w:bCs w:val="0"/>
          <w:color w:val="000000"/>
          <w:sz w:val="32"/>
          <w:szCs w:val="32"/>
          <w:highlight w:val="none"/>
          <w:u w:val="none"/>
          <w:lang w:val="en-US" w:eastAsia="zh-CN"/>
        </w:rPr>
        <w:t xml:space="preserve">2026</w:t>
      </w:r>
      <w:r>
        <w:rPr>
          <w:rFonts w:hint="eastAsia" w:ascii="Arial" w:hAnsi="Arial" w:eastAsia="宋体" w:cs="Times New Roman"/>
          <w:b/>
          <w:bCs/>
          <w:sz w:val="32"/>
          <w:szCs w:val="24"/>
          <w:highlight w:val="none"/>
          <w:lang w:eastAsia="zh-CN"/>
        </w:rPr>
        <w:t xml:space="preserve">年度）</w:t>
      </w:r>
      <w:r>
        <w:rPr>
          <w:rFonts w:hint="eastAsia" w:ascii="Arial" w:hAnsi="Arial" w:eastAsia="宋体" w:cs="Times New Roman"/>
          <w:b/>
          <w:bCs/>
          <w:sz w:val="32"/>
          <w:szCs w:val="24"/>
          <w:highlight w:val="none"/>
          <w:lang w:val="en-US" w:eastAsia="zh-CN"/>
        </w:rPr>
        <w:t xml:space="preserve"> </w:t>
      </w:r>
      <w:r>
        <w:rPr>
          <w:rFonts w:hint="eastAsia" w:ascii="Arial" w:hAnsi="Arial" w:eastAsia="宋体" w:cs="Times New Roman"/>
          <w:b/>
          <w:bCs/>
          <w:sz w:val="32"/>
          <w:szCs w:val="24"/>
          <w:highlight w:val="none"/>
          <w:lang w:val="en-US" w:eastAsia="zh-CN"/>
        </w:rPr>
      </w:r>
      <w:r/>
    </w:p>
    <w:p>
      <w:pPr>
        <w:pStyle w:val="869"/>
        <w:ind w:firstLine="1606"/>
        <w:jc w:val="left"/>
        <w:spacing w:before="120" w:after="120" w:line="360" w:lineRule="auto"/>
        <w:rPr>
          <w:color w:val="000000"/>
          <w:highlight w:val="none"/>
          <w:lang w:val="en-US"/>
        </w:rPr>
      </w:pPr>
      <w:r>
        <w:rPr>
          <w:rFonts w:hint="eastAsia" w:ascii="Arial" w:hAnsi="Arial" w:eastAsia="宋体" w:cs="Times New Roman"/>
          <w:b/>
          <w:bCs/>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JSZC-320100-JZCG-C2026-0335</w:t>
      </w:r>
      <w:r>
        <w:rPr>
          <w:color w:val="000000"/>
          <w:highlight w:val="none"/>
          <w:lang w:val="en-US"/>
        </w:rPr>
      </w:r>
      <w:r/>
    </w:p>
    <w:p>
      <w:pPr>
        <w:pStyle w:val="869"/>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ind w:left="0" w:right="0"/>
        <w:jc w:val="center"/>
        <w:keepLines w:val="0"/>
        <w:keepNext w:val="0"/>
        <w:spacing w:before="0" w:beforeAutospacing="0" w:after="0" w:afterAutospacing="0"/>
        <w:widowControl w:val="off"/>
        <w:rPr>
          <w:highlight w:val="none"/>
        </w:rPr>
        <w:suppressLineNumbers w:val="0"/>
      </w:pPr>
      <w:r>
        <w:rPr>
          <w:highlight w:val="none"/>
        </w:rPr>
      </w:r>
      <w:r/>
    </w:p>
    <w:p>
      <w:pPr>
        <w:pStyle w:val="948"/>
      </w:p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61"/>
        <w:ind w:firstLine="0"/>
        <w:jc w:val="center"/>
        <w:rPr>
          <w:rFonts w:hint="eastAsia" w:ascii="Arial" w:hAnsi="Arial" w:eastAsia="宋体" w:cs="Times New Roman"/>
          <w:b/>
          <w:bCs/>
          <w:sz w:val="32"/>
          <w:highlight w:val="none"/>
          <w:lang w:eastAsia="zh-CN"/>
        </w:rPr>
      </w:pPr>
      <w:r>
        <w:rPr>
          <w:rFonts w:hint="eastAsia" w:ascii="Arial" w:hAnsi="Arial" w:eastAsia="宋体" w:cs="Times New Roman"/>
          <w:b/>
          <w:bCs/>
          <w:sz w:val="32"/>
          <w:highlight w:val="none"/>
          <w:lang w:eastAsia="zh-CN"/>
        </w:rPr>
        <w:t xml:space="preserve">南京市公共资源交易中心</w:t>
      </w:r>
      <w:r>
        <w:rPr>
          <w:rFonts w:hint="eastAsia" w:ascii="Arial" w:hAnsi="Arial" w:eastAsia="宋体" w:cs="Times New Roman"/>
          <w:b/>
          <w:bCs/>
          <w:sz w:val="32"/>
          <w:highlight w:val="none"/>
          <w:lang w:eastAsia="zh-CN"/>
        </w:rPr>
      </w:r>
      <w:r/>
    </w:p>
    <w:p>
      <w:pPr>
        <w:pStyle w:val="869"/>
        <w:ind w:firstLine="0"/>
        <w:jc w:val="center"/>
        <w:rPr>
          <w:rFonts w:hint="eastAsia" w:ascii="Times New Roman" w:hAnsi="Times New Roman" w:eastAsia="宋体" w:cs="Times New Roman"/>
          <w:b/>
          <w:bCs w:val="0"/>
          <w:color w:val="0000ff"/>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ff"/>
          <w:sz w:val="32"/>
          <w:szCs w:val="32"/>
          <w:highlight w:val="none"/>
          <w:u w:val="none"/>
          <w:lang w:val="en-US" w:eastAsia="zh-CN"/>
        </w:rPr>
      </w:r>
      <w:r/>
    </w:p>
    <w:p>
      <w:pPr>
        <w:pStyle w:val="869"/>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69"/>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69"/>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86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948"/>
        <w:rPr>
          <w:rFonts w:hint="eastAsia"/>
          <w:lang w:eastAsia="zh-CN"/>
        </w:rPr>
      </w:pPr>
      <w:r>
        <w:rPr>
          <w:rFonts w:hint="eastAsia"/>
          <w:lang w:eastAsia="zh-CN"/>
        </w:rPr>
      </w:r>
      <w:r/>
    </w:p>
    <w:p>
      <w:pPr>
        <w:pStyle w:val="869"/>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黑体" w:hAnsi="Arial" w:eastAsia="黑体" w:cs="Times New Roman"/>
          <w:b/>
          <w:color w:val="000000"/>
          <w:sz w:val="44"/>
          <w:szCs w:val="21"/>
          <w:highlight w:val="none"/>
        </w:rPr>
        <w:t xml:space="preserve">总  目  录</w:t>
      </w:r>
      <w:r>
        <w:rPr>
          <w:rFonts w:hint="eastAsia" w:ascii="黑体" w:hAnsi="Arial" w:eastAsia="黑体"/>
          <w:b/>
          <w:sz w:val="44"/>
          <w:szCs w:val="21"/>
          <w:highlight w:val="none"/>
        </w:rPr>
      </w:r>
      <w:r/>
    </w:p>
    <w:p>
      <w:pPr>
        <w:pStyle w:val="869"/>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16</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磋商邀请</w:t>
      </w:r>
      <w:r>
        <w:rPr>
          <w:rFonts w:hint="eastAsia" w:ascii="方正小标宋简体" w:hAnsi="方正小标宋简体" w:eastAsia="方正小标宋简体" w:cs="方正小标宋简体"/>
          <w:color w:val="000000"/>
          <w:sz w:val="36"/>
          <w:szCs w:val="36"/>
          <w:highlight w:val="none"/>
          <w:lang w:val="en-US"/>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olor w:val="000000"/>
          <w:sz w:val="24"/>
          <w:szCs w:val="24"/>
          <w:highlight w:val="none"/>
          <w:lang w:val="en-US"/>
        </w:rPr>
      </w:pPr>
      <w:r/>
      <w:bookmarkEnd w:id="11"/>
      <w:r/>
      <w:bookmarkStart w:id="12" w:name="_Toc28359080"/>
      <w:r/>
      <w:bookmarkStart w:id="13" w:name="_Toc38985264"/>
      <w:r/>
      <w:bookmarkStart w:id="14" w:name="_Toc35393791"/>
      <w:r/>
      <w:bookmarkStart w:id="15" w:name="_Toc35393622"/>
      <w:r/>
      <w:bookmarkStart w:id="16" w:name="_Toc28359003"/>
      <w:r>
        <w:rPr>
          <w:rFonts w:hint="eastAsia" w:ascii="宋体" w:hAnsi="宋体"/>
          <w:sz w:val="24"/>
          <w:szCs w:val="24"/>
          <w:highlight w:val="none"/>
        </w:rPr>
        <w:t xml:space="preserve">1.项目编号</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-JZCG-C20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0335</w:t>
      </w:r>
      <w:r>
        <w:rPr>
          <w:rFonts w:ascii="宋体" w:hAnsi="宋体"/>
          <w:color w:val="000000"/>
          <w:sz w:val="24"/>
          <w:szCs w:val="24"/>
          <w:highlight w:val="none"/>
          <w:lang w:val="en-US"/>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rPr>
        <w:t xml:space="preserve">南京市秦淮区军休中心物业服务（2026年度）</w:t>
      </w:r>
      <w:r>
        <w:rPr>
          <w:rFonts w:hint="eastAsia" w:ascii="宋体" w:hAnsi="宋体" w:eastAsia="宋体" w:cs="Times New Roman"/>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111万元</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111万元</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64" w:lineRule="auto"/>
        <w:widowControl w:val="off"/>
        <w:rPr>
          <w:rFonts w:ascii="宋体" w:hAnsi="宋体"/>
          <w:color w:val="000000"/>
          <w:sz w:val="24"/>
          <w:szCs w:val="24"/>
          <w:highlight w:val="none"/>
          <w:u w:val="single"/>
        </w:rPr>
      </w:pPr>
      <w:r>
        <w:rPr>
          <w:rFonts w:hint="eastAsia" w:ascii="宋体" w:hAnsi="宋体"/>
          <w:sz w:val="24"/>
          <w:szCs w:val="24"/>
          <w:highlight w:val="none"/>
        </w:rPr>
        <w:t xml:space="preserve">5.采购需求（简介）：</w:t>
      </w:r>
      <w:r>
        <w:rPr>
          <w:rFonts w:hint="eastAsia" w:ascii="宋体" w:hAnsi="宋体"/>
          <w:sz w:val="24"/>
          <w:szCs w:val="24"/>
        </w:rPr>
        <w:t xml:space="preserve">南京市秦淮区军休中心物业服务，服务内容包括保洁服务、客服服务、工程维修服务、</w:t>
      </w:r>
      <w:r>
        <w:rPr>
          <w:rFonts w:hint="eastAsia" w:ascii="宋体" w:hAnsi="宋体"/>
          <w:color w:val="000000"/>
          <w:sz w:val="24"/>
          <w:szCs w:val="24"/>
        </w:rPr>
        <w:t xml:space="preserve">行政服务等。</w:t>
      </w:r>
      <w:r>
        <w:rPr>
          <w:rFonts w:hint="eastAsia" w:ascii="宋体" w:hAnsi="宋体" w:cs="宋体"/>
          <w:color w:val="000000"/>
          <w:sz w:val="24"/>
          <w:szCs w:val="24"/>
        </w:rPr>
        <w:t xml:space="preserve">（详细内容见本磋商文件第四章） </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69"/>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cs="宋体"/>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sz w:val="24"/>
          <w:szCs w:val="24"/>
          <w:highlight w:val="none"/>
        </w:rPr>
        <w:t xml:space="preserve">1.时间：自磋商文件公告发布之日起。</w:t>
      </w:r>
      <w:r>
        <w:rPr>
          <w:rFonts w:hint="eastAsia" w:ascii="宋体" w:hAnsi="宋体" w:eastAsia="宋体" w:cs="宋体"/>
          <w:sz w:val="24"/>
          <w:szCs w:val="24"/>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rPr>
          <w:rFonts w:hint="eastAsia" w:ascii="宋体" w:hAnsi="宋体" w:eastAsia="宋体" w:cs="宋体"/>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2"/>
      <w:r/>
      <w:bookmarkEnd w:id="23"/>
      <w:r>
        <w:rPr>
          <w:rFonts w:hint="eastAsia" w:ascii="方正黑体_GBK" w:hAnsi="方正黑体_GBK" w:eastAsia="方正黑体_GBK" w:cs="方正黑体_GBK"/>
          <w:b w:val="0"/>
          <w:bCs w:val="0"/>
          <w:color w:val="000000"/>
          <w:sz w:val="30"/>
          <w:szCs w:val="30"/>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9"/>
        <w:ind w:firstLine="372"/>
        <w:pageBreakBefore w:val="0"/>
        <w:spacing w:before="145" w:after="145" w:line="264" w:lineRule="auto"/>
        <w:widowControl w:val="off"/>
        <w:rPr>
          <w:rFonts w:hint="eastAsia" w:ascii="宋体" w:hAnsi="宋体" w:eastAsia="宋体"/>
          <w:b w:val="0"/>
          <w:bCs w:val="0"/>
          <w:sz w:val="24"/>
          <w:szCs w:val="24"/>
          <w:highlight w:val="none"/>
          <w:lang w:eastAsia="zh-CN"/>
        </w:rPr>
        <w:outlineLvl w:val="9"/>
      </w:pPr>
      <w:r/>
      <w:bookmarkStart w:id="27" w:name="_Toc28359084"/>
      <w:r/>
      <w:bookmarkStart w:id="28" w:name="_Toc35393625"/>
      <w:r/>
      <w:bookmarkStart w:id="29" w:name="_Toc35393794"/>
      <w:r/>
      <w:bookmarkStart w:id="30" w:name="_Toc28359007"/>
      <w:r/>
      <w:bookmarkStart w:id="31" w:name="_Toc38985267"/>
      <w:r>
        <w:rPr>
          <w:rFonts w:hint="eastAsia" w:ascii="宋体" w:hAnsi="宋体" w:eastAsia="宋体" w:cs="宋体"/>
          <w:b w:val="0"/>
          <w:bCs w:val="0"/>
          <w:color w:val="0000ff"/>
          <w:sz w:val="24"/>
          <w:szCs w:val="24"/>
          <w:highlight w:val="none"/>
          <w:u w:val="none"/>
        </w:rPr>
        <w:t xml:space="preserve"> </w:t>
      </w:r>
      <w:r>
        <w:rPr>
          <w:rFonts w:hint="eastAsia" w:ascii="宋体" w:hAnsi="宋体" w:eastAsia="宋体" w:cs="宋体"/>
          <w:b w:val="0"/>
          <w:bCs w:val="0"/>
          <w:color w:val="0000ff"/>
          <w:sz w:val="24"/>
          <w:szCs w:val="24"/>
          <w:highlight w:val="none"/>
          <w:u w:val="none"/>
          <w:lang w:val="en-US" w:eastAsia="zh-CN"/>
        </w:rPr>
      </w:r>
      <w:r>
        <w:rPr>
          <w:rFonts w:ascii="SimSun" w:hAnsi="SimSun" w:eastAsia="SimSun" w:cs="SimSun"/>
          <w:color w:val="000000"/>
          <w:sz w:val="24"/>
        </w:rPr>
        <w:t xml:space="preserve">2026年9月28日14时00分</w:t>
      </w:r>
      <w:r>
        <w:rPr>
          <w:rFonts w:hint="eastAsia" w:ascii="宋体" w:hAnsi="宋体" w:eastAsia="宋体" w:cs="宋体"/>
          <w:b w:val="0"/>
          <w:bCs w:val="0"/>
          <w:color w:val="0000ff"/>
          <w:sz w:val="24"/>
          <w:szCs w:val="24"/>
          <w:highlight w:val="none"/>
          <w:u w:val="none"/>
          <w:lang w:val="en-US" w:eastAsia="zh-CN"/>
        </w:rPr>
      </w:r>
      <w:r>
        <w:rPr>
          <w:rFonts w:hint="eastAsia" w:ascii="宋体" w:hAnsi="宋体"/>
          <w:b w:val="0"/>
          <w:bCs w:val="0"/>
          <w:sz w:val="24"/>
          <w:szCs w:val="24"/>
          <w:highlight w:val="none"/>
          <w:u w:val="none"/>
        </w:rPr>
        <w:t xml:space="preserve">（</w:t>
      </w:r>
      <w:r>
        <w:rPr>
          <w:rFonts w:hint="eastAsia" w:ascii="宋体" w:hAnsi="宋体"/>
          <w:b w:val="0"/>
          <w:bCs w:val="0"/>
          <w:sz w:val="24"/>
          <w:szCs w:val="24"/>
          <w:highlight w:val="none"/>
        </w:rPr>
        <w:t xml:space="preserve">北京时间）</w:t>
      </w:r>
      <w:r>
        <w:rPr>
          <w:rFonts w:hint="eastAsia" w:ascii="宋体" w:hAnsi="宋体"/>
          <w:b w:val="0"/>
          <w:bCs w:val="0"/>
          <w:sz w:val="24"/>
          <w:szCs w:val="24"/>
          <w:highlight w:val="none"/>
          <w:lang w:eastAsia="zh-CN"/>
        </w:rPr>
        <w:t xml:space="preserve">。</w:t>
      </w:r>
      <w:r>
        <w:rPr>
          <w:rFonts w:hint="eastAsia" w:ascii="宋体" w:hAnsi="宋体" w:eastAsia="宋体"/>
          <w:b w:val="0"/>
          <w:bCs w:val="0"/>
          <w:sz w:val="24"/>
          <w:szCs w:val="24"/>
          <w:highlight w:val="none"/>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s="宋体"/>
          <w:sz w:val="24"/>
          <w:szCs w:val="24"/>
          <w:highlight w:val="none"/>
        </w:rPr>
      </w:pPr>
      <w:r/>
      <w:bookmarkStart w:id="32" w:name="_Toc35393795"/>
      <w:r/>
      <w:bookmarkStart w:id="33" w:name="_Toc35393626"/>
      <w:r/>
      <w:bookmarkStart w:id="34" w:name="_Toc38985268"/>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sz w:val="24"/>
          <w:szCs w:val="24"/>
          <w:highlight w:val="none"/>
        </w:rPr>
      </w:pPr>
      <w:r/>
      <w:bookmarkStart w:id="35" w:name="_Toc35393796"/>
      <w:r/>
      <w:bookmarkStart w:id="36" w:name="_Toc28359085"/>
      <w:r/>
      <w:bookmarkStart w:id="37" w:name="_Toc35393627"/>
      <w:r/>
      <w:bookmarkStart w:id="38" w:name="_Toc38985269"/>
      <w:r/>
      <w:bookmarkStart w:id="39" w:name="_Toc28359008"/>
      <w:r>
        <w:rPr>
          <w:rFonts w:hint="eastAsia" w:ascii="宋体" w:hAnsi="宋体" w:eastAsia="宋体" w:cs="宋体"/>
          <w:sz w:val="24"/>
          <w:szCs w:val="24"/>
          <w:highlight w:val="none"/>
        </w:rPr>
        <w:t xml:space="preserve">1.本次</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不收取</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rPr>
      </w:r>
      <w:r/>
    </w:p>
    <w:p>
      <w:pPr>
        <w:pStyle w:val="869"/>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，供应商如对采购需求有疑问，请咨询采购人。 </w:t>
      </w:r>
      <w:r>
        <w:rPr>
          <w:rFonts w:hint="eastAsia" w:ascii="宋体" w:hAnsi="宋体" w:eastAsia="宋体" w:cs="宋体"/>
          <w:color w:val="000000"/>
          <w:sz w:val="24"/>
          <w:szCs w:val="24"/>
          <w:highlight w:val="none"/>
        </w:rPr>
      </w:r>
      <w:r/>
    </w:p>
    <w:p>
      <w:pPr>
        <w:pStyle w:val="869"/>
        <w:ind w:firstLine="480"/>
        <w:pageBreakBefore w:val="0"/>
        <w:spacing w:line="264"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64"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9"/>
        <w:ind w:firstLine="480"/>
        <w:spacing w:line="264"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宋体"/>
          <w:color w:val="000000"/>
          <w:sz w:val="24"/>
          <w:szCs w:val="24"/>
        </w:rPr>
        <w:t xml:space="preserve">林先生</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宋体"/>
          <w:color w:val="000000"/>
          <w:sz w:val="24"/>
          <w:szCs w:val="24"/>
        </w:rPr>
        <w:t xml:space="preserve">南京市秦淮区太平南路69号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宋体"/>
          <w:color w:val="000000"/>
          <w:sz w:val="24"/>
          <w:szCs w:val="24"/>
        </w:rPr>
        <w:t xml:space="preserve">025-84556599</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869"/>
        <w:ind w:firstLine="480"/>
        <w:spacing w:line="264"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rPr>
      </w:pPr>
      <w:r/>
      <w:bookmarkStart w:id="40" w:name="_Toc120614211"/>
      <w:r>
        <w:rPr>
          <w:rFonts w:hint="eastAsia" w:ascii="宋体" w:hAnsi="宋体" w:eastAsia="宋体" w:cs="宋体"/>
          <w:color w:val="000000"/>
          <w:sz w:val="24"/>
          <w:szCs w:val="24"/>
        </w:rPr>
        <w:t xml:space="preserve">名  称：南京市秦淮区区级机关事务管理服务中心</w:t>
      </w:r>
      <w:r>
        <w:rPr>
          <w:rFonts w:hint="eastAsia" w:ascii="宋体" w:hAnsi="宋体" w:eastAsia="宋体" w:cs="宋体"/>
          <w:color w:val="000000"/>
          <w:sz w:val="24"/>
          <w:szCs w:val="24"/>
        </w:rPr>
      </w:r>
      <w:r/>
    </w:p>
    <w:p>
      <w:pPr>
        <w:pStyle w:val="869"/>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址：南京市秦淮区太平南路69号</w:t>
      </w:r>
      <w:r>
        <w:rPr>
          <w:rFonts w:hint="eastAsia" w:ascii="宋体" w:hAnsi="宋体" w:eastAsia="宋体" w:cs="宋体"/>
          <w:color w:val="000000"/>
          <w:sz w:val="24"/>
          <w:szCs w:val="24"/>
        </w:rPr>
      </w:r>
      <w:r/>
    </w:p>
    <w:p>
      <w:pPr>
        <w:pStyle w:val="869"/>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联系人：林先生</w:t>
      </w:r>
      <w:r>
        <w:rPr>
          <w:rFonts w:hint="eastAsia" w:ascii="宋体" w:hAnsi="宋体" w:eastAsia="宋体" w:cs="宋体"/>
          <w:color w:val="000000"/>
          <w:sz w:val="24"/>
          <w:szCs w:val="24"/>
        </w:rPr>
      </w:r>
      <w:r/>
    </w:p>
    <w:p>
      <w:pPr>
        <w:pStyle w:val="869"/>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联系方式：025-84556599 </w:t>
      </w:r>
      <w:bookmarkStart w:id="41" w:name="_Toc28359009"/>
      <w:r/>
      <w:bookmarkStart w:id="42" w:name="_Toc28359086"/>
      <w:r>
        <w:rPr>
          <w:rFonts w:hint="eastAsia" w:ascii="宋体" w:hAnsi="宋体" w:eastAsia="宋体" w:cs="宋体"/>
          <w:color w:val="000000"/>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69"/>
        <w:ind w:right="0" w:firstLine="480"/>
        <w:jc w:val="both"/>
        <w:spacing w:line="264" w:lineRule="auto"/>
        <w:rPr>
          <w:rFonts w:hint="eastAsia" w:ascii="宋体" w:hAnsi="宋体"/>
          <w:color w:val="000000"/>
          <w:sz w:val="24"/>
          <w:szCs w:val="24"/>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color w:val="000000"/>
          <w:sz w:val="24"/>
          <w:szCs w:val="24"/>
          <w:lang w:val="en-US" w:eastAsia="zh-CN"/>
        </w:rPr>
      </w:r>
      <w:r/>
    </w:p>
    <w:p>
      <w:pPr>
        <w:pStyle w:val="869"/>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3" w:name="_Hlt16619475"/>
      <w:r/>
      <w:bookmarkEnd w:id="43"/>
      <w:r/>
      <w:bookmarkStart w:id="44" w:name="_Toc458694821"/>
      <w:r/>
      <w:bookmarkStart w:id="45" w:name="_Toc20823276"/>
      <w:r/>
      <w:bookmarkStart w:id="46" w:name="_Toc16938520"/>
      <w:r/>
      <w:bookmarkStart w:id="47" w:name="_Toc513029204"/>
      <w:r>
        <w:rPr>
          <w:rFonts w:hint="eastAsia" w:ascii="方正楷体_GBK" w:hAnsi="方正楷体_GBK" w:eastAsia="方正楷体_GBK" w:cs="方正楷体_GBK"/>
          <w:b/>
          <w:bCs/>
          <w:sz w:val="28"/>
          <w:szCs w:val="28"/>
          <w:highlight w:val="none"/>
          <w:lang w:val="en-US" w:eastAsia="zh-CN"/>
        </w:rPr>
        <w:t xml:space="preserve">1</w:t>
      </w:r>
      <w:bookmarkEnd w:id="44"/>
      <w:r>
        <w:rPr>
          <w:rFonts w:hint="eastAsia" w:ascii="方正楷体_GBK" w:hAnsi="方正楷体_GBK" w:eastAsia="方正楷体_GBK" w:cs="方正楷体_GBK"/>
          <w:b/>
          <w:bCs/>
          <w:sz w:val="28"/>
          <w:szCs w:val="28"/>
          <w:highlight w:val="none"/>
          <w:lang w:val="en-US" w:eastAsia="zh-CN"/>
        </w:rPr>
        <w:t xml:space="preserve">.采购方式</w:t>
      </w:r>
      <w:bookmarkEnd w:id="45"/>
      <w:r/>
      <w:bookmarkEnd w:id="46"/>
      <w:r/>
      <w:bookmarkEnd w:id="47"/>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8" w:name="_Toc20823277"/>
      <w:r/>
      <w:bookmarkStart w:id="49" w:name="_Toc16938521"/>
      <w:r/>
      <w:bookmarkStart w:id="50" w:name="_Toc513029205"/>
      <w:r>
        <w:rPr>
          <w:rFonts w:hint="eastAsia" w:ascii="方正楷体_GBK" w:hAnsi="方正楷体_GBK" w:eastAsia="方正楷体_GBK" w:cs="方正楷体_GBK"/>
          <w:b/>
          <w:bCs/>
          <w:sz w:val="28"/>
          <w:szCs w:val="28"/>
          <w:highlight w:val="none"/>
          <w:lang w:val="en-US" w:eastAsia="zh-CN"/>
        </w:rPr>
        <w:t xml:space="preserve">2.合格的</w:t>
      </w:r>
      <w:bookmarkEnd w:id="48"/>
      <w:r/>
      <w:bookmarkEnd w:id="49"/>
      <w:r/>
      <w:bookmarkEnd w:id="50"/>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1" w:name="_Toc20823278"/>
      <w:r/>
      <w:bookmarkStart w:id="52" w:name="_Toc513029206"/>
      <w:r/>
      <w:bookmarkStart w:id="53" w:name="_Toc16938522"/>
      <w:r>
        <w:rPr>
          <w:rFonts w:hint="eastAsia" w:ascii="方正楷体_GBK" w:hAnsi="方正楷体_GBK" w:eastAsia="方正楷体_GBK" w:cs="方正楷体_GBK"/>
          <w:b/>
          <w:bCs/>
          <w:sz w:val="28"/>
          <w:szCs w:val="28"/>
          <w:highlight w:val="none"/>
          <w:lang w:val="en-US" w:eastAsia="zh-CN"/>
        </w:rPr>
        <w:t xml:space="preserve">3.适用法律</w:t>
      </w:r>
      <w:bookmarkEnd w:id="51"/>
      <w:r/>
      <w:bookmarkEnd w:id="52"/>
      <w:r/>
      <w:bookmarkEnd w:id="53"/>
      <w:r>
        <w:rPr>
          <w:rFonts w:hint="eastAsia" w:ascii="方正楷体_GBK" w:hAnsi="方正楷体_GBK" w:eastAsia="方正楷体_GBK" w:cs="方正楷体_GBK"/>
          <w:b/>
          <w:bCs/>
          <w:sz w:val="28"/>
          <w:szCs w:val="28"/>
          <w:highlight w:val="none"/>
          <w:lang w:val="en-US" w:eastAsia="zh-CN"/>
        </w:rPr>
      </w:r>
      <w:r/>
    </w:p>
    <w:p>
      <w:pPr>
        <w:pStyle w:val="869"/>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4" w:name="_Toc513029207"/>
      <w:r/>
      <w:bookmarkStart w:id="55" w:name="_Toc462564067"/>
      <w:r/>
      <w:bookmarkStart w:id="56" w:name="_Toc16938523"/>
      <w:r/>
      <w:bookmarkStart w:id="57" w:name="_Toc20823279"/>
      <w:r>
        <w:rPr>
          <w:rFonts w:hint="eastAsia" w:ascii="方正楷体_GBK" w:hAnsi="方正楷体_GBK" w:eastAsia="方正楷体_GBK" w:cs="方正楷体_GBK"/>
          <w:b/>
          <w:bCs/>
          <w:sz w:val="28"/>
          <w:szCs w:val="28"/>
          <w:highlight w:val="none"/>
          <w:lang w:val="en-US" w:eastAsia="zh-CN"/>
        </w:rPr>
        <w:t xml:space="preserve">4.磋商费用</w:t>
      </w:r>
      <w:bookmarkEnd w:id="54"/>
      <w:r/>
      <w:bookmarkEnd w:id="55"/>
      <w:r/>
      <w:bookmarkEnd w:id="56"/>
      <w:r/>
      <w:bookmarkEnd w:id="57"/>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8" w:name="_Toc120614215"/>
      <w:r/>
      <w:bookmarkStart w:id="59" w:name="_Toc20823281"/>
      <w:r/>
      <w:bookmarkStart w:id="60" w:name="_Toc16938525"/>
      <w:r/>
      <w:bookmarkStart w:id="61" w:name="_Toc513029209"/>
      <w:r>
        <w:rPr>
          <w:rFonts w:hint="eastAsia" w:ascii="方正黑体_GBK" w:hAnsi="方正黑体_GBK" w:eastAsia="方正黑体_GBK" w:cs="方正黑体_GBK"/>
          <w:b w:val="0"/>
          <w:bCs w:val="0"/>
          <w:color w:val="000000"/>
          <w:sz w:val="30"/>
          <w:szCs w:val="30"/>
          <w:highlight w:val="none"/>
        </w:rPr>
        <w:t xml:space="preserve">二、</w:t>
      </w:r>
      <w:bookmarkEnd w:id="58"/>
      <w:r/>
      <w:bookmarkEnd w:id="59"/>
      <w:r/>
      <w:bookmarkEnd w:id="60"/>
      <w:r/>
      <w:bookmarkEnd w:id="6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2" w:name="_Toc20823282"/>
      <w:r/>
      <w:bookmarkStart w:id="63" w:name="_Toc16938526"/>
      <w:r/>
      <w:bookmarkStart w:id="64" w:name="_Toc513029210"/>
      <w:r>
        <w:rPr>
          <w:rFonts w:hint="eastAsia" w:ascii="方正楷体_GBK" w:hAnsi="方正楷体_GBK" w:eastAsia="方正楷体_GBK" w:cs="方正楷体_GBK"/>
          <w:b/>
          <w:bCs/>
          <w:sz w:val="28"/>
          <w:szCs w:val="28"/>
          <w:highlight w:val="none"/>
          <w:lang w:val="en-US" w:eastAsia="zh-CN"/>
        </w:rPr>
        <w:t xml:space="preserve">6.磋商文件构成</w:t>
      </w:r>
      <w:bookmarkEnd w:id="62"/>
      <w:r/>
      <w:bookmarkEnd w:id="63"/>
      <w:r/>
      <w:bookmarkEnd w:id="64"/>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5" w:name="_Toc16938527"/>
      <w:r/>
      <w:bookmarkStart w:id="66" w:name="_Toc513029211"/>
      <w:r/>
      <w:bookmarkStart w:id="67" w:name="_Toc462564070"/>
      <w:r/>
      <w:bookmarkStart w:id="68" w:name="_Toc20823283"/>
      <w:r>
        <w:rPr>
          <w:rFonts w:hint="eastAsia" w:ascii="方正楷体_GBK" w:hAnsi="方正楷体_GBK" w:eastAsia="方正楷体_GBK" w:cs="方正楷体_GBK"/>
          <w:b/>
          <w:bCs/>
          <w:sz w:val="28"/>
          <w:szCs w:val="28"/>
          <w:highlight w:val="none"/>
          <w:lang w:val="en-US" w:eastAsia="zh-CN"/>
        </w:rPr>
        <w:t xml:space="preserve">7.磋商文件的澄清</w:t>
      </w:r>
      <w:bookmarkEnd w:id="65"/>
      <w:r/>
      <w:bookmarkEnd w:id="66"/>
      <w:r/>
      <w:bookmarkEnd w:id="67"/>
      <w:r/>
      <w:bookmarkEnd w:id="68"/>
      <w:r>
        <w:rPr>
          <w:rFonts w:hint="eastAsia" w:ascii="方正楷体_GBK" w:hAnsi="方正楷体_GBK" w:eastAsia="方正楷体_GBK" w:cs="方正楷体_GBK"/>
          <w:b/>
          <w:bCs/>
          <w:sz w:val="28"/>
          <w:szCs w:val="28"/>
          <w:highlight w:val="none"/>
          <w:lang w:val="en-US" w:eastAsia="zh-CN"/>
        </w:rPr>
        <w:t xml:space="preserve">或修改</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8.响应文件的语言及度量衡单位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9.响应文件构成</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9" w:name="_Hlt26668975"/>
      <w:r/>
      <w:bookmarkEnd w:id="69"/>
      <w:r/>
      <w:bookmarkStart w:id="70" w:name="_Hlt26954838"/>
      <w:r/>
      <w:bookmarkEnd w:id="70"/>
      <w:r/>
      <w:bookmarkStart w:id="71" w:name="_Hlt26670360"/>
      <w:r/>
      <w:bookmarkEnd w:id="71"/>
      <w:r>
        <w:rPr>
          <w:rFonts w:hint="eastAsia" w:ascii="方正楷体_GBK" w:hAnsi="方正楷体_GBK" w:eastAsia="方正楷体_GBK" w:cs="方正楷体_GBK"/>
          <w:b/>
          <w:bCs/>
          <w:sz w:val="28"/>
          <w:szCs w:val="28"/>
          <w:highlight w:val="none"/>
          <w:lang w:val="en-US" w:eastAsia="zh-CN"/>
        </w:rPr>
        <w:t xml:space="preserve">10.磋商报价</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69"/>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2" w:name="_Hlt26954846"/>
      <w:r/>
      <w:bookmarkEnd w:id="72"/>
      <w:r/>
      <w:bookmarkStart w:id="73" w:name="_Hlt26954848"/>
      <w:r/>
      <w:bookmarkEnd w:id="73"/>
      <w:r/>
      <w:bookmarkStart w:id="74" w:name="_Hlt26670486"/>
      <w:r/>
      <w:bookmarkEnd w:id="74"/>
      <w:r/>
      <w:bookmarkStart w:id="75" w:name="_Hlt26954731"/>
      <w:r/>
      <w:bookmarkEnd w:id="75"/>
      <w:r/>
      <w:bookmarkStart w:id="76" w:name="_Hlt26670482"/>
      <w:r/>
      <w:bookmarkEnd w:id="76"/>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3"/>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12.磋商响应函和授权委托书</w:t>
      </w:r>
      <w:r>
        <w:rPr>
          <w:rFonts w:ascii="方正楷体_GBK" w:hAnsi="方正楷体_GBK" w:eastAsia="方正楷体_GBK" w:cs="方正楷体_GBK"/>
          <w:b/>
          <w:bCs/>
          <w:sz w:val="28"/>
          <w:szCs w:val="28"/>
          <w:highlight w:val="none"/>
          <w:lang w:val="en-US" w:eastAsia="zh-CN"/>
        </w:rPr>
      </w:r>
      <w:r/>
    </w:p>
    <w:p>
      <w:pPr>
        <w:pStyle w:val="869"/>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7" w:name="_Toc14577360"/>
      <w:r/>
      <w:bookmarkStart w:id="78" w:name="_Toc49090511"/>
      <w:r>
        <w:rPr>
          <w:rFonts w:hint="eastAsia" w:ascii="方正楷体_GBK" w:hAnsi="方正楷体_GBK" w:eastAsia="方正楷体_GBK" w:cs="方正楷体_GBK"/>
          <w:b/>
          <w:bCs/>
          <w:sz w:val="28"/>
          <w:szCs w:val="28"/>
          <w:highlight w:val="none"/>
          <w:lang w:val="en-US" w:eastAsia="zh-CN"/>
        </w:rPr>
        <w:t xml:space="preserve">13.磋商有效期</w:t>
      </w:r>
      <w:bookmarkEnd w:id="77"/>
      <w:r/>
      <w:bookmarkEnd w:id="78"/>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79" w:name="_Toc120614217"/>
      <w:r/>
      <w:bookmarkStart w:id="80" w:name="_Toc20823296"/>
      <w:r/>
      <w:bookmarkStart w:id="81" w:name="_Hlt26954739"/>
      <w:r/>
      <w:bookmarkEnd w:id="81"/>
      <w:r/>
      <w:bookmarkStart w:id="82" w:name="_Hlt26954852"/>
      <w:r/>
      <w:bookmarkEnd w:id="82"/>
      <w:r/>
      <w:bookmarkStart w:id="83" w:name="_Toc16938540"/>
      <w:r/>
      <w:bookmarkStart w:id="84" w:name="_Toc513029224"/>
      <w:r>
        <w:rPr>
          <w:rFonts w:hint="eastAsia" w:ascii="方正黑体_GBK" w:hAnsi="方正黑体_GBK" w:eastAsia="方正黑体_GBK" w:cs="方正黑体_GBK"/>
          <w:b w:val="0"/>
          <w:bCs w:val="0"/>
          <w:color w:val="000000"/>
          <w:sz w:val="30"/>
          <w:szCs w:val="30"/>
          <w:highlight w:val="none"/>
        </w:rPr>
        <w:t xml:space="preserve">四、响应文件的递交</w:t>
      </w:r>
      <w:bookmarkEnd w:id="79"/>
      <w:r/>
      <w:bookmarkEnd w:id="80"/>
      <w:r/>
      <w:bookmarkEnd w:id="83"/>
      <w:r/>
      <w:bookmarkEnd w:id="84"/>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5" w:name="_Toc16938541"/>
      <w:r/>
      <w:bookmarkStart w:id="86" w:name="_Toc513029225"/>
      <w:r/>
      <w:bookmarkStart w:id="87" w:name="_Toc462564084"/>
      <w:r/>
      <w:bookmarkStart w:id="88" w:name="_Toc20823297"/>
      <w:r>
        <w:rPr>
          <w:rFonts w:hint="eastAsia" w:ascii="方正楷体_GBK" w:hAnsi="方正楷体_GBK" w:eastAsia="方正楷体_GBK" w:cs="方正楷体_GBK"/>
          <w:b/>
          <w:bCs/>
          <w:sz w:val="28"/>
          <w:szCs w:val="28"/>
          <w:highlight w:val="none"/>
          <w:lang w:val="en-US" w:eastAsia="zh-CN"/>
        </w:rPr>
        <w:t xml:space="preserve">15.</w:t>
      </w:r>
      <w:bookmarkEnd w:id="85"/>
      <w:r/>
      <w:bookmarkEnd w:id="86"/>
      <w:r/>
      <w:bookmarkEnd w:id="87"/>
      <w:r/>
      <w:bookmarkEnd w:id="88"/>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89" w:name="_Toc16938542"/>
      <w:r/>
      <w:bookmarkStart w:id="90" w:name="_Toc513029226"/>
      <w:r/>
      <w:bookmarkStart w:id="91" w:name="_Toc20823298"/>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89"/>
      <w:r/>
      <w:bookmarkEnd w:id="90"/>
      <w:r/>
      <w:bookmarkEnd w:id="91"/>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2" w:name="_Toc20823300"/>
      <w:r/>
      <w:bookmarkStart w:id="93" w:name="_Toc16938544"/>
      <w:r/>
      <w:bookmarkStart w:id="94" w:name="_Toc513029228"/>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92"/>
      <w:r/>
      <w:bookmarkEnd w:id="93"/>
      <w:r/>
      <w:bookmarkEnd w:id="94"/>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5" w:name="_Toc20823301"/>
      <w:r/>
      <w:bookmarkStart w:id="96" w:name="_Toc120614218"/>
      <w:r/>
      <w:bookmarkStart w:id="97" w:name="_Toc16938545"/>
      <w:r/>
      <w:bookmarkStart w:id="98"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5"/>
      <w:r/>
      <w:bookmarkEnd w:id="96"/>
      <w:r/>
      <w:bookmarkEnd w:id="97"/>
      <w:r/>
      <w:bookmarkEnd w:id="98"/>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9" w:name="_Toc20823304"/>
      <w:r/>
      <w:bookmarkStart w:id="100" w:name="_Toc16938548"/>
      <w:r/>
      <w:bookmarkStart w:id="101" w:name="_Toc513029232"/>
      <w:r>
        <w:rPr>
          <w:rFonts w:hint="eastAsia" w:ascii="方正楷体_GBK" w:hAnsi="方正楷体_GBK" w:eastAsia="方正楷体_GBK" w:cs="方正楷体_GBK"/>
          <w:b/>
          <w:bCs/>
          <w:sz w:val="28"/>
          <w:szCs w:val="28"/>
          <w:highlight w:val="none"/>
          <w:lang w:val="en-US" w:eastAsia="zh-CN"/>
        </w:rPr>
        <w:t xml:space="preserve">20.评审过程中的澄清</w:t>
      </w:r>
      <w:bookmarkEnd w:id="99"/>
      <w:r/>
      <w:bookmarkEnd w:id="100"/>
      <w:r/>
      <w:bookmarkEnd w:id="101"/>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2" w:name="_Toc20823305"/>
      <w:r/>
      <w:bookmarkStart w:id="103" w:name="_Toc16938549"/>
      <w:r/>
      <w:bookmarkStart w:id="104" w:name="_Toc513029233"/>
      <w:r>
        <w:rPr>
          <w:rFonts w:hint="eastAsia" w:ascii="方正楷体_GBK" w:hAnsi="方正楷体_GBK" w:eastAsia="方正楷体_GBK" w:cs="方正楷体_GBK"/>
          <w:b/>
          <w:bCs/>
          <w:sz w:val="28"/>
          <w:szCs w:val="28"/>
          <w:highlight w:val="none"/>
          <w:lang w:val="en-US" w:eastAsia="zh-CN"/>
        </w:rPr>
        <w:t xml:space="preserve">21.响应文件的审</w:t>
      </w:r>
      <w:bookmarkEnd w:id="102"/>
      <w:r/>
      <w:bookmarkEnd w:id="103"/>
      <w:r/>
      <w:bookmarkEnd w:id="104"/>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9"/>
        <w:ind w:firstLine="455"/>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6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23.磋商程序及采购活动终止</w:t>
      </w:r>
      <w:r>
        <w:rPr>
          <w:rFonts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5" w:name="_Toc20823307"/>
      <w:r/>
      <w:bookmarkStart w:id="106" w:name="_Toc16938551"/>
      <w:r/>
      <w:bookmarkStart w:id="107" w:name="_Toc120614219"/>
      <w:r/>
      <w:bookmarkStart w:id="108"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除本磋商文件第二章第23.1.2条第三款规定的情形外，磋商过程中符合要求的供应商或者提交最后报价且未超过采购预算或最高限价的供应商不足三家。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05"/>
      <w:r/>
      <w:bookmarkEnd w:id="106"/>
      <w:r/>
      <w:bookmarkEnd w:id="107"/>
      <w:r/>
      <w:bookmarkEnd w:id="108"/>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9" w:name="_Toc20823310"/>
      <w:r/>
      <w:bookmarkStart w:id="110" w:name="_Toc16938554"/>
      <w:r/>
      <w:bookmarkStart w:id="111" w:name="_Toc513029238"/>
      <w:r>
        <w:rPr>
          <w:rFonts w:hint="eastAsia" w:ascii="方正楷体_GBK" w:hAnsi="方正楷体_GBK" w:eastAsia="方正楷体_GBK" w:cs="方正楷体_GBK"/>
          <w:b/>
          <w:bCs/>
          <w:sz w:val="28"/>
          <w:szCs w:val="28"/>
          <w:highlight w:val="none"/>
          <w:lang w:val="en-US" w:eastAsia="zh-CN"/>
        </w:rPr>
        <w:t xml:space="preserve">2</w:t>
      </w:r>
      <w:bookmarkEnd w:id="111"/>
      <w:r>
        <w:rPr>
          <w:rFonts w:hint="eastAsia" w:ascii="方正楷体_GBK" w:hAnsi="方正楷体_GBK" w:eastAsia="方正楷体_GBK" w:cs="方正楷体_GBK"/>
          <w:b/>
          <w:bCs/>
          <w:sz w:val="28"/>
          <w:szCs w:val="28"/>
          <w:highlight w:val="none"/>
          <w:lang w:val="en-US" w:eastAsia="zh-CN"/>
        </w:rPr>
        <w:t xml:space="preserve">4.确定</w:t>
      </w:r>
      <w:bookmarkEnd w:id="109"/>
      <w:r/>
      <w:bookmarkEnd w:id="110"/>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12" w:name="_Toc200451960"/>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12"/>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.提出质疑的供应商应当是参与所质疑项目采购活动的供应商，潜在供应商依法获取其可质疑的磋商文件的，可以对磋商文件提出质疑。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.供应商认为磋商文件、采购过程和采购结果使自己的权益受到损害的，可以在知道或应知其权益受到损害之日起七个工作日内，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对磋商文件提出质疑的，为收到磋商文件之日或者磋商文件公告期限届满之日。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质疑答复主体提出质疑，具体详见磋商文件第一章。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秦淮区财政局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rPr>
        <w:t xml:space="preserve">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69"/>
        <w:ind w:firstLine="420"/>
        <w:jc w:val="left"/>
        <w:pageBreakBefore w:val="0"/>
        <w:spacing w:line="264" w:lineRule="auto"/>
        <w:widowControl w:val="off"/>
        <w:rPr>
          <w:rFonts w:hint="eastAsia" w:ascii="方正小标宋简体" w:hAnsi="方正小标宋简体" w:eastAsia="方正小标宋简体" w:cs="方正小标宋简体"/>
          <w:color w:val="000000"/>
          <w:sz w:val="21"/>
          <w:szCs w:val="21"/>
          <w:highlight w:val="none"/>
          <w:lang w:val="en-US" w:eastAsia="zh-CN" w:bidi="ar-SA"/>
        </w:rPr>
      </w:pPr>
      <w:r>
        <w:rPr>
          <w:rFonts w:hint="eastAsia" w:ascii="方正小标宋简体" w:hAnsi="方正小标宋简体" w:eastAsia="方正小标宋简体" w:cs="方正小标宋简体"/>
          <w:color w:val="000000"/>
          <w:sz w:val="21"/>
          <w:szCs w:val="21"/>
          <w:highlight w:val="none"/>
          <w:lang w:val="en-US" w:eastAsia="zh-CN" w:bidi="ar-SA"/>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bookmarkEnd w:id="1"/>
      <w:r/>
      <w:bookmarkEnd w:id="2"/>
      <w:r/>
      <w:bookmarkEnd w:id="3"/>
      <w:r/>
      <w:bookmarkEnd w:id="4"/>
      <w:r/>
      <w:bookmarkEnd w:id="5"/>
      <w:r/>
      <w:bookmarkEnd w:id="40"/>
      <w:r/>
      <w:bookmarkStart w:id="113" w:name="_Toc20823314"/>
      <w:r/>
      <w:bookmarkStart w:id="114" w:name="_Toc120614221"/>
      <w:r/>
      <w:bookmarkStart w:id="115" w:name="_Toc479757207"/>
      <w:r/>
      <w:bookmarkStart w:id="116" w:name="_Toc513029242"/>
      <w:r/>
      <w:bookmarkStart w:id="117" w:name="_Toc16938558"/>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113"/>
      <w:r/>
      <w:bookmarkEnd w:id="114"/>
      <w:r/>
      <w:bookmarkEnd w:id="115"/>
      <w:r/>
      <w:bookmarkEnd w:id="116"/>
      <w:r/>
      <w:bookmarkEnd w:id="11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keepLines w:val="0"/>
        <w:keepNext w:val="0"/>
        <w:pageBreakBefore w:val="0"/>
        <w:spacing w:before="145" w:after="145" w:line="264" w:lineRule="auto"/>
        <w:widowControl w:val="off"/>
        <w:rPr>
          <w:rFonts w:hint="eastAsia" w:ascii="宋体" w:hAnsi="宋体"/>
          <w:bCs/>
          <w:color w:val="000000"/>
          <w:sz w:val="24"/>
          <w:szCs w:val="21"/>
          <w:highlight w:val="none"/>
          <w:lang w:eastAsia="zh-CN"/>
        </w:rPr>
        <w:outlineLvl w:val="9"/>
      </w:pPr>
      <w:r/>
      <w:bookmarkStart w:id="118" w:name="_Hlt16619369"/>
      <w:r/>
      <w:bookmarkEnd w:id="118"/>
      <w:r/>
      <w:bookmarkStart w:id="119" w:name="_Toc513029243"/>
      <w:r/>
      <w:bookmarkStart w:id="120" w:name="_Toc16938559"/>
      <w:r/>
      <w:bookmarkStart w:id="121" w:name="_Toc20823315"/>
      <w:r/>
      <w:bookmarkStart w:id="122" w:name="_Hlt16619350"/>
      <w:r/>
      <w:bookmarkStart w:id="123" w:name="_Toc120614244"/>
      <w:r/>
      <w:bookmarkStart w:id="124" w:name="_Toc20823346"/>
      <w:r/>
      <w:bookmarkStart w:id="125" w:name="_Toc16938590"/>
      <w:r/>
      <w:bookmarkStart w:id="126" w:name="_Toc462564139"/>
      <w:r/>
      <w:bookmarkStart w:id="127"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9"/>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Times New Roman"/>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869"/>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磋商</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09"/>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09"/>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bidi="ar-SA"/>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sz w:val="24"/>
          <w:szCs w:val="24"/>
          <w:highlight w:val="none"/>
          <w:lang w:val="en-US" w:eastAsia="zh-CN" w:bidi="ar-SA"/>
        </w:rPr>
        <w:t xml:space="preserve"> 甲方于合同签订后支付年度合同款的30%作为预付款，该预付款在支付后续合同款时扣回。合同款按季考核后支付，考核扣除的费用从应支付的款项中扣除。</w:t>
      </w:r>
      <w:r>
        <w:rPr>
          <w:rFonts w:hint="eastAsia" w:ascii="宋体" w:hAnsi="宋体" w:eastAsia="宋体" w:cs="Courier New"/>
          <w:sz w:val="24"/>
          <w:szCs w:val="24"/>
          <w:highlight w:val="none"/>
          <w:lang w:val="en-US" w:eastAsia="zh-CN" w:bidi="ar-SA"/>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0.05%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rPr>
        <w:t xml:space="preserve">%</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0.05%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10%</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09"/>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09"/>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19"/>
      <w:r/>
      <w:bookmarkEnd w:id="120"/>
      <w:r/>
      <w:bookmarkEnd w:id="121"/>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09"/>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09"/>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09"/>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09"/>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09"/>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      年    月   日</w:t>
      </w:r>
      <w:r>
        <w:rPr>
          <w:rFonts w:hint="eastAsia" w:hAnsi="宋体" w:eastAsia="宋体" w:cs="Courier New"/>
          <w:sz w:val="24"/>
          <w:szCs w:val="24"/>
          <w:highlight w:val="none"/>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9"/>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09"/>
        <w:ind w:firstLine="4800"/>
        <w:keepLines w:val="0"/>
        <w:keepNext w:val="0"/>
        <w:pageBreakBefore w:val="0"/>
        <w:spacing w:before="120" w:after="120" w:line="276"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69"/>
        <w:jc w:val="center"/>
        <w:keepLines w:val="0"/>
        <w:keepNext w:val="0"/>
        <w:pageBreakBefore w:val="0"/>
        <w:spacing w:line="252" w:lineRule="auto"/>
        <w:widowControl w:val="off"/>
        <w:rPr>
          <w:rFonts w:hint="eastAsia" w:ascii="黑体" w:hAnsi="Courier New" w:eastAsia="黑体" w:cs="Courier New"/>
          <w:bCs/>
          <w:sz w:val="44"/>
          <w:szCs w:val="21"/>
          <w:highlight w:val="none"/>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2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23"/>
      <w:r/>
      <w:bookmarkEnd w:id="124"/>
      <w:r/>
      <w:bookmarkEnd w:id="125"/>
      <w:r/>
      <w:bookmarkStart w:id="128" w:name="_Toc49090575"/>
      <w:r/>
      <w:bookmarkStart w:id="129" w:name="_Toc26554093"/>
      <w:r>
        <w:rPr>
          <w:rFonts w:hint="eastAsia" w:ascii="黑体" w:hAnsi="Courier New" w:eastAsia="黑体" w:cs="Courier New"/>
          <w:bCs/>
          <w:sz w:val="44"/>
          <w:szCs w:val="21"/>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rPr>
      </w:pPr>
      <w:r/>
      <w:bookmarkStart w:id="130"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1.坐落位置</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秦淮区军队离退休干部服务管理中心（简称军休中心）位于秦淮区光华路93号2号楼</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2.使用面积</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占地面积：0.8万平方米。</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三、项目清单</w:t>
      </w:r>
      <w:r>
        <w:rPr>
          <w:rFonts w:hint="eastAsia" w:ascii="黑体" w:hAnsi="黑体" w:eastAsia="黑体" w:cs="黑体"/>
          <w:color w:val="000000"/>
          <w:sz w:val="24"/>
          <w:szCs w:val="24"/>
          <w:highlight w:val="none"/>
          <w:lang w:eastAsia="zh-CN"/>
        </w:rPr>
      </w:r>
      <w:r/>
    </w:p>
    <w:tbl>
      <w:tblPr>
        <w:tblStyle w:val="997"/>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序号</w:t>
            </w:r>
            <w:r>
              <w:rPr>
                <w:rStyle w:val="879"/>
                <w:rFonts w:hint="eastAsia" w:ascii="宋体" w:hAnsi="宋体" w:eastAsia="宋体" w:cs="Times New Roman"/>
                <w:bCs/>
                <w:color w:val="000000"/>
                <w:sz w:val="24"/>
                <w:szCs w:val="24"/>
                <w:highlight w:val="none"/>
                <w:lang w:val="en-US" w:eastAsia="zh-CN" w:bidi="ar-SA"/>
              </w:rPr>
            </w:r>
            <w:r/>
          </w:p>
        </w:tc>
        <w:tc>
          <w:tcPr>
            <w:tcW w:w="1413"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名称</w:t>
            </w:r>
            <w:r>
              <w:rPr>
                <w:rStyle w:val="879"/>
                <w:rFonts w:hint="eastAsia" w:ascii="宋体" w:hAnsi="宋体" w:eastAsia="宋体" w:cs="Times New Roman"/>
                <w:bCs/>
                <w:color w:val="000000"/>
                <w:sz w:val="24"/>
                <w:szCs w:val="24"/>
                <w:highlight w:val="none"/>
                <w:lang w:val="en-US" w:eastAsia="zh-CN" w:bidi="ar-SA"/>
              </w:rPr>
            </w:r>
            <w:r/>
          </w:p>
        </w:tc>
        <w:tc>
          <w:tcPr>
            <w:tcW w:w="418"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数量</w:t>
            </w:r>
            <w:r>
              <w:rPr>
                <w:rStyle w:val="879"/>
                <w:rFonts w:hint="eastAsia" w:ascii="宋体" w:hAnsi="宋体" w:eastAsia="宋体" w:cs="Times New Roman"/>
                <w:bCs/>
                <w:color w:val="000000"/>
                <w:sz w:val="24"/>
                <w:szCs w:val="24"/>
                <w:highlight w:val="none"/>
                <w:lang w:val="en-US" w:eastAsia="zh-CN" w:bidi="ar-SA"/>
              </w:rPr>
            </w:r>
            <w:r/>
          </w:p>
        </w:tc>
        <w:tc>
          <w:tcPr>
            <w:tcW w:w="424"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单位</w:t>
            </w:r>
            <w:r>
              <w:rPr>
                <w:rStyle w:val="879"/>
                <w:rFonts w:hint="eastAsia" w:ascii="宋体" w:hAnsi="宋体" w:eastAsia="宋体" w:cs="Times New Roman"/>
                <w:bCs/>
                <w:color w:val="000000"/>
                <w:sz w:val="24"/>
                <w:szCs w:val="24"/>
                <w:highlight w:val="none"/>
                <w:lang w:val="en-US" w:eastAsia="zh-CN" w:bidi="ar-SA"/>
              </w:rPr>
            </w:r>
            <w:r/>
          </w:p>
        </w:tc>
        <w:tc>
          <w:tcPr>
            <w:tcW w:w="1067"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hint="eastAsia" w:ascii="宋体" w:hAnsi="宋体" w:eastAsia="宋体" w:cs="Times New Roman"/>
                <w:sz w:val="24"/>
                <w:szCs w:val="24"/>
                <w:highlight w:val="none"/>
                <w:lang w:val="en-US" w:eastAsia="zh-CN"/>
              </w:rPr>
              <w:t xml:space="preserve">中小企业划分标准</w:t>
            </w:r>
            <w:r>
              <w:rPr>
                <w:rStyle w:val="879"/>
                <w:rFonts w:ascii="宋体" w:hAnsi="宋体" w:eastAsia="宋体" w:cs="Times New Roman"/>
                <w:sz w:val="24"/>
                <w:szCs w:val="24"/>
                <w:highlight w:val="none"/>
              </w:rPr>
              <w:t xml:space="preserve">所属行业</w:t>
            </w:r>
            <w:r>
              <w:rPr>
                <w:rStyle w:val="879"/>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69"/>
              <w:jc w:val="center"/>
              <w:keepLines w:val="0"/>
              <w:keepNext w:val="0"/>
              <w:pageBreakBefore w:val="0"/>
              <w:spacing w:line="240" w:lineRule="auto"/>
              <w:widowControl w:val="off"/>
              <w:rPr>
                <w:rStyle w:val="879"/>
                <w:rFonts w:ascii="宋体" w:hAnsi="宋体" w:eastAsia="宋体"/>
                <w:sz w:val="24"/>
                <w:szCs w:val="24"/>
                <w:highlight w:val="none"/>
              </w:rPr>
            </w:pPr>
            <w:r>
              <w:rPr>
                <w:rStyle w:val="879"/>
                <w:rFonts w:cs="Times New Roman"/>
                <w:color w:val="000000"/>
                <w:sz w:val="24"/>
                <w:szCs w:val="24"/>
                <w:highlight w:val="none"/>
              </w:rPr>
              <w:t xml:space="preserve">属性</w:t>
            </w:r>
            <w:r>
              <w:rPr>
                <w:rStyle w:val="879"/>
                <w:rFonts w:ascii="宋体" w:hAnsi="宋体" w:eastAsia="宋体"/>
                <w:sz w:val="24"/>
                <w:szCs w:val="24"/>
                <w:highlight w:val="none"/>
              </w:rPr>
            </w:r>
            <w:r/>
          </w:p>
        </w:tc>
        <w:tc>
          <w:tcPr>
            <w:tcW w:w="685"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ascii="宋体" w:hAnsi="宋体" w:eastAsia="宋体" w:cs="Times New Roman"/>
                <w:sz w:val="24"/>
                <w:szCs w:val="24"/>
                <w:highlight w:val="none"/>
              </w:rPr>
              <w:t xml:space="preserve">备注</w:t>
            </w:r>
            <w:r>
              <w:rPr>
                <w:rStyle w:val="879"/>
                <w:rFonts w:hint="eastAsia" w:ascii="宋体" w:hAnsi="宋体" w:eastAsia="宋体" w:cs="Times New Roman"/>
                <w:bCs/>
                <w:color w:val="000000"/>
                <w:sz w:val="24"/>
                <w:szCs w:val="24"/>
                <w:highlight w:val="none"/>
                <w:lang w:val="en-US" w:eastAsia="zh-CN" w:bidi="ar-SA"/>
              </w:rPr>
            </w:r>
            <w:r/>
          </w:p>
        </w:tc>
      </w:tr>
      <w:tr>
        <w:trPr>
          <w:trHeight w:val="597"/>
        </w:trPr>
        <w:tc>
          <w:tcPr>
            <w:tcW w:w="421"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79"/>
                <w:rFonts w:hint="eastAsia" w:ascii="宋体" w:hAnsi="宋体" w:eastAsia="宋体" w:cs="Times New Roman"/>
                <w:bCs/>
                <w:color w:val="000000"/>
                <w:sz w:val="24"/>
                <w:szCs w:val="24"/>
                <w:highlight w:val="none"/>
                <w:lang w:val="en-US" w:eastAsia="zh-CN" w:bidi="ar-SA"/>
              </w:rPr>
            </w:r>
            <w:r/>
          </w:p>
        </w:tc>
        <w:tc>
          <w:tcPr>
            <w:tcW w:w="1413" w:type="dxa"/>
            <w:vAlign w:val="center"/>
            <w:textDirection w:val="lrTb"/>
            <w:noWrap w:val="false"/>
          </w:tcPr>
          <w:p>
            <w:pPr>
              <w:pStyle w:val="869"/>
              <w:jc w:val="both"/>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879"/>
                <w:rFonts w:hint="eastAsia" w:ascii="宋体" w:hAnsi="宋体" w:eastAsia="宋体" w:cs="Times New Roman"/>
                <w:bCs/>
                <w:color w:val="000000"/>
                <w:sz w:val="24"/>
                <w:szCs w:val="24"/>
                <w:highlight w:val="none"/>
                <w:lang w:val="en-US" w:eastAsia="zh-CN" w:bidi="ar-SA"/>
              </w:rPr>
            </w:r>
            <w:r/>
          </w:p>
        </w:tc>
        <w:tc>
          <w:tcPr>
            <w:tcW w:w="418"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79"/>
                <w:rFonts w:hint="eastAsia" w:ascii="宋体" w:hAnsi="宋体" w:eastAsia="宋体" w:cs="Times New Roman"/>
                <w:bCs/>
                <w:color w:val="000000"/>
                <w:sz w:val="24"/>
                <w:szCs w:val="24"/>
                <w:highlight w:val="none"/>
                <w:lang w:val="en-US" w:eastAsia="zh-CN" w:bidi="ar-SA"/>
              </w:rPr>
            </w:r>
            <w:r/>
          </w:p>
        </w:tc>
        <w:tc>
          <w:tcPr>
            <w:tcW w:w="424"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879"/>
                <w:rFonts w:hint="eastAsia" w:ascii="宋体" w:hAnsi="宋体" w:eastAsia="宋体" w:cs="Times New Roman"/>
                <w:bCs/>
                <w:color w:val="000000"/>
                <w:sz w:val="24"/>
                <w:szCs w:val="24"/>
                <w:highlight w:val="none"/>
                <w:lang w:val="en-US" w:eastAsia="zh-CN" w:bidi="ar-SA"/>
              </w:rPr>
            </w:r>
            <w:r/>
          </w:p>
        </w:tc>
        <w:tc>
          <w:tcPr>
            <w:tcW w:w="1067"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879"/>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685" w:type="dxa"/>
            <w:vAlign w:val="center"/>
            <w:textDirection w:val="lrTb"/>
            <w:noWrap w:val="false"/>
          </w:tcPr>
          <w:p>
            <w:pPr>
              <w:pStyle w:val="869"/>
              <w:jc w:val="center"/>
              <w:spacing w:line="240" w:lineRule="auto"/>
              <w:widowControl w:val="off"/>
              <w:rPr>
                <w:rStyle w:val="879"/>
                <w:rFonts w:hint="eastAsia" w:ascii="宋体" w:hAnsi="宋体" w:eastAsia="宋体" w:cs="Times New Roman"/>
                <w:bCs/>
                <w:color w:val="000000"/>
                <w:sz w:val="24"/>
                <w:szCs w:val="24"/>
                <w:highlight w:val="none"/>
                <w:lang w:val="en-US" w:eastAsia="zh-CN" w:bidi="ar-SA"/>
              </w:rPr>
            </w:pPr>
            <w:r>
              <w:rPr>
                <w:rStyle w:val="879"/>
                <w:rFonts w:hint="eastAsia" w:ascii="宋体" w:hAnsi="宋体" w:eastAsia="宋体" w:cs="Times New Roman"/>
                <w:bCs/>
                <w:color w:val="000000"/>
                <w:sz w:val="24"/>
                <w:szCs w:val="24"/>
                <w:highlight w:val="none"/>
                <w:lang w:val="en-US" w:eastAsia="zh-CN" w:bidi="ar-SA"/>
              </w:rPr>
            </w:r>
            <w:r/>
          </w:p>
        </w:tc>
      </w:tr>
    </w:tbl>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942"/>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一、服务内容</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1、保洁服务：公共区域、办公室、会议室及院内道路，电梯、开水间、卫生间、活动室及各活动中心保洁。</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2、客服服务：会务保障、来访接待服务工作、各项体育活动保障及各项活动中心服务保障工作。</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3、工程服务：公共区域设施设备日常运行和巡查，会议室、办公楼区域内的日常零星维修，确保各项体育活动及会议进程得以保障（日常零星维修耗材由采购人提供）</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4、行政服务：接听接待、整理档案、录入系统、收费协助、传达通知、跟踪报修。</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二、工作要求：</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1、保洁服务</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（1）大厅、楼内公区地面、墙面：</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入口区域保持清洁；门口铺设的防尘脚垫，应每天清理，保持无尘土；大门每天维护，保持无明显水痕、污渍；大厅内地面每天拖擦至少2次，不定期巡视维护，时刻保持清洁、干燥。台阶、过道无污渍、污迹、脚印、垃圾、灰尘，循环清洁；楼梯扶手、栏杆无灰尘、无污渍、保持光滑、洁亮；</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墙面（玻璃墙面）、天花板、门窗纱窗无灰尘、污渍、指印、蜘蛛网，保持清洁明亮；开关、灯具及罩内无灰尘、污迹，保持清洁明亮。</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电梯轿箱与机房：电梯门表面无灰尘、污迹，保持洁净光亮；电梯轿箱内地面无纸屑、烟头等杂物，保持清洁；箱体内立面无灰尘、污迹、粘贴痕迹，保持洁净光亮；箱顶无灰尘、污迹，保持洁净光亮；机房无灰尘、垃圾、纸屑、烟头、杂物等，保持室内及门窗清洁。</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公共卫生间：天花板、墙角、灯具无灰尘、蜘蛛网、虫尸等，保持清洁；大小便器无污渍、锈迹、灰垢，保持洁净光亮；洗手池及台面、镜面、水池无水渍、污迹，保持洁净光亮；地面无烟头、纸屑、污渍、积水，保持清洁光亮；室内无异味、臭味；纸篓垃圾及时清理。每小时定时巡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（4）开水间：每日彻底清洁1次，循环保洁；做到开水炉表面干净无污迹、地面干净、无杂物、无积水。</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（5）公共通道（含楼梯）：每日清洁，梯步、扶手栏杆、防火门等表面干净、无尘无污渍，墙面、天花板无积尘。</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（6）会议室，公共区域消防器材、公告栏、指示版、房间门牌、垃圾桶（篓）保持清洁。</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（7）室外道路、排水沟等区域全天清扫保洁，循环维护，发现垃圾及时清扫，路面无垃圾、杂物、积水等。风雨雪霜后地面须及时清理保洁。垃圾箱按指定位置摆放整齐，存放处周围清洁。</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（8）一次性保洁用品（洗手液、卷纸、擦手纸等费用由供应商承担）摆放到位，及时更换并补充到位。</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（9）生活垃圾按时收集，摆放指定地点。</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（10）办公楼内及外场绿化植物的养护管理，绿化租摆不在此次采购范围。</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2、客服服务：</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（1）会务保障：</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茶水服务，会议结束会议室整理，茶具及时清洗干净。会议结束后，保证会议室各项物品归位。会务服务用茶叶、矿泉水等物资由采购人提供。</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（2）活动客服：</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包含场地管理、器材管理、活动支持、安全与应急。需负责日常开放、场地预约、场地布置、器材借还及维护，现场需配备医药箱。</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3、工程服务：</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（1）建立详细的设备设施台帐，对所有设备设施进行科学规范的管理。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（2）日常零星维修。</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（3）配合采购人做好设施设备维护保养工作，协调、督促各专业维保单位按时、保质保量地开展维保工作，确保设施设备正常运行，发现故障应立即报告采购人有关负责人并联系维保单位维修。</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4、行政服务：</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（1）接听采购人电话，记录报修、投诉、建议等信息；</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（2）整理采购人档案、合同、收费记录等资料；</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（3）协助物业项目经理处理日常文书工作（如通知、公告、会议纪要）；</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（4）管理办公用品采购、考勤、排班等事务。</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color w:val="0000ff"/>
                <w:highlight w:val="none"/>
              </w:rPr>
            </w:pPr>
            <w:r>
              <w:rPr>
                <w:rFonts w:hint="eastAsia" w:ascii="宋体" w:hAnsi="宋体" w:eastAsia="宋体" w:cs="宋体"/>
                <w:color w:val="000000"/>
                <w:sz w:val="24"/>
                <w:szCs w:val="24"/>
                <w:highlight w:val="none"/>
                <w:lang w:val="en-US" w:eastAsia="zh-CN"/>
              </w:rPr>
              <w:t xml:space="preserve">（5）使用物业管理系统录入业主信息、维修工单、投诉记录等。</w:t>
            </w:r>
            <w:r>
              <w:rPr>
                <w:rFonts w:hint="eastAsia"/>
                <w:color w:val="0000ff"/>
                <w:highlight w:val="none"/>
              </w:rPr>
            </w:r>
            <w:r/>
          </w:p>
        </w:tc>
      </w:tr>
    </w:tbl>
    <w:p>
      <w:pPr>
        <w:pStyle w:val="869"/>
        <w:keepLines w:val="0"/>
        <w:keepNext w:val="0"/>
        <w:pageBreakBefore w:val="0"/>
        <w:spacing w:line="240" w:lineRule="auto"/>
        <w:widowControl w:val="off"/>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tbl>
      <w:tblPr>
        <w:tblStyle w:val="942"/>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一、人员数量：服务人员数不少于15人</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二、人员要求：</w:t>
            </w:r>
            <w:r>
              <w:rPr>
                <w:rFonts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（1）项目经理：1人；大专（含）以上学历，具备物业项目全面管理能力，具有良好的组织、沟通能力及较强的综合事务处理能力。</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（2）会务客服：3人，女，165cm（含）以上，责任心强，具有良好的服务意识，普通话标准、流利、语言表达能力和亲和力强。</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（3）保洁主管：1人。</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（4）保洁员：7人，须有办公楼保洁工作经验。</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（5）弱电技工：1人，持有效低压电工证，熟悉安防、网络等弱电系统安装维护。</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（6）综合工程员：1人，具备水电、暖通、土建等基础维修技能，负责日常设备设施巡检保养。</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（7）文员：1人，熟悉办公软件，善于沟通，细心负责，有物业或客服经验。</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（8）所有服务人员要求法定退休年龄以下，要求统一着装、</w:t>
            </w:r>
            <w:r>
              <w:rPr>
                <w:rFonts w:ascii="宋体" w:hAnsi="宋体" w:cs="宋体"/>
                <w:sz w:val="24"/>
                <w:szCs w:val="24"/>
                <w:highlight w:val="none"/>
              </w:rPr>
              <w:t xml:space="preserve">弱电技工岗位须持证上岗</w:t>
            </w:r>
            <w:r>
              <w:rPr>
                <w:rFonts w:hint="eastAsia" w:ascii="宋体" w:hAnsi="宋体" w:eastAsia="宋体" w:cs="宋体"/>
                <w:color w:val="000000"/>
                <w:sz w:val="24"/>
                <w:szCs w:val="24"/>
                <w:highlight w:val="none"/>
                <w:lang w:val="en-US" w:eastAsia="zh-CN"/>
              </w:rPr>
              <w:t xml:space="preserve">、尽职尽责、岗位职责明确。上班不迟到，不早退，不串岗、不闲谈、不干私事，认真履行岗位职责，服从管理，接收督促，及时整改。  </w:t>
            </w:r>
            <w:r>
              <w:rPr>
                <w:rFonts w:hint="eastAsia" w:ascii="宋体" w:hAnsi="宋体" w:eastAsia="宋体" w:cs="宋体"/>
                <w:color w:val="000000"/>
                <w:sz w:val="24"/>
                <w:szCs w:val="24"/>
                <w:highlight w:val="none"/>
                <w:lang w:val="en-US" w:eastAsia="zh-CN"/>
              </w:rPr>
            </w:r>
            <w:r/>
          </w:p>
        </w:tc>
      </w:tr>
    </w:tbl>
    <w:p>
      <w:pPr>
        <w:pStyle w:val="869"/>
        <w:keepLines w:val="0"/>
        <w:keepNext w:val="0"/>
        <w:pageBreakBefore w:val="0"/>
        <w:spacing w:line="240" w:lineRule="auto"/>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942"/>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为本项目配置的所有人员必须遵守国家的法律、法规及采购人的各项规章制度，身体健康，无传染性疾病，需经过岗前培训合格方能上岗。拟派驻的项目经理、部门主管及其他人员不得同时在项目中兼任多职。</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3.供应商不得利用服务区域内的采购人房产、物业、水电等资源从事经营活动，不能改变其使用性质。</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5.供应商工作人员的岗位职责、操作规范、人身安全、医疗、工资、各项保险、劳动工具、劳保用品、内部管理、各类纠纷等事宜及所涉及经费均由供应商自行负责。 </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6.供应商负责配备用于物业管理服务的设备、机具、用具、易耗品（包括办公用品、清洁耗材、工程维修用具）等，需满足服务实际需要以及采购人规定要求。</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合同签订后7日内，物业须全员到岗、统一着装（工作服费用由供应商负责）、持证挂牌，完成办公区、公共区域、活动区域等全部区域保洁及设备调试，建立客服、会务、体育器材台账并上墙公示，确保服务中心按时开放。</w:t>
            </w:r>
            <w:r>
              <w:rPr>
                <w:rFonts w:hint="eastAsia" w:ascii="宋体" w:hAnsi="宋体" w:eastAsia="宋体" w:cs="宋体"/>
                <w:color w:val="000000"/>
                <w:sz w:val="24"/>
                <w:szCs w:val="24"/>
                <w:highlight w:val="none"/>
                <w:lang w:val="en-US" w:eastAsia="zh-CN"/>
              </w:rPr>
            </w:r>
            <w:r/>
          </w:p>
        </w:tc>
      </w:tr>
    </w:tbl>
    <w:p>
      <w:pPr>
        <w:pStyle w:val="869"/>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（1）供应商根据本项目采购需求和自身实际填报《磋商分项报价表》（格式见第六章），其中“人工成本”须填报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869"/>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w:t>
      </w:r>
      <w:r>
        <w:rPr>
          <w:rFonts w:hint="eastAsia" w:ascii="宋体" w:hAnsi="宋体" w:eastAsia="宋体" w:cs="Times New Roman"/>
          <w:b/>
          <w:bCs w:val="0"/>
          <w:color w:val="000000"/>
          <w:sz w:val="24"/>
          <w:szCs w:val="24"/>
          <w:highlight w:val="none"/>
          <w:lang w:val="en-US" w:eastAsia="zh-CN"/>
        </w:rPr>
        <w:t xml:space="preserve">定节假日安排工作的，供应商应依法支付高于劳动者正常工作时间工资的工资报酬，并测算到磋商报价中。本项目物业管理服务需安排周末值班：周六在岗人员不少于8人，周日在岗人员不少于7人（即</w:t>
      </w:r>
      <w:r>
        <w:rPr>
          <w:rFonts w:hint="eastAsia" w:ascii="宋体" w:hAnsi="宋体" w:eastAsia="宋体" w:cs="Times New Roman"/>
          <w:b/>
          <w:bCs w:val="0"/>
          <w:color w:val="000000"/>
          <w:sz w:val="24"/>
          <w:szCs w:val="24"/>
          <w:highlight w:val="none"/>
          <w:lang w:val="en-US" w:eastAsia="zh-CN"/>
        </w:rPr>
        <w:t xml:space="preserve">每周</w:t>
      </w:r>
      <w:r>
        <w:rPr>
          <w:rFonts w:hint="eastAsia" w:ascii="宋体" w:hAnsi="宋体" w:eastAsia="宋体" w:cs="Times New Roman"/>
          <w:b/>
          <w:bCs w:val="0"/>
          <w:color w:val="000000"/>
          <w:sz w:val="24"/>
          <w:szCs w:val="24"/>
          <w:highlight w:val="none"/>
          <w:lang w:val="en-US" w:eastAsia="zh-CN"/>
        </w:rPr>
        <w:t xml:space="preserve">全员加班一天）；周六、周日在岗人员配置类别保持一致。周末值班人员实行轮班制，周末加班费用须按合同履行期内周末天数（52周/年）进行测算，报价中的“周末加班工资”</w:t>
      </w:r>
      <w:r>
        <w:rPr>
          <w:rFonts w:hint="eastAsia" w:ascii="宋体" w:hAnsi="宋体" w:eastAsia="宋体" w:cs="宋体"/>
          <w:b/>
          <w:bCs/>
          <w:i w:val="0"/>
          <w:iCs w:val="0"/>
          <w:color w:val="000000"/>
          <w:sz w:val="24"/>
          <w:szCs w:val="24"/>
          <w:highlight w:val="none"/>
          <w:u w:val="none"/>
          <w:lang w:val="en-US" w:eastAsia="zh-CN"/>
        </w:rPr>
        <w:t xml:space="preserve">不得低于上述要求；法定节假日在岗人员不少于9人，在岗人员包含：会务客服2名、保洁主管1名、保洁员 3 名、弱电技工1名、综合工程员 1 名、文员类岗位人员 1 名。法定节假日值班人员实行轮班制，加班费用须按合同履行期内法定节假日天数（13天/年）进行测算</w:t>
      </w:r>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869"/>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869"/>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31" w:name="OLE_LINK9"/>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rPr>
      </w:pPr>
      <w:r/>
      <w:bookmarkEnd w:id="131"/>
      <w:r>
        <w:rPr>
          <w:rFonts w:hint="eastAsia" w:ascii="宋体" w:hAnsi="宋体" w:eastAsia="宋体" w:cs="宋体"/>
          <w:b/>
          <w:bCs/>
          <w:color w:val="000000"/>
          <w:sz w:val="24"/>
          <w:szCs w:val="24"/>
          <w:highlight w:val="none"/>
        </w:rPr>
        <w:t xml:space="preserve">合同签订前，</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供应商应提供人员清单、依法订立的劳动合同、社保公积金缴纳证明等材料供采购人核验，否则采购人有权取消其</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资格，并依法追究相应责任。</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w:t>
      </w:r>
      <w:r>
        <w:rPr>
          <w:rFonts w:hint="eastAsia" w:ascii="宋体" w:hAnsi="宋体" w:eastAsia="宋体" w:cs="宋体"/>
          <w:b/>
          <w:bCs/>
          <w:color w:val="000000"/>
          <w:sz w:val="24"/>
          <w:szCs w:val="24"/>
          <w:highlight w:val="none"/>
        </w:rPr>
        <w:t xml:space="preserve">合同履行期间，如遇最低工资、社保和公积金等政策调整，对</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869"/>
        <w:numPr>
          <w:ilvl w:val="0"/>
          <w:numId w:val="0"/>
        </w:numPr>
        <w:ind w:firstLine="480"/>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清洁耗材费。清洁耗材包括但不限于扫把、地推、垃圾袋、抽纸、洗手液、厕所卷纸、消毒液、洁厕灵等。</w:t>
      </w:r>
      <w:r>
        <w:rPr>
          <w:rFonts w:hint="eastAsia" w:ascii="宋体" w:hAnsi="宋体" w:eastAsia="宋体" w:cs="宋体"/>
          <w:b/>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要求</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color w:val="000000"/>
          <w:sz w:val="24"/>
          <w:szCs w:val="24"/>
          <w:highlight w:val="none"/>
          <w:u w:val="none"/>
          <w:lang w:val="en-US" w:eastAsia="zh-CN"/>
        </w:rPr>
        <w:t xml:space="preserve">）种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t xml:space="preserve">。</w:t>
      </w:r>
      <w:r>
        <w:rPr>
          <w:rFonts w:hint="eastAsia" w:ascii="宋体" w:hAnsi="宋体" w:eastAsia="宋体" w:cs="Times New Roman"/>
          <w:bCs w:val="0"/>
          <w:color w:val="000000"/>
          <w:sz w:val="24"/>
          <w:szCs w:val="24"/>
          <w:highlight w:val="none"/>
          <w:lang w:val="en-US" w:eastAsia="zh-CN"/>
        </w:rPr>
      </w:r>
      <w:r/>
    </w:p>
    <w:p>
      <w:pPr>
        <w:pStyle w:val="869"/>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highlight w:val="none"/>
          <w:lang w:val="en-US" w:eastAsia="zh-CN"/>
        </w:rPr>
        <w:t xml:space="preserve">可以与采购人协商，由采购人承担相关费用。</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4.考核要求（考核细则详见本章附件）</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实行百分制考核（《考核标准》详见本章附件）。采购人对供应商按月开展考核，连续三个月月度考核得分的平均值作为季度考核结果；四个季度考核结果，作为供应商年度履约考核的依据。月度考核仅作为过程记录，考核扣款统一在季度款项支付时核算扣减。</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 考核处理办法</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（1）季度考核对应的三个月月度扣减分数均值在10分（含10分）以内，视为该季度考评达标，采购人支付该季度物业管理费的100%。</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季度考核对应的三个月月度扣减分数均值大于10分、且≤15分（含15分）：采购人足额支付本季度物业管理费，给予供应商1个月整改期限。若下一季度考核仍不达标，采购人扣减该季度物业管理费的3%，并要求供应商继续整改；自第三个季度起仍未达标的，采购人扣减该季度物业管理费的5%，直至季度考核达标为止。</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（3）季度考核对应的三个月月度扣减分数均值大于15分、且≤20分（含20分），采购人扣减本季度物业管理费的2%。</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季度考核对应的三个月月度扣减分数均值超过20分，采购人扣减本季度物业管理费的5%；若供应商连续3个季度考评扣减分数均值均超过20分，视为供应商违约，采购人有权单方解除合同。如给采购人造成经济损失的，供应商应当予以赔偿，并承担相应法律责任。</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4.3 采购人结合每月物业服务管理情况，开展督查考核，每月监督检查不少于1次。采购人每月出具的月度服务质量考核记录，作为季度考核的基础依据；考核产生的扣减费用，在对应季度合同款项支付时统一扣除。</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4.4奖励：</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（1）获采购人书面表扬，相关人员每次</w:t>
      </w:r>
      <w:r>
        <w:rPr>
          <w:rFonts w:hint="eastAsia" w:ascii="宋体" w:hAnsi="宋体" w:eastAsia="宋体" w:cs="Times New Roman"/>
          <w:color w:val="000000"/>
          <w:sz w:val="24"/>
          <w:szCs w:val="24"/>
          <w:highlight w:val="none"/>
          <w:lang w:val="en-US" w:eastAsia="zh-CN"/>
        </w:rPr>
        <w:t xml:space="preserve">记</w:t>
      </w:r>
      <w:r>
        <w:rPr>
          <w:rFonts w:hint="eastAsia" w:ascii="宋体" w:hAnsi="宋体" w:eastAsia="宋体" w:cs="Times New Roman"/>
          <w:color w:val="000000"/>
          <w:sz w:val="24"/>
          <w:szCs w:val="24"/>
          <w:highlight w:val="none"/>
          <w:lang w:val="en-US" w:eastAsia="zh-CN"/>
        </w:rPr>
        <w:t xml:space="preserve">1分，获得锦旗表扬</w:t>
      </w:r>
      <w:r>
        <w:rPr>
          <w:rFonts w:hint="eastAsia" w:ascii="宋体" w:hAnsi="宋体" w:eastAsia="宋体" w:cs="Times New Roman"/>
          <w:color w:val="000000"/>
          <w:sz w:val="24"/>
          <w:szCs w:val="24"/>
          <w:highlight w:val="none"/>
          <w:lang w:val="en-US" w:eastAsia="zh-CN"/>
        </w:rPr>
        <w:t xml:space="preserve">记</w:t>
      </w:r>
      <w:r>
        <w:rPr>
          <w:rFonts w:hint="eastAsia" w:ascii="宋体" w:hAnsi="宋体" w:eastAsia="宋体" w:cs="Times New Roman"/>
          <w:color w:val="000000"/>
          <w:sz w:val="24"/>
          <w:szCs w:val="24"/>
          <w:highlight w:val="none"/>
          <w:lang w:val="en-US" w:eastAsia="zh-CN"/>
        </w:rPr>
        <w:t xml:space="preserve">2分；</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（2）拾金不昧影响大的</w:t>
      </w:r>
      <w:r>
        <w:rPr>
          <w:rFonts w:hint="eastAsia" w:ascii="宋体" w:hAnsi="宋体" w:eastAsia="宋体" w:cs="Times New Roman"/>
          <w:color w:val="000000"/>
          <w:sz w:val="24"/>
          <w:szCs w:val="24"/>
          <w:highlight w:val="none"/>
          <w:lang w:val="en-US" w:eastAsia="zh-CN"/>
        </w:rPr>
        <w:t xml:space="preserve">相关人员</w:t>
      </w:r>
      <w:r>
        <w:rPr>
          <w:rFonts w:hint="eastAsia" w:ascii="宋体" w:hAnsi="宋体" w:eastAsia="宋体" w:cs="Times New Roman"/>
          <w:color w:val="000000"/>
          <w:sz w:val="24"/>
          <w:szCs w:val="24"/>
          <w:highlight w:val="none"/>
          <w:lang w:val="en-US" w:eastAsia="zh-CN"/>
        </w:rPr>
        <w:t xml:space="preserve">记</w:t>
      </w:r>
      <w:r>
        <w:rPr>
          <w:rFonts w:hint="eastAsia" w:ascii="宋体" w:hAnsi="宋体" w:eastAsia="宋体" w:cs="Times New Roman"/>
          <w:color w:val="000000"/>
          <w:sz w:val="24"/>
          <w:szCs w:val="24"/>
          <w:highlight w:val="none"/>
          <w:lang w:val="en-US" w:eastAsia="zh-CN"/>
        </w:rPr>
        <w:t xml:space="preserve">2分；</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（3）其它奖惩以及相关细则经采购人研究，酌情给予奖励。</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5.履约保证金</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内容</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6.保密要求</w:t>
      </w:r>
      <w:r>
        <w:rPr>
          <w:rFonts w:ascii="宋体" w:hAnsi="宋体" w:eastAsia="宋体" w:cs="宋体"/>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保密义务：本合同履行期间所涉及的南京市秦淮区军队离休退休干部相关信息应保密，供应商在合同履行过程中，不得刺探任何与物业服务无关的秘密；不得向第三方泄露采购人的保密事项；不得私自备份采购人提供的资料，对所接触信息有无限期保密义务。如供应商违反上述保密义务，承担相应违约责任，一次性向采购人支付违约金人民币壹拾万元；采购人有权视情节轻重，根据国家有关法律、法规追究有关责任人员的法律责任（签订合同时提供保密承诺书并加盖公章，格式详见附件2）。</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r>
      <w:r/>
    </w:p>
    <w:p>
      <w:pPr>
        <w:pStyle w:val="86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69"/>
        <w:ind w:firstLine="482"/>
        <w:rPr>
          <w:rFonts w:hint="eastAsia" w:ascii="宋体" w:hAnsi="宋体" w:cs="宋体"/>
          <w:b/>
          <w:bCs/>
          <w:color w:val="0000ff"/>
          <w:sz w:val="24"/>
          <w:szCs w:val="24"/>
        </w:rPr>
      </w:pPr>
      <w:r>
        <w:rPr>
          <w:rFonts w:hint="eastAsia" w:ascii="宋体" w:hAnsi="宋体" w:cs="宋体"/>
          <w:b/>
          <w:bCs/>
          <w:sz w:val="24"/>
          <w:szCs w:val="24"/>
        </w:rPr>
        <w:t xml:space="preserve">附件：</w:t>
      </w:r>
      <w:r>
        <w:rPr>
          <w:rFonts w:hint="eastAsia" w:ascii="宋体" w:hAnsi="宋体" w:cs="宋体"/>
          <w:b/>
          <w:bCs/>
          <w:color w:val="0000ff"/>
          <w:sz w:val="24"/>
          <w:szCs w:val="24"/>
        </w:rPr>
      </w:r>
      <w:r/>
    </w:p>
    <w:p>
      <w:pPr>
        <w:pStyle w:val="869"/>
        <w:ind w:firstLine="480"/>
        <w:jc w:val="left"/>
        <w:spacing w:line="264" w:lineRule="auto"/>
        <w:rPr>
          <w:rFonts w:ascii="宋体" w:hAnsi="宋体" w:cs="宋体"/>
          <w:color w:val="000000"/>
          <w:sz w:val="24"/>
          <w:szCs w:val="24"/>
        </w:rPr>
      </w:pPr>
      <w:r>
        <w:rPr>
          <w:rFonts w:hint="eastAsia" w:ascii="宋体" w:hAnsi="宋体" w:cs="宋体"/>
          <w:color w:val="000000"/>
          <w:sz w:val="24"/>
          <w:szCs w:val="24"/>
        </w:rPr>
        <w:t xml:space="preserve">1.考核标准</w:t>
      </w:r>
      <w:r>
        <w:rPr>
          <w:rFonts w:ascii="宋体" w:hAnsi="宋体" w:cs="宋体"/>
          <w:color w:val="000000"/>
          <w:sz w:val="24"/>
          <w:szCs w:val="24"/>
        </w:rPr>
      </w:r>
      <w:r/>
    </w:p>
    <w:tbl>
      <w:tblPr>
        <w:tblW w:w="98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6212"/>
        <w:gridCol w:w="1911"/>
        <w:gridCol w:w="933"/>
      </w:tblGrid>
      <w:tr>
        <w:trPr>
          <w:trHeight w:val="620"/>
        </w:trPr>
        <w:tc>
          <w:tcPr>
            <w:gridSpan w:val="4"/>
            <w:tcW w:w="9800" w:type="dxa"/>
            <w:vAlign w:val="center"/>
            <w:textDirection w:val="lrTb"/>
            <w:noWrap/>
          </w:tcPr>
          <w:p>
            <w:pPr>
              <w:pStyle w:val="869"/>
              <w:jc w:val="center"/>
              <w:widowControl/>
              <w:rPr>
                <w:rFonts w:ascii="宋体" w:hAnsi="宋体" w:cs="宋体"/>
                <w:b/>
                <w:bCs/>
                <w:color w:val="000000"/>
              </w:rPr>
            </w:pPr>
            <w:r>
              <w:rPr>
                <w:rFonts w:hint="eastAsia" w:ascii="宋体" w:hAnsi="宋体" w:cs="宋体"/>
                <w:b/>
                <w:bCs/>
                <w:color w:val="000000"/>
              </w:rPr>
              <w:t xml:space="preserve">考核打分表</w:t>
            </w:r>
            <w:r>
              <w:rPr>
                <w:rFonts w:ascii="宋体" w:hAnsi="宋体" w:cs="宋体"/>
                <w:b/>
                <w:bCs/>
                <w:color w:val="000000"/>
              </w:rPr>
            </w:r>
            <w:r/>
          </w:p>
        </w:tc>
      </w:tr>
      <w:tr>
        <w:trPr>
          <w:trHeight w:val="522"/>
        </w:trPr>
        <w:tc>
          <w:tcPr>
            <w:gridSpan w:val="2"/>
            <w:tcW w:w="6956" w:type="dxa"/>
            <w:vAlign w:val="center"/>
            <w:textDirection w:val="lrTb"/>
            <w:noWrap/>
          </w:tcPr>
          <w:p>
            <w:pPr>
              <w:pStyle w:val="869"/>
              <w:jc w:val="left"/>
              <w:widowControl/>
              <w:rPr>
                <w:rFonts w:ascii="宋体" w:hAnsi="宋体" w:cs="宋体"/>
                <w:b/>
                <w:bCs/>
                <w:color w:val="000000"/>
              </w:rPr>
            </w:pPr>
            <w:r>
              <w:rPr>
                <w:rFonts w:hint="eastAsia" w:ascii="宋体" w:hAnsi="宋体" w:cs="宋体"/>
                <w:b/>
                <w:bCs/>
                <w:color w:val="000000"/>
              </w:rPr>
              <w:t xml:space="preserve">评估时间段： 年 月 日 至 年 月 日</w:t>
            </w:r>
            <w:r>
              <w:rPr>
                <w:rFonts w:ascii="宋体" w:hAnsi="宋体" w:cs="宋体"/>
                <w:b/>
                <w:bCs/>
                <w:color w:val="000000"/>
              </w:rPr>
            </w:r>
            <w:r/>
          </w:p>
        </w:tc>
        <w:tc>
          <w:tcPr>
            <w:gridSpan w:val="2"/>
            <w:tcW w:w="2844" w:type="dxa"/>
            <w:vAlign w:val="center"/>
            <w:textDirection w:val="lrTb"/>
            <w:noWrap/>
          </w:tcPr>
          <w:p>
            <w:pPr>
              <w:pStyle w:val="869"/>
              <w:jc w:val="left"/>
              <w:widowControl/>
              <w:rPr>
                <w:rFonts w:ascii="宋体" w:hAnsi="宋体" w:cs="宋体"/>
                <w:b/>
                <w:bCs/>
                <w:color w:val="000000"/>
              </w:rPr>
            </w:pPr>
            <w:r>
              <w:rPr>
                <w:rFonts w:hint="eastAsia" w:ascii="宋体" w:hAnsi="宋体" w:cs="宋体"/>
                <w:b/>
                <w:bCs/>
                <w:color w:val="000000"/>
              </w:rPr>
              <w:t xml:space="preserve">评估时间：</w:t>
            </w:r>
            <w:r>
              <w:rPr>
                <w:rFonts w:ascii="宋体" w:hAnsi="宋体" w:cs="宋体"/>
                <w:b/>
                <w:bCs/>
                <w:color w:val="000000"/>
              </w:rPr>
            </w:r>
            <w:r/>
          </w:p>
        </w:tc>
      </w:tr>
      <w:tr>
        <w:trPr>
          <w:trHeight w:val="500"/>
        </w:trPr>
        <w:tc>
          <w:tcPr>
            <w:tcW w:w="744" w:type="dxa"/>
            <w:vAlign w:val="center"/>
            <w:textDirection w:val="lrTb"/>
            <w:noWrap/>
          </w:tcPr>
          <w:p>
            <w:pPr>
              <w:pStyle w:val="869"/>
              <w:jc w:val="center"/>
              <w:widowControl/>
              <w:rPr>
                <w:rFonts w:ascii="宋体" w:hAnsi="宋体" w:cs="宋体"/>
                <w:b/>
                <w:bCs/>
                <w:color w:val="000000"/>
              </w:rPr>
            </w:pPr>
            <w:r>
              <w:rPr>
                <w:rFonts w:hint="eastAsia" w:ascii="宋体" w:hAnsi="宋体" w:cs="宋体"/>
                <w:b/>
                <w:bCs/>
                <w:color w:val="000000"/>
              </w:rPr>
              <w:t xml:space="preserve">评估项目</w:t>
            </w:r>
            <w:r>
              <w:rPr>
                <w:rFonts w:ascii="宋体" w:hAnsi="宋体" w:cs="宋体"/>
                <w:b/>
                <w:bCs/>
                <w:color w:val="000000"/>
              </w:rPr>
            </w:r>
            <w:r/>
          </w:p>
        </w:tc>
        <w:tc>
          <w:tcPr>
            <w:tcW w:w="6212" w:type="dxa"/>
            <w:vAlign w:val="center"/>
            <w:textDirection w:val="lrTb"/>
            <w:noWrap/>
          </w:tcPr>
          <w:p>
            <w:pPr>
              <w:pStyle w:val="869"/>
              <w:jc w:val="center"/>
              <w:widowControl/>
              <w:rPr>
                <w:rFonts w:ascii="宋体" w:hAnsi="宋体" w:cs="宋体"/>
                <w:b/>
                <w:bCs/>
                <w:color w:val="000000"/>
              </w:rPr>
            </w:pPr>
            <w:r>
              <w:rPr>
                <w:rFonts w:hint="eastAsia" w:ascii="宋体" w:hAnsi="宋体" w:cs="宋体"/>
                <w:b/>
                <w:bCs/>
                <w:color w:val="000000"/>
              </w:rPr>
              <w:t xml:space="preserve">标准内容</w:t>
            </w:r>
            <w:r>
              <w:rPr>
                <w:rFonts w:ascii="宋体" w:hAnsi="宋体" w:cs="宋体"/>
                <w:b/>
                <w:bCs/>
                <w:color w:val="000000"/>
              </w:rPr>
            </w:r>
            <w:r/>
          </w:p>
        </w:tc>
        <w:tc>
          <w:tcPr>
            <w:tcW w:w="1911" w:type="dxa"/>
            <w:vAlign w:val="center"/>
            <w:textDirection w:val="lrTb"/>
            <w:noWrap/>
          </w:tcPr>
          <w:p>
            <w:pPr>
              <w:pStyle w:val="869"/>
              <w:jc w:val="center"/>
              <w:widowControl/>
              <w:rPr>
                <w:rFonts w:ascii="宋体" w:hAnsi="宋体" w:cs="宋体"/>
                <w:b/>
                <w:bCs/>
                <w:color w:val="000000"/>
              </w:rPr>
            </w:pPr>
            <w:r>
              <w:rPr>
                <w:rFonts w:hint="eastAsia" w:ascii="宋体" w:hAnsi="宋体" w:cs="宋体"/>
                <w:b/>
                <w:bCs/>
                <w:color w:val="000000"/>
              </w:rPr>
              <w:t xml:space="preserve">评分细则</w:t>
            </w:r>
            <w:r>
              <w:rPr>
                <w:rFonts w:ascii="宋体" w:hAnsi="宋体" w:cs="宋体"/>
                <w:b/>
                <w:bCs/>
                <w:color w:val="000000"/>
              </w:rPr>
            </w:r>
            <w:r/>
          </w:p>
        </w:tc>
        <w:tc>
          <w:tcPr>
            <w:tcW w:w="933" w:type="dxa"/>
            <w:vAlign w:val="center"/>
            <w:textDirection w:val="lrTb"/>
            <w:noWrap/>
          </w:tcPr>
          <w:p>
            <w:pPr>
              <w:pStyle w:val="869"/>
              <w:jc w:val="center"/>
              <w:widowControl/>
              <w:rPr>
                <w:rFonts w:ascii="宋体" w:hAnsi="宋体" w:cs="宋体"/>
                <w:b/>
                <w:bCs/>
                <w:color w:val="000000"/>
              </w:rPr>
            </w:pPr>
            <w:r>
              <w:rPr>
                <w:rFonts w:hint="eastAsia" w:ascii="宋体" w:hAnsi="宋体" w:cs="宋体"/>
                <w:b/>
                <w:bCs/>
                <w:color w:val="000000"/>
              </w:rPr>
              <w:t xml:space="preserve">考评分</w:t>
            </w:r>
            <w:r>
              <w:rPr>
                <w:rFonts w:ascii="宋体" w:hAnsi="宋体" w:cs="宋体"/>
                <w:b/>
                <w:bCs/>
                <w:color w:val="000000"/>
              </w:rPr>
            </w:r>
            <w:r/>
          </w:p>
        </w:tc>
      </w:tr>
      <w:tr>
        <w:trPr>
          <w:trHeight w:val="880"/>
        </w:trPr>
        <w:tc>
          <w:tcPr>
            <w:tcW w:w="744" w:type="dxa"/>
            <w:vAlign w:val="center"/>
            <w:vMerge w:val="restart"/>
            <w:textDirection w:val="lrTb"/>
            <w:noWrap/>
          </w:tcPr>
          <w:p>
            <w:pPr>
              <w:pStyle w:val="869"/>
              <w:jc w:val="center"/>
              <w:widowControl/>
              <w:rPr>
                <w:rFonts w:ascii="宋体" w:hAnsi="宋体" w:cs="宋体"/>
                <w:b/>
                <w:bCs/>
                <w:color w:val="000000"/>
              </w:rPr>
            </w:pPr>
            <w:r>
              <w:rPr>
                <w:rFonts w:hint="eastAsia" w:ascii="宋体" w:hAnsi="宋体" w:cs="宋体"/>
                <w:b/>
                <w:bCs/>
                <w:color w:val="000000"/>
              </w:rPr>
              <w:t xml:space="preserve">组织有力（10分）</w:t>
            </w:r>
            <w:r>
              <w:rPr>
                <w:rFonts w:ascii="宋体" w:hAnsi="宋体" w:cs="宋体"/>
                <w:b/>
                <w:bCs/>
                <w:color w:val="000000"/>
              </w:rPr>
            </w:r>
            <w:r/>
          </w:p>
        </w:tc>
        <w:tc>
          <w:tcPr>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1、岗位设置合理，有明确的职责，工作流程完整、科学、可行，针对物业工作事项及作息时间规划客观、明确，不仅符合项目需求，而且符合优质服务的需要，专业人员持证上岗（如有）,上岗仪表、行为、态度等有统一标准、规范，有完善的培训方案及管理机制。（5分）</w:t>
            </w:r>
            <w:r>
              <w:rPr>
                <w:rFonts w:ascii="宋体" w:hAnsi="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有一项不合理的扣1分。</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74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2、安全管理、卫生管理、设备管理等制度完善，交接班制度及方案切实可行、人员考核有完善的标准、措施、奖罚淘汰机制完善。（5分）</w:t>
            </w:r>
            <w:r>
              <w:rPr>
                <w:rFonts w:ascii="宋体" w:hAnsi="宋体" w:cs="宋体"/>
                <w:color w:val="000000"/>
              </w:rPr>
            </w:r>
            <w:r/>
          </w:p>
        </w:tc>
        <w:tc>
          <w:tcPr>
            <w:shd w:val="clear" w:color="auto" w:fill="ffffff"/>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有一项不合理的扣1分。</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740"/>
        </w:trPr>
        <w:tc>
          <w:tcPr>
            <w:tcW w:w="744" w:type="dxa"/>
            <w:vAlign w:val="center"/>
            <w:vMerge w:val="restart"/>
            <w:textDirection w:val="lrTb"/>
            <w:noWrap/>
          </w:tcPr>
          <w:p>
            <w:pPr>
              <w:pStyle w:val="869"/>
              <w:jc w:val="center"/>
              <w:widowControl/>
              <w:rPr>
                <w:rFonts w:ascii="宋体" w:hAnsi="宋体" w:cs="宋体"/>
                <w:b/>
                <w:bCs/>
                <w:color w:val="000000"/>
              </w:rPr>
            </w:pPr>
            <w:r>
              <w:rPr>
                <w:rFonts w:hint="eastAsia" w:ascii="宋体" w:hAnsi="宋体" w:cs="宋体"/>
                <w:b/>
                <w:bCs/>
                <w:color w:val="000000"/>
              </w:rPr>
              <w:t xml:space="preserve">履约尽责（80分）</w:t>
            </w:r>
            <w:r>
              <w:rPr>
                <w:rFonts w:ascii="宋体" w:hAnsi="宋体" w:cs="宋体"/>
                <w:b/>
                <w:bCs/>
                <w:color w:val="000000"/>
              </w:rPr>
            </w:r>
            <w:r/>
          </w:p>
        </w:tc>
        <w:tc>
          <w:tcPr>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1、公用设施和附属建筑物的保洁（包括垃圾桶、路灯、消防栓、电闸箱、室外标志灯等），卫生保洁要错开上下班高峰期。公共场</w:t>
            </w:r>
            <w:r>
              <w:rPr>
                <w:rFonts w:hint="eastAsia" w:ascii="宋体" w:hAnsi="宋体" w:cs="宋体"/>
                <w:color w:val="000000"/>
              </w:rPr>
              <w:t xml:space="preserve">所保洁（包括大厅、走廊、栏杆、通道、电梯、楼梯、卫生间、杂物间等）。保持清洁，地面无纸屑、烟头、杂物等废弃物，楼道、扶手和栏杆干净无灰尘，公共门窗和墙壁无积尘和蜘蛛网，全日保洁，建筑外立面墙体和玻璃（2米以下）干净铮亮无污迹。垃圾日清，垃圾桶、箱外表干净，无异味。每日收集垃圾一次，领导办公室每日两次，公共卫生间每日定时收集，不得超过垃圾桶2/3处，垃圾桶内垃圾容量不得超过垃圾桶的2/3，垃圾按指定地点投放；在梅雨季节、夏季，根据实际情况每日对垃圾可收集两次；垃圾实行分类管理，垃圾桶、箱，表面无污渍。（8分）</w:t>
            </w:r>
            <w:r>
              <w:rPr>
                <w:rFonts w:ascii="宋体" w:hAnsi="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78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2、人员物资出入管理，服务人员要做好各类来访人员的身份的登记、引导与核实，负责停车场的管理，不可乱停或挡住消防通道。（8分）</w:t>
            </w:r>
            <w:r>
              <w:rPr>
                <w:rFonts w:ascii="宋体" w:hAnsi="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56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hint="eastAsia" w:ascii="宋体" w:hAnsi="宋体" w:cs="宋体"/>
                <w:color w:val="000000"/>
              </w:rPr>
            </w:pPr>
            <w:r>
              <w:rPr>
                <w:rFonts w:hint="eastAsia" w:ascii="宋体" w:hAnsi="宋体" w:cs="宋体"/>
                <w:color w:val="000000"/>
              </w:rPr>
              <w:t xml:space="preserve">3、服务团队须对项目院落、办公楼、辅楼、配电房等全部服务区域开展常态化安全巡检与设施巡查工作，全面排查安全隐患、设施故障、环境卫生异常等问题，保障院区整体安全、有序、稳定运行。</w:t>
            </w:r>
            <w:r>
              <w:rPr>
                <w:rFonts w:hint="eastAsia" w:ascii="宋体" w:hAnsi="宋体" w:cs="宋体"/>
                <w:color w:val="000000"/>
              </w:rPr>
            </w:r>
            <w:r/>
          </w:p>
          <w:p>
            <w:pPr>
              <w:pStyle w:val="869"/>
              <w:jc w:val="left"/>
              <w:widowControl/>
              <w:rPr>
                <w:rFonts w:hint="eastAsia" w:ascii="宋体" w:hAnsi="宋体" w:cs="宋体"/>
                <w:color w:val="000000"/>
              </w:rPr>
            </w:pPr>
            <w:r>
              <w:rPr>
                <w:rFonts w:hint="eastAsia" w:ascii="宋体" w:hAnsi="宋体" w:cs="宋体"/>
                <w:color w:val="000000"/>
              </w:rPr>
              <w:t xml:space="preserve">严格落实日常巡检制度，重点加强夜间巡检工作，每日 20:00 至次日 07:00 期间至少每 1 小时开展一次全覆盖巡查，认真做好巡检台账、巡查记录及问题登记备案。及时排查、整改各类安全隐患，杜绝火灾、设施损坏、安全事故等情况发生。</w:t>
            </w:r>
            <w:r>
              <w:rPr>
                <w:rFonts w:hint="eastAsia" w:ascii="宋体" w:hAnsi="宋体" w:cs="宋体"/>
                <w:color w:val="000000"/>
              </w:rPr>
            </w:r>
            <w:r/>
          </w:p>
          <w:p>
            <w:pPr>
              <w:pStyle w:val="869"/>
              <w:jc w:val="left"/>
              <w:widowControl/>
              <w:rPr>
                <w:rFonts w:ascii="宋体" w:hAnsi="宋体" w:cs="宋体"/>
                <w:color w:val="000000"/>
              </w:rPr>
            </w:pPr>
            <w:r>
              <w:rPr>
                <w:rFonts w:hint="eastAsia" w:ascii="宋体" w:hAnsi="宋体" w:cs="宋体"/>
                <w:color w:val="000000"/>
              </w:rPr>
              <w:t xml:space="preserve">建立完善应急处置机制，针对突发设备故障、安全隐患、突发事件等情况做到响应迅速、处置规范，及时上报采购人并做好现场保护、问题处置工作，突发事件处理及时率 100%，确保事态不扩大、不蔓延，保障项目办公秩序与院区安全稳定。在巡检过程中，对已经发生的不法侵害案件或灾害事故，应及时报告采购人并保护现场。（8分）</w:t>
            </w:r>
            <w:r>
              <w:rPr>
                <w:rFonts w:ascii="宋体" w:hAnsi="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54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4、会议室、接待室、领导办公室及各楼层科室的日常保洁保养。领导办公室实行零干扰服务，于每日8:00前完成保洁。办公楼大厅及公共走道地面的日常保洁保养。办公楼楼梯道走廊地面干爽洁净，无污渍、积水、杂物等，办公楼大厅地面铮亮无污染，玻璃门窗每半年擦拭一次，无积尘污迹，厅内饮用水具、沙发等设施整洁、墙壁、灯具、顶部无积尘污迹。</w:t>
            </w:r>
            <w:r>
              <w:rPr>
                <w:rFonts w:ascii="宋体" w:hAnsi="宋体" w:cs="宋体"/>
                <w:color w:val="000000"/>
              </w:rPr>
            </w:r>
            <w:r/>
          </w:p>
          <w:p>
            <w:pPr>
              <w:pStyle w:val="869"/>
              <w:jc w:val="left"/>
              <w:widowControl/>
              <w:rPr>
                <w:rFonts w:ascii="宋体" w:hAnsi="宋体" w:cs="宋体"/>
                <w:color w:val="000000"/>
              </w:rPr>
            </w:pPr>
            <w:r>
              <w:rPr>
                <w:rFonts w:hint="eastAsia" w:ascii="宋体" w:hAnsi="宋体" w:cs="宋体"/>
                <w:color w:val="000000"/>
              </w:rPr>
              <w:t xml:space="preserve">（8分）</w:t>
            </w:r>
            <w:r>
              <w:rPr>
                <w:rFonts w:ascii="宋体" w:hAnsi="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9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hint="eastAsia" w:ascii="宋体" w:hAnsi="宋体" w:eastAsia="宋体" w:cs="宋体"/>
                <w:color w:val="000000"/>
              </w:rPr>
            </w:pPr>
            <w:r>
              <w:rPr>
                <w:rFonts w:hint="eastAsia" w:ascii="宋体" w:hAnsi="宋体" w:eastAsia="宋体" w:cs="宋体"/>
                <w:color w:val="000000"/>
              </w:rPr>
              <w:t xml:space="preserve">5、卫生间日常巡视保洁。卫生间需制定保洁巡逻签到制度，卫生用品随时补齐，随时清扫，做到地面清洁，无污迹、无积水、无异味，下水道畅通，墙面及镜面干净整洁。清理、疏通室内外沟渠、公共雨污水管道、卫生间、下水道等。每季度清掏一次疏通所有排水管道、窨井，每半年清运一次化粪池，确保院内及大楼排水管、下水道等室内外沟渠保持畅通。（8分）</w:t>
            </w:r>
            <w:r>
              <w:rPr>
                <w:rFonts w:hint="eastAsia" w:ascii="宋体" w:hAnsi="宋体" w:eastAsia="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54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hint="eastAsia" w:ascii="宋体" w:hAnsi="宋体" w:eastAsia="宋体" w:cs="宋体"/>
                <w:color w:val="000000"/>
              </w:rPr>
            </w:pPr>
            <w:r>
              <w:rPr>
                <w:rFonts w:hint="eastAsia" w:ascii="宋体" w:hAnsi="宋体" w:eastAsia="宋体" w:cs="宋体"/>
                <w:color w:val="000000"/>
              </w:rPr>
              <w:t xml:space="preserve">6、全体物业服务人员在岗执勤期间需仪表端正、精神饱满、举止文明。工作时间统一着岗位制式工作服，着装干净整洁、规范穿戴，不得混穿便服、不同季节工装混穿；不得披衣、敞怀、挽袖、卷裤腿，规范佩戴岗位标识，禁止拖鞋、赤足、歪戴帽等不规范着装行为。</w:t>
            </w:r>
            <w:r>
              <w:rPr>
                <w:rFonts w:hint="eastAsia" w:ascii="宋体" w:hAnsi="宋体" w:eastAsia="宋体" w:cs="宋体"/>
                <w:color w:val="000000"/>
              </w:rPr>
            </w:r>
            <w:r/>
          </w:p>
          <w:p>
            <w:pPr>
              <w:pStyle w:val="869"/>
              <w:jc w:val="left"/>
              <w:widowControl/>
              <w:rPr>
                <w:rFonts w:hint="eastAsia" w:ascii="宋体" w:hAnsi="宋体" w:eastAsia="宋体" w:cs="宋体"/>
                <w:color w:val="000000"/>
              </w:rPr>
            </w:pPr>
            <w:r>
              <w:rPr>
                <w:rFonts w:hint="eastAsia" w:ascii="宋体" w:hAnsi="宋体" w:eastAsia="宋体" w:cs="宋体"/>
                <w:color w:val="000000"/>
              </w:rPr>
              <w:t xml:space="preserve">在岗期间姿态端正、动作规范，严禁袖手、手插衣袋、搭肩挽臂、嬉戏打闹；禁止边走边吸烟、进食、闲谈嬉闹、串岗离岗；严禁随地吐痰、乱扔杂物，自觉维护现场整洁有序，树立良好物业服务形象。（8分）</w:t>
            </w:r>
            <w:r>
              <w:rPr>
                <w:rFonts w:hint="eastAsia" w:ascii="宋体" w:hAnsi="宋体" w:eastAsia="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78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7、消防监控服务人员应实时监控，消防监控系统需24小时不间断运行，24小时人员值守，确保对所有消防设施的状态进行实时监控。做好定期巡检，定期对消防设备进行巡检，检查设备的运行状态，确保其正常工作。根据设备使用情况和维保手册，进行定期维护保养，包括清洁、紧固、润滑等，确保设备处于最佳工作状态。对于出现的设备故障，应立即进行排查和修复，确保设备尽快恢复正常运行。应具备高度的责任意识，认真对待每一项工作，确保消防监控系统的正常运行。（8分）</w:t>
            </w:r>
            <w:r>
              <w:rPr>
                <w:rFonts w:ascii="宋体" w:hAnsi="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54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8、会务服务人员须根据参会人数和形式，按要求进行会标定制、会场布置、</w:t>
            </w:r>
            <w:r>
              <w:rPr>
                <w:rFonts w:hint="eastAsia" w:ascii="宋体" w:hAnsi="宋体" w:cs="宋体"/>
                <w:color w:val="000000"/>
              </w:rPr>
              <w:t xml:space="preserve">文件分装，配备好毛巾等相关物品。一般会议召开前半小时，完成会议室场所及会议主席台、发言席、签到席、横幅（会标）、背景音乐、灯、空调、开水、话筒、音响和多媒体设备准备工作。紧急会议提前十分钟完成灯光、空调、开水、话筒、音响和多媒体设备准备工作。会议召开后，必须有不少于一名服务人员在会场内，为参会人员提供必要的会议服务，包括处理音响影像等设备运行保障。遇保密会议，服务人员须在会议室外本楼层待命，随时响应会务服务，直至会议结束。会议结束后，须做好现场的保洁，及相关设备与物品的清点、归还（归位）、存库等工作（8分）</w:t>
            </w:r>
            <w:r>
              <w:rPr>
                <w:rFonts w:ascii="宋体" w:hAnsi="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56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9、保洁人员须定期对所管理区域实施常规消杀灭“四害”工作。根据季节变化，及时对“四害”开展消杀灭工作；（8分）</w:t>
            </w:r>
            <w:r>
              <w:rPr>
                <w:rFonts w:ascii="宋体" w:hAnsi="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74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10、工程服务人员负责配电房的日常保障和运行管理。高压配电房24小时值守和巡视，负责配电房的运行记录以及资料、图纸的整理、归档、保存工作。按</w:t>
            </w:r>
            <w:r>
              <w:rPr>
                <w:rFonts w:hint="eastAsia" w:ascii="宋体" w:hAnsi="宋体" w:cs="宋体"/>
                <w:color w:val="000000"/>
              </w:rPr>
              <w:t xml:space="preserve">规定配合维保单位做好配电房继电保护、变压器试验、高压隔离开关、避雷器、电容器、接地、安全操作工具等耐压试验。每月至少检测1次所有漏电保护装置、设备、电线等安全情况；加强所有路灯管理，做好路灯定时开关；加强所有楼层配电箱、接电器等检测管理，防止漏电和过载现象。每年须对给水管路、水箱进行防冻维护1次(由物业负责，费用包含在投标总价中)。大雨前须给屋面排水、地下管网排水清理维护1次，做好特大风、雨、雪灾害维护的应急预案。沉积井及管道等无外溢，确保排污系统畅通并合格排污。出现故障，应立即组织抢修，适时报告维修情况。</w:t>
            </w:r>
            <w:r>
              <w:rPr>
                <w:rFonts w:ascii="宋体" w:hAnsi="宋体" w:cs="宋体"/>
                <w:color w:val="000000"/>
              </w:rPr>
            </w:r>
            <w:r/>
          </w:p>
          <w:p>
            <w:pPr>
              <w:pStyle w:val="869"/>
              <w:jc w:val="left"/>
              <w:widowControl/>
              <w:rPr>
                <w:rFonts w:ascii="宋体" w:hAnsi="宋体" w:cs="宋体"/>
                <w:color w:val="000000"/>
              </w:rPr>
            </w:pPr>
            <w:r>
              <w:rPr>
                <w:rFonts w:hint="eastAsia" w:ascii="宋体" w:hAnsi="宋体" w:cs="宋体"/>
                <w:color w:val="000000"/>
              </w:rPr>
              <w:t xml:space="preserve">严格执行报修程序，经采购人确认，对确实需要更换的维修耗材采取“以旧换新,领导批准，领用人签字”的办法（</w:t>
            </w:r>
            <w:r>
              <w:rPr>
                <w:rFonts w:hint="eastAsia"/>
              </w:rPr>
              <w:t xml:space="preserve">2000元以下的零星维修耗材由采购人提供</w:t>
            </w:r>
            <w:r>
              <w:rPr>
                <w:rFonts w:hint="eastAsia" w:ascii="宋体" w:hAnsi="宋体" w:cs="宋体"/>
                <w:color w:val="000000"/>
              </w:rPr>
              <w:t xml:space="preserve">）。（8分）</w:t>
            </w:r>
            <w:r>
              <w:rPr>
                <w:rFonts w:ascii="宋体" w:hAnsi="宋体" w:cs="宋体"/>
                <w:color w:val="000000"/>
              </w:rPr>
            </w:r>
            <w:r/>
          </w:p>
        </w:tc>
        <w:tc>
          <w:tcPr>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90"/>
        </w:trPr>
        <w:tc>
          <w:tcPr>
            <w:tcW w:w="744" w:type="dxa"/>
            <w:vAlign w:val="center"/>
            <w:vMerge w:val="restart"/>
            <w:textDirection w:val="lrTb"/>
            <w:noWrap/>
          </w:tcPr>
          <w:p>
            <w:pPr>
              <w:pStyle w:val="869"/>
              <w:jc w:val="center"/>
              <w:widowControl/>
              <w:rPr>
                <w:rFonts w:ascii="宋体" w:hAnsi="宋体" w:cs="宋体"/>
                <w:b/>
                <w:bCs/>
                <w:color w:val="000000"/>
              </w:rPr>
            </w:pPr>
            <w:r>
              <w:rPr>
                <w:rFonts w:hint="eastAsia" w:ascii="宋体" w:hAnsi="宋体" w:cs="宋体"/>
                <w:b/>
                <w:bCs/>
                <w:color w:val="000000"/>
              </w:rPr>
              <w:t xml:space="preserve">岗位要求（10分）</w:t>
            </w: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1、所有物业服务人员上岗时着装整齐、统一、规范，工作服整洁干净，按标准完成各项任务。（2分）</w:t>
            </w:r>
            <w:r>
              <w:rPr>
                <w:rFonts w:ascii="宋体" w:hAnsi="宋体" w:cs="宋体"/>
                <w:color w:val="000000"/>
              </w:rPr>
            </w:r>
            <w:r/>
          </w:p>
        </w:tc>
        <w:tc>
          <w:tcPr>
            <w:shd w:val="clear" w:color="auto" w:fill="ffffff"/>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56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2、服务人员严格按照法律的规定范围开展服务工作，严格履行岗位职责，不准做与物业服务无关的事情。不准顶撞当事人，不准脱岗、空岗、睡岗。遵守服务单位内部的各项规章制度，对服务单位内部的机密事项，不准随意打听、记录、传播。有重要情况要妥善处理并及时上报，不准迟报、漏报、隐瞒不报。（2分）</w:t>
            </w:r>
            <w:r>
              <w:rPr>
                <w:rFonts w:ascii="宋体" w:hAnsi="宋体" w:cs="宋体"/>
                <w:color w:val="000000"/>
              </w:rPr>
            </w:r>
            <w:r/>
          </w:p>
        </w:tc>
        <w:tc>
          <w:tcPr>
            <w:shd w:val="clear" w:color="auto" w:fill="ffffff"/>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74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3、工程服务人员保证所有维修设备、设施安全有效，始终处于正常运转状态；保证所有维修设备、设施日常检查维护；出现情况及时到场并限时维修恢复，需要由维保单位完成的，应立即报告有关负责人并联系维保单位维修；按月抄报水电气表使用量（2分）</w:t>
            </w:r>
            <w:r>
              <w:rPr>
                <w:rFonts w:ascii="宋体" w:hAnsi="宋体" w:cs="宋体"/>
                <w:color w:val="000000"/>
              </w:rPr>
            </w:r>
            <w:r/>
          </w:p>
        </w:tc>
        <w:tc>
          <w:tcPr>
            <w:shd w:val="clear" w:color="auto" w:fill="ffffff"/>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56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4、会务服务人员要严守保密义务，严禁以任何形式外传会议内容和其他相关信息。会议室服务人员需经采购人报备登记，人员保持固定，不得随意调换。领导层会务实行零干扰服务；会议开始前做好会议准备工作，会议召开后做好必要的会议服务工作，会议结束后做好设备物品的清点及现场的保洁等工作（2分）</w:t>
            </w:r>
            <w:r>
              <w:rPr>
                <w:rFonts w:ascii="宋体" w:hAnsi="宋体" w:cs="宋体"/>
                <w:color w:val="000000"/>
              </w:rPr>
            </w:r>
            <w:r/>
          </w:p>
        </w:tc>
        <w:tc>
          <w:tcPr>
            <w:shd w:val="clear" w:color="auto" w:fill="ffffff"/>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560"/>
        </w:trPr>
        <w:tc>
          <w:tcPr>
            <w:tcW w:w="744" w:type="dxa"/>
            <w:vAlign w:val="center"/>
            <w:vMerge w:val="continue"/>
            <w:textDirection w:val="lrTb"/>
            <w:noWrap/>
          </w:tcPr>
          <w:p>
            <w:pPr>
              <w:pStyle w:val="869"/>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869"/>
              <w:jc w:val="left"/>
              <w:widowControl/>
              <w:rPr>
                <w:rFonts w:ascii="宋体" w:hAnsi="宋体" w:cs="宋体"/>
                <w:color w:val="000000"/>
              </w:rPr>
            </w:pPr>
            <w:r>
              <w:rPr>
                <w:rFonts w:hint="eastAsia" w:ascii="宋体" w:hAnsi="宋体" w:cs="宋体"/>
                <w:color w:val="000000"/>
              </w:rPr>
              <w:t xml:space="preserve">5、注意保密，不该说的绝对不说，不该打听的绝对不打听。（2分）</w:t>
            </w:r>
            <w:r>
              <w:rPr>
                <w:rFonts w:ascii="宋体" w:hAnsi="宋体" w:cs="宋体"/>
                <w:color w:val="000000"/>
              </w:rPr>
            </w:r>
            <w:r/>
          </w:p>
        </w:tc>
        <w:tc>
          <w:tcPr>
            <w:shd w:val="clear" w:color="auto" w:fill="ffffff"/>
            <w:tcW w:w="1911" w:type="dxa"/>
            <w:vAlign w:val="center"/>
            <w:textDirection w:val="lrTb"/>
            <w:noWrap/>
          </w:tcPr>
          <w:p>
            <w:pPr>
              <w:pStyle w:val="869"/>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869"/>
              <w:jc w:val="center"/>
              <w:rPr>
                <w:rFonts w:ascii="宋体" w:hAnsi="宋体" w:cs="宋体"/>
                <w:color w:val="000000"/>
              </w:rPr>
            </w:pPr>
            <w:r>
              <w:rPr>
                <w:rFonts w:ascii="宋体" w:hAnsi="宋体" w:cs="宋体"/>
                <w:color w:val="000000"/>
              </w:rPr>
            </w:r>
            <w:r/>
          </w:p>
        </w:tc>
      </w:tr>
      <w:tr>
        <w:trPr>
          <w:trHeight w:val="520"/>
        </w:trPr>
        <w:tc>
          <w:tcPr>
            <w:tcW w:w="744" w:type="dxa"/>
            <w:vAlign w:val="center"/>
            <w:textDirection w:val="lrTb"/>
            <w:noWrap/>
          </w:tcPr>
          <w:p>
            <w:pPr>
              <w:pStyle w:val="869"/>
              <w:jc w:val="center"/>
              <w:widowControl/>
              <w:rPr>
                <w:rFonts w:ascii="宋体" w:hAnsi="宋体" w:cs="宋体"/>
                <w:b/>
                <w:bCs/>
                <w:color w:val="000000"/>
              </w:rPr>
            </w:pPr>
            <w:r>
              <w:rPr>
                <w:rFonts w:hint="eastAsia" w:ascii="宋体" w:hAnsi="宋体" w:cs="宋体"/>
                <w:b/>
                <w:bCs/>
                <w:color w:val="000000"/>
              </w:rPr>
              <w:t xml:space="preserve">总评分</w:t>
            </w:r>
            <w:r>
              <w:rPr>
                <w:rFonts w:ascii="宋体" w:hAnsi="宋体" w:cs="宋体"/>
                <w:b/>
                <w:bCs/>
                <w:color w:val="000000"/>
              </w:rPr>
            </w:r>
            <w:r/>
          </w:p>
        </w:tc>
        <w:tc>
          <w:tcPr>
            <w:gridSpan w:val="3"/>
            <w:tcW w:w="9056" w:type="dxa"/>
            <w:vAlign w:val="center"/>
            <w:textDirection w:val="lrTb"/>
            <w:noWrap/>
          </w:tcPr>
          <w:p>
            <w:pPr>
              <w:pStyle w:val="869"/>
              <w:jc w:val="center"/>
              <w:widowControl/>
              <w:rPr>
                <w:rFonts w:ascii="宋体" w:hAnsi="宋体" w:cs="宋体"/>
                <w:b/>
                <w:bCs/>
                <w:color w:val="000000"/>
              </w:rPr>
            </w:pPr>
            <w:r>
              <w:rPr>
                <w:rFonts w:hint="eastAsia" w:ascii="宋体" w:hAnsi="宋体" w:cs="宋体"/>
                <w:b/>
                <w:bCs/>
                <w:color w:val="000000"/>
              </w:rPr>
              <w:t xml:space="preserve">分</w:t>
            </w:r>
            <w:r>
              <w:rPr>
                <w:rFonts w:ascii="宋体" w:hAnsi="宋体" w:cs="宋体"/>
                <w:b/>
                <w:bCs/>
                <w:color w:val="000000"/>
              </w:rPr>
            </w:r>
            <w:r/>
          </w:p>
        </w:tc>
      </w:tr>
      <w:tr>
        <w:trPr>
          <w:trHeight w:val="576"/>
        </w:trPr>
        <w:tc>
          <w:tcPr>
            <w:gridSpan w:val="2"/>
            <w:tcW w:w="6956" w:type="dxa"/>
            <w:vAlign w:val="center"/>
            <w:textDirection w:val="lrTb"/>
            <w:noWrap/>
          </w:tcPr>
          <w:p>
            <w:pPr>
              <w:pStyle w:val="869"/>
              <w:jc w:val="left"/>
              <w:widowControl/>
              <w:rPr>
                <w:rFonts w:ascii="宋体" w:hAnsi="宋体" w:cs="宋体"/>
                <w:b/>
                <w:bCs/>
                <w:color w:val="000000"/>
              </w:rPr>
            </w:pPr>
            <w:r>
              <w:rPr>
                <w:rFonts w:hint="eastAsia" w:ascii="宋体" w:hAnsi="宋体" w:cs="宋体"/>
                <w:b/>
                <w:bCs/>
                <w:color w:val="000000"/>
              </w:rPr>
              <w:t xml:space="preserve">考核单位：</w:t>
            </w:r>
            <w:r>
              <w:rPr>
                <w:rFonts w:ascii="宋体" w:hAnsi="宋体" w:cs="宋体"/>
                <w:b/>
                <w:bCs/>
                <w:color w:val="000000"/>
              </w:rPr>
            </w:r>
            <w:r/>
          </w:p>
        </w:tc>
        <w:tc>
          <w:tcPr>
            <w:gridSpan w:val="2"/>
            <w:tcW w:w="2844" w:type="dxa"/>
            <w:vAlign w:val="center"/>
            <w:textDirection w:val="lrTb"/>
            <w:noWrap/>
          </w:tcPr>
          <w:p>
            <w:pPr>
              <w:pStyle w:val="869"/>
              <w:jc w:val="left"/>
              <w:widowControl/>
              <w:rPr>
                <w:rFonts w:ascii="宋体" w:hAnsi="宋体" w:cs="宋体"/>
                <w:b/>
                <w:bCs/>
                <w:color w:val="000000"/>
              </w:rPr>
            </w:pPr>
            <w:r>
              <w:rPr>
                <w:rFonts w:hint="eastAsia" w:ascii="宋体" w:hAnsi="宋体" w:cs="宋体"/>
                <w:b/>
                <w:bCs/>
                <w:color w:val="000000"/>
              </w:rPr>
              <w:t xml:space="preserve">考核人员：</w:t>
            </w:r>
            <w:r>
              <w:rPr>
                <w:rFonts w:ascii="宋体" w:hAnsi="宋体" w:cs="宋体"/>
                <w:b/>
                <w:bCs/>
                <w:color w:val="000000"/>
              </w:rPr>
            </w:r>
            <w:r/>
          </w:p>
        </w:tc>
      </w:tr>
    </w:tbl>
    <w:p>
      <w:pPr>
        <w:pStyle w:val="869"/>
        <w:ind w:firstLine="480"/>
        <w:jc w:val="left"/>
        <w:spacing w:line="360" w:lineRule="auto"/>
        <w:rPr>
          <w:rFonts w:ascii="宋体" w:hAnsi="宋体" w:cs="宋体"/>
          <w:color w:val="000000"/>
          <w:sz w:val="24"/>
          <w:szCs w:val="24"/>
        </w:rPr>
      </w:pPr>
      <w:r>
        <w:rPr>
          <w:rFonts w:ascii="宋体" w:hAnsi="宋体" w:cs="宋体"/>
          <w:color w:val="000000"/>
          <w:sz w:val="24"/>
          <w:szCs w:val="24"/>
        </w:rPr>
      </w:r>
      <w:r/>
    </w:p>
    <w:p>
      <w:pPr>
        <w:pStyle w:val="869"/>
        <w:ind w:firstLine="480"/>
        <w:jc w:val="left"/>
        <w:spacing w:line="360" w:lineRule="auto"/>
        <w:rPr>
          <w:rFonts w:ascii="宋体" w:hAnsi="宋体" w:cs="宋体"/>
          <w:color w:val="000000"/>
          <w:sz w:val="24"/>
          <w:szCs w:val="24"/>
        </w:rPr>
      </w:pPr>
      <w:r>
        <w:rPr>
          <w:rFonts w:ascii="宋体" w:hAnsi="宋体" w:cs="宋体"/>
          <w:color w:val="000000"/>
          <w:sz w:val="24"/>
          <w:szCs w:val="24"/>
        </w:rPr>
      </w:r>
      <w:r/>
    </w:p>
    <w:p>
      <w:pPr>
        <w:pStyle w:val="869"/>
        <w:ind w:firstLine="480"/>
        <w:jc w:val="left"/>
        <w:spacing w:line="360" w:lineRule="auto"/>
        <w:rPr>
          <w:rFonts w:ascii="宋体" w:hAnsi="宋体" w:cs="宋体"/>
          <w:color w:val="000000"/>
          <w:sz w:val="24"/>
          <w:szCs w:val="24"/>
        </w:rPr>
      </w:pPr>
      <w:r>
        <w:rPr>
          <w:rFonts w:ascii="宋体" w:hAnsi="宋体" w:cs="宋体"/>
          <w:color w:val="000000"/>
          <w:sz w:val="24"/>
          <w:szCs w:val="24"/>
        </w:rPr>
      </w:r>
      <w:r/>
    </w:p>
    <w:p>
      <w:pPr>
        <w:pStyle w:val="869"/>
        <w:ind w:firstLine="480"/>
        <w:jc w:val="left"/>
        <w:spacing w:line="360" w:lineRule="auto"/>
        <w:rPr>
          <w:rFonts w:ascii="宋体" w:hAnsi="宋体" w:cs="宋体"/>
          <w:color w:val="000000"/>
          <w:sz w:val="24"/>
          <w:szCs w:val="24"/>
        </w:rPr>
      </w:pPr>
      <w:r>
        <w:rPr>
          <w:rFonts w:ascii="宋体" w:hAnsi="宋体" w:cs="宋体"/>
          <w:color w:val="000000"/>
          <w:sz w:val="24"/>
          <w:szCs w:val="24"/>
        </w:rPr>
      </w:r>
      <w:r/>
    </w:p>
    <w:p>
      <w:pPr>
        <w:pStyle w:val="869"/>
        <w:ind w:firstLine="480"/>
        <w:jc w:val="left"/>
        <w:spacing w:line="360" w:lineRule="auto"/>
        <w:rPr>
          <w:rFonts w:ascii="方正小标宋简体" w:hAnsi="方正小标宋简体" w:cs="方正小标宋简体"/>
          <w:sz w:val="32"/>
          <w:szCs w:val="32"/>
        </w:rPr>
      </w:pPr>
      <w:r>
        <w:rPr>
          <w:rFonts w:hint="eastAsia" w:ascii="宋体" w:hAnsi="宋体" w:cs="宋体"/>
          <w:color w:val="000000"/>
          <w:sz w:val="24"/>
          <w:szCs w:val="24"/>
        </w:rPr>
        <w:t xml:space="preserve">2.保密承诺书范本</w:t>
      </w:r>
      <w:r>
        <w:rPr>
          <w:rFonts w:ascii="方正小标宋简体" w:hAnsi="方正小标宋简体" w:cs="方正小标宋简体"/>
          <w:sz w:val="32"/>
          <w:szCs w:val="32"/>
        </w:rPr>
      </w:r>
      <w:r/>
    </w:p>
    <w:p>
      <w:pPr>
        <w:pStyle w:val="869"/>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保密承诺书范本</w:t>
      </w:r>
      <w:r>
        <w:rPr>
          <w:rFonts w:ascii="方正小标宋简体" w:hAnsi="方正小标宋简体" w:eastAsia="方正小标宋简体" w:cs="方正小标宋简体"/>
          <w:sz w:val="32"/>
          <w:szCs w:val="32"/>
        </w:rPr>
      </w:r>
      <w:r/>
    </w:p>
    <w:p>
      <w:pPr>
        <w:pStyle w:val="869"/>
        <w:ind w:firstLine="480"/>
        <w:spacing w:line="360" w:lineRule="auto"/>
        <w:rPr>
          <w:rFonts w:ascii="宋体" w:hAnsi="宋体"/>
          <w:sz w:val="24"/>
        </w:rPr>
      </w:pPr>
      <w:r>
        <w:rPr>
          <w:rFonts w:hint="eastAsia" w:ascii="宋体" w:hAnsi="宋体"/>
          <w:sz w:val="24"/>
        </w:rPr>
        <w:t xml:space="preserve">我单位郑重承诺：</w:t>
      </w:r>
      <w:r>
        <w:rPr>
          <w:rFonts w:ascii="宋体" w:hAnsi="宋体"/>
          <w:sz w:val="24"/>
        </w:rPr>
      </w:r>
      <w:r/>
    </w:p>
    <w:p>
      <w:pPr>
        <w:pStyle w:val="869"/>
        <w:ind w:firstLine="480"/>
        <w:spacing w:line="360" w:lineRule="auto"/>
        <w:rPr>
          <w:rFonts w:ascii="宋体" w:hAnsi="宋体"/>
          <w:sz w:val="24"/>
        </w:rPr>
      </w:pPr>
      <w:r>
        <w:rPr>
          <w:rFonts w:hint="eastAsia" w:ascii="宋体" w:hAnsi="宋体"/>
          <w:sz w:val="24"/>
        </w:rPr>
        <w:t xml:space="preserve">本合同履行期间所涉及的南京市秦淮区军队离休退休干部相关信息应保密，我单位在合同履行过程中，不得刺探任何与物业服务无关的秘密；不得向第三方泄露采购人的保密事项；不得私自备份采购人提供的资料，对所接触信息有无限期保密义务。如我单位违反上述保密义务，承担相应违约责任，一次性向采购人支付违约金人民币壹拾万元；采购人有权视情节轻重，根据国家有关法律、法规追究有关责任人员的法律责任。</w:t>
      </w:r>
      <w:r>
        <w:rPr>
          <w:rFonts w:ascii="宋体" w:hAnsi="宋体"/>
          <w:sz w:val="24"/>
        </w:rPr>
      </w:r>
      <w:r/>
    </w:p>
    <w:p>
      <w:pPr>
        <w:pStyle w:val="949"/>
        <w:rPr>
          <w:rFonts w:eastAsia="宋体"/>
          <w:lang w:val="en-US"/>
        </w:rPr>
      </w:pPr>
      <w:r>
        <w:rPr>
          <w:rFonts w:eastAsia="宋体"/>
          <w:lang w:val="en-US"/>
        </w:rPr>
      </w:r>
      <w:r/>
    </w:p>
    <w:p>
      <w:pPr>
        <w:pStyle w:val="869"/>
        <w:ind w:right="180" w:firstLine="360"/>
        <w:jc w:val="center"/>
        <w:spacing w:line="360" w:lineRule="auto"/>
        <w:rPr>
          <w:rFonts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企业名称：（加盖公章）</w:t>
      </w:r>
      <w:r>
        <w:rPr>
          <w:rFonts w:ascii="宋体" w:hAnsi="宋体"/>
          <w:sz w:val="24"/>
          <w:szCs w:val="24"/>
        </w:rPr>
      </w:r>
      <w:r/>
    </w:p>
    <w:p>
      <w:pPr>
        <w:pStyle w:val="869"/>
        <w:ind w:firstLine="6000"/>
        <w:spacing w:line="360" w:lineRule="auto"/>
        <w:rPr>
          <w:rFonts w:ascii="宋体" w:hAnsi="宋体"/>
          <w:sz w:val="24"/>
          <w:szCs w:val="24"/>
        </w:rPr>
      </w:pPr>
      <w:r>
        <w:rPr>
          <w:rFonts w:hint="eastAsia"/>
          <w:color w:val="000000"/>
          <w:sz w:val="24"/>
          <w:szCs w:val="24"/>
        </w:rPr>
        <w:t xml:space="preserve">日期：</w:t>
      </w:r>
      <w:r>
        <w:rPr>
          <w:rFonts w:ascii="宋体" w:hAnsi="宋体"/>
          <w:sz w:val="24"/>
          <w:szCs w:val="24"/>
        </w:rPr>
      </w:r>
      <w:r/>
    </w:p>
    <w:p>
      <w:pPr>
        <w:pStyle w:val="939"/>
      </w:pPr>
      <w:r/>
      <w:r/>
    </w:p>
    <w:p>
      <w:pPr>
        <w:pStyle w:val="869"/>
      </w:pPr>
      <w:r/>
      <w:r/>
    </w:p>
    <w:p>
      <w:pPr>
        <w:pStyle w:val="869"/>
        <w:spacing w:line="360" w:lineRule="auto"/>
        <w:rPr>
          <w:rFonts w:ascii="宋体" w:hAnsi="宋体"/>
          <w:sz w:val="24"/>
        </w:rPr>
      </w:pPr>
      <w:r>
        <w:rPr>
          <w:rFonts w:hint="eastAsia" w:ascii="宋体" w:hAnsi="宋体"/>
          <w:b/>
          <w:bCs/>
          <w:sz w:val="24"/>
        </w:rPr>
        <w:t xml:space="preserve">备注：</w:t>
      </w:r>
      <w:r>
        <w:rPr>
          <w:rFonts w:hint="eastAsia" w:ascii="宋体" w:hAnsi="宋体"/>
          <w:b/>
          <w:bCs/>
          <w:sz w:val="24"/>
          <w:lang w:val="en-US" w:eastAsia="zh-CN"/>
        </w:rPr>
        <w:t xml:space="preserve">签订合同时提供</w:t>
      </w:r>
      <w:r>
        <w:rPr>
          <w:rFonts w:hint="eastAsia" w:ascii="宋体" w:hAnsi="宋体"/>
          <w:b/>
          <w:bCs/>
          <w:sz w:val="24"/>
        </w:rPr>
        <w:t xml:space="preserve">保密承诺书并加盖公章，否则</w:t>
      </w:r>
      <w:r>
        <w:rPr>
          <w:rFonts w:hint="eastAsia" w:ascii="宋体" w:hAnsi="宋体" w:eastAsia="宋体" w:cs="Times New Roman"/>
          <w:b/>
          <w:bCs/>
          <w:sz w:val="24"/>
          <w:lang w:val="en-US" w:eastAsia="zh-CN"/>
        </w:rPr>
        <w:t xml:space="preserve">将取消其成交资格</w:t>
      </w:r>
      <w:r>
        <w:rPr>
          <w:rFonts w:hint="eastAsia" w:ascii="宋体" w:hAnsi="宋体" w:eastAsia="宋体" w:cs="Times New Roman"/>
          <w:b/>
          <w:bCs/>
          <w:sz w:val="24"/>
        </w:rPr>
        <w:t xml:space="preserve">。</w:t>
      </w:r>
      <w:r>
        <w:rPr>
          <w:rFonts w:ascii="宋体" w:hAnsi="宋体"/>
          <w:sz w:val="24"/>
        </w:rPr>
      </w:r>
      <w:r/>
    </w:p>
    <w:p>
      <w:pPr>
        <w:pStyle w:val="869"/>
        <w:ind w:firstLine="480"/>
        <w:keepLines w:val="0"/>
        <w:keepNext w:val="0"/>
        <w:pageBreakBefore w:val="0"/>
        <w:spacing w:line="240"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69"/>
        <w:jc w:val="center"/>
        <w:keepNext/>
        <w:rPr>
          <w:rFonts w:hint="eastAsia" w:ascii="黑体" w:hAnsi="Times New Roman" w:eastAsia="黑体"/>
          <w:bCs/>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评审方法与评审标准</w:t>
      </w:r>
      <w:r>
        <w:rPr>
          <w:rFonts w:hint="eastAsia" w:ascii="黑体" w:hAnsi="Times New Roman" w:eastAsia="黑体"/>
          <w:bCs/>
          <w:sz w:val="44"/>
          <w:szCs w:val="28"/>
          <w:highlight w:val="none"/>
        </w:rPr>
      </w:r>
      <w:r/>
    </w:p>
    <w:p>
      <w:pPr>
        <w:pStyle w:val="869"/>
        <w:keepLines w:val="0"/>
        <w:keepNext w:val="0"/>
        <w:pageBreakBefore w:val="0"/>
        <w:spacing w:line="264" w:lineRule="auto"/>
        <w:widowControl w:val="off"/>
        <w:rPr>
          <w:rFonts w:hint="eastAsia" w:ascii="Times New Roman" w:hAnsi="Times New Roman"/>
          <w:szCs w:val="21"/>
          <w:highlight w:val="none"/>
        </w:rPr>
      </w:pPr>
      <w:r>
        <w:rPr>
          <w:rFonts w:hint="eastAsia" w:ascii="Times New Roman" w:hAnsi="Times New Roman"/>
          <w:szCs w:val="21"/>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eastAsia="zh-CN"/>
        </w:rPr>
        <w:t xml:space="preserve">成员</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独立</w:t>
      </w:r>
      <w:r>
        <w:rPr>
          <w:rFonts w:hint="eastAsia" w:ascii="宋体" w:hAnsi="宋体" w:eastAsia="宋体" w:cs="宋体"/>
          <w:sz w:val="24"/>
          <w:szCs w:val="24"/>
          <w:highlight w:val="none"/>
        </w:rPr>
        <w:t xml:space="preserve">对提交最后报价的供应商的响应文件和最后报价进行</w:t>
      </w:r>
      <w:r>
        <w:rPr>
          <w:rFonts w:hint="eastAsia" w:ascii="宋体" w:hAnsi="宋体" w:eastAsia="宋体" w:cs="宋体"/>
          <w:sz w:val="24"/>
          <w:szCs w:val="24"/>
          <w:highlight w:val="none"/>
          <w:lang w:eastAsia="zh-CN"/>
        </w:rPr>
        <w:t xml:space="preserve">综合</w:t>
      </w:r>
      <w:r>
        <w:rPr>
          <w:rFonts w:hint="eastAsia" w:ascii="宋体" w:hAnsi="宋体" w:eastAsia="宋体" w:cs="宋体"/>
          <w:sz w:val="24"/>
          <w:szCs w:val="24"/>
          <w:highlight w:val="none"/>
        </w:rPr>
        <w:t xml:space="preserve">评分。</w:t>
      </w:r>
      <w:r>
        <w:rPr>
          <w:rFonts w:hint="eastAsia" w:ascii="宋体" w:hAnsi="宋体" w:eastAsia="宋体" w:cs="宋体"/>
          <w:b/>
          <w:bCs/>
          <w:sz w:val="24"/>
          <w:szCs w:val="24"/>
          <w:highlight w:val="none"/>
        </w:rPr>
        <w:t xml:space="preserve">磋商小组按照评审</w:t>
      </w:r>
      <w:r>
        <w:rPr>
          <w:rFonts w:hint="eastAsia" w:ascii="宋体" w:hAnsi="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符合本磋商文件第二章第2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.1.2条</w:t>
      </w:r>
      <w:r>
        <w:rPr>
          <w:rFonts w:hint="eastAsia" w:ascii="宋体" w:hAnsi="宋体" w:cs="宋体"/>
          <w:b/>
          <w:bCs/>
          <w:sz w:val="24"/>
          <w:szCs w:val="24"/>
          <w:highlight w:val="none"/>
          <w:lang w:val="en-US" w:eastAsia="zh-CN"/>
        </w:rPr>
        <w:t xml:space="preserve">第三款</w:t>
      </w:r>
      <w:r>
        <w:rPr>
          <w:rFonts w:hint="eastAsia" w:ascii="宋体" w:hAnsi="宋体" w:eastAsia="宋体" w:cs="宋体"/>
          <w:b/>
          <w:bCs/>
          <w:sz w:val="24"/>
          <w:szCs w:val="24"/>
          <w:highlight w:val="none"/>
        </w:rPr>
        <w:t xml:space="preserve">情形的</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可以推荐</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名成交候选供应商。</w:t>
      </w:r>
      <w:r>
        <w:rPr>
          <w:rFonts w:hint="eastAsia" w:ascii="宋体" w:hAnsi="宋体" w:eastAsia="宋体" w:cs="宋体"/>
          <w:sz w:val="24"/>
          <w:szCs w:val="24"/>
          <w:highlight w:val="none"/>
        </w:rPr>
        <w:t xml:space="preserve">评审得分相同的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按照最后报价由低到高的顺序推荐。评审得分且最后报价相同的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w:t>
      </w:r>
      <w:r>
        <w:rPr>
          <w:rFonts w:hint="eastAsia" w:ascii="宋体" w:hAnsi="宋体" w:eastAsia="宋体" w:cs="宋体"/>
          <w:sz w:val="24"/>
          <w:szCs w:val="24"/>
          <w:highlight w:val="none"/>
          <w:lang w:eastAsia="zh-CN"/>
        </w:rPr>
        <w:t xml:space="preserve">由高到低顺序</w:t>
      </w:r>
      <w:r>
        <w:rPr>
          <w:rFonts w:hint="eastAsia" w:ascii="宋体" w:hAnsi="宋体" w:eastAsia="宋体" w:cs="宋体"/>
          <w:sz w:val="24"/>
          <w:szCs w:val="24"/>
          <w:highlight w:val="none"/>
        </w:rPr>
        <w:t xml:space="preserve">推荐。</w:t>
      </w:r>
      <w:r>
        <w:rPr>
          <w:rFonts w:hint="eastAsia" w:ascii="宋体" w:hAnsi="宋体" w:eastAsia="宋体" w:cs="宋体"/>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w:t>
      </w:r>
      <w:r>
        <w:rPr>
          <w:rFonts w:hint="eastAsia" w:ascii="宋体" w:hAnsi="宋体" w:eastAsia="宋体" w:cs="宋体"/>
          <w:sz w:val="24"/>
          <w:szCs w:val="24"/>
          <w:highlight w:val="none"/>
        </w:rPr>
        <w:t xml:space="preserve">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97"/>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869"/>
              <w:ind w:left="114"/>
              <w:jc w:val="both"/>
              <w:keepLines w:val="0"/>
              <w:keepNext w:val="0"/>
              <w:pageBreakBefore w:val="0"/>
              <w:spacing w:before="122"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879"/>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879"/>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采用低价优先</w:t>
            </w:r>
            <w:r>
              <w:rPr>
                <w:rFonts w:hint="eastAsia" w:ascii="宋体" w:hAnsi="宋体" w:eastAsia="宋体" w:cs="宋体"/>
                <w:color w:val="000000"/>
                <w:sz w:val="21"/>
                <w:szCs w:val="21"/>
                <w:highlight w:val="none"/>
                <w:lang w:val="en-US" w:eastAsia="zh-CN" w:bidi="ar-SA"/>
              </w:rPr>
              <w:t xml:space="preserve">法计算</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即满足</w:t>
            </w:r>
            <w:r>
              <w:rPr>
                <w:rFonts w:hint="eastAsia" w:ascii="宋体" w:hAnsi="宋体" w:eastAsia="宋体" w:cs="宋体"/>
                <w:color w:val="000000"/>
                <w:sz w:val="21"/>
                <w:szCs w:val="21"/>
                <w:highlight w:val="none"/>
                <w:lang w:val="en-US" w:eastAsia="zh-CN" w:bidi="ar-SA"/>
              </w:rPr>
              <w:t xml:space="preserve">磋商文件</w:t>
            </w:r>
            <w:r>
              <w:rPr>
                <w:rFonts w:hint="eastAsia" w:ascii="宋体" w:hAnsi="宋体" w:eastAsia="宋体" w:cs="宋体"/>
                <w:color w:val="000000"/>
                <w:sz w:val="21"/>
                <w:szCs w:val="21"/>
                <w:highlight w:val="none"/>
                <w:lang w:val="en-US" w:eastAsia="zh-CN" w:bidi="ar-SA"/>
              </w:rPr>
              <w:t xml:space="preserve">要求且</w:t>
            </w:r>
            <w:r>
              <w:rPr>
                <w:rFonts w:hint="eastAsia" w:ascii="宋体" w:hAnsi="宋体" w:eastAsia="宋体" w:cs="宋体"/>
                <w:color w:val="000000"/>
                <w:sz w:val="21"/>
                <w:szCs w:val="21"/>
                <w:highlight w:val="none"/>
                <w:lang w:val="en-US" w:eastAsia="zh-CN" w:bidi="ar-SA"/>
              </w:rPr>
              <w:t xml:space="preserve">最终报价</w:t>
            </w:r>
            <w:r>
              <w:rPr>
                <w:rFonts w:hint="eastAsia" w:ascii="宋体" w:hAnsi="宋体" w:eastAsia="宋体" w:cs="宋体"/>
                <w:color w:val="000000"/>
                <w:sz w:val="21"/>
                <w:szCs w:val="21"/>
                <w:highlight w:val="none"/>
                <w:lang w:val="en-US" w:eastAsia="zh-CN" w:bidi="ar-SA"/>
              </w:rPr>
              <w:t xml:space="preserve">最低的</w:t>
            </w:r>
            <w:r>
              <w:rPr>
                <w:rFonts w:hint="eastAsia" w:ascii="宋体" w:hAnsi="宋体" w:eastAsia="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报价为评</w:t>
            </w:r>
            <w:r>
              <w:rPr>
                <w:rFonts w:hint="eastAsia" w:ascii="宋体" w:hAnsi="宋体" w:eastAsia="宋体" w:cs="宋体"/>
                <w:color w:val="000000"/>
                <w:sz w:val="21"/>
                <w:szCs w:val="21"/>
                <w:highlight w:val="none"/>
                <w:lang w:val="en-US" w:eastAsia="zh-CN" w:bidi="ar-SA"/>
              </w:rPr>
              <w:t xml:space="preserve">审</w:t>
            </w:r>
            <w:r>
              <w:rPr>
                <w:rFonts w:hint="eastAsia" w:ascii="宋体" w:hAnsi="宋体" w:eastAsia="宋体" w:cs="宋体"/>
                <w:color w:val="000000"/>
                <w:sz w:val="21"/>
                <w:szCs w:val="21"/>
                <w:highlight w:val="none"/>
                <w:lang w:val="en-US" w:eastAsia="zh-CN" w:bidi="ar-SA"/>
              </w:rPr>
              <w:t xml:space="preserve">基准</w:t>
            </w:r>
            <w:r>
              <w:rPr>
                <w:rFonts w:hint="eastAsia" w:ascii="宋体" w:hAnsi="宋体" w:eastAsia="宋体" w:cs="宋体"/>
                <w:color w:val="000000"/>
                <w:sz w:val="21"/>
                <w:szCs w:val="21"/>
                <w:highlight w:val="none"/>
                <w:lang w:val="en-US" w:eastAsia="zh-CN" w:bidi="ar-SA"/>
              </w:rPr>
              <w:t xml:space="preserve">价</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其价格分为满分。其他</w:t>
            </w:r>
            <w:r>
              <w:rPr>
                <w:rFonts w:hint="eastAsia" w:ascii="宋体" w:hAnsi="宋体" w:eastAsia="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的价格分统一按</w:t>
            </w:r>
            <w:r>
              <w:rPr>
                <w:rFonts w:hint="eastAsia" w:ascii="宋体" w:hAnsi="宋体" w:eastAsia="宋体" w:cs="宋体"/>
                <w:color w:val="000000"/>
                <w:sz w:val="21"/>
                <w:szCs w:val="21"/>
                <w:highlight w:val="none"/>
                <w:lang w:val="en-US" w:eastAsia="zh-CN" w:bidi="ar-SA"/>
              </w:rPr>
              <w:t xml:space="preserve">照下列公</w:t>
            </w:r>
            <w:r>
              <w:rPr>
                <w:rFonts w:hint="eastAsia" w:ascii="宋体" w:hAnsi="宋体" w:eastAsia="宋体" w:cs="宋体"/>
                <w:color w:val="000000"/>
                <w:sz w:val="21"/>
                <w:szCs w:val="21"/>
                <w:highlight w:val="none"/>
                <w:lang w:val="en-US" w:eastAsia="zh-CN" w:bidi="ar-SA"/>
              </w:rPr>
              <w:t xml:space="preserve">式计算：报价得分=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评</w:t>
            </w:r>
            <w:r>
              <w:rPr>
                <w:rFonts w:hint="eastAsia" w:ascii="宋体" w:hAnsi="宋体" w:eastAsia="宋体" w:cs="宋体"/>
                <w:color w:val="000000"/>
                <w:sz w:val="21"/>
                <w:szCs w:val="21"/>
                <w:highlight w:val="none"/>
                <w:lang w:val="en-US" w:eastAsia="zh-CN" w:bidi="ar-SA"/>
              </w:rPr>
              <w:t xml:space="preserve">审</w:t>
            </w:r>
            <w:r>
              <w:rPr>
                <w:rFonts w:hint="eastAsia" w:ascii="宋体" w:hAnsi="宋体" w:eastAsia="宋体" w:cs="宋体"/>
                <w:color w:val="000000"/>
                <w:sz w:val="21"/>
                <w:szCs w:val="21"/>
                <w:highlight w:val="none"/>
                <w:lang w:val="en-US" w:eastAsia="zh-CN" w:bidi="ar-SA"/>
              </w:rPr>
              <w:t xml:space="preserve">基准价/</w:t>
            </w:r>
            <w:r>
              <w:rPr>
                <w:rFonts w:hint="eastAsia" w:ascii="宋体" w:hAnsi="宋体" w:eastAsia="宋体" w:cs="宋体"/>
                <w:color w:val="000000"/>
                <w:sz w:val="21"/>
                <w:szCs w:val="21"/>
                <w:highlight w:val="none"/>
                <w:lang w:val="en-US" w:eastAsia="zh-CN" w:bidi="ar-SA"/>
              </w:rPr>
              <w:t xml:space="preserve">最终</w:t>
            </w:r>
            <w:r>
              <w:rPr>
                <w:rFonts w:hint="eastAsia" w:ascii="宋体" w:hAnsi="宋体" w:eastAsia="宋体" w:cs="宋体"/>
                <w:color w:val="000000"/>
                <w:sz w:val="21"/>
                <w:szCs w:val="21"/>
                <w:highlight w:val="none"/>
                <w:lang w:val="en-US" w:eastAsia="zh-CN" w:bidi="ar-SA"/>
              </w:rPr>
              <w:t xml:space="preserve">报价</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w:t>
            </w:r>
            <w:r>
              <w:rPr>
                <w:rFonts w:hint="eastAsia" w:ascii="宋体" w:hAnsi="宋体" w:eastAsia="宋体" w:cs="宋体"/>
                <w:color w:val="000000"/>
                <w:sz w:val="21"/>
                <w:szCs w:val="21"/>
                <w:highlight w:val="none"/>
                <w:lang w:val="en-US" w:eastAsia="zh-CN" w:bidi="ar-SA"/>
              </w:rPr>
              <w:t xml:space="preserve">审</w:t>
            </w:r>
            <w:r>
              <w:rPr>
                <w:rFonts w:hint="eastAsia" w:ascii="宋体" w:hAnsi="宋体" w:eastAsia="宋体" w:cs="宋体"/>
                <w:color w:val="000000"/>
                <w:sz w:val="21"/>
                <w:szCs w:val="21"/>
                <w:highlight w:val="none"/>
                <w:lang w:val="en-US" w:eastAsia="zh-CN" w:bidi="ar-SA"/>
              </w:rPr>
              <w:t xml:space="preserve">基准价和最终报价。</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869"/>
              <w:ind w:left="114"/>
              <w:jc w:val="both"/>
              <w:keepLines w:val="0"/>
              <w:keepNext w:val="0"/>
              <w:pageBreakBefore w:val="0"/>
              <w:spacing w:before="123"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项目需求理解</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根据本项目采购需求及相关要求编制方案，内容包含：</w:t>
            </w:r>
            <w:r>
              <w:rPr>
                <w:rFonts w:hint="eastAsia" w:ascii="宋体" w:hAnsi="宋体" w:eastAsia="宋体" w:cs="宋体"/>
                <w:color w:val="000000"/>
                <w:sz w:val="21"/>
                <w:szCs w:val="21"/>
                <w:highlight w:val="none"/>
                <w:lang w:val="en-US" w:eastAsia="zh-CN" w:bidi="ar-SA"/>
              </w:rPr>
              <w:t xml:space="preserve">1.整体服务设想；2.管理服务理念；3.服务重点难点。</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完善、重点难点把握准确、措施有力</w:t>
            </w:r>
            <w:r>
              <w:rPr>
                <w:rFonts w:hint="eastAsia" w:ascii="宋体" w:hAnsi="宋体" w:eastAsia="宋体" w:cs="宋体"/>
                <w:color w:val="000000"/>
                <w:sz w:val="21"/>
                <w:szCs w:val="21"/>
                <w:highlight w:val="none"/>
                <w:lang w:val="en-US" w:eastAsia="zh-CN" w:bidi="ar-SA"/>
              </w:rPr>
              <w:t xml:space="preserve">，且专门针对本项目，契合采购需求视为符合；方</w:t>
            </w:r>
            <w:r>
              <w:rPr>
                <w:rFonts w:hint="eastAsia" w:ascii="宋体" w:hAnsi="宋体" w:eastAsia="宋体" w:cs="宋体"/>
                <w:color w:val="000000"/>
                <w:sz w:val="21"/>
                <w:szCs w:val="21"/>
                <w:highlight w:val="none"/>
                <w:lang w:val="en-US" w:eastAsia="zh-CN" w:bidi="ar-SA"/>
              </w:rPr>
              <w:t xml:space="preserve">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上述每项内容符合得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2"/>
              </w:rPr>
              <w:t xml:space="preserve">人员管理</w:t>
            </w:r>
            <w:r>
              <w:rPr>
                <w:rFonts w:ascii="宋体" w:hAnsi="宋体" w:cs="宋体"/>
                <w:color w:val="000000"/>
                <w:spacing w:val="-2"/>
              </w:rPr>
              <w:t xml:space="preserve">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根据本项目采购需求及相关要求编制方案，内容包含：</w:t>
            </w:r>
            <w:r>
              <w:rPr>
                <w:rFonts w:hint="eastAsia" w:ascii="宋体" w:hAnsi="宋体" w:eastAsia="宋体" w:cs="宋体"/>
                <w:color w:val="000000"/>
                <w:sz w:val="21"/>
                <w:szCs w:val="21"/>
                <w:highlight w:val="none"/>
                <w:lang w:val="en-US" w:eastAsia="zh-CN" w:bidi="ar-SA"/>
              </w:rPr>
              <w:t xml:space="preserve">1.人员部门配备；2.人员培训</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3.人员</w:t>
            </w:r>
            <w:r>
              <w:rPr>
                <w:rFonts w:hint="eastAsia" w:ascii="宋体" w:hAnsi="宋体" w:eastAsia="宋体" w:cs="宋体"/>
                <w:color w:val="000000"/>
                <w:sz w:val="21"/>
                <w:szCs w:val="21"/>
                <w:highlight w:val="none"/>
                <w:lang w:val="en-US" w:eastAsia="zh-CN" w:bidi="ar-SA"/>
              </w:rPr>
              <w:t xml:space="preserve">考核。</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全面</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具有可操作性</w:t>
            </w:r>
            <w:r>
              <w:rPr>
                <w:rFonts w:hint="eastAsia" w:ascii="宋体" w:hAnsi="宋体" w:eastAsia="宋体" w:cs="宋体"/>
                <w:color w:val="000000"/>
                <w:sz w:val="21"/>
                <w:szCs w:val="21"/>
                <w:highlight w:val="none"/>
                <w:lang w:val="en-US" w:eastAsia="zh-CN" w:bidi="ar-SA"/>
              </w:rPr>
              <w:t xml:space="preserve">，且</w:t>
            </w:r>
            <w:r>
              <w:rPr>
                <w:rFonts w:hint="eastAsia" w:ascii="宋体" w:hAnsi="宋体" w:eastAsia="宋体" w:cs="宋体"/>
                <w:color w:val="000000"/>
                <w:sz w:val="21"/>
                <w:szCs w:val="21"/>
                <w:highlight w:val="none"/>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上述每项内容符合得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rPr>
              <w:t xml:space="preserve">会务客服服务方案</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根据本项目采购需求及相关要求编制方案，内容包含：</w:t>
            </w:r>
            <w:r>
              <w:rPr>
                <w:rFonts w:hint="eastAsia" w:ascii="宋体" w:hAnsi="宋体" w:eastAsia="宋体" w:cs="宋体"/>
                <w:color w:val="000000"/>
                <w:sz w:val="21"/>
                <w:szCs w:val="21"/>
                <w:highlight w:val="none"/>
                <w:lang w:val="en-US" w:eastAsia="zh-CN" w:bidi="ar-SA"/>
              </w:rPr>
              <w:t xml:space="preserve">1.会务客服具体服务内容；2.</w:t>
            </w:r>
            <w:r>
              <w:rPr>
                <w:rFonts w:hint="eastAsia" w:ascii="宋体" w:hAnsi="宋体" w:eastAsia="宋体" w:cs="宋体"/>
                <w:color w:val="000000"/>
                <w:sz w:val="21"/>
                <w:szCs w:val="21"/>
                <w:highlight w:val="none"/>
                <w:lang w:val="en-US" w:eastAsia="zh-CN" w:bidi="ar-SA"/>
              </w:rPr>
              <w:t xml:space="preserve">会务客服</w:t>
            </w:r>
            <w:r>
              <w:rPr>
                <w:rFonts w:hint="eastAsia" w:ascii="宋体" w:hAnsi="宋体" w:eastAsia="宋体" w:cs="宋体"/>
                <w:color w:val="000000"/>
                <w:sz w:val="21"/>
                <w:szCs w:val="21"/>
                <w:highlight w:val="none"/>
                <w:lang w:val="en-US" w:eastAsia="zh-CN" w:bidi="ar-SA"/>
              </w:rPr>
              <w:t xml:space="preserve">质量标准；3.</w:t>
            </w:r>
            <w:r>
              <w:rPr>
                <w:rFonts w:hint="eastAsia" w:ascii="宋体" w:hAnsi="宋体" w:eastAsia="宋体" w:cs="宋体"/>
                <w:color w:val="000000"/>
                <w:sz w:val="21"/>
                <w:szCs w:val="21"/>
                <w:highlight w:val="none"/>
                <w:lang w:val="en-US" w:eastAsia="zh-CN" w:bidi="ar-SA"/>
              </w:rPr>
              <w:t xml:space="preserve">会务客服</w:t>
            </w:r>
            <w:r>
              <w:rPr>
                <w:rFonts w:hint="eastAsia" w:ascii="宋体" w:hAnsi="宋体" w:eastAsia="宋体" w:cs="宋体"/>
                <w:color w:val="000000"/>
                <w:sz w:val="21"/>
                <w:szCs w:val="21"/>
                <w:highlight w:val="none"/>
                <w:lang w:val="en-US" w:eastAsia="zh-CN" w:bidi="ar-SA"/>
              </w:rPr>
              <w:t xml:space="preserve">考核控制办法。</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全面</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具有可操作性</w:t>
            </w:r>
            <w:r>
              <w:rPr>
                <w:rFonts w:hint="eastAsia" w:ascii="宋体" w:hAnsi="宋体" w:eastAsia="宋体" w:cs="宋体"/>
                <w:color w:val="000000"/>
                <w:sz w:val="21"/>
                <w:szCs w:val="21"/>
                <w:highlight w:val="none"/>
                <w:lang w:val="en-US" w:eastAsia="zh-CN" w:bidi="ar-SA"/>
              </w:rPr>
              <w:t xml:space="preserve">，且</w:t>
            </w:r>
            <w:r>
              <w:rPr>
                <w:rFonts w:hint="eastAsia" w:ascii="宋体" w:hAnsi="宋体" w:eastAsia="宋体" w:cs="宋体"/>
                <w:color w:val="000000"/>
                <w:sz w:val="21"/>
                <w:szCs w:val="21"/>
                <w:highlight w:val="none"/>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上述每项内容符合得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rPr>
              <w:t xml:space="preserve">保洁服务</w:t>
            </w:r>
            <w:r>
              <w:rPr>
                <w:rFonts w:ascii="宋体" w:hAnsi="宋体" w:cs="宋体"/>
                <w:color w:val="000000"/>
                <w:spacing w:val="-2"/>
              </w:rPr>
              <w:t xml:space="preserve">方案</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根据本项目采购需求及相关要求编制方案，内容包含：</w:t>
            </w:r>
            <w:r>
              <w:rPr>
                <w:rFonts w:hint="eastAsia" w:ascii="宋体" w:hAnsi="宋体" w:eastAsia="宋体" w:cs="宋体"/>
                <w:color w:val="000000"/>
                <w:sz w:val="21"/>
                <w:szCs w:val="21"/>
                <w:highlight w:val="none"/>
                <w:lang w:val="en-US" w:eastAsia="zh-CN" w:bidi="ar-SA"/>
              </w:rPr>
              <w:t xml:space="preserve">1.保洁具体服务内容；2.</w:t>
            </w:r>
            <w:r>
              <w:rPr>
                <w:rFonts w:hint="eastAsia" w:ascii="宋体" w:hAnsi="宋体" w:eastAsia="宋体" w:cs="宋体"/>
                <w:color w:val="000000"/>
                <w:sz w:val="21"/>
                <w:szCs w:val="21"/>
                <w:highlight w:val="none"/>
                <w:lang w:val="en-US" w:eastAsia="zh-CN" w:bidi="ar-SA"/>
              </w:rPr>
              <w:t xml:space="preserve">保洁</w:t>
            </w:r>
            <w:r>
              <w:rPr>
                <w:rFonts w:hint="eastAsia" w:ascii="宋体" w:hAnsi="宋体" w:eastAsia="宋体" w:cs="宋体"/>
                <w:color w:val="000000"/>
                <w:sz w:val="21"/>
                <w:szCs w:val="21"/>
                <w:highlight w:val="none"/>
                <w:lang w:val="en-US" w:eastAsia="zh-CN" w:bidi="ar-SA"/>
              </w:rPr>
              <w:t xml:space="preserve">服务质量标准；3.</w:t>
            </w:r>
            <w:r>
              <w:rPr>
                <w:rFonts w:hint="eastAsia" w:ascii="宋体" w:hAnsi="宋体" w:eastAsia="宋体" w:cs="宋体"/>
                <w:color w:val="000000"/>
                <w:sz w:val="21"/>
                <w:szCs w:val="21"/>
                <w:highlight w:val="none"/>
                <w:lang w:val="en-US" w:eastAsia="zh-CN" w:bidi="ar-SA"/>
              </w:rPr>
              <w:t xml:space="preserve">保洁</w:t>
            </w:r>
            <w:r>
              <w:rPr>
                <w:rFonts w:hint="eastAsia" w:ascii="宋体" w:hAnsi="宋体" w:eastAsia="宋体" w:cs="宋体"/>
                <w:color w:val="000000"/>
                <w:sz w:val="21"/>
                <w:szCs w:val="21"/>
                <w:highlight w:val="none"/>
                <w:lang w:val="en-US" w:eastAsia="zh-CN" w:bidi="ar-SA"/>
              </w:rPr>
              <w:t xml:space="preserve">服务考核控制办法。</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全面</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具有可操作性</w:t>
            </w:r>
            <w:r>
              <w:rPr>
                <w:rFonts w:hint="eastAsia" w:ascii="宋体" w:hAnsi="宋体" w:eastAsia="宋体" w:cs="宋体"/>
                <w:color w:val="000000"/>
                <w:sz w:val="21"/>
                <w:szCs w:val="21"/>
                <w:highlight w:val="none"/>
                <w:lang w:val="en-US" w:eastAsia="zh-CN" w:bidi="ar-SA"/>
              </w:rPr>
              <w:t xml:space="preserve">，且</w:t>
            </w:r>
            <w:r>
              <w:rPr>
                <w:rFonts w:hint="eastAsia" w:ascii="宋体" w:hAnsi="宋体" w:eastAsia="宋体" w:cs="宋体"/>
                <w:color w:val="000000"/>
                <w:sz w:val="21"/>
                <w:szCs w:val="21"/>
                <w:highlight w:val="none"/>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上述每项内容符合得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2.5</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rPr>
              <w:t xml:space="preserve">设备维护</w:t>
            </w:r>
            <w:r>
              <w:rPr>
                <w:rFonts w:ascii="宋体" w:hAnsi="宋体" w:cs="宋体"/>
                <w:color w:val="000000"/>
                <w:spacing w:val="-2"/>
              </w:rPr>
              <w:t xml:space="preserve">方案</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根据本项目采购需求及相关要求编制方案，内容包含：</w:t>
            </w:r>
            <w:r>
              <w:rPr>
                <w:rFonts w:hint="eastAsia" w:ascii="宋体" w:hAnsi="宋体" w:eastAsia="宋体" w:cs="宋体"/>
                <w:color w:val="000000"/>
                <w:sz w:val="21"/>
                <w:szCs w:val="21"/>
                <w:highlight w:val="none"/>
                <w:lang w:val="en-US" w:eastAsia="zh-CN" w:bidi="ar-SA"/>
              </w:rPr>
              <w:t xml:space="preserve">1.设备运维及零星维修服务实施方案；2.</w:t>
            </w:r>
            <w:r>
              <w:rPr>
                <w:rFonts w:hint="eastAsia" w:ascii="宋体" w:hAnsi="宋体" w:eastAsia="宋体" w:cs="宋体"/>
                <w:color w:val="000000"/>
                <w:sz w:val="21"/>
                <w:szCs w:val="21"/>
                <w:highlight w:val="none"/>
                <w:lang w:val="en-US" w:eastAsia="zh-CN" w:bidi="ar-SA"/>
              </w:rPr>
              <w:t xml:space="preserve">设备维护</w:t>
            </w:r>
            <w:r>
              <w:rPr>
                <w:rFonts w:hint="eastAsia" w:ascii="宋体" w:hAnsi="宋体" w:eastAsia="宋体" w:cs="宋体"/>
                <w:color w:val="000000"/>
                <w:sz w:val="21"/>
                <w:szCs w:val="21"/>
                <w:highlight w:val="none"/>
                <w:lang w:val="en-US" w:eastAsia="zh-CN" w:bidi="ar-SA"/>
              </w:rPr>
              <w:t xml:space="preserve">质量标准；3.</w:t>
            </w:r>
            <w:r>
              <w:rPr>
                <w:rFonts w:hint="eastAsia" w:ascii="宋体" w:hAnsi="宋体" w:eastAsia="宋体" w:cs="宋体"/>
                <w:color w:val="000000"/>
                <w:sz w:val="21"/>
                <w:szCs w:val="21"/>
                <w:highlight w:val="none"/>
                <w:lang w:val="en-US" w:eastAsia="zh-CN" w:bidi="ar-SA"/>
              </w:rPr>
              <w:t xml:space="preserve">设备维护</w:t>
            </w:r>
            <w:r>
              <w:rPr>
                <w:rFonts w:hint="eastAsia" w:ascii="宋体" w:hAnsi="宋体" w:eastAsia="宋体" w:cs="宋体"/>
                <w:color w:val="000000"/>
                <w:sz w:val="21"/>
                <w:szCs w:val="21"/>
                <w:highlight w:val="none"/>
                <w:lang w:val="en-US" w:eastAsia="zh-CN" w:bidi="ar-SA"/>
              </w:rPr>
              <w:t xml:space="preserve">考核控制办法。</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全面</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具有可操作性</w:t>
            </w:r>
            <w:r>
              <w:rPr>
                <w:rFonts w:hint="eastAsia" w:ascii="宋体" w:hAnsi="宋体" w:eastAsia="宋体" w:cs="宋体"/>
                <w:color w:val="000000"/>
                <w:sz w:val="21"/>
                <w:szCs w:val="21"/>
                <w:highlight w:val="none"/>
                <w:lang w:val="en-US" w:eastAsia="zh-CN" w:bidi="ar-SA"/>
              </w:rPr>
              <w:t xml:space="preserve">，且</w:t>
            </w:r>
            <w:r>
              <w:rPr>
                <w:rFonts w:hint="eastAsia" w:ascii="宋体" w:hAnsi="宋体" w:eastAsia="宋体" w:cs="宋体"/>
                <w:color w:val="000000"/>
                <w:sz w:val="21"/>
                <w:szCs w:val="21"/>
                <w:highlight w:val="none"/>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上述每项内容符合得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2.6</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rPr>
              <w:t xml:space="preserve">工作流程及制度</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根据本项目采购需求及相关要求编制方案，内容包含：</w:t>
            </w:r>
            <w:r>
              <w:rPr>
                <w:rFonts w:hint="eastAsia" w:ascii="宋体" w:hAnsi="宋体" w:eastAsia="宋体" w:cs="宋体"/>
                <w:color w:val="000000"/>
                <w:sz w:val="21"/>
                <w:szCs w:val="21"/>
                <w:highlight w:val="none"/>
                <w:lang w:val="en-US" w:eastAsia="zh-CN" w:bidi="ar-SA"/>
              </w:rPr>
              <w:t xml:space="preserve">1.会务客服工作流程及制度；2.保洁服务工作流程及制度；3.设备维护工作流程及制度。</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全面</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具有可操作性</w:t>
            </w:r>
            <w:r>
              <w:rPr>
                <w:rFonts w:hint="eastAsia" w:ascii="宋体" w:hAnsi="宋体" w:eastAsia="宋体" w:cs="宋体"/>
                <w:color w:val="000000"/>
                <w:sz w:val="21"/>
                <w:szCs w:val="21"/>
                <w:highlight w:val="none"/>
                <w:lang w:val="en-US" w:eastAsia="zh-CN" w:bidi="ar-SA"/>
              </w:rPr>
              <w:t xml:space="preserve">，且</w:t>
            </w:r>
            <w:r>
              <w:rPr>
                <w:rFonts w:hint="eastAsia" w:ascii="宋体" w:hAnsi="宋体" w:eastAsia="宋体" w:cs="宋体"/>
                <w:color w:val="000000"/>
                <w:sz w:val="21"/>
                <w:szCs w:val="21"/>
                <w:highlight w:val="none"/>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上述每项内容符合得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2.7</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ind w:left="0" w:right="0"/>
              <w:jc w:val="left"/>
              <w:keepLines w:val="0"/>
              <w:keepNext w:val="0"/>
              <w:spacing w:before="68" w:beforeAutospacing="0" w:after="0" w:afterAutospacing="0" w:line="264" w:lineRule="auto"/>
              <w:widowControl w:val="off"/>
              <w:rPr>
                <w:rFonts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rPr>
              <w:t xml:space="preserve">档案资料管理方案</w:t>
            </w:r>
            <w:r>
              <w:rPr>
                <w:rFonts w:ascii="宋体" w:hAnsi="宋体" w:eastAsia="宋体" w:cs="宋体"/>
                <w:color w:val="000000"/>
                <w:spacing w:val="-2"/>
                <w:sz w:val="21"/>
                <w:szCs w:val="21"/>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根据本项目采购需求及相关要求编制方案，内容包含：</w:t>
            </w:r>
            <w:r>
              <w:rPr>
                <w:rFonts w:hint="eastAsia" w:ascii="宋体" w:hAnsi="宋体" w:eastAsia="宋体" w:cs="宋体"/>
                <w:color w:val="000000"/>
                <w:sz w:val="21"/>
                <w:szCs w:val="21"/>
                <w:highlight w:val="none"/>
                <w:lang w:val="en-US" w:eastAsia="zh-CN" w:bidi="ar-SA"/>
              </w:rPr>
              <w:t xml:space="preserve">1.物业档案台账登记；2.物业档案资料保存及移交。</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全面</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具有可操作性</w:t>
            </w:r>
            <w:r>
              <w:rPr>
                <w:rFonts w:hint="eastAsia" w:ascii="宋体" w:hAnsi="宋体" w:eastAsia="宋体" w:cs="宋体"/>
                <w:color w:val="000000"/>
                <w:sz w:val="21"/>
                <w:szCs w:val="21"/>
                <w:highlight w:val="none"/>
                <w:lang w:val="en-US" w:eastAsia="zh-CN" w:bidi="ar-SA"/>
              </w:rPr>
              <w:t xml:space="preserve">，且</w:t>
            </w:r>
            <w:r>
              <w:rPr>
                <w:rFonts w:hint="eastAsia" w:ascii="宋体" w:hAnsi="宋体" w:eastAsia="宋体" w:cs="宋体"/>
                <w:color w:val="000000"/>
                <w:sz w:val="21"/>
                <w:szCs w:val="21"/>
                <w:highlight w:val="none"/>
                <w:lang w:val="en-US" w:eastAsia="zh-CN" w:bidi="ar-SA"/>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suppressLineNumbers w:val="0"/>
            </w:pPr>
            <w:r>
              <w:rPr>
                <w:rFonts w:hint="eastAsia" w:ascii="宋体" w:hAnsi="宋体" w:eastAsia="宋体" w:cs="宋体"/>
                <w:color w:val="000000"/>
                <w:sz w:val="21"/>
                <w:szCs w:val="21"/>
                <w:highlight w:val="none"/>
                <w:lang w:val="en-US" w:eastAsia="zh-CN" w:bidi="ar-SA"/>
              </w:rPr>
              <w:t xml:space="preserve">上述每项内容符合得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gridSpan w:val="5"/>
            <w:tcW w:w="9670" w:type="dxa"/>
            <w:vAlign w:val="center"/>
            <w:textDirection w:val="lrTb"/>
            <w:noWrap w:val="false"/>
          </w:tcPr>
          <w:p>
            <w:pPr>
              <w:pStyle w:val="869"/>
              <w:jc w:val="both"/>
              <w:keepLines w:val="0"/>
              <w:keepNext w:val="0"/>
              <w:pageBreakBefore w:val="0"/>
              <w:spacing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Style w:val="879"/>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供应商</w:t>
            </w:r>
            <w:r>
              <w:rPr>
                <w:rFonts w:ascii="宋体" w:hAnsi="宋体" w:eastAsia="宋体" w:cs="宋体"/>
                <w:color w:val="000000"/>
                <w:spacing w:val="-2"/>
                <w:sz w:val="21"/>
                <w:szCs w:val="22"/>
                <w:highlight w:val="none"/>
                <w:lang w:val="en-US" w:eastAsia="zh-CN" w:bidi="ar-SA"/>
              </w:rPr>
              <w:t xml:space="preserve">业绩</w:t>
            </w:r>
            <w:r>
              <w:rPr>
                <w:rStyle w:val="879"/>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w:t>
            </w:r>
            <w:r>
              <w:rPr>
                <w:rFonts w:hint="eastAsia" w:ascii="宋体" w:hAnsi="宋体" w:eastAsia="宋体" w:cs="宋体"/>
                <w:color w:val="000000"/>
                <w:spacing w:val="-2"/>
                <w:sz w:val="21"/>
                <w:szCs w:val="22"/>
                <w:highlight w:val="none"/>
                <w:lang w:val="en-US" w:eastAsia="zh-CN" w:bidi="ar-SA"/>
              </w:rPr>
              <w:t xml:space="preserve">2023年1月1日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（含）以来，承接的类似物业项目（非住宅项目，服务内容至少包含</w:t>
            </w:r>
            <w:r>
              <w:rPr>
                <w:rFonts w:hint="eastAsia" w:ascii="宋体" w:hAnsi="宋体" w:cs="宋体"/>
                <w:color w:val="000000"/>
                <w:spacing w:val="-2"/>
              </w:rPr>
              <w:t xml:space="preserve">保洁服务、客服</w:t>
            </w:r>
            <w:r>
              <w:rPr>
                <w:rFonts w:hint="eastAsia" w:ascii="宋体" w:hAnsi="宋体" w:cs="宋体"/>
                <w:color w:val="000000"/>
                <w:spacing w:val="-2"/>
                <w:lang w:val="en-US" w:eastAsia="zh-CN"/>
              </w:rPr>
              <w:t xml:space="preserve">服务</w:t>
            </w:r>
            <w:r>
              <w:rPr>
                <w:rFonts w:hint="eastAsia" w:ascii="宋体" w:hAnsi="宋体" w:cs="宋体"/>
                <w:color w:val="000000"/>
                <w:spacing w:val="-2"/>
                <w:lang w:eastAsia="zh-CN"/>
              </w:rPr>
              <w:t xml:space="preserve">（</w:t>
            </w:r>
            <w:r>
              <w:rPr>
                <w:rFonts w:hint="eastAsia" w:ascii="宋体" w:hAnsi="宋体" w:cs="宋体"/>
                <w:color w:val="000000"/>
                <w:spacing w:val="-2"/>
              </w:rPr>
              <w:t xml:space="preserve">或会务服务</w:t>
            </w:r>
            <w:r>
              <w:rPr>
                <w:rFonts w:hint="eastAsia" w:ascii="宋体" w:hAnsi="宋体" w:cs="宋体"/>
                <w:color w:val="000000"/>
                <w:spacing w:val="-2"/>
                <w:lang w:eastAsia="zh-CN"/>
              </w:rPr>
              <w:t xml:space="preserve">）</w:t>
            </w:r>
            <w:r>
              <w:rPr>
                <w:rFonts w:hint="eastAsia" w:ascii="宋体" w:hAnsi="宋体" w:cs="宋体"/>
                <w:color w:val="000000"/>
                <w:spacing w:val="-2"/>
              </w:rPr>
              <w:t xml:space="preserve">、设备</w:t>
            </w:r>
            <w:r>
              <w:rPr>
                <w:rFonts w:hint="eastAsia" w:ascii="宋体" w:hAnsi="宋体" w:cs="宋体"/>
                <w:color w:val="000000"/>
                <w:spacing w:val="-2"/>
                <w:highlight w:val="none"/>
              </w:rPr>
              <w:t xml:space="preserve">维护</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rPr>
              <w:t xml:space="preserve">或工程维修</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中</w:t>
            </w:r>
            <w:r>
              <w:rPr>
                <w:rFonts w:hint="eastAsia" w:ascii="宋体" w:hAnsi="宋体" w:eastAsia="宋体" w:cs="宋体"/>
                <w:color w:val="000000"/>
                <w:spacing w:val="-2"/>
                <w:sz w:val="21"/>
                <w:szCs w:val="22"/>
                <w:highlight w:val="none"/>
                <w:lang w:val="en-US" w:eastAsia="zh-CN" w:bidi="ar-SA"/>
              </w:rPr>
              <w:t xml:space="preserve">任意二项内容</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；以合同签订时间为准，合同服务期限不少于一年）业绩，并提供业主单位出具的履约优秀（或好评或满意或最高档次）评价材料。每提供一个业绩得2分，最多得6分，未提供不得分。</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Style w:val="879"/>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879"/>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869"/>
              <w:jc w:val="both"/>
              <w:keepLines w:val="0"/>
              <w:keepNext w:val="0"/>
              <w:pageBreakBefore w:val="0"/>
              <w:spacing w:before="123"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1.供应商拟派项目经理具有</w:t>
            </w:r>
            <w:r>
              <w:rPr>
                <w:rFonts w:hint="eastAsia" w:ascii="宋体" w:hAnsi="宋体" w:eastAsia="宋体" w:cs="宋体"/>
                <w:color w:val="000000"/>
                <w:sz w:val="21"/>
                <w:szCs w:val="21"/>
                <w:highlight w:val="none"/>
                <w:lang w:val="en-US" w:eastAsia="zh-CN" w:bidi="ar-SA"/>
              </w:rPr>
              <w:t xml:space="preserve">3年及以上非住宅</w:t>
            </w:r>
            <w:r>
              <w:rPr>
                <w:rFonts w:hint="eastAsia" w:ascii="宋体" w:hAnsi="宋体" w:eastAsia="宋体" w:cs="宋体"/>
                <w:color w:val="000000"/>
                <w:sz w:val="21"/>
                <w:szCs w:val="21"/>
                <w:highlight w:val="none"/>
                <w:lang w:val="en-US" w:eastAsia="zh-CN" w:bidi="ar-SA"/>
              </w:rPr>
              <w:t xml:space="preserve">物业项目经理工作经验的得3分。注：提供加盖业主单位公章的工作经验证明材料（需体现人员姓名、岗位</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服务年限</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业主单位联系人及电话</w:t>
            </w:r>
            <w:r>
              <w:rPr>
                <w:rFonts w:hint="eastAsia" w:ascii="宋体" w:hAnsi="宋体" w:eastAsia="宋体" w:cs="宋体"/>
                <w:color w:val="000000"/>
                <w:sz w:val="21"/>
                <w:szCs w:val="21"/>
                <w:highlight w:val="none"/>
                <w:lang w:val="en-US" w:eastAsia="zh-CN" w:bidi="ar-SA"/>
              </w:rPr>
              <w:t xml:space="preserve">），证明材料缺项或未提供的不得分。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2.供应商拟派项目经理</w:t>
            </w:r>
            <w:r>
              <w:rPr>
                <w:rFonts w:hint="eastAsia" w:ascii="宋体" w:hAnsi="宋体" w:eastAsia="宋体" w:cs="宋体"/>
                <w:color w:val="000000"/>
                <w:sz w:val="21"/>
                <w:szCs w:val="21"/>
                <w:highlight w:val="none"/>
                <w:lang w:val="en-US" w:eastAsia="zh-CN" w:bidi="ar-SA"/>
              </w:rPr>
              <w:t xml:space="preserve">具有非住宅物业项目业主单位出具的服务好评（考核为优秀、满意等同等级评价）的，得3分。</w:t>
            </w:r>
            <w:r>
              <w:rPr>
                <w:rFonts w:hint="eastAsia" w:ascii="宋体" w:hAnsi="宋体" w:eastAsia="宋体" w:cs="宋体"/>
                <w:color w:val="000000"/>
                <w:sz w:val="21"/>
                <w:szCs w:val="21"/>
                <w:highlight w:val="none"/>
                <w:lang w:val="en-US" w:eastAsia="zh-CN" w:bidi="ar-SA"/>
                <w14:ligatures w14:val="none"/>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注：提供加盖业主单位公章的服务评价证明材料（需体现人员姓名、岗位</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服务评价</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业主单位联系人及电话</w:t>
            </w:r>
            <w:r>
              <w:rPr>
                <w:rFonts w:hint="eastAsia" w:ascii="宋体" w:hAnsi="宋体" w:eastAsia="宋体" w:cs="宋体"/>
                <w:color w:val="000000"/>
                <w:sz w:val="21"/>
                <w:szCs w:val="21"/>
                <w:highlight w:val="none"/>
                <w:lang w:val="en-US" w:eastAsia="zh-CN" w:bidi="ar-SA"/>
              </w:rPr>
              <w:t xml:space="preserve">），证明材料缺项或未提供的不得分。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Style w:val="879"/>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1.供应商拟派保洁主管具有</w:t>
            </w:r>
            <w:r>
              <w:rPr>
                <w:rFonts w:hint="eastAsia" w:ascii="宋体" w:hAnsi="宋体" w:eastAsia="宋体" w:cs="宋体"/>
                <w:color w:val="000000"/>
                <w:sz w:val="21"/>
                <w:szCs w:val="21"/>
                <w:highlight w:val="none"/>
                <w:lang w:val="en-US" w:eastAsia="zh-CN" w:bidi="ar-SA"/>
              </w:rPr>
              <w:t xml:space="preserve">3年及以上非住宅</w:t>
            </w:r>
            <w:r>
              <w:rPr>
                <w:rFonts w:hint="eastAsia" w:ascii="宋体" w:hAnsi="宋体" w:eastAsia="宋体" w:cs="宋体"/>
                <w:color w:val="000000"/>
                <w:sz w:val="21"/>
                <w:szCs w:val="21"/>
                <w:highlight w:val="none"/>
                <w:lang w:val="en-US" w:eastAsia="zh-CN" w:bidi="ar-SA"/>
              </w:rPr>
              <w:t xml:space="preserve">物业项目保洁主管工作经验的得3分。注：提供加盖业主单位公章的工作经验证明材料（需体现人员姓名、岗位</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服务年限</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业主单位联系人及电话</w:t>
            </w:r>
            <w:r>
              <w:rPr>
                <w:rFonts w:hint="eastAsia" w:ascii="宋体" w:hAnsi="宋体" w:eastAsia="宋体" w:cs="宋体"/>
                <w:color w:val="000000"/>
                <w:sz w:val="21"/>
                <w:szCs w:val="21"/>
                <w:highlight w:val="none"/>
                <w:lang w:val="en-US" w:eastAsia="zh-CN" w:bidi="ar-SA"/>
              </w:rPr>
              <w:t xml:space="preserve">），证明材料缺项或未提供的不得分。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2.供应商拟派保洁主管</w:t>
            </w:r>
            <w:r>
              <w:rPr>
                <w:rFonts w:hint="eastAsia" w:ascii="宋体" w:hAnsi="宋体" w:eastAsia="宋体" w:cs="宋体"/>
                <w:color w:val="000000"/>
                <w:sz w:val="21"/>
                <w:szCs w:val="21"/>
                <w:highlight w:val="none"/>
                <w:lang w:val="en-US" w:eastAsia="zh-CN" w:bidi="ar-SA"/>
              </w:rPr>
              <w:t xml:space="preserve">具有非住宅物业项目业主单位出具的服务好评（考核为优秀、满意等同等级评价）的，得3分。</w:t>
            </w:r>
            <w:r>
              <w:rPr>
                <w:rFonts w:hint="eastAsia" w:ascii="宋体" w:hAnsi="宋体" w:eastAsia="宋体" w:cs="宋体"/>
                <w:color w:val="000000"/>
                <w:sz w:val="21"/>
                <w:szCs w:val="21"/>
                <w:highlight w:val="none"/>
                <w:lang w:val="en-US" w:eastAsia="zh-CN" w:bidi="ar-SA"/>
                <w14:ligatures w14:val="none"/>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r>
            <w:r>
              <w:rPr>
                <w:rFonts w:hint="eastAsia" w:ascii="宋体" w:hAnsi="宋体" w:eastAsia="宋体" w:cs="宋体"/>
                <w:color w:val="000000"/>
                <w:sz w:val="21"/>
                <w:szCs w:val="21"/>
                <w:highlight w:val="none"/>
                <w:lang w:val="en-US" w:eastAsia="zh-CN" w:bidi="ar-SA"/>
              </w:rPr>
              <w:t xml:space="preserve">注：提供加盖业主单位公章的服务评价证明材料（需体现人员姓名、岗位</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服务评价</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业主单位联系人及电话</w:t>
            </w:r>
            <w:r>
              <w:rPr>
                <w:rFonts w:hint="eastAsia" w:ascii="宋体" w:hAnsi="宋体" w:eastAsia="宋体" w:cs="宋体"/>
                <w:color w:val="000000"/>
                <w:sz w:val="21"/>
                <w:szCs w:val="21"/>
                <w:highlight w:val="none"/>
                <w:lang w:val="en-US" w:eastAsia="zh-CN" w:bidi="ar-SA"/>
              </w:rPr>
              <w:t xml:space="preserve">），证明材料缺项或未提供的不得分。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Style w:val="879"/>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879"/>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供应商拟派项目其他服务人员（不含项目经理和保洁主管）</w:t>
            </w:r>
            <w:r>
              <w:rPr>
                <w:rFonts w:hint="eastAsia" w:ascii="宋体" w:hAnsi="宋体" w:eastAsia="宋体" w:cs="宋体"/>
                <w:color w:val="000000"/>
                <w:sz w:val="21"/>
                <w:szCs w:val="21"/>
                <w:highlight w:val="none"/>
                <w:lang w:val="en-US" w:eastAsia="zh-CN" w:bidi="ar-SA"/>
              </w:rPr>
              <w:t xml:space="preserve">具有非住宅物业项目业主单位出具的服务好评（考核为优秀、满意等同等级评价）的，每提供一人得2.5分，最多得5分。</w:t>
            </w:r>
            <w:r>
              <w:rPr>
                <w:rFonts w:hint="eastAsia" w:ascii="宋体" w:hAnsi="宋体" w:eastAsia="宋体" w:cs="宋体"/>
                <w:color w:val="000000"/>
                <w:sz w:val="21"/>
                <w:szCs w:val="21"/>
                <w:highlight w:val="none"/>
                <w:lang w:val="en-US" w:eastAsia="zh-CN" w:bidi="ar-SA"/>
                <w14:ligatures w14:val="none"/>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r>
            <w:r>
              <w:rPr>
                <w:rFonts w:hint="eastAsia" w:ascii="宋体" w:hAnsi="宋体" w:eastAsia="宋体" w:cs="宋体"/>
                <w:color w:val="000000"/>
                <w:sz w:val="21"/>
                <w:szCs w:val="21"/>
                <w:highlight w:val="none"/>
                <w:lang w:val="en-US" w:eastAsia="zh-CN" w:bidi="ar-SA"/>
              </w:rPr>
              <w:t xml:space="preserve">注：提供加盖业主单位公章的服务评价证明材料（需体现人员姓名、岗位</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服务评价</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业主单位联系人及电话</w:t>
            </w:r>
            <w:r>
              <w:rPr>
                <w:rFonts w:hint="eastAsia" w:ascii="宋体" w:hAnsi="宋体" w:eastAsia="宋体" w:cs="宋体"/>
                <w:color w:val="000000"/>
                <w:sz w:val="21"/>
                <w:szCs w:val="21"/>
                <w:highlight w:val="none"/>
                <w:lang w:val="en-US" w:eastAsia="zh-CN" w:bidi="ar-SA"/>
              </w:rPr>
              <w:t xml:space="preserve">），证明材料缺项或未提供的不得分。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Style w:val="879"/>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Style w:val="879"/>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hint="eastAsia"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rPr>
                <w:rStyle w:val="879"/>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4.5</w:t>
            </w:r>
            <w:r>
              <w:rPr>
                <w:rStyle w:val="879"/>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拟投入本项目服务的物业管理软件具有</w:t>
            </w:r>
            <w:r>
              <w:rPr>
                <w:rFonts w:hint="eastAsia" w:ascii="宋体" w:hAnsi="宋体" w:eastAsia="宋体" w:cs="宋体"/>
                <w:color w:val="000000"/>
                <w:sz w:val="21"/>
                <w:szCs w:val="21"/>
                <w:highlight w:val="none"/>
                <w:lang w:val="en-US" w:eastAsia="zh-CN" w:bidi="ar-SA"/>
              </w:rPr>
              <w:t xml:space="preserve">设备报修、设备管理、投诉处理、数据分析</w:t>
            </w:r>
            <w:r>
              <w:rPr>
                <w:rFonts w:hint="eastAsia" w:ascii="宋体" w:hAnsi="宋体" w:eastAsia="宋体" w:cs="宋体"/>
                <w:color w:val="000000"/>
                <w:sz w:val="21"/>
                <w:szCs w:val="21"/>
                <w:highlight w:val="none"/>
                <w:lang w:val="en-US" w:eastAsia="zh-CN" w:bidi="ar-SA"/>
              </w:rPr>
              <w:t xml:space="preserve">等功能，具有</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项功能得1分，最多得</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提供承诺</w:t>
            </w:r>
            <w:r>
              <w:rPr>
                <w:rFonts w:hint="eastAsia" w:ascii="宋体" w:hAnsi="宋体" w:eastAsia="宋体" w:cs="宋体"/>
                <w:color w:val="000000"/>
                <w:sz w:val="21"/>
                <w:szCs w:val="21"/>
                <w:highlight w:val="none"/>
                <w:lang w:val="en-US" w:eastAsia="zh-CN" w:bidi="ar-SA"/>
              </w:rPr>
              <w:t xml:space="preserve">书，格式自拟）</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Style w:val="879"/>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879"/>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869"/>
              <w:ind w:left="172"/>
              <w:jc w:val="center"/>
              <w:keepLines w:val="0"/>
              <w:keepNext w:val="0"/>
              <w:pageBreakBefore w:val="0"/>
              <w:spacing w:before="123" w:line="264" w:lineRule="auto"/>
              <w:widowControl w:val="off"/>
              <w:rPr>
                <w:rStyle w:val="879"/>
                <w:rFonts w:ascii="宋体" w:hAnsi="宋体" w:eastAsia="宋体" w:cs="宋体"/>
                <w:color w:val="000000"/>
                <w:spacing w:val="-2"/>
                <w:sz w:val="21"/>
                <w:szCs w:val="21"/>
                <w:highlight w:val="none"/>
                <w:lang w:val="en-US" w:eastAsia="zh-CN" w:bidi="ar-SA"/>
              </w:rPr>
            </w:pPr>
            <w:r>
              <w:rPr>
                <w:rStyle w:val="879"/>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879"/>
                <w:rFonts w:ascii="Times New Roman" w:hAnsi="Times New Roman" w:eastAsia="宋体" w:cs="Times New Roman"/>
                <w:color w:val="000000"/>
                <w:sz w:val="21"/>
                <w:szCs w:val="21"/>
                <w:highlight w:val="none"/>
                <w:lang w:val="en-US" w:eastAsia="zh-CN" w:bidi="ar-SA"/>
              </w:rPr>
            </w:r>
            <w:r/>
          </w:p>
        </w:tc>
      </w:tr>
    </w:tbl>
    <w:p>
      <w:pPr>
        <w:pStyle w:val="869"/>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w:t>
      </w:r>
      <w:bookmarkEnd w:id="128"/>
      <w:r/>
      <w:bookmarkEnd w:id="129"/>
      <w:r/>
      <w:bookmarkEnd w:id="130"/>
      <w:r>
        <w:rPr>
          <w:rFonts w:hint="eastAsia" w:ascii="方正小标宋简体" w:hAnsi="方正小标宋简体" w:eastAsia="方正小标宋简体" w:cs="方正小标宋简体"/>
          <w:color w:val="000000"/>
          <w:sz w:val="36"/>
          <w:szCs w:val="36"/>
          <w:highlight w:val="none"/>
          <w:lang w:val="en-US" w:eastAsia="zh-CN" w:bidi="ar-SA"/>
        </w:rPr>
        <w:t xml:space="preserve">响应文件格式 </w:t>
      </w:r>
      <w:r>
        <w:rPr>
          <w:rFonts w:hint="eastAsia" w:ascii="黑体" w:hAnsi="Times New Roman" w:eastAsia="黑体"/>
          <w:bCs/>
          <w:sz w:val="44"/>
          <w:szCs w:val="28"/>
          <w:highlight w:val="none"/>
        </w:rPr>
      </w:r>
      <w:r/>
    </w:p>
    <w:p>
      <w:pPr>
        <w:pStyle w:val="869"/>
        <w:jc w:val="center"/>
        <w:rPr>
          <w:rFonts w:hint="eastAsia" w:ascii="宋体" w:hAnsi="宋体"/>
          <w:b/>
          <w:sz w:val="72"/>
          <w:szCs w:val="21"/>
          <w:highlight w:val="none"/>
        </w:rPr>
      </w:pPr>
      <w:r/>
      <w:bookmarkStart w:id="132" w:name="_Hlt26671244"/>
      <w:r/>
      <w:bookmarkEnd w:id="132"/>
      <w:r/>
      <w:bookmarkStart w:id="133" w:name="_Hlt26955039"/>
      <w:r/>
      <w:bookmarkEnd w:id="133"/>
      <w:r/>
      <w:bookmarkStart w:id="134" w:name="_Toc26554094"/>
      <w:r/>
      <w:bookmarkStart w:id="135" w:name="_Toc49090576"/>
      <w:r/>
      <w:bookmarkStart w:id="136" w:name="_Toc120614282"/>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869"/>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9"/>
        <w:spacing w:line="440" w:lineRule="exact"/>
        <w:rPr>
          <w:rFonts w:ascii="宋体" w:hAnsi="宋体"/>
          <w:szCs w:val="21"/>
          <w:highlight w:val="none"/>
        </w:rPr>
      </w:pPr>
      <w:r>
        <w:rPr>
          <w:rFonts w:ascii="宋体" w:hAnsi="宋体"/>
          <w:szCs w:val="21"/>
          <w:highlight w:val="none"/>
        </w:rPr>
      </w:r>
      <w:r/>
    </w:p>
    <w:p>
      <w:pPr>
        <w:pStyle w:val="869"/>
        <w:jc w:val="center"/>
        <w:rPr>
          <w:rFonts w:ascii="宋体" w:hAnsi="宋体"/>
          <w:b/>
          <w:sz w:val="36"/>
          <w:szCs w:val="21"/>
          <w:highlight w:val="none"/>
          <w:u w:val="single"/>
        </w:rPr>
      </w:pPr>
      <w:r>
        <w:rPr>
          <w:rFonts w:ascii="宋体" w:hAnsi="宋体"/>
          <w:b/>
          <w:sz w:val="36"/>
          <w:szCs w:val="21"/>
          <w:highlight w:val="none"/>
          <w:u w:val="single"/>
        </w:rPr>
        <w:br w:type="page" w:clear="all"/>
      </w:r>
      <w:bookmarkEnd w:id="126"/>
      <w:r/>
      <w:bookmarkEnd w:id="127"/>
      <w:r/>
      <w:bookmarkEnd w:id="134"/>
      <w:r/>
      <w:bookmarkEnd w:id="135"/>
      <w:r/>
      <w:bookmarkEnd w:id="136"/>
      <w:r>
        <w:rPr>
          <w:rFonts w:ascii="宋体" w:hAnsi="宋体"/>
          <w:b/>
          <w:sz w:val="36"/>
          <w:szCs w:val="21"/>
          <w:highlight w:val="none"/>
          <w:u w:val="singl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lang w:val="en-US" w:eastAsia="zh-CN"/>
        </w:rPr>
        <w:t xml:space="preserve">磋商</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含人工成本报价明细表</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8"/>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9"/>
        <w:rPr>
          <w:sz w:val="24"/>
          <w:szCs w:val="24"/>
          <w:highlight w:val="none"/>
        </w:rPr>
      </w:pPr>
      <w:r>
        <w:rPr>
          <w:sz w:val="24"/>
          <w:szCs w:val="24"/>
          <w:highlight w:val="none"/>
        </w:rPr>
      </w:r>
      <w:r/>
    </w:p>
    <w:p>
      <w:pPr>
        <w:pStyle w:val="869"/>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9"/>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rPr>
          <w:rFonts w:hint="eastAsia"/>
          <w:sz w:val="24"/>
          <w:szCs w:val="24"/>
          <w:highlight w:val="none"/>
        </w:rPr>
      </w:r>
      <w:r/>
    </w:p>
    <w:p>
      <w:pPr>
        <w:pStyle w:val="959"/>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lang w:val="en-US" w:eastAsia="zh-CN"/>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3"/>
        <w:ind w:firstLine="0"/>
        <w:rPr>
          <w:rFonts w:hint="eastAsia"/>
          <w:highlight w:val="none"/>
        </w:rPr>
      </w:pPr>
      <w:r>
        <w:rPr>
          <w:rFonts w:hint="eastAsia"/>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w:t>
      </w:r>
      <w:r>
        <w:rPr>
          <w:rFonts w:hint="eastAsia" w:ascii="Times New Roman" w:hAnsi="Times New Roman" w:eastAsia="宋体" w:cs="Times New Roman"/>
          <w:bCs w:val="0"/>
          <w:sz w:val="24"/>
          <w:szCs w:val="24"/>
          <w:highlight w:val="none"/>
          <w:lang w:val="en-US" w:eastAsia="zh-CN"/>
        </w:rPr>
        <w:t xml:space="preserve">参加磋商</w:t>
      </w:r>
      <w:r>
        <w:rPr>
          <w:rFonts w:hint="eastAsia" w:ascii="Times New Roman" w:hAnsi="Times New Roman" w:eastAsia="宋体" w:cs="Times New Roman"/>
          <w:bCs w:val="0"/>
          <w:sz w:val="24"/>
          <w:szCs w:val="24"/>
          <w:highlight w:val="none"/>
          <w:lang w:eastAsia="zh-CN"/>
        </w:rPr>
        <w:t xml:space="preserve">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sz w:val="24"/>
          <w:szCs w:val="24"/>
          <w:highlight w:val="none"/>
        </w:rPr>
        <w:br w:type="page" w:clear="all"/>
      </w:r>
      <w:bookmarkStart w:id="137"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61"/>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                    （采购人名称）</w:t>
      </w:r>
      <w:r>
        <w:rPr>
          <w:rFonts w:hint="eastAsia" w:ascii="宋体" w:hAnsi="宋体"/>
          <w:szCs w:val="21"/>
          <w:highlight w:val="none"/>
        </w:rPr>
      </w:r>
      <w:r/>
    </w:p>
    <w:p>
      <w:pPr>
        <w:pStyle w:val="961"/>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w:t>
      </w:r>
      <w:r>
        <w:rPr>
          <w:rFonts w:hint="eastAsia" w:ascii="宋体" w:hAnsi="宋体" w:eastAsia="宋体" w:cs="Times New Roman"/>
          <w:sz w:val="24"/>
          <w:szCs w:val="21"/>
          <w:highlight w:val="none"/>
        </w:rPr>
        <w:t xml:space="preserve">贵</w:t>
      </w:r>
      <w:r>
        <w:rPr>
          <w:rFonts w:hint="eastAsia" w:ascii="宋体" w:hAnsi="宋体" w:eastAsia="宋体" w:cs="Times New Roman"/>
          <w:sz w:val="24"/>
          <w:szCs w:val="21"/>
          <w:highlight w:val="none"/>
        </w:rPr>
        <w:t xml:space="preserve">方</w:t>
      </w:r>
      <w:r>
        <w:rPr>
          <w:rFonts w:hint="eastAsia" w:ascii="宋体" w:hAnsi="宋体"/>
          <w:sz w:val="24"/>
          <w:szCs w:val="21"/>
          <w:highlight w:val="none"/>
        </w:rPr>
        <w:t xml:space="preserve">提供所需服务（包含与货物相关的服务及与服务相关的货物）。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w:t>
      </w:r>
      <w:r>
        <w:rPr>
          <w:rFonts w:hint="eastAsia" w:ascii="宋体" w:hAnsi="宋体" w:eastAsia="宋体" w:cs="Times New Roman"/>
          <w:sz w:val="24"/>
          <w:szCs w:val="21"/>
          <w:highlight w:val="none"/>
        </w:rPr>
        <w:t xml:space="preserve">付</w:t>
      </w:r>
      <w:r>
        <w:rPr>
          <w:rFonts w:hint="eastAsia" w:ascii="宋体" w:hAnsi="宋体" w:eastAsia="宋体" w:cs="Times New Roman"/>
          <w:sz w:val="24"/>
          <w:szCs w:val="21"/>
          <w:highlight w:val="none"/>
        </w:rPr>
        <w:t xml:space="preserve">贵</w:t>
      </w:r>
      <w:r>
        <w:rPr>
          <w:rFonts w:hint="eastAsia" w:ascii="宋体" w:hAnsi="宋体" w:eastAsia="宋体" w:cs="Times New Roman"/>
          <w:sz w:val="24"/>
          <w:szCs w:val="21"/>
          <w:highlight w:val="none"/>
        </w:rPr>
        <w:t xml:space="preserve">方</w:t>
      </w:r>
      <w:r>
        <w:rPr>
          <w:rFonts w:hint="eastAsia" w:ascii="宋体" w:hAnsi="宋体" w:eastAsia="宋体" w:cs="Times New Roman"/>
          <w:sz w:val="24"/>
          <w:szCs w:val="21"/>
          <w:highlight w:val="none"/>
        </w:rPr>
        <w:t xml:space="preserve">验收、使用。</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39"/>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eastAsia="宋体" w:cs="Times New Roman"/>
          <w:sz w:val="24"/>
          <w:szCs w:val="21"/>
          <w:highlight w:val="none"/>
        </w:rPr>
        <w:t xml:space="preserve">我方与本磋商有关的正式通讯地址为：</w:t>
      </w:r>
      <w:r>
        <w:rPr>
          <w:rFonts w:hint="eastAsia" w:ascii="宋体" w:hAnsi="宋体" w:eastAsia="宋体" w:cs="Times New Roman"/>
          <w:sz w:val="24"/>
          <w:szCs w:val="21"/>
          <w:highlight w:val="none"/>
        </w:rPr>
      </w:r>
      <w:r/>
    </w:p>
    <w:p>
      <w:pPr>
        <w:pStyle w:val="961"/>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1"/>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1"/>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9"/>
        <w:rPr>
          <w:rFonts w:hint="eastAsia" w:ascii="宋体" w:hAnsi="宋体"/>
          <w:szCs w:val="21"/>
          <w:highlight w:val="none"/>
        </w:rPr>
      </w:pPr>
      <w:r>
        <w:rPr>
          <w:rFonts w:hint="eastAsia" w:ascii="宋体" w:hAnsi="宋体"/>
          <w:szCs w:val="21"/>
          <w:highlight w:val="none"/>
        </w:rPr>
      </w:r>
      <w:r/>
    </w:p>
    <w:p>
      <w:pPr>
        <w:pStyle w:val="949"/>
        <w:rPr>
          <w:rFonts w:hint="eastAsia"/>
          <w:highlight w:val="none"/>
        </w:rPr>
      </w:pPr>
      <w:r>
        <w:rPr>
          <w:rFonts w:hint="eastAsia"/>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四、磋商报价表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869"/>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总报价</w:t>
            </w:r>
            <w:r>
              <w:rPr>
                <w:rFonts w:hint="eastAsia" w:ascii="宋体" w:hAnsi="宋体" w:eastAsia="宋体"/>
                <w:sz w:val="24"/>
                <w:szCs w:val="24"/>
                <w:highlight w:val="none"/>
                <w:lang w:eastAsia="zh-CN"/>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9"/>
        <w:rPr>
          <w:rFonts w:ascii="宋体" w:hAnsi="宋体"/>
          <w:sz w:val="24"/>
          <w:szCs w:val="24"/>
          <w:highlight w:val="none"/>
        </w:rPr>
      </w:pPr>
      <w:r>
        <w:rPr>
          <w:rFonts w:ascii="宋体" w:hAnsi="宋体"/>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39"/>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939"/>
        <w:rPr>
          <w:rFonts w:hint="eastAsia"/>
          <w:highlight w:val="none"/>
          <w:lang w:val="en-US" w:eastAsia="zh-CN"/>
        </w:rPr>
      </w:pPr>
      <w:r>
        <w:rPr>
          <w:rFonts w:hint="eastAsia"/>
          <w:highlight w:val="none"/>
          <w:lang w:val="en-US" w:eastAsia="zh-CN"/>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highlight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五、磋商分项报价表（含人工成本报价明细表）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869"/>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1.“总价”应包括为完成整个项目所产生的所有费用。</w:t>
      </w:r>
      <w:r>
        <w:rPr>
          <w:rFonts w:hint="eastAsia" w:ascii="宋体" w:hAnsi="宋体" w:eastAsia="宋体" w:cs="宋体"/>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2.《磋商分项报价表》中“总价”应当与《磋商报价表》中“总报价”一致。</w:t>
      </w:r>
      <w:r>
        <w:rPr>
          <w:rFonts w:hint="eastAsia" w:ascii="宋体" w:hAnsi="宋体" w:eastAsia="宋体" w:cs="宋体"/>
          <w:b w:val="0"/>
          <w:bCs w:val="0"/>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磋商</w:t>
      </w:r>
      <w:r>
        <w:rPr>
          <w:rFonts w:hint="eastAsia" w:ascii="宋体" w:hAnsi="宋体" w:eastAsia="宋体" w:cs="宋体"/>
          <w:b/>
          <w:bCs/>
          <w:color w:val="000000"/>
          <w:sz w:val="24"/>
          <w:szCs w:val="24"/>
          <w:highlight w:val="none"/>
          <w:lang w:val="en-US" w:eastAsia="zh-CN"/>
        </w:rPr>
        <w:t xml:space="preserve">分项报价表》中“人工成本”的“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”金额应与《人工成本报价明细表》中的“</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”金额一致</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477"/>
        <w:gridCol w:w="80"/>
        <w:gridCol w:w="1077"/>
        <w:gridCol w:w="320"/>
        <w:gridCol w:w="994"/>
        <w:gridCol w:w="483"/>
        <w:gridCol w:w="506"/>
        <w:gridCol w:w="971"/>
        <w:gridCol w:w="410"/>
        <w:gridCol w:w="1067"/>
        <w:gridCol w:w="1477"/>
      </w:tblGrid>
      <w:tr>
        <w:trPr>
          <w:trHeight w:val="452"/>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869"/>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contextualSpacing w:val="0"/>
              <w:jc w:val="center"/>
              <w:keepLines w:val="0"/>
              <w:keepNext w:val="0"/>
              <w:widowControl/>
              <w:rPr>
                <w:rFonts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contextualSpacing w:val="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contextualSpacing w:val="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contextualSpacing w:val="0"/>
              <w:jc w:val="center"/>
              <w:keepLines w:val="0"/>
              <w:keepNext w:val="0"/>
              <w:widowControl/>
              <w:rPr>
                <w:rFonts w:hint="eastAsia" w:ascii="Times New Roman" w:hAnsi="Times New Roman" w:eastAsia="宋体" w:cs="Times New Roman"/>
                <w:sz w:val="21"/>
                <w:szCs w:val="21"/>
                <w:highlight w:val="none"/>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contextualSpacing w:val="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contextualSpacing w:val="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Style w:val="879"/>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rPr>
                <w:rStyle w:val="879"/>
                <w:rFonts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周末</w:t>
            </w:r>
            <w:r>
              <w:rPr>
                <w:rFonts w:hint="eastAsia" w:ascii="宋体" w:hAnsi="宋体" w:eastAsia="宋体" w:cs="宋体"/>
                <w:b/>
                <w:bCs/>
                <w:i w:val="0"/>
                <w:iCs w:val="0"/>
                <w:color w:val="000000"/>
                <w:sz w:val="18"/>
                <w:szCs w:val="18"/>
                <w:highlight w:val="none"/>
                <w:u w:val="none"/>
                <w:lang w:val="en-US" w:eastAsia="zh-CN"/>
              </w:rPr>
              <w:t xml:space="preserve">加班工资</w:t>
            </w:r>
            <w:r>
              <w:rPr>
                <w:rStyle w:val="879"/>
                <w:rFonts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869"/>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879"/>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参考计算公式：人员工资÷21.75天（平均月计薪天数）×2×人数×</w:t>
            </w:r>
            <w:r>
              <w:rPr>
                <w:rStyle w:val="879"/>
                <w:rFonts w:hint="eastAsia" w:ascii="宋体" w:hAnsi="宋体" w:cs="宋体"/>
                <w:i w:val="0"/>
                <w:iCs w:val="0"/>
                <w:color w:val="000000"/>
                <w:sz w:val="18"/>
                <w:szCs w:val="18"/>
                <w:highlight w:val="none"/>
                <w:u w:val="none"/>
                <w:lang w:val="en-US" w:eastAsia="zh-CN" w:bidi="ar-SA"/>
              </w:rPr>
              <w:t xml:space="preserve">周末加班天数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left"/>
              <w:widowControl w:val="off"/>
              <w:rPr>
                <w:rStyle w:val="879"/>
                <w:rFonts w:ascii="宋体" w:hAnsi="宋体" w:eastAsia="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t xml:space="preserve">合计</w:t>
            </w:r>
            <w:r>
              <w:rPr>
                <w:rStyle w:val="879"/>
                <w:rFonts w:ascii="宋体" w:hAnsi="宋体" w:eastAsia="宋体" w:cs="宋体"/>
                <w:i w:val="0"/>
                <w:iCs w:val="0"/>
                <w:color w:val="000000"/>
                <w:sz w:val="18"/>
                <w:szCs w:val="18"/>
                <w:highlight w:val="none"/>
                <w:u w:val="none"/>
                <w:lang w:val="en-US" w:eastAsia="zh-CN" w:bidi="ar-SA"/>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869"/>
              <w:jc w:val="center"/>
              <w:keepLines w:val="0"/>
              <w:keepNext w:val="0"/>
              <w:widowControl/>
              <w:rPr>
                <w:rStyle w:val="879"/>
                <w:rFonts w:ascii="宋体" w:hAnsi="宋体" w:cs="宋体"/>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3</w:t>
            </w:r>
            <w:r>
              <w:rPr>
                <w:rStyle w:val="879"/>
                <w:rFonts w:ascii="宋体" w:hAnsi="宋体" w:cs="宋体"/>
                <w:i w:val="0"/>
                <w:iCs w:val="0"/>
                <w:color w:val="000000"/>
                <w:sz w:val="18"/>
                <w:szCs w:val="18"/>
                <w:highlight w:val="none"/>
                <w:u w:val="none"/>
                <w:lang w:val="en-US" w:eastAsia="zh-CN" w:bidi="ar-SA"/>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879"/>
                <w:rFonts w:hint="eastAsia" w:ascii="宋体" w:hAnsi="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69"/>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879"/>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879"/>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left"/>
              <w:widowControl w:val="off"/>
              <w:rPr>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t xml:space="preserve">合计</w:t>
            </w:r>
            <w:r>
              <w:rPr>
                <w:rFonts w:hint="eastAsia" w:ascii="宋体" w:hAnsi="宋体" w:eastAsia="宋体" w:cs="宋体"/>
                <w:i w:val="0"/>
                <w:iCs w:val="0"/>
                <w:color w:val="000000"/>
                <w:sz w:val="18"/>
                <w:szCs w:val="18"/>
                <w:highlight w:val="none"/>
                <w:u w:val="none"/>
                <w:lang w:val="en-US" w:eastAsia="zh-CN" w:bidi="ar-SA"/>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4</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869"/>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gridSpan w:val="2"/>
            <w:tcBorders>
              <w:left w:val="single" w:color="000000" w:sz="4" w:space="0"/>
            </w:tcBorders>
            <w:tcW w:w="1557" w:type="dxa"/>
            <w:vAlign w:val="center"/>
            <w:textDirection w:val="lrTb"/>
            <w:noWrap w:val="false"/>
          </w:tcPr>
          <w:p>
            <w:pPr>
              <w:pStyle w:val="869"/>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gridSpan w:val="2"/>
            <w:tcW w:w="1314"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gridSpan w:val="2"/>
            <w:tcW w:w="98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gridSpan w:val="2"/>
            <w:tcW w:w="138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gridSpan w:val="2"/>
            <w:tcW w:w="2544"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Style w:val="879"/>
                <w:rFonts w:hint="eastAsia" w:ascii="宋体" w:hAnsi="宋体" w:cs="宋体"/>
                <w:b/>
                <w:bCs/>
                <w:i w:val="0"/>
                <w:iCs w:val="0"/>
                <w:color w:val="000000"/>
                <w:sz w:val="18"/>
                <w:szCs w:val="18"/>
                <w:highlight w:val="none"/>
                <w:u w:val="none"/>
                <w:lang w:val="en-US" w:eastAsia="zh-CN" w:bidi="ar-SA"/>
              </w:rPr>
              <w:t xml:space="preserve">5</w:t>
            </w:r>
            <w:r>
              <w:rPr>
                <w:rStyle w:val="879"/>
                <w:rFonts w:hint="eastAsia" w:ascii="宋体" w:hAnsi="宋体" w:cs="宋体"/>
                <w:b/>
                <w:bCs/>
                <w:i w:val="0"/>
                <w:iCs w:val="0"/>
                <w:color w:val="000000"/>
                <w:sz w:val="18"/>
                <w:szCs w:val="18"/>
                <w:highlight w:val="none"/>
                <w:u w:val="none"/>
                <w:lang w:val="en-US" w:eastAsia="zh-CN" w:bidi="ar-SA"/>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Style w:val="879"/>
                <w:rFonts w:hint="eastAsia" w:ascii="宋体" w:hAnsi="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hint="eastAsia" w:ascii="宋体" w:hAnsi="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11"/>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12"/>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869"/>
              <w:jc w:val="left"/>
              <w:widowControl w:val="off"/>
              <w:rPr>
                <w:rStyle w:val="879"/>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注：（1）此表为样表，行数可自行添加，但表式不变。（2）各分项报价均不得为“0”或负数，否则作无效响应处理。（3）“月数”或“天数”根据项目“合同履行期限”测算。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（4）《磋商分项报价表》中“人工成本”的“合计”金额应与《人工成本报价明细表》中的“总计”金额一致。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879"/>
                <w:rFonts w:ascii="宋体" w:hAnsi="宋体" w:eastAsia="宋体" w:cs="宋体"/>
                <w:b/>
                <w:bCs/>
                <w:i w:val="0"/>
                <w:iCs w:val="0"/>
                <w:color w:val="000000"/>
                <w:sz w:val="18"/>
                <w:szCs w:val="18"/>
                <w:highlight w:val="none"/>
                <w:u w:val="none"/>
                <w:lang w:val="en-US" w:eastAsia="zh-CN" w:bidi="ar-SA"/>
              </w:rPr>
            </w:r>
            <w:r/>
          </w:p>
        </w:tc>
      </w:tr>
    </w:tbl>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869"/>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79"/>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879"/>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879"/>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879"/>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879"/>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869"/>
              <w:jc w:val="left"/>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879"/>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879"/>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879"/>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879"/>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879"/>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879"/>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sz w:val="21"/>
                <w:szCs w:val="21"/>
                <w:highlight w:val="none"/>
                <w:vertAlign w:val="baseline"/>
                <w:lang w:val="en-US" w:eastAsia="zh-CN" w:bidi="ar-SA"/>
              </w:rPr>
            </w:pPr>
            <w:r>
              <w:rPr>
                <w:rStyle w:val="879"/>
                <w:rFonts w:hint="eastAsia" w:ascii="宋体" w:hAnsi="宋体" w:eastAsia="宋体" w:cs="宋体"/>
                <w:sz w:val="21"/>
                <w:szCs w:val="21"/>
                <w:highlight w:val="none"/>
                <w:vertAlign w:val="baseline"/>
                <w:lang w:val="en-US" w:eastAsia="zh-CN" w:bidi="ar-SA"/>
              </w:rPr>
            </w:r>
            <w:r/>
          </w:p>
        </w:tc>
      </w:tr>
    </w:tbl>
    <w:p>
      <w:pPr>
        <w:pStyle w:val="869"/>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49"/>
        <w:rPr>
          <w:highlight w:val="none"/>
          <w:lang w:val="en-US" w:eastAsia="zh-CN"/>
        </w:rPr>
      </w:pPr>
      <w:r>
        <w:rPr>
          <w:highlight w:val="none"/>
          <w:lang w:val="en-US" w:eastAsia="zh-CN"/>
        </w:rPr>
      </w:r>
      <w:r/>
    </w:p>
    <w:p>
      <w:pPr>
        <w:pStyle w:val="869"/>
        <w:spacing w:line="480" w:lineRule="exact"/>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bookmarkEnd w:id="137"/>
      <w:r>
        <w:rPr>
          <w:rFonts w:hint="eastAsia" w:ascii="黑体" w:hAnsi="黑体" w:eastAsia="黑体" w:cs="Times New Roman"/>
          <w:i w:val="0"/>
          <w:color w:val="000000"/>
          <w:sz w:val="32"/>
          <w:szCs w:val="32"/>
          <w:highlight w:val="none"/>
          <w:u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39"/>
        <w:ind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1.供应商须对磋商文件技术要求中的实质性要求（打“★”内容）做出明确响应，否则视为无效响应。</w:t>
      </w:r>
      <w:r>
        <w:rPr>
          <w:rFonts w:hint="eastAsia" w:ascii="宋体" w:hAnsi="宋体" w:eastAsia="宋体" w:cs="宋体"/>
          <w:color w:val="000000"/>
          <w:highlight w:val="none"/>
          <w:lang w:val="en-US" w:eastAsia="zh-CN"/>
        </w:rPr>
      </w:r>
      <w:r/>
    </w:p>
    <w:p>
      <w:pPr>
        <w:pStyle w:val="933"/>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en-US" w:eastAsia="zh-CN"/>
        </w:rPr>
        <w:t xml:space="preserve">技术要求中实质性要求及其他要求明确需要提供证明材料的，签订合同时成交供应商应按磋商文件要求和响应文件响应内容提供相应证明材料供采购人核验，</w:t>
      </w:r>
      <w:r>
        <w:rPr>
          <w:rFonts w:hint="eastAsia" w:ascii="宋体" w:hAnsi="宋体" w:eastAsia="宋体" w:cs="宋体"/>
          <w:b/>
          <w:bCs/>
          <w:color w:val="000000"/>
          <w:highlight w:val="none"/>
          <w:lang w:val="en-US" w:eastAsia="zh-CN"/>
        </w:rPr>
        <w:t xml:space="preserve">否则采购人有权取消其中标资格。</w:t>
      </w:r>
      <w:r>
        <w:rPr>
          <w:rFonts w:hint="eastAsia"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39"/>
        <w:ind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3"/>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sz w:val="32"/>
          <w:szCs w:val="32"/>
          <w:highlight w:val="none"/>
          <w:u w:val="none"/>
          <w:lang w:val="en-US" w:eastAsia="zh-CN"/>
        </w:rPr>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869"/>
        <w:keepLines w:val="0"/>
        <w:keepNext w:val="0"/>
        <w:pageBreakBefore w:val="0"/>
        <w:spacing w:line="360" w:lineRule="auto"/>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9"/>
        <w:ind w:firstLine="0"/>
        <w:jc w:val="left"/>
        <w:spacing w:line="360" w:lineRule="auto"/>
        <w:rPr>
          <w:rFonts w:hint="eastAsia" w:ascii="黑体" w:hAnsi="黑体" w:eastAsia="黑体"/>
          <w:b w:val="0"/>
          <w:sz w:val="32"/>
          <w:szCs w:val="32"/>
          <w:highlight w:val="none"/>
        </w:rPr>
      </w:pPr>
      <w:r>
        <w:rPr>
          <w:rFonts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49"/>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869"/>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69"/>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sz w:val="24"/>
          <w:highlight w:val="none"/>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69"/>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9"/>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69"/>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69"/>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69"/>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除另有说明外，本磋商文件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sz w:val="24"/>
          <w:highlight w:val="none"/>
        </w:rPr>
      </w:r>
      <w:r/>
    </w:p>
    <w:p>
      <w:pPr>
        <w:pStyle w:val="939"/>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6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869"/>
        <w:jc w:val="left"/>
        <w:keepLines w:val="0"/>
        <w:keepNext w:val="0"/>
        <w:pageBreakBefore w:val="0"/>
        <w:spacing w:line="360" w:lineRule="auto"/>
        <w:widowControl/>
        <w:rPr>
          <w:highlight w:val="none"/>
          <w:lang w:val="en-US"/>
        </w:rPr>
        <w:outlineLvl w:val="9"/>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869"/>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69"/>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（采购包号）的磋商。拟在成交后将以下非主体、非关键内容进行分包，我单位承诺一旦在该项目中获得采购合同，将按下表所列情况进行分包，同时承诺分包承担主体不再次分包。 </w:t>
      </w:r>
      <w:r>
        <w:rPr>
          <w:highlight w:val="none"/>
        </w:rPr>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6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6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9"/>
              <w:jc w:val="center"/>
              <w:keepLines w:val="0"/>
              <w:keepNext w:val="0"/>
              <w:widowControl/>
              <w:rPr>
                <w:highlight w:val="none"/>
                <w:vertAlign w:val="baseline"/>
              </w:rPr>
              <w:suppressLineNumbers w:val="0"/>
            </w:pPr>
            <w:r>
              <w:rPr>
                <w:highlight w:val="none"/>
                <w:vertAlign w:val="baseline"/>
              </w:rPr>
            </w:r>
            <w:r/>
          </w:p>
        </w:tc>
      </w:tr>
    </w:tbl>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highlight w:val="none"/>
        </w:rPr>
      </w:r>
      <w:r/>
    </w:p>
    <w:p>
      <w:pPr>
        <w:pStyle w:val="869"/>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如本磋商文件载明本项目分包承担主体应具备的相应资质条件，则供应商须在本表中列明分包承担主体的资质等级，并提供资质证书。</w:t>
      </w:r>
      <w:r>
        <w:rPr>
          <w:rFonts w:hint="eastAsia"/>
          <w:highlight w:val="none"/>
          <w:lang w:val="en-US" w:eastAsia="zh-CN"/>
        </w:rPr>
      </w:r>
      <w:r/>
    </w:p>
    <w:p>
      <w:pPr>
        <w:pStyle w:val="869"/>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highlight w:val="none"/>
        </w:rPr>
      </w:r>
      <w:r/>
    </w:p>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6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69"/>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6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highlight w:val="none"/>
        </w:rPr>
      </w:r>
      <w:r/>
    </w:p>
    <w:p>
      <w:pPr>
        <w:pStyle w:val="933"/>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69"/>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rPr>
          <w:rFonts w:hint="eastAsia" w:ascii="宋体" w:hAnsi="宋体"/>
          <w:sz w:val="24"/>
          <w:szCs w:val="24"/>
          <w:highlight w:val="none"/>
        </w:rPr>
      </w:pPr>
      <w:r>
        <w:rPr>
          <w:rFonts w:hint="eastAsia"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rPr>
          <w:rFonts w:ascii="Times New Roman" w:hAnsi="Times New Roman"/>
          <w:sz w:val="24"/>
          <w:szCs w:val="24"/>
          <w:highlight w:val="none"/>
        </w:rPr>
      </w:pPr>
      <w:r>
        <w:rPr>
          <w:rFonts w:ascii="Times New Roman" w:hAnsi="Times New Roman"/>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rPr>
        <w:rStyle w:val="944"/>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索引 4"/>
    <w:basedOn w:val="869"/>
    <w:next w:val="869"/>
    <w:link w:val="869"/>
    <w:semiHidden/>
    <w:qFormat/>
    <w:pPr>
      <w:ind w:left="1260"/>
    </w:pPr>
    <w:rPr>
      <w:rFonts w:ascii="Calibri" w:hAnsi="Calibri" w:eastAsia="Calibri" w:cs="宋体"/>
      <w:sz w:val="20"/>
      <w:lang w:val="zh-CN"/>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6"/>
    <w:next w:val="896"/>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40"/>
    <w:next w:val="939"/>
    <w:link w:val="941"/>
    <w:pPr>
      <w:ind w:left="0" w:firstLine="420"/>
      <w:spacing w:after="0" w:line="360" w:lineRule="auto"/>
    </w:pPr>
    <w:rPr>
      <w:rFonts w:ascii="宋体" w:hAnsi="宋体" w:eastAsia="宋体" w:cs="Times New Roman"/>
      <w:szCs w:val="20"/>
    </w:rPr>
  </w:style>
  <w:style w:type="paragraph" w:styleId="940">
    <w:name w:val="正文文本缩进1"/>
    <w:basedOn w:val="869"/>
    <w:next w:val="939"/>
    <w:link w:val="869"/>
    <w:unhideWhenUsed/>
    <w:qFormat/>
    <w:pPr>
      <w:ind w:left="420"/>
      <w:spacing w:after="120"/>
    </w:pPr>
  </w:style>
  <w:style w:type="character" w:styleId="941">
    <w:name w:val="正文首行缩进 2 Char"/>
    <w:next w:val="941"/>
    <w:link w:val="939"/>
    <w:rPr>
      <w:rFonts w:ascii="宋体" w:hAnsi="宋体" w:eastAsia="宋体" w:cs="Times New Roman"/>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paragraph" w:styleId="948">
    <w:name w:val="正文1"/>
    <w:basedOn w:val="869"/>
    <w:next w:val="948"/>
    <w:link w:val="869"/>
    <w:qFormat/>
    <w:pPr>
      <w:ind w:left="350" w:firstLine="0"/>
    </w:pPr>
    <w:rPr>
      <w:rFonts w:cs="Times New Roman"/>
      <w:sz w:val="20"/>
      <w:szCs w:val="24"/>
    </w:rPr>
  </w:style>
  <w:style w:type="paragraph" w:styleId="949">
    <w:name w:val="索引 41"/>
    <w:basedOn w:val="869"/>
    <w:next w:val="869"/>
    <w:link w:val="869"/>
    <w:semiHidden/>
    <w:qFormat/>
    <w:pPr>
      <w:ind w:left="1260"/>
    </w:pPr>
    <w:rPr>
      <w:rFonts w:ascii="Calibri" w:hAnsi="Calibri" w:eastAsia="Calibri" w:cs="宋体"/>
      <w:sz w:val="20"/>
      <w:lang w:val="zh-CN"/>
    </w:rPr>
  </w:style>
  <w:style w:type="paragraph" w:styleId="950">
    <w:name w:val="正文文本121"/>
    <w:basedOn w:val="869"/>
    <w:next w:val="950"/>
    <w:link w:val="869"/>
    <w:qFormat/>
    <w:pPr>
      <w:ind w:left="120"/>
    </w:pPr>
    <w:rPr>
      <w:rFonts w:ascii="宋体" w:eastAsia="宋体" w:cs="宋体"/>
      <w:sz w:val="21"/>
      <w:szCs w:val="21"/>
      <w:lang w:val="zh-CN" w:eastAsia="zh-CN" w:bidi="zh-CN"/>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69"/>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69"/>
    <w:next w:val="900"/>
    <w:link w:val="869"/>
    <w:pPr>
      <w:spacing w:after="120"/>
    </w:pPr>
    <w:rPr>
      <w:rFonts w:ascii="宋体" w:hAnsi="Arial" w:eastAsia="宋体" w:cs="Times New Roman"/>
      <w:bCs/>
      <w:iCs/>
      <w:szCs w:val="24"/>
    </w:rPr>
  </w:style>
  <w:style w:type="paragraph" w:styleId="957">
    <w:name w:val="xl27"/>
    <w:basedOn w:val="869"/>
    <w:next w:val="957"/>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69"/>
    <w:next w:val="958"/>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69"/>
    <w:next w:val="959"/>
    <w:link w:val="869"/>
    <w:pPr>
      <w:ind w:firstLine="200"/>
      <w:tabs>
        <w:tab w:val="left" w:pos="360" w:leader="none"/>
      </w:tabs>
    </w:pPr>
    <w:rPr>
      <w:rFonts w:ascii="Times New Roman" w:hAnsi="Times New Roman" w:eastAsia="宋体" w:cs="Times New Roman"/>
      <w:sz w:val="28"/>
      <w:szCs w:val="30"/>
    </w:rPr>
  </w:style>
  <w:style w:type="paragraph" w:styleId="960">
    <w:name w:val=" Char"/>
    <w:basedOn w:val="894"/>
    <w:next w:val="960"/>
    <w:link w:val="869"/>
    <w:rPr>
      <w:rFonts w:ascii="Tahoma" w:hAnsi="Tahoma"/>
      <w:sz w:val="24"/>
      <w:szCs w:val="24"/>
    </w:rPr>
  </w:style>
  <w:style w:type="paragraph" w:styleId="961">
    <w:name w:val="普通正文"/>
    <w:basedOn w:val="869"/>
    <w:next w:val="961"/>
    <w:link w:val="869"/>
    <w:pPr>
      <w:ind w:firstLine="480"/>
      <w:jc w:val="left"/>
      <w:spacing w:before="120" w:after="120" w:line="360" w:lineRule="auto"/>
    </w:pPr>
    <w:rPr>
      <w:rFonts w:ascii="Arial" w:hAnsi="Arial" w:eastAsia="宋体" w:cs="Times New Roman"/>
      <w:sz w:val="24"/>
      <w:szCs w:val="24"/>
    </w:rPr>
  </w:style>
  <w:style w:type="paragraph" w:styleId="962">
    <w:name w:val="table_lines"/>
    <w:basedOn w:val="869"/>
    <w:next w:val="962"/>
    <w:link w:val="869"/>
    <w:pPr>
      <w:jc w:val="left"/>
      <w:widowControl/>
    </w:pPr>
    <w:rPr>
      <w:rFonts w:ascii="Times New Roman" w:hAnsi="Times New Roman" w:eastAsia="宋体" w:cs="Times New Roman"/>
      <w:sz w:val="20"/>
      <w:szCs w:val="20"/>
      <w:lang w:val="de-DE" w:eastAsia="de-DE"/>
    </w:rPr>
  </w:style>
  <w:style w:type="paragraph" w:styleId="963">
    <w:name w:val="附录1"/>
    <w:next w:val="963"/>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4"/>
    <w:next w:val="965"/>
    <w:link w:val="869"/>
    <w:pPr>
      <w:spacing w:line="360" w:lineRule="auto"/>
    </w:pPr>
    <w:rPr>
      <w:rFonts w:ascii="Tahoma" w:hAnsi="Tahoma"/>
      <w:sz w:val="24"/>
      <w:szCs w:val="24"/>
    </w:rPr>
  </w:style>
  <w:style w:type="paragraph" w:styleId="966">
    <w:name w:val="列出段落"/>
    <w:basedOn w:val="869"/>
    <w:next w:val="966"/>
    <w:link w:val="869"/>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8">
    <w:name w:val="普通 (Web)"/>
    <w:basedOn w:val="869"/>
    <w:next w:val="968"/>
    <w:link w:val="869"/>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69"/>
    <w:next w:val="969"/>
    <w:link w:val="869"/>
    <w:pPr>
      <w:spacing w:line="360" w:lineRule="auto"/>
    </w:pPr>
    <w:rPr>
      <w:rFonts w:ascii="Times New Roman" w:hAnsi="Times New Roman" w:eastAsia="宋体" w:cs="Times New Roman"/>
      <w:sz w:val="24"/>
      <w:szCs w:val="20"/>
    </w:rPr>
  </w:style>
  <w:style w:type="paragraph" w:styleId="970">
    <w:name w:val="样式1"/>
    <w:basedOn w:val="869"/>
    <w:next w:val="970"/>
    <w:link w:val="869"/>
    <w:pPr>
      <w:numPr>
        <w:ilvl w:val="0"/>
        <w:numId w:val="3"/>
      </w:numPr>
      <w:tabs>
        <w:tab w:val="left" w:pos="709" w:leader="none"/>
      </w:tabs>
    </w:pPr>
    <w:rPr>
      <w:rFonts w:ascii="宋体" w:hAnsi="宋体" w:eastAsia="宋体" w:cs="Times New Roman"/>
      <w:szCs w:val="21"/>
    </w:rPr>
  </w:style>
  <w:style w:type="paragraph" w:styleId="971">
    <w:name w:val="font6"/>
    <w:basedOn w:val="869"/>
    <w:next w:val="971"/>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69"/>
    <w:next w:val="972"/>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5">
    <w:name w:val="xl24"/>
    <w:basedOn w:val="869"/>
    <w:next w:val="97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69"/>
    <w:next w:val="976"/>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28"/>
    <w:basedOn w:val="869"/>
    <w:next w:val="978"/>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69"/>
    <w:next w:val="979"/>
    <w:link w:val="869"/>
    <w:pPr>
      <w:jc w:val="left"/>
      <w:spacing w:after="160" w:line="240" w:lineRule="exact"/>
      <w:widowControl/>
    </w:pPr>
    <w:rPr>
      <w:rFonts w:ascii="Verdana" w:hAnsi="Verdana" w:eastAsia="宋体" w:cs="Times New Roman"/>
      <w:sz w:val="20"/>
      <w:szCs w:val="20"/>
      <w:lang w:eastAsia="en-US"/>
    </w:rPr>
  </w:style>
  <w:style w:type="paragraph" w:styleId="980">
    <w:name w:val="xl30"/>
    <w:basedOn w:val="869"/>
    <w:next w:val="980"/>
    <w:link w:val="869"/>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4"/>
    <w:next w:val="981"/>
    <w:link w:val="869"/>
    <w:pPr>
      <w:spacing w:line="360" w:lineRule="auto"/>
    </w:pPr>
    <w:rPr>
      <w:rFonts w:ascii="Tahoma" w:hAnsi="Tahoma"/>
      <w:sz w:val="24"/>
      <w:szCs w:val="24"/>
    </w:rPr>
  </w:style>
  <w:style w:type="paragraph" w:styleId="982">
    <w:name w:val="table_1stline"/>
    <w:basedOn w:val="869"/>
    <w:next w:val="982"/>
    <w:link w:val="869"/>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69"/>
    <w:next w:val="983"/>
    <w:link w:val="869"/>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69"/>
    <w:uiPriority w:val="99"/>
    <w:semiHidden/>
    <w:rPr>
      <w:rFonts w:ascii="Times New Roman" w:hAnsi="Times New Roman"/>
      <w:sz w:val="21"/>
      <w:szCs w:val="21"/>
      <w:lang w:val="en-US" w:eastAsia="zh-CN" w:bidi="ar-SA"/>
    </w:rPr>
  </w:style>
  <w:style w:type="paragraph" w:styleId="986">
    <w:name w:val="无间隔"/>
    <w:next w:val="986"/>
    <w:link w:val="869"/>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69"/>
    <w:qFormat/>
    <w:tblPr/>
  </w:style>
  <w:style w:type="paragraph" w:styleId="988">
    <w:name w:val="正文文本 211"/>
    <w:basedOn w:val="869"/>
    <w:next w:val="988"/>
    <w:link w:val="869"/>
    <w:uiPriority w:val="99"/>
    <w:qFormat/>
    <w:pPr>
      <w:jc w:val="center"/>
    </w:pPr>
    <w:rPr>
      <w:b/>
      <w:bCs/>
      <w:sz w:val="20"/>
      <w:szCs w:val="20"/>
    </w:rPr>
  </w:style>
  <w:style w:type="paragraph" w:styleId="989">
    <w:name w:val="正文文本1"/>
    <w:basedOn w:val="869"/>
    <w:next w:val="869"/>
    <w:link w:val="869"/>
    <w:semiHidden/>
    <w:qFormat/>
    <w:rPr>
      <w:rFonts w:ascii="Arial" w:hAnsi="Arial" w:eastAsia="Arial" w:cs="Arial"/>
      <w:sz w:val="21"/>
      <w:szCs w:val="21"/>
      <w:lang w:val="en-US" w:eastAsia="en-US" w:bidi="ar-SA"/>
    </w:rPr>
  </w:style>
  <w:style w:type="paragraph" w:styleId="990">
    <w:name w:val="正文文本12"/>
    <w:basedOn w:val="869"/>
    <w:next w:val="990"/>
    <w:link w:val="869"/>
    <w:uiPriority w:val="1"/>
    <w:qFormat/>
    <w:pPr>
      <w:ind w:left="120"/>
    </w:pPr>
    <w:rPr>
      <w:rFonts w:ascii="宋体" w:hAnsi="宋体" w:eastAsia="宋体" w:cs="宋体"/>
      <w:sz w:val="21"/>
      <w:szCs w:val="21"/>
      <w:lang w:val="zh-CN" w:eastAsia="zh-CN" w:bidi="zh-CN"/>
    </w:rPr>
  </w:style>
  <w:style w:type="paragraph" w:styleId="991">
    <w:name w:val="Table Text"/>
    <w:basedOn w:val="869"/>
    <w:next w:val="991"/>
    <w:link w:val="869"/>
    <w:semiHidden/>
    <w:qFormat/>
    <w:rPr>
      <w:rFonts w:ascii="宋体" w:hAnsi="宋体" w:eastAsia="宋体" w:cs="宋体"/>
      <w:sz w:val="21"/>
      <w:szCs w:val="21"/>
      <w:lang w:val="en-US" w:eastAsia="en-US" w:bidi="ar-SA"/>
    </w:rPr>
  </w:style>
  <w:style w:type="table" w:styleId="992">
    <w:name w:val="网格型1"/>
    <w:basedOn w:val="993"/>
    <w:next w:val="992"/>
    <w:link w:val="869"/>
    <w:qFormat/>
    <w:pPr>
      <w:jc w:val="both"/>
      <w:widowControl w:val="off"/>
    </w:pPr>
    <w:rPr>
      <w:rFonts w:ascii="Times New Roman" w:hAnsi="Times New Roman" w:eastAsia="宋体" w:cs="Times New Roman"/>
      <w:sz w:val="20"/>
      <w:szCs w:val="20"/>
    </w:rPr>
    <w:tblPr/>
  </w:style>
  <w:style w:type="table" w:styleId="993">
    <w:name w:val="普通表格1"/>
    <w:next w:val="993"/>
    <w:link w:val="869"/>
    <w:uiPriority w:val="99"/>
    <w:unhideWhenUsed/>
    <w:qFormat/>
    <w:tblPr/>
  </w:style>
  <w:style w:type="character" w:styleId="994">
    <w:name w:val="font31"/>
    <w:basedOn w:val="879"/>
    <w:next w:val="994"/>
    <w:link w:val="869"/>
    <w:rPr>
      <w:rFonts w:hint="eastAsia" w:ascii="宋体" w:hAnsi="宋体" w:eastAsia="宋体" w:cs="宋体"/>
      <w:b/>
      <w:bCs/>
      <w:i w:val="0"/>
      <w:iCs w:val="0"/>
      <w:color w:val="000000"/>
      <w:sz w:val="21"/>
      <w:szCs w:val="21"/>
      <w:u w:val="none"/>
    </w:rPr>
  </w:style>
  <w:style w:type="character" w:styleId="995">
    <w:name w:val="font21"/>
    <w:basedOn w:val="879"/>
    <w:next w:val="995"/>
    <w:link w:val="869"/>
    <w:rPr>
      <w:rFonts w:hint="eastAsia" w:ascii="宋体" w:hAnsi="宋体" w:eastAsia="宋体" w:cs="宋体"/>
      <w:b/>
      <w:bCs/>
      <w:i w:val="0"/>
      <w:iCs w:val="0"/>
      <w:color w:val="000000"/>
      <w:sz w:val="21"/>
      <w:szCs w:val="21"/>
      <w:u w:val="single"/>
    </w:rPr>
  </w:style>
  <w:style w:type="paragraph" w:styleId="996">
    <w:name w:val="Table Paragraph"/>
    <w:basedOn w:val="869"/>
    <w:next w:val="996"/>
    <w:link w:val="869"/>
    <w:uiPriority w:val="1"/>
    <w:qFormat/>
  </w:style>
  <w:style w:type="table" w:styleId="997">
    <w:name w:val="Table Normal_0"/>
    <w:next w:val="997"/>
    <w:link w:val="869"/>
    <w:qFormat/>
    <w:tblPr/>
  </w:style>
  <w:style w:type="paragraph" w:styleId="998">
    <w:name w:val="正文文本首行缩进 2"/>
    <w:basedOn w:val="940"/>
    <w:next w:val="998"/>
    <w:link w:val="869"/>
    <w:qFormat/>
    <w:pPr>
      <w:ind w:left="0" w:firstLine="420"/>
      <w:spacing w:after="0" w:line="360" w:lineRule="auto"/>
    </w:pPr>
    <w:rPr>
      <w:rFonts w:ascii="宋体" w:hAnsi="宋体"/>
      <w:sz w:val="20"/>
      <w:szCs w:val="20"/>
      <w:lang w:val="en-US" w:eastAsia="en-US"/>
    </w:rPr>
  </w:style>
  <w:style w:type="character" w:styleId="999">
    <w:name w:val="15"/>
    <w:basedOn w:val="879"/>
    <w:next w:val="999"/>
    <w:link w:val="869"/>
    <w:rPr>
      <w:rFonts w:ascii="Times New Roman" w:hAnsi="Times New Roman" w:cs="Times New Roman"/>
    </w:rPr>
  </w:style>
  <w:style w:type="paragraph" w:styleId="1000">
    <w:name w:val="正文首行缩进 211"/>
    <w:basedOn w:val="1001"/>
    <w:next w:val="869"/>
    <w:link w:val="869"/>
    <w:qFormat/>
    <w:pPr>
      <w:ind w:left="0" w:firstLine="420"/>
      <w:spacing w:after="0" w:line="360" w:lineRule="auto"/>
    </w:pPr>
    <w:rPr>
      <w:rFonts w:ascii="宋体" w:hAnsi="宋体" w:eastAsia="宋体" w:cs="Times New Roman"/>
      <w:szCs w:val="20"/>
    </w:rPr>
  </w:style>
  <w:style w:type="paragraph" w:styleId="1001">
    <w:name w:val="正文文本缩进11"/>
    <w:basedOn w:val="869"/>
    <w:next w:val="1002"/>
    <w:link w:val="869"/>
    <w:unhideWhenUsed/>
    <w:qFormat/>
    <w:pPr>
      <w:ind w:left="420"/>
      <w:spacing w:after="120"/>
    </w:pPr>
  </w:style>
  <w:style w:type="paragraph" w:styleId="1002">
    <w:name w:val="寄信人地址1"/>
    <w:basedOn w:val="869"/>
    <w:next w:val="1002"/>
    <w:link w:val="869"/>
    <w:qFormat/>
    <w:rPr>
      <w:rFonts w:ascii="Arial" w:hAnsi="Arial" w:eastAsia="宋体" w:cs="宋体"/>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2023-03-27T07:28:00Z</dcterms:created>
  <dcterms:modified xsi:type="dcterms:W3CDTF">2026-09-17T06:13:51Z</dcterms:modified>
</cp:coreProperties>
</file>