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b/>
          <w:color w:val="auto"/>
          <w:sz w:val="84"/>
          <w:highlight w:val="none"/>
        </w:rPr>
      </w:pPr>
      <w:r>
        <w:rPr>
          <w:rFonts w:ascii="宋体" w:hAnsi="宋体"/>
          <w:b/>
          <w:color w:val="auto"/>
          <w:sz w:val="84"/>
          <w:highlight w:val="none"/>
        </w:rPr>
      </w:r>
      <w:r/>
    </w:p>
    <w:p>
      <w:pPr>
        <w:jc w:val="center"/>
        <w:rPr>
          <w:rFonts w:ascii="宋体" w:hAnsi="宋体"/>
          <w:b/>
          <w:color w:val="auto"/>
          <w:sz w:val="84"/>
          <w:highlight w:val="none"/>
        </w:rPr>
      </w:pPr>
      <w:r>
        <w:rPr>
          <w:rFonts w:hint="eastAsia" w:ascii="宋体" w:hAnsi="宋体"/>
          <w:b/>
          <w:color w:val="auto"/>
          <w:sz w:val="84"/>
          <w:highlight w:val="none"/>
        </w:rPr>
        <w:t xml:space="preserve">太仓市政府采购</w:t>
      </w:r>
      <w:r/>
    </w:p>
    <w:p>
      <w:pPr>
        <w:jc w:val="center"/>
        <w:rPr>
          <w:rFonts w:ascii="宋体" w:hAnsi="宋体"/>
          <w:b/>
          <w:color w:val="auto"/>
          <w:sz w:val="84"/>
          <w:highlight w:val="none"/>
        </w:rPr>
      </w:pPr>
      <w:r>
        <w:rPr>
          <w:rFonts w:hint="eastAsia" w:ascii="宋体" w:hAnsi="宋体"/>
          <w:b/>
          <w:color w:val="auto"/>
          <w:sz w:val="84"/>
          <w:highlight w:val="none"/>
        </w:rPr>
        <w:t xml:space="preserve">招标文件</w:t>
      </w:r>
      <w:r/>
    </w:p>
    <w:p>
      <w:pPr>
        <w:jc w:val="center"/>
        <w:rPr>
          <w:rFonts w:ascii="宋体" w:hAnsi="宋体"/>
          <w:color w:val="auto"/>
          <w:highlight w:val="none"/>
        </w:rPr>
      </w:pPr>
      <w:r>
        <w:rPr>
          <w:rFonts w:ascii="宋体" w:hAnsi="宋体"/>
          <w:color w:val="auto"/>
          <w:highlight w:val="none"/>
        </w:rPr>
      </w:r>
      <w:r/>
    </w:p>
    <w:p>
      <w:pPr>
        <w:pStyle w:val="780"/>
        <w:rPr>
          <w:rFonts w:ascii="宋体" w:hAnsi="宋体" w:eastAsia="宋体" w:cs="宋体"/>
          <w:color w:val="auto"/>
          <w:highlight w:val="none"/>
        </w:rPr>
      </w:pPr>
      <w:r>
        <w:rPr>
          <w:rFonts w:ascii="宋体" w:hAnsi="宋体" w:eastAsia="宋体" w:cs="宋体"/>
          <w:color w:val="auto"/>
          <w:highlight w:val="none"/>
        </w:rPr>
      </w:r>
      <w:r/>
    </w:p>
    <w:p>
      <w:pPr>
        <w:pStyle w:val="780"/>
        <w:rPr>
          <w:rFonts w:ascii="宋体" w:hAnsi="宋体" w:eastAsia="宋体" w:cs="宋体"/>
          <w:color w:val="auto"/>
          <w:highlight w:val="none"/>
        </w:rPr>
      </w:pPr>
      <w:r>
        <w:rPr>
          <w:rFonts w:ascii="宋体" w:hAnsi="宋体" w:eastAsia="宋体" w:cs="宋体"/>
          <w:color w:val="auto"/>
          <w:highlight w:val="none"/>
        </w:rPr>
      </w:r>
      <w:r/>
    </w:p>
    <w:p>
      <w:pPr>
        <w:pStyle w:val="780"/>
        <w:rPr>
          <w:rFonts w:ascii="宋体" w:hAnsi="宋体" w:eastAsia="宋体" w:cs="宋体"/>
          <w:color w:val="auto"/>
          <w:highlight w:val="none"/>
        </w:rPr>
      </w:pPr>
      <w:r>
        <w:rPr>
          <w:rFonts w:ascii="宋体" w:hAnsi="宋体" w:eastAsia="宋体" w:cs="宋体"/>
          <w:color w:val="auto"/>
          <w:highlight w:val="none"/>
        </w:rPr>
      </w:r>
      <w:r/>
    </w:p>
    <w:p>
      <w:pPr>
        <w:jc w:val="both"/>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ind w:firstLine="960"/>
        <w:jc w:val="both"/>
        <w:spacing w:line="360" w:lineRule="auto"/>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采购编号：</w:t>
      </w:r>
      <w:r>
        <w:rPr>
          <w:rFonts w:hint="eastAsia" w:ascii="宋体" w:hAnsi="宋体"/>
          <w:color w:val="auto"/>
          <w:sz w:val="32"/>
          <w:szCs w:val="32"/>
          <w:highlight w:val="none"/>
          <w:lang w:eastAsia="zh-CN"/>
        </w:rPr>
        <w:t xml:space="preserve">JSZC-320585-DFHX-G2026-0014</w:t>
      </w:r>
      <w:r/>
    </w:p>
    <w:p>
      <w:pPr>
        <w:ind w:firstLine="960"/>
        <w:jc w:val="both"/>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采购单位：太仓市人民政府陆渡街道办事处</w:t>
      </w:r>
      <w:r/>
    </w:p>
    <w:p>
      <w:pPr>
        <w:ind w:firstLine="960"/>
        <w:jc w:val="both"/>
        <w:spacing w:line="360" w:lineRule="auto"/>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采购内容：</w:t>
      </w:r>
      <w:r>
        <w:rPr>
          <w:rFonts w:hint="eastAsia" w:ascii="宋体" w:hAnsi="宋体"/>
          <w:color w:val="auto"/>
          <w:sz w:val="32"/>
          <w:szCs w:val="32"/>
          <w:highlight w:val="none"/>
          <w:lang w:eastAsia="zh-CN"/>
        </w:rPr>
        <w:t xml:space="preserve">2027-2029年财务监管平台第三方代理服务采购</w:t>
      </w:r>
      <w:r/>
    </w:p>
    <w:p>
      <w:pPr>
        <w:ind w:firstLine="960"/>
        <w:jc w:val="left"/>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项目类别：服务类</w:t>
      </w:r>
      <w:r/>
    </w:p>
    <w:p>
      <w:pPr>
        <w:ind w:firstLine="960"/>
        <w:jc w:val="left"/>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所属行业：（十五）租赁和商务服务业</w:t>
      </w:r>
      <w:r/>
    </w:p>
    <w:p>
      <w:pPr>
        <w:jc w:val="center"/>
        <w:rPr>
          <w:rFonts w:ascii="宋体" w:hAnsi="宋体"/>
          <w:color w:val="auto"/>
          <w:sz w:val="32"/>
          <w:szCs w:val="32"/>
          <w:highlight w:val="none"/>
        </w:rPr>
      </w:pPr>
      <w:r>
        <w:rPr>
          <w:rFonts w:ascii="宋体" w:hAnsi="宋体"/>
          <w:color w:val="auto"/>
          <w:sz w:val="32"/>
          <w:szCs w:val="32"/>
          <w:highlight w:val="none"/>
        </w:rPr>
      </w:r>
      <w:r/>
    </w:p>
    <w:p>
      <w:pPr>
        <w:pStyle w:val="780"/>
        <w:rPr>
          <w:rFonts w:ascii="宋体" w:hAnsi="宋体" w:eastAsia="宋体" w:cs="宋体"/>
          <w:color w:val="auto"/>
          <w:highlight w:val="none"/>
        </w:rPr>
      </w:pPr>
      <w:r>
        <w:rPr>
          <w:rFonts w:ascii="宋体" w:hAnsi="宋体" w:eastAsia="宋体" w:cs="宋体"/>
          <w:color w:val="auto"/>
          <w:highlight w:val="none"/>
        </w:rPr>
      </w:r>
      <w:r/>
    </w:p>
    <w:p>
      <w:pPr>
        <w:pStyle w:val="806"/>
        <w:rPr>
          <w:rFonts w:ascii="宋体" w:hAnsi="宋体" w:eastAsia="宋体" w:cs="宋体"/>
          <w:color w:val="auto"/>
          <w:highlight w:val="none"/>
        </w:rPr>
      </w:pPr>
      <w:r>
        <w:rPr>
          <w:rFonts w:ascii="宋体" w:hAnsi="宋体" w:eastAsia="宋体" w:cs="宋体"/>
          <w:color w:val="auto"/>
          <w:highlight w:val="none"/>
        </w:rPr>
      </w:r>
      <w:r/>
    </w:p>
    <w:p>
      <w:pPr>
        <w:pStyle w:val="806"/>
        <w:rPr>
          <w:rFonts w:ascii="宋体" w:hAnsi="宋体" w:eastAsia="宋体" w:cs="宋体"/>
          <w:color w:val="auto"/>
          <w:highlight w:val="none"/>
        </w:rPr>
      </w:pPr>
      <w:r>
        <w:rPr>
          <w:rFonts w:ascii="宋体" w:hAnsi="宋体" w:eastAsia="宋体" w:cs="宋体"/>
          <w:color w:val="auto"/>
          <w:highlight w:val="none"/>
        </w:rPr>
      </w:r>
      <w:r/>
    </w:p>
    <w:p>
      <w:pPr>
        <w:pStyle w:val="780"/>
        <w:rPr>
          <w:rFonts w:ascii="宋体" w:hAnsi="宋体" w:eastAsia="宋体" w:cs="宋体"/>
          <w:color w:val="auto"/>
          <w:highlight w:val="none"/>
        </w:rPr>
      </w:pPr>
      <w:r>
        <w:rPr>
          <w:rFonts w:ascii="宋体" w:hAnsi="宋体" w:eastAsia="宋体" w:cs="宋体"/>
          <w:color w:val="auto"/>
          <w:highlight w:val="none"/>
        </w:rPr>
      </w:r>
      <w:r/>
    </w:p>
    <w:p>
      <w:pPr>
        <w:jc w:val="center"/>
        <w:rPr>
          <w:rFonts w:hint="eastAsia" w:ascii="宋体" w:hAnsi="宋体" w:eastAsia="宋体"/>
          <w:color w:val="auto"/>
          <w:sz w:val="32"/>
          <w:szCs w:val="32"/>
          <w:highlight w:val="none"/>
          <w:lang w:eastAsia="zh-CN"/>
        </w:rPr>
      </w:pPr>
      <w:r>
        <w:rPr>
          <w:rFonts w:hint="eastAsia" w:ascii="宋体" w:hAnsi="宋体"/>
          <w:color w:val="auto"/>
          <w:sz w:val="32"/>
          <w:szCs w:val="32"/>
          <w:highlight w:val="none"/>
          <w:lang w:eastAsia="zh-CN"/>
        </w:rPr>
        <w:t xml:space="preserve">东方华星建设管理（江苏）有限公司</w:t>
      </w:r>
      <w:r/>
    </w:p>
    <w:p>
      <w:pPr>
        <w:jc w:val="center"/>
        <w:rPr>
          <w:rFonts w:ascii="宋体" w:hAnsi="宋体"/>
          <w:color w:val="auto"/>
          <w:sz w:val="32"/>
          <w:szCs w:val="32"/>
          <w:highlight w:val="none"/>
        </w:rPr>
      </w:pPr>
      <w:r>
        <w:rPr>
          <w:rFonts w:hint="eastAsia" w:ascii="宋体" w:hAnsi="宋体"/>
          <w:color w:val="auto"/>
          <w:sz w:val="32"/>
          <w:szCs w:val="32"/>
          <w:highlight w:val="none"/>
        </w:rPr>
        <w:t xml:space="preserve">二〇二</w:t>
      </w:r>
      <w:r>
        <w:rPr>
          <w:rFonts w:hint="eastAsia" w:ascii="宋体" w:hAnsi="宋体"/>
          <w:color w:val="auto"/>
          <w:sz w:val="32"/>
          <w:szCs w:val="32"/>
          <w:highlight w:val="none"/>
          <w:lang w:val="en-US" w:eastAsia="zh-CN"/>
        </w:rPr>
        <w:t xml:space="preserve">六</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八</w:t>
      </w:r>
      <w:r>
        <w:rPr>
          <w:rFonts w:hint="eastAsia" w:ascii="宋体" w:hAnsi="宋体"/>
          <w:color w:val="auto"/>
          <w:sz w:val="32"/>
          <w:szCs w:val="32"/>
          <w:highlight w:val="none"/>
        </w:rPr>
        <w:t xml:space="preserve">月</w:t>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jc w:val="center"/>
        <w:rPr>
          <w:rFonts w:ascii="宋体" w:hAnsi="宋体"/>
          <w:color w:val="auto"/>
          <w:sz w:val="44"/>
          <w:szCs w:val="44"/>
          <w:highlight w:val="none"/>
        </w:rPr>
      </w:pPr>
      <w:r>
        <w:rPr>
          <w:rFonts w:hint="eastAsia" w:ascii="宋体" w:hAnsi="宋体"/>
          <w:color w:val="auto"/>
          <w:sz w:val="44"/>
          <w:szCs w:val="44"/>
          <w:highlight w:val="none"/>
        </w:rPr>
        <w:t xml:space="preserve">目录</w:t>
      </w:r>
      <w:r/>
    </w:p>
    <w:p>
      <w:pPr>
        <w:pStyle w:val="792"/>
        <w:tabs>
          <w:tab w:val="right" w:pos="9240" w:leader="dot"/>
        </w:tabs>
        <w:rPr>
          <w:rFonts w:ascii="宋体" w:hAnsi="宋体"/>
          <w:color w:val="auto"/>
          <w:szCs w:val="28"/>
          <w:highlight w:val="none"/>
        </w:rPr>
      </w:pPr>
      <w:r>
        <w:rPr>
          <w:rFonts w:hint="eastAsia" w:ascii="宋体" w:hAnsi="宋体"/>
          <w:color w:val="auto"/>
          <w:szCs w:val="28"/>
          <w:highlight w:val="none"/>
        </w:rPr>
        <w:fldChar w:fldCharType="begin"/>
      </w:r>
      <w:r>
        <w:rPr>
          <w:rFonts w:hint="eastAsia" w:ascii="宋体" w:hAnsi="宋体"/>
          <w:color w:val="auto"/>
          <w:szCs w:val="28"/>
          <w:highlight w:val="none"/>
        </w:rPr>
        <w:instrText xml:space="preserve"> TOC \o "1-1" \h \z \u </w:instrText>
      </w:r>
      <w:r>
        <w:rPr>
          <w:rFonts w:hint="eastAsia" w:ascii="宋体" w:hAnsi="宋体"/>
          <w:color w:val="auto"/>
          <w:szCs w:val="28"/>
          <w:highlight w:val="none"/>
        </w:rPr>
        <w:fldChar w:fldCharType="separate"/>
      </w:r>
      <w:r>
        <w:rPr>
          <w:color w:val="auto"/>
          <w:highlight w:val="none"/>
        </w:rPr>
        <w:fldChar w:fldCharType="begin"/>
      </w:r>
      <w:r>
        <w:rPr>
          <w:color w:val="auto"/>
          <w:highlight w:val="none"/>
        </w:rPr>
        <w:instrText xml:space="preserve"> HYPERLINK \l "_Toc8834" </w:instrText>
      </w:r>
      <w:r>
        <w:rPr>
          <w:color w:val="auto"/>
          <w:highlight w:val="none"/>
        </w:rPr>
        <w:fldChar w:fldCharType="separate"/>
      </w:r>
      <w:r>
        <w:rPr>
          <w:rFonts w:hint="eastAsia" w:ascii="宋体" w:hAnsi="宋体"/>
          <w:color w:val="auto"/>
          <w:szCs w:val="28"/>
          <w:highlight w:val="none"/>
        </w:rPr>
        <w:t xml:space="preserve">第一章 招标公告</w:t>
      </w:r>
      <w:r>
        <w:rPr>
          <w:rFonts w:hint="eastAsia" w:ascii="宋体" w:hAnsi="宋体"/>
          <w:color w:val="auto"/>
          <w:szCs w:val="28"/>
          <w:highlight w:val="none"/>
        </w:rPr>
        <w:tab/>
      </w:r>
      <w:r>
        <w:rPr>
          <w:rFonts w:hint="eastAsia" w:ascii="宋体" w:hAnsi="宋体"/>
          <w:color w:val="auto"/>
          <w:szCs w:val="28"/>
          <w:highlight w:val="none"/>
        </w:rPr>
        <w:fldChar w:fldCharType="begin"/>
      </w:r>
      <w:r>
        <w:rPr>
          <w:rFonts w:hint="eastAsia" w:ascii="宋体" w:hAnsi="宋体"/>
          <w:color w:val="auto"/>
          <w:szCs w:val="28"/>
          <w:highlight w:val="none"/>
        </w:rPr>
        <w:instrText xml:space="preserve"> PAGEREF _Toc8834 \h </w:instrText>
      </w:r>
      <w:r>
        <w:rPr>
          <w:rFonts w:hint="eastAsia" w:ascii="宋体" w:hAnsi="宋体"/>
          <w:color w:val="auto"/>
          <w:szCs w:val="28"/>
          <w:highlight w:val="none"/>
        </w:rPr>
        <w:fldChar w:fldCharType="separate"/>
      </w:r>
      <w:r>
        <w:rPr>
          <w:rFonts w:hint="eastAsia" w:ascii="宋体" w:hAnsi="宋体"/>
          <w:color w:val="auto"/>
          <w:szCs w:val="28"/>
          <w:highlight w:val="none"/>
        </w:rPr>
        <w:t xml:space="preserve">1</w:t>
      </w:r>
      <w:r>
        <w:rPr>
          <w:rFonts w:hint="eastAsia" w:ascii="宋体" w:hAnsi="宋体"/>
          <w:color w:val="auto"/>
          <w:szCs w:val="28"/>
          <w:highlight w:val="none"/>
        </w:rPr>
        <w:fldChar w:fldCharType="end"/>
      </w:r>
      <w:r>
        <w:rPr>
          <w:rFonts w:hint="eastAsia" w:ascii="宋体" w:hAnsi="宋体"/>
          <w:color w:val="auto"/>
          <w:szCs w:val="28"/>
          <w:highlight w:val="none"/>
        </w:rPr>
        <w:fldChar w:fldCharType="end"/>
      </w:r>
      <w:r/>
    </w:p>
    <w:p>
      <w:pPr>
        <w:pStyle w:val="792"/>
        <w:tabs>
          <w:tab w:val="right" w:pos="9240" w:leader="dot"/>
        </w:tabs>
        <w:rPr>
          <w:rFonts w:ascii="宋体" w:hAnsi="宋体"/>
          <w:color w:val="auto"/>
          <w:szCs w:val="28"/>
          <w:highlight w:val="none"/>
        </w:rPr>
      </w:pPr>
      <w:r>
        <w:rPr>
          <w:color w:val="auto"/>
          <w:highlight w:val="none"/>
        </w:rPr>
        <w:fldChar w:fldCharType="begin"/>
      </w:r>
      <w:r>
        <w:rPr>
          <w:color w:val="auto"/>
          <w:highlight w:val="none"/>
        </w:rPr>
        <w:instrText xml:space="preserve"> HYPERLINK \l "_Toc30653" </w:instrText>
      </w:r>
      <w:r>
        <w:rPr>
          <w:color w:val="auto"/>
          <w:highlight w:val="none"/>
        </w:rPr>
        <w:fldChar w:fldCharType="separate"/>
      </w:r>
      <w:r>
        <w:rPr>
          <w:rFonts w:hint="eastAsia" w:ascii="宋体" w:hAnsi="宋体"/>
          <w:color w:val="auto"/>
          <w:szCs w:val="28"/>
          <w:highlight w:val="none"/>
        </w:rPr>
        <w:t xml:space="preserve">第二章 投标人须知</w:t>
      </w:r>
      <w:r>
        <w:rPr>
          <w:rFonts w:hint="eastAsia" w:ascii="宋体" w:hAnsi="宋体"/>
          <w:color w:val="auto"/>
          <w:szCs w:val="28"/>
          <w:highlight w:val="none"/>
        </w:rPr>
        <w:tab/>
      </w:r>
      <w:r>
        <w:rPr>
          <w:rFonts w:hint="eastAsia" w:ascii="宋体" w:hAnsi="宋体"/>
          <w:color w:val="auto"/>
          <w:szCs w:val="28"/>
          <w:highlight w:val="none"/>
        </w:rPr>
        <w:fldChar w:fldCharType="begin"/>
      </w:r>
      <w:r>
        <w:rPr>
          <w:rFonts w:hint="eastAsia" w:ascii="宋体" w:hAnsi="宋体"/>
          <w:color w:val="auto"/>
          <w:szCs w:val="28"/>
          <w:highlight w:val="none"/>
        </w:rPr>
        <w:instrText xml:space="preserve"> PAGEREF _Toc30653 \h </w:instrText>
      </w:r>
      <w:r>
        <w:rPr>
          <w:rFonts w:hint="eastAsia" w:ascii="宋体" w:hAnsi="宋体"/>
          <w:color w:val="auto"/>
          <w:szCs w:val="28"/>
          <w:highlight w:val="none"/>
        </w:rPr>
        <w:fldChar w:fldCharType="separate"/>
      </w:r>
      <w:r>
        <w:rPr>
          <w:rFonts w:hint="eastAsia" w:ascii="宋体" w:hAnsi="宋体"/>
          <w:color w:val="auto"/>
          <w:szCs w:val="28"/>
          <w:highlight w:val="none"/>
        </w:rPr>
        <w:t xml:space="preserve">5</w:t>
      </w:r>
      <w:r>
        <w:rPr>
          <w:rFonts w:hint="eastAsia" w:ascii="宋体" w:hAnsi="宋体"/>
          <w:color w:val="auto"/>
          <w:szCs w:val="28"/>
          <w:highlight w:val="none"/>
        </w:rPr>
        <w:fldChar w:fldCharType="end"/>
      </w:r>
      <w:r>
        <w:rPr>
          <w:rFonts w:hint="eastAsia" w:ascii="宋体" w:hAnsi="宋体"/>
          <w:color w:val="auto"/>
          <w:szCs w:val="28"/>
          <w:highlight w:val="none"/>
        </w:rPr>
        <w:fldChar w:fldCharType="end"/>
      </w:r>
      <w:r/>
    </w:p>
    <w:p>
      <w:pPr>
        <w:pStyle w:val="792"/>
        <w:tabs>
          <w:tab w:val="right" w:pos="9240" w:leader="dot"/>
        </w:tabs>
        <w:rPr>
          <w:rFonts w:ascii="宋体" w:hAnsi="宋体"/>
          <w:color w:val="auto"/>
          <w:szCs w:val="28"/>
          <w:highlight w:val="none"/>
        </w:rPr>
      </w:pPr>
      <w:r>
        <w:rPr>
          <w:color w:val="auto"/>
          <w:highlight w:val="none"/>
        </w:rPr>
        <w:fldChar w:fldCharType="begin"/>
      </w:r>
      <w:r>
        <w:rPr>
          <w:color w:val="auto"/>
          <w:highlight w:val="none"/>
        </w:rPr>
        <w:instrText xml:space="preserve"> HYPERLINK \l "_Toc16018" </w:instrText>
      </w:r>
      <w:r>
        <w:rPr>
          <w:color w:val="auto"/>
          <w:highlight w:val="none"/>
        </w:rPr>
        <w:fldChar w:fldCharType="separate"/>
      </w:r>
      <w:r>
        <w:rPr>
          <w:rFonts w:hint="eastAsia" w:ascii="宋体" w:hAnsi="宋体"/>
          <w:color w:val="auto"/>
          <w:szCs w:val="28"/>
          <w:highlight w:val="none"/>
        </w:rPr>
        <w:t xml:space="preserve">第三章 投标文件格式</w:t>
      </w:r>
      <w:r>
        <w:rPr>
          <w:rFonts w:hint="eastAsia" w:ascii="宋体" w:hAnsi="宋体"/>
          <w:color w:val="auto"/>
          <w:szCs w:val="28"/>
          <w:highlight w:val="none"/>
        </w:rPr>
        <w:tab/>
      </w:r>
      <w:r>
        <w:rPr>
          <w:rFonts w:hint="eastAsia" w:ascii="宋体" w:hAnsi="宋体"/>
          <w:color w:val="auto"/>
          <w:szCs w:val="28"/>
          <w:highlight w:val="none"/>
        </w:rPr>
        <w:fldChar w:fldCharType="begin"/>
      </w:r>
      <w:r>
        <w:rPr>
          <w:rFonts w:hint="eastAsia" w:ascii="宋体" w:hAnsi="宋体"/>
          <w:color w:val="auto"/>
          <w:szCs w:val="28"/>
          <w:highlight w:val="none"/>
        </w:rPr>
        <w:instrText xml:space="preserve"> PAGEREF _Toc16018 \h </w:instrText>
      </w:r>
      <w:r>
        <w:rPr>
          <w:rFonts w:hint="eastAsia" w:ascii="宋体" w:hAnsi="宋体"/>
          <w:color w:val="auto"/>
          <w:szCs w:val="28"/>
          <w:highlight w:val="none"/>
        </w:rPr>
        <w:fldChar w:fldCharType="separate"/>
      </w:r>
      <w:r>
        <w:rPr>
          <w:rFonts w:hint="eastAsia" w:ascii="宋体" w:hAnsi="宋体"/>
          <w:color w:val="auto"/>
          <w:szCs w:val="28"/>
          <w:highlight w:val="none"/>
        </w:rPr>
        <w:t xml:space="preserve">18</w:t>
      </w:r>
      <w:r>
        <w:rPr>
          <w:rFonts w:hint="eastAsia" w:ascii="宋体" w:hAnsi="宋体"/>
          <w:color w:val="auto"/>
          <w:szCs w:val="28"/>
          <w:highlight w:val="none"/>
        </w:rPr>
        <w:fldChar w:fldCharType="end"/>
      </w:r>
      <w:r>
        <w:rPr>
          <w:rFonts w:hint="eastAsia" w:ascii="宋体" w:hAnsi="宋体"/>
          <w:color w:val="auto"/>
          <w:szCs w:val="28"/>
          <w:highlight w:val="none"/>
        </w:rPr>
        <w:fldChar w:fldCharType="end"/>
      </w:r>
      <w:r/>
    </w:p>
    <w:p>
      <w:pPr>
        <w:pStyle w:val="792"/>
        <w:tabs>
          <w:tab w:val="right" w:pos="9240" w:leader="dot"/>
        </w:tabs>
        <w:rPr>
          <w:rFonts w:ascii="宋体" w:hAnsi="宋体"/>
          <w:color w:val="auto"/>
          <w:szCs w:val="28"/>
          <w:highlight w:val="none"/>
        </w:rPr>
      </w:pPr>
      <w:r>
        <w:rPr>
          <w:color w:val="auto"/>
          <w:highlight w:val="none"/>
        </w:rPr>
        <w:fldChar w:fldCharType="begin"/>
      </w:r>
      <w:r>
        <w:rPr>
          <w:color w:val="auto"/>
          <w:highlight w:val="none"/>
        </w:rPr>
        <w:instrText xml:space="preserve"> HYPERLINK \l "_Toc11893" </w:instrText>
      </w:r>
      <w:r>
        <w:rPr>
          <w:color w:val="auto"/>
          <w:highlight w:val="none"/>
        </w:rPr>
        <w:fldChar w:fldCharType="separate"/>
      </w:r>
      <w:r>
        <w:rPr>
          <w:rFonts w:hint="eastAsia" w:ascii="宋体" w:hAnsi="宋体"/>
          <w:color w:val="auto"/>
          <w:szCs w:val="28"/>
          <w:highlight w:val="none"/>
        </w:rPr>
        <w:t xml:space="preserve">第四章 项目需求</w:t>
      </w:r>
      <w:r>
        <w:rPr>
          <w:rFonts w:hint="eastAsia" w:ascii="宋体" w:hAnsi="宋体"/>
          <w:color w:val="auto"/>
          <w:szCs w:val="28"/>
          <w:highlight w:val="none"/>
        </w:rPr>
        <w:tab/>
      </w:r>
      <w:r>
        <w:rPr>
          <w:rFonts w:hint="eastAsia" w:ascii="宋体" w:hAnsi="宋体"/>
          <w:color w:val="auto"/>
          <w:szCs w:val="28"/>
          <w:highlight w:val="none"/>
        </w:rPr>
        <w:fldChar w:fldCharType="begin"/>
      </w:r>
      <w:r>
        <w:rPr>
          <w:rFonts w:hint="eastAsia" w:ascii="宋体" w:hAnsi="宋体"/>
          <w:color w:val="auto"/>
          <w:szCs w:val="28"/>
          <w:highlight w:val="none"/>
        </w:rPr>
        <w:instrText xml:space="preserve"> PAGEREF _Toc11893 \h </w:instrText>
      </w:r>
      <w:r>
        <w:rPr>
          <w:rFonts w:hint="eastAsia" w:ascii="宋体" w:hAnsi="宋体"/>
          <w:color w:val="auto"/>
          <w:szCs w:val="28"/>
          <w:highlight w:val="none"/>
        </w:rPr>
        <w:fldChar w:fldCharType="separate"/>
      </w:r>
      <w:r>
        <w:rPr>
          <w:rFonts w:hint="eastAsia" w:ascii="宋体" w:hAnsi="宋体"/>
          <w:color w:val="auto"/>
          <w:szCs w:val="28"/>
          <w:highlight w:val="none"/>
        </w:rPr>
        <w:t xml:space="preserve">35</w:t>
      </w:r>
      <w:r>
        <w:rPr>
          <w:rFonts w:hint="eastAsia" w:ascii="宋体" w:hAnsi="宋体"/>
          <w:color w:val="auto"/>
          <w:szCs w:val="28"/>
          <w:highlight w:val="none"/>
        </w:rPr>
        <w:fldChar w:fldCharType="end"/>
      </w:r>
      <w:r>
        <w:rPr>
          <w:rFonts w:hint="eastAsia" w:ascii="宋体" w:hAnsi="宋体"/>
          <w:color w:val="auto"/>
          <w:szCs w:val="28"/>
          <w:highlight w:val="none"/>
        </w:rPr>
        <w:fldChar w:fldCharType="end"/>
      </w:r>
      <w:r/>
    </w:p>
    <w:p>
      <w:pPr>
        <w:pStyle w:val="792"/>
        <w:ind w:right="218"/>
        <w:tabs>
          <w:tab w:val="right" w:pos="9240" w:leader="dot"/>
        </w:tabs>
        <w:rPr>
          <w:rFonts w:ascii="宋体" w:hAnsi="宋体"/>
          <w:color w:val="auto"/>
          <w:szCs w:val="28"/>
          <w:highlight w:val="none"/>
        </w:rPr>
      </w:pPr>
      <w:r>
        <w:rPr>
          <w:color w:val="auto"/>
          <w:highlight w:val="none"/>
        </w:rPr>
        <w:fldChar w:fldCharType="begin"/>
      </w:r>
      <w:r>
        <w:rPr>
          <w:color w:val="auto"/>
          <w:highlight w:val="none"/>
        </w:rPr>
        <w:instrText xml:space="preserve"> HYPERLINK \l "_Toc2521" </w:instrText>
      </w:r>
      <w:r>
        <w:rPr>
          <w:color w:val="auto"/>
          <w:highlight w:val="none"/>
        </w:rPr>
        <w:fldChar w:fldCharType="separate"/>
      </w:r>
      <w:r>
        <w:rPr>
          <w:rFonts w:hint="eastAsia" w:ascii="宋体" w:hAnsi="宋体"/>
          <w:color w:val="auto"/>
          <w:szCs w:val="28"/>
          <w:highlight w:val="none"/>
        </w:rPr>
        <w:t xml:space="preserve">第五章 合同主要条款</w:t>
      </w:r>
      <w:r>
        <w:rPr>
          <w:rFonts w:hint="eastAsia" w:ascii="宋体" w:hAnsi="宋体"/>
          <w:color w:val="auto"/>
          <w:szCs w:val="28"/>
          <w:highlight w:val="none"/>
        </w:rPr>
        <w:tab/>
      </w:r>
      <w:r>
        <w:rPr>
          <w:rFonts w:hint="eastAsia" w:ascii="宋体" w:hAnsi="宋体"/>
          <w:color w:val="auto"/>
          <w:szCs w:val="28"/>
          <w:highlight w:val="none"/>
        </w:rPr>
        <w:fldChar w:fldCharType="begin"/>
      </w:r>
      <w:r>
        <w:rPr>
          <w:rFonts w:hint="eastAsia" w:ascii="宋体" w:hAnsi="宋体"/>
          <w:color w:val="auto"/>
          <w:szCs w:val="28"/>
          <w:highlight w:val="none"/>
        </w:rPr>
        <w:instrText xml:space="preserve"> PAGEREF _Toc2521 \h </w:instrText>
      </w:r>
      <w:r>
        <w:rPr>
          <w:rFonts w:hint="eastAsia" w:ascii="宋体" w:hAnsi="宋体"/>
          <w:color w:val="auto"/>
          <w:szCs w:val="28"/>
          <w:highlight w:val="none"/>
        </w:rPr>
        <w:fldChar w:fldCharType="separate"/>
      </w:r>
      <w:r>
        <w:rPr>
          <w:rFonts w:hint="eastAsia" w:ascii="宋体" w:hAnsi="宋体"/>
          <w:color w:val="auto"/>
          <w:szCs w:val="28"/>
          <w:highlight w:val="none"/>
        </w:rPr>
        <w:t xml:space="preserve">41</w:t>
      </w:r>
      <w:r>
        <w:rPr>
          <w:rFonts w:hint="eastAsia" w:ascii="宋体" w:hAnsi="宋体"/>
          <w:color w:val="auto"/>
          <w:szCs w:val="28"/>
          <w:highlight w:val="none"/>
        </w:rPr>
        <w:fldChar w:fldCharType="end"/>
      </w:r>
      <w:r>
        <w:rPr>
          <w:rFonts w:hint="eastAsia" w:ascii="宋体" w:hAnsi="宋体"/>
          <w:color w:val="auto"/>
          <w:szCs w:val="28"/>
          <w:highlight w:val="none"/>
        </w:rPr>
        <w:fldChar w:fldCharType="end"/>
      </w:r>
      <w:r/>
    </w:p>
    <w:p>
      <w:pPr>
        <w:pStyle w:val="792"/>
        <w:tabs>
          <w:tab w:val="right" w:pos="9240" w:leader="dot"/>
        </w:tabs>
        <w:rPr>
          <w:rFonts w:ascii="宋体" w:hAnsi="宋体"/>
          <w:color w:val="auto"/>
          <w:szCs w:val="28"/>
          <w:highlight w:val="none"/>
        </w:rPr>
      </w:pPr>
      <w:r>
        <w:rPr>
          <w:color w:val="auto"/>
          <w:highlight w:val="none"/>
        </w:rPr>
        <w:fldChar w:fldCharType="begin"/>
      </w:r>
      <w:r>
        <w:rPr>
          <w:color w:val="auto"/>
          <w:highlight w:val="none"/>
        </w:rPr>
        <w:instrText xml:space="preserve"> HYPERLINK \l "_Toc19953" </w:instrText>
      </w:r>
      <w:r>
        <w:rPr>
          <w:color w:val="auto"/>
          <w:highlight w:val="none"/>
        </w:rPr>
        <w:fldChar w:fldCharType="separate"/>
      </w:r>
      <w:r>
        <w:rPr>
          <w:rFonts w:hint="eastAsia" w:ascii="宋体" w:hAnsi="宋体"/>
          <w:color w:val="auto"/>
          <w:szCs w:val="28"/>
          <w:highlight w:val="none"/>
        </w:rPr>
        <w:t xml:space="preserve">第六章 评标标准</w:t>
      </w:r>
      <w:r>
        <w:rPr>
          <w:rFonts w:hint="eastAsia" w:ascii="宋体" w:hAnsi="宋体"/>
          <w:color w:val="auto"/>
          <w:szCs w:val="28"/>
          <w:highlight w:val="none"/>
        </w:rPr>
        <w:tab/>
      </w:r>
      <w:r>
        <w:rPr>
          <w:rFonts w:hint="eastAsia" w:ascii="宋体" w:hAnsi="宋体"/>
          <w:color w:val="auto"/>
          <w:szCs w:val="28"/>
          <w:highlight w:val="none"/>
        </w:rPr>
        <w:fldChar w:fldCharType="begin"/>
      </w:r>
      <w:r>
        <w:rPr>
          <w:rFonts w:hint="eastAsia" w:ascii="宋体" w:hAnsi="宋体"/>
          <w:color w:val="auto"/>
          <w:szCs w:val="28"/>
          <w:highlight w:val="none"/>
        </w:rPr>
        <w:instrText xml:space="preserve"> PAGEREF _Toc19953 \h </w:instrText>
      </w:r>
      <w:r>
        <w:rPr>
          <w:rFonts w:hint="eastAsia" w:ascii="宋体" w:hAnsi="宋体"/>
          <w:color w:val="auto"/>
          <w:szCs w:val="28"/>
          <w:highlight w:val="none"/>
        </w:rPr>
        <w:fldChar w:fldCharType="separate"/>
      </w:r>
      <w:r>
        <w:rPr>
          <w:rFonts w:hint="eastAsia" w:ascii="宋体" w:hAnsi="宋体"/>
          <w:color w:val="auto"/>
          <w:szCs w:val="28"/>
          <w:highlight w:val="none"/>
        </w:rPr>
        <w:t xml:space="preserve">47</w:t>
      </w:r>
      <w:r>
        <w:rPr>
          <w:rFonts w:hint="eastAsia" w:ascii="宋体" w:hAnsi="宋体"/>
          <w:color w:val="auto"/>
          <w:szCs w:val="28"/>
          <w:highlight w:val="none"/>
        </w:rPr>
        <w:fldChar w:fldCharType="end"/>
      </w:r>
      <w:r>
        <w:rPr>
          <w:rFonts w:hint="eastAsia" w:ascii="宋体" w:hAnsi="宋体"/>
          <w:color w:val="auto"/>
          <w:szCs w:val="28"/>
          <w:highlight w:val="none"/>
        </w:rPr>
        <w:fldChar w:fldCharType="end"/>
      </w:r>
      <w:r/>
    </w:p>
    <w:p>
      <w:pPr>
        <w:jc w:val="center"/>
        <w:rPr>
          <w:rFonts w:ascii="宋体" w:hAnsi="宋体"/>
          <w:color w:val="auto"/>
          <w:sz w:val="28"/>
          <w:szCs w:val="28"/>
          <w:highlight w:val="none"/>
        </w:rPr>
      </w:pPr>
      <w:r>
        <w:rPr>
          <w:rFonts w:hint="eastAsia" w:ascii="宋体" w:hAnsi="宋体"/>
          <w:color w:val="auto"/>
          <w:sz w:val="28"/>
          <w:szCs w:val="28"/>
          <w:highlight w:val="none"/>
        </w:rPr>
        <w:fldChar w:fldCharType="end"/>
      </w:r>
      <w:r/>
    </w:p>
    <w:p>
      <w:pPr>
        <w:pStyle w:val="761"/>
        <w:rPr>
          <w:rFonts w:ascii="宋体" w:hAnsi="宋体" w:cs="宋体"/>
          <w:color w:val="auto"/>
          <w:highlight w:val="none"/>
        </w:rPr>
        <w:sectPr>
          <w:headerReference w:type="default" r:id="rId9"/>
          <w:footerReference w:type="default" r:id="rId10"/>
          <w:footerReference w:type="even" r:id="rId11"/>
          <w:footerReference w:type="first" r:id="rId12"/>
          <w:footnotePr/>
          <w:endnotePr/>
          <w:type w:val="nextPage"/>
          <w:pgSz w:w="11907" w:h="16840" w:orient="portrait"/>
          <w:pgMar w:top="1297" w:right="1093" w:bottom="1077" w:left="1354" w:header="567" w:footer="567" w:gutter="0"/>
          <w:cols w:num="1" w:sep="0" w:space="720" w:equalWidth="1"/>
          <w:docGrid w:linePitch="360"/>
          <w:titlePg/>
        </w:sectPr>
      </w:pPr>
      <w:r/>
      <w:bookmarkStart w:id="0" w:name="_Toc37331739"/>
      <w:r/>
      <w:r/>
    </w:p>
    <w:p>
      <w:pPr>
        <w:pStyle w:val="761"/>
        <w:rPr>
          <w:rFonts w:ascii="宋体" w:hAnsi="宋体" w:cs="宋体"/>
          <w:color w:val="auto"/>
          <w:highlight w:val="none"/>
        </w:rPr>
      </w:pPr>
      <w:r/>
      <w:bookmarkStart w:id="1" w:name="_Toc8834"/>
      <w:r>
        <w:rPr>
          <w:rFonts w:hint="eastAsia" w:ascii="宋体" w:hAnsi="宋体" w:cs="宋体"/>
          <w:color w:val="auto"/>
          <w:highlight w:val="none"/>
        </w:rPr>
        <w:t xml:space="preserve">第一章</w:t>
      </w:r>
      <w:bookmarkEnd w:id="0"/>
      <w:r>
        <w:rPr>
          <w:rFonts w:hint="eastAsia" w:ascii="宋体" w:hAnsi="宋体" w:cs="宋体"/>
          <w:color w:val="auto"/>
          <w:highlight w:val="none"/>
        </w:rPr>
        <w:t xml:space="preserve"> 招标公告</w:t>
      </w:r>
      <w:bookmarkEnd w:id="1"/>
      <w:r/>
      <w:r/>
    </w:p>
    <w:p>
      <w:pPr>
        <w:ind w:firstLine="482"/>
        <w:spacing w:line="360" w:lineRule="auto"/>
        <w:rPr>
          <w:rFonts w:ascii="宋体" w:hAnsi="宋体"/>
          <w:b/>
          <w:color w:val="auto"/>
          <w:sz w:val="24"/>
          <w:szCs w:val="24"/>
          <w:highlight w:val="none"/>
        </w:rPr>
      </w:pPr>
      <w:r/>
      <w:bookmarkStart w:id="2" w:name="OLE_LINK1"/>
      <w:r>
        <w:rPr>
          <w:rFonts w:hint="eastAsia" w:ascii="宋体" w:hAnsi="宋体"/>
          <w:b/>
          <w:color w:val="auto"/>
          <w:sz w:val="24"/>
          <w:szCs w:val="24"/>
          <w:highlight w:val="none"/>
        </w:rPr>
        <w:t xml:space="preserve">项目概况</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2027-2029年财务监管平台第三方代理服务采购</w:t>
      </w:r>
      <w:r>
        <w:rPr>
          <w:rFonts w:hint="eastAsia" w:ascii="宋体" w:hAnsi="宋体"/>
          <w:color w:val="auto"/>
          <w:sz w:val="24"/>
          <w:szCs w:val="24"/>
          <w:highlight w:val="none"/>
        </w:rPr>
        <w:t xml:space="preserve">招标项目的潜在投标人应在</w:t>
      </w:r>
      <w:r>
        <w:rPr>
          <w:rFonts w:hint="eastAsia" w:ascii="宋体" w:hAnsi="宋体"/>
          <w:color w:val="auto"/>
          <w:sz w:val="24"/>
          <w:szCs w:val="24"/>
          <w:highlight w:val="none"/>
          <w:lang w:val="en-US" w:eastAsia="zh-CN"/>
        </w:rPr>
        <w:t xml:space="preserve">苏采云</w:t>
      </w:r>
      <w:r>
        <w:rPr>
          <w:rFonts w:hint="eastAsia" w:ascii="宋体" w:hAnsi="宋体"/>
          <w:color w:val="auto"/>
          <w:sz w:val="24"/>
          <w:szCs w:val="24"/>
          <w:highlight w:val="none"/>
        </w:rPr>
        <w:t xml:space="preserve">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年09月0</w:t>
      </w:r>
      <w:r>
        <w:rPr>
          <w:rFonts w:hint="eastAsia" w:ascii="宋体" w:hAnsi="宋体"/>
          <w:color w:val="auto"/>
          <w:sz w:val="24"/>
          <w:szCs w:val="24"/>
          <w:highlight w:val="none"/>
          <w:lang w:val="en-US" w:eastAsia="zh-CN"/>
        </w:rPr>
        <w:t xml:space="preserve">9</w:t>
      </w:r>
      <w:bookmarkStart w:id="15" w:name="_GoBack"/>
      <w:r/>
      <w:bookmarkEnd w:id="15"/>
      <w:r>
        <w:rPr>
          <w:rFonts w:hint="eastAsia" w:ascii="宋体" w:hAnsi="宋体"/>
          <w:color w:val="auto"/>
          <w:sz w:val="24"/>
          <w:szCs w:val="24"/>
          <w:highlight w:val="none"/>
        </w:rPr>
        <w:t xml:space="preserve">日09点30分（北京时间）前</w:t>
      </w:r>
      <w:r>
        <w:rPr>
          <w:rFonts w:hint="eastAsia" w:ascii="宋体" w:hAnsi="宋体"/>
          <w:color w:val="auto"/>
          <w:sz w:val="24"/>
          <w:szCs w:val="24"/>
          <w:highlight w:val="none"/>
          <w:lang w:val="en-US" w:eastAsia="zh-CN"/>
        </w:rPr>
        <w:t xml:space="preserve">递交</w:t>
      </w:r>
      <w:r>
        <w:rPr>
          <w:rFonts w:hint="eastAsia" w:ascii="宋体" w:hAnsi="宋体"/>
          <w:color w:val="auto"/>
          <w:sz w:val="24"/>
          <w:szCs w:val="24"/>
          <w:highlight w:val="none"/>
        </w:rPr>
        <w:t xml:space="preserve">投标文件。</w:t>
      </w:r>
      <w:r/>
    </w:p>
    <w:p>
      <w:pPr>
        <w:ind w:right="105"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一、项目基本情况</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1、采购编号：</w:t>
      </w:r>
      <w:r>
        <w:rPr>
          <w:rFonts w:hint="eastAsia" w:ascii="宋体" w:hAnsi="宋体"/>
          <w:color w:val="auto"/>
          <w:sz w:val="24"/>
          <w:szCs w:val="24"/>
          <w:highlight w:val="none"/>
          <w:lang w:val="en-US" w:eastAsia="zh-CN"/>
        </w:rPr>
        <w:t xml:space="preserve">JSZC-320585-DFHX-G2026-0014</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2027-2029年财务监管平台第三方代理服务采购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3、预算金额：人民币伍佰万圆整（￥5</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00000.00元）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4、最高限价：人民币伍佰万圆整（￥5</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00000.00元）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olor w:val="auto"/>
          <w:sz w:val="24"/>
          <w:szCs w:val="24"/>
          <w:highlight w:val="none"/>
          <w:lang w:eastAsia="zh-CN"/>
        </w:rPr>
        <w:t xml:space="preserve">2027-2029年财务监管平台第三方代理服务采购</w:t>
      </w:r>
      <w:r>
        <w:rPr>
          <w:rFonts w:hint="eastAsia" w:ascii="宋体" w:hAnsi="宋体"/>
          <w:color w:val="auto"/>
          <w:sz w:val="24"/>
          <w:szCs w:val="24"/>
          <w:highlight w:val="none"/>
        </w:rPr>
        <w:t xml:space="preserve">，</w:t>
      </w:r>
      <w:r>
        <w:rPr>
          <w:rFonts w:hint="eastAsia" w:ascii="宋体" w:hAnsi="宋体"/>
          <w:color w:val="auto"/>
          <w:sz w:val="24"/>
          <w:szCs w:val="24"/>
          <w:highlight w:val="none"/>
          <w:shd w:val="clear" w:color="auto" w:fill="ffffff"/>
        </w:rPr>
        <w:t xml:space="preserve">提供财务代理、管理与咨询服务。具体包括：①农村财务管理核算业务（代理会计核算、代理财务收支、代理资金管理、代理票据管理、代理财政专项资金管理、协助资产管理、协助合同管理、提供会计信息、代理会计日常资料并建档移交、代理税务申报及纳税规划等服务项目），凡甲方发生的各项经济业务的会计核算均由中标单位统一代理。②农村财务监管中心财务人员的管理和培训业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6、服务期限：自合同签订之日起三年。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7、本项目不接受联合体投标。</w:t>
      </w:r>
      <w:r/>
    </w:p>
    <w:p>
      <w:pPr>
        <w:ind w:right="105"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二、申请人的资格要求：</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（一）满足《中华人民共和国政府采购法》第二十二条规定：</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1、具有独立承担民事责任的能力（提供法人或者其他组织的营业执照等证明文件，自然人的身份证明）。</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2、具有良好的商业信誉和健全的财务会计制度（提供最近一期的财务状况报告，其他组织、自然人提供银行出具的资信证明）</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3、具有履行合同所必需的设备和专业技术能力（提供履行合同所必需的设备和专业技术能力的证明材料）；</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6、法律、行政法规规定的其他条件；</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（二）落实政府采购政策需满足的资格要求：</w:t>
      </w:r>
      <w:r/>
    </w:p>
    <w:p>
      <w:pPr>
        <w:ind w:right="105" w:firstLine="482"/>
        <w:spacing w:line="360" w:lineRule="auto"/>
        <w:rPr>
          <w:rFonts w:hint="eastAsia" w:ascii="宋体" w:hAnsi="宋体"/>
          <w:color w:val="auto"/>
          <w:sz w:val="24"/>
          <w:szCs w:val="24"/>
          <w:highlight w:val="none"/>
        </w:rPr>
      </w:pPr>
      <w:r>
        <w:rPr>
          <w:rFonts w:hint="eastAsia" w:ascii="宋体" w:hAnsi="宋体" w:eastAsia="宋体" w:cs="宋体"/>
          <w:b/>
          <w:bCs/>
          <w:color w:val="auto"/>
          <w:sz w:val="24"/>
          <w:szCs w:val="24"/>
          <w:highlight w:val="none"/>
          <w:shd w:val="clear" w:color="auto" w:fill="ffffff"/>
          <w:lang w:eastAsia="zh-CN"/>
        </w:rPr>
        <w:t xml:space="preserve">本项目专门面向中小企业采购</w:t>
      </w:r>
      <w:r>
        <w:rPr>
          <w:rFonts w:hint="eastAsia" w:ascii="宋体" w:hAnsi="宋体" w:eastAsia="宋体" w:cs="宋体"/>
          <w:color w:val="auto"/>
          <w:sz w:val="24"/>
          <w:szCs w:val="24"/>
          <w:highlight w:val="none"/>
          <w:shd w:val="clear" w:color="auto" w:fill="ffffff"/>
          <w:lang w:eastAsia="zh-CN"/>
        </w:rPr>
        <w:t xml:space="preserve">（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p>
    <w:p>
      <w:pPr>
        <w:numPr>
          <w:ilvl w:val="0"/>
          <w:numId w:val="2"/>
        </w:num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本项目的特定资格条件：</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具有财政局核发的代理记账资格证书。</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eastAsia="宋体" w:cs="宋体"/>
          <w:color w:val="auto"/>
          <w:sz w:val="24"/>
          <w:szCs w:val="24"/>
          <w:highlight w:val="none"/>
          <w:shd w:val="clear" w:color="auto" w:fill="ffffff"/>
          <w:lang w:eastAsia="zh-CN"/>
        </w:rPr>
        <w:t xml:space="preserve">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（四）拒绝下述供应商参加本次采购活动：</w:t>
      </w:r>
      <w:r/>
    </w:p>
    <w:p>
      <w:pPr>
        <w:ind w:right="105" w:firstLine="480"/>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 xml:space="preserve">1.</w:t>
      </w:r>
      <w:r>
        <w:rPr>
          <w:rFonts w:hint="eastAsia" w:ascii="宋体" w:hAnsi="宋体" w:eastAsia="宋体" w:cs="宋体"/>
          <w:color w:val="auto"/>
          <w:sz w:val="24"/>
          <w:szCs w:val="24"/>
          <w:highlight w:val="none"/>
          <w:shd w:val="clear" w:color="auto" w:fill="ffffff"/>
          <w:lang w:eastAsia="zh-CN"/>
        </w:rPr>
        <w:t xml:space="preserve">供应商单位负责人为同一人或者存在直接控股、管理关系的不同供应商，不得参加同一合同项下的政府采购活动。</w:t>
      </w:r>
      <w:r/>
    </w:p>
    <w:p>
      <w:pPr>
        <w:ind w:right="105" w:firstLine="480"/>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lang w:eastAsia="zh-CN"/>
        </w:rPr>
        <w:t xml:space="preserve">法人的分支机构不得参加投标（银行、保险、石油石化、电力、电信等有行业特殊情况的除外）。</w:t>
      </w:r>
      <w:r/>
    </w:p>
    <w:p>
      <w:pPr>
        <w:ind w:right="105" w:firstLine="480"/>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lang w:eastAsia="zh-CN"/>
        </w:rPr>
        <w:t xml:space="preserve">凡为采购项目提供整体设计、规范编制或者项目管理、监理、检测等服务的供应商，不得再参加本项目的其他政府采购活动。</w:t>
      </w:r>
      <w:r/>
    </w:p>
    <w:p>
      <w:pPr>
        <w:ind w:right="105" w:firstLine="480"/>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lang w:eastAsia="zh-CN"/>
        </w:rPr>
        <w:t xml:space="preserve">根据《中华人民共和国政府采购法》及《国务院关于建立完善守信联合激励和失信联合惩戒制度加快推进社会诚信体系建设的指导意见》（国发〔</w:t>
      </w:r>
      <w:r>
        <w:rPr>
          <w:rFonts w:hint="eastAsia" w:ascii="宋体" w:hAnsi="宋体" w:eastAsia="宋体" w:cs="宋体"/>
          <w:color w:val="auto"/>
          <w:sz w:val="24"/>
          <w:szCs w:val="24"/>
          <w:highlight w:val="none"/>
          <w:shd w:val="clear" w:color="auto" w:fill="ffffff"/>
          <w:lang w:val="en-US" w:eastAsia="zh-CN"/>
        </w:rPr>
        <w:t xml:space="preserve">2016</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33</w:t>
      </w:r>
      <w:r>
        <w:rPr>
          <w:rFonts w:hint="eastAsia" w:ascii="宋体" w:hAnsi="宋体" w:eastAsia="宋体" w:cs="宋体"/>
          <w:color w:val="auto"/>
          <w:sz w:val="24"/>
          <w:szCs w:val="24"/>
          <w:highlight w:val="none"/>
          <w:shd w:val="clear" w:color="auto" w:fill="ffffff"/>
          <w:lang w:eastAsia="zh-CN"/>
        </w:rPr>
        <w:t xml:space="preserve">号）、财政部《关于在政府采购活动中查询及使用信用记录有关问题的通知》（财库〔</w:t>
      </w:r>
      <w:r>
        <w:rPr>
          <w:rFonts w:hint="eastAsia" w:ascii="宋体" w:hAnsi="宋体" w:eastAsia="宋体" w:cs="宋体"/>
          <w:color w:val="auto"/>
          <w:sz w:val="24"/>
          <w:szCs w:val="24"/>
          <w:highlight w:val="none"/>
          <w:shd w:val="clear" w:color="auto" w:fill="ffffff"/>
          <w:lang w:val="en-US" w:eastAsia="zh-CN"/>
        </w:rPr>
        <w:t xml:space="preserve">2016</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125</w:t>
      </w:r>
      <w:r>
        <w:rPr>
          <w:rFonts w:hint="eastAsia" w:ascii="宋体" w:hAnsi="宋体" w:eastAsia="宋体" w:cs="宋体"/>
          <w:color w:val="auto"/>
          <w:sz w:val="24"/>
          <w:szCs w:val="24"/>
          <w:highlight w:val="none"/>
          <w:shd w:val="clear" w:color="auto" w:fill="ffffff"/>
          <w:lang w:eastAsia="zh-CN"/>
        </w:rPr>
        <w:t xml:space="preserve">号）的规定，采购代理人将对供应商进行信用查询。对列入失信被执行人、重大税收违法案件当事人名单、政府采购严重违法失信行为记录名单的供应商，拒绝其参与本次政府采购活动。</w:t>
      </w:r>
      <w:r/>
    </w:p>
    <w:p>
      <w:pPr>
        <w:ind w:right="105"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三、获取招标文件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获取方式：</w:t>
      </w:r>
      <w:r>
        <w:rPr>
          <w:rFonts w:hint="eastAsia" w:ascii="宋体" w:hAnsi="宋体" w:eastAsia="宋体" w:cs="宋体"/>
          <w:color w:val="auto"/>
          <w:spacing w:val="8"/>
          <w:sz w:val="24"/>
          <w:szCs w:val="24"/>
          <w:highlight w:val="none"/>
          <w:lang w:val="en-US" w:eastAsia="zh-CN"/>
        </w:rPr>
        <w:t xml:space="preserve">苏采云政府采购一体化平台（网址：http://jszfcg.jsczt.cn/）</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、本项目免费下载电子招标文件。</w:t>
      </w:r>
      <w:r/>
    </w:p>
    <w:p>
      <w:pPr>
        <w:ind w:right="105"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四、提交投标文件截止时间、开标时间和地点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、开标时间：202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年09月0</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日09点30分（北京时间）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、开标地点：</w:t>
      </w:r>
      <w:r>
        <w:rPr>
          <w:rFonts w:hint="eastAsia" w:ascii="宋体" w:hAnsi="宋体" w:eastAsia="宋体" w:cs="宋体"/>
          <w:color w:val="auto"/>
          <w:sz w:val="24"/>
          <w:szCs w:val="24"/>
          <w:highlight w:val="none"/>
          <w:lang w:val="en-US" w:eastAsia="zh-CN"/>
        </w:rPr>
        <w:t xml:space="preserve">苏采云系统</w:t>
      </w:r>
      <w:r/>
    </w:p>
    <w:p>
      <w:pPr>
        <w:ind w:right="105"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五、公告</w:t>
      </w:r>
      <w:r>
        <w:rPr>
          <w:rFonts w:hint="eastAsia" w:ascii="宋体" w:hAnsi="宋体"/>
          <w:b/>
          <w:color w:val="auto"/>
          <w:sz w:val="24"/>
          <w:szCs w:val="24"/>
          <w:highlight w:val="none"/>
        </w:rPr>
        <w:t xml:space="preserve">期限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自公告发布之日起5个工作日。</w:t>
      </w:r>
      <w:r/>
    </w:p>
    <w:p>
      <w:pPr>
        <w:ind w:right="105"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六、其他补充事宜</w:t>
      </w:r>
      <w:bookmarkEnd w:id="2"/>
      <w:r/>
      <w:r/>
    </w:p>
    <w:p>
      <w:pPr>
        <w:ind w:right="105" w:firstLine="480"/>
        <w:spacing w:line="360" w:lineRule="auto"/>
        <w:rPr>
          <w:rFonts w:hint="eastAsia" w:ascii="宋体" w:hAnsi="宋体"/>
          <w:color w:val="auto"/>
          <w:sz w:val="24"/>
          <w:szCs w:val="24"/>
          <w:highlight w:val="none"/>
        </w:rPr>
      </w:pPr>
      <w:r/>
      <w:bookmarkStart w:id="3" w:name="_Toc37331740"/>
      <w:r>
        <w:rPr>
          <w:rFonts w:hint="eastAsia" w:ascii="仿宋" w:hAnsi="仿宋" w:eastAsia="仿宋" w:cs="仿宋"/>
          <w:i w:val="0"/>
          <w:iCs w:val="0"/>
          <w:caps w:val="0"/>
          <w:color w:val="auto"/>
          <w:spacing w:val="0"/>
          <w:sz w:val="24"/>
          <w:szCs w:val="24"/>
          <w:shd w:val="clear" w:color="auto" w:fill="ffffff"/>
          <w:lang w:val="en-US" w:eastAsia="zh-CN" w:bidi="ar"/>
        </w:rPr>
        <w:t xml:space="preserve">（</w:t>
      </w:r>
      <w:r>
        <w:rPr>
          <w:rFonts w:hint="eastAsia" w:ascii="宋体" w:hAnsi="宋体"/>
          <w:color w:val="auto"/>
          <w:sz w:val="24"/>
          <w:szCs w:val="24"/>
          <w:highlight w:val="none"/>
          <w:lang w:val="en-US" w:eastAsia="zh-CN"/>
        </w:rPr>
        <w:t xml:space="preserve">一）获取招标文件、电子投标文件制作及上传、不见面开标流程</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本项目使用CA数字证书进行电子投标，请供应商在参加投标活动前办理好CA数字证书申领及电子签章等操作。CA证书办理详见“江苏省政府采购”官网首页―“苏采云”―进入“苏采云政府采购一体化平台”―点击“新CA办理指南”。</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2.获取招标文件</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（1）确认参与：供应商插入CA证书登陆“苏采云”系统后选择具体项目，点击“我要参与”并签章提交《投标供应商确认函》，提交《投标供应商确认函》日期视同为依法获取招标文件日期。</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（3）获取招标文件：苏采云系统自行下载电子招标文件。</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（4）供应商应随时登录交易网站自行查看本项目的补充通知和网上答疑，以便获悉最新信息。因供应商未及时查看相关信息导致的投标失误，由供应商自行承担。</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3.电子投标文件制作、上传</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4.开标</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（1）供应商登录“苏采云”系统在平台首页点击“开标大厅”，进入江苏省政府采购一体化不见面开标（采购）大厅，在今日项目列表，点击项目，进入不见面开标系统。</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（2）本项目为不见面开标项目，开标阶段供应商在【供应商解密】环节必须使用 CA证书解密电子投标文件，如在系统规定的解密时间（投标文件提交截止时间后15分钟）内未能完成解密的视为放弃投标。</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（3）在开标、评标过程中供应商代表须在网上不见面开标系统中保持在线状态，以应对可能发生的澄清、说明等回复，由于供应商代表不在线所造成的一切后果由供应商自行承担。</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5.有关电子投标的技术疑问：</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CA技术咨询服务电话：400-608-6099</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电子签章技术咨询服务电话：025-83633811、15380932027</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系统使用指导与咨询：联系电话：18261002950 QQ：3048755361。</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（二）投标保证金</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本项目不需要缴纳投标保证金。</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（三）政府采购履约资金扶持政策</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中标供应商可凭政府采购合同办理融资贷款，详情请见江苏政府采购网“政采贷”专栏。</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（四）代理服务费：</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代理服务费:由招标单位支付。按预算金额100万元以内1.5%、100万元(含)-500万元以内1.1%、500万元(含)-1000万元以内0.8%。差额定率累进法计算并支付代理服务费。本项目据实结算，代理服务费为40000元。</w:t>
      </w:r>
      <w:r/>
    </w:p>
    <w:p>
      <w:pPr>
        <w:ind w:right="105" w:firstLine="480"/>
        <w:spacing w:line="360" w:lineRule="auto"/>
        <w:rPr>
          <w:rFonts w:hint="eastAsia" w:ascii="宋体" w:hAnsi="宋体"/>
          <w:b/>
          <w:bCs/>
          <w:color w:val="auto"/>
          <w:sz w:val="24"/>
          <w:szCs w:val="24"/>
          <w:highlight w:val="none"/>
        </w:rPr>
      </w:pPr>
      <w:r>
        <w:rPr>
          <w:rFonts w:hint="eastAsia" w:ascii="宋体" w:hAnsi="宋体"/>
          <w:color w:val="auto"/>
          <w:sz w:val="24"/>
          <w:szCs w:val="24"/>
          <w:highlight w:val="none"/>
          <w:lang w:val="en-US" w:eastAsia="zh-CN"/>
        </w:rPr>
        <w:t xml:space="preserve">（五）政府采购监督电话：0512-53512539。</w:t>
      </w:r>
      <w:r/>
    </w:p>
    <w:p>
      <w:pPr>
        <w:ind w:firstLine="482"/>
        <w:spacing w:line="48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七、对本次招标提出询问，请按以下方式联系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1.采购人信息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名称：太仓市人民政府陆渡街道办事处</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lang w:eastAsia="zh-CN"/>
        </w:rPr>
        <w:t xml:space="preserve">太仓市民安路1号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成晓倩</w:t>
      </w:r>
      <w:r>
        <w:rPr>
          <w:rFonts w:hint="eastAsia" w:ascii="宋体" w:hAnsi="宋体"/>
          <w:color w:val="auto"/>
          <w:sz w:val="24"/>
          <w:szCs w:val="24"/>
          <w:highlight w:val="none"/>
        </w:rPr>
        <w:t xml:space="preserve"> 13915790890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2.采购代理机构信息</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东方华星建设管理（江苏）有限公司</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地址：太仓市</w:t>
      </w:r>
      <w:r>
        <w:rPr>
          <w:rFonts w:hint="eastAsia" w:ascii="宋体" w:hAnsi="宋体"/>
          <w:color w:val="auto"/>
          <w:sz w:val="24"/>
          <w:szCs w:val="24"/>
          <w:highlight w:val="none"/>
          <w:lang w:val="en-US" w:eastAsia="zh-CN"/>
        </w:rPr>
        <w:t xml:space="preserve">人民</w:t>
      </w:r>
      <w:r>
        <w:rPr>
          <w:rFonts w:hint="eastAsia" w:ascii="宋体" w:hAnsi="宋体"/>
          <w:color w:val="auto"/>
          <w:sz w:val="24"/>
          <w:szCs w:val="24"/>
          <w:highlight w:val="none"/>
        </w:rPr>
        <w:t xml:space="preserve">北路</w:t>
      </w:r>
      <w:r>
        <w:rPr>
          <w:rFonts w:hint="eastAsia" w:ascii="宋体" w:hAnsi="宋体"/>
          <w:color w:val="auto"/>
          <w:sz w:val="24"/>
          <w:szCs w:val="24"/>
          <w:highlight w:val="none"/>
          <w:lang w:val="en-US" w:eastAsia="zh-CN"/>
        </w:rPr>
        <w:t xml:space="preserve">33-3</w:t>
      </w:r>
      <w:r>
        <w:rPr>
          <w:rFonts w:hint="eastAsia" w:ascii="宋体" w:hAnsi="宋体"/>
          <w:color w:val="auto"/>
          <w:sz w:val="24"/>
          <w:szCs w:val="24"/>
          <w:highlight w:val="none"/>
        </w:rPr>
        <w:t xml:space="preserve">号二楼</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汪长春</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15906222121</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项目联系人：</w:t>
      </w:r>
      <w:r>
        <w:rPr>
          <w:rFonts w:hint="eastAsia" w:ascii="宋体" w:hAnsi="宋体"/>
          <w:color w:val="auto"/>
          <w:sz w:val="24"/>
          <w:szCs w:val="24"/>
          <w:highlight w:val="none"/>
          <w:lang w:val="en-US" w:eastAsia="zh-CN"/>
        </w:rPr>
        <w:t xml:space="preserve">汪长春</w:t>
      </w:r>
      <w:r>
        <w:rPr>
          <w:rFonts w:hint="eastAsia" w:ascii="宋体" w:hAnsi="宋体"/>
          <w:color w:val="auto"/>
          <w:sz w:val="24"/>
          <w:szCs w:val="24"/>
          <w:highlight w:val="none"/>
        </w:rPr>
        <w:t xml:space="preserve"> </w:t>
      </w:r>
      <w:r/>
    </w:p>
    <w:p>
      <w:pPr>
        <w:ind w:firstLine="480"/>
        <w:spacing w:line="360" w:lineRule="auto"/>
        <w:rPr>
          <w:rFonts w:ascii="宋体" w:hAnsi="宋体"/>
          <w:color w:val="auto"/>
          <w:sz w:val="32"/>
          <w:highlight w:val="none"/>
        </w:rPr>
      </w:pPr>
      <w:r>
        <w:rPr>
          <w:rFonts w:hint="eastAsia" w:ascii="宋体" w:hAnsi="宋体"/>
          <w:color w:val="auto"/>
          <w:sz w:val="24"/>
          <w:szCs w:val="24"/>
          <w:highlight w:val="none"/>
        </w:rPr>
        <w:t xml:space="preserve">电话：</w:t>
      </w:r>
      <w:r>
        <w:rPr>
          <w:rFonts w:hint="eastAsia" w:ascii="宋体" w:hAnsi="宋体"/>
          <w:color w:val="auto"/>
          <w:sz w:val="24"/>
          <w:szCs w:val="24"/>
          <w:highlight w:val="none"/>
          <w:lang w:val="en-US" w:eastAsia="zh-CN"/>
        </w:rPr>
        <w:t xml:space="preserve">15906222121</w:t>
      </w:r>
      <w:r>
        <w:rPr>
          <w:rFonts w:hint="eastAsia" w:ascii="宋体" w:hAnsi="宋体"/>
          <w:color w:val="auto"/>
          <w:sz w:val="32"/>
          <w:highlight w:val="none"/>
        </w:rPr>
        <w:br w:type="page" w:clear="all"/>
      </w:r>
      <w:bookmarkEnd w:id="3"/>
      <w:r/>
      <w:r/>
    </w:p>
    <w:p>
      <w:pPr>
        <w:jc w:val="center"/>
        <w:widowControl w:val="off"/>
        <w:rPr>
          <w:rStyle w:val="1119"/>
          <w:rFonts w:hint="eastAsia" w:ascii="宋体" w:hAnsi="宋体" w:eastAsia="宋体" w:cs="宋体"/>
          <w:color w:val="auto"/>
          <w:sz w:val="32"/>
          <w:szCs w:val="32"/>
          <w:highlight w:val="none"/>
        </w:rPr>
      </w:pPr>
      <w:r>
        <w:rPr>
          <w:rStyle w:val="1119"/>
          <w:rFonts w:hint="eastAsia" w:ascii="宋体" w:hAnsi="宋体" w:eastAsia="宋体" w:cs="宋体"/>
          <w:color w:val="auto"/>
          <w:sz w:val="32"/>
          <w:szCs w:val="32"/>
          <w:highlight w:val="none"/>
        </w:rPr>
        <w:t xml:space="preserve">第二章 投标人须知</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1.1本招标文件仅适用于东方华星建设管理（江苏）有限公司组织的招标活动。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1.3本招标文件的解释权属于东方华星建设管理（江苏）有限公司。</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hint="eastAsia" w:ascii="宋体" w:hAnsi="宋体" w:cs="宋体"/>
          <w:b/>
          <w:bCs/>
          <w:color w:val="auto"/>
          <w:sz w:val="21"/>
          <w:szCs w:val="21"/>
          <w:highlight w:val="none"/>
          <w:lang w:val="zh-CN"/>
        </w:rPr>
      </w:pPr>
      <w:r/>
      <w:bookmarkStart w:id="4" w:name="_Toc142194258"/>
      <w:r>
        <w:rPr>
          <w:rFonts w:hint="eastAsia" w:ascii="宋体" w:hAnsi="宋体" w:cs="宋体"/>
          <w:b/>
          <w:bCs/>
          <w:color w:val="auto"/>
          <w:sz w:val="21"/>
          <w:szCs w:val="21"/>
          <w:highlight w:val="none"/>
          <w:lang w:val="zh-CN"/>
        </w:rPr>
        <w:t xml:space="preserve">二、投标人</w:t>
      </w:r>
      <w:bookmarkEnd w:id="4"/>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本次招标</w:t>
      </w:r>
      <w:r>
        <w:rPr>
          <w:rFonts w:hint="eastAsia" w:ascii="宋体" w:hAnsi="宋体" w:cs="宋体"/>
          <w:color w:val="auto"/>
          <w:sz w:val="21"/>
          <w:szCs w:val="21"/>
          <w:highlight w:val="none"/>
          <w:lang w:val="en-US" w:eastAsia="zh-CN"/>
        </w:rPr>
        <w:t xml:space="preserve">不</w:t>
      </w:r>
      <w:r>
        <w:rPr>
          <w:rFonts w:hint="eastAsia" w:ascii="宋体" w:hAnsi="宋体" w:cs="宋体"/>
          <w:color w:val="auto"/>
          <w:sz w:val="21"/>
          <w:szCs w:val="21"/>
          <w:highlight w:val="none"/>
        </w:rPr>
        <w:t xml:space="preserve">接受联合投标。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13.1.1 开标一览表（系统内直接填写）；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13.1.2 投标报价明细表</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 资格性、符合性、技术、商务部分：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具有独立承担民事责任的能力：提供投标单位营业执照及法定代表人身份证扫描件或自然人的身份证明、授权委托书（如有授权）、被授权人身份证（如有授权）</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关于资格文件的声明函、投标人基本情况表。（详见投标文件格式）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具有良好的商业信誉和健全的财务会计制度：提供参加本次政府采购活动前的财务状况报告或者银行出具的资信证明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具有履行合同所必需的设备和专业技术能力：提供履行合同所必需的设备和专业技术能力的证明材料或书面声明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具有依法缴纳税收和社会保障资金的良好记录：提供参加本次政府采购活动前半年任意一个月份依法缴纳税收和社会保障资金的证明材料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参加政府采购活动前三年内，在经营活动中没有重大违法记录：提供参加本次政府采购活动前3年内在经营活动中没有重大违法记录的书面声明（详见投标文件格式）；</w:t>
      </w:r>
      <w:r/>
    </w:p>
    <w:p>
      <w:pPr>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投标人证明其符合招标文件规定的投标人特定资格条件的证书、证明和文件材料；（如有）</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13.2.2 符合性审查文件部分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13.2.2.1</w:t>
      </w:r>
      <w:r>
        <w:rPr>
          <w:rFonts w:hint="eastAsia" w:ascii="宋体" w:hAnsi="宋体" w:cs="宋体"/>
          <w:color w:val="auto"/>
          <w:sz w:val="21"/>
          <w:szCs w:val="21"/>
          <w:highlight w:val="none"/>
          <w:lang w:eastAsia="zh-CN"/>
        </w:rPr>
        <w:t xml:space="preserve">技术要求偏离表</w:t>
      </w:r>
      <w:r>
        <w:rPr>
          <w:rFonts w:hint="eastAsia" w:ascii="宋体" w:hAnsi="宋体" w:cs="宋体"/>
          <w:color w:val="auto"/>
          <w:sz w:val="21"/>
          <w:szCs w:val="21"/>
          <w:highlight w:val="none"/>
        </w:rPr>
        <w:t xml:space="preserve">（详见投标文件格式）；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13.2.3技术及商务部分（投标人视各自的情况按评审要求自行编制）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13.2.3.1相关业绩一览表及相关证明材料（详见投标文件格式）；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13.2.3.2相关证书一览表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13.2.3.3投入本项目技术（服务）人员一览表及相关证明材料（详见投标文件格式）；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13.2.3.4项目的技术及服务方案等；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13.2.3.5招标文件及评分标准中要求提供的其他相关材料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13.2.3.6其他需投标人对本次投标的详细说明（投标人视各自的情况自行编制）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13.2.4 价格折扣文件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13.2.4.1 中小企业声明函（如有）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13.2.4.2残疾人福利性单位声明函（如有）；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keepLines w:val="0"/>
        <w:keepNext w:val="0"/>
        <w:pageBreakBefore w:val="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15.1除非合同中另有规定，投标总报价应包括完成本项工作所需的一切费用，</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但不限于完</w:t>
      </w:r>
      <w:r>
        <w:rPr>
          <w:rFonts w:hint="eastAsia" w:ascii="宋体" w:hAnsi="宋体" w:eastAsia="宋体" w:cs="宋体"/>
          <w:color w:val="auto"/>
          <w:sz w:val="21"/>
          <w:szCs w:val="21"/>
          <w:highlight w:val="none"/>
        </w:rPr>
        <w:t xml:space="preserve">成本项目所需的全部软硬件设备、辅材、线材、附配件、系统、损耗、安装、调试、验收、培训、人工、机械、运输、仓储、保险、运费、各种税费、劳保、专利技术、第三方检测费等到项目正式交付及</w:t>
      </w:r>
      <w:r>
        <w:rPr>
          <w:rFonts w:hint="eastAsia" w:ascii="宋体" w:hAnsi="宋体" w:eastAsia="宋体" w:cs="宋体"/>
          <w:color w:val="auto"/>
          <w:sz w:val="21"/>
          <w:szCs w:val="21"/>
          <w:highlight w:val="none"/>
          <w:lang w:eastAsia="zh-CN"/>
        </w:rPr>
        <w:t xml:space="preserve">租赁服务期间内一切费用</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政策性文件规定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合同包含的所有风险、责任等各项应有费用</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15.4</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15.5投标文件报价采用人民币表示，除非合同的特殊条款另有规定。</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15.6</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w:t>
      </w:r>
      <w:r>
        <w:rPr>
          <w:rFonts w:hint="eastAsia" w:ascii="宋体" w:hAnsi="宋体" w:cs="宋体"/>
          <w:color w:val="auto"/>
          <w:sz w:val="21"/>
          <w:szCs w:val="21"/>
          <w:highlight w:val="none"/>
          <w:lang w:val="en-US" w:eastAsia="zh-CN"/>
        </w:rPr>
        <w:t xml:space="preserve">构</w:t>
      </w:r>
      <w:r>
        <w:rPr>
          <w:rFonts w:hint="eastAsia" w:ascii="宋体" w:hAnsi="宋体" w:cs="宋体"/>
          <w:color w:val="auto"/>
          <w:sz w:val="21"/>
          <w:szCs w:val="21"/>
          <w:highlight w:val="none"/>
          <w:lang w:val="zh-CN"/>
        </w:rPr>
        <w:t xml:space="preserve">确认不符合政府采购相关法律法规规定的，将拒绝其参与政府采购活动。</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24.6.2大写金额和小写金额不一致的，以大写金额为准；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24.6.3单价金额小数点或者百分比有明显错位的，以开标一览表的总价为准，并修改单价；</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24.6.4总价金额与按单价汇总金额不一致的，以单价金额计算结果为准。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80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zh-CN"/>
        </w:rPr>
        <w:t xml:space="preserve">24.7</w:t>
      </w:r>
      <w:r>
        <w:rPr>
          <w:rFonts w:hint="eastAsia" w:ascii="宋体" w:hAnsi="宋体" w:eastAsia="宋体" w:cs="宋体"/>
          <w:color w:val="auto"/>
          <w:sz w:val="21"/>
          <w:szCs w:val="21"/>
          <w:highlight w:val="none"/>
          <w:lang w:val="en-US" w:eastAsia="zh-CN"/>
        </w:rPr>
        <w:t xml:space="preserve">异常低价</w:t>
      </w:r>
      <w:r/>
    </w:p>
    <w:p>
      <w:pPr>
        <w:pStyle w:val="80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24.7.1</w:t>
      </w:r>
      <w:r>
        <w:rPr>
          <w:rFonts w:hint="eastAsia" w:ascii="宋体" w:hAnsi="宋体" w:eastAsia="宋体" w:cs="宋体"/>
          <w:i w:val="0"/>
          <w:iCs w:val="0"/>
          <w:caps w:val="0"/>
          <w:color w:val="auto"/>
          <w:spacing w:val="0"/>
          <w:sz w:val="21"/>
          <w:szCs w:val="21"/>
          <w:highlight w:val="none"/>
          <w:shd w:val="clear" w:color="auto" w:fill="ffffff"/>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w:t>
      </w:r>
      <w:r>
        <w:rPr>
          <w:rFonts w:hint="eastAsia" w:ascii="宋体" w:hAnsi="宋体" w:cs="宋体"/>
          <w:b/>
          <w:bCs/>
          <w:color w:val="auto"/>
          <w:sz w:val="21"/>
          <w:szCs w:val="21"/>
          <w:highlight w:val="none"/>
          <w:lang w:val="en-US" w:eastAsia="zh-CN"/>
        </w:rPr>
        <w:t xml:space="preserve">代理</w:t>
      </w:r>
      <w:r>
        <w:rPr>
          <w:rFonts w:hint="eastAsia" w:ascii="宋体" w:hAnsi="宋体" w:cs="宋体"/>
          <w:b/>
          <w:bCs/>
          <w:color w:val="auto"/>
          <w:sz w:val="21"/>
          <w:szCs w:val="21"/>
          <w:highlight w:val="none"/>
          <w:lang w:val="zh-CN"/>
        </w:rPr>
        <w:t xml:space="preserve">服务费</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33.1</w:t>
      </w:r>
      <w:r>
        <w:rPr>
          <w:rFonts w:hint="eastAsia" w:ascii="宋体" w:hAnsi="宋体" w:cs="宋体"/>
          <w:color w:val="auto"/>
          <w:sz w:val="21"/>
          <w:szCs w:val="21"/>
          <w:highlight w:val="none"/>
          <w:lang w:val="en-US" w:eastAsia="zh-CN"/>
        </w:rPr>
        <w:t xml:space="preserve">由采购人支付代理</w:t>
      </w:r>
      <w:r>
        <w:rPr>
          <w:rFonts w:hint="eastAsia" w:ascii="宋体" w:hAnsi="宋体" w:cs="宋体"/>
          <w:color w:val="auto"/>
          <w:sz w:val="21"/>
          <w:szCs w:val="21"/>
          <w:highlight w:val="none"/>
          <w:lang w:val="zh-CN"/>
        </w:rPr>
        <w:t xml:space="preserve">服务费。</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hint="eastAsia"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ind w:firstLine="420"/>
        <w:jc w:val="left"/>
        <w:spacing w:line="360" w:lineRule="auto"/>
        <w:rPr>
          <w:rFonts w:ascii="宋体" w:hAnsi="宋体"/>
          <w:color w:val="auto"/>
          <w:highlight w:val="none"/>
        </w:rPr>
      </w:pPr>
      <w:r>
        <w:rPr>
          <w:rFonts w:hint="eastAsia" w:ascii="宋体" w:hAnsi="宋体"/>
          <w:color w:val="auto"/>
          <w:highlight w:val="none"/>
        </w:rPr>
        <w:br w:type="page" w:clear="all"/>
      </w:r>
      <w:r/>
    </w:p>
    <w:p>
      <w:pPr>
        <w:pStyle w:val="761"/>
        <w:rPr>
          <w:rFonts w:ascii="宋体" w:hAnsi="宋体" w:cs="宋体"/>
          <w:color w:val="auto"/>
          <w:highlight w:val="none"/>
        </w:rPr>
      </w:pPr>
      <w:r/>
      <w:bookmarkStart w:id="5" w:name="_Toc16018"/>
      <w:r/>
      <w:bookmarkStart w:id="6" w:name="_Toc37331741"/>
      <w:r>
        <w:rPr>
          <w:rFonts w:hint="eastAsia" w:ascii="宋体" w:hAnsi="宋体" w:cs="宋体"/>
          <w:color w:val="auto"/>
          <w:highlight w:val="none"/>
        </w:rPr>
        <w:t xml:space="preserve">第三章 投标文件格式</w:t>
      </w:r>
      <w:bookmarkEnd w:id="5"/>
      <w:r/>
      <w:bookmarkEnd w:id="6"/>
      <w:r/>
      <w:r/>
    </w:p>
    <w:p>
      <w:pPr>
        <w:spacing w:line="440" w:lineRule="exact"/>
        <w:rPr>
          <w:rFonts w:ascii="宋体" w:hAnsi="宋体"/>
          <w:color w:val="auto"/>
          <w:szCs w:val="21"/>
          <w:highlight w:val="none"/>
        </w:rPr>
      </w:pPr>
      <w:r>
        <w:rPr>
          <w:rFonts w:ascii="宋体" w:hAnsi="宋体"/>
          <w:color w:val="auto"/>
          <w:szCs w:val="21"/>
          <w:highlight w:val="none"/>
        </w:rPr>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说明：</w:t>
      </w:r>
      <w:r/>
    </w:p>
    <w:p>
      <w:pPr>
        <w:ind w:firstLine="482"/>
        <w:spacing w:line="400" w:lineRule="exact"/>
        <w:rPr>
          <w:rFonts w:ascii="宋体" w:hAnsi="宋体"/>
          <w:color w:val="auto"/>
          <w:szCs w:val="21"/>
          <w:highlight w:val="none"/>
        </w:rPr>
      </w:pPr>
      <w:r>
        <w:rPr>
          <w:rFonts w:hint="eastAsia" w:ascii="宋体" w:hAnsi="宋体"/>
          <w:b/>
          <w:color w:val="auto"/>
          <w:sz w:val="24"/>
          <w:szCs w:val="24"/>
          <w:highlight w:val="none"/>
        </w:rPr>
        <w:t xml:space="preserve">对本章所有的投标书格式，投标方可根据自身情况进行补充和修改，但补充和修改不得造成与本格式内容有实质性的违背。</w:t>
      </w:r>
      <w:r/>
    </w:p>
    <w:p>
      <w:pPr>
        <w:ind w:firstLine="435"/>
        <w:spacing w:line="440" w:lineRule="exact"/>
        <w:rPr>
          <w:rFonts w:ascii="宋体" w:hAnsi="宋体"/>
          <w:b/>
          <w:color w:val="auto"/>
          <w:sz w:val="24"/>
          <w:szCs w:val="24"/>
          <w:highlight w:val="none"/>
        </w:rPr>
      </w:pPr>
      <w:r>
        <w:rPr>
          <w:rFonts w:ascii="宋体" w:hAnsi="宋体"/>
          <w:b/>
          <w:color w:val="auto"/>
          <w:sz w:val="24"/>
          <w:szCs w:val="24"/>
          <w:highlight w:val="none"/>
        </w:rPr>
      </w:r>
      <w:r/>
    </w:p>
    <w:p>
      <w:pPr>
        <w:pStyle w:val="775"/>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775"/>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775"/>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775"/>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775"/>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775"/>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color w:val="auto"/>
          <w:highlight w:val="none"/>
        </w:rPr>
      </w:pPr>
      <w:r>
        <w:rPr>
          <w:rFonts w:hint="eastAsia" w:ascii="宋体" w:hAnsi="宋体"/>
          <w:color w:val="auto"/>
          <w:highlight w:val="none"/>
        </w:rPr>
        <w:br w:type="page" w:clear="all"/>
      </w:r>
      <w:r/>
    </w:p>
    <w:p>
      <w:pPr>
        <w:rPr>
          <w:rFonts w:ascii="宋体" w:hAnsi="宋体"/>
          <w:b/>
          <w:color w:val="auto"/>
          <w:sz w:val="44"/>
          <w:szCs w:val="44"/>
          <w:highlight w:val="none"/>
        </w:rPr>
      </w:pPr>
      <w:r>
        <w:rPr>
          <w:rFonts w:hint="eastAsia" w:ascii="宋体" w:hAnsi="宋体"/>
          <w:b/>
          <w:color w:val="auto"/>
          <w:sz w:val="44"/>
          <w:szCs w:val="44"/>
          <w:highlight w:val="none"/>
        </w:rPr>
        <w:t xml:space="preserve">封面：</w:t>
      </w:r>
      <w:r/>
    </w:p>
    <w:p>
      <w:pPr>
        <w:jc w:val="center"/>
        <w:rPr>
          <w:rFonts w:ascii="宋体" w:hAnsi="宋体"/>
          <w:b/>
          <w:color w:val="auto"/>
          <w:sz w:val="72"/>
          <w:szCs w:val="72"/>
          <w:highlight w:val="none"/>
        </w:rPr>
      </w:pPr>
      <w:r>
        <w:rPr>
          <w:rFonts w:ascii="宋体" w:hAnsi="宋体"/>
          <w:b/>
          <w:color w:val="auto"/>
          <w:sz w:val="72"/>
          <w:szCs w:val="72"/>
          <w:highlight w:val="none"/>
        </w:rPr>
      </w:r>
      <w:r/>
    </w:p>
    <w:p>
      <w:pPr>
        <w:jc w:val="center"/>
        <w:rPr>
          <w:rFonts w:ascii="宋体" w:hAnsi="宋体"/>
          <w:b/>
          <w:color w:val="auto"/>
          <w:sz w:val="72"/>
          <w:szCs w:val="72"/>
          <w:highlight w:val="none"/>
        </w:rPr>
      </w:pPr>
      <w:r>
        <w:rPr>
          <w:rFonts w:ascii="宋体" w:hAnsi="宋体"/>
          <w:b/>
          <w:color w:val="auto"/>
          <w:sz w:val="72"/>
          <w:szCs w:val="72"/>
          <w:highlight w:val="none"/>
        </w:rPr>
      </w:r>
      <w:r/>
    </w:p>
    <w:p>
      <w:pPr>
        <w:jc w:val="center"/>
        <w:rPr>
          <w:rFonts w:ascii="宋体" w:hAnsi="宋体"/>
          <w:b/>
          <w:color w:val="auto"/>
          <w:sz w:val="72"/>
          <w:szCs w:val="72"/>
          <w:highlight w:val="none"/>
        </w:rPr>
      </w:pPr>
      <w:r>
        <w:rPr>
          <w:rFonts w:hint="eastAsia" w:ascii="宋体" w:hAnsi="宋体"/>
          <w:b/>
          <w:color w:val="auto"/>
          <w:sz w:val="72"/>
          <w:szCs w:val="72"/>
          <w:highlight w:val="none"/>
        </w:rPr>
        <w:t xml:space="preserve">投 标 文 件</w:t>
      </w:r>
      <w:r/>
    </w:p>
    <w:p>
      <w:pPr>
        <w:rPr>
          <w:rFonts w:ascii="宋体" w:hAnsi="宋体"/>
          <w:b/>
          <w:color w:val="auto"/>
          <w:sz w:val="36"/>
          <w:szCs w:val="36"/>
          <w:highlight w:val="none"/>
        </w:rPr>
      </w:pPr>
      <w:r>
        <w:rPr>
          <w:rFonts w:ascii="宋体" w:hAnsi="宋体"/>
          <w:b/>
          <w:color w:val="auto"/>
          <w:sz w:val="36"/>
          <w:szCs w:val="36"/>
          <w:highlight w:val="none"/>
        </w:rPr>
      </w:r>
      <w:r/>
    </w:p>
    <w:p>
      <w:pPr>
        <w:ind w:firstLine="542"/>
        <w:rPr>
          <w:rFonts w:ascii="宋体" w:hAnsi="宋体"/>
          <w:b/>
          <w:color w:val="auto"/>
          <w:sz w:val="36"/>
          <w:szCs w:val="36"/>
          <w:highlight w:val="none"/>
        </w:rPr>
      </w:pPr>
      <w:r>
        <w:rPr>
          <w:rFonts w:ascii="宋体" w:hAnsi="宋体"/>
          <w:b/>
          <w:color w:val="auto"/>
          <w:sz w:val="36"/>
          <w:szCs w:val="36"/>
          <w:highlight w:val="none"/>
        </w:rPr>
      </w:r>
      <w:r/>
    </w:p>
    <w:p>
      <w:pPr>
        <w:ind w:firstLine="542"/>
        <w:rPr>
          <w:rFonts w:ascii="宋体" w:hAnsi="宋体"/>
          <w:b/>
          <w:color w:val="auto"/>
          <w:sz w:val="36"/>
          <w:szCs w:val="36"/>
          <w:highlight w:val="none"/>
        </w:rPr>
      </w:pPr>
      <w:r>
        <w:rPr>
          <w:rFonts w:ascii="宋体" w:hAnsi="宋体"/>
          <w:b/>
          <w:color w:val="auto"/>
          <w:sz w:val="36"/>
          <w:szCs w:val="36"/>
          <w:highlight w:val="none"/>
        </w:rPr>
      </w:r>
      <w:r/>
    </w:p>
    <w:p>
      <w:pPr>
        <w:ind w:firstLine="1063"/>
        <w:rPr>
          <w:rFonts w:ascii="宋体" w:hAnsi="宋体"/>
          <w:b/>
          <w:color w:val="auto"/>
          <w:sz w:val="32"/>
          <w:szCs w:val="32"/>
          <w:highlight w:val="none"/>
        </w:rPr>
      </w:pPr>
      <w:r>
        <w:rPr>
          <w:rFonts w:hint="eastAsia" w:ascii="宋体" w:hAnsi="宋体"/>
          <w:b/>
          <w:color w:val="auto"/>
          <w:sz w:val="32"/>
          <w:szCs w:val="32"/>
          <w:highlight w:val="none"/>
        </w:rPr>
        <w:t xml:space="preserve">采购单位：太仓市人民政府陆渡街道办事处</w:t>
      </w:r>
      <w:r/>
    </w:p>
    <w:p>
      <w:pPr>
        <w:ind w:firstLine="1063"/>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eastAsia="zh-CN"/>
        </w:rPr>
        <w:t xml:space="preserve">2027-2029年财务监管平台第三方代理服务采购</w:t>
      </w:r>
      <w:r/>
    </w:p>
    <w:p>
      <w:pPr>
        <w:ind w:firstLine="1063"/>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eastAsia="zh-CN"/>
        </w:rPr>
        <w:t xml:space="preserve">JSZC-320585-DFHX-G2026-0014</w:t>
      </w:r>
      <w:r/>
    </w:p>
    <w:p>
      <w:pPr>
        <w:ind w:firstLine="542"/>
        <w:rPr>
          <w:rFonts w:ascii="宋体" w:hAnsi="宋体"/>
          <w:b/>
          <w:color w:val="auto"/>
          <w:sz w:val="36"/>
          <w:szCs w:val="36"/>
          <w:highlight w:val="none"/>
        </w:rPr>
      </w:pPr>
      <w:r>
        <w:rPr>
          <w:rFonts w:ascii="宋体" w:hAnsi="宋体"/>
          <w:b/>
          <w:color w:val="auto"/>
          <w:sz w:val="36"/>
          <w:szCs w:val="36"/>
          <w:highlight w:val="none"/>
        </w:rPr>
      </w:r>
      <w:r/>
    </w:p>
    <w:p>
      <w:pPr>
        <w:ind w:firstLine="542"/>
        <w:rPr>
          <w:rFonts w:ascii="宋体" w:hAnsi="宋体"/>
          <w:b/>
          <w:color w:val="auto"/>
          <w:sz w:val="36"/>
          <w:szCs w:val="36"/>
          <w:highlight w:val="none"/>
        </w:rPr>
      </w:pPr>
      <w:r>
        <w:rPr>
          <w:rFonts w:ascii="宋体" w:hAnsi="宋体"/>
          <w:b/>
          <w:color w:val="auto"/>
          <w:sz w:val="36"/>
          <w:szCs w:val="36"/>
          <w:highlight w:val="none"/>
        </w:rPr>
      </w:r>
      <w:r/>
    </w:p>
    <w:p>
      <w:pPr>
        <w:ind w:firstLine="1063"/>
        <w:rPr>
          <w:rFonts w:ascii="宋体" w:hAnsi="宋体"/>
          <w:color w:val="auto"/>
          <w:sz w:val="28"/>
          <w:szCs w:val="18"/>
          <w:highlight w:val="none"/>
          <w:u w:val="single"/>
        </w:rPr>
      </w:pPr>
      <w:r>
        <w:rPr>
          <w:rFonts w:hint="eastAsia" w:ascii="宋体" w:hAnsi="宋体"/>
          <w:b/>
          <w:color w:val="auto"/>
          <w:sz w:val="32"/>
          <w:szCs w:val="32"/>
          <w:highlight w:val="none"/>
        </w:rPr>
        <w:t xml:space="preserve">投 标 人(盖章)：</w:t>
      </w:r>
      <w:r/>
    </w:p>
    <w:p>
      <w:pPr>
        <w:ind w:firstLine="1063"/>
        <w:spacing w:line="720" w:lineRule="auto"/>
        <w:rPr>
          <w:rFonts w:ascii="宋体" w:hAnsi="宋体"/>
          <w:color w:val="auto"/>
          <w:sz w:val="28"/>
          <w:szCs w:val="18"/>
          <w:highlight w:val="none"/>
          <w:u w:val="single"/>
        </w:rPr>
      </w:pPr>
      <w:r>
        <w:rPr>
          <w:rFonts w:hint="eastAsia" w:ascii="宋体" w:hAnsi="宋体"/>
          <w:b/>
          <w:color w:val="auto"/>
          <w:sz w:val="32"/>
          <w:szCs w:val="32"/>
          <w:highlight w:val="none"/>
        </w:rPr>
        <w:t xml:space="preserve">法定代表人或其委托代理人：</w:t>
      </w:r>
      <w:r>
        <w:rPr>
          <w:rFonts w:hint="eastAsia" w:ascii="宋体" w:hAnsi="宋体"/>
          <w:color w:val="auto"/>
          <w:sz w:val="28"/>
          <w:szCs w:val="18"/>
          <w:highlight w:val="none"/>
          <w:u w:val="single"/>
        </w:rPr>
        <w:t xml:space="preserve">            （签字或盖章）</w:t>
      </w:r>
      <w:r/>
    </w:p>
    <w:p>
      <w:pPr>
        <w:ind w:firstLine="2530"/>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780"/>
        <w:jc w:val="cente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日期：202</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  月</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rPr>
          <w:rFonts w:ascii="宋体" w:hAnsi="宋体"/>
          <w:b/>
          <w:color w:val="auto"/>
          <w:sz w:val="24"/>
          <w:szCs w:val="24"/>
          <w:highlight w:val="none"/>
        </w:rPr>
        <w:outlineLvl w:val="1"/>
      </w:pPr>
      <w:r>
        <w:rPr>
          <w:rFonts w:hint="eastAsia" w:ascii="宋体" w:hAnsi="宋体"/>
          <w:b/>
          <w:color w:val="auto"/>
          <w:sz w:val="24"/>
          <w:szCs w:val="24"/>
          <w:highlight w:val="none"/>
        </w:rPr>
        <w:t xml:space="preserve">1、关于资格文件的声明函</w:t>
      </w:r>
      <w:r/>
    </w:p>
    <w:p>
      <w:pPr>
        <w:pStyle w:val="775"/>
        <w:ind w:firstLine="0"/>
        <w:jc w:val="both"/>
        <w:rPr>
          <w:rFonts w:ascii="宋体" w:hAnsi="宋体" w:eastAsia="宋体" w:cs="宋体"/>
          <w:color w:val="auto"/>
          <w:szCs w:val="24"/>
          <w:highlight w:val="none"/>
        </w:rPr>
      </w:pPr>
      <w:r>
        <w:rPr>
          <w:rFonts w:ascii="宋体" w:hAnsi="宋体" w:eastAsia="宋体" w:cs="宋体"/>
          <w:color w:val="auto"/>
          <w:szCs w:val="24"/>
          <w:highlight w:val="none"/>
        </w:rPr>
      </w:r>
      <w:r/>
    </w:p>
    <w:p>
      <w:pPr>
        <w:pStyle w:val="987"/>
        <w:jc w:val="center"/>
        <w:spacing w:after="156" w:line="360" w:lineRule="auto"/>
        <w:rPr>
          <w:rFonts w:hAnsi="宋体" w:eastAsia="宋体" w:cs="宋体"/>
          <w:color w:val="auto"/>
          <w:szCs w:val="28"/>
          <w:highlight w:val="none"/>
        </w:rPr>
      </w:pPr>
      <w:r>
        <w:rPr>
          <w:rFonts w:hint="eastAsia" w:hAnsi="宋体" w:eastAsia="宋体" w:cs="宋体"/>
          <w:color w:val="auto"/>
          <w:szCs w:val="28"/>
          <w:highlight w:val="none"/>
        </w:rPr>
        <w:t xml:space="preserve">关于资格文件的声明函</w:t>
      </w:r>
      <w:r/>
    </w:p>
    <w:p>
      <w:pPr>
        <w:pStyle w:val="775"/>
        <w:ind w:firstLine="0"/>
        <w:spacing w:line="480" w:lineRule="auto"/>
        <w:rPr>
          <w:rFonts w:ascii="宋体" w:hAnsi="宋体" w:eastAsia="宋体" w:cs="宋体"/>
          <w:color w:val="auto"/>
          <w:szCs w:val="24"/>
          <w:highlight w:val="none"/>
        </w:rPr>
      </w:pPr>
      <w:r>
        <w:rPr>
          <w:rFonts w:hint="eastAsia" w:ascii="宋体" w:hAnsi="宋体" w:eastAsia="宋体" w:cs="宋体"/>
          <w:color w:val="auto"/>
          <w:szCs w:val="24"/>
          <w:highlight w:val="none"/>
          <w:u w:val="single"/>
          <w:lang w:eastAsia="zh-CN"/>
        </w:rPr>
        <w:t xml:space="preserve">东方华星建设管理（江苏）有限公司</w:t>
      </w:r>
      <w:r>
        <w:rPr>
          <w:rFonts w:hint="eastAsia" w:ascii="宋体" w:hAnsi="宋体" w:eastAsia="宋体" w:cs="宋体"/>
          <w:color w:val="auto"/>
          <w:szCs w:val="24"/>
          <w:highlight w:val="none"/>
        </w:rPr>
        <w:t xml:space="preserve">：</w:t>
      </w:r>
      <w:r/>
    </w:p>
    <w:p>
      <w:pPr>
        <w:pStyle w:val="775"/>
        <w:spacing w:line="48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w:t>
      </w:r>
      <w:r>
        <w:rPr>
          <w:rFonts w:hint="eastAsia" w:ascii="宋体" w:hAnsi="宋体" w:eastAsia="宋体" w:cs="宋体"/>
          <w:color w:val="auto"/>
          <w:szCs w:val="24"/>
          <w:highlight w:val="none"/>
          <w:u w:val="single"/>
          <w:lang w:eastAsia="zh-CN"/>
        </w:rPr>
        <w:t xml:space="preserve">JSZC-320585-DFHX-G2026-0014</w:t>
      </w:r>
      <w:r>
        <w:rPr>
          <w:rFonts w:hint="eastAsia" w:ascii="宋体" w:hAnsi="宋体" w:eastAsia="宋体" w:cs="宋体"/>
          <w:color w:val="auto"/>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775"/>
        <w:spacing w:line="480" w:lineRule="auto"/>
        <w:tabs>
          <w:tab w:val="left" w:pos="294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ab/>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pStyle w:val="780"/>
        <w:rPr>
          <w:rFonts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rPr>
          <w:rFonts w:ascii="宋体" w:hAnsi="宋体"/>
          <w:color w:val="auto"/>
          <w:highlight w:val="none"/>
        </w:rPr>
        <w:outlineLvl w:val="1"/>
      </w:pPr>
      <w:r>
        <w:rPr>
          <w:rFonts w:hint="eastAsia" w:ascii="宋体" w:hAnsi="宋体"/>
          <w:b/>
          <w:color w:val="auto"/>
          <w:sz w:val="24"/>
          <w:szCs w:val="24"/>
          <w:highlight w:val="none"/>
        </w:rPr>
        <w:t xml:space="preserve">2、投标承诺函</w:t>
      </w:r>
      <w:r/>
    </w:p>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p>
      <w:pPr>
        <w:pStyle w:val="987"/>
        <w:jc w:val="center"/>
        <w:spacing w:after="156" w:line="360" w:lineRule="auto"/>
        <w:rPr>
          <w:rFonts w:hAnsi="宋体" w:eastAsia="宋体" w:cs="宋体"/>
          <w:bCs/>
          <w:color w:val="auto"/>
          <w:szCs w:val="28"/>
          <w:highlight w:val="none"/>
        </w:rPr>
      </w:pPr>
      <w:r>
        <w:rPr>
          <w:rFonts w:hint="eastAsia" w:hAnsi="宋体" w:eastAsia="宋体" w:cs="宋体"/>
          <w:bCs/>
          <w:color w:val="auto"/>
          <w:szCs w:val="28"/>
          <w:highlight w:val="none"/>
        </w:rPr>
        <w:t xml:space="preserve">投标承诺函</w:t>
      </w:r>
      <w:r/>
    </w:p>
    <w:p>
      <w:pPr>
        <w:pStyle w:val="987"/>
        <w:spacing w:line="288" w:lineRule="auto"/>
        <w:rPr>
          <w:rFonts w:hAnsi="宋体" w:eastAsia="宋体" w:cs="宋体"/>
          <w:color w:val="auto"/>
          <w:sz w:val="24"/>
          <w:szCs w:val="24"/>
          <w:highlight w:val="none"/>
        </w:rPr>
      </w:pPr>
      <w:r>
        <w:rPr>
          <w:rFonts w:hint="eastAsia" w:hAnsi="宋体" w:eastAsia="宋体" w:cs="宋体"/>
          <w:color w:val="auto"/>
          <w:sz w:val="24"/>
          <w:szCs w:val="24"/>
          <w:highlight w:val="none"/>
          <w:u w:val="single"/>
          <w:lang w:eastAsia="zh-CN"/>
        </w:rPr>
        <w:t xml:space="preserve">东方华星建设管理（江苏）有限公司</w:t>
      </w:r>
      <w:r>
        <w:rPr>
          <w:rFonts w:hint="eastAsia" w:hAnsi="宋体" w:eastAsia="宋体" w:cs="宋体"/>
          <w:color w:val="auto"/>
          <w:sz w:val="24"/>
          <w:szCs w:val="24"/>
          <w:highlight w:val="none"/>
        </w:rPr>
        <w:t xml:space="preserve">：</w:t>
      </w:r>
      <w:r/>
    </w:p>
    <w:p>
      <w:pPr>
        <w:pStyle w:val="987"/>
        <w:ind w:firstLine="480"/>
        <w:spacing w:line="288"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我们收到贵单位</w:t>
      </w:r>
      <w:r>
        <w:rPr>
          <w:rFonts w:hint="eastAsia" w:hAnsi="宋体" w:eastAsia="宋体" w:cs="宋体"/>
          <w:color w:val="auto"/>
          <w:sz w:val="24"/>
          <w:szCs w:val="24"/>
          <w:highlight w:val="none"/>
          <w:u w:val="single"/>
          <w:lang w:eastAsia="zh-CN"/>
        </w:rPr>
        <w:t xml:space="preserve">2027-2029年财务监管平台第三方代理服务采购</w:t>
      </w:r>
      <w:r>
        <w:rPr>
          <w:rFonts w:hint="eastAsia" w:hAnsi="宋体" w:eastAsia="宋体" w:cs="宋体"/>
          <w:color w:val="auto"/>
          <w:sz w:val="24"/>
          <w:szCs w:val="21"/>
          <w:highlight w:val="none"/>
        </w:rPr>
        <w:t xml:space="preserve">项目招标文件（项目编号：</w:t>
      </w:r>
      <w:r>
        <w:rPr>
          <w:rFonts w:hint="eastAsia" w:hAnsi="宋体" w:eastAsia="宋体" w:cs="宋体"/>
          <w:color w:val="auto"/>
          <w:sz w:val="24"/>
          <w:szCs w:val="24"/>
          <w:highlight w:val="none"/>
          <w:u w:val="single"/>
          <w:lang w:eastAsia="zh-CN"/>
        </w:rPr>
        <w:t xml:space="preserve">JSZC-320585-DFHX-G2026-0014</w:t>
      </w:r>
      <w:r>
        <w:rPr>
          <w:rFonts w:hint="eastAsia" w:hAnsi="宋体" w:eastAsia="宋体" w:cs="宋体"/>
          <w:color w:val="auto"/>
          <w:sz w:val="24"/>
          <w:highlight w:val="none"/>
        </w:rPr>
        <w:t xml:space="preserve">），</w:t>
      </w:r>
      <w:r>
        <w:rPr>
          <w:rFonts w:hint="eastAsia" w:hAnsi="宋体" w:eastAsia="宋体" w:cs="宋体"/>
          <w:color w:val="auto"/>
          <w:sz w:val="24"/>
          <w:szCs w:val="24"/>
          <w:highlight w:val="none"/>
        </w:rPr>
        <w:t xml:space="preserve">经仔细阅读和研究，我们决定参加投标。</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1、我们愿意按照招标文件的一切要求，提供包括完成该项目全部内容的设备、材料及人工、机械、保险、劳保、各种税费以及质保期间的一切费用。</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2、如果我们的投标书被接受，我们将严格履行招标文件中规定的每一项要求，按期、按质、按量履行合同的义务。</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3、我们同意按招标文件中的规定，本投标书的有效期限为开标后</w:t>
      </w:r>
      <w:r>
        <w:rPr>
          <w:rFonts w:hint="eastAsia" w:ascii="宋体" w:hAnsi="宋体"/>
          <w:b/>
          <w:color w:val="auto"/>
          <w:sz w:val="24"/>
          <w:highlight w:val="none"/>
          <w:u w:val="single"/>
        </w:rPr>
        <w:t xml:space="preserve">90</w:t>
      </w:r>
      <w:r>
        <w:rPr>
          <w:rFonts w:hint="eastAsia" w:ascii="宋体" w:hAnsi="宋体"/>
          <w:color w:val="auto"/>
          <w:sz w:val="24"/>
          <w:highlight w:val="none"/>
        </w:rPr>
        <w:t xml:space="preserve">天。</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4、我们愿意提供招标方在招标文件中要求的所有资料。</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5、我们认为你们有权决定中标者，还认为你们有权接受或拒绝所有的投标者。</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szCs w:val="24"/>
          <w:highlight w:val="none"/>
        </w:rPr>
        <w:t xml:space="preserve">我们完全理解贵方不一定要接受最低报价的投标或收到的任何投标。</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7、我们承诺该项投标在开标后的全过程中保持有效，不作任何更改和变动。</w:t>
      </w:r>
      <w:r/>
    </w:p>
    <w:p>
      <w:pPr>
        <w:ind w:firstLine="420"/>
        <w:spacing w:line="440" w:lineRule="exact"/>
        <w:rPr>
          <w:rFonts w:ascii="宋体" w:hAnsi="宋体"/>
          <w:b/>
          <w:bCs/>
          <w:color w:val="auto"/>
          <w:sz w:val="24"/>
          <w:highlight w:val="none"/>
        </w:rPr>
      </w:pPr>
      <w:r>
        <w:rPr>
          <w:rFonts w:hint="eastAsia" w:ascii="宋体" w:hAnsi="宋体"/>
          <w:color w:val="auto"/>
          <w:sz w:val="24"/>
          <w:highlight w:val="none"/>
        </w:rPr>
        <w:t xml:space="preserve">8、</w:t>
      </w:r>
      <w:r>
        <w:rPr>
          <w:rFonts w:hint="eastAsia" w:ascii="宋体" w:hAnsi="宋体"/>
          <w:b/>
          <w:bCs/>
          <w:color w:val="auto"/>
          <w:sz w:val="24"/>
          <w:highlight w:val="none"/>
        </w:rPr>
        <w:t xml:space="preserve">如果中标，我们同意并知晓中标通知书发出方式及发出时间，遵守招标文件和中标通知书规定，在指定时间和地点和采购人签订合同。</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9、综合说明：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（1）伴随服务及配合措施；</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（2）要求甲方提供的配合；</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（3）对招标文件有不同意见的偏离说明；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（4）其它说明。</w:t>
      </w:r>
      <w:r/>
    </w:p>
    <w:p>
      <w:pPr>
        <w:spacing w:line="440" w:lineRule="exact"/>
        <w:rPr>
          <w:rFonts w:ascii="宋体" w:hAnsi="宋体"/>
          <w:color w:val="auto"/>
          <w:sz w:val="24"/>
          <w:highlight w:val="none"/>
        </w:rPr>
      </w:pPr>
      <w:r>
        <w:rPr>
          <w:rFonts w:hint="eastAsia" w:ascii="宋体" w:hAnsi="宋体"/>
          <w:color w:val="auto"/>
          <w:sz w:val="24"/>
          <w:highlight w:val="none"/>
        </w:rPr>
        <w:t xml:space="preserve">    所有有关标书的函电，请按下列地址联系：</w:t>
      </w:r>
      <w:r/>
    </w:p>
    <w:p>
      <w:pPr>
        <w:ind w:left="420"/>
        <w:spacing w:line="440" w:lineRule="exact"/>
        <w:rPr>
          <w:rFonts w:ascii="宋体" w:hAnsi="宋体"/>
          <w:color w:val="auto"/>
          <w:sz w:val="24"/>
          <w:highlight w:val="none"/>
        </w:rPr>
      </w:pPr>
      <w:r>
        <w:rPr>
          <w:rFonts w:hint="eastAsia" w:ascii="宋体" w:hAnsi="宋体"/>
          <w:color w:val="auto"/>
          <w:sz w:val="24"/>
          <w:highlight w:val="none"/>
        </w:rPr>
        <w:t xml:space="preserve">单位：                         联系人：</w:t>
      </w:r>
      <w:r/>
    </w:p>
    <w:p>
      <w:pPr>
        <w:ind w:left="420"/>
        <w:spacing w:line="44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ind w:left="420"/>
        <w:spacing w:line="44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ind w:left="420"/>
        <w:spacing w:line="460" w:lineRule="exact"/>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rPr>
          <w:rFonts w:ascii="宋体" w:hAnsi="宋体"/>
          <w:b/>
          <w:color w:val="auto"/>
          <w:sz w:val="24"/>
          <w:szCs w:val="24"/>
          <w:highlight w:val="none"/>
        </w:rPr>
        <w:outlineLvl w:val="1"/>
      </w:pPr>
      <w:r>
        <w:rPr>
          <w:rFonts w:hint="eastAsia" w:ascii="宋体" w:hAnsi="宋体"/>
          <w:b/>
          <w:color w:val="auto"/>
          <w:sz w:val="24"/>
          <w:szCs w:val="24"/>
          <w:highlight w:val="none"/>
        </w:rPr>
        <w:t xml:space="preserve">3、参加政府采购活动前三年内，在经营活动中没有重大违法记录声明</w:t>
      </w:r>
      <w:r/>
    </w:p>
    <w:p>
      <w:pPr>
        <w:ind w:left="-210" w:right="-210"/>
        <w:spacing w:line="360" w:lineRule="auto"/>
        <w:rPr>
          <w:rFonts w:ascii="宋体" w:hAnsi="宋体"/>
          <w:b/>
          <w:color w:val="auto"/>
          <w:sz w:val="24"/>
          <w:highlight w:val="none"/>
        </w:rPr>
      </w:pPr>
      <w:r>
        <w:rPr>
          <w:rFonts w:ascii="宋体" w:hAnsi="宋体"/>
          <w:b/>
          <w:color w:val="auto"/>
          <w:sz w:val="24"/>
          <w:highlight w:val="none"/>
        </w:rPr>
      </w:r>
      <w:r/>
    </w:p>
    <w:p>
      <w:pPr>
        <w:pStyle w:val="987"/>
        <w:jc w:val="center"/>
        <w:spacing w:after="156" w:line="360" w:lineRule="auto"/>
        <w:rPr>
          <w:rFonts w:hAnsi="宋体" w:eastAsia="宋体" w:cs="宋体"/>
          <w:bCs/>
          <w:color w:val="auto"/>
          <w:szCs w:val="28"/>
          <w:highlight w:val="none"/>
        </w:rPr>
      </w:pPr>
      <w:r>
        <w:rPr>
          <w:rFonts w:hint="eastAsia" w:hAnsi="宋体" w:eastAsia="宋体" w:cs="宋体"/>
          <w:bCs/>
          <w:color w:val="auto"/>
          <w:szCs w:val="28"/>
          <w:highlight w:val="none"/>
        </w:rPr>
        <w:t xml:space="preserve">参加政府采购活动前三年内，在经营活动中没有重大违法记录声明</w:t>
      </w:r>
      <w:r/>
    </w:p>
    <w:p>
      <w:pPr>
        <w:spacing w:line="360" w:lineRule="auto"/>
        <w:rPr>
          <w:rFonts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lang w:eastAsia="zh-CN"/>
        </w:rPr>
        <w:t xml:space="preserve">东方华星建设管理（江苏）有限公司</w:t>
      </w:r>
      <w:r>
        <w:rPr>
          <w:rFonts w:hint="eastAsia" w:ascii="宋体" w:hAnsi="宋体"/>
          <w:color w:val="auto"/>
          <w:sz w:val="24"/>
          <w:highlight w:val="none"/>
        </w:rPr>
        <w:t xml:space="preserve">：</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若</w:t>
      </w:r>
      <w:r>
        <w:rPr>
          <w:rFonts w:hint="eastAsia" w:ascii="宋体" w:hAnsi="宋体"/>
          <w:color w:val="auto"/>
          <w:sz w:val="24"/>
          <w:szCs w:val="24"/>
          <w:highlight w:val="none"/>
        </w:rPr>
        <w:t xml:space="preserve">采购代理机构</w:t>
      </w:r>
      <w:r>
        <w:rPr>
          <w:rFonts w:hint="eastAsia" w:ascii="宋体" w:hAnsi="宋体"/>
          <w:color w:val="auto"/>
          <w:sz w:val="24"/>
          <w:highlight w:val="none"/>
        </w:rPr>
        <w:t xml:space="preserve">在本项目采购过程中发现我单位近三年内在经营活动中有重大违法记录，我单位将无条件退出本项目的招标，并承担因此引起的一起后果。</w:t>
      </w:r>
      <w:r/>
    </w:p>
    <w:p>
      <w:pPr>
        <w:ind w:firstLine="420"/>
        <w:spacing w:line="360" w:lineRule="auto"/>
        <w:rPr>
          <w:rFonts w:ascii="宋体" w:hAnsi="宋体"/>
          <w:color w:val="auto"/>
          <w:sz w:val="24"/>
          <w:highlight w:val="none"/>
        </w:rPr>
      </w:pPr>
      <w:r>
        <w:rPr>
          <w:rFonts w:ascii="宋体" w:hAnsi="宋体"/>
          <w:color w:val="auto"/>
          <w:sz w:val="24"/>
          <w:highlight w:val="none"/>
        </w:rPr>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供应商名称（单位公章）：</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法定代表人（负责人）或代理人（签字或盖章）：</w:t>
      </w:r>
      <w:r/>
    </w:p>
    <w:p>
      <w:pPr>
        <w:ind w:firstLine="420"/>
        <w:spacing w:line="360" w:lineRule="auto"/>
        <w:rPr>
          <w:rFonts w:ascii="宋体" w:hAnsi="宋体"/>
          <w:color w:val="auto"/>
          <w:sz w:val="24"/>
          <w:szCs w:val="24"/>
          <w:highlight w:val="none"/>
        </w:rPr>
      </w:pPr>
      <w:r>
        <w:rPr>
          <w:rFonts w:hint="eastAsia" w:ascii="宋体" w:hAnsi="宋体"/>
          <w:color w:val="auto"/>
          <w:sz w:val="24"/>
          <w:highlight w:val="none"/>
        </w:rPr>
        <w:t xml:space="preserve">投标日期：   年  月  日</w:t>
      </w:r>
      <w:r/>
    </w:p>
    <w:p>
      <w:pPr>
        <w:ind w:firstLine="420"/>
        <w:spacing w:line="360" w:lineRule="auto"/>
        <w:rPr>
          <w:rFonts w:ascii="宋体" w:hAnsi="宋体"/>
          <w:color w:val="auto"/>
          <w:highlight w:val="none"/>
        </w:rPr>
        <w:sectPr>
          <w:footerReference w:type="default" r:id="rId13"/>
          <w:footerReference w:type="first" r:id="rId14"/>
          <w:footnotePr/>
          <w:endnotePr/>
          <w:type w:val="nextPage"/>
          <w:pgSz w:w="11907" w:h="16840" w:orient="portrait"/>
          <w:pgMar w:top="1297" w:right="1134" w:bottom="1077" w:left="1354" w:header="567" w:footer="567" w:gutter="0"/>
          <w:pgNumType w:start="1"/>
          <w:cols w:num="1" w:sep="0" w:space="720" w:equalWidth="1"/>
          <w:docGrid w:linePitch="360"/>
          <w:titlePg/>
        </w:sectPr>
        <w:outlineLvl w:val="1"/>
      </w:pPr>
      <w:r>
        <w:rPr>
          <w:rFonts w:hint="eastAsia" w:ascii="宋体" w:hAnsi="宋体"/>
          <w:color w:val="auto"/>
          <w:highlight w:val="none"/>
        </w:rPr>
        <w:br w:type="page" w:clear="all"/>
      </w:r>
      <w:r/>
    </w:p>
    <w:p>
      <w:pPr>
        <w:spacing w:line="360" w:lineRule="auto"/>
        <w:rPr>
          <w:rFonts w:ascii="宋体" w:hAnsi="宋体"/>
          <w:color w:val="auto"/>
          <w:highlight w:val="none"/>
        </w:rPr>
        <w:outlineLvl w:val="1"/>
      </w:pPr>
      <w:r>
        <w:rPr>
          <w:rFonts w:hint="eastAsia" w:ascii="宋体" w:hAnsi="宋体"/>
          <w:b/>
          <w:color w:val="auto"/>
          <w:sz w:val="24"/>
          <w:szCs w:val="24"/>
          <w:highlight w:val="none"/>
        </w:rPr>
        <w:t xml:space="preserve">4、投标单位情况表</w:t>
      </w:r>
      <w:r/>
    </w:p>
    <w:p>
      <w:pPr>
        <w:pStyle w:val="987"/>
        <w:jc w:val="center"/>
        <w:spacing w:after="156" w:line="360" w:lineRule="auto"/>
        <w:rPr>
          <w:rFonts w:hAnsi="宋体" w:eastAsia="宋体" w:cs="宋体"/>
          <w:color w:val="auto"/>
          <w:szCs w:val="28"/>
          <w:highlight w:val="none"/>
        </w:rPr>
      </w:pPr>
      <w:r>
        <w:rPr>
          <w:rFonts w:hint="eastAsia" w:hAnsi="宋体" w:eastAsia="宋体" w:cs="宋体"/>
          <w:color w:val="auto"/>
          <w:szCs w:val="28"/>
          <w:highlight w:val="none"/>
        </w:rPr>
        <w:t xml:space="preserve">投标人情况表</w:t>
      </w:r>
      <w:r/>
    </w:p>
    <w:p>
      <w:pPr>
        <w:pStyle w:val="775"/>
        <w:ind w:firstLine="48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tbl>
      <w:tblPr>
        <w:tblStyle w:val="77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44"/>
        <w:gridCol w:w="1873"/>
        <w:gridCol w:w="1364"/>
        <w:gridCol w:w="1922"/>
        <w:gridCol w:w="1154"/>
      </w:tblGrid>
      <w:tr>
        <w:trPr>
          <w:cantSplit/>
          <w:jc w:val="center"/>
          <w:trHeight w:val="396"/>
        </w:trPr>
        <w:tc>
          <w:tcPr>
            <w:tcW w:w="2344"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1873" w:type="dxa"/>
            <w:textDirection w:val="lrTb"/>
            <w:noWrap w:val="false"/>
          </w:tcPr>
          <w:p>
            <w:pPr>
              <w:pStyle w:val="775"/>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c>
          <w:tcPr>
            <w:tcW w:w="1364"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3076" w:type="dxa"/>
            <w:textDirection w:val="lrTb"/>
            <w:noWrap w:val="false"/>
          </w:tcPr>
          <w:p>
            <w:pPr>
              <w:pStyle w:val="775"/>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340"/>
        </w:trPr>
        <w:tc>
          <w:tcPr>
            <w:tcW w:w="2344"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1873" w:type="dxa"/>
            <w:textDirection w:val="lrTb"/>
            <w:noWrap w:val="false"/>
          </w:tcPr>
          <w:p>
            <w:pPr>
              <w:pStyle w:val="775"/>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c>
          <w:tcPr>
            <w:tcW w:w="1364"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gridSpan w:val="2"/>
            <w:tcW w:w="3076"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r>
      <w:tr>
        <w:trPr>
          <w:cantSplit/>
          <w:jc w:val="center"/>
          <w:trHeight w:val="340"/>
        </w:trPr>
        <w:tc>
          <w:tcPr>
            <w:tcW w:w="2344"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4"/>
            <w:tcW w:w="6313" w:type="dxa"/>
            <w:textDirection w:val="lrTb"/>
            <w:noWrap w:val="false"/>
          </w:tcPr>
          <w:p>
            <w:pPr>
              <w:pStyle w:val="775"/>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664"/>
        </w:trPr>
        <w:tc>
          <w:tcPr>
            <w:tcW w:w="2344"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1873" w:type="dxa"/>
            <w:textDirection w:val="lrTb"/>
            <w:noWrap w:val="false"/>
          </w:tcPr>
          <w:p>
            <w:pPr>
              <w:pStyle w:val="775"/>
              <w:ind w:firstLine="0"/>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3286"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p>
        </w:tc>
        <w:tc>
          <w:tcPr>
            <w:tcW w:w="1154" w:type="dxa"/>
            <w:textDirection w:val="lrTb"/>
            <w:noWrap w:val="false"/>
          </w:tcPr>
          <w:p>
            <w:pPr>
              <w:pStyle w:val="775"/>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340"/>
        </w:trPr>
        <w:tc>
          <w:tcPr>
            <w:tcW w:w="2344" w:type="dxa"/>
            <w:vAlign w:val="center"/>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p>
        </w:tc>
        <w:tc>
          <w:tcPr>
            <w:tcW w:w="1873" w:type="dxa"/>
            <w:vAlign w:val="center"/>
            <w:textDirection w:val="lrTb"/>
            <w:noWrap w:val="false"/>
          </w:tcPr>
          <w:p>
            <w:pPr>
              <w:pStyle w:val="775"/>
              <w:ind w:firstLine="12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c>
          <w:tcPr>
            <w:tcW w:w="1364" w:type="dxa"/>
            <w:vAlign w:val="center"/>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gridSpan w:val="2"/>
            <w:tcW w:w="3076" w:type="dxa"/>
            <w:vAlign w:val="center"/>
            <w:textDirection w:val="lrTb"/>
            <w:noWrap w:val="false"/>
          </w:tcPr>
          <w:p>
            <w:pPr>
              <w:pStyle w:val="775"/>
              <w:ind w:left="1260" w:firstLine="0"/>
              <w:jc w:val="center"/>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r>
      <w:tr>
        <w:trPr>
          <w:cantSplit/>
          <w:jc w:val="center"/>
          <w:trHeight w:val="340"/>
        </w:trPr>
        <w:tc>
          <w:tcPr>
            <w:tcW w:w="2344" w:type="dxa"/>
            <w:vAlign w:val="center"/>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p>
        </w:tc>
        <w:tc>
          <w:tcPr>
            <w:tcW w:w="1873" w:type="dxa"/>
            <w:vAlign w:val="center"/>
            <w:textDirection w:val="lrTb"/>
            <w:noWrap w:val="false"/>
          </w:tcPr>
          <w:p>
            <w:pPr>
              <w:pStyle w:val="775"/>
              <w:ind w:firstLine="96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364" w:type="dxa"/>
            <w:vAlign w:val="center"/>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p>
        </w:tc>
        <w:tc>
          <w:tcPr>
            <w:gridSpan w:val="2"/>
            <w:tcW w:w="3076" w:type="dxa"/>
            <w:vAlign w:val="center"/>
            <w:textDirection w:val="lrTb"/>
            <w:noWrap w:val="false"/>
          </w:tcPr>
          <w:p>
            <w:pPr>
              <w:pStyle w:val="775"/>
              <w:ind w:firstLine="0"/>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202</w:t>
            </w:r>
            <w:r>
              <w:rPr>
                <w:rFonts w:hint="eastAsia" w:ascii="宋体" w:hAnsi="宋体" w:eastAsia="宋体" w:cs="宋体"/>
                <w:b/>
                <w:color w:val="auto"/>
                <w:szCs w:val="24"/>
                <w:highlight w:val="none"/>
                <w:lang w:val="en-US" w:eastAsia="zh-CN"/>
              </w:rPr>
              <w:t xml:space="preserve">5</w:t>
            </w:r>
            <w:r>
              <w:rPr>
                <w:rFonts w:hint="eastAsia" w:ascii="宋体" w:hAnsi="宋体" w:eastAsia="宋体" w:cs="宋体"/>
                <w:b/>
                <w:color w:val="auto"/>
                <w:szCs w:val="24"/>
                <w:highlight w:val="none"/>
              </w:rPr>
              <w:t xml:space="preserve">年           万元</w:t>
            </w:r>
            <w:r/>
          </w:p>
        </w:tc>
      </w:tr>
      <w:tr>
        <w:trPr>
          <w:cantSplit/>
          <w:jc w:val="center"/>
          <w:trHeight w:val="340"/>
        </w:trPr>
        <w:tc>
          <w:tcPr>
            <w:tcW w:w="2344"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p>
        </w:tc>
        <w:tc>
          <w:tcPr>
            <w:tcW w:w="1873" w:type="dxa"/>
            <w:textDirection w:val="lrTb"/>
            <w:noWrap w:val="false"/>
          </w:tcPr>
          <w:p>
            <w:pPr>
              <w:pStyle w:val="775"/>
              <w:ind w:firstLine="0"/>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202</w:t>
            </w:r>
            <w:r>
              <w:rPr>
                <w:rFonts w:hint="eastAsia" w:ascii="宋体" w:hAnsi="宋体" w:eastAsia="宋体" w:cs="宋体"/>
                <w:b/>
                <w:color w:val="auto"/>
                <w:szCs w:val="24"/>
                <w:highlight w:val="none"/>
                <w:lang w:val="en-US" w:eastAsia="zh-CN"/>
              </w:rPr>
              <w:t xml:space="preserve">5</w:t>
            </w:r>
            <w:r>
              <w:rPr>
                <w:rFonts w:hint="eastAsia" w:ascii="宋体" w:hAnsi="宋体" w:eastAsia="宋体" w:cs="宋体"/>
                <w:b/>
                <w:color w:val="auto"/>
                <w:szCs w:val="24"/>
                <w:highlight w:val="none"/>
              </w:rPr>
              <w:t xml:space="preserve">年   万元</w:t>
            </w:r>
            <w:r/>
          </w:p>
        </w:tc>
        <w:tc>
          <w:tcPr>
            <w:tcW w:w="1364" w:type="dxa"/>
            <w:textDirection w:val="lrTb"/>
            <w:noWrap w:val="false"/>
          </w:tcPr>
          <w:p>
            <w:pPr>
              <w:pStyle w:val="775"/>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3076" w:type="dxa"/>
            <w:textDirection w:val="lrTb"/>
            <w:noWrap w:val="false"/>
          </w:tcPr>
          <w:p>
            <w:pPr>
              <w:pStyle w:val="775"/>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664"/>
        </w:trPr>
        <w:tc>
          <w:tcPr>
            <w:tcW w:w="2344"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p>
        </w:tc>
        <w:tc>
          <w:tcPr>
            <w:tcW w:w="1873" w:type="dxa"/>
            <w:vAlign w:val="center"/>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平方米</w:t>
            </w:r>
            <w:r/>
          </w:p>
        </w:tc>
        <w:tc>
          <w:tcPr>
            <w:tcW w:w="1364" w:type="dxa"/>
            <w:vAlign w:val="center"/>
            <w:textDirection w:val="lrTb"/>
            <w:noWrap w:val="false"/>
          </w:tcPr>
          <w:p>
            <w:pPr>
              <w:pStyle w:val="775"/>
              <w:ind w:firstLine="0"/>
              <w:jc w:val="center"/>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gridSpan w:val="2"/>
            <w:tcW w:w="3076"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自有面积         平方米</w:t>
            </w:r>
            <w:r/>
          </w:p>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承租面积         平方米</w:t>
            </w:r>
            <w:r/>
          </w:p>
        </w:tc>
      </w:tr>
      <w:tr>
        <w:trPr>
          <w:cantSplit/>
          <w:jc w:val="center"/>
          <w:trHeight w:val="978"/>
        </w:trPr>
        <w:tc>
          <w:tcPr>
            <w:tcW w:w="2344" w:type="dxa"/>
            <w:vAlign w:val="center"/>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4"/>
            <w:tcW w:w="6313" w:type="dxa"/>
            <w:textDirection w:val="lrTb"/>
            <w:noWrap w:val="false"/>
          </w:tcPr>
          <w:p>
            <w:pPr>
              <w:pStyle w:val="775"/>
              <w:ind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710"/>
        </w:trPr>
        <w:tc>
          <w:tcPr>
            <w:tcW w:w="2344" w:type="dxa"/>
            <w:vAlign w:val="center"/>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4"/>
            <w:tcW w:w="6313" w:type="dxa"/>
            <w:textDirection w:val="lrTb"/>
            <w:noWrap w:val="false"/>
          </w:tcPr>
          <w:p>
            <w:pPr>
              <w:pStyle w:val="775"/>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989"/>
        </w:trPr>
        <w:tc>
          <w:tcPr>
            <w:tcW w:w="2344"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近两年来完成或正在履行的重大合同情况</w:t>
            </w:r>
            <w:r/>
          </w:p>
        </w:tc>
        <w:tc>
          <w:tcPr>
            <w:gridSpan w:val="4"/>
            <w:tcW w:w="6313" w:type="dxa"/>
            <w:textDirection w:val="lrTb"/>
            <w:noWrap w:val="false"/>
          </w:tcPr>
          <w:p>
            <w:pPr>
              <w:pStyle w:val="775"/>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1313"/>
        </w:trPr>
        <w:tc>
          <w:tcPr>
            <w:tcW w:w="2344"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最近2年内在经营过程中受到何种奖励或处分（包括情况和结果）</w:t>
            </w:r>
            <w:r/>
          </w:p>
        </w:tc>
        <w:tc>
          <w:tcPr>
            <w:gridSpan w:val="4"/>
            <w:tcW w:w="6313" w:type="dxa"/>
            <w:textDirection w:val="lrTb"/>
            <w:noWrap w:val="false"/>
          </w:tcPr>
          <w:p>
            <w:pPr>
              <w:pStyle w:val="775"/>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1962"/>
        </w:trPr>
        <w:tc>
          <w:tcPr>
            <w:tcW w:w="2344"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最近3年内有无因售假、售劣或是其他原因被消费者投诉或起诉的情况及说明（包括解决方式和结果）</w:t>
            </w:r>
            <w:r/>
          </w:p>
        </w:tc>
        <w:tc>
          <w:tcPr>
            <w:gridSpan w:val="4"/>
            <w:tcW w:w="6313" w:type="dxa"/>
            <w:textDirection w:val="lrTb"/>
            <w:noWrap w:val="false"/>
          </w:tcPr>
          <w:p>
            <w:pPr>
              <w:pStyle w:val="775"/>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1313"/>
        </w:trPr>
        <w:tc>
          <w:tcPr>
            <w:tcW w:w="2344"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4"/>
            <w:tcW w:w="6313" w:type="dxa"/>
            <w:textDirection w:val="lrTb"/>
            <w:noWrap w:val="false"/>
          </w:tcPr>
          <w:p>
            <w:pPr>
              <w:pStyle w:val="775"/>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664"/>
        </w:trPr>
        <w:tc>
          <w:tcPr>
            <w:tcW w:w="2344"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p>
        </w:tc>
        <w:tc>
          <w:tcPr>
            <w:gridSpan w:val="4"/>
            <w:tcW w:w="6313" w:type="dxa"/>
            <w:textDirection w:val="lrTb"/>
            <w:noWrap w:val="false"/>
          </w:tcPr>
          <w:p>
            <w:pPr>
              <w:pStyle w:val="775"/>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680"/>
        </w:trPr>
        <w:tc>
          <w:tcPr>
            <w:tcW w:w="2344" w:type="dxa"/>
            <w:textDirection w:val="lrTb"/>
            <w:noWrap w:val="false"/>
          </w:tcPr>
          <w:p>
            <w:pPr>
              <w:pStyle w:val="775"/>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4"/>
            <w:tcW w:w="6313" w:type="dxa"/>
            <w:textDirection w:val="lrTb"/>
            <w:noWrap w:val="false"/>
          </w:tcPr>
          <w:p>
            <w:pPr>
              <w:pStyle w:val="775"/>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bl>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rPr>
          <w:rFonts w:ascii="宋体" w:hAnsi="宋体"/>
          <w:color w:val="auto"/>
          <w:highlight w:val="none"/>
        </w:rPr>
        <w:outlineLvl w:val="1"/>
      </w:pPr>
      <w:r>
        <w:rPr>
          <w:rFonts w:hint="eastAsia" w:ascii="宋体" w:hAnsi="宋体"/>
          <w:b/>
          <w:color w:val="auto"/>
          <w:sz w:val="24"/>
          <w:szCs w:val="24"/>
          <w:highlight w:val="none"/>
        </w:rPr>
        <w:t xml:space="preserve">5、法定代表人授权委托书</w:t>
      </w:r>
      <w:r/>
    </w:p>
    <w:p>
      <w:pPr>
        <w:pStyle w:val="775"/>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pStyle w:val="987"/>
        <w:jc w:val="center"/>
        <w:spacing w:after="156" w:line="360" w:lineRule="auto"/>
        <w:rPr>
          <w:rFonts w:hAnsi="宋体" w:eastAsia="宋体" w:cs="宋体"/>
          <w:color w:val="auto"/>
          <w:szCs w:val="28"/>
          <w:highlight w:val="none"/>
        </w:rPr>
      </w:pPr>
      <w:r>
        <w:rPr>
          <w:rFonts w:hint="eastAsia" w:hAnsi="宋体" w:eastAsia="宋体" w:cs="宋体"/>
          <w:color w:val="auto"/>
          <w:szCs w:val="28"/>
          <w:highlight w:val="none"/>
        </w:rPr>
        <w:t xml:space="preserve">授权委托书</w:t>
      </w:r>
      <w:r/>
    </w:p>
    <w:p>
      <w:pPr>
        <w:pStyle w:val="775"/>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w:t>
      </w:r>
      <w:r>
        <w:rPr>
          <w:rFonts w:hint="eastAsia" w:ascii="宋体" w:hAnsi="宋体" w:eastAsia="宋体" w:cs="宋体"/>
          <w:color w:val="auto"/>
          <w:szCs w:val="24"/>
          <w:highlight w:val="none"/>
          <w:u w:val="single"/>
        </w:rPr>
        <w:t xml:space="preserve">（姓名）</w:t>
      </w:r>
      <w:r>
        <w:rPr>
          <w:rFonts w:hint="eastAsia" w:ascii="宋体" w:hAnsi="宋体" w:eastAsia="宋体" w:cs="宋体"/>
          <w:color w:val="auto"/>
          <w:szCs w:val="24"/>
          <w:highlight w:val="none"/>
        </w:rPr>
        <w:t xml:space="preserve">系</w:t>
      </w:r>
      <w:r>
        <w:rPr>
          <w:rFonts w:hint="eastAsia" w:ascii="宋体" w:hAnsi="宋体" w:eastAsia="宋体" w:cs="宋体"/>
          <w:color w:val="auto"/>
          <w:szCs w:val="24"/>
          <w:highlight w:val="none"/>
          <w:u w:val="single"/>
        </w:rPr>
        <w:t xml:space="preserve">（投标人名称）</w:t>
      </w:r>
      <w:r>
        <w:rPr>
          <w:rFonts w:hint="eastAsia" w:ascii="宋体" w:hAnsi="宋体" w:eastAsia="宋体" w:cs="宋体"/>
          <w:color w:val="auto"/>
          <w:szCs w:val="24"/>
          <w:highlight w:val="none"/>
        </w:rPr>
        <w:t xml:space="preserve">的法定代表人，现授权委托</w:t>
      </w:r>
      <w:r>
        <w:rPr>
          <w:rFonts w:hint="eastAsia" w:ascii="宋体" w:hAnsi="宋体" w:eastAsia="宋体" w:cs="宋体"/>
          <w:color w:val="auto"/>
          <w:szCs w:val="24"/>
          <w:highlight w:val="none"/>
          <w:u w:val="single"/>
        </w:rPr>
        <w:t xml:space="preserve">（投标人名称）</w:t>
      </w:r>
      <w:r>
        <w:rPr>
          <w:rFonts w:hint="eastAsia" w:ascii="宋体" w:hAnsi="宋体" w:eastAsia="宋体" w:cs="宋体"/>
          <w:color w:val="auto"/>
          <w:szCs w:val="24"/>
          <w:highlight w:val="none"/>
        </w:rPr>
        <w:t xml:space="preserve">的</w:t>
      </w:r>
      <w:r>
        <w:rPr>
          <w:rFonts w:hint="eastAsia" w:ascii="宋体" w:hAnsi="宋体" w:eastAsia="宋体" w:cs="宋体"/>
          <w:color w:val="auto"/>
          <w:szCs w:val="24"/>
          <w:highlight w:val="none"/>
          <w:u w:val="single"/>
        </w:rPr>
        <w:t xml:space="preserve">（姓名）</w:t>
      </w:r>
      <w:r>
        <w:rPr>
          <w:rFonts w:hint="eastAsia" w:ascii="宋体" w:hAnsi="宋体" w:eastAsia="宋体" w:cs="宋体"/>
          <w:color w:val="auto"/>
          <w:szCs w:val="24"/>
          <w:highlight w:val="none"/>
        </w:rPr>
        <w:t xml:space="preserve">为我公司代理人，以本公司的名义参加</w:t>
      </w:r>
      <w:r>
        <w:rPr>
          <w:rFonts w:hint="eastAsia" w:ascii="宋体" w:hAnsi="宋体" w:eastAsia="宋体" w:cs="宋体"/>
          <w:color w:val="auto"/>
          <w:szCs w:val="24"/>
          <w:highlight w:val="none"/>
          <w:u w:val="single"/>
          <w:lang w:eastAsia="zh-CN"/>
        </w:rPr>
        <w:t xml:space="preserve">东方华星建设管理（江苏）有限公司</w:t>
      </w:r>
      <w:r>
        <w:rPr>
          <w:rFonts w:hint="eastAsia" w:ascii="宋体" w:hAnsi="宋体" w:eastAsia="宋体" w:cs="宋体"/>
          <w:color w:val="auto"/>
          <w:szCs w:val="24"/>
          <w:highlight w:val="none"/>
        </w:rPr>
        <w:t xml:space="preserve">组织实施的编号为</w:t>
      </w:r>
      <w:r>
        <w:rPr>
          <w:rFonts w:hint="eastAsia" w:ascii="宋体" w:hAnsi="宋体" w:eastAsia="宋体" w:cs="宋体"/>
          <w:color w:val="auto"/>
          <w:szCs w:val="24"/>
          <w:highlight w:val="none"/>
          <w:u w:val="single"/>
          <w:lang w:eastAsia="zh-CN"/>
        </w:rPr>
        <w:t xml:space="preserve">JSZC-320585-DFHX-G2026-0014</w:t>
      </w:r>
      <w:r>
        <w:rPr>
          <w:rFonts w:hint="eastAsia" w:ascii="宋体" w:hAnsi="宋体" w:eastAsia="宋体" w:cs="宋体"/>
          <w:color w:val="auto"/>
          <w:szCs w:val="24"/>
          <w:highlight w:val="none"/>
        </w:rPr>
        <w:t xml:space="preserve">号的招标活动。代理人在开标、评标、合同招标过程中所签署的一切文件和处理与这有关的一切事务，我均予以承认。</w:t>
      </w:r>
      <w:r/>
    </w:p>
    <w:p>
      <w:pPr>
        <w:pStyle w:val="775"/>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775"/>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代理人无转委托权。特此委托。</w:t>
      </w:r>
      <w:r/>
    </w:p>
    <w:p>
      <w:pPr>
        <w:pStyle w:val="775"/>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775"/>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投标单位：（盖章）</w:t>
      </w:r>
      <w:r/>
    </w:p>
    <w:p>
      <w:pPr>
        <w:pStyle w:val="775"/>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p>
    <w:p>
      <w:pPr>
        <w:pStyle w:val="775"/>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代理人：（签字）</w:t>
      </w:r>
      <w:r/>
    </w:p>
    <w:p>
      <w:pPr>
        <w:pStyle w:val="775"/>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w:t>
      </w:r>
      <w:r>
        <w:rPr>
          <w:rFonts w:hint="eastAsia" w:ascii="宋体" w:hAnsi="宋体" w:eastAsia="宋体" w:cs="宋体"/>
          <w:color w:val="auto"/>
          <w:highlight w:val="none"/>
        </w:rPr>
        <w:t xml:space="preserve">年  月  日</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rPr>
          <w:rFonts w:ascii="宋体" w:hAnsi="宋体"/>
          <w:color w:val="auto"/>
          <w:sz w:val="24"/>
          <w:szCs w:val="24"/>
          <w:highlight w:val="none"/>
        </w:rPr>
        <w:outlineLvl w:val="1"/>
      </w:pPr>
      <w:r>
        <w:rPr>
          <w:rFonts w:hint="eastAsia" w:ascii="宋体" w:hAnsi="宋体"/>
          <w:b/>
          <w:color w:val="auto"/>
          <w:sz w:val="24"/>
          <w:szCs w:val="24"/>
          <w:highlight w:val="none"/>
        </w:rPr>
        <w:t xml:space="preserve">6、开标一览表</w:t>
      </w:r>
      <w:r/>
    </w:p>
    <w:p>
      <w:pPr>
        <w:pStyle w:val="987"/>
        <w:jc w:val="center"/>
        <w:spacing w:after="156" w:line="360" w:lineRule="auto"/>
        <w:rPr>
          <w:rFonts w:hAnsi="宋体" w:eastAsia="宋体" w:cs="宋体"/>
          <w:color w:val="auto"/>
          <w:szCs w:val="28"/>
          <w:highlight w:val="none"/>
        </w:rPr>
      </w:pPr>
      <w:r>
        <w:rPr>
          <w:rFonts w:hint="eastAsia" w:hAnsi="宋体" w:eastAsia="宋体" w:cs="宋体"/>
          <w:color w:val="auto"/>
          <w:szCs w:val="28"/>
          <w:highlight w:val="none"/>
        </w:rPr>
        <w:t xml:space="preserve">开标一览表</w:t>
      </w:r>
      <w:r/>
    </w:p>
    <w:tbl>
      <w:tblPr>
        <w:tblStyle w:val="771"/>
        <w:tblW w:w="0" w:type="auto"/>
        <w:tblInd w:w="119" w:type="dxa"/>
        <w:tblLayout w:type="fixed"/>
        <w:tblCellMar>
          <w:left w:w="108" w:type="dxa"/>
          <w:top w:w="0" w:type="dxa"/>
          <w:right w:w="108" w:type="dxa"/>
          <w:bottom w:w="0" w:type="dxa"/>
        </w:tblCellMar>
        <w:tblLook w:val="04A0" w:firstRow="1" w:lastRow="0" w:firstColumn="1" w:lastColumn="0" w:noHBand="0" w:noVBand="1"/>
      </w:tblPr>
      <w:tblGrid>
        <w:gridCol w:w="1847"/>
        <w:gridCol w:w="7652"/>
      </w:tblGrid>
      <w:tr>
        <w:trPr>
          <w:trHeight w:val="663"/>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W w:w="7652" w:type="dxa"/>
            <w:vAlign w:val="center"/>
            <w:textDirection w:val="lrTb"/>
            <w:noWrap w:val="false"/>
          </w:tcPr>
          <w:p>
            <w:pPr>
              <w:widowControl/>
              <w:rPr>
                <w:color w:val="auto"/>
                <w:sz w:val="24"/>
                <w:szCs w:val="24"/>
                <w:highlight w:val="none"/>
              </w:rPr>
            </w:pPr>
            <w:r>
              <w:rPr>
                <w:color w:val="auto"/>
                <w:sz w:val="24"/>
                <w:szCs w:val="24"/>
                <w:highlight w:val="none"/>
              </w:rPr>
            </w:r>
            <w:r/>
          </w:p>
        </w:tc>
      </w:tr>
      <w:tr>
        <w:trPr>
          <w:trHeight w:val="663"/>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招标编号</w:t>
            </w:r>
            <w:r/>
          </w:p>
        </w:tc>
        <w:tc>
          <w:tcPr>
            <w:tcBorders>
              <w:top w:val="single" w:color="auto" w:sz="4" w:space="0"/>
              <w:left w:val="none" w:color="000000" w:sz="4" w:space="0"/>
              <w:bottom w:val="single" w:color="auto" w:sz="4" w:space="0"/>
              <w:right w:val="single" w:color="auto" w:sz="4" w:space="0"/>
            </w:tcBorders>
            <w:tcW w:w="7652" w:type="dxa"/>
            <w:vAlign w:val="center"/>
            <w:textDirection w:val="lrTb"/>
            <w:noWrap w:val="false"/>
          </w:tcPr>
          <w:p>
            <w:pPr>
              <w:widowControl/>
              <w:rPr>
                <w:color w:val="auto"/>
                <w:sz w:val="24"/>
                <w:szCs w:val="24"/>
                <w:highlight w:val="none"/>
              </w:rPr>
            </w:pPr>
            <w:r>
              <w:rPr>
                <w:color w:val="auto"/>
                <w:sz w:val="24"/>
                <w:szCs w:val="24"/>
                <w:highlight w:val="none"/>
              </w:rPr>
            </w:r>
            <w:r/>
          </w:p>
        </w:tc>
      </w:tr>
      <w:tr>
        <w:trPr>
          <w:trHeight w:val="663"/>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投标总价</w:t>
            </w:r>
            <w:r/>
          </w:p>
        </w:tc>
        <w:tc>
          <w:tcPr>
            <w:tcBorders>
              <w:top w:val="single" w:color="auto" w:sz="4" w:space="0"/>
              <w:left w:val="none" w:color="000000" w:sz="4" w:space="0"/>
              <w:bottom w:val="single" w:color="auto" w:sz="4" w:space="0"/>
              <w:right w:val="single" w:color="auto" w:sz="4" w:space="0"/>
            </w:tcBorders>
            <w:tcW w:w="7652" w:type="dxa"/>
            <w:vAlign w:val="center"/>
            <w:textDirection w:val="lrTb"/>
            <w:noWrap w:val="false"/>
          </w:tcPr>
          <w:p>
            <w:pPr>
              <w:widowControl/>
              <w:rPr>
                <w:color w:val="auto"/>
                <w:sz w:val="24"/>
                <w:szCs w:val="24"/>
                <w:highlight w:val="none"/>
              </w:rPr>
            </w:pPr>
            <w:r>
              <w:rPr>
                <w:rFonts w:hint="eastAsia"/>
                <w:color w:val="auto"/>
                <w:sz w:val="24"/>
                <w:szCs w:val="24"/>
                <w:highlight w:val="none"/>
              </w:rPr>
              <w:t xml:space="preserve">人民币大写：</w:t>
            </w:r>
            <w:r>
              <w:rPr>
                <w:color w:val="auto"/>
                <w:sz w:val="24"/>
                <w:szCs w:val="24"/>
                <w:highlight w:val="none"/>
                <w:u w:val="single"/>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元整（小写：￥</w:t>
            </w:r>
            <w:r>
              <w:rPr>
                <w:color w:val="auto"/>
                <w:sz w:val="24"/>
                <w:szCs w:val="24"/>
                <w:highlight w:val="none"/>
                <w:u w:val="single"/>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w:t>
            </w:r>
            <w:r/>
          </w:p>
        </w:tc>
      </w:tr>
      <w:tr>
        <w:trPr>
          <w:trHeight w:val="694"/>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服务期限</w:t>
            </w:r>
            <w:r/>
          </w:p>
        </w:tc>
        <w:tc>
          <w:tcPr>
            <w:tcBorders>
              <w:top w:val="single" w:color="auto" w:sz="4" w:space="0"/>
              <w:left w:val="none" w:color="000000" w:sz="4" w:space="0"/>
              <w:bottom w:val="single" w:color="auto" w:sz="4" w:space="0"/>
              <w:right w:val="single" w:color="auto" w:sz="4" w:space="0"/>
            </w:tcBorders>
            <w:tcW w:w="7652" w:type="dxa"/>
            <w:vAlign w:val="center"/>
            <w:textDirection w:val="lrTb"/>
            <w:noWrap w:val="false"/>
          </w:tcPr>
          <w:p>
            <w:pPr>
              <w:widowControl/>
              <w:rPr>
                <w:color w:val="auto"/>
                <w:sz w:val="24"/>
                <w:szCs w:val="24"/>
                <w:highlight w:val="none"/>
              </w:rPr>
            </w:pPr>
            <w:r>
              <w:rPr>
                <w:color w:val="auto"/>
                <w:sz w:val="24"/>
                <w:szCs w:val="24"/>
                <w:highlight w:val="none"/>
              </w:rPr>
            </w:r>
            <w:r/>
          </w:p>
        </w:tc>
      </w:tr>
    </w:tbl>
    <w:p>
      <w:pPr>
        <w:ind w:firstLine="720"/>
        <w:jc w:val="left"/>
        <w:rPr>
          <w:rFonts w:ascii="宋体" w:hAnsi="宋体"/>
          <w:color w:val="auto"/>
          <w:sz w:val="24"/>
          <w:szCs w:val="24"/>
          <w:highlight w:val="none"/>
        </w:rPr>
      </w:pPr>
      <w:r>
        <w:rPr>
          <w:rFonts w:ascii="宋体" w:hAnsi="宋体"/>
          <w:color w:val="auto"/>
          <w:sz w:val="24"/>
          <w:szCs w:val="24"/>
          <w:highlight w:val="none"/>
        </w:rPr>
      </w:r>
      <w:r/>
    </w:p>
    <w:p>
      <w:pPr>
        <w:ind w:firstLine="723"/>
        <w:rPr>
          <w:rFonts w:ascii="宋体" w:hAnsi="宋体"/>
          <w:b/>
          <w:color w:val="auto"/>
          <w:sz w:val="24"/>
          <w:highlight w:val="none"/>
        </w:rPr>
      </w:pPr>
      <w:r>
        <w:rPr>
          <w:rFonts w:ascii="宋体" w:hAnsi="宋体"/>
          <w:b/>
          <w:color w:val="auto"/>
          <w:sz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ind w:firstLine="4320"/>
        <w:spacing w:line="460" w:lineRule="exact"/>
        <w:rPr>
          <w:rFonts w:ascii="宋体" w:hAnsi="宋体"/>
          <w:color w:val="auto"/>
          <w:sz w:val="24"/>
          <w:szCs w:val="24"/>
          <w:highlight w:val="none"/>
        </w:rPr>
      </w:pPr>
      <w:r>
        <w:rPr>
          <w:rFonts w:ascii="宋体" w:hAnsi="宋体"/>
          <w:color w:val="auto"/>
          <w:sz w:val="24"/>
          <w:szCs w:val="24"/>
          <w:highlight w:val="none"/>
        </w:rPr>
      </w:r>
      <w:r/>
    </w:p>
    <w:p>
      <w:pPr>
        <w:pStyle w:val="987"/>
        <w:spacing w:line="48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注：电子投标文件中《开标一览表》按系统内格式填写。</w:t>
      </w:r>
      <w:r/>
    </w:p>
    <w:p>
      <w:pPr>
        <w:ind w:firstLine="4320"/>
        <w:spacing w:line="460" w:lineRule="exact"/>
        <w:rPr>
          <w:rFonts w:ascii="宋体" w:hAnsi="宋体"/>
          <w:color w:val="auto"/>
          <w:sz w:val="24"/>
          <w:szCs w:val="24"/>
          <w:highlight w:val="none"/>
        </w:rPr>
      </w:pPr>
      <w:r>
        <w:rPr>
          <w:rFonts w:ascii="宋体" w:hAnsi="宋体"/>
          <w:color w:val="auto"/>
          <w:sz w:val="24"/>
          <w:szCs w:val="24"/>
          <w:highlight w:val="none"/>
        </w:rPr>
      </w:r>
      <w:r/>
    </w:p>
    <w:p>
      <w:pPr>
        <w:pStyle w:val="987"/>
        <w:spacing w:line="480" w:lineRule="auto"/>
        <w:rPr>
          <w:rFonts w:hAnsi="宋体" w:eastAsia="宋体" w:cs="宋体"/>
          <w:color w:val="auto"/>
          <w:sz w:val="21"/>
          <w:szCs w:val="21"/>
          <w:highlight w:val="none"/>
        </w:rPr>
      </w:pPr>
      <w:r>
        <w:rPr>
          <w:rFonts w:hAnsi="宋体" w:eastAsia="宋体" w:cs="宋体"/>
          <w:color w:val="auto"/>
          <w:sz w:val="21"/>
          <w:szCs w:val="21"/>
          <w:highlight w:val="none"/>
        </w:rPr>
      </w:r>
      <w:r/>
    </w:p>
    <w:p>
      <w:pPr>
        <w:spacing w:line="380" w:lineRule="exact"/>
        <w:rPr>
          <w:rFonts w:ascii="宋体" w:hAnsi="宋体"/>
          <w:color w:val="auto"/>
          <w:sz w:val="28"/>
          <w:szCs w:val="28"/>
          <w:highlight w:val="none"/>
        </w:rPr>
      </w:pPr>
      <w:r>
        <w:rPr>
          <w:rFonts w:ascii="宋体" w:hAnsi="宋体"/>
          <w:color w:val="auto"/>
          <w:sz w:val="28"/>
          <w:szCs w:val="28"/>
          <w:highlight w:val="none"/>
        </w:rPr>
      </w:r>
      <w:r/>
    </w:p>
    <w:p>
      <w:pPr>
        <w:spacing w:line="380" w:lineRule="exact"/>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highlight w:val="none"/>
        </w:rPr>
        <w:outlineLvl w:val="1"/>
      </w:pPr>
      <w:r>
        <w:rPr>
          <w:rFonts w:hint="eastAsia" w:ascii="宋体" w:hAnsi="宋体"/>
          <w:color w:val="auto"/>
          <w:highlight w:val="none"/>
        </w:rPr>
        <w:br w:type="page" w:clear="all"/>
      </w:r>
      <w:r>
        <w:rPr>
          <w:rFonts w:hint="eastAsia" w:ascii="宋体" w:hAnsi="宋体"/>
          <w:b/>
          <w:color w:val="auto"/>
          <w:sz w:val="24"/>
          <w:szCs w:val="24"/>
          <w:highlight w:val="none"/>
        </w:rPr>
        <w:t xml:space="preserve">7、投标报价明细表</w:t>
      </w:r>
      <w:r/>
    </w:p>
    <w:p>
      <w:pPr>
        <w:jc w:val="center"/>
        <w:spacing w:after="156" w:line="360" w:lineRule="auto"/>
        <w:rPr>
          <w:rFonts w:ascii="宋体" w:hAnsi="宋体"/>
          <w:color w:val="auto"/>
          <w:sz w:val="28"/>
          <w:szCs w:val="28"/>
          <w:highlight w:val="none"/>
        </w:rPr>
      </w:pPr>
      <w:r>
        <w:rPr>
          <w:rFonts w:hint="eastAsia" w:ascii="宋体" w:hAnsi="宋体"/>
          <w:color w:val="auto"/>
          <w:sz w:val="28"/>
          <w:szCs w:val="28"/>
          <w:highlight w:val="none"/>
        </w:rPr>
        <w:t xml:space="preserve">（一）投标报价明细表</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采购编号:                                                       价格单位：元</w:t>
      </w:r>
      <w:r/>
    </w:p>
    <w:tbl>
      <w:tblPr>
        <w:tblStyle w:val="771"/>
        <w:tblW w:w="0" w:type="auto"/>
        <w:jc w:val="center"/>
        <w:tblLayout w:type="fixed"/>
        <w:tblCellMar>
          <w:left w:w="108" w:type="dxa"/>
          <w:top w:w="15" w:type="dxa"/>
          <w:right w:w="108" w:type="dxa"/>
          <w:bottom w:w="15" w:type="dxa"/>
        </w:tblCellMar>
        <w:tblLook w:val="04A0" w:firstRow="1" w:lastRow="0" w:firstColumn="1" w:lastColumn="0" w:noHBand="0" w:noVBand="1"/>
      </w:tblPr>
      <w:tblGrid>
        <w:gridCol w:w="766"/>
        <w:gridCol w:w="2242"/>
        <w:gridCol w:w="1661"/>
        <w:gridCol w:w="1502"/>
        <w:gridCol w:w="1502"/>
        <w:gridCol w:w="1665"/>
      </w:tblGrid>
      <w:tr>
        <w:trPr>
          <w:jc w:val="center"/>
          <w:trHeight w:val="69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数量/费率</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合计（元）</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备注</w:t>
            </w:r>
            <w:r/>
          </w:p>
        </w:tc>
      </w:tr>
      <w:tr>
        <w:trPr>
          <w:jc w:val="center"/>
          <w:trHeight w:val="6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财务总监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82"/>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lang w:val="zh-CN"/>
              </w:rPr>
              <w:t xml:space="preserve">驻街道</w:t>
            </w:r>
            <w:r>
              <w:rPr>
                <w:rFonts w:hint="eastAsia" w:ascii="宋体" w:hAnsi="宋体"/>
                <w:color w:val="auto"/>
                <w:sz w:val="24"/>
                <w:szCs w:val="24"/>
                <w:highlight w:val="none"/>
              </w:rPr>
              <w:t xml:space="preserve">记账</w:t>
            </w:r>
            <w:r>
              <w:rPr>
                <w:rFonts w:hint="eastAsia" w:ascii="宋体" w:hAnsi="宋体"/>
                <w:color w:val="auto"/>
                <w:sz w:val="24"/>
                <w:szCs w:val="24"/>
                <w:highlight w:val="none"/>
                <w:lang w:val="zh-CN"/>
              </w:rPr>
              <w:t xml:space="preserve">会计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82"/>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驻村社区出纳员</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82"/>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24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管理费用</w:t>
            </w:r>
            <w:r/>
          </w:p>
        </w:tc>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24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税金</w:t>
            </w:r>
            <w:r/>
          </w:p>
        </w:tc>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24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43"/>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4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合计（大写）</w:t>
            </w:r>
            <w:r/>
          </w:p>
        </w:tc>
        <w:tc>
          <w:tcPr>
            <w:gridSpan w:val="4"/>
            <w:tcBorders>
              <w:top w:val="single" w:color="auto" w:sz="4" w:space="0"/>
              <w:left w:val="single" w:color="auto" w:sz="4" w:space="0"/>
              <w:bottom w:val="single" w:color="auto" w:sz="4" w:space="0"/>
              <w:right w:val="single" w:color="000000" w:sz="4" w:space="0"/>
            </w:tcBorders>
            <w:tcW w:w="633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注：投标报价分析表合计价格须与开标一览表一致，否则以报价一览表金额为准。</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after="156" w:line="360" w:lineRule="auto"/>
        <w:rPr>
          <w:rFonts w:ascii="宋体" w:hAnsi="宋体"/>
          <w:color w:val="auto"/>
          <w:sz w:val="28"/>
          <w:szCs w:val="28"/>
          <w:highlight w:val="none"/>
        </w:rPr>
      </w:pPr>
      <w:r>
        <w:rPr>
          <w:rFonts w:hint="eastAsia" w:ascii="宋体" w:hAnsi="宋体"/>
          <w:color w:val="auto"/>
          <w:sz w:val="28"/>
          <w:szCs w:val="28"/>
          <w:highlight w:val="none"/>
        </w:rPr>
        <w:t xml:space="preserve">（二）投标报价合理性说明（如有）</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pStyle w:val="806"/>
        <w:rPr>
          <w:rFonts w:ascii="宋体" w:hAnsi="宋体" w:eastAsia="宋体" w:cs="宋体"/>
          <w:color w:val="auto"/>
          <w:highlight w:val="none"/>
        </w:rPr>
      </w:pPr>
      <w:r>
        <w:rPr>
          <w:rFonts w:ascii="宋体" w:hAnsi="宋体" w:eastAsia="宋体" w:cs="宋体"/>
          <w:color w:val="auto"/>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rPr>
          <w:rFonts w:ascii="宋体" w:hAnsi="宋体"/>
          <w:b/>
          <w:bCs/>
          <w:color w:val="auto"/>
          <w:sz w:val="32"/>
          <w:szCs w:val="32"/>
          <w:highlight w:val="none"/>
        </w:rPr>
      </w:pPr>
      <w:r>
        <w:rPr>
          <w:rFonts w:hint="eastAsia" w:ascii="宋体" w:hAnsi="宋体"/>
          <w:color w:val="auto"/>
          <w:highlight w:val="none"/>
        </w:rPr>
        <w:br w:type="page" w:clear="all"/>
      </w:r>
      <w:r/>
    </w:p>
    <w:p>
      <w:pPr>
        <w:spacing w:line="360" w:lineRule="auto"/>
        <w:rPr>
          <w:rFonts w:ascii="宋体" w:hAnsi="宋体"/>
          <w:color w:val="auto"/>
          <w:sz w:val="24"/>
          <w:szCs w:val="24"/>
          <w:highlight w:val="none"/>
        </w:rPr>
        <w:sectPr>
          <w:footnotePr/>
          <w:endnotePr/>
          <w:type w:val="nextPage"/>
          <w:pgSz w:w="11907" w:h="16840" w:orient="portrait"/>
          <w:pgMar w:top="1077" w:right="1134" w:bottom="1077" w:left="1354" w:header="567" w:footer="567" w:gutter="0"/>
          <w:cols w:num="1" w:sep="0" w:space="720" w:equalWidth="1"/>
          <w:docGrid w:linePitch="360"/>
          <w:titlePg/>
        </w:sectPr>
      </w:pPr>
      <w:r>
        <w:rPr>
          <w:rFonts w:ascii="宋体" w:hAnsi="宋体"/>
          <w:color w:val="auto"/>
          <w:sz w:val="24"/>
          <w:szCs w:val="24"/>
          <w:highlight w:val="none"/>
        </w:rPr>
      </w:r>
      <w:r/>
    </w:p>
    <w:p>
      <w:pPr>
        <w:spacing w:line="360" w:lineRule="auto"/>
        <w:rPr>
          <w:rFonts w:ascii="宋体" w:hAnsi="宋体"/>
          <w:color w:val="auto"/>
          <w:highlight w:val="none"/>
        </w:rPr>
        <w:outlineLvl w:val="1"/>
      </w:pPr>
      <w:r>
        <w:rPr>
          <w:rFonts w:hint="eastAsia" w:ascii="宋体" w:hAnsi="宋体"/>
          <w:b/>
          <w:color w:val="auto"/>
          <w:sz w:val="24"/>
          <w:szCs w:val="24"/>
          <w:highlight w:val="none"/>
        </w:rPr>
        <w:t xml:space="preserve">8、服务要求偏离表</w:t>
      </w:r>
      <w:r/>
    </w:p>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服务要求偏离表</w:t>
      </w:r>
      <w:r/>
    </w:p>
    <w:tbl>
      <w:tblPr>
        <w:tblStyle w:val="771"/>
        <w:tblW w:w="923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3"/>
        <w:gridCol w:w="2295"/>
        <w:gridCol w:w="2306"/>
        <w:gridCol w:w="2033"/>
        <w:gridCol w:w="1770"/>
      </w:tblGrid>
      <w:tr>
        <w:trPr>
          <w:jc w:val="center"/>
          <w:trHeight w:val="1135"/>
        </w:trPr>
        <w:tc>
          <w:tcPr>
            <w:tcBorders>
              <w:top w:val="single" w:color="000000" w:sz="12" w:space="0"/>
              <w:left w:val="single" w:color="000000" w:sz="12" w:space="0"/>
              <w:bottom w:val="single" w:color="000000" w:sz="4" w:space="0"/>
              <w:right w:val="single" w:color="000000" w:sz="4" w:space="0"/>
            </w:tcBorders>
            <w:tcW w:w="833" w:type="dxa"/>
            <w:vAlign w:val="center"/>
            <w:textDirection w:val="lrTb"/>
            <w:noWrap w:val="false"/>
          </w:tcPr>
          <w:p>
            <w:pPr>
              <w:jc w:val="center"/>
              <w:spacing w:before="240" w:after="240"/>
              <w:rPr>
                <w:rStyle w:val="1088"/>
                <w:rFonts w:asciiTheme="minorEastAsia" w:hAnsiTheme="minorEastAsia" w:eastAsiaTheme="minorEastAsia"/>
                <w:color w:val="auto"/>
                <w:sz w:val="24"/>
                <w:szCs w:val="24"/>
                <w:highlight w:val="none"/>
              </w:rPr>
            </w:pPr>
            <w:r>
              <w:rPr>
                <w:rStyle w:val="1088"/>
                <w:rFonts w:asciiTheme="minorEastAsia" w:hAnsiTheme="minorEastAsia" w:eastAsiaTheme="minorEastAsia"/>
                <w:color w:val="auto"/>
                <w:sz w:val="24"/>
                <w:szCs w:val="24"/>
                <w:highlight w:val="none"/>
              </w:rPr>
              <w:t xml:space="preserve">序号</w:t>
            </w:r>
            <w:r/>
          </w:p>
        </w:tc>
        <w:tc>
          <w:tcPr>
            <w:tcBorders>
              <w:top w:val="single" w:color="000000" w:sz="12"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88"/>
                <w:rFonts w:asciiTheme="minorEastAsia" w:hAnsiTheme="minorEastAsia" w:eastAsiaTheme="minorEastAsia"/>
                <w:color w:val="auto"/>
                <w:sz w:val="24"/>
                <w:szCs w:val="24"/>
                <w:highlight w:val="none"/>
              </w:rPr>
            </w:pPr>
            <w:r>
              <w:rPr>
                <w:rStyle w:val="1088"/>
                <w:rFonts w:hint="eastAsia" w:asciiTheme="minorEastAsia" w:hAnsiTheme="minorEastAsia" w:eastAsiaTheme="minorEastAsia"/>
                <w:color w:val="auto"/>
                <w:sz w:val="24"/>
                <w:szCs w:val="24"/>
                <w:highlight w:val="none"/>
              </w:rPr>
              <w:t xml:space="preserve">项目</w:t>
            </w:r>
            <w:r/>
          </w:p>
        </w:tc>
        <w:tc>
          <w:tcPr>
            <w:tcBorders>
              <w:top w:val="single" w:color="000000" w:sz="12"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88"/>
                <w:rFonts w:cs="Times New Roman" w:asciiTheme="minorEastAsia" w:hAnsiTheme="minorEastAsia" w:eastAsiaTheme="minorEastAsia"/>
                <w:color w:val="auto"/>
                <w:sz w:val="24"/>
                <w:szCs w:val="24"/>
                <w:highlight w:val="none"/>
              </w:rPr>
            </w:pPr>
            <w:r>
              <w:rPr>
                <w:rStyle w:val="1088"/>
                <w:rFonts w:hint="eastAsia" w:cs="Times New Roman" w:asciiTheme="minorEastAsia" w:hAnsiTheme="minorEastAsia" w:eastAsiaTheme="minorEastAsia"/>
                <w:color w:val="auto"/>
                <w:sz w:val="24"/>
                <w:szCs w:val="24"/>
                <w:highlight w:val="none"/>
              </w:rPr>
              <w:t xml:space="preserve">招标文件</w:t>
            </w:r>
            <w:r/>
          </w:p>
          <w:p>
            <w:pPr>
              <w:jc w:val="center"/>
              <w:rPr>
                <w:rStyle w:val="1088"/>
                <w:rFonts w:cs="Times New Roman" w:asciiTheme="minorEastAsia" w:hAnsiTheme="minorEastAsia" w:eastAsiaTheme="minorEastAsia"/>
                <w:color w:val="auto"/>
                <w:sz w:val="24"/>
                <w:szCs w:val="24"/>
                <w:highlight w:val="none"/>
              </w:rPr>
            </w:pPr>
            <w:r>
              <w:rPr>
                <w:rStyle w:val="1088"/>
                <w:rFonts w:hint="eastAsia" w:cs="Times New Roman" w:asciiTheme="minorEastAsia" w:hAnsiTheme="minorEastAsia" w:eastAsiaTheme="minorEastAsia"/>
                <w:color w:val="auto"/>
                <w:sz w:val="24"/>
                <w:szCs w:val="24"/>
                <w:highlight w:val="none"/>
              </w:rPr>
              <w:t xml:space="preserve">服务要求</w:t>
            </w:r>
            <w:r/>
          </w:p>
        </w:tc>
        <w:tc>
          <w:tcPr>
            <w:tcBorders>
              <w:top w:val="single" w:color="000000" w:sz="12"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88"/>
                <w:rFonts w:cs="Times New Roman" w:asciiTheme="minorEastAsia" w:hAnsiTheme="minorEastAsia" w:eastAsiaTheme="minorEastAsia"/>
                <w:color w:val="auto"/>
                <w:sz w:val="24"/>
                <w:szCs w:val="24"/>
                <w:highlight w:val="none"/>
              </w:rPr>
            </w:pPr>
            <w:r>
              <w:rPr>
                <w:rStyle w:val="1088"/>
                <w:rFonts w:hint="eastAsia" w:cs="Times New Roman" w:asciiTheme="minorEastAsia" w:hAnsiTheme="minorEastAsia" w:eastAsiaTheme="minorEastAsia"/>
                <w:color w:val="auto"/>
                <w:sz w:val="24"/>
                <w:szCs w:val="24"/>
                <w:highlight w:val="none"/>
              </w:rPr>
              <w:t xml:space="preserve">投标文件</w:t>
            </w:r>
            <w:r/>
          </w:p>
          <w:p>
            <w:pPr>
              <w:jc w:val="center"/>
              <w:rPr>
                <w:rStyle w:val="1088"/>
                <w:rFonts w:cs="Times New Roman" w:asciiTheme="minorEastAsia" w:hAnsiTheme="minorEastAsia" w:eastAsiaTheme="minorEastAsia"/>
                <w:color w:val="auto"/>
                <w:sz w:val="24"/>
                <w:szCs w:val="24"/>
                <w:highlight w:val="none"/>
              </w:rPr>
            </w:pPr>
            <w:r>
              <w:rPr>
                <w:rStyle w:val="1088"/>
                <w:rFonts w:hint="eastAsia" w:cs="Times New Roman" w:asciiTheme="minorEastAsia" w:hAnsiTheme="minorEastAsia" w:eastAsiaTheme="minorEastAsia"/>
                <w:color w:val="auto"/>
                <w:sz w:val="24"/>
                <w:szCs w:val="24"/>
                <w:highlight w:val="none"/>
              </w:rPr>
              <w:t xml:space="preserve">响应要求</w:t>
            </w:r>
            <w:r/>
          </w:p>
        </w:tc>
        <w:tc>
          <w:tcPr>
            <w:tcBorders>
              <w:top w:val="single" w:color="000000" w:sz="12"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88"/>
                <w:rFonts w:asciiTheme="minorEastAsia" w:hAnsiTheme="minorEastAsia" w:eastAsiaTheme="minorEastAsia"/>
                <w:color w:val="auto"/>
                <w:sz w:val="24"/>
                <w:szCs w:val="24"/>
                <w:highlight w:val="none"/>
              </w:rPr>
            </w:pPr>
            <w:r>
              <w:rPr>
                <w:rStyle w:val="1088"/>
                <w:rFonts w:hint="eastAsia" w:asciiTheme="minorEastAsia" w:hAnsiTheme="minorEastAsia" w:eastAsiaTheme="minorEastAsia"/>
                <w:color w:val="auto"/>
                <w:sz w:val="24"/>
                <w:szCs w:val="24"/>
                <w:highlight w:val="none"/>
              </w:rPr>
              <w:t xml:space="preserve">偏离</w:t>
            </w:r>
            <w:r>
              <w:rPr>
                <w:rStyle w:val="1088"/>
                <w:rFonts w:asciiTheme="minorEastAsia" w:hAnsiTheme="minorEastAsia" w:eastAsiaTheme="minorEastAsia"/>
                <w:color w:val="auto"/>
                <w:sz w:val="24"/>
                <w:szCs w:val="24"/>
                <w:highlight w:val="none"/>
              </w:rPr>
              <w:t xml:space="preserve">说明</w:t>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634"/>
        </w:trPr>
        <w:tc>
          <w:tcPr>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w:t>
            </w:r>
            <w:r/>
          </w:p>
        </w:tc>
        <w:tc>
          <w:tcPr>
            <w:tcW w:w="2295" w:type="dxa"/>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306" w:type="dxa"/>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033" w:type="dxa"/>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770" w:type="dxa"/>
            <w:textDirection w:val="lrTb"/>
            <w:noWrap w:val="false"/>
          </w:tcPr>
          <w:p>
            <w:pPr>
              <w:jc w:val="center"/>
              <w:rPr>
                <w:rStyle w:val="1088"/>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bl>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注：1、投标人应对照招标文件服务要求等要求，所投标的物与招标文件的规定有偏离的（无论正偏离或负偏离），均应在此表中申明与服务要求条文的偏差和例外。</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p>
    <w:p>
      <w:pPr>
        <w:ind w:firstLine="480"/>
        <w:jc w:val="left"/>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spacing w:line="360" w:lineRule="auto"/>
        <w:rPr>
          <w:rFonts w:ascii="宋体" w:hAnsi="宋体"/>
          <w:color w:val="auto"/>
          <w:highlight w:val="none"/>
        </w:rPr>
        <w:outlineLvl w:val="1"/>
      </w:pPr>
      <w:r>
        <w:rPr>
          <w:rFonts w:hint="eastAsia" w:ascii="宋体" w:hAnsi="宋体"/>
          <w:color w:val="auto"/>
          <w:szCs w:val="24"/>
          <w:highlight w:val="none"/>
        </w:rPr>
        <w:br w:type="page" w:clear="all"/>
      </w:r>
      <w:r>
        <w:rPr>
          <w:rFonts w:hint="eastAsia" w:ascii="宋体" w:hAnsi="宋体"/>
          <w:b/>
          <w:color w:val="auto"/>
          <w:sz w:val="24"/>
          <w:szCs w:val="24"/>
          <w:highlight w:val="none"/>
        </w:rPr>
        <w:t xml:space="preserve">9、商务条款偏离表</w:t>
      </w:r>
      <w:r/>
    </w:p>
    <w:p>
      <w:pPr>
        <w:pStyle w:val="775"/>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jc w:val="center"/>
        <w:spacing w:after="156" w:line="360" w:lineRule="auto"/>
        <w:rPr>
          <w:rFonts w:ascii="宋体" w:hAnsi="宋体"/>
          <w:color w:val="auto"/>
          <w:sz w:val="28"/>
          <w:szCs w:val="28"/>
          <w:highlight w:val="none"/>
        </w:rPr>
      </w:pPr>
      <w:r>
        <w:rPr>
          <w:rFonts w:hint="eastAsia" w:ascii="宋体" w:hAnsi="宋体"/>
          <w:color w:val="auto"/>
          <w:sz w:val="28"/>
          <w:szCs w:val="28"/>
          <w:highlight w:val="none"/>
        </w:rPr>
        <w:t xml:space="preserve">商务条款偏离表</w:t>
      </w:r>
      <w:r/>
    </w:p>
    <w:tbl>
      <w:tblPr>
        <w:tblStyle w:val="771"/>
        <w:tblW w:w="968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583"/>
        <w:gridCol w:w="2333"/>
        <w:gridCol w:w="1900"/>
        <w:gridCol w:w="1284"/>
        <w:gridCol w:w="1666"/>
      </w:tblGrid>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序号</w:t>
            </w:r>
            <w:r/>
          </w:p>
        </w:tc>
        <w:tc>
          <w:tcPr>
            <w:tcW w:w="158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项目</w:t>
            </w:r>
            <w:r/>
          </w:p>
        </w:tc>
        <w:tc>
          <w:tcPr>
            <w:tcW w:w="233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招标文件</w:t>
            </w:r>
            <w:r/>
          </w:p>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商务条款</w:t>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投标文件</w:t>
            </w:r>
            <w:r/>
          </w:p>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商务条款</w:t>
            </w:r>
            <w:r/>
          </w:p>
        </w:tc>
        <w:tc>
          <w:tcPr>
            <w:tcW w:w="1284"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是否偏离</w:t>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说明</w:t>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p>
        </w:tc>
        <w:tc>
          <w:tcPr>
            <w:tcW w:w="1583"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rPr>
              <w:t xml:space="preserve">服务</w:t>
            </w:r>
            <w:r>
              <w:rPr>
                <w:rFonts w:hint="eastAsia" w:ascii="宋体" w:hAnsi="宋体"/>
                <w:color w:val="auto"/>
                <w:szCs w:val="21"/>
                <w:highlight w:val="none"/>
                <w:lang w:val="zh-CN"/>
              </w:rPr>
              <w:t xml:space="preserve">期限</w:t>
            </w:r>
            <w:r/>
          </w:p>
        </w:tc>
        <w:tc>
          <w:tcPr>
            <w:tcW w:w="2333"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1583"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rPr>
              <w:t xml:space="preserve">服务</w:t>
            </w:r>
            <w:r>
              <w:rPr>
                <w:rFonts w:hint="eastAsia" w:ascii="宋体" w:hAnsi="宋体"/>
                <w:color w:val="auto"/>
                <w:szCs w:val="21"/>
                <w:highlight w:val="none"/>
                <w:lang w:val="zh-CN"/>
              </w:rPr>
              <w:t xml:space="preserve">地点</w:t>
            </w:r>
            <w:r/>
          </w:p>
        </w:tc>
        <w:tc>
          <w:tcPr>
            <w:tcW w:w="2333"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p>
        </w:tc>
        <w:tc>
          <w:tcPr>
            <w:tcW w:w="1583"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付款方式</w:t>
            </w:r>
            <w:r/>
          </w:p>
        </w:tc>
        <w:tc>
          <w:tcPr>
            <w:tcW w:w="2333"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w:t>
            </w:r>
            <w:r/>
          </w:p>
        </w:tc>
        <w:tc>
          <w:tcPr>
            <w:tcW w:w="1583" w:type="dxa"/>
            <w:vAlign w:val="center"/>
            <w:textDirection w:val="lrTb"/>
            <w:noWrap w:val="false"/>
          </w:tcPr>
          <w:p>
            <w:pPr>
              <w:jc w:val="center"/>
              <w:rPr>
                <w:rFonts w:ascii="宋体" w:hAnsi="宋体"/>
                <w:bCs/>
                <w:color w:val="auto"/>
                <w:szCs w:val="21"/>
                <w:highlight w:val="none"/>
                <w:lang w:val="zh-CN"/>
              </w:rPr>
            </w:pPr>
            <w:r>
              <w:rPr>
                <w:rFonts w:hint="eastAsia" w:ascii="宋体" w:hAnsi="宋体"/>
                <w:color w:val="auto"/>
                <w:szCs w:val="21"/>
                <w:highlight w:val="none"/>
                <w:lang w:val="zh-CN"/>
              </w:rPr>
              <w:t xml:space="preserve">其他商务要求</w:t>
            </w:r>
            <w:r/>
          </w:p>
        </w:tc>
        <w:tc>
          <w:tcPr>
            <w:tcW w:w="233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p>
        </w:tc>
        <w:tc>
          <w:tcPr>
            <w:tcW w:w="158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33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8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33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8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33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8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33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pStyle w:val="780"/>
        <w:rPr>
          <w:rFonts w:ascii="宋体" w:hAnsi="宋体" w:eastAsia="宋体" w:cs="宋体"/>
          <w:color w:val="auto"/>
          <w:highlight w:val="none"/>
        </w:rPr>
      </w:pPr>
      <w:r>
        <w:rPr>
          <w:rFonts w:hint="eastAsia" w:ascii="宋体" w:hAnsi="宋体" w:eastAsia="宋体" w:cs="宋体"/>
          <w:color w:val="auto"/>
          <w:highlight w:val="none"/>
        </w:rPr>
        <w:br w:type="page" w:clear="all"/>
      </w:r>
      <w:r/>
    </w:p>
    <w:p>
      <w:pPr>
        <w:spacing w:line="360" w:lineRule="auto"/>
        <w:rPr>
          <w:rFonts w:ascii="宋体" w:hAnsi="宋体"/>
          <w:b/>
          <w:color w:val="auto"/>
          <w:sz w:val="24"/>
          <w:szCs w:val="24"/>
          <w:highlight w:val="none"/>
        </w:rPr>
        <w:outlineLvl w:val="1"/>
      </w:pPr>
      <w:r>
        <w:rPr>
          <w:rFonts w:hint="eastAsia" w:ascii="宋体" w:hAnsi="宋体"/>
          <w:b/>
          <w:color w:val="auto"/>
          <w:sz w:val="24"/>
          <w:szCs w:val="24"/>
          <w:highlight w:val="none"/>
        </w:rPr>
        <w:t xml:space="preserve">10、类似项目业绩一览表</w:t>
      </w:r>
      <w:r/>
    </w:p>
    <w:p>
      <w:pPr>
        <w:pStyle w:val="779"/>
        <w:rPr>
          <w:color w:val="auto"/>
          <w:highlight w:val="none"/>
        </w:rPr>
      </w:pPr>
      <w:r>
        <w:rPr>
          <w:color w:val="auto"/>
          <w:highlight w:val="none"/>
        </w:rPr>
      </w:r>
      <w:r/>
    </w:p>
    <w:p>
      <w:pPr>
        <w:jc w:val="center"/>
        <w:spacing w:after="156" w:line="360" w:lineRule="auto"/>
        <w:rPr>
          <w:rFonts w:ascii="宋体" w:hAnsi="宋体"/>
          <w:color w:val="auto"/>
          <w:sz w:val="28"/>
          <w:szCs w:val="28"/>
          <w:highlight w:val="none"/>
        </w:rPr>
      </w:pPr>
      <w:r>
        <w:rPr>
          <w:rFonts w:hint="eastAsia" w:ascii="宋体" w:hAnsi="宋体"/>
          <w:color w:val="auto"/>
          <w:sz w:val="28"/>
          <w:szCs w:val="28"/>
          <w:highlight w:val="none"/>
        </w:rPr>
        <w:t xml:space="preserve">类似项目业绩一览表</w:t>
      </w:r>
      <w:r/>
    </w:p>
    <w:tbl>
      <w:tblPr>
        <w:tblStyle w:val="771"/>
        <w:tblW w:w="9338" w:type="dxa"/>
        <w:tblInd w:w="0" w:type="dxa"/>
        <w:tblLayout w:type="fixed"/>
        <w:tblCellMar>
          <w:left w:w="0" w:type="dxa"/>
          <w:top w:w="0" w:type="dxa"/>
          <w:right w:w="0" w:type="dxa"/>
          <w:bottom w:w="0" w:type="dxa"/>
        </w:tblCellMar>
        <w:tblLook w:val="04A0" w:firstRow="1" w:lastRow="0" w:firstColumn="1" w:lastColumn="0" w:noHBand="0" w:noVBand="1"/>
      </w:tblPr>
      <w:tblGrid>
        <w:gridCol w:w="764"/>
        <w:gridCol w:w="2156"/>
        <w:gridCol w:w="1622"/>
        <w:gridCol w:w="1649"/>
        <w:gridCol w:w="1779"/>
        <w:gridCol w:w="1368"/>
      </w:tblGrid>
      <w:tr>
        <w:trPr>
          <w:trHeight w:val="760"/>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tabs>
                <w:tab w:val="left" w:pos="6252" w:leader="none"/>
              </w:tabs>
              <w:rPr>
                <w:rFonts w:ascii="宋体" w:hAnsi="宋体"/>
                <w:color w:val="auto"/>
                <w:sz w:val="24"/>
                <w:szCs w:val="24"/>
                <w:highlight w:val="none"/>
              </w:rPr>
            </w:pPr>
            <w:r>
              <w:rPr>
                <w:rFonts w:hint="eastAsia" w:ascii="宋体" w:hAnsi="宋体"/>
                <w:color w:val="auto"/>
                <w:sz w:val="24"/>
                <w:szCs w:val="24"/>
                <w:highlight w:val="none"/>
              </w:rPr>
              <w:t xml:space="preserve">合同签订时间</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tabs>
                <w:tab w:val="left" w:pos="6252" w:leader="none"/>
              </w:tabs>
              <w:rPr>
                <w:rFonts w:ascii="宋体" w:hAnsi="宋体"/>
                <w:color w:val="auto"/>
                <w:sz w:val="24"/>
                <w:szCs w:val="24"/>
                <w:highlight w:val="none"/>
              </w:rPr>
            </w:pPr>
            <w:r>
              <w:rPr>
                <w:rFonts w:hint="eastAsia" w:ascii="宋体" w:hAnsi="宋体"/>
                <w:color w:val="auto"/>
                <w:sz w:val="24"/>
                <w:szCs w:val="24"/>
                <w:highlight w:val="none"/>
              </w:rPr>
              <w:t xml:space="preserve">合同金额</w:t>
            </w:r>
            <w:r/>
          </w:p>
          <w:p>
            <w:pPr>
              <w:jc w:val="center"/>
              <w:spacing w:line="380" w:lineRule="exact"/>
              <w:tabs>
                <w:tab w:val="left" w:pos="6252" w:leader="none"/>
              </w:tabs>
              <w:rPr>
                <w:rFonts w:ascii="宋体" w:hAnsi="宋体"/>
                <w:color w:val="auto"/>
                <w:sz w:val="24"/>
                <w:szCs w:val="24"/>
                <w:highlight w:val="none"/>
              </w:rPr>
            </w:pPr>
            <w:r>
              <w:rPr>
                <w:rFonts w:hint="eastAsia" w:ascii="宋体" w:hAnsi="宋体"/>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tabs>
                <w:tab w:val="left" w:pos="6252" w:leader="none"/>
              </w:tabs>
              <w:rPr>
                <w:rFonts w:ascii="宋体" w:hAnsi="宋体"/>
                <w:color w:val="auto"/>
                <w:sz w:val="24"/>
                <w:szCs w:val="24"/>
                <w:highlight w:val="none"/>
              </w:rPr>
            </w:pPr>
            <w:r>
              <w:rPr>
                <w:rFonts w:hint="eastAsia" w:ascii="宋体" w:hAnsi="宋体"/>
                <w:color w:val="auto"/>
                <w:sz w:val="24"/>
                <w:szCs w:val="24"/>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bl>
    <w:p>
      <w:pPr>
        <w:pStyle w:val="996"/>
        <w:ind w:firstLine="480"/>
        <w:rPr>
          <w:rFonts w:cs="宋体"/>
          <w:bCs/>
          <w:color w:val="auto"/>
          <w:highlight w:val="none"/>
        </w:rPr>
      </w:pPr>
      <w:r>
        <w:rPr>
          <w:rFonts w:hint="eastAsia" w:cs="宋体"/>
          <w:bCs/>
          <w:color w:val="auto"/>
          <w:highlight w:val="none"/>
        </w:rPr>
        <w:t xml:space="preserve">注：</w:t>
      </w:r>
      <w:r>
        <w:rPr>
          <w:rFonts w:hint="eastAsia" w:cs="宋体"/>
          <w:color w:val="auto"/>
          <w:highlight w:val="none"/>
        </w:rPr>
        <w:t xml:space="preserve">按照招标文件要求及评分标准提供相应证明材料。</w:t>
      </w:r>
      <w:r/>
    </w:p>
    <w:p>
      <w:pPr>
        <w:ind w:firstLine="420"/>
        <w:spacing w:line="360" w:lineRule="auto"/>
        <w:rPr>
          <w:rFonts w:ascii="宋体" w:hAnsi="宋体"/>
          <w:color w:val="auto"/>
          <w:highlight w:val="none"/>
        </w:rPr>
      </w:pPr>
      <w:r>
        <w:rPr>
          <w:rFonts w:ascii="宋体" w:hAnsi="宋体"/>
          <w:color w:val="auto"/>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rPr>
          <w:rFonts w:ascii="宋体" w:hAnsi="宋体"/>
          <w:b/>
          <w:color w:val="auto"/>
          <w:sz w:val="24"/>
          <w:szCs w:val="24"/>
          <w:highlight w:val="none"/>
        </w:rPr>
      </w:pPr>
      <w:r>
        <w:rPr>
          <w:rFonts w:hint="eastAsia" w:ascii="宋体" w:hAnsi="宋体"/>
          <w:b/>
          <w:color w:val="auto"/>
          <w:sz w:val="24"/>
          <w:szCs w:val="24"/>
          <w:highlight w:val="none"/>
        </w:rPr>
        <w:t xml:space="preserve">11、拟投入本项目的财务总监简历表</w:t>
      </w:r>
      <w:r/>
    </w:p>
    <w:p>
      <w:pPr>
        <w:pStyle w:val="779"/>
        <w:rPr>
          <w:color w:val="auto"/>
          <w:highlight w:val="none"/>
        </w:rPr>
      </w:pPr>
      <w:r>
        <w:rPr>
          <w:color w:val="auto"/>
          <w:highlight w:val="none"/>
        </w:rPr>
      </w:r>
      <w:r/>
    </w:p>
    <w:p>
      <w:pPr>
        <w:pStyle w:val="775"/>
        <w:ind w:firstLine="0"/>
        <w:jc w:val="center"/>
        <w:spacing w:after="156"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拟投入本项目的财务总监简历表</w:t>
      </w:r>
      <w:r/>
    </w:p>
    <w:tbl>
      <w:tblPr>
        <w:tblStyle w:val="771"/>
        <w:tblW w:w="9637" w:type="dxa"/>
        <w:tblInd w:w="113" w:type="dxa"/>
        <w:tblLayout w:type="fixed"/>
        <w:tblCellMar>
          <w:left w:w="108" w:type="dxa"/>
          <w:top w:w="0" w:type="dxa"/>
          <w:right w:w="108" w:type="dxa"/>
          <w:bottom w:w="0" w:type="dxa"/>
        </w:tblCellMar>
        <w:tblLook w:val="04A0" w:firstRow="1" w:lastRow="0" w:firstColumn="1" w:lastColumn="0" w:noHBand="0" w:noVBand="1"/>
      </w:tblPr>
      <w:tblGrid>
        <w:gridCol w:w="1637"/>
        <w:gridCol w:w="1766"/>
        <w:gridCol w:w="882"/>
        <w:gridCol w:w="1343"/>
        <w:gridCol w:w="2043"/>
        <w:gridCol w:w="1966"/>
      </w:tblGrid>
      <w:tr>
        <w:trPr>
          <w:trHeight w:val="580"/>
        </w:trPr>
        <w:tc>
          <w:tcPr>
            <w:tcBorders>
              <w:top w:val="single" w:color="auto"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Borders>
              <w:top w:val="single" w:color="auto" w:sz="4" w:space="0"/>
              <w:left w:val="none" w:color="000000" w:sz="4" w:space="0"/>
              <w:bottom w:val="single" w:color="auto" w:sz="4" w:space="0"/>
              <w:right w:val="single" w:color="auto" w:sz="4" w:space="0"/>
            </w:tcBorders>
            <w:tcW w:w="176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年龄</w:t>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0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性别</w:t>
            </w:r>
            <w:r/>
          </w:p>
        </w:tc>
        <w:tc>
          <w:tcPr>
            <w:tcBorders>
              <w:top w:val="single" w:color="auto" w:sz="4" w:space="0"/>
              <w:left w:val="none" w:color="000000" w:sz="4" w:space="0"/>
              <w:bottom w:val="single" w:color="auto" w:sz="4" w:space="0"/>
              <w:right w:val="single" w:color="auto" w:sz="4" w:space="0"/>
            </w:tcBorders>
            <w:tcW w:w="196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580"/>
        </w:trPr>
        <w:tc>
          <w:tcPr>
            <w:tcBorders>
              <w:top w:val="none" w:color="000000"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学历</w:t>
            </w:r>
            <w:r/>
          </w:p>
        </w:tc>
        <w:tc>
          <w:tcPr>
            <w:tcBorders>
              <w:top w:val="none" w:color="000000" w:sz="4" w:space="0"/>
              <w:left w:val="none" w:color="000000" w:sz="4" w:space="0"/>
              <w:bottom w:val="single" w:color="auto" w:sz="4" w:space="0"/>
              <w:right w:val="single" w:color="auto" w:sz="4" w:space="0"/>
            </w:tcBorders>
            <w:tcW w:w="176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职务</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0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本项目中担任职务</w:t>
            </w:r>
            <w:r/>
          </w:p>
        </w:tc>
        <w:tc>
          <w:tcPr>
            <w:tcBorders>
              <w:top w:val="none" w:color="000000" w:sz="4" w:space="0"/>
              <w:left w:val="none" w:color="000000" w:sz="4" w:space="0"/>
              <w:bottom w:val="single" w:color="auto" w:sz="4" w:space="0"/>
              <w:right w:val="single" w:color="auto" w:sz="4" w:space="0"/>
            </w:tcBorders>
            <w:tcW w:w="196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1070"/>
        </w:trPr>
        <w:tc>
          <w:tcPr>
            <w:tcBorders>
              <w:top w:val="none" w:color="000000"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证书情况</w:t>
            </w:r>
            <w:r/>
          </w:p>
        </w:tc>
        <w:tc>
          <w:tcPr>
            <w:gridSpan w:val="5"/>
            <w:tcBorders>
              <w:top w:val="single" w:color="auto" w:sz="4" w:space="0"/>
              <w:left w:val="none" w:color="000000" w:sz="4" w:space="0"/>
              <w:bottom w:val="single" w:color="auto" w:sz="4" w:space="0"/>
              <w:right w:val="single" w:color="auto" w:sz="4" w:space="0"/>
            </w:tcBorders>
            <w:tcW w:w="8000"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1.</w:t>
            </w:r>
            <w:r/>
          </w:p>
          <w:p>
            <w:pPr>
              <w:rPr>
                <w:rFonts w:ascii="宋体" w:hAnsi="宋体"/>
                <w:color w:val="auto"/>
                <w:sz w:val="24"/>
                <w:szCs w:val="24"/>
                <w:highlight w:val="none"/>
              </w:rPr>
            </w:pPr>
            <w:r>
              <w:rPr>
                <w:rFonts w:hint="eastAsia" w:ascii="宋体" w:hAnsi="宋体"/>
                <w:color w:val="auto"/>
                <w:sz w:val="24"/>
                <w:szCs w:val="24"/>
                <w:highlight w:val="none"/>
              </w:rPr>
              <w:t xml:space="preserve">2.</w:t>
            </w:r>
            <w:r/>
          </w:p>
          <w:p>
            <w:pPr>
              <w:rPr>
                <w:rFonts w:ascii="宋体" w:hAnsi="宋体"/>
                <w:color w:val="auto"/>
                <w:sz w:val="24"/>
                <w:szCs w:val="24"/>
                <w:highlight w:val="none"/>
              </w:rPr>
            </w:pPr>
            <w:r>
              <w:rPr>
                <w:rFonts w:hint="eastAsia" w:ascii="宋体" w:hAnsi="宋体"/>
                <w:color w:val="auto"/>
                <w:sz w:val="24"/>
                <w:szCs w:val="24"/>
                <w:highlight w:val="none"/>
              </w:rPr>
              <w:t xml:space="preserve">…</w:t>
            </w:r>
            <w:r/>
          </w:p>
        </w:tc>
      </w:tr>
      <w:tr>
        <w:trPr>
          <w:trHeight w:val="694"/>
        </w:trPr>
        <w:tc>
          <w:tcPr>
            <w:tcBorders>
              <w:top w:val="none" w:color="000000"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毕业学校</w:t>
            </w:r>
            <w:r/>
          </w:p>
        </w:tc>
        <w:tc>
          <w:tcPr>
            <w:gridSpan w:val="3"/>
            <w:tcBorders>
              <w:top w:val="single" w:color="auto" w:sz="4" w:space="0"/>
              <w:left w:val="none" w:color="000000" w:sz="4" w:space="0"/>
              <w:bottom w:val="single" w:color="auto" w:sz="4" w:space="0"/>
              <w:right w:val="single" w:color="auto" w:sz="4" w:space="0"/>
            </w:tcBorders>
            <w:tcW w:w="39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0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毕业时间</w:t>
            </w:r>
            <w:r/>
          </w:p>
        </w:tc>
        <w:tc>
          <w:tcPr>
            <w:tcBorders>
              <w:top w:val="none" w:color="000000" w:sz="4" w:space="0"/>
              <w:left w:val="none" w:color="000000" w:sz="4" w:space="0"/>
              <w:bottom w:val="single" w:color="auto" w:sz="4" w:space="0"/>
              <w:right w:val="single" w:color="auto" w:sz="4" w:space="0"/>
            </w:tcBorders>
            <w:tcW w:w="196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580"/>
        </w:trPr>
        <w:tc>
          <w:tcPr>
            <w:gridSpan w:val="6"/>
            <w:tcBorders>
              <w:top w:val="single" w:color="auto" w:sz="4" w:space="0"/>
              <w:left w:val="single" w:color="auto" w:sz="4" w:space="0"/>
              <w:bottom w:val="single" w:color="auto" w:sz="4" w:space="0"/>
              <w:right w:val="single" w:color="000000" w:sz="4" w:space="0"/>
            </w:tcBorders>
            <w:tcW w:w="963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主 要 工 作 业 绩</w:t>
            </w:r>
            <w:r/>
          </w:p>
        </w:tc>
      </w:tr>
      <w:tr>
        <w:trPr>
          <w:trHeight w:val="580"/>
        </w:trPr>
        <w:tc>
          <w:tcPr>
            <w:tcBorders>
              <w:top w:val="none" w:color="000000"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时间</w:t>
            </w:r>
            <w:r/>
          </w:p>
        </w:tc>
        <w:tc>
          <w:tcPr>
            <w:gridSpan w:val="3"/>
            <w:tcBorders>
              <w:top w:val="single" w:color="auto" w:sz="4" w:space="0"/>
              <w:left w:val="none" w:color="000000" w:sz="4" w:space="0"/>
              <w:bottom w:val="single" w:color="auto" w:sz="4" w:space="0"/>
              <w:right w:val="single" w:color="000000" w:sz="4" w:space="0"/>
            </w:tcBorders>
            <w:tcW w:w="399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参加过项目的名称</w:t>
            </w:r>
            <w:r/>
          </w:p>
        </w:tc>
        <w:tc>
          <w:tcPr>
            <w:tcBorders>
              <w:top w:val="none" w:color="000000" w:sz="4" w:space="0"/>
              <w:left w:val="none" w:color="000000" w:sz="4" w:space="0"/>
              <w:bottom w:val="single" w:color="auto" w:sz="4" w:space="0"/>
              <w:right w:val="none" w:color="000000" w:sz="4" w:space="0"/>
            </w:tcBorders>
            <w:tcW w:w="20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担任职务</w:t>
            </w:r>
            <w:r/>
          </w:p>
        </w:tc>
        <w:tc>
          <w:tcPr>
            <w:tcBorders>
              <w:top w:val="none" w:color="000000" w:sz="4" w:space="0"/>
              <w:left w:val="single" w:color="auto" w:sz="4" w:space="0"/>
              <w:bottom w:val="single" w:color="auto" w:sz="4" w:space="0"/>
              <w:right w:val="single" w:color="auto" w:sz="4" w:space="0"/>
            </w:tcBorders>
            <w:tcW w:w="19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trHeight w:val="393"/>
        </w:trPr>
        <w:tc>
          <w:tcPr>
            <w:tcBorders>
              <w:top w:val="none" w:color="000000" w:sz="4" w:space="0"/>
              <w:left w:val="single" w:color="auto" w:sz="4" w:space="0"/>
              <w:bottom w:val="single" w:color="auto" w:sz="4" w:space="0"/>
              <w:right w:val="single" w:color="auto" w:sz="4" w:space="0"/>
            </w:tcBorders>
            <w:tcW w:w="1637"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3991"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2043"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966"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393"/>
        </w:trPr>
        <w:tc>
          <w:tcPr>
            <w:tcBorders>
              <w:top w:val="none" w:color="000000" w:sz="4" w:space="0"/>
              <w:left w:val="single" w:color="auto" w:sz="4" w:space="0"/>
              <w:bottom w:val="single" w:color="auto" w:sz="4" w:space="0"/>
              <w:right w:val="single" w:color="auto" w:sz="4" w:space="0"/>
            </w:tcBorders>
            <w:tcW w:w="1637"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3991"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2043"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966"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393"/>
        </w:trPr>
        <w:tc>
          <w:tcPr>
            <w:tcBorders>
              <w:top w:val="none" w:color="000000" w:sz="4" w:space="0"/>
              <w:left w:val="single" w:color="auto" w:sz="4" w:space="0"/>
              <w:bottom w:val="single" w:color="auto" w:sz="4" w:space="0"/>
              <w:right w:val="single" w:color="auto" w:sz="4" w:space="0"/>
            </w:tcBorders>
            <w:tcW w:w="1637"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3991"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2043"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966"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393"/>
        </w:trPr>
        <w:tc>
          <w:tcPr>
            <w:tcBorders>
              <w:top w:val="none" w:color="000000" w:sz="4" w:space="0"/>
              <w:left w:val="single" w:color="auto" w:sz="4" w:space="0"/>
              <w:bottom w:val="single" w:color="auto" w:sz="4" w:space="0"/>
              <w:right w:val="single" w:color="auto" w:sz="4" w:space="0"/>
            </w:tcBorders>
            <w:tcW w:w="1637"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3991"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2043"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966"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393"/>
        </w:trPr>
        <w:tc>
          <w:tcPr>
            <w:tcBorders>
              <w:top w:val="none" w:color="000000" w:sz="4" w:space="0"/>
              <w:left w:val="single" w:color="auto" w:sz="4" w:space="0"/>
              <w:bottom w:val="single" w:color="auto" w:sz="4" w:space="0"/>
              <w:right w:val="single" w:color="auto" w:sz="4" w:space="0"/>
            </w:tcBorders>
            <w:tcW w:w="1637"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3991"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2043"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966"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393"/>
        </w:trPr>
        <w:tc>
          <w:tcPr>
            <w:tcBorders>
              <w:top w:val="none" w:color="000000"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w:t>
            </w:r>
            <w:r/>
          </w:p>
        </w:tc>
        <w:tc>
          <w:tcPr>
            <w:gridSpan w:val="3"/>
            <w:tcBorders>
              <w:top w:val="single" w:color="auto" w:sz="4" w:space="0"/>
              <w:left w:val="single" w:color="auto" w:sz="4" w:space="0"/>
              <w:bottom w:val="single" w:color="auto" w:sz="4" w:space="0"/>
              <w:right w:val="single" w:color="auto" w:sz="4" w:space="0"/>
            </w:tcBorders>
            <w:tcW w:w="39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204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966"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left="239"/>
        <w:spacing w:line="340" w:lineRule="exact"/>
        <w:rPr>
          <w:color w:val="auto"/>
          <w:szCs w:val="21"/>
          <w:highlight w:val="none"/>
        </w:rPr>
      </w:pPr>
      <w:r>
        <w:rPr>
          <w:color w:val="auto"/>
          <w:szCs w:val="21"/>
          <w:highlight w:val="none"/>
        </w:rPr>
      </w:r>
      <w:r/>
    </w:p>
    <w:p>
      <w:pPr>
        <w:pStyle w:val="775"/>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ind w:firstLine="420"/>
        <w:spacing w:line="400" w:lineRule="exact"/>
        <w:rPr>
          <w:color w:val="auto"/>
          <w:szCs w:val="21"/>
          <w:highlight w:val="none"/>
        </w:rPr>
      </w:pPr>
      <w:r>
        <w:rPr>
          <w:color w:val="auto"/>
          <w:szCs w:val="21"/>
          <w:highlight w:val="none"/>
        </w:rPr>
      </w:r>
      <w:r/>
    </w:p>
    <w:p>
      <w:pPr>
        <w:rPr>
          <w:rFonts w:ascii="宋体" w:hAnsi="宋体"/>
          <w:b/>
          <w:color w:val="auto"/>
          <w:sz w:val="24"/>
          <w:szCs w:val="24"/>
          <w:highlight w:val="none"/>
        </w:rPr>
      </w:pPr>
      <w:r>
        <w:rPr>
          <w:color w:val="auto"/>
          <w:szCs w:val="21"/>
          <w:highlight w:val="none"/>
        </w:rPr>
        <w:br w:type="page" w:clear="all"/>
      </w:r>
      <w:r>
        <w:rPr>
          <w:rFonts w:hint="eastAsia" w:ascii="宋体" w:hAnsi="宋体"/>
          <w:b/>
          <w:color w:val="auto"/>
          <w:sz w:val="24"/>
          <w:szCs w:val="24"/>
          <w:highlight w:val="none"/>
        </w:rPr>
        <w:t xml:space="preserve">12、拟投入本项目人员汇总表</w:t>
      </w:r>
      <w:r/>
    </w:p>
    <w:p>
      <w:pPr>
        <w:pStyle w:val="779"/>
        <w:rPr>
          <w:color w:val="auto"/>
          <w:highlight w:val="none"/>
        </w:rPr>
      </w:pPr>
      <w:r>
        <w:rPr>
          <w:color w:val="auto"/>
          <w:highlight w:val="none"/>
        </w:rPr>
      </w:r>
      <w:r/>
    </w:p>
    <w:p>
      <w:pPr>
        <w:pStyle w:val="775"/>
        <w:ind w:firstLine="0"/>
        <w:jc w:val="center"/>
        <w:spacing w:after="156"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拟投入本项目人员汇总表</w:t>
      </w:r>
      <w:r/>
    </w:p>
    <w:tbl>
      <w:tblPr>
        <w:tblStyle w:val="77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0"/>
        <w:gridCol w:w="1825"/>
        <w:gridCol w:w="963"/>
        <w:gridCol w:w="702"/>
        <w:gridCol w:w="742"/>
        <w:gridCol w:w="704"/>
        <w:gridCol w:w="1245"/>
        <w:gridCol w:w="1126"/>
        <w:gridCol w:w="1339"/>
      </w:tblGrid>
      <w:tr>
        <w:trPr>
          <w:trHeight w:val="1067"/>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姓名</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性别</w:t>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年龄</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职称</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专业/资格</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典型业务</w:t>
            </w:r>
            <w:r/>
          </w:p>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与技术专长</w:t>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9</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88"/>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400" w:lineRule="exact"/>
              <w:rPr>
                <w:rFonts w:ascii="宋体" w:hAnsi="宋体"/>
                <w:color w:val="auto"/>
                <w:sz w:val="22"/>
                <w:szCs w:val="22"/>
                <w:highlight w:val="none"/>
              </w:rPr>
            </w:pPr>
            <w:r>
              <w:rPr>
                <w:rFonts w:hint="eastAsia" w:ascii="宋体" w:hAnsi="宋体"/>
                <w:color w:val="auto"/>
                <w:sz w:val="22"/>
                <w:szCs w:val="22"/>
                <w:highlight w:val="none"/>
              </w:rPr>
              <w:t xml:space="preserve">10</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400" w:lineRule="exact"/>
              <w:rPr>
                <w:rFonts w:ascii="宋体" w:hAnsi="宋体"/>
                <w:color w:val="auto"/>
                <w:sz w:val="22"/>
                <w:szCs w:val="22"/>
                <w:highlight w:val="none"/>
              </w:rPr>
            </w:pPr>
            <w:r>
              <w:rPr>
                <w:rFonts w:hint="eastAsia" w:ascii="宋体" w:hAnsi="宋体"/>
                <w:color w:val="auto"/>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400" w:lineRule="exact"/>
              <w:rPr>
                <w:rFonts w:ascii="宋体" w:hAnsi="宋体"/>
                <w:color w:val="auto"/>
                <w:sz w:val="22"/>
                <w:szCs w:val="22"/>
                <w:highlight w:val="none"/>
              </w:rPr>
            </w:pPr>
            <w:r>
              <w:rPr>
                <w:rFonts w:hint="eastAsia" w:ascii="宋体" w:hAnsi="宋体"/>
                <w:color w:val="auto"/>
                <w:sz w:val="22"/>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r>
      <w:tr>
        <w:trPr>
          <w:trHeight w:val="520"/>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400" w:lineRule="exact"/>
              <w:rPr>
                <w:rFonts w:ascii="宋体" w:hAnsi="宋体"/>
                <w:color w:val="auto"/>
                <w:sz w:val="22"/>
                <w:szCs w:val="22"/>
                <w:highlight w:val="none"/>
              </w:rPr>
            </w:pPr>
            <w:r>
              <w:rPr>
                <w:rFonts w:hint="eastAsia" w:ascii="宋体" w:hAnsi="宋体"/>
                <w:color w:val="auto"/>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r>
    </w:tbl>
    <w:p>
      <w:pPr>
        <w:pStyle w:val="775"/>
        <w:ind w:firstLine="371"/>
        <w:spacing w:line="360" w:lineRule="auto"/>
        <w:tabs>
          <w:tab w:val="left" w:pos="2940" w:leader="none"/>
        </w:tabs>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spacing w:line="420" w:lineRule="exact"/>
        <w:rPr>
          <w:rFonts w:ascii="宋体" w:hAnsi="宋体"/>
          <w:color w:val="auto"/>
          <w:sz w:val="24"/>
          <w:highlight w:val="none"/>
        </w:rPr>
      </w:pPr>
      <w:r>
        <w:rPr>
          <w:rFonts w:hint="eastAsia" w:ascii="宋体" w:hAnsi="宋体"/>
          <w:color w:val="auto"/>
          <w:sz w:val="24"/>
          <w:highlight w:val="none"/>
        </w:rPr>
        <w:t xml:space="preserve">注：按照招标文件要求提供相应资格证明材料。</w:t>
      </w:r>
      <w:r/>
    </w:p>
    <w:p>
      <w:pPr>
        <w:spacing w:line="420" w:lineRule="exact"/>
        <w:rPr>
          <w:rFonts w:ascii="宋体" w:hAnsi="宋体"/>
          <w:color w:val="auto"/>
          <w:sz w:val="24"/>
          <w:highlight w:val="none"/>
        </w:rPr>
      </w:pPr>
      <w:r>
        <w:rPr>
          <w:rFonts w:ascii="宋体" w:hAnsi="宋体"/>
          <w:color w:val="auto"/>
          <w:sz w:val="24"/>
          <w:highlight w:val="none"/>
        </w:rPr>
      </w:r>
      <w:r/>
    </w:p>
    <w:p>
      <w:pPr>
        <w:pStyle w:val="780"/>
        <w:rPr>
          <w:rFonts w:ascii="宋体" w:hAnsi="宋体" w:eastAsia="宋体" w:cs="宋体"/>
          <w:color w:val="auto"/>
          <w:highlight w:val="none"/>
        </w:rPr>
      </w:pPr>
      <w:r>
        <w:rPr>
          <w:rFonts w:ascii="宋体" w:hAnsi="宋体" w:eastAsia="宋体" w:cs="宋体"/>
          <w:color w:val="auto"/>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ind w:firstLine="21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highlight w:val="none"/>
        </w:rPr>
      </w:pPr>
      <w:r>
        <w:rPr>
          <w:rFonts w:hint="eastAsia" w:ascii="宋体" w:hAnsi="宋体"/>
          <w:color w:val="auto"/>
          <w:highlight w:val="none"/>
        </w:rPr>
        <w:br w:type="page" w:clear="all"/>
      </w:r>
      <w:r/>
    </w:p>
    <w:p>
      <w:pPr>
        <w:ind w:firstLine="420"/>
        <w:spacing w:line="360" w:lineRule="auto"/>
        <w:rPr>
          <w:rFonts w:ascii="宋体" w:hAnsi="宋体"/>
          <w:color w:val="auto"/>
          <w:highlight w:val="none"/>
        </w:rPr>
        <w:sectPr>
          <w:footnotePr/>
          <w:endnotePr/>
          <w:type w:val="nextPage"/>
          <w:pgSz w:w="11907" w:h="16840" w:orient="portrait"/>
          <w:pgMar w:top="1077" w:right="1134" w:bottom="1077" w:left="1354" w:header="567" w:footer="567" w:gutter="0"/>
          <w:cols w:num="1" w:sep="0" w:space="720" w:equalWidth="1"/>
          <w:docGrid w:linePitch="360"/>
          <w:titlePg/>
        </w:sectPr>
        <w:outlineLvl w:val="2"/>
      </w:pPr>
      <w:r>
        <w:rPr>
          <w:rFonts w:ascii="宋体" w:hAnsi="宋体"/>
          <w:color w:val="auto"/>
          <w:highlight w:val="none"/>
        </w:rPr>
      </w:r>
      <w:r/>
    </w:p>
    <w:p>
      <w:pPr>
        <w:rPr>
          <w:color w:val="auto"/>
          <w:highlight w:val="none"/>
        </w:rPr>
      </w:pPr>
      <w:r>
        <w:rPr>
          <w:rFonts w:hint="eastAsia" w:ascii="宋体" w:hAnsi="宋体"/>
          <w:b/>
          <w:color w:val="auto"/>
          <w:sz w:val="24"/>
          <w:szCs w:val="24"/>
          <w:highlight w:val="none"/>
        </w:rPr>
        <w:t xml:space="preserve">13、中小企业声明函</w:t>
      </w:r>
      <w:r/>
    </w:p>
    <w:p>
      <w:pPr>
        <w:pStyle w:val="775"/>
        <w:ind w:firstLine="0"/>
        <w:jc w:val="center"/>
        <w:spacing w:after="152"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中小企业声明函</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本公司郑重声明，根据《政府采购促进中小企业发展管理办法》（财库﹝2020﹞46号）的规定，本公司参加</w:t>
      </w:r>
      <w:r>
        <w:rPr>
          <w:rFonts w:hint="eastAsia" w:ascii="宋体" w:hAnsi="宋体"/>
          <w:color w:val="auto"/>
          <w:sz w:val="24"/>
          <w:highlight w:val="none"/>
          <w:u w:val="single"/>
        </w:rPr>
        <w:t xml:space="preserve">（</w:t>
      </w:r>
      <w:r>
        <w:rPr>
          <w:rFonts w:hint="eastAsia" w:ascii="宋体" w:hAnsi="宋体"/>
          <w:i/>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i/>
          <w:color w:val="auto"/>
          <w:sz w:val="24"/>
          <w:highlight w:val="none"/>
          <w:u w:val="single"/>
        </w:rPr>
        <w:t xml:space="preserve">（项目名称）</w:t>
      </w:r>
      <w:r>
        <w:rPr>
          <w:rFonts w:hint="eastAsia" w:ascii="宋体" w:hAnsi="宋体"/>
          <w:color w:val="auto"/>
          <w:sz w:val="24"/>
          <w:highlight w:val="none"/>
        </w:rPr>
        <w:t xml:space="preserve">采购活动，服务全部由符合政策要求的中小企业承接。相关企业的具体情况如下：</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i/>
          <w:color w:val="auto"/>
          <w:sz w:val="24"/>
          <w:highlight w:val="none"/>
          <w:u w:val="single"/>
        </w:rPr>
        <w:t xml:space="preserve">（标的名称）</w:t>
      </w:r>
      <w:r>
        <w:rPr>
          <w:rFonts w:hint="eastAsia" w:ascii="宋体" w:hAnsi="宋体"/>
          <w:color w:val="auto"/>
          <w:sz w:val="24"/>
          <w:highlight w:val="none"/>
        </w:rPr>
        <w:t xml:space="preserve">，属于</w:t>
      </w:r>
      <w:r>
        <w:rPr>
          <w:rFonts w:hint="eastAsia" w:ascii="宋体" w:hAnsi="宋体"/>
          <w:color w:val="auto"/>
          <w:sz w:val="24"/>
          <w:szCs w:val="24"/>
          <w:highlight w:val="none"/>
          <w:u w:val="single"/>
        </w:rPr>
        <w:t xml:space="preserve">（十五）租赁和商务服务业</w:t>
      </w:r>
      <w:r>
        <w:rPr>
          <w:rFonts w:hint="eastAsia" w:ascii="宋体" w:hAnsi="宋体"/>
          <w:i/>
          <w:color w:val="auto"/>
          <w:sz w:val="24"/>
          <w:highlight w:val="none"/>
        </w:rPr>
        <w:t xml:space="preserve">行业</w:t>
      </w:r>
      <w:r>
        <w:rPr>
          <w:rFonts w:hint="eastAsia" w:ascii="宋体" w:hAnsi="宋体"/>
          <w:color w:val="auto"/>
          <w:sz w:val="24"/>
          <w:highlight w:val="none"/>
        </w:rPr>
        <w:t xml:space="preserve">；承接企业为</w:t>
      </w:r>
      <w:r>
        <w:rPr>
          <w:rFonts w:hint="eastAsia" w:ascii="宋体" w:hAnsi="宋体"/>
          <w:i/>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ab/>
      </w:r>
      <w:r>
        <w:rPr>
          <w:rFonts w:hint="eastAsia" w:ascii="宋体" w:hAnsi="宋体"/>
          <w:color w:val="auto"/>
          <w:sz w:val="24"/>
          <w:highlight w:val="none"/>
        </w:rPr>
        <w:t xml:space="preserve">人，营业收入为</w:t>
      </w:r>
      <w:r>
        <w:rPr>
          <w:rFonts w:hint="eastAsia" w:ascii="宋体" w:hAnsi="宋体"/>
          <w:color w:val="auto"/>
          <w:sz w:val="24"/>
          <w:highlight w:val="none"/>
          <w:u w:val="single"/>
        </w:rPr>
        <w:tab/>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ab/>
      </w:r>
      <w:r>
        <w:rPr>
          <w:rFonts w:hint="eastAsia" w:ascii="宋体" w:hAnsi="宋体"/>
          <w:color w:val="auto"/>
          <w:sz w:val="24"/>
          <w:highlight w:val="none"/>
        </w:rPr>
        <w:t xml:space="preserve">万元，属于</w:t>
      </w:r>
      <w:r>
        <w:rPr>
          <w:rFonts w:hint="eastAsia" w:ascii="宋体" w:hAnsi="宋体"/>
          <w:i/>
          <w:color w:val="auto"/>
          <w:sz w:val="24"/>
          <w:highlight w:val="none"/>
        </w:rPr>
        <w:t xml:space="preserve">（中型企业、小型企业、微型企业，三者选一填写）</w:t>
      </w:r>
      <w:r>
        <w:rPr>
          <w:rFonts w:hint="eastAsia" w:ascii="宋体" w:hAnsi="宋体"/>
          <w:color w:val="auto"/>
          <w:sz w:val="24"/>
          <w:highlight w:val="none"/>
        </w:rPr>
        <w:t xml:space="preserve">；</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right="960" w:firstLine="4800"/>
        <w:jc w:val="left"/>
        <w:spacing w:line="440" w:lineRule="exact"/>
        <w:rPr>
          <w:rFonts w:ascii="宋体" w:hAnsi="宋体"/>
          <w:color w:val="auto"/>
          <w:sz w:val="24"/>
          <w:highlight w:val="none"/>
        </w:rPr>
      </w:pPr>
      <w:r>
        <w:rPr>
          <w:rFonts w:hint="eastAsia" w:ascii="宋体" w:hAnsi="宋体"/>
          <w:color w:val="auto"/>
          <w:sz w:val="24"/>
          <w:highlight w:val="none"/>
        </w:rPr>
        <w:t xml:space="preserve">企业名称（盖章）：</w:t>
      </w:r>
      <w:r/>
    </w:p>
    <w:p>
      <w:pPr>
        <w:ind w:right="1120" w:firstLine="4800"/>
        <w:jc w:val="left"/>
        <w:spacing w:line="440" w:lineRule="exact"/>
        <w:rPr>
          <w:rFonts w:ascii="宋体" w:hAnsi="宋体"/>
          <w:color w:val="auto"/>
          <w:sz w:val="24"/>
          <w:highlight w:val="none"/>
        </w:rPr>
      </w:pPr>
      <w:r>
        <w:rPr>
          <w:rFonts w:hint="eastAsia" w:ascii="宋体" w:hAnsi="宋体"/>
          <w:color w:val="auto"/>
          <w:sz w:val="24"/>
          <w:highlight w:val="none"/>
        </w:rPr>
        <w:t xml:space="preserve">日期：</w:t>
      </w:r>
      <w:r/>
    </w:p>
    <w:p>
      <w:pPr>
        <w:spacing w:line="440" w:lineRule="exact"/>
        <w:rPr>
          <w:rFonts w:ascii="宋体" w:hAnsi="宋体"/>
          <w:color w:val="auto"/>
          <w:sz w:val="24"/>
          <w:highlight w:val="none"/>
        </w:rPr>
      </w:pPr>
      <w:r>
        <w:rPr>
          <w:rFonts w:hint="eastAsia" w:ascii="宋体" w:hAnsi="宋体"/>
          <w:color w:val="auto"/>
          <w:sz w:val="24"/>
          <w:highlight w:val="none"/>
        </w:rPr>
        <w:t xml:space="preserve">从业人员、营业收入、资产总额填报上一年度数据，无上一年度数据的新成立企业可不填报。</w:t>
      </w:r>
      <w:r/>
    </w:p>
    <w:p>
      <w:pPr>
        <w:ind w:firstLine="482"/>
        <w:jc w:val="left"/>
        <w:spacing w:line="440" w:lineRule="exact"/>
        <w:rPr>
          <w:rFonts w:ascii="宋体" w:hAnsi="宋体"/>
          <w:b/>
          <w:color w:val="auto"/>
          <w:sz w:val="24"/>
          <w:highlight w:val="none"/>
        </w:rPr>
      </w:pPr>
      <w:r>
        <w:rPr>
          <w:rFonts w:hint="eastAsia" w:ascii="宋体" w:hAnsi="宋体"/>
          <w:b/>
          <w:color w:val="auto"/>
          <w:sz w:val="24"/>
          <w:highlight w:val="none"/>
        </w:rPr>
        <w:t xml:space="preserve">备注：</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1、本项目专门面向中小企业采购，投标人应提供中小企业声明函或残疾人福利性单位声明函或省级以上监狱管理局、戒毒管理局（含新疆生产建设兵团）出具的属于监狱企业的证明文件,否则视为投标无效。</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2、投标人提供的中小企业声明函必须包含本项目所有服务及其服务承接企业，并按照声明函格式填写完整、明确，否则视为未按规定提供声明函，投标无效。</w:t>
      </w:r>
      <w:r/>
    </w:p>
    <w:p>
      <w:pPr>
        <w:ind w:right="357" w:firstLine="42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3、中标、成交供应商享受规定的中小企业扶持政策的，《中小企业声明函》应当随中标、成交结果同时公告，接受社会监督。</w:t>
      </w:r>
      <w:r/>
    </w:p>
    <w:p>
      <w:pPr>
        <w:ind w:left="-42" w:right="357"/>
        <w:spacing w:line="400" w:lineRule="exact"/>
        <w:rPr>
          <w:rFonts w:ascii="宋体" w:hAnsi="宋体"/>
          <w:b/>
          <w:color w:val="auto"/>
          <w:szCs w:val="21"/>
          <w:highlight w:val="none"/>
        </w:rPr>
      </w:pPr>
      <w:r>
        <w:rPr>
          <w:rFonts w:ascii="宋体" w:hAnsi="宋体"/>
          <w:b/>
          <w:color w:val="auto"/>
          <w:szCs w:val="21"/>
          <w:highlight w:val="none"/>
        </w:rPr>
      </w:r>
      <w:r/>
    </w:p>
    <w:p>
      <w:pPr>
        <w:pStyle w:val="806"/>
        <w:ind w:left="0" w:firstLine="0"/>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ascii="宋体" w:hAnsi="宋体"/>
          <w:color w:val="auto"/>
          <w:highlight w:val="none"/>
        </w:rPr>
        <w:outlineLvl w:val="1"/>
      </w:pPr>
      <w:r>
        <w:rPr>
          <w:rFonts w:hint="eastAsia" w:ascii="宋体" w:hAnsi="宋体"/>
          <w:color w:val="auto"/>
          <w:highlight w:val="none"/>
        </w:rPr>
        <w:br w:type="page" w:clear="all"/>
      </w:r>
      <w:r>
        <w:rPr>
          <w:rFonts w:hint="eastAsia" w:ascii="宋体" w:hAnsi="宋体"/>
          <w:b/>
          <w:color w:val="auto"/>
          <w:sz w:val="24"/>
          <w:szCs w:val="24"/>
          <w:highlight w:val="none"/>
        </w:rPr>
        <w:t xml:space="preserve">14、残疾人福利性单位声明函</w:t>
      </w:r>
      <w:r/>
    </w:p>
    <w:p>
      <w:pPr>
        <w:pStyle w:val="775"/>
        <w:ind w:firstLine="0"/>
        <w:jc w:val="center"/>
        <w:spacing w:after="152"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残疾人福利性单位声明函</w:t>
      </w:r>
      <w:r/>
    </w:p>
    <w:p>
      <w:pPr>
        <w:pStyle w:val="806"/>
        <w:ind w:left="0" w:firstLine="48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4"/>
          <w:highlight w:val="none"/>
          <w:u w:val="single"/>
        </w:rPr>
        <w:t xml:space="preserve">______</w:t>
      </w:r>
      <w:r>
        <w:rPr>
          <w:rFonts w:hint="eastAsia" w:ascii="宋体" w:hAnsi="宋体" w:eastAsia="宋体" w:cs="宋体"/>
          <w:color w:val="auto"/>
          <w:szCs w:val="24"/>
          <w:highlight w:val="none"/>
        </w:rPr>
        <w:t xml:space="preserve">单位的</w:t>
      </w:r>
      <w:r>
        <w:rPr>
          <w:rFonts w:hint="eastAsia" w:ascii="宋体" w:hAnsi="宋体" w:eastAsia="宋体" w:cs="宋体"/>
          <w:color w:val="auto"/>
          <w:szCs w:val="24"/>
          <w:highlight w:val="none"/>
          <w:u w:val="single"/>
        </w:rPr>
        <w:t xml:space="preserve">______</w:t>
      </w:r>
      <w:r>
        <w:rPr>
          <w:rFonts w:hint="eastAsia" w:ascii="宋体" w:hAnsi="宋体" w:eastAsia="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06"/>
        <w:ind w:left="0" w:firstLine="48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本单位对上述声明的真实性负责。如有虚假，将依法承担相应责任。</w:t>
      </w:r>
      <w:r/>
    </w:p>
    <w:p>
      <w:pPr>
        <w:pStyle w:val="806"/>
        <w:ind w:left="0"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806"/>
        <w:ind w:left="0" w:firstLine="0"/>
        <w:rPr>
          <w:rFonts w:ascii="宋体" w:hAnsi="宋体" w:eastAsia="宋体" w:cs="宋体"/>
          <w:color w:val="auto"/>
          <w:szCs w:val="24"/>
          <w:highlight w:val="none"/>
        </w:rPr>
      </w:pPr>
      <w:r>
        <w:rPr>
          <w:rFonts w:ascii="宋体" w:hAnsi="宋体" w:eastAsia="宋体" w:cs="宋体"/>
          <w:color w:val="auto"/>
          <w:szCs w:val="24"/>
          <w:highlight w:val="none"/>
        </w:rPr>
      </w:r>
      <w:r/>
    </w:p>
    <w:p>
      <w:pPr>
        <w:ind w:firstLine="5460"/>
        <w:jc w:val="left"/>
        <w:spacing w:line="540" w:lineRule="atLeast"/>
        <w:widowControl/>
        <w:rPr>
          <w:rFonts w:ascii="宋体" w:hAnsi="宋体"/>
          <w:color w:val="auto"/>
          <w:sz w:val="24"/>
          <w:highlight w:val="none"/>
        </w:rPr>
      </w:pPr>
      <w:r>
        <w:rPr>
          <w:rFonts w:hint="eastAsia" w:ascii="宋体" w:hAnsi="宋体"/>
          <w:color w:val="auto"/>
          <w:sz w:val="24"/>
          <w:highlight w:val="none"/>
        </w:rPr>
        <w:t xml:space="preserve">单位名称（盖章）：</w:t>
      </w:r>
      <w:r/>
    </w:p>
    <w:p>
      <w:pPr>
        <w:jc w:val="left"/>
        <w:spacing w:line="540" w:lineRule="atLeast"/>
        <w:widowControl/>
        <w:rPr>
          <w:rFonts w:ascii="宋体" w:hAnsi="宋体"/>
          <w:b/>
          <w:color w:val="auto"/>
          <w:sz w:val="32"/>
          <w:szCs w:val="32"/>
          <w:highlight w:val="none"/>
        </w:rPr>
      </w:pPr>
      <w:r>
        <w:rPr>
          <w:rFonts w:hint="eastAsia" w:ascii="宋体" w:hAnsi="宋体"/>
          <w:color w:val="auto"/>
          <w:sz w:val="24"/>
          <w:highlight w:val="none"/>
        </w:rPr>
        <w:t xml:space="preserve">                                    日 期：</w:t>
      </w:r>
      <w:r/>
    </w:p>
    <w:p>
      <w:pPr>
        <w:rPr>
          <w:color w:val="auto"/>
          <w:highlight w:val="none"/>
          <w:lang w:val="zh-CN"/>
        </w:rPr>
      </w:pPr>
      <w:r>
        <w:rPr>
          <w:rFonts w:hint="eastAsia" w:ascii="宋体" w:hAnsi="宋体"/>
          <w:b/>
          <w:color w:val="auto"/>
          <w:szCs w:val="24"/>
          <w:highlight w:val="none"/>
        </w:rPr>
        <w:br w:type="page" w:clear="all"/>
      </w:r>
      <w:r>
        <w:rPr>
          <w:rFonts w:hint="eastAsia" w:ascii="宋体" w:hAnsi="宋体"/>
          <w:b/>
          <w:color w:val="auto"/>
          <w:sz w:val="24"/>
          <w:szCs w:val="24"/>
          <w:highlight w:val="none"/>
        </w:rPr>
        <w:t xml:space="preserve">15</w:t>
      </w:r>
      <w:r>
        <w:rPr>
          <w:rFonts w:hint="eastAsia" w:ascii="宋体" w:hAnsi="宋体"/>
          <w:b/>
          <w:color w:val="auto"/>
          <w:sz w:val="24"/>
          <w:szCs w:val="24"/>
          <w:highlight w:val="none"/>
          <w:lang w:val="zh-CN"/>
        </w:rPr>
        <w:t xml:space="preserve">、技术、商务评分标准对应情况表</w:t>
      </w:r>
      <w:r/>
    </w:p>
    <w:p>
      <w:pPr>
        <w:rPr>
          <w:color w:val="auto"/>
          <w:highlight w:val="none"/>
        </w:rPr>
      </w:pPr>
      <w:r>
        <w:rPr>
          <w:color w:val="auto"/>
          <w:highlight w:val="none"/>
        </w:rPr>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1"/>
        <w:gridCol w:w="3233"/>
        <w:gridCol w:w="2576"/>
        <w:gridCol w:w="1868"/>
      </w:tblGrid>
      <w:tr>
        <w:trPr>
          <w:jc w:val="center"/>
          <w:trHeight w:val="412"/>
        </w:trPr>
        <w:tc>
          <w:tcPr>
            <w:tcW w:w="114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23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技术、商务评分内容</w:t>
            </w:r>
            <w:r/>
          </w:p>
        </w:tc>
        <w:tc>
          <w:tcPr>
            <w:tcW w:w="257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86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详见页码</w:t>
            </w:r>
            <w:r/>
          </w:p>
        </w:tc>
      </w:tr>
      <w:tr>
        <w:trPr>
          <w:jc w:val="center"/>
          <w:trHeight w:val="412"/>
        </w:trPr>
        <w:tc>
          <w:tcPr>
            <w:tcW w:w="114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23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7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6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412"/>
        </w:trPr>
        <w:tc>
          <w:tcPr>
            <w:tcW w:w="114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23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7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6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412"/>
        </w:trPr>
        <w:tc>
          <w:tcPr>
            <w:tcW w:w="114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323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7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6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412"/>
        </w:trPr>
        <w:tc>
          <w:tcPr>
            <w:tcW w:w="114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323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7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6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412"/>
        </w:trPr>
        <w:tc>
          <w:tcPr>
            <w:tcW w:w="114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323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7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6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25"/>
        </w:trPr>
        <w:tc>
          <w:tcPr>
            <w:tcW w:w="1141" w:type="dxa"/>
            <w:vAlign w:val="center"/>
            <w:textDirection w:val="lrTb"/>
            <w:noWrap w:val="false"/>
          </w:tcPr>
          <w:p>
            <w:pPr>
              <w:rPr>
                <w:color w:val="auto"/>
                <w:highlight w:val="none"/>
              </w:rPr>
            </w:pPr>
            <w:r>
              <w:rPr>
                <w:rFonts w:hint="eastAsia"/>
                <w:color w:val="auto"/>
                <w:highlight w:val="none"/>
              </w:rPr>
              <w:t xml:space="preserve">…</w:t>
            </w:r>
            <w:r/>
          </w:p>
        </w:tc>
        <w:tc>
          <w:tcPr>
            <w:tcW w:w="3233" w:type="dxa"/>
            <w:vAlign w:val="center"/>
            <w:textDirection w:val="lrTb"/>
            <w:noWrap w:val="false"/>
          </w:tcPr>
          <w:p>
            <w:pPr>
              <w:rPr>
                <w:color w:val="auto"/>
                <w:highlight w:val="none"/>
              </w:rPr>
            </w:pPr>
            <w:r>
              <w:rPr>
                <w:color w:val="auto"/>
                <w:highlight w:val="none"/>
              </w:rPr>
            </w:r>
            <w:r/>
          </w:p>
        </w:tc>
        <w:tc>
          <w:tcPr>
            <w:tcW w:w="2576" w:type="dxa"/>
            <w:vAlign w:val="center"/>
            <w:textDirection w:val="lrTb"/>
            <w:noWrap w:val="false"/>
          </w:tcPr>
          <w:p>
            <w:pPr>
              <w:rPr>
                <w:color w:val="auto"/>
                <w:highlight w:val="none"/>
              </w:rPr>
            </w:pPr>
            <w:r>
              <w:rPr>
                <w:color w:val="auto"/>
                <w:highlight w:val="none"/>
              </w:rPr>
            </w:r>
            <w:r/>
          </w:p>
        </w:tc>
        <w:tc>
          <w:tcPr>
            <w:tcW w:w="1868" w:type="dxa"/>
            <w:vAlign w:val="center"/>
            <w:textDirection w:val="lrTb"/>
            <w:noWrap w:val="false"/>
          </w:tcPr>
          <w:p>
            <w:pPr>
              <w:rPr>
                <w:color w:val="auto"/>
                <w:highlight w:val="none"/>
              </w:rPr>
            </w:pPr>
            <w:r>
              <w:rPr>
                <w:color w:val="auto"/>
                <w:highlight w:val="none"/>
              </w:rPr>
            </w:r>
            <w:r/>
          </w:p>
        </w:tc>
      </w:tr>
    </w:tbl>
    <w:p>
      <w:pPr>
        <w:rPr>
          <w:color w:val="auto"/>
          <w:sz w:val="24"/>
          <w:szCs w:val="24"/>
          <w:highlight w:val="none"/>
        </w:rPr>
      </w:pPr>
      <w:r>
        <w:rPr>
          <w:rFonts w:hint="eastAsia"/>
          <w:color w:val="auto"/>
          <w:sz w:val="24"/>
          <w:szCs w:val="24"/>
          <w:highlight w:val="none"/>
        </w:rPr>
        <w:t xml:space="preserve">为方便评审，请投标人按照评分标准内容，按序填写此表。</w:t>
      </w:r>
      <w:bookmarkStart w:id="7" w:name="_Toc37331742"/>
      <w:r/>
      <w:bookmarkStart w:id="8" w:name="_Toc11893"/>
      <w:r/>
      <w:r/>
    </w:p>
    <w:p>
      <w:pPr>
        <w:rPr>
          <w:color w:val="auto"/>
          <w:highlight w:val="none"/>
        </w:rPr>
      </w:pPr>
      <w:r>
        <w:rPr>
          <w:rFonts w:hint="eastAsia"/>
          <w:color w:val="auto"/>
          <w:highlight w:val="none"/>
        </w:rPr>
        <w:br w:type="page" w:clear="all"/>
      </w:r>
      <w:r/>
    </w:p>
    <w:p>
      <w:pPr>
        <w:pStyle w:val="761"/>
        <w:rPr>
          <w:color w:val="auto"/>
          <w:highlight w:val="none"/>
        </w:rPr>
      </w:pPr>
      <w:r>
        <w:rPr>
          <w:rFonts w:hint="eastAsia"/>
          <w:color w:val="auto"/>
          <w:highlight w:val="none"/>
        </w:rPr>
        <w:t xml:space="preserve">第四章 项目需求</w:t>
      </w:r>
      <w:bookmarkEnd w:id="7"/>
      <w:r/>
      <w:bookmarkEnd w:id="8"/>
      <w:r/>
      <w:r/>
    </w:p>
    <w:p>
      <w:pPr>
        <w:spacing w:line="360" w:lineRule="auto"/>
        <w:rPr>
          <w:rFonts w:ascii="宋体" w:hAnsi="宋体"/>
          <w:b/>
          <w:bCs/>
          <w:color w:val="auto"/>
          <w:sz w:val="24"/>
          <w:szCs w:val="24"/>
          <w:highlight w:val="none"/>
        </w:rPr>
      </w:pPr>
      <w:r/>
      <w:bookmarkStart w:id="9" w:name="_Toc37331743"/>
      <w:r>
        <w:rPr>
          <w:rFonts w:hint="eastAsia" w:ascii="宋体" w:hAnsi="宋体"/>
          <w:b/>
          <w:bCs/>
          <w:color w:val="auto"/>
          <w:sz w:val="24"/>
          <w:szCs w:val="24"/>
          <w:highlight w:val="none"/>
        </w:rPr>
        <w:t xml:space="preserve">一、项目概况</w:t>
      </w:r>
      <w:r/>
    </w:p>
    <w:p>
      <w:pPr>
        <w:ind w:left="4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1、采购编号：</w:t>
      </w:r>
      <w:r>
        <w:rPr>
          <w:rFonts w:hint="eastAsia" w:ascii="宋体" w:hAnsi="宋体"/>
          <w:color w:val="auto"/>
          <w:sz w:val="24"/>
          <w:szCs w:val="24"/>
          <w:highlight w:val="none"/>
          <w:lang w:eastAsia="zh-CN"/>
        </w:rPr>
        <w:t xml:space="preserve">JSZC-320585-DFHX-G2026-0014</w:t>
      </w:r>
      <w:r/>
    </w:p>
    <w:p>
      <w:pPr>
        <w:ind w:left="4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2027-2029年财务监管平台第三方代理服务采购</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3、预算金额：人民币伍佰万圆整（￥5</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00000.00元）</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4、最高限价：人民币伍佰万圆整（￥5</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00000.00元），</w:t>
      </w:r>
      <w:r>
        <w:rPr>
          <w:rFonts w:hint="eastAsia" w:ascii="宋体" w:hAnsi="宋体"/>
          <w:color w:val="auto"/>
          <w:sz w:val="24"/>
          <w:szCs w:val="24"/>
          <w:highlight w:val="none"/>
          <w:lang w:val="zh-CN"/>
        </w:rPr>
        <w:t xml:space="preserve">投标报价超过最高限价的为无效标。</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5、服务期限：自合同签订之日起三年。</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服务范围：陆渡街道全区域。</w:t>
      </w:r>
      <w:r/>
    </w:p>
    <w:p>
      <w:pPr>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二、采购需求</w:t>
      </w:r>
      <w:r/>
    </w:p>
    <w:p>
      <w:pPr>
        <w:spacing w:line="360" w:lineRule="auto"/>
        <w:rPr>
          <w:rFonts w:ascii="宋体" w:hAnsi="宋体"/>
          <w:color w:val="auto"/>
          <w:sz w:val="24"/>
          <w:szCs w:val="24"/>
          <w:highlight w:val="none"/>
        </w:rPr>
      </w:pPr>
      <w:r>
        <w:rPr>
          <w:rFonts w:hint="eastAsia" w:ascii="宋体" w:hAnsi="宋体"/>
          <w:b/>
          <w:bCs/>
          <w:color w:val="auto"/>
          <w:sz w:val="24"/>
          <w:szCs w:val="24"/>
          <w:highlight w:val="none"/>
          <w:lang w:val="zh-CN"/>
        </w:rPr>
        <w:t xml:space="preserve">（一）</w:t>
      </w:r>
      <w:r>
        <w:rPr>
          <w:rFonts w:hint="eastAsia" w:ascii="宋体" w:hAnsi="宋体"/>
          <w:b/>
          <w:color w:val="auto"/>
          <w:sz w:val="24"/>
          <w:szCs w:val="24"/>
          <w:highlight w:val="none"/>
        </w:rPr>
        <w:t xml:space="preserve">对象和范围：</w:t>
      </w:r>
      <w:r>
        <w:rPr>
          <w:rFonts w:hint="eastAsia" w:ascii="宋体" w:hAnsi="宋体"/>
          <w:bCs/>
          <w:color w:val="auto"/>
          <w:sz w:val="24"/>
          <w:szCs w:val="24"/>
          <w:highlight w:val="none"/>
        </w:rPr>
        <w:t xml:space="preserve">陆渡街道下辖村、村改社区、各农村集体合作经济组织等。</w:t>
      </w:r>
      <w:r/>
    </w:p>
    <w:p>
      <w:pPr>
        <w:spacing w:line="360" w:lineRule="auto"/>
        <w:tabs>
          <w:tab w:val="left" w:pos="2520" w:leader="none"/>
        </w:tabs>
        <w:rPr>
          <w:rFonts w:ascii="宋体" w:hAnsi="宋体"/>
          <w:b/>
          <w:color w:val="auto"/>
          <w:sz w:val="24"/>
          <w:szCs w:val="24"/>
          <w:highlight w:val="none"/>
        </w:rPr>
      </w:pP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rPr>
        <w:t xml:space="preserve">二</w:t>
      </w:r>
      <w:r>
        <w:rPr>
          <w:rFonts w:hint="eastAsia" w:ascii="宋体" w:hAnsi="宋体"/>
          <w:b/>
          <w:bCs/>
          <w:color w:val="auto"/>
          <w:sz w:val="24"/>
          <w:szCs w:val="24"/>
          <w:highlight w:val="none"/>
          <w:lang w:val="zh-CN"/>
        </w:rPr>
        <w:t xml:space="preserve">）</w:t>
      </w:r>
      <w:r>
        <w:rPr>
          <w:rFonts w:hint="eastAsia" w:ascii="宋体" w:hAnsi="宋体"/>
          <w:b/>
          <w:color w:val="auto"/>
          <w:sz w:val="24"/>
          <w:szCs w:val="24"/>
          <w:highlight w:val="none"/>
        </w:rPr>
        <w:t xml:space="preserve">服务依据：</w:t>
      </w:r>
      <w:r>
        <w:rPr>
          <w:rFonts w:hint="eastAsia" w:ascii="宋体" w:hAnsi="宋体"/>
          <w:b/>
          <w:color w:val="auto"/>
          <w:sz w:val="24"/>
          <w:szCs w:val="24"/>
          <w:highlight w:val="none"/>
        </w:rPr>
        <w:tab/>
      </w:r>
      <w:r/>
    </w:p>
    <w:p>
      <w:pPr>
        <w:ind w:left="42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1、严格执行</w:t>
      </w:r>
      <w:r>
        <w:rPr>
          <w:rFonts w:ascii="宋体" w:hAnsi="宋体" w:eastAsia="宋体" w:cs="宋体"/>
          <w:sz w:val="24"/>
          <w:szCs w:val="24"/>
        </w:rPr>
        <w:t xml:space="preserve">全国人民代表大会常务委员会</w:t>
      </w:r>
      <w:r>
        <w:rPr>
          <w:rFonts w:hint="eastAsia" w:ascii="宋体" w:hAnsi="宋体"/>
          <w:color w:val="auto"/>
          <w:sz w:val="24"/>
          <w:szCs w:val="24"/>
          <w:highlight w:val="none"/>
        </w:rPr>
        <w:t xml:space="preserve">制定的《中华人民共和国会计法》、</w:t>
      </w:r>
      <w:r>
        <w:rPr>
          <w:rFonts w:ascii="宋体" w:hAnsi="宋体" w:eastAsia="宋体" w:cs="宋体"/>
          <w:sz w:val="24"/>
          <w:szCs w:val="24"/>
        </w:rPr>
        <w:t xml:space="preserve">中华人民共和国财政部</w:t>
      </w:r>
      <w:r>
        <w:rPr>
          <w:rFonts w:hint="eastAsia" w:ascii="宋体" w:hAnsi="宋体" w:cs="宋体"/>
          <w:sz w:val="24"/>
          <w:szCs w:val="24"/>
          <w:lang w:val="en-US" w:eastAsia="zh-CN"/>
        </w:rPr>
        <w:t xml:space="preserve">制定的</w:t>
      </w:r>
      <w:r>
        <w:rPr>
          <w:rFonts w:hint="eastAsia" w:ascii="宋体" w:hAnsi="宋体"/>
          <w:color w:val="auto"/>
          <w:sz w:val="24"/>
          <w:szCs w:val="24"/>
          <w:highlight w:val="none"/>
        </w:rPr>
        <w:t xml:space="preserve">《会计基础工作规范》、</w:t>
      </w:r>
      <w:r>
        <w:rPr>
          <w:rFonts w:ascii="宋体" w:hAnsi="宋体" w:eastAsia="宋体" w:cs="宋体"/>
          <w:sz w:val="24"/>
          <w:szCs w:val="24"/>
        </w:rPr>
        <w:t xml:space="preserve">中华人民共和国财政部</w:t>
      </w:r>
      <w:r>
        <w:rPr>
          <w:rFonts w:hint="eastAsia" w:ascii="宋体" w:hAnsi="宋体" w:cs="宋体"/>
          <w:sz w:val="24"/>
          <w:szCs w:val="24"/>
          <w:lang w:val="en-US" w:eastAsia="zh-CN"/>
        </w:rPr>
        <w:t xml:space="preserve">制定的</w:t>
      </w:r>
      <w:r>
        <w:rPr>
          <w:rFonts w:hint="eastAsia" w:ascii="宋体" w:hAnsi="宋体"/>
          <w:color w:val="auto"/>
          <w:sz w:val="24"/>
          <w:szCs w:val="24"/>
          <w:highlight w:val="none"/>
        </w:rPr>
        <w:t xml:space="preserve">《村集体经济组织会计制度》、</w:t>
      </w:r>
      <w:r>
        <w:rPr>
          <w:rFonts w:ascii="宋体" w:hAnsi="宋体" w:eastAsia="宋体" w:cs="宋体"/>
          <w:sz w:val="24"/>
          <w:szCs w:val="24"/>
        </w:rPr>
        <w:t xml:space="preserve">中华人民共和国财政部</w:t>
      </w:r>
      <w:r>
        <w:rPr>
          <w:rFonts w:hint="eastAsia" w:ascii="宋体" w:hAnsi="宋体" w:cs="宋体"/>
          <w:sz w:val="24"/>
          <w:szCs w:val="24"/>
          <w:lang w:val="en-US" w:eastAsia="zh-CN"/>
        </w:rPr>
        <w:t xml:space="preserve">制定的</w:t>
      </w:r>
      <w:r>
        <w:rPr>
          <w:rFonts w:hint="eastAsia" w:ascii="宋体" w:hAnsi="宋体"/>
          <w:color w:val="auto"/>
          <w:sz w:val="24"/>
          <w:szCs w:val="24"/>
          <w:highlight w:val="none"/>
        </w:rPr>
        <w:t xml:space="preserve">《农民合作社财务会计制度》和国家有关法律法规。</w:t>
      </w:r>
      <w:r/>
    </w:p>
    <w:p>
      <w:pPr>
        <w:ind w:left="42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2、太仓市农业农村局等上级部门和陆渡街道制定的相关制度文件(如相关制度修改按照新修订的制度执行)。</w:t>
      </w:r>
      <w:r/>
    </w:p>
    <w:p>
      <w:pPr>
        <w:ind w:left="42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3、太仓市人民政府陆渡街道办事处下辖各村（社区）依法订立的有关乡规民约，以及集体合作经济组织的章程。</w:t>
      </w:r>
      <w:r/>
    </w:p>
    <w:p>
      <w:pPr>
        <w:spacing w:line="360" w:lineRule="auto"/>
        <w:rPr>
          <w:rFonts w:ascii="宋体" w:hAnsi="宋体"/>
          <w:b/>
          <w:color w:val="auto"/>
          <w:sz w:val="24"/>
          <w:szCs w:val="24"/>
          <w:highlight w:val="none"/>
        </w:rPr>
      </w:pP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rPr>
        <w:t xml:space="preserve">三</w:t>
      </w:r>
      <w:r>
        <w:rPr>
          <w:rFonts w:hint="eastAsia" w:ascii="宋体" w:hAnsi="宋体"/>
          <w:b/>
          <w:bCs/>
          <w:color w:val="auto"/>
          <w:sz w:val="24"/>
          <w:szCs w:val="24"/>
          <w:highlight w:val="none"/>
          <w:lang w:val="zh-CN"/>
        </w:rPr>
        <w:t xml:space="preserve">）</w:t>
      </w:r>
      <w:r>
        <w:rPr>
          <w:rFonts w:hint="eastAsia" w:ascii="宋体" w:hAnsi="宋体"/>
          <w:b/>
          <w:color w:val="auto"/>
          <w:sz w:val="24"/>
          <w:szCs w:val="24"/>
          <w:highlight w:val="none"/>
        </w:rPr>
        <w:t xml:space="preserve">服务内容：</w:t>
      </w:r>
      <w:r/>
    </w:p>
    <w:p>
      <w:pPr>
        <w:ind w:left="42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1、农村财务管理核算业务（代理会计核算、代理财务收支、代理资金管理、代理票据管理、代理财政专项资金管理、协助资产管理、协助合同管理、提供会计信息、代理会计日常资料并建档移交、代理税务申报及纳税规划等服务项目），凡甲方发生的各项经济业务的会计核算均由中标单位统一代理。</w:t>
      </w:r>
      <w:r/>
    </w:p>
    <w:p>
      <w:pPr>
        <w:ind w:left="42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2、农村财务监管中心财务人员的管理和培训业务。</w:t>
      </w:r>
      <w:r/>
    </w:p>
    <w:p>
      <w:pPr>
        <w:spacing w:line="360" w:lineRule="auto"/>
        <w:tabs>
          <w:tab w:val="left" w:pos="2520" w:leader="none"/>
        </w:tabs>
        <w:rPr>
          <w:rFonts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rPr>
        <w:t xml:space="preserve">四</w:t>
      </w:r>
      <w:r>
        <w:rPr>
          <w:rFonts w:hint="eastAsia" w:ascii="宋体" w:hAnsi="宋体"/>
          <w:b/>
          <w:bCs/>
          <w:color w:val="auto"/>
          <w:sz w:val="24"/>
          <w:szCs w:val="24"/>
          <w:highlight w:val="none"/>
          <w:lang w:val="zh-CN"/>
        </w:rPr>
        <w:t xml:space="preserve">）</w:t>
      </w:r>
      <w:bookmarkStart w:id="10" w:name="_Toc15560"/>
      <w:r/>
      <w:bookmarkStart w:id="11" w:name="_Toc19820"/>
      <w:r>
        <w:rPr>
          <w:rFonts w:hint="eastAsia" w:ascii="宋体" w:hAnsi="宋体"/>
          <w:b/>
          <w:bCs/>
          <w:color w:val="auto"/>
          <w:sz w:val="24"/>
          <w:szCs w:val="24"/>
          <w:highlight w:val="none"/>
          <w:lang w:val="zh-CN"/>
        </w:rPr>
        <w:t xml:space="preserve">项目服务标准：</w:t>
      </w:r>
      <w:bookmarkEnd w:id="10"/>
      <w:r/>
      <w:bookmarkEnd w:id="11"/>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1、建立和健全农村财务监管中心的相关管理制度。包括人员的管理制度、考核制度、工作制度。</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2、按照合同规定的服务范围完成好各项财务代理工作，严格按规范的会计制度统一进行记账核算。</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3、至少配备1名具有中级会计师以上专业技术职务资格或注册会计师的财务总监全日制驻财务监管中心办公，并不得为兼职人员，而且要保持稳定，不得随意更换。</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4、建立定期培训制度，每年至少举办两次财务人员的培训班，在履约期间负责对财务管理代理业务、相关政策制度的培训指导。</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5、配合甲方开展日常财务监督管理工作，配合甲方的工作需要提供各种财务数据、财务报表、会计信息、统计资料。</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6、配合甲方做好财务、资产管理的监督工作，做好财务监管平台和集体资产管理交易平台的相关工作。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7、乙方财务总监必须在季末、年末以书面形式向甲方汇报工作情况，以便及时发现问题，解决问题。</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8、自觉接受甲方内部审计小组或委托专业审计公司进行审计。</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9、乙方自觉接受甲方的定期考核工作。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10、乙方不得以任何理由将本合同约定义务委托转让给第三方。</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11、乙方对其知悉的秘密和甲方提供的资料有保密义务，除另有约定或经甲方同意外，不得对外泄露。</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作书面汇报，如果是人为因素导致的，要追究当事人责任。</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乙方在履约期间视情况每月到各村社区巡回一次做指导监督工作，对农管系统警示的账务处理问题做情况了解并提出建议，并对上个月提出处理意见的问题进行实时跟进，协助村社区做好资产管理、合同管理、资金管理、票据管理等工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14、乙方在履约期间对所托管的员工可能提请的诉讼有义务做应诉、出庭、举证甚至咨询聘请律师等工作。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15、及时完成会计核算工作，并按照约定时间出具财务报表，协助做好每季财务公开工作，负责会计资料的整理、归档、移交工作。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与甲方协商安排财务人员在监管中心的具体工作岗位及工作内容，监督、检查、考核员工完成工作的情况。对监管中心财务人员的管理做好绩效考核及人事管理工作，对办公耗材使用等进行日常管理控制工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17、对财务人员的职业道德规范、工作任务、技能培训、应达到的工作要求、应注意的安全事项、应遵守的各项纪律等履行告知、教育、管理培训的义务。</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18、为财务人员依法建立劳动关系，签订劳动合同，并负责劳动合同的管理工作。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19、为财务人员办理社会保险手续，缴交社会保险费；为终止、解除劳动合同的员工办理社会保险金转移、结算等相关手续。</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20、做好劳动合同的动态管理工作，并在员工达到法定退休年龄时，为其办理退保及享受相应待遇有关手续。</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21、员工发生工伤事故的，按《工伤保险条例》妥善处理，并负责办理工伤申请认定和费用报销事宜。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22、员工在工作期间，违章作业或损坏、遗失工作物品等，或给甲方造成其它经济损失的，由甲方按国家法律、法规和单位的规章制度进行处理，乙方协助甲方追究当事人责任及索赔。</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23、做好员工的考勤表，依照甲乙双方共同制定的支付工资标准按时足额的发放员工工资。</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根据太仓市人社局的参保规定，从建立财务人员劳动关系之月起，依法给财务人员办理社会保险，缴交社会保险费。其中，个人缴交部分在乙方员工本人工资中扣缴。员工合同期满或合同未满提前解除劳动合同的由乙方负责办理停保手续。</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（五）财务资料的交接</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中标单位按照归档要求，负责对各项财务资料进行整理立卷或装订成册。形成的财务档案，应移交的会计凭证等财务档案资料于每季度移交一次，于下季度第一个月底前移交给各村（居）委会保管；会计年度终了后，当年形成的财务档案应于次年的2月底前全部移交各村（居）委会保管，并办理好财务档案的交接手续。</w:t>
      </w:r>
      <w:r/>
    </w:p>
    <w:p>
      <w:pPr>
        <w:ind w:left="420"/>
        <w:spacing w:line="360" w:lineRule="auto"/>
        <w:rPr>
          <w:rFonts w:ascii="宋体" w:hAnsi="宋体"/>
          <w:b/>
          <w:bCs/>
          <w:color w:val="auto"/>
          <w:sz w:val="24"/>
          <w:szCs w:val="24"/>
          <w:highlight w:val="none"/>
          <w:lang w:val="zh-CN"/>
        </w:rPr>
      </w:pPr>
      <w:r>
        <w:rPr>
          <w:rFonts w:hint="eastAsia" w:ascii="宋体" w:hAnsi="宋体"/>
          <w:color w:val="auto"/>
          <w:sz w:val="24"/>
          <w:szCs w:val="24"/>
          <w:highlight w:val="none"/>
        </w:rPr>
        <w:t xml:space="preserve">2、中标单位应在本合同期限届满前一个月准备好财务资料的移交手续。合同期限届满时，中标单位应与接任的中介服务机构办理移交手续，将所保管的全部财务资料及有关印章进行移交，采购人负责监督移交。移交期限为合同届满之日起二十天内，如中标单位在移交期限内未能移交资料，每逾一天中标单位向采购人支付违约金人民币伍佰元（￥500.00）。</w:t>
      </w:r>
      <w:r/>
    </w:p>
    <w:p>
      <w:pPr>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（六）人员分配情况：</w:t>
      </w:r>
      <w:r/>
    </w:p>
    <w:p>
      <w:pPr>
        <w:ind w:left="420" w:firstLine="42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必须委派至少</w:t>
      </w:r>
      <w:r>
        <w:rPr>
          <w:rFonts w:hint="eastAsia" w:ascii="宋体" w:hAnsi="宋体"/>
          <w:color w:val="auto"/>
          <w:sz w:val="24"/>
          <w:szCs w:val="24"/>
          <w:highlight w:val="none"/>
        </w:rPr>
        <w:t xml:space="preserve">12</w:t>
      </w:r>
      <w:r>
        <w:rPr>
          <w:rFonts w:hint="eastAsia" w:ascii="宋体" w:hAnsi="宋体"/>
          <w:color w:val="auto"/>
          <w:sz w:val="24"/>
          <w:szCs w:val="24"/>
          <w:highlight w:val="none"/>
          <w:lang w:val="zh-CN"/>
        </w:rPr>
        <w:t xml:space="preserve">名驻街道、村社区财务人员，</w:t>
      </w:r>
      <w:r>
        <w:rPr>
          <w:rFonts w:hint="eastAsia" w:ascii="宋体" w:hAnsi="宋体"/>
          <w:color w:val="auto"/>
          <w:sz w:val="24"/>
          <w:szCs w:val="24"/>
          <w:highlight w:val="none"/>
        </w:rPr>
        <w:t xml:space="preserve">至</w:t>
      </w:r>
      <w:r>
        <w:rPr>
          <w:rFonts w:hint="eastAsia" w:ascii="宋体" w:hAnsi="宋体"/>
          <w:color w:val="auto"/>
          <w:sz w:val="24"/>
          <w:szCs w:val="24"/>
          <w:highlight w:val="none"/>
          <w:lang w:val="zh-CN"/>
        </w:rPr>
        <w:t xml:space="preserve">202</w:t>
      </w:r>
      <w:r>
        <w:rPr>
          <w:rFonts w:ascii="宋体" w:hAnsi="宋体"/>
          <w:color w:val="auto"/>
          <w:sz w:val="24"/>
          <w:szCs w:val="24"/>
          <w:highlight w:val="none"/>
          <w:lang w:val="zh-CN"/>
        </w:rPr>
        <w:t xml:space="preserve">6</w:t>
      </w:r>
      <w:r>
        <w:rPr>
          <w:rFonts w:hint="eastAsia" w:ascii="宋体" w:hAnsi="宋体"/>
          <w:color w:val="auto"/>
          <w:sz w:val="24"/>
          <w:szCs w:val="24"/>
          <w:highlight w:val="none"/>
          <w:lang w:val="zh-CN"/>
        </w:rPr>
        <w:t xml:space="preserve">年</w:t>
      </w:r>
      <w:r>
        <w:rPr>
          <w:rFonts w:hint="eastAsia" w:ascii="宋体" w:hAnsi="宋体"/>
          <w:color w:val="auto"/>
          <w:sz w:val="24"/>
          <w:szCs w:val="24"/>
          <w:highlight w:val="none"/>
        </w:rPr>
        <w:t xml:space="preserve">09</w:t>
      </w:r>
      <w:r>
        <w:rPr>
          <w:rFonts w:hint="eastAsia" w:ascii="宋体" w:hAnsi="宋体"/>
          <w:color w:val="auto"/>
          <w:sz w:val="24"/>
          <w:szCs w:val="24"/>
          <w:highlight w:val="none"/>
          <w:lang w:val="zh-CN"/>
        </w:rPr>
        <w:t xml:space="preserve">月</w:t>
      </w:r>
      <w:r>
        <w:rPr>
          <w:rFonts w:hint="eastAsia" w:ascii="宋体" w:hAnsi="宋体"/>
          <w:color w:val="auto"/>
          <w:sz w:val="24"/>
          <w:szCs w:val="24"/>
          <w:highlight w:val="none"/>
        </w:rPr>
        <w:t xml:space="preserve">0</w:t>
      </w:r>
      <w:r>
        <w:rPr>
          <w:rFonts w:hint="eastAsia" w:ascii="宋体" w:hAnsi="宋体"/>
          <w:color w:val="auto"/>
          <w:sz w:val="24"/>
          <w:szCs w:val="24"/>
          <w:highlight w:val="none"/>
          <w:lang w:val="zh-CN"/>
        </w:rPr>
        <w:t xml:space="preserve">1日</w:t>
      </w:r>
      <w:r>
        <w:rPr>
          <w:rFonts w:hint="eastAsia" w:ascii="宋体" w:hAnsi="宋体"/>
          <w:color w:val="auto"/>
          <w:sz w:val="24"/>
          <w:szCs w:val="24"/>
          <w:highlight w:val="none"/>
        </w:rPr>
        <w:t xml:space="preserve">止</w:t>
      </w:r>
      <w:r>
        <w:rPr>
          <w:rFonts w:hint="eastAsia" w:ascii="宋体" w:hAnsi="宋体"/>
          <w:color w:val="auto"/>
          <w:sz w:val="24"/>
          <w:szCs w:val="24"/>
          <w:highlight w:val="none"/>
          <w:lang w:val="zh-CN"/>
        </w:rPr>
        <w:t xml:space="preserve">年龄</w:t>
      </w:r>
      <w:r>
        <w:rPr>
          <w:rFonts w:ascii="宋体" w:hAnsi="宋体"/>
          <w:color w:val="auto"/>
          <w:sz w:val="24"/>
          <w:szCs w:val="24"/>
          <w:highlight w:val="none"/>
        </w:rPr>
        <w:t xml:space="preserve">50</w:t>
      </w:r>
      <w:r>
        <w:rPr>
          <w:rFonts w:hint="eastAsia" w:ascii="宋体" w:hAnsi="宋体"/>
          <w:color w:val="auto"/>
          <w:sz w:val="24"/>
          <w:szCs w:val="24"/>
          <w:highlight w:val="none"/>
          <w:lang w:val="zh-CN"/>
        </w:rPr>
        <w:t xml:space="preserve">周岁以下（含5</w:t>
      </w:r>
      <w:r>
        <w:rPr>
          <w:rFonts w:ascii="宋体" w:hAnsi="宋体"/>
          <w:color w:val="auto"/>
          <w:sz w:val="24"/>
          <w:szCs w:val="24"/>
          <w:highlight w:val="none"/>
          <w:lang w:val="zh-CN"/>
        </w:rPr>
        <w:t xml:space="preserve">0</w:t>
      </w:r>
      <w:r>
        <w:rPr>
          <w:rFonts w:hint="eastAsia" w:ascii="宋体" w:hAnsi="宋体"/>
          <w:color w:val="auto"/>
          <w:sz w:val="24"/>
          <w:szCs w:val="24"/>
          <w:highlight w:val="none"/>
          <w:lang w:val="zh-CN"/>
        </w:rPr>
        <w:t xml:space="preserve">周岁）。派驻和更换驻街道财务人员应事先征得采购单位同意。</w:t>
      </w:r>
      <w:r/>
    </w:p>
    <w:p>
      <w:pPr>
        <w:ind w:left="42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1、驻街道、村社区财务人员包括财务总监、驻街道</w:t>
      </w:r>
      <w:r>
        <w:rPr>
          <w:rFonts w:hint="eastAsia" w:ascii="宋体" w:hAnsi="宋体"/>
          <w:color w:val="auto"/>
          <w:sz w:val="24"/>
          <w:szCs w:val="24"/>
          <w:highlight w:val="none"/>
        </w:rPr>
        <w:t xml:space="preserve">记账</w:t>
      </w:r>
      <w:r>
        <w:rPr>
          <w:rFonts w:hint="eastAsia" w:ascii="宋体" w:hAnsi="宋体"/>
          <w:color w:val="auto"/>
          <w:sz w:val="24"/>
          <w:szCs w:val="24"/>
          <w:highlight w:val="none"/>
          <w:lang w:val="zh-CN"/>
        </w:rPr>
        <w:t xml:space="preserve">会计</w:t>
      </w:r>
      <w:r>
        <w:rPr>
          <w:rFonts w:hint="eastAsia" w:ascii="宋体" w:hAnsi="宋体"/>
          <w:color w:val="auto"/>
          <w:sz w:val="24"/>
          <w:szCs w:val="24"/>
          <w:highlight w:val="none"/>
        </w:rPr>
        <w:t xml:space="preserve">及驻村社区出纳员</w:t>
      </w:r>
      <w:r>
        <w:rPr>
          <w:rFonts w:hint="eastAsia" w:ascii="宋体" w:hAnsi="宋体"/>
          <w:color w:val="auto"/>
          <w:sz w:val="24"/>
          <w:szCs w:val="24"/>
          <w:highlight w:val="none"/>
          <w:lang w:val="zh-CN"/>
        </w:rPr>
        <w:t xml:space="preserve">，驻街道、村社区财务人员由中标单位聘用。财务总监</w:t>
      </w:r>
      <w:r>
        <w:rPr>
          <w:rFonts w:hint="eastAsia" w:ascii="宋体" w:hAnsi="宋体"/>
          <w:color w:val="auto"/>
          <w:sz w:val="24"/>
          <w:szCs w:val="24"/>
          <w:highlight w:val="none"/>
        </w:rPr>
        <w:t xml:space="preserve">及</w:t>
      </w:r>
      <w:r>
        <w:rPr>
          <w:rFonts w:hint="eastAsia" w:ascii="宋体" w:hAnsi="宋体"/>
          <w:color w:val="auto"/>
          <w:sz w:val="24"/>
          <w:szCs w:val="24"/>
          <w:highlight w:val="none"/>
          <w:lang w:val="zh-CN"/>
        </w:rPr>
        <w:t xml:space="preserve">驻街道</w:t>
      </w:r>
      <w:r>
        <w:rPr>
          <w:rFonts w:hint="eastAsia" w:ascii="宋体" w:hAnsi="宋体"/>
          <w:color w:val="auto"/>
          <w:sz w:val="24"/>
          <w:szCs w:val="24"/>
          <w:highlight w:val="none"/>
        </w:rPr>
        <w:t xml:space="preserve">记账</w:t>
      </w:r>
      <w:r>
        <w:rPr>
          <w:rFonts w:hint="eastAsia" w:ascii="宋体" w:hAnsi="宋体"/>
          <w:color w:val="auto"/>
          <w:sz w:val="24"/>
          <w:szCs w:val="24"/>
          <w:highlight w:val="none"/>
          <w:lang w:val="zh-CN"/>
        </w:rPr>
        <w:t xml:space="preserve">会计须全日制入驻财务监管中心办公，</w:t>
      </w:r>
      <w:r>
        <w:rPr>
          <w:rFonts w:hint="eastAsia" w:ascii="宋体" w:hAnsi="宋体"/>
          <w:color w:val="auto"/>
          <w:sz w:val="24"/>
          <w:szCs w:val="24"/>
          <w:highlight w:val="none"/>
        </w:rPr>
        <w:t xml:space="preserve">驻村社区出纳员</w:t>
      </w:r>
      <w:r>
        <w:rPr>
          <w:rFonts w:hint="eastAsia" w:ascii="宋体" w:hAnsi="宋体"/>
          <w:color w:val="auto"/>
          <w:sz w:val="24"/>
          <w:szCs w:val="24"/>
          <w:highlight w:val="none"/>
          <w:lang w:val="zh-CN"/>
        </w:rPr>
        <w:t xml:space="preserve">须全日制入驻</w:t>
      </w:r>
      <w:r>
        <w:rPr>
          <w:rFonts w:hint="eastAsia" w:ascii="宋体" w:hAnsi="宋体"/>
          <w:color w:val="auto"/>
          <w:sz w:val="24"/>
          <w:szCs w:val="24"/>
          <w:highlight w:val="none"/>
        </w:rPr>
        <w:t xml:space="preserve">村社区</w:t>
      </w:r>
      <w:r>
        <w:rPr>
          <w:rFonts w:hint="eastAsia" w:ascii="宋体" w:hAnsi="宋体"/>
          <w:color w:val="auto"/>
          <w:sz w:val="24"/>
          <w:szCs w:val="24"/>
          <w:highlight w:val="none"/>
          <w:lang w:val="zh-CN"/>
        </w:rPr>
        <w:t xml:space="preserve">办公，不得兼职；必须遵守机关工作制度，接受村级集体经济组织、街道业务主管部门、上级主管部门等相关部门的指导和监督。</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财务总监1名，要具有会计</w:t>
      </w:r>
      <w:r>
        <w:rPr>
          <w:rFonts w:hint="eastAsia" w:ascii="宋体" w:hAnsi="宋体"/>
          <w:b/>
          <w:bCs/>
          <w:color w:val="auto"/>
          <w:sz w:val="24"/>
          <w:szCs w:val="24"/>
          <w:highlight w:val="none"/>
        </w:rPr>
        <w:t xml:space="preserve">中级及以上职称或注册会计师</w:t>
      </w:r>
      <w:r>
        <w:rPr>
          <w:rFonts w:hint="eastAsia" w:ascii="宋体" w:hAnsi="宋体"/>
          <w:color w:val="auto"/>
          <w:sz w:val="24"/>
          <w:szCs w:val="24"/>
          <w:highlight w:val="none"/>
        </w:rPr>
        <w:t xml:space="preserve">，具有相关工作的经验；财务总监全面负责村级财务代理的日常管理和业务运作，负责与各级业务主管部门、村集体组织的沟通与协调；财务总监对驻街道会计进行监督管理，负责对驻街道会计、驻村社区出纳员的业务沟通、指导和培训。</w:t>
      </w:r>
      <w:r/>
    </w:p>
    <w:p>
      <w:pPr>
        <w:ind w:left="420"/>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驻街道</w:t>
      </w:r>
      <w:r>
        <w:rPr>
          <w:rFonts w:hint="eastAsia" w:ascii="宋体" w:hAnsi="宋体"/>
          <w:color w:val="auto"/>
          <w:sz w:val="24"/>
          <w:szCs w:val="24"/>
          <w:highlight w:val="none"/>
        </w:rPr>
        <w:t xml:space="preserve">记账</w:t>
      </w:r>
      <w:r>
        <w:rPr>
          <w:rFonts w:hint="eastAsia" w:ascii="宋体" w:hAnsi="宋体"/>
          <w:color w:val="auto"/>
          <w:sz w:val="24"/>
          <w:szCs w:val="24"/>
          <w:highlight w:val="none"/>
          <w:lang w:val="zh-CN"/>
        </w:rPr>
        <w:t xml:space="preserve">会计不少于</w:t>
      </w:r>
      <w:r>
        <w:rPr>
          <w:rFonts w:hint="eastAsia" w:ascii="宋体" w:hAnsi="宋体"/>
          <w:color w:val="auto"/>
          <w:sz w:val="24"/>
          <w:szCs w:val="24"/>
          <w:highlight w:val="none"/>
        </w:rPr>
        <w:t xml:space="preserve">4</w:t>
      </w:r>
      <w:r>
        <w:rPr>
          <w:rFonts w:hint="eastAsia" w:ascii="宋体" w:hAnsi="宋体"/>
          <w:color w:val="auto"/>
          <w:sz w:val="24"/>
          <w:szCs w:val="24"/>
          <w:highlight w:val="none"/>
          <w:lang w:val="zh-CN"/>
        </w:rPr>
        <w:t xml:space="preserve">人，要具有</w:t>
      </w:r>
      <w:r>
        <w:rPr>
          <w:rFonts w:hint="eastAsia" w:ascii="宋体" w:hAnsi="宋体"/>
          <w:b/>
          <w:bCs/>
          <w:color w:val="auto"/>
          <w:sz w:val="24"/>
          <w:szCs w:val="24"/>
          <w:highlight w:val="none"/>
        </w:rPr>
        <w:t xml:space="preserve">会计从业资格证或会计初级及以上职称</w:t>
      </w:r>
      <w:r>
        <w:rPr>
          <w:rFonts w:hint="eastAsia" w:ascii="宋体" w:hAnsi="宋体"/>
          <w:color w:val="auto"/>
          <w:sz w:val="24"/>
          <w:szCs w:val="24"/>
          <w:highlight w:val="none"/>
          <w:lang w:val="zh-CN"/>
        </w:rPr>
        <w:t xml:space="preserve">；具有</w:t>
      </w:r>
      <w:r>
        <w:rPr>
          <w:rFonts w:hint="eastAsia" w:ascii="宋体" w:hAnsi="宋体"/>
          <w:color w:val="auto"/>
          <w:sz w:val="24"/>
          <w:szCs w:val="24"/>
          <w:highlight w:val="none"/>
        </w:rPr>
        <w:t xml:space="preserve">相关工作的</w:t>
      </w:r>
      <w:r>
        <w:rPr>
          <w:rFonts w:hint="eastAsia" w:ascii="宋体" w:hAnsi="宋体"/>
          <w:color w:val="auto"/>
          <w:sz w:val="24"/>
          <w:szCs w:val="24"/>
          <w:highlight w:val="none"/>
          <w:lang w:val="zh-CN"/>
        </w:rPr>
        <w:t xml:space="preserve">经验；负责全街道农村财务核算和财务管理工作。</w:t>
      </w:r>
      <w:r/>
    </w:p>
    <w:p>
      <w:pPr>
        <w:ind w:left="420"/>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4、驻村社区出纳员不少于7人</w:t>
      </w:r>
      <w:r>
        <w:rPr>
          <w:rFonts w:hint="eastAsia" w:ascii="宋体" w:hAnsi="宋体"/>
          <w:color w:val="auto"/>
          <w:sz w:val="24"/>
          <w:szCs w:val="24"/>
          <w:highlight w:val="none"/>
          <w:lang w:val="zh-CN"/>
        </w:rPr>
        <w:t xml:space="preserve">，要具有</w:t>
      </w:r>
      <w:r>
        <w:rPr>
          <w:rFonts w:hint="eastAsia" w:ascii="宋体" w:hAnsi="宋体"/>
          <w:color w:val="auto"/>
          <w:sz w:val="24"/>
          <w:szCs w:val="24"/>
          <w:highlight w:val="none"/>
        </w:rPr>
        <w:t xml:space="preserve">一定财务知识</w:t>
      </w:r>
      <w:r>
        <w:rPr>
          <w:rFonts w:hint="eastAsia" w:ascii="宋体" w:hAnsi="宋体"/>
          <w:color w:val="auto"/>
          <w:sz w:val="24"/>
          <w:szCs w:val="24"/>
          <w:highlight w:val="none"/>
          <w:lang w:val="zh-CN"/>
        </w:rPr>
        <w:t xml:space="preserve">。</w:t>
      </w:r>
      <w:r/>
    </w:p>
    <w:p>
      <w:pPr>
        <w:pStyle w:val="1117"/>
        <w:ind w:left="420"/>
        <w:spacing w:line="360" w:lineRule="auto"/>
        <w:rPr>
          <w:rFonts w:hint="default" w:hAnsi="宋体" w:eastAsia="宋体"/>
          <w:color w:val="auto"/>
          <w:sz w:val="24"/>
          <w:szCs w:val="24"/>
          <w:highlight w:val="none"/>
        </w:rPr>
      </w:pPr>
      <w:r>
        <w:rPr>
          <w:rFonts w:hAnsi="宋体" w:eastAsia="宋体"/>
          <w:color w:val="auto"/>
          <w:sz w:val="24"/>
          <w:szCs w:val="24"/>
          <w:highlight w:val="none"/>
        </w:rPr>
        <w:t xml:space="preserve">6、对在执行业务过程中知悉的业务秘密负有保密责任。除法律另有规定外，未经委托单位同意不得将委托单位提供的资料外泄。</w:t>
      </w:r>
      <w:r/>
    </w:p>
    <w:p>
      <w:pPr>
        <w:pStyle w:val="1117"/>
        <w:ind w:left="420"/>
        <w:spacing w:line="360" w:lineRule="auto"/>
        <w:tabs>
          <w:tab w:val="left" w:pos="709" w:leader="none"/>
        </w:tabs>
        <w:rPr>
          <w:rFonts w:hint="default" w:hAnsi="宋体" w:eastAsia="宋体"/>
          <w:color w:val="auto"/>
          <w:sz w:val="24"/>
          <w:szCs w:val="24"/>
          <w:highlight w:val="none"/>
        </w:rPr>
      </w:pPr>
      <w:r>
        <w:rPr>
          <w:rFonts w:hAnsi="宋体" w:eastAsia="宋体"/>
          <w:color w:val="auto"/>
          <w:sz w:val="24"/>
          <w:szCs w:val="24"/>
          <w:highlight w:val="none"/>
        </w:rPr>
        <w:t xml:space="preserve">7、在代理过程中，中标单位如有违反有关规定或违约行为的，根据委托协议约定的条款进行处罚，违反法律法规的移交司法部门处理。</w:t>
      </w:r>
      <w:r/>
    </w:p>
    <w:p>
      <w:pPr>
        <w:pStyle w:val="1117"/>
        <w:ind w:left="420"/>
        <w:spacing w:line="360" w:lineRule="auto"/>
        <w:tabs>
          <w:tab w:val="left" w:pos="709" w:leader="none"/>
        </w:tabs>
        <w:rPr>
          <w:rFonts w:hint="default" w:hAnsi="宋体" w:eastAsia="宋体"/>
          <w:color w:val="auto"/>
          <w:sz w:val="24"/>
          <w:szCs w:val="24"/>
          <w:highlight w:val="none"/>
        </w:rPr>
      </w:pPr>
      <w:r>
        <w:rPr>
          <w:rFonts w:hAnsi="宋体" w:eastAsia="宋体"/>
          <w:color w:val="auto"/>
          <w:sz w:val="24"/>
          <w:szCs w:val="24"/>
          <w:highlight w:val="none"/>
        </w:rPr>
        <w:t xml:space="preserve">8、统一使用财务软件进行会计核算、资金管理、固定资产管理和合同管理等。</w:t>
      </w:r>
      <w:r/>
    </w:p>
    <w:p>
      <w:pPr>
        <w:ind w:left="420"/>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rPr>
        <w:t xml:space="preserve">注：1、上述人员配置为</w:t>
      </w:r>
      <w:r>
        <w:rPr>
          <w:rFonts w:hint="eastAsia" w:ascii="宋体" w:hAnsi="宋体"/>
          <w:b/>
          <w:bCs/>
          <w:color w:val="auto"/>
          <w:sz w:val="24"/>
          <w:szCs w:val="24"/>
          <w:highlight w:val="none"/>
        </w:rPr>
        <w:t xml:space="preserve">最低配置</w:t>
      </w:r>
      <w:r>
        <w:rPr>
          <w:rFonts w:hint="eastAsia" w:ascii="宋体" w:hAnsi="宋体"/>
          <w:color w:val="auto"/>
          <w:sz w:val="24"/>
          <w:szCs w:val="24"/>
          <w:highlight w:val="none"/>
        </w:rPr>
        <w:t xml:space="preserve">。2、</w:t>
      </w:r>
      <w:r>
        <w:rPr>
          <w:rFonts w:hint="eastAsia" w:ascii="宋体" w:hAnsi="宋体"/>
          <w:color w:val="auto"/>
          <w:sz w:val="24"/>
          <w:szCs w:val="24"/>
          <w:highlight w:val="none"/>
          <w:lang w:val="zh-CN"/>
        </w:rPr>
        <w:t xml:space="preserve">财务总监要具有</w:t>
      </w:r>
      <w:r>
        <w:rPr>
          <w:rFonts w:hint="eastAsia" w:ascii="宋体" w:hAnsi="宋体"/>
          <w:color w:val="auto"/>
          <w:sz w:val="24"/>
          <w:szCs w:val="24"/>
          <w:highlight w:val="none"/>
        </w:rPr>
        <w:t xml:space="preserve">会计中级及以上职称或注册会计师</w:t>
      </w:r>
      <w:r>
        <w:rPr>
          <w:rFonts w:hint="eastAsia" w:ascii="宋体" w:hAnsi="宋体"/>
          <w:color w:val="auto"/>
          <w:sz w:val="24"/>
          <w:szCs w:val="24"/>
          <w:highlight w:val="none"/>
          <w:lang w:val="zh-CN"/>
        </w:rPr>
        <w:t xml:space="preserve">；具有</w:t>
      </w:r>
      <w:r>
        <w:rPr>
          <w:rFonts w:hint="eastAsia" w:ascii="宋体" w:hAnsi="宋体"/>
          <w:color w:val="auto"/>
          <w:sz w:val="24"/>
          <w:szCs w:val="24"/>
          <w:highlight w:val="none"/>
        </w:rPr>
        <w:t xml:space="preserve">相关财务工作</w:t>
      </w:r>
      <w:r>
        <w:rPr>
          <w:rFonts w:hint="eastAsia" w:ascii="宋体" w:hAnsi="宋体"/>
          <w:color w:val="auto"/>
          <w:sz w:val="24"/>
          <w:szCs w:val="24"/>
          <w:highlight w:val="none"/>
          <w:lang w:val="zh-CN"/>
        </w:rPr>
        <w:t xml:space="preserve">的经验，具有综合协调管理能力；必须是投标单位在职在岗人员，以提供劳动合同及开标前</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个月的社保缴纳证明为准；须全日制入驻中心办公；</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上述人员（</w:t>
      </w:r>
      <w:r>
        <w:rPr>
          <w:rFonts w:hint="eastAsia" w:ascii="宋体" w:hAnsi="宋体"/>
          <w:color w:val="auto"/>
          <w:sz w:val="24"/>
          <w:szCs w:val="24"/>
          <w:highlight w:val="none"/>
        </w:rPr>
        <w:t xml:space="preserve">除财务总监</w:t>
      </w:r>
      <w:r>
        <w:rPr>
          <w:rFonts w:hint="eastAsia" w:ascii="宋体" w:hAnsi="宋体"/>
          <w:color w:val="auto"/>
          <w:sz w:val="24"/>
          <w:szCs w:val="24"/>
          <w:highlight w:val="none"/>
          <w:lang w:val="zh-CN"/>
        </w:rPr>
        <w:t xml:space="preserve">），需对外招聘的，应由中标</w:t>
      </w:r>
      <w:r>
        <w:rPr>
          <w:rFonts w:hint="eastAsia" w:ascii="宋体" w:hAnsi="宋体"/>
          <w:color w:val="auto"/>
          <w:sz w:val="24"/>
          <w:szCs w:val="24"/>
          <w:highlight w:val="none"/>
        </w:rPr>
        <w:t xml:space="preserve">单位</w:t>
      </w:r>
      <w:r>
        <w:rPr>
          <w:rFonts w:hint="eastAsia" w:ascii="宋体" w:hAnsi="宋体"/>
          <w:color w:val="auto"/>
          <w:sz w:val="24"/>
          <w:szCs w:val="24"/>
          <w:highlight w:val="none"/>
          <w:lang w:val="zh-CN"/>
        </w:rPr>
        <w:t xml:space="preserve">具体设置人员招聘条件，驻街道</w:t>
      </w:r>
      <w:r>
        <w:rPr>
          <w:rFonts w:hint="eastAsia" w:ascii="宋体" w:hAnsi="宋体"/>
          <w:color w:val="auto"/>
          <w:sz w:val="24"/>
          <w:szCs w:val="24"/>
          <w:highlight w:val="none"/>
        </w:rPr>
        <w:t xml:space="preserve">记账</w:t>
      </w:r>
      <w:r>
        <w:rPr>
          <w:rFonts w:hint="eastAsia" w:ascii="宋体" w:hAnsi="宋体"/>
          <w:color w:val="auto"/>
          <w:sz w:val="24"/>
          <w:szCs w:val="24"/>
          <w:highlight w:val="none"/>
          <w:lang w:val="zh-CN"/>
        </w:rPr>
        <w:t xml:space="preserve">会计</w:t>
      </w:r>
      <w:r>
        <w:rPr>
          <w:rFonts w:hint="eastAsia" w:ascii="宋体" w:hAnsi="宋体"/>
          <w:color w:val="auto"/>
          <w:sz w:val="24"/>
          <w:szCs w:val="24"/>
          <w:highlight w:val="none"/>
        </w:rPr>
        <w:t xml:space="preserve">以及驻村社区出纳员</w:t>
      </w:r>
      <w:r>
        <w:rPr>
          <w:rFonts w:hint="eastAsia" w:ascii="宋体" w:hAnsi="宋体"/>
          <w:color w:val="auto"/>
          <w:sz w:val="24"/>
          <w:szCs w:val="24"/>
          <w:highlight w:val="none"/>
          <w:lang w:val="zh-CN"/>
        </w:rPr>
        <w:t xml:space="preserve">向社会招聘，驻村社区出纳会计原则上在本村（就近村社区）内招聘，录用人员与中标事务所签订劳动合同，实行双重管理制度，遵守工作制度，并由中标事务所缴纳社医保、公积金、发放各项福利等。</w:t>
      </w:r>
      <w:r/>
    </w:p>
    <w:p>
      <w:pPr>
        <w:numPr>
          <w:ilvl w:val="0"/>
          <w:numId w:val="3"/>
        </w:num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投标单位应根据本项目的服务特点制定各项服务方案，方案要求如下：</w:t>
      </w:r>
      <w:r/>
    </w:p>
    <w:p>
      <w:pPr>
        <w:ind w:firstLine="480"/>
        <w:jc w:val="both"/>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1、管理方案及规范</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方案内容包括：投标单位内部管理制度，内部控制制度，档案管理制度，协助合同管理制度等。投标单位应清晰了解各项服务范围及工作职责，严格遵循国家标准和行业服务规范，了解服务需求及环境条件后，分析工作的重点难点，保障项目顺利实施。</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2、实施方案</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方案内容包括：服务目标，总体工作计划，阶段性工作计划，实施办法，执行措施等。实现农村集体经济组织财务管理的规范化、透明化、信息化，保障集体资产安全。通过专业代理服务，提升财务核算效率，降低村级财务风险。助力乡村振兴战略，推动集体经济可持续发展。</w:t>
      </w:r>
      <w:r/>
    </w:p>
    <w:p>
      <w:pPr>
        <w:ind w:firstLine="480"/>
        <w:jc w:val="both"/>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3、服务质量控制方案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方案内容包括：质量控制制度，质量控制措施，</w:t>
      </w:r>
      <w:r>
        <w:rPr>
          <w:rFonts w:hint="eastAsia" w:ascii="宋体" w:hAnsi="宋体" w:eastAsia="宋体" w:cs="宋体"/>
          <w:color w:val="auto"/>
          <w:sz w:val="24"/>
          <w:szCs w:val="24"/>
          <w:highlight w:val="none"/>
          <w:lang w:val="en-US" w:eastAsia="zh-CN"/>
        </w:rPr>
        <w:t xml:space="preserve">绩效考核、奖惩制度等</w:t>
      </w:r>
      <w:r>
        <w:rPr>
          <w:rFonts w:hint="eastAsia" w:ascii="宋体" w:hAnsi="宋体" w:eastAsia="宋体" w:cs="宋体"/>
          <w:bCs/>
          <w:color w:val="auto"/>
          <w:sz w:val="24"/>
          <w:szCs w:val="24"/>
          <w:highlight w:val="none"/>
          <w:lang w:val="en-US" w:eastAsia="zh-CN"/>
        </w:rPr>
        <w:t xml:space="preserve">。成立农村财务管理人员培训工作领导小组，负责培训工作的统筹规划、组织协调和监督管理，合理安排培训经费，确保培训场地、教材、师资等方面的开支。建立健全培训管理制度，加强对员工的培训，制定详细的培训计划，明确培训的相关内容及计划实施。明确档案移交周期，移交流程及步骤，制定档案移交管理制度。</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4、安全及保密方案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方案内容包括：安全保密制度，保障数据安全性及完整性的措施方案。构建一个防泄漏、防篡改、防丢失的财务数据管理体系，确保农村集体资产信息的安全可控，同时满足法律法规和村民监督的双重要求。</w:t>
      </w:r>
      <w:r/>
    </w:p>
    <w:p>
      <w:pPr>
        <w:ind w:firstLine="480"/>
        <w:jc w:val="both"/>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5、人员培训方案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项目人员配备方案，岗位职责划分，内部考核制度。需体现对服务方案的有效保障，各岗位职责要明确，责任义务清晰，工作范围具体详细。要体现优胜劣汰，体现效率优先，有明确的考核细则和奖励明细，给予优秀员工较为合理的奖励，达到调动员工积极性的目标。</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6、针对村财项目合理化建议和意见</w:t>
      </w:r>
      <w:r/>
    </w:p>
    <w:p>
      <w:pPr>
        <w:numPr>
          <w:ilvl w:val="0"/>
          <w:numId w:val="0"/>
        </w:numPr>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方案内容包括：三资管理方面，财务收支管理，税收合理安排等。</w:t>
      </w:r>
      <w:r>
        <w:rPr>
          <w:rFonts w:hint="default" w:ascii="宋体" w:hAnsi="宋体" w:eastAsia="宋体" w:cs="宋体"/>
          <w:bCs/>
          <w:color w:val="auto"/>
          <w:sz w:val="24"/>
          <w:szCs w:val="24"/>
          <w:highlight w:val="none"/>
          <w:lang w:val="en-US" w:eastAsia="zh-CN"/>
        </w:rPr>
        <w:t xml:space="preserve">确保村集体资金使用合法合规，杜绝贪污挪用</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优化收支结构，降低财务成本。落实财务公开制度落实财务公开制度，完善内控机制，防范债务、税务和审计风险。</w:t>
      </w:r>
      <w:r/>
    </w:p>
    <w:p>
      <w:pPr>
        <w:contextualSpacing/>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三、综合说明及其它要求：</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1、中标人对服务缺陷不予更正，招标人有权另请其他单位更正。</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2、如遇招标人有重大基建等特殊情况（工作量减少或增加幅度较大时），招标人将提前三个月告知中标单位，合同内容经双方协商调整。</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3、中标人有责任配合招标人接受上级领导部门的监督、检查，提供必须的资料。</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中标人须严格按照国家和政府规定给所有的员工缴纳各种社会保险（包括养老、医疗、工伤、生育险、失业保险等）。负责其招聘员工的一切工资、餐费、福利；如发生工伤、疾病乃至死亡的一切责任及费用由中标人全部负责；应严格遵守国家有关的法律、法规及行业标准，否则招标人有权终止合同。</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5、投入本项目所有人员的餐饮费都包含在此次报价中。</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6、招标人不接受投标人任何因遗漏报价而发生的费用追加，因投标人违反《劳动法》等法律法规而造成招标人的连带责任和损失全部由中标方承担。</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7、投标人应在投标文件中说明，如能中标，在服务过程中需要招标人配合的工作和需要提供的条件。</w:t>
      </w:r>
      <w:r/>
    </w:p>
    <w:p>
      <w:pPr>
        <w:ind w:left="42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8、中标单位必须保证全部投标资料的真实性（中标单位在中标后三个工作日内必须将评分标准中所要求的得分证明材料原件送至招标代理机构复审），如有虚假或对招标文件所要求说明的情况故意隐瞒或虚报，视为不实质性响应招标文件，为无效投标。已中标的将取消中标资格，并重新组织招标，并按《中华人民共和国政府采购法》第七十七条“提供虚假材料谋取中标相关处理办法处理。</w:t>
      </w:r>
      <w:r/>
    </w:p>
    <w:p>
      <w:pPr>
        <w:ind w:left="4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9、投标单位对所投项目的全部内容进行报价，报价应包括</w:t>
      </w:r>
      <w:r>
        <w:rPr>
          <w:rFonts w:hint="eastAsia" w:ascii="宋体" w:hAnsi="宋体"/>
          <w:color w:val="auto"/>
          <w:sz w:val="24"/>
          <w:szCs w:val="24"/>
          <w:highlight w:val="none"/>
        </w:rPr>
        <w:t xml:space="preserve">完成该项工作所需的人工费（包括人员工资、五金、劳保福利等),从事服务等相关工具、设备使用费以及在从事该劳动过程中发生的餐费、加班费等一切费用，项目完成期内的合同价格不作调整。</w:t>
      </w:r>
      <w:r/>
    </w:p>
    <w:p>
      <w:pPr>
        <w:contextualSpacing/>
        <w:ind w:left="4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10、服务期限：自合同签订之日起三年</w:t>
      </w:r>
      <w:r>
        <w:rPr>
          <w:rFonts w:hint="eastAsia" w:ascii="宋体" w:hAnsi="宋体"/>
          <w:color w:val="auto"/>
          <w:sz w:val="24"/>
          <w:szCs w:val="24"/>
          <w:highlight w:val="none"/>
        </w:rPr>
        <w:t xml:space="preserve">。</w:t>
      </w:r>
      <w:r/>
    </w:p>
    <w:p>
      <w:pPr>
        <w:ind w:left="4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11、付款方式：</w:t>
      </w:r>
      <w:r>
        <w:rPr>
          <w:rFonts w:hint="eastAsia" w:ascii="宋体" w:hAnsi="宋体"/>
          <w:color w:val="auto"/>
          <w:sz w:val="24"/>
          <w:szCs w:val="24"/>
          <w:highlight w:val="none"/>
        </w:rPr>
        <w:t xml:space="preserve">根据合同约定付款。</w:t>
      </w:r>
      <w:r/>
    </w:p>
    <w:p>
      <w:pPr>
        <w:contextualSpacing/>
        <w:ind w:left="4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12、本项目采购人将对中标单位的服务进行考评，考评内容详见附件。</w:t>
      </w:r>
      <w:r/>
    </w:p>
    <w:p>
      <w:pPr>
        <w:ind w:firstLine="4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13、凡涉及本项目招标文件的补充、修改，均以苏州市政府采购网、苏州市公共资源交易平台发布的信息为准。同一条款有不同表达的，以最后时间发布的为准。请各投标人随时查看。</w:t>
      </w:r>
      <w:r/>
    </w:p>
    <w:p>
      <w:pPr>
        <w:pStyle w:val="762"/>
        <w:ind w:firstLine="0"/>
        <w:rPr>
          <w:rFonts w:ascii="宋体" w:hAnsi="宋体" w:cs="宋体"/>
          <w:color w:val="auto"/>
          <w:szCs w:val="24"/>
          <w:highlight w:val="none"/>
        </w:rPr>
      </w:pPr>
      <w:r>
        <w:rPr>
          <w:rFonts w:hint="eastAsia" w:ascii="宋体" w:hAnsi="宋体" w:cs="宋体"/>
          <w:color w:val="auto"/>
          <w:szCs w:val="24"/>
          <w:highlight w:val="none"/>
        </w:rPr>
        <w:t xml:space="preserve">五、政府采购政策：</w:t>
      </w:r>
      <w:r/>
    </w:p>
    <w:p>
      <w:pPr>
        <w:pStyle w:val="806"/>
        <w:ind w:left="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项目专门面向中小企业采购，本采购项目对应的所属行业为：（十五）租赁和商务服务业。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pStyle w:val="780"/>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1、中小企业划分：</w:t>
      </w:r>
      <w:r/>
    </w:p>
    <w:p>
      <w:pPr>
        <w:pStyle w:val="780"/>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（1）符合中小企业划分标准的个体工商户，在政府采购活动中视同中小企业。</w:t>
      </w:r>
      <w:r/>
    </w:p>
    <w:p>
      <w:pPr>
        <w:pStyle w:val="780"/>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（2）中小企业划分标准详见“工信部联企业〔2011〕300号通知”。</w:t>
      </w:r>
      <w:r/>
    </w:p>
    <w:p>
      <w:pPr>
        <w:pStyle w:val="780"/>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2、残疾人福利性单位：</w:t>
      </w:r>
      <w:r/>
    </w:p>
    <w:p>
      <w:pPr>
        <w:pStyle w:val="780"/>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根据《关于促进残疾人就业政府采购政策的通知》（财库〔2017〕141号）规定，投标人若为残疾人福利性单位的，视同小型、微型企业。残疾人福利性单位属于小型、微型企业的，不重复认定。</w:t>
      </w:r>
      <w:r/>
    </w:p>
    <w:p>
      <w:pPr>
        <w:pStyle w:val="780"/>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3、监狱企业发展：</w:t>
      </w:r>
      <w:r/>
    </w:p>
    <w:p>
      <w:pPr>
        <w:pStyle w:val="780"/>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根据《关于政府采购支持监狱企业发展有关问题的通知》（财库〔2014〕68号）规定，投标人若为监狱企业的，视同小型、微型企业。</w:t>
      </w:r>
      <w:r/>
    </w:p>
    <w:p>
      <w:pPr>
        <w:pStyle w:val="780"/>
        <w:ind w:left="0" w:firstLine="480"/>
        <w:spacing w:line="360" w:lineRule="auto"/>
        <w:rPr>
          <w:rFonts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4、</w:t>
      </w:r>
      <w:r>
        <w:rPr>
          <w:rFonts w:hint="eastAsia" w:ascii="宋体" w:hAnsi="宋体" w:eastAsia="宋体" w:cs="宋体"/>
          <w:color w:val="auto"/>
          <w:szCs w:val="24"/>
          <w:highlight w:val="none"/>
          <w:lang w:val="zh-CN"/>
        </w:rPr>
        <w:t xml:space="preserve">专门面向中小企业采购的项目，不再执行价格评审优惠的扶持政策。</w:t>
      </w:r>
      <w:r/>
    </w:p>
    <w:p>
      <w:pPr>
        <w:pStyle w:val="1113"/>
        <w:ind w:firstLine="420"/>
        <w:rPr>
          <w:rFonts w:hint="eastAsia" w:ascii="宋体" w:hAnsi="宋体"/>
          <w:color w:val="auto"/>
          <w:highlight w:val="none"/>
        </w:rPr>
      </w:pPr>
      <w:r>
        <w:rPr>
          <w:rFonts w:hint="eastAsia" w:ascii="宋体" w:hAnsi="宋体"/>
          <w:color w:val="auto"/>
          <w:highlight w:val="none"/>
        </w:rPr>
        <w:t xml:space="preserve">注：若投标供应商提供的声明函或认定证明为虚假声明则视同提供虚假材料，按“政府采购法”相关规定处理并报请政府监管部门给予行政处罚。</w:t>
      </w:r>
      <w:r/>
    </w:p>
    <w:p>
      <w:pPr>
        <w:pStyle w:val="762"/>
        <w:ind w:firstLine="0"/>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六、</w:t>
      </w:r>
      <w:r>
        <w:rPr>
          <w:rFonts w:hint="default" w:ascii="宋体" w:hAnsi="宋体" w:cs="宋体"/>
          <w:color w:val="auto"/>
          <w:szCs w:val="24"/>
          <w:highlight w:val="none"/>
        </w:rPr>
        <w:t xml:space="preserve">政府采购异常低价审查</w:t>
      </w:r>
      <w:r>
        <w:rPr>
          <w:rFonts w:hint="eastAsia" w:ascii="宋体" w:hAnsi="宋体" w:cs="宋体"/>
          <w:color w:val="auto"/>
          <w:szCs w:val="24"/>
          <w:highlight w:val="none"/>
          <w:lang w:val="en-US" w:eastAsia="zh-CN"/>
        </w:rPr>
        <w:t xml:space="preserve">要求：</w:t>
      </w:r>
      <w:r/>
    </w:p>
    <w:p>
      <w:pPr>
        <w:pStyle w:val="806"/>
        <w:ind w:left="0"/>
        <w:spacing w:line="360" w:lineRule="auto"/>
        <w:rPr>
          <w:rFonts w:hint="default" w:ascii="宋体" w:hAnsi="宋体" w:eastAsia="宋体" w:cs="宋体"/>
          <w:color w:val="auto"/>
          <w:szCs w:val="24"/>
          <w:highlight w:val="none"/>
        </w:rPr>
      </w:pPr>
      <w:r>
        <w:rPr>
          <w:rFonts w:hint="default" w:ascii="宋体" w:hAnsi="宋体" w:eastAsia="宋体" w:cs="宋体"/>
          <w:color w:val="auto"/>
          <w:szCs w:val="24"/>
          <w:highlight w:val="none"/>
        </w:rPr>
        <w:t xml:space="preserve">本项目按政府采购异常低价审查的有关要求执行，执行依据为</w:t>
      </w:r>
      <w:r>
        <w:rPr>
          <w:rFonts w:hint="eastAsia" w:ascii="宋体" w:hAnsi="宋体" w:eastAsia="宋体" w:cs="宋体"/>
          <w:color w:val="auto"/>
          <w:szCs w:val="24"/>
          <w:highlight w:val="none"/>
        </w:rPr>
        <w:t xml:space="preserve">《关于推动解决政府采购异常低价问题的通知》（财库〔2026〕2号）</w:t>
      </w:r>
      <w:r>
        <w:rPr>
          <w:rFonts w:hint="default" w:ascii="宋体" w:hAnsi="宋体" w:eastAsia="宋体" w:cs="宋体"/>
          <w:color w:val="auto"/>
          <w:szCs w:val="24"/>
          <w:highlight w:val="none"/>
        </w:rPr>
        <w:t xml:space="preserve">。如有异常低价评委会启动异常低价投标（响应）审查的各类情形和工作要求。</w:t>
      </w:r>
      <w:r/>
    </w:p>
    <w:p>
      <w:pPr>
        <w:pStyle w:val="806"/>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采购人应当在采购文件中明确，政府采购评审中出现下列情形之一的，评审委员会应当启动异常低价投标（响应）审查程序：</w:t>
      </w:r>
      <w:r/>
    </w:p>
    <w:p>
      <w:pPr>
        <w:pStyle w:val="806"/>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投标（响应）报价低于全部通过符合性审查供应商投标（响应）报价平均值50%的，即投标（响应）报价〈全部通过符合性审查供应商投标（响应）报价平均值×50%；</w:t>
      </w:r>
      <w:r/>
    </w:p>
    <w:p>
      <w:pPr>
        <w:pStyle w:val="806"/>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投标（响应）报价低于通过符合性审查的次低报价供应商投标（响应）报价50%的，即投标（响应）报价〈通过符合性审查的次低报价供应商投标（响应）报价×50%；</w:t>
      </w:r>
      <w:r/>
    </w:p>
    <w:p>
      <w:pPr>
        <w:pStyle w:val="806"/>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投标（响应）报价低于采购项目最高限价45%的，即投标（响应）报价〈采购项目最高限价×45%；</w:t>
      </w:r>
      <w:r/>
    </w:p>
    <w:p>
      <w:pPr>
        <w:pStyle w:val="806"/>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评审委员会基于专业判断，认为供应商报价过低，有可能影响产品质量或者不能诚信履约的其他情形。</w:t>
      </w:r>
      <w:r/>
    </w:p>
    <w:p>
      <w:pPr>
        <w:pStyle w:val="806"/>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采购人可以结合具体项目实际情况，提高上述第1项至第3项中启动异常低价投标（响应）审查的数值标准，但是最高不得超过65%。</w:t>
      </w:r>
      <w:r/>
    </w:p>
    <w:p>
      <w:pPr>
        <w:pStyle w:val="806"/>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相关法律法规对供应商报价有规定的，从其规定。</w:t>
      </w:r>
      <w:r/>
    </w:p>
    <w:p>
      <w:pPr>
        <w:pStyle w:val="806"/>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5.1.2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6"/>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6"/>
        <w:ind w:left="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13"/>
        <w:ind w:firstLine="420"/>
        <w:rPr>
          <w:rFonts w:hint="eastAsia" w:ascii="宋体" w:hAnsi="宋体"/>
          <w:color w:val="auto"/>
          <w:highlight w:val="none"/>
        </w:rPr>
      </w:pPr>
      <w:r>
        <w:rPr>
          <w:rFonts w:hint="eastAsia" w:ascii="宋体" w:hAnsi="宋体"/>
          <w:color w:val="auto"/>
          <w:highlight w:val="none"/>
        </w:rPr>
      </w:r>
      <w:r/>
    </w:p>
    <w:p>
      <w:pPr>
        <w:pStyle w:val="1113"/>
        <w:ind w:firstLine="480"/>
        <w:rPr>
          <w:rFonts w:ascii="宋体" w:hAnsi="宋体"/>
          <w:color w:val="auto"/>
          <w:highlight w:val="none"/>
        </w:rPr>
        <w:sectPr>
          <w:footnotePr/>
          <w:endnotePr/>
          <w:type w:val="nextPage"/>
          <w:pgSz w:w="11907" w:h="16840" w:orient="portrait"/>
          <w:pgMar w:top="1134" w:right="1091" w:bottom="1134" w:left="1576" w:header="567" w:footer="794" w:gutter="0"/>
          <w:cols w:num="1" w:sep="0" w:space="720" w:equalWidth="1"/>
          <w:docGrid w:linePitch="360"/>
          <w:titlePg/>
        </w:sectPr>
      </w:pPr>
      <w:r>
        <w:rPr>
          <w:rFonts w:ascii="宋体" w:hAnsi="宋体"/>
          <w:color w:val="auto"/>
          <w:highlight w:val="none"/>
        </w:rPr>
      </w:r>
      <w:r/>
    </w:p>
    <w:p>
      <w:pPr>
        <w:pStyle w:val="761"/>
        <w:rPr>
          <w:rFonts w:ascii="宋体" w:hAnsi="宋体" w:cs="宋体"/>
          <w:color w:val="auto"/>
          <w:highlight w:val="none"/>
        </w:rPr>
      </w:pPr>
      <w:r/>
      <w:bookmarkStart w:id="12" w:name="_Toc2521"/>
      <w:r>
        <w:rPr>
          <w:rFonts w:hint="eastAsia" w:ascii="宋体" w:hAnsi="宋体" w:cs="宋体"/>
          <w:color w:val="auto"/>
          <w:highlight w:val="none"/>
        </w:rPr>
        <w:t xml:space="preserve">第五章 合同主要条款</w:t>
      </w:r>
      <w:bookmarkEnd w:id="9"/>
      <w:r/>
      <w:bookmarkEnd w:id="12"/>
      <w:r/>
      <w:r/>
    </w:p>
    <w:p>
      <w:pPr>
        <w:spacing w:line="360" w:lineRule="auto"/>
        <w:rPr>
          <w:rFonts w:hint="eastAsia" w:ascii="宋体" w:hAnsi="宋体" w:eastAsia="宋体"/>
          <w:bCs/>
          <w:color w:val="auto"/>
          <w:sz w:val="24"/>
          <w:szCs w:val="24"/>
          <w:highlight w:val="none"/>
          <w:lang w:eastAsia="zh-CN"/>
        </w:rPr>
      </w:pPr>
      <w:r/>
      <w:bookmarkStart w:id="13" w:name="_Toc37331744"/>
      <w:r>
        <w:rPr>
          <w:rFonts w:hint="eastAsia" w:ascii="宋体" w:hAnsi="宋体"/>
          <w:bCs/>
          <w:color w:val="auto"/>
          <w:sz w:val="24"/>
          <w:szCs w:val="24"/>
          <w:highlight w:val="none"/>
        </w:rPr>
        <w:t xml:space="preserve">项目名称：</w:t>
      </w:r>
      <w:r>
        <w:rPr>
          <w:rFonts w:hint="eastAsia" w:ascii="宋体" w:hAnsi="宋体"/>
          <w:color w:val="auto"/>
          <w:sz w:val="24"/>
          <w:szCs w:val="24"/>
          <w:highlight w:val="none"/>
          <w:lang w:eastAsia="zh-CN"/>
        </w:rPr>
        <w:t xml:space="preserve">2027-2029年财务监管平台第三方代理服务采购</w:t>
      </w:r>
      <w:r/>
    </w:p>
    <w:tbl>
      <w:tblPr>
        <w:tblStyle w:val="77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836"/>
        <w:gridCol w:w="4826"/>
      </w:tblGrid>
      <w:tr>
        <w:trPr/>
        <w:tc>
          <w:tcPr>
            <w:tcW w:w="4836" w:type="dxa"/>
            <w:textDirection w:val="lrTb"/>
            <w:noWrap w:val="false"/>
          </w:tcPr>
          <w:p>
            <w:pPr>
              <w:spacing w:line="360" w:lineRule="auto"/>
              <w:tabs>
                <w:tab w:val="left" w:pos="6237"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甲方（买方）：</w:t>
            </w:r>
            <w:r>
              <w:rPr>
                <w:rFonts w:hint="eastAsia" w:ascii="宋体" w:hAnsi="宋体"/>
                <w:bCs/>
                <w:color w:val="auto"/>
                <w:sz w:val="24"/>
                <w:szCs w:val="24"/>
                <w:highlight w:val="none"/>
              </w:rPr>
              <w:t xml:space="preserve">太仓市人民政府陆渡街道办事处</w:t>
            </w:r>
            <w:r/>
          </w:p>
        </w:tc>
        <w:tc>
          <w:tcPr>
            <w:tcW w:w="4826" w:type="dxa"/>
            <w:textDirection w:val="lrTb"/>
            <w:noWrap w:val="false"/>
          </w:tcPr>
          <w:p>
            <w:pPr>
              <w:spacing w:line="360" w:lineRule="auto"/>
              <w:tabs>
                <w:tab w:val="left" w:pos="6237"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地址：</w:t>
            </w:r>
            <w:r/>
          </w:p>
        </w:tc>
      </w:tr>
      <w:tr>
        <w:trPr/>
        <w:tc>
          <w:tcPr>
            <w:tcW w:w="4836" w:type="dxa"/>
            <w:textDirection w:val="lrTb"/>
            <w:noWrap w:val="false"/>
          </w:tcPr>
          <w:p>
            <w:pPr>
              <w:spacing w:line="360" w:lineRule="auto"/>
              <w:tabs>
                <w:tab w:val="left" w:pos="6237"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乙方（卖方）：</w:t>
            </w:r>
            <w:r/>
          </w:p>
        </w:tc>
        <w:tc>
          <w:tcPr>
            <w:tcW w:w="4826" w:type="dxa"/>
            <w:textDirection w:val="lrTb"/>
            <w:noWrap w:val="false"/>
          </w:tcPr>
          <w:p>
            <w:pPr>
              <w:spacing w:line="360" w:lineRule="auto"/>
              <w:tabs>
                <w:tab w:val="left" w:pos="6237"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地址：</w:t>
            </w:r>
            <w:r/>
          </w:p>
        </w:tc>
      </w:tr>
      <w:tr>
        <w:trPr/>
        <w:tc>
          <w:tcPr>
            <w:tcW w:w="4836" w:type="dxa"/>
            <w:textDirection w:val="lrTb"/>
            <w:noWrap w:val="false"/>
          </w:tcPr>
          <w:p>
            <w:pPr>
              <w:spacing w:line="360" w:lineRule="auto"/>
              <w:tabs>
                <w:tab w:val="left" w:pos="6237"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签订时间：</w:t>
            </w:r>
            <w:r/>
          </w:p>
        </w:tc>
        <w:tc>
          <w:tcPr>
            <w:tcW w:w="4826" w:type="dxa"/>
            <w:textDirection w:val="lrTb"/>
            <w:noWrap w:val="false"/>
          </w:tcPr>
          <w:p>
            <w:pPr>
              <w:spacing w:line="360" w:lineRule="auto"/>
              <w:tabs>
                <w:tab w:val="left" w:pos="6237"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签订地点：太仓市</w:t>
            </w:r>
            <w:r/>
          </w:p>
        </w:tc>
      </w:tr>
    </w:tbl>
    <w:p>
      <w:pPr>
        <w:ind w:firstLine="480"/>
        <w:spacing w:line="360" w:lineRule="auto"/>
        <w:tabs>
          <w:tab w:val="left" w:pos="6237"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根据《中华人民共和国民法典》及有关法律法规、《太仓市关于推进农村财务监管平台建设的实施方案》文件，以及</w:t>
      </w:r>
      <w:r>
        <w:rPr>
          <w:rFonts w:hint="eastAsia" w:ascii="宋体" w:hAnsi="宋体"/>
          <w:color w:val="auto"/>
          <w:sz w:val="24"/>
          <w:szCs w:val="24"/>
          <w:highlight w:val="none"/>
          <w:lang w:eastAsia="zh-CN"/>
        </w:rPr>
        <w:t xml:space="preserve">东方华星建设管理（江苏）有限公司</w:t>
      </w:r>
      <w:r>
        <w:rPr>
          <w:rFonts w:hint="eastAsia" w:ascii="宋体" w:hAnsi="宋体"/>
          <w:color w:val="auto"/>
          <w:sz w:val="24"/>
          <w:szCs w:val="24"/>
          <w:highlight w:val="none"/>
        </w:rPr>
        <w:t xml:space="preserve">采购编号</w:t>
      </w:r>
      <w:r>
        <w:rPr>
          <w:rFonts w:hint="eastAsia" w:ascii="宋体" w:hAnsi="宋体"/>
          <w:color w:val="auto"/>
          <w:sz w:val="24"/>
          <w:szCs w:val="24"/>
          <w:highlight w:val="none"/>
          <w:u w:val="single"/>
          <w:lang w:eastAsia="zh-CN"/>
        </w:rPr>
        <w:t xml:space="preserve">JSZC-320585-DFHX-G2026-0014</w:t>
      </w:r>
      <w:r>
        <w:rPr>
          <w:rFonts w:hint="eastAsia" w:ascii="宋体" w:hAnsi="宋体"/>
          <w:color w:val="auto"/>
          <w:sz w:val="24"/>
          <w:szCs w:val="24"/>
          <w:highlight w:val="none"/>
        </w:rPr>
        <w:t xml:space="preserve">号政府采购文件及中标单位的投标文件和中标通知书，甲方聘请乙方为</w:t>
      </w:r>
      <w:r>
        <w:rPr>
          <w:rFonts w:hint="eastAsia" w:ascii="宋体" w:hAnsi="宋体"/>
          <w:color w:val="auto"/>
          <w:sz w:val="24"/>
          <w:szCs w:val="24"/>
          <w:highlight w:val="none"/>
          <w:u w:val="single"/>
        </w:rPr>
        <w:t xml:space="preserve">陆渡街道村（社区）财务管理委托代理服务</w:t>
      </w:r>
      <w:r>
        <w:rPr>
          <w:rFonts w:hint="eastAsia" w:ascii="宋体" w:hAnsi="宋体"/>
          <w:color w:val="auto"/>
          <w:sz w:val="24"/>
          <w:szCs w:val="24"/>
          <w:highlight w:val="none"/>
        </w:rPr>
        <w:t xml:space="preserve">单位，双方本着平等、自愿、公平和诚实信用的原则，经友好协商，特订立如下协议：</w:t>
      </w:r>
      <w:r/>
    </w:p>
    <w:p>
      <w:pPr>
        <w:numPr>
          <w:ilvl w:val="0"/>
          <w:numId w:val="4"/>
        </w:num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项目概述</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2027-2029年财务监管平台第三方代理服务采购</w:t>
      </w:r>
      <w:r>
        <w:rPr>
          <w:rFonts w:hint="eastAsia" w:ascii="宋体" w:hAnsi="宋体"/>
          <w:bCs/>
          <w:color w:val="auto"/>
          <w:sz w:val="24"/>
          <w:szCs w:val="24"/>
          <w:highlight w:val="none"/>
        </w:rPr>
        <w:t xml:space="preserve">项目</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对象和范围：</w:t>
      </w:r>
      <w:r>
        <w:rPr>
          <w:rFonts w:hint="eastAsia" w:ascii="宋体" w:hAnsi="宋体"/>
          <w:bCs/>
          <w:color w:val="auto"/>
          <w:sz w:val="24"/>
          <w:szCs w:val="24"/>
          <w:highlight w:val="none"/>
        </w:rPr>
        <w:t xml:space="preserve">陆渡街道下辖村、村改社区、各农村集体合作经济组织等。</w:t>
      </w:r>
      <w:r/>
    </w:p>
    <w:p>
      <w:pPr>
        <w:ind w:firstLine="482"/>
        <w:spacing w:line="360" w:lineRule="auto"/>
        <w:tabs>
          <w:tab w:val="left" w:pos="2520" w:leader="none"/>
        </w:tabs>
        <w:rPr>
          <w:rFonts w:ascii="宋体" w:hAnsi="宋体"/>
          <w:b/>
          <w:color w:val="auto"/>
          <w:sz w:val="24"/>
          <w:szCs w:val="24"/>
          <w:highlight w:val="none"/>
        </w:rPr>
      </w:pPr>
      <w:r>
        <w:rPr>
          <w:rFonts w:hint="eastAsia" w:ascii="宋体" w:hAnsi="宋体"/>
          <w:b/>
          <w:color w:val="auto"/>
          <w:sz w:val="24"/>
          <w:szCs w:val="24"/>
          <w:highlight w:val="none"/>
        </w:rPr>
        <w:t xml:space="preserve">服务依据：</w:t>
      </w:r>
      <w:r>
        <w:rPr>
          <w:rFonts w:hint="eastAsia" w:ascii="宋体" w:hAnsi="宋体"/>
          <w:b/>
          <w:color w:val="auto"/>
          <w:sz w:val="24"/>
          <w:szCs w:val="24"/>
          <w:highlight w:val="none"/>
        </w:rPr>
        <w:tab/>
      </w:r>
      <w:r/>
    </w:p>
    <w:p>
      <w:pPr>
        <w:ind w:firstLine="48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1、严格执行</w:t>
      </w:r>
      <w:r>
        <w:rPr>
          <w:rFonts w:ascii="宋体" w:hAnsi="宋体" w:eastAsia="宋体" w:cs="宋体"/>
          <w:sz w:val="24"/>
          <w:szCs w:val="24"/>
        </w:rPr>
        <w:t xml:space="preserve">全国人民代表大会常务委员会</w:t>
      </w:r>
      <w:r>
        <w:rPr>
          <w:rFonts w:hint="eastAsia" w:ascii="宋体" w:hAnsi="宋体"/>
          <w:color w:val="auto"/>
          <w:sz w:val="24"/>
          <w:szCs w:val="24"/>
          <w:highlight w:val="none"/>
        </w:rPr>
        <w:t xml:space="preserve">制定的《中华人民共和国会计法》、</w:t>
      </w:r>
      <w:r>
        <w:rPr>
          <w:rFonts w:ascii="宋体" w:hAnsi="宋体" w:eastAsia="宋体" w:cs="宋体"/>
          <w:sz w:val="24"/>
          <w:szCs w:val="24"/>
        </w:rPr>
        <w:t xml:space="preserve">中华人民共和国财政部</w:t>
      </w:r>
      <w:r>
        <w:rPr>
          <w:rFonts w:hint="eastAsia" w:ascii="宋体" w:hAnsi="宋体" w:cs="宋体"/>
          <w:sz w:val="24"/>
          <w:szCs w:val="24"/>
          <w:lang w:val="en-US" w:eastAsia="zh-CN"/>
        </w:rPr>
        <w:t xml:space="preserve">制定的</w:t>
      </w:r>
      <w:r>
        <w:rPr>
          <w:rFonts w:hint="eastAsia" w:ascii="宋体" w:hAnsi="宋体"/>
          <w:color w:val="auto"/>
          <w:sz w:val="24"/>
          <w:szCs w:val="24"/>
          <w:highlight w:val="none"/>
        </w:rPr>
        <w:t xml:space="preserve">《会计基础工作规范》、</w:t>
      </w:r>
      <w:r>
        <w:rPr>
          <w:rFonts w:ascii="宋体" w:hAnsi="宋体" w:eastAsia="宋体" w:cs="宋体"/>
          <w:sz w:val="24"/>
          <w:szCs w:val="24"/>
        </w:rPr>
        <w:t xml:space="preserve">中华人民共和国财政部</w:t>
      </w:r>
      <w:r>
        <w:rPr>
          <w:rFonts w:hint="eastAsia" w:ascii="宋体" w:hAnsi="宋体" w:cs="宋体"/>
          <w:sz w:val="24"/>
          <w:szCs w:val="24"/>
          <w:lang w:val="en-US" w:eastAsia="zh-CN"/>
        </w:rPr>
        <w:t xml:space="preserve">制定的</w:t>
      </w:r>
      <w:r>
        <w:rPr>
          <w:rFonts w:hint="eastAsia" w:ascii="宋体" w:hAnsi="宋体"/>
          <w:color w:val="auto"/>
          <w:sz w:val="24"/>
          <w:szCs w:val="24"/>
          <w:highlight w:val="none"/>
        </w:rPr>
        <w:t xml:space="preserve">《村集体经济组织会计制度》、</w:t>
      </w:r>
      <w:r>
        <w:rPr>
          <w:rFonts w:ascii="宋体" w:hAnsi="宋体" w:eastAsia="宋体" w:cs="宋体"/>
          <w:sz w:val="24"/>
          <w:szCs w:val="24"/>
        </w:rPr>
        <w:t xml:space="preserve">中华人民共和国财政部</w:t>
      </w:r>
      <w:r>
        <w:rPr>
          <w:rFonts w:hint="eastAsia" w:ascii="宋体" w:hAnsi="宋体" w:cs="宋体"/>
          <w:sz w:val="24"/>
          <w:szCs w:val="24"/>
          <w:lang w:val="en-US" w:eastAsia="zh-CN"/>
        </w:rPr>
        <w:t xml:space="preserve">制定的</w:t>
      </w:r>
      <w:r>
        <w:rPr>
          <w:rFonts w:hint="eastAsia" w:ascii="宋体" w:hAnsi="宋体"/>
          <w:color w:val="auto"/>
          <w:sz w:val="24"/>
          <w:szCs w:val="24"/>
          <w:highlight w:val="none"/>
        </w:rPr>
        <w:t xml:space="preserve">《农民合作社财务会计制度》和国家有关法律法规。</w:t>
      </w:r>
      <w:r/>
    </w:p>
    <w:p>
      <w:pPr>
        <w:ind w:firstLine="48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2、太仓市农业农村局等上级部门和陆渡街道制定的相关制度文件(如相关制度修改按照新修订的制度执行)。</w:t>
      </w:r>
      <w:r/>
    </w:p>
    <w:p>
      <w:pPr>
        <w:ind w:firstLine="48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3、太仓市人民政府陆渡街道办事处下辖各村（社区）依法订立的有关乡规民约，以及集体合作经济组织的章程。</w:t>
      </w:r>
      <w:r/>
    </w:p>
    <w:p>
      <w:pPr>
        <w:ind w:firstLine="482"/>
        <w:spacing w:line="360" w:lineRule="auto"/>
        <w:tabs>
          <w:tab w:val="left" w:pos="2520" w:leader="none"/>
        </w:tabs>
        <w:rPr>
          <w:rFonts w:ascii="宋体" w:hAnsi="宋体"/>
          <w:b/>
          <w:color w:val="auto"/>
          <w:sz w:val="24"/>
          <w:szCs w:val="24"/>
          <w:highlight w:val="none"/>
        </w:rPr>
      </w:pPr>
      <w:r>
        <w:rPr>
          <w:rFonts w:hint="eastAsia" w:ascii="宋体" w:hAnsi="宋体"/>
          <w:b/>
          <w:color w:val="auto"/>
          <w:sz w:val="24"/>
          <w:szCs w:val="24"/>
          <w:highlight w:val="none"/>
        </w:rPr>
        <w:t xml:space="preserve">服务内容：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农村财务管理核算业务（代理会计核算、代理财务收支、代理资金管理、代理票据管理、代理财政专项资金管理、协助资产管理、协助合同管理、提供会计信息、代理会计日常资料并建档移交、代理税务申报及纳税规划等服务项目），凡甲方发生的各项经济业务的会计核算均由中标单位统一代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2、农村财务监管中心财务人员的管理和培训业务。</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二、服务期限</w:t>
      </w:r>
      <w:r/>
    </w:p>
    <w:p>
      <w:pPr>
        <w:ind w:left="540" w:hanging="1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乙方进行财务管理委托管理服务期限始于   年   月   日，于    年  月  日止。</w:t>
      </w:r>
      <w:r/>
    </w:p>
    <w:p>
      <w:pPr>
        <w:ind w:firstLine="482"/>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三、代理服务费</w:t>
      </w:r>
      <w:r/>
    </w:p>
    <w:p>
      <w:pPr>
        <w:numPr>
          <w:ilvl w:val="0"/>
          <w:numId w:val="5"/>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三年代理服务费：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万元，（每年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2、代理服务单位：全区</w:t>
      </w:r>
      <w:r>
        <w:rPr>
          <w:rFonts w:hint="eastAsia" w:ascii="宋体" w:hAnsi="宋体"/>
          <w:color w:val="auto"/>
          <w:sz w:val="24"/>
          <w:szCs w:val="24"/>
          <w:highlight w:val="none"/>
          <w:u w:val="single"/>
        </w:rPr>
        <w:t xml:space="preserve">  7  </w:t>
      </w:r>
      <w:r>
        <w:rPr>
          <w:rFonts w:hint="eastAsia" w:ascii="宋体" w:hAnsi="宋体"/>
          <w:color w:val="auto"/>
          <w:sz w:val="24"/>
          <w:szCs w:val="24"/>
          <w:highlight w:val="none"/>
        </w:rPr>
        <w:t xml:space="preserve">个村（社区）及下辖的所有集体经济组织。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代理服务费包含1名财务总监、4名驻街道会计、7名驻村社区出纳的工资、补贴、奖金、“五险一金”（集体与个人部分）、团体人身意外保险等人员费用（工资发放与社会保险费用缴费标准，由乙方依据相关规定核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4、代理服务费包含税金、管理、培训员工费用、人员餐费及村级经济运行中提供建议、意见咨询以及乙方按规定应该支付的派驻人员补贴、津贴、经济补偿金、赔偿金等一切费用。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5、代理服务管理费不包含“农管”软件维护费。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6、代理服务费不包含农村财务监管中心日常办公费用。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7、支付方式和支付时间：</w:t>
      </w:r>
      <w:r/>
    </w:p>
    <w:p>
      <w:pPr>
        <w:ind w:firstLine="480"/>
        <w:spacing w:line="360" w:lineRule="auto"/>
        <w:rPr>
          <w:rFonts w:hint="default" w:ascii="宋体" w:hAnsi="宋体"/>
          <w:color w:val="auto"/>
          <w:sz w:val="24"/>
          <w:szCs w:val="24"/>
          <w:highlight w:val="none"/>
          <w:lang w:val="en-US"/>
        </w:rPr>
      </w:pPr>
      <w:r>
        <w:rPr>
          <w:rFonts w:hint="eastAsia" w:ascii="宋体" w:hAnsi="宋体"/>
          <w:color w:val="auto"/>
          <w:sz w:val="24"/>
          <w:szCs w:val="24"/>
          <w:highlight w:val="none"/>
        </w:rPr>
        <w:t xml:space="preserve">A、合同签订后，甲方向乙方支付合同金额10%的预付款</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在第一次付款时直接扣回。</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B、</w:t>
      </w:r>
      <w:r>
        <w:rPr>
          <w:rFonts w:hint="eastAsia" w:ascii="宋体" w:hAnsi="宋体"/>
          <w:color w:val="auto"/>
          <w:sz w:val="24"/>
          <w:szCs w:val="24"/>
          <w:highlight w:val="none"/>
        </w:rPr>
        <w:t xml:space="preserve">按季度付款，每季度结束支付每年合同金额的25%。</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C</w:t>
      </w:r>
      <w:r>
        <w:rPr>
          <w:rFonts w:hint="eastAsia" w:ascii="宋体" w:hAnsi="宋体"/>
          <w:color w:val="auto"/>
          <w:sz w:val="24"/>
          <w:szCs w:val="24"/>
          <w:highlight w:val="none"/>
        </w:rPr>
        <w:t xml:space="preserve">、甲方向乙方支付的所有款项汇入乙方指定的开户行中，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乙方指定开户行如下：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收款单位：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收款账号：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开户行： </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四、甲方的权利和义务</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（一）甲方的权利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1、对乙方农村财务管理委托代理工作进行监督管理。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2、有权要求乙方配合甲方进行数据统计、上报有关报表、提供各类会计信息等。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3、有权要求乙方协助做好集体资产管理的监督工作，做好财务监管平台和集体资产管理交易平台的相关工作。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4、每年度对乙方进行一次工作考核，发现乙方在农村财务管理委托过程中有任何违法违规行为的，解除合同并追究乙方的违约责任。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5、乙方驻村社区人员应服从所在村社区会计业务关联工作的安排，对考核定为不称职的，村社区有权直接建议乙方更换。</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（二）甲方的义务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1、配合乙方确保辖下各村、涉农社区、各农村集体合作经济组织在相关经济活动中严格执行市农业农村局等上级部门和陆渡街道制定的相关制度文件（如相关制度修改按照新修订的制度执行）。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2、监督辖下各村（社区）、各农村集体合作经济组织建立健全内部管理制度，要求各村（社区）、各农村集体合作经济组织提供的会计资料真实、合法、完整。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3、提供办公场所（含水电及空调）、办公设备包括电脑、打印机、电话、复印机、传真机、文件柜、办公桌椅等。并协调各村（社区）解决驻村社区出纳的日常办公费用。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4、监督辖下各村（社区）、各农村集体合作经济组织协调配合财务工作，保证准时向乙方提供原始凭证，必须协调乙方与各村组之间的工作关系。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5、乙方在实际开展工作过程中，如遇到无法协调各村（社区）开展正常工作或出现难以解决的实际问题的，甲方要及时为乙方协调解决相关工作。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6、甲方负责指导和协调乙方驻街道财务总监的各项工作，及负责办公设备维护和办公耗材采购等管理工作。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7、与乙方共同制定财务人员的岗位职责和考核办法。</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五、乙方的权利和义务</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（一）乙方的权利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1、乙方有权按约定时间向甲方收取服务费和财务人员经费。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2、有权要求甲方为农村财务管理委托代理工作的顺利开展提供必要的资料和工作配合。</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（二）乙方的义务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1、建立和健全农村财务监管中心的相关管理制度。包括人员的管理制度、考核制度、工作制度。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2、按照合同规定的服务范围完成好各项财务代理工作，严格按规范的会计制度统一进行记账核算。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3、至少配备1名具有中级会计师以上专业技术职务资格或注册会计师的财务总监全日制驻财务监管中心办公，并不得为兼职人员，而且要保持稳定，不得随意更换。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4、建立定期培训制度，每年至少举办两次财务人员的培训班，在履约期间负责对财务管理代理业务、相关政策制度的培训指导。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5、配合甲方开展日常财务监督管理工作，配合甲方的工作需要提供各种财务数据、财务报表、会计信息、统计资料。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6、配合甲方做好财务、资产管理的监督工作，做好财务监管平台和集体资产管理交易平台的相关工作。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7、乙方财务总监必须在季末、年末以书面形式向甲方汇报工作情况，以便及时发现问题，解决问题。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8、自觉接受甲方内部审计小组或委托专业审计公司进行审计。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9、乙方自觉接受甲方的年度考核工作。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10、乙方不得以任何理由将本合同约定义务委托转让给第三方。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11、乙方对其知悉的秘密和甲方提供的资料有保密义务，除另有约定或经甲方同意外，不得对外泄露。</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作书面汇报，如果是人为因素导致的，要追究当事人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乙方在履约期间视情况每月到各村（社区）巡回一次做指导监督工作，对农管系统警示的账务处理问题做情况了解并提出建议，并对上个月提出处理意见的问题进行实时跟进，协助村社区做好资产管理、合同管理、资金管理、票据管理等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14、乙方在履约期间对所托管的员工可能提请的诉讼有义务做应诉、出庭、举证甚至咨询聘请律师等工作。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15、及时完成会计核算工作，并按照约定时间出具财务报表，协助做好每季财务公开工作，负责会计资料的整理、归档、移交工作。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与甲方协商安排财务人员在监管中心的具体工作岗位及工作内容，监督、检查、考核员工完成工作的情况。对监管中心财务人员的管理做好绩效考核及人事管理工作，对办公耗材使用等进行日常管理控制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17、对财务人员的职业道德规范、工作任务、技能培训、应达到的工作要求、应注意的安全事项、应遵守的各项纪律等履行告知、教育、管理培训的义务。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18、乙方为财务人员依法建立劳动关系，签订劳动合同，并负责劳动合同的管理工作。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19、乙方为财务人员办理社会保险手续，缴交社会保险费；为终止、解除劳动合同的员工办理社会保险金转移、结算等相关手续。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20、做好劳动合同的动态管理工作，并在员工达到法定退休年龄时，为其办理退保及享受相应待遇有关手续。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21、员工发生工伤事故的，按《工伤保险条例》妥善处理，并负责办理工伤申请认定和费用报销事宜。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22、员工在工作期间，违章作业或损坏、遗失工作物品等，或给甲方造成其它经济损失的，由甲方按国家法律、法规和单位的规章制度进行处理，乙方协助甲方追究当事人责任及索赔。</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23、做好员工的考勤表，依照甲乙双方共同制定的支付工资标准按时足额的发放员工工资。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根据太仓市人社局的参保规定，从建立财务人员劳动关系之月起，依法给财务人员办理社会保险，缴交社会保险费。其中，个人缴交部分在乙方员工本人工资中扣缴。员工合同期满或合同未满提前解除劳动合同的由乙方负责办理停保手续。</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六、财务资料的交接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乙方按照归档要求，负责对各项财务资料进行整理立卷或装订成册。形成的财务档案，应移交的会计凭证等财务档案资料于每季度移交一次，于下季度第一个月底前移交给各村（居）委会保管；会计年度终了后，当年形成的财务档案应于次年的2月底前全部移交各村（居）委会保管，并办理好财务档案的交接手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乙方应在本合同期限届满前一个月准备好财务资料的移交手续，合同期限届满时，乙方应与接任的中介服务机构办理移交手续，将所保管的全部财务资料及有关印章进行移交，甲方负责监督移交。移交期限为合同届满之日起二十天内，如乙方在移交期限内未能移交资料，每逾一天乙方向甲方支付违约金人民币伍佰元（￥500.00）。</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七、违约责任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1、本合同双方自愿签订。合同期间，如任何一方没有按照上述义务执行或擅自解除本合同，属于违约，违约方须向履约方支付违约金叁万元整（￥30000.00）。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2、乙方与第三人恶意串通损害甲方利益的，或者因乙方的过错导致甲方利益受损的，应该赔偿甲方的一切经济损失，而且甲方有权单方面解除合同，情节严重构成犯罪的依法追究乙方的刑事责任。</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八、合同争议的解决：</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当甲乙双方发生争议时，根据本合同相关规定解决，如果仍然不能解决，双方可以协商变更合同,协商不成可以向人民法院提出诉讼。</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九、合同效力：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1、本合同因不可抗力，致使双方或一方无法继续履行的，本合同自动终止。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2、因乙方违法违规被撤销或者歇业，视乙方违约。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3、因上级行政部门的原因，致使本合同不能继续履行，本合同自动终止。</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十、其他：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1、本合同书一式伍份，甲、乙双方及代理机构各一份，农村社区财务监管中心两份。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2、本合同书经双方签署，单位盖章后生效。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3、本协议未尽事宜及执行过程中出现不可预见的事项，由甲乙双方共同协商解决。</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pStyle w:val="806"/>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甲方签章：                                           乙方签章：              </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代理人：                                             代理人：               </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年   月   日                                         年   月   日          </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pStyle w:val="790"/>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备案方：</w:t>
      </w:r>
      <w:r/>
    </w:p>
    <w:p>
      <w:pPr>
        <w:rPr>
          <w:rFonts w:ascii="宋体" w:hAnsi="宋体"/>
          <w:color w:val="auto"/>
          <w:highlight w:val="none"/>
        </w:rPr>
      </w:pPr>
      <w:r/>
      <w:bookmarkStart w:id="14" w:name="_Toc19953"/>
      <w:r>
        <w:rPr>
          <w:rFonts w:hint="eastAsia" w:ascii="宋体" w:hAnsi="宋体"/>
          <w:color w:val="auto"/>
          <w:highlight w:val="none"/>
        </w:rPr>
        <w:br w:type="page" w:clear="all"/>
      </w:r>
      <w:r/>
    </w:p>
    <w:p>
      <w:pPr>
        <w:pStyle w:val="761"/>
        <w:rPr>
          <w:rFonts w:ascii="宋体" w:hAnsi="宋体" w:cs="宋体"/>
          <w:color w:val="auto"/>
          <w:highlight w:val="none"/>
        </w:rPr>
      </w:pPr>
      <w:r>
        <w:rPr>
          <w:rFonts w:hint="eastAsia" w:ascii="宋体" w:hAnsi="宋体" w:cs="宋体"/>
          <w:color w:val="auto"/>
          <w:highlight w:val="none"/>
        </w:rPr>
        <w:t xml:space="preserve">第六章 评标标准</w:t>
      </w:r>
      <w:bookmarkEnd w:id="13"/>
      <w:r/>
      <w:bookmarkEnd w:id="14"/>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一、评标方法：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次招标评标采用为综合评分法，即在满足招标文件实质性要求前提下，按照招标文件中规定的评分标准和各项因素进行综合评审后，以评标总得分最高的投标人作为中标候选人。综合评分的主要因素为：价格、方案及措施、履约能力、对招标文件的响应程度，以及相应的商务标和技术标比重或者分值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评委评审得分和投标报价得分相加为投标人的总得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3、如出现评标总得分最高的投标人有两个或两个以上的，以投标报价较低者优先作为中标候选人，如果投标报价也相同的，则以抽签方式确定中标候选人。</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二、评分标准：</w:t>
      </w:r>
      <w:r/>
    </w:p>
    <w:tbl>
      <w:tblPr>
        <w:tblStyle w:val="771"/>
        <w:tblW w:w="9418"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286"/>
        <w:gridCol w:w="650"/>
        <w:gridCol w:w="6765"/>
      </w:tblGrid>
      <w:tr>
        <w:trPr>
          <w:trHeight w:val="493"/>
          <w:tblHeader/>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w:t>
            </w:r>
            <w:r/>
          </w:p>
        </w:tc>
        <w:tc>
          <w:tcPr>
            <w:tcW w:w="650"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W w:w="6765"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评分标准</w:t>
            </w:r>
            <w:r/>
          </w:p>
        </w:tc>
      </w:tr>
      <w:tr>
        <w:trPr>
          <w:trHeight w:val="493"/>
        </w:trPr>
        <w:tc>
          <w:tcPr>
            <w:gridSpan w:val="4"/>
            <w:tcW w:w="9418"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一、报价部分（10分）</w:t>
            </w:r>
            <w:r/>
          </w:p>
        </w:tc>
      </w:tr>
      <w:tr>
        <w:trPr>
          <w:trHeight w:val="3393"/>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投标报价</w:t>
            </w:r>
            <w:r/>
          </w:p>
        </w:tc>
        <w:tc>
          <w:tcPr>
            <w:tcW w:w="650"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w:t>
            </w:r>
            <w:r/>
          </w:p>
        </w:tc>
        <w:tc>
          <w:tcPr>
            <w:tcW w:w="6765"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1、投标报价不超过采购预算价格的为有效投标报价。超出此范围的投标报价为无效投标报价。无效投标报价的投标文件不进行评审，也不得标；</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2、在所有有效投标报价中选择报价最低的确定为基准报价；</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价格分采用低价优先法计算，即满足招标文件要求且投标价格最低的投标报价为评标基准价，其价格分为满分。其他投标人的价格分统一按照下列公式计算（计算结果四舍五入保留两位小数）：投标报价得分=（评标基准价/投标报价）*价格权值*100（本次招标价格权值为10%）。</w:t>
            </w:r>
            <w:r/>
          </w:p>
        </w:tc>
      </w:tr>
      <w:tr>
        <w:trPr>
          <w:trHeight w:val="493"/>
        </w:trPr>
        <w:tc>
          <w:tcPr>
            <w:gridSpan w:val="4"/>
            <w:tcW w:w="9418"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二、履约能力（38分）</w:t>
            </w:r>
            <w:r/>
          </w:p>
        </w:tc>
      </w:tr>
      <w:tr>
        <w:trPr>
          <w:trHeight w:val="1460"/>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类似业绩</w:t>
            </w:r>
            <w:r/>
          </w:p>
        </w:tc>
        <w:tc>
          <w:tcPr>
            <w:tcW w:w="650" w:type="dxa"/>
            <w:vAlign w:val="center"/>
            <w:textDirection w:val="lrTb"/>
            <w:noWrap w:val="false"/>
          </w:tcPr>
          <w:p>
            <w:pPr>
              <w:jc w:val="center"/>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20</w:t>
            </w:r>
            <w:r/>
          </w:p>
        </w:tc>
        <w:tc>
          <w:tcPr>
            <w:tcW w:w="6765"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投标人202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年1月1日以来（以合同签订日期为准）承接过含政府相关单位、镇村级集体经济相关的财务代理服务项目的，有一项得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分，最多得</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分。（同一业主单位只计一个项目，响应文件中提供合同扫描件，否则不得分）</w:t>
            </w:r>
            <w:r/>
          </w:p>
        </w:tc>
      </w:tr>
      <w:tr>
        <w:trPr>
          <w:trHeight w:val="2426"/>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财务人员</w:t>
            </w:r>
            <w:r/>
          </w:p>
        </w:tc>
        <w:tc>
          <w:tcPr>
            <w:tcW w:w="650" w:type="dxa"/>
            <w:vAlign w:val="center"/>
            <w:textDirection w:val="lrTb"/>
            <w:noWrap w:val="false"/>
          </w:tcPr>
          <w:p>
            <w:pPr>
              <w:jc w:val="center"/>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8</w:t>
            </w:r>
            <w:r/>
          </w:p>
        </w:tc>
        <w:tc>
          <w:tcPr>
            <w:tcW w:w="6765" w:type="dxa"/>
            <w:vAlign w:val="center"/>
            <w:textDirection w:val="lrTb"/>
            <w:noWrap w:val="false"/>
          </w:tcPr>
          <w:p>
            <w:pPr>
              <w:pStyle w:val="1118"/>
              <w:ind w:firstLine="0"/>
              <w:spacing w:line="360" w:lineRule="auto"/>
              <w:rPr>
                <w:color w:val="auto"/>
                <w:sz w:val="24"/>
                <w:szCs w:val="24"/>
                <w:highlight w:val="none"/>
              </w:rPr>
            </w:pPr>
            <w:r>
              <w:rPr>
                <w:rFonts w:hint="eastAsia"/>
                <w:color w:val="auto"/>
                <w:sz w:val="24"/>
                <w:szCs w:val="24"/>
                <w:highlight w:val="none"/>
                <w:lang w:eastAsia="zh-CN"/>
              </w:rPr>
              <w:t xml:space="preserve">拟派本项目的服务人员具有政府相关部门、镇村级或城市社区经济财务代理记账相关工作经验的，有一人得</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分，最多</w:t>
            </w:r>
            <w:r>
              <w:rPr>
                <w:rFonts w:hint="eastAsia"/>
                <w:color w:val="auto"/>
                <w:sz w:val="24"/>
                <w:szCs w:val="24"/>
                <w:highlight w:val="none"/>
                <w:lang w:val="en-US" w:eastAsia="zh-CN"/>
              </w:rPr>
              <w:t xml:space="preserve">得18</w:t>
            </w:r>
            <w:r>
              <w:rPr>
                <w:rFonts w:hint="eastAsia"/>
                <w:color w:val="auto"/>
                <w:sz w:val="24"/>
                <w:szCs w:val="24"/>
                <w:highlight w:val="none"/>
                <w:lang w:eastAsia="zh-CN"/>
              </w:rPr>
              <w:t xml:space="preserve">分。（投标文件中提供</w:t>
            </w:r>
            <w:r>
              <w:rPr>
                <w:rFonts w:hint="eastAsia"/>
                <w:color w:val="auto"/>
                <w:sz w:val="24"/>
                <w:szCs w:val="24"/>
                <w:highlight w:val="none"/>
                <w:lang w:val="en-US" w:eastAsia="zh-CN"/>
              </w:rPr>
              <w:t xml:space="preserve">加盖公章的</w:t>
            </w:r>
            <w:r>
              <w:rPr>
                <w:rFonts w:hint="eastAsia"/>
                <w:color w:val="auto"/>
                <w:sz w:val="24"/>
                <w:szCs w:val="24"/>
                <w:highlight w:val="none"/>
                <w:lang w:eastAsia="zh-CN"/>
              </w:rPr>
              <w:t xml:space="preserve">证明材料</w:t>
            </w:r>
            <w:r>
              <w:rPr>
                <w:rFonts w:hint="eastAsia"/>
                <w:color w:val="auto"/>
                <w:sz w:val="24"/>
                <w:szCs w:val="24"/>
                <w:highlight w:val="none"/>
                <w:lang w:val="en-US" w:eastAsia="zh-CN"/>
              </w:rPr>
              <w:t xml:space="preserve">扫描件</w:t>
            </w:r>
            <w:r>
              <w:rPr>
                <w:rFonts w:hint="eastAsia"/>
                <w:color w:val="auto"/>
                <w:sz w:val="24"/>
                <w:szCs w:val="24"/>
                <w:highlight w:val="none"/>
                <w:lang w:eastAsia="zh-CN"/>
              </w:rPr>
              <w:t xml:space="preserve">，不提供不得分）</w:t>
            </w:r>
            <w:r/>
          </w:p>
        </w:tc>
      </w:tr>
      <w:tr>
        <w:trPr>
          <w:trHeight w:val="493"/>
        </w:trPr>
        <w:tc>
          <w:tcPr>
            <w:gridSpan w:val="4"/>
            <w:tcW w:w="9418"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三、服务方案（</w:t>
            </w:r>
            <w:r>
              <w:rPr>
                <w:rFonts w:hint="eastAsia" w:ascii="宋体" w:hAnsi="宋体"/>
                <w:color w:val="auto"/>
                <w:sz w:val="24"/>
                <w:szCs w:val="24"/>
                <w:highlight w:val="none"/>
                <w:lang w:val="en-US" w:eastAsia="zh-CN"/>
              </w:rPr>
              <w:t xml:space="preserve">52</w:t>
            </w:r>
            <w:r>
              <w:rPr>
                <w:rFonts w:hint="eastAsia" w:ascii="宋体" w:hAnsi="宋体"/>
                <w:color w:val="auto"/>
                <w:sz w:val="24"/>
                <w:szCs w:val="24"/>
                <w:highlight w:val="none"/>
              </w:rPr>
              <w:t xml:space="preserve">分）</w:t>
            </w:r>
            <w:r/>
          </w:p>
        </w:tc>
      </w:tr>
      <w:tr>
        <w:trPr>
          <w:trHeight w:val="2426"/>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针对本项目的管理方案及规范</w:t>
            </w:r>
            <w:r/>
          </w:p>
        </w:tc>
        <w:tc>
          <w:tcPr>
            <w:tcW w:w="650"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2</w:t>
            </w:r>
            <w:r/>
          </w:p>
        </w:tc>
        <w:tc>
          <w:tcPr>
            <w:tcW w:w="6765" w:type="dxa"/>
            <w:vAlign w:val="center"/>
            <w:textDirection w:val="lrTb"/>
            <w:noWrap w:val="false"/>
          </w:tcPr>
          <w:p>
            <w:pPr>
              <w:jc w:val="left"/>
              <w:keepLines w:val="0"/>
              <w:keepNext w:val="0"/>
              <w:pageBreakBefore w:val="0"/>
              <w:spacing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根据投标人针对本项目的管理方案及规范进行评分，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①投标单位财务代理操作流程管理制度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②内部</w:t>
            </w:r>
            <w:r>
              <w:rPr>
                <w:rFonts w:hint="eastAsia" w:ascii="宋体" w:hAnsi="宋体" w:eastAsia="宋体" w:cs="宋体"/>
                <w:color w:val="auto"/>
                <w:sz w:val="24"/>
                <w:szCs w:val="24"/>
                <w:highlight w:val="none"/>
              </w:rPr>
              <w:t xml:space="preserve">控制制度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档案管理制度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④协助合同管理制度等。</w:t>
            </w:r>
            <w:r>
              <w:rPr>
                <w:rFonts w:hint="eastAsia" w:ascii="宋体" w:hAnsi="宋体" w:eastAsia="宋体" w:cs="宋体"/>
                <w:color w:val="auto"/>
                <w:sz w:val="24"/>
                <w:szCs w:val="24"/>
                <w:highlight w:val="none"/>
              </w:rPr>
              <w:t xml:space="preserve">方案内容</w:t>
            </w:r>
            <w:r>
              <w:rPr>
                <w:rFonts w:hint="eastAsia" w:ascii="宋体" w:hAnsi="宋体" w:eastAsia="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eastAsia="宋体" w:cs="宋体"/>
                <w:color w:val="auto"/>
                <w:sz w:val="24"/>
                <w:szCs w:val="24"/>
                <w:highlight w:val="none"/>
                <w:lang w:val="en-US" w:eastAsia="zh-CN"/>
              </w:rPr>
              <w:t xml:space="preserve">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本项总分12分</w:t>
            </w:r>
            <w:r>
              <w:rPr>
                <w:rFonts w:hint="eastAsia" w:ascii="宋体" w:hAnsi="宋体" w:eastAsia="宋体" w:cs="宋体"/>
                <w:color w:val="auto"/>
                <w:sz w:val="24"/>
                <w:szCs w:val="24"/>
                <w:highlight w:val="none"/>
              </w:rPr>
              <w:t xml:space="preserve">。 </w:t>
            </w:r>
            <w:r/>
          </w:p>
        </w:tc>
      </w:tr>
      <w:tr>
        <w:trPr>
          <w:trHeight w:val="1943"/>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针对本项目的</w:t>
            </w:r>
            <w:r>
              <w:rPr>
                <w:rFonts w:hint="eastAsia" w:ascii="宋体" w:hAnsi="宋体" w:eastAsia="宋体" w:cs="宋体"/>
                <w:color w:val="auto"/>
                <w:sz w:val="24"/>
                <w:szCs w:val="24"/>
                <w:highlight w:val="none"/>
                <w:lang w:val="en-US" w:eastAsia="zh-CN"/>
              </w:rPr>
              <w:t xml:space="preserve">实施方案</w:t>
            </w:r>
            <w:r/>
          </w:p>
        </w:tc>
        <w:tc>
          <w:tcPr>
            <w:tcW w:w="650"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8</w:t>
            </w:r>
            <w:r/>
          </w:p>
        </w:tc>
        <w:tc>
          <w:tcPr>
            <w:tcW w:w="6765" w:type="dxa"/>
            <w:vAlign w:val="center"/>
            <w:textDirection w:val="lrTb"/>
            <w:noWrap w:val="false"/>
          </w:tcPr>
          <w:p>
            <w:pPr>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eastAsia="宋体" w:cs="宋体"/>
                <w:color w:val="auto"/>
                <w:sz w:val="24"/>
                <w:szCs w:val="24"/>
                <w:highlight w:val="none"/>
              </w:rPr>
              <w:t xml:space="preserve">根据投标人针对本项目的</w:t>
            </w:r>
            <w:r>
              <w:rPr>
                <w:rFonts w:hint="eastAsia" w:ascii="宋体" w:hAnsi="宋体" w:eastAsia="宋体" w:cs="宋体"/>
                <w:color w:val="auto"/>
                <w:sz w:val="24"/>
                <w:szCs w:val="24"/>
                <w:highlight w:val="none"/>
                <w:lang w:val="en-US" w:eastAsia="zh-CN"/>
              </w:rPr>
              <w:t xml:space="preserve">实施方案</w:t>
            </w:r>
            <w:r>
              <w:rPr>
                <w:rFonts w:hint="eastAsia" w:ascii="宋体" w:hAnsi="宋体" w:eastAsia="宋体" w:cs="宋体"/>
                <w:color w:val="auto"/>
                <w:sz w:val="24"/>
                <w:szCs w:val="24"/>
                <w:highlight w:val="none"/>
              </w:rPr>
              <w:t xml:space="preserve">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服务目标，</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总体工作计划，</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阶段性工作计划，</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实施办法</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执行措施等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eastAsia="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针对本项目且符合本项目实际需求的，每</w:t>
            </w:r>
            <w:r>
              <w:rPr>
                <w:rFonts w:hint="eastAsia" w:ascii="宋体" w:hAnsi="宋体" w:eastAsia="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eastAsia="宋体" w:cs="宋体"/>
                <w:color w:val="auto"/>
                <w:sz w:val="24"/>
                <w:szCs w:val="24"/>
                <w:highlight w:val="none"/>
                <w:lang w:val="en-US" w:eastAsia="zh-CN"/>
              </w:rPr>
              <w:t xml:space="preserve">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本项总分8分</w:t>
            </w:r>
            <w:r>
              <w:rPr>
                <w:rFonts w:hint="eastAsia" w:ascii="宋体" w:hAnsi="宋体" w:eastAsia="宋体" w:cs="宋体"/>
                <w:color w:val="auto"/>
                <w:sz w:val="24"/>
                <w:szCs w:val="24"/>
                <w:highlight w:val="none"/>
              </w:rPr>
              <w:t xml:space="preserve">。 </w:t>
            </w:r>
            <w:r/>
          </w:p>
        </w:tc>
      </w:tr>
      <w:tr>
        <w:trPr>
          <w:trHeight w:val="1943"/>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针对本项目的服务质量控制方案</w:t>
            </w:r>
            <w:r/>
          </w:p>
        </w:tc>
        <w:tc>
          <w:tcPr>
            <w:tcW w:w="650"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9</w:t>
            </w:r>
            <w:r/>
          </w:p>
        </w:tc>
        <w:tc>
          <w:tcPr>
            <w:tcW w:w="6765" w:type="dxa"/>
            <w:vAlign w:val="center"/>
            <w:textDirection w:val="lrTb"/>
            <w:noWrap w:val="false"/>
          </w:tcPr>
          <w:p>
            <w:pPr>
              <w:pStyle w:val="1118"/>
              <w:ind w:firstLine="0"/>
              <w:spacing w:line="360" w:lineRule="auto"/>
              <w:rPr>
                <w:color w:val="auto"/>
                <w:sz w:val="24"/>
                <w:szCs w:val="24"/>
                <w:highlight w:val="none"/>
              </w:rPr>
            </w:pPr>
            <w:r>
              <w:rPr>
                <w:rFonts w:hint="eastAsia" w:ascii="宋体" w:hAnsi="宋体" w:eastAsia="宋体" w:cs="宋体"/>
                <w:color w:val="auto"/>
                <w:sz w:val="24"/>
                <w:szCs w:val="24"/>
                <w:highlight w:val="none"/>
              </w:rPr>
              <w:t xml:space="preserve">根据投标人针对本项目的服务质量控制方案进行评分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①质量控制制度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②质量控制措施，③绩效考核、奖惩制度等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eastAsia="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针对本项目且符合本项目实际需求的，每</w:t>
            </w:r>
            <w:r>
              <w:rPr>
                <w:rFonts w:hint="eastAsia" w:ascii="宋体" w:hAnsi="宋体" w:eastAsia="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eastAsia="宋体" w:cs="宋体"/>
                <w:color w:val="auto"/>
                <w:sz w:val="24"/>
                <w:szCs w:val="24"/>
                <w:highlight w:val="none"/>
                <w:lang w:val="en-US" w:eastAsia="zh-CN"/>
              </w:rPr>
              <w:t xml:space="preserve">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本项总分9分</w:t>
            </w:r>
            <w:r/>
          </w:p>
        </w:tc>
      </w:tr>
      <w:tr>
        <w:trPr>
          <w:trHeight w:val="1943"/>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针对本项目的安全及保密方案</w:t>
            </w:r>
            <w:r/>
          </w:p>
        </w:tc>
        <w:tc>
          <w:tcPr>
            <w:tcW w:w="650" w:type="dxa"/>
            <w:vAlign w:val="center"/>
            <w:textDirection w:val="lrTb"/>
            <w:noWrap w:val="false"/>
          </w:tcPr>
          <w:p>
            <w:pPr>
              <w:jc w:val="center"/>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8</w:t>
            </w:r>
            <w:r/>
          </w:p>
        </w:tc>
        <w:tc>
          <w:tcPr>
            <w:tcW w:w="6765" w:type="dxa"/>
            <w:vAlign w:val="center"/>
            <w:textDirection w:val="lrTb"/>
            <w:noWrap w:val="false"/>
          </w:tcPr>
          <w:p>
            <w:pPr>
              <w:jc w:val="left"/>
              <w:keepLines w:val="0"/>
              <w:keepNext w:val="0"/>
              <w:pageBreakBefore w:val="0"/>
              <w:spacing w:line="360" w:lineRule="auto"/>
              <w:widowControl w:val="off"/>
              <w:rPr>
                <w:color w:val="auto"/>
                <w:sz w:val="24"/>
                <w:szCs w:val="24"/>
                <w:highlight w:val="none"/>
              </w:rPr>
            </w:pPr>
            <w:r>
              <w:rPr>
                <w:rFonts w:hint="eastAsia" w:ascii="宋体" w:hAnsi="宋体" w:eastAsia="宋体" w:cs="宋体"/>
                <w:color w:val="auto"/>
                <w:sz w:val="24"/>
                <w:szCs w:val="24"/>
                <w:highlight w:val="none"/>
                <w:lang w:val="en-US" w:eastAsia="zh-CN"/>
              </w:rPr>
            </w:r>
            <w:r>
              <w:rPr>
                <w:rFonts w:ascii="SimSun" w:hAnsi="SimSun" w:eastAsia="SimSun" w:cs="SimSun"/>
                <w:color w:val="000000"/>
                <w:sz w:val="24"/>
              </w:rPr>
              <w:t xml:space="preserve">根据投标人针对本项目的安全及保密方案进行评分，方案内容至少包括：①安全保密制度，②保障数据安全性及完整性的措施方案等。方案内容完整、针对本项目且符合本项目实际需求的，每满足一项得4分，本项总分8分。</w:t>
            </w: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rPr>
            </w:r>
            <w:r/>
          </w:p>
        </w:tc>
      </w:tr>
      <w:tr>
        <w:trPr>
          <w:trHeight w:val="1460"/>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人员培训方案</w:t>
            </w:r>
            <w:r/>
          </w:p>
        </w:tc>
        <w:tc>
          <w:tcPr>
            <w:tcW w:w="650"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6</w:t>
            </w:r>
            <w:r/>
          </w:p>
        </w:tc>
        <w:tc>
          <w:tcPr>
            <w:tcW w:w="6765"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lang w:val="en-US" w:eastAsia="zh-CN"/>
              </w:rPr>
              <w:t xml:space="preserve">根据投标人针对本项目的人员培训方案进行评分，</w:t>
            </w:r>
            <w:r>
              <w:rPr>
                <w:rFonts w:hint="eastAsia" w:ascii="宋体" w:hAnsi="宋体" w:eastAsia="宋体" w:cs="宋体"/>
                <w:color w:val="auto"/>
                <w:sz w:val="24"/>
                <w:szCs w:val="24"/>
                <w:highlight w:val="none"/>
              </w:rPr>
              <w:t xml:space="preserve">方案内容至少包括：①培训方案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②组织与经费保障。方案内容</w:t>
            </w:r>
            <w:r>
              <w:rPr>
                <w:rFonts w:hint="eastAsia" w:ascii="宋体" w:hAnsi="宋体" w:eastAsia="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eastAsia="宋体" w:cs="宋体"/>
                <w:color w:val="auto"/>
                <w:sz w:val="24"/>
                <w:szCs w:val="24"/>
                <w:highlight w:val="none"/>
                <w:lang w:val="en-US" w:eastAsia="zh-CN"/>
              </w:rPr>
              <w:t xml:space="preserve">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tc>
      </w:tr>
      <w:tr>
        <w:trPr>
          <w:trHeight w:val="1943"/>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lang w:val="en-US" w:eastAsia="zh-CN"/>
              </w:rPr>
              <w:t xml:space="preserve">针对村财项目合理化建议和意见</w:t>
            </w:r>
            <w:r/>
          </w:p>
        </w:tc>
        <w:tc>
          <w:tcPr>
            <w:tcW w:w="650" w:type="dxa"/>
            <w:vAlign w:val="center"/>
            <w:textDirection w:val="lrTb"/>
            <w:noWrap w:val="false"/>
          </w:tcPr>
          <w:p>
            <w:pPr>
              <w:jc w:val="center"/>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6765"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lang w:val="en-US" w:eastAsia="zh-CN"/>
              </w:rPr>
              <w:t xml:space="preserve">根据投标人针对本项目的合理化建议和意见进行评分，</w:t>
            </w:r>
            <w:r>
              <w:rPr>
                <w:rFonts w:hint="eastAsia" w:ascii="宋体" w:hAnsi="宋体" w:eastAsia="宋体" w:cs="宋体"/>
                <w:color w:val="auto"/>
                <w:sz w:val="24"/>
                <w:szCs w:val="24"/>
                <w:highlight w:val="none"/>
              </w:rPr>
              <w:t xml:space="preserve">方案内容至少包括：①</w:t>
            </w:r>
            <w:r>
              <w:rPr>
                <w:rFonts w:hint="eastAsia" w:ascii="宋体" w:hAnsi="宋体" w:eastAsia="宋体" w:cs="宋体"/>
                <w:color w:val="auto"/>
                <w:sz w:val="24"/>
                <w:szCs w:val="24"/>
                <w:highlight w:val="none"/>
                <w:lang w:val="en-US" w:eastAsia="zh-CN"/>
              </w:rPr>
              <w:t xml:space="preserve">三资管理方面，</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财务收支管理，③税收合理安排等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eastAsia="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完全针对本项目且符合本项目实际需求的，每</w:t>
            </w:r>
            <w:r>
              <w:rPr>
                <w:rFonts w:hint="eastAsia" w:ascii="宋体" w:hAnsi="宋体" w:eastAsia="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eastAsia="宋体" w:cs="宋体"/>
                <w:color w:val="auto"/>
                <w:sz w:val="24"/>
                <w:szCs w:val="24"/>
                <w:highlight w:val="none"/>
                <w:lang w:val="en-US" w:eastAsia="zh-CN"/>
              </w:rPr>
              <w:t xml:space="preserve">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本项总分9分</w:t>
            </w:r>
            <w:r>
              <w:rPr>
                <w:rFonts w:hint="eastAsia" w:ascii="宋体" w:hAnsi="宋体" w:eastAsia="宋体" w:cs="宋体"/>
                <w:color w:val="auto"/>
                <w:sz w:val="24"/>
                <w:szCs w:val="24"/>
                <w:highlight w:val="none"/>
              </w:rPr>
              <w:t xml:space="preserve">。</w:t>
            </w:r>
            <w:r/>
          </w:p>
        </w:tc>
      </w:tr>
    </w:tbl>
    <w:p>
      <w:pPr>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注：</w:t>
      </w:r>
      <w:r/>
    </w:p>
    <w:p>
      <w:pPr>
        <w:numPr>
          <w:ilvl w:val="0"/>
          <w:numId w:val="6"/>
        </w:numPr>
        <w:ind w:left="0" w:hanging="5"/>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报价超过采购预算的为无效投标。</w:t>
      </w:r>
      <w:r/>
    </w:p>
    <w:p>
      <w:pPr>
        <w:numPr>
          <w:ilvl w:val="0"/>
          <w:numId w:val="6"/>
        </w:numPr>
        <w:ind w:left="0" w:hanging="5"/>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针对评分标准中评分的每一条，投标人均应提供相关电子资料并作出相应说明供评委评判，不提供相关资料的视为不具备该项得分的条件。</w:t>
      </w:r>
      <w:r/>
    </w:p>
    <w:p>
      <w:pPr>
        <w:numPr>
          <w:ilvl w:val="0"/>
          <w:numId w:val="6"/>
        </w:numPr>
        <w:ind w:left="0" w:hanging="5"/>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所有扫描件字迹须清晰可见,扫描不全或字迹不清晰的，视为未提供。</w:t>
      </w:r>
      <w:r/>
    </w:p>
    <w:p>
      <w:pPr>
        <w:numPr>
          <w:ilvl w:val="0"/>
          <w:numId w:val="6"/>
        </w:numPr>
        <w:ind w:left="0" w:hanging="5"/>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防止虚假应标，采购方保留调查的权利，并由此引发的一切调查与诉讼费用由投标方承担。</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jc w:val="righ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（全文完）</w:t>
      </w:r>
      <w:r/>
    </w:p>
    <w:sectPr>
      <w:footnotePr/>
      <w:endnotePr/>
      <w:type w:val="nextPage"/>
      <w:pgSz w:w="11907" w:h="16840" w:orient="portrait"/>
      <w:pgMar w:top="1077" w:right="1313" w:bottom="1077" w:left="1354"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2OcuAe">
    <w:panose1 w:val="020B0503020202020204"/>
  </w:font>
  <w:font w:name="Segoe UI Symbol">
    <w:panose1 w:val="020B0502040204020203"/>
  </w:font>
  <w:font w:name="仿宋">
    <w:panose1 w:val="02010609060101010101"/>
  </w:font>
  <w:font w:name="等线">
    <w:panose1 w:val="02010600030101010101"/>
  </w:font>
  <w:font w:name="font-weight : 400">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方正仿宋简体">
    <w:panose1 w:val="020B0503020202020204"/>
  </w:font>
  <w:font w:name="Tahoma">
    <w:panose1 w:val="020B0604030504040204"/>
  </w:font>
  <w:font w:name="楷体_GB2312">
    <w:panose1 w:val="02010609060101010101"/>
  </w:font>
  <w:font w:name="Arial Unicode MS">
    <w:panose1 w:val="020B0604020202020204"/>
  </w:font>
  <w:font w:name="Arial">
    <w:panose1 w:val="020B0604020202020204"/>
  </w:font>
  <w:font w:name="创艺简仿宋">
    <w:panose1 w:val="020B0503020202020204"/>
  </w:font>
  <w:font w:name="方正大黑简体">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Fonts w:ascii="黑体" w:hAnsi="黑体" w:eastAsia="黑体"/>
      </w:rPr>
    </w:pPr>
    <w:r>
      <w:rPr>
        <w:rFonts w:ascii="黑体" w:hAnsi="黑体" w:eastAsia="黑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0"/>
      </w:rPr>
      <w:framePr w:wrap="around" w:vAnchor="text" w:hAnchor="margin" w:xAlign="center" w:y="1"/>
    </w:pPr>
    <w:r>
      <w:fldChar w:fldCharType="begin"/>
    </w:r>
    <w:r>
      <w:rPr>
        <w:rStyle w:val="810"/>
      </w:rPr>
      <w:instrText xml:space="preserve">PAGE  </w:instrText>
    </w:r>
    <w:r>
      <w:fldChar w:fldCharType="end"/>
    </w:r>
    <w:r/>
  </w:p>
  <w:p>
    <w:pPr>
      <w:pStyle w:val="7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Fonts w:ascii="黑体" w:hAnsi="黑体" w:eastAsia="黑体"/>
      </w:rPr>
    </w:pPr>
    <w:r>
      <w:rPr>
        <w:rFonts w:ascii="黑体" w:hAnsi="黑体" w:eastAsia="黑体"/>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Fonts w:ascii="黑体" w:hAnsi="黑体" w:eastAsia="黑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9"/>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Fonts w:ascii="黑体" w:hAnsi="黑体" w:eastAsia="黑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9"/>
                          </w:pPr>
                          <w:r>
                            <w:fldChar w:fldCharType="begin"/>
                          </w:r>
                          <w:r>
                            <w:instrText xml:space="preserve"> PAGE  \* MERGEFORMAT </w:instrText>
                          </w:r>
                          <w:r>
                            <w:fldChar w:fldCharType="separate"/>
                          </w:r>
                          <w:r>
                            <w:t xml:space="preserve">41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both"/>
      <w:rPr>
        <w:rFonts w:ascii="黑体" w:hAnsi="黑体" w:eastAsia="黑体"/>
        <w:sz w:val="21"/>
        <w:szCs w:val="21"/>
      </w:rPr>
      <w:pBdr>
        <w:bottom w:val="none" w:color="auto" w:sz="0" w:space="1"/>
      </w:pBdr>
    </w:pPr>
    <w:r>
      <w:rPr>
        <w:rFonts w:ascii="黑体" w:hAnsi="黑体" w:eastAsia="黑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64"/>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pPr>
      <w:jc w:val="both"/>
      <w:widowControl w:val="off"/>
    </w:pPr>
    <w:rPr>
      <w:rFonts w:hint="default" w:ascii="Calibri" w:hAnsi="Calibri" w:eastAsia="宋体" w:cs="宋体"/>
      <w:sz w:val="21"/>
      <w:lang w:val="en-US" w:eastAsia="zh-CN" w:bidi="ar-SA"/>
    </w:rPr>
  </w:style>
  <w:style w:type="paragraph" w:styleId="761">
    <w:name w:val="Heading 1"/>
    <w:basedOn w:val="760"/>
    <w:next w:val="760"/>
    <w:link w:val="1119"/>
    <w:uiPriority w:val="9"/>
    <w:qFormat/>
    <w:pPr>
      <w:jc w:val="center"/>
      <w:keepLines/>
      <w:keepNext/>
      <w:spacing w:line="480" w:lineRule="auto"/>
      <w:outlineLvl w:val="0"/>
    </w:pPr>
    <w:rPr>
      <w:rFonts w:ascii="Times New Roman" w:hAnsi="Times New Roman" w:cs="Times New Roman"/>
      <w:b/>
      <w:bCs/>
      <w:sz w:val="32"/>
      <w:szCs w:val="44"/>
    </w:rPr>
  </w:style>
  <w:style w:type="paragraph" w:styleId="762">
    <w:name w:val="Heading 2"/>
    <w:basedOn w:val="760"/>
    <w:next w:val="760"/>
    <w:link w:val="967"/>
    <w:uiPriority w:val="0"/>
    <w:qFormat/>
    <w:pPr>
      <w:ind w:firstLine="200"/>
      <w:keepLines/>
      <w:keepNext/>
      <w:spacing w:line="360" w:lineRule="auto"/>
      <w:outlineLvl w:val="1"/>
    </w:pPr>
    <w:rPr>
      <w:rFonts w:ascii="Arial" w:hAnsi="Arial" w:cs="Times New Roman"/>
      <w:b/>
      <w:bCs/>
      <w:sz w:val="24"/>
      <w:szCs w:val="32"/>
    </w:rPr>
  </w:style>
  <w:style w:type="paragraph" w:styleId="763">
    <w:name w:val="Heading 3"/>
    <w:basedOn w:val="760"/>
    <w:next w:val="760"/>
    <w:link w:val="968"/>
    <w:uiPriority w:val="0"/>
    <w:qFormat/>
    <w:pPr>
      <w:ind w:firstLine="200"/>
      <w:keepLines/>
      <w:keepNext/>
      <w:spacing w:line="360" w:lineRule="auto"/>
      <w:outlineLvl w:val="2"/>
    </w:pPr>
    <w:rPr>
      <w:rFonts w:ascii="Times New Roman" w:hAnsi="Times New Roman" w:cs="Times New Roman"/>
      <w:b/>
      <w:bCs/>
      <w:sz w:val="24"/>
      <w:szCs w:val="32"/>
    </w:rPr>
  </w:style>
  <w:style w:type="paragraph" w:styleId="764">
    <w:name w:val="Heading 4"/>
    <w:basedOn w:val="760"/>
    <w:next w:val="760"/>
    <w:link w:val="969"/>
    <w:uiPriority w:val="0"/>
    <w:qFormat/>
    <w:pPr>
      <w:numPr>
        <w:ilvl w:val="0"/>
        <w:numId w:val="1"/>
      </w:numPr>
      <w:jc w:val="left"/>
      <w:keepNext/>
      <w:spacing w:line="360" w:lineRule="auto"/>
      <w:tabs>
        <w:tab w:val="left" w:pos="180" w:leader="none"/>
        <w:tab w:val="left" w:pos="3085" w:leader="none"/>
      </w:tabs>
      <w:outlineLvl w:val="3"/>
    </w:pPr>
    <w:rPr>
      <w:rFonts w:ascii="宋体" w:hAnsi="宋体" w:cs="Times New Roman"/>
      <w:b/>
      <w:sz w:val="24"/>
      <w:u w:val="single"/>
    </w:rPr>
  </w:style>
  <w:style w:type="paragraph" w:styleId="765">
    <w:name w:val="Heading 5"/>
    <w:basedOn w:val="760"/>
    <w:next w:val="760"/>
    <w:uiPriority w:val="9"/>
    <w:unhideWhenUsed/>
    <w:qFormat/>
    <w:pPr>
      <w:keepLines/>
      <w:keepNext/>
      <w:spacing w:before="280" w:after="290" w:line="376" w:lineRule="auto"/>
      <w:outlineLvl w:val="4"/>
    </w:pPr>
    <w:rPr>
      <w:b/>
      <w:bCs/>
      <w:sz w:val="28"/>
      <w:szCs w:val="28"/>
    </w:rPr>
  </w:style>
  <w:style w:type="paragraph" w:styleId="766">
    <w:name w:val="Heading 6"/>
    <w:basedOn w:val="760"/>
    <w:next w:val="760"/>
    <w:uiPriority w:val="9"/>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paragraph" w:styleId="767">
    <w:name w:val="Heading 7"/>
    <w:basedOn w:val="760"/>
    <w:next w:val="760"/>
    <w:uiPriority w:val="9"/>
    <w:unhideWhenUsed/>
    <w:qFormat/>
    <w:pPr>
      <w:keepLines/>
      <w:keepNext/>
      <w:spacing w:before="240" w:after="64" w:line="320" w:lineRule="auto"/>
      <w:outlineLvl w:val="6"/>
    </w:pPr>
    <w:rPr>
      <w:b/>
      <w:bCs/>
      <w:sz w:val="24"/>
      <w:szCs w:val="24"/>
    </w:rPr>
  </w:style>
  <w:style w:type="paragraph" w:styleId="768">
    <w:name w:val="Heading 8"/>
    <w:basedOn w:val="760"/>
    <w:next w:val="760"/>
    <w:link w:val="823"/>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24"/>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List 3"/>
    <w:basedOn w:val="760"/>
    <w:uiPriority w:val="0"/>
    <w:qFormat/>
    <w:pPr>
      <w:ind w:left="100" w:hanging="200"/>
    </w:pPr>
    <w:rPr>
      <w:rFonts w:ascii="Times New Roman" w:hAnsi="Times New Roman" w:eastAsia="楷体_GB2312" w:cs="Times New Roman"/>
      <w:sz w:val="26"/>
    </w:rPr>
  </w:style>
  <w:style w:type="paragraph" w:styleId="773">
    <w:name w:val="toc 7"/>
    <w:basedOn w:val="760"/>
    <w:next w:val="760"/>
    <w:uiPriority w:val="39"/>
    <w:unhideWhenUsed/>
    <w:qFormat/>
    <w:pPr>
      <w:ind w:left="2520"/>
    </w:pPr>
    <w:rPr>
      <w:rFonts w:cs="Times New Roman"/>
      <w:szCs w:val="22"/>
    </w:rPr>
  </w:style>
  <w:style w:type="paragraph" w:styleId="774">
    <w:name w:val="Note Heading"/>
    <w:basedOn w:val="760"/>
    <w:next w:val="760"/>
    <w:uiPriority w:val="0"/>
    <w:qFormat/>
    <w:pPr>
      <w:jc w:val="center"/>
    </w:pPr>
  </w:style>
  <w:style w:type="paragraph" w:styleId="775">
    <w:name w:val="Normal Indent"/>
    <w:basedOn w:val="760"/>
    <w:link w:val="970"/>
    <w:uiPriority w:val="0"/>
    <w:qFormat/>
    <w:pPr>
      <w:ind w:firstLine="420"/>
      <w:jc w:val="left"/>
    </w:pPr>
    <w:rPr>
      <w:rFonts w:ascii="Times New Roman" w:hAnsi="Times New Roman" w:eastAsia="楷体_GB2312" w:cs="Times New Roman"/>
      <w:sz w:val="24"/>
    </w:rPr>
  </w:style>
  <w:style w:type="paragraph" w:styleId="776">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Document Map"/>
    <w:basedOn w:val="760"/>
    <w:link w:val="971"/>
    <w:uiPriority w:val="0"/>
    <w:qFormat/>
    <w:pPr>
      <w:shd w:val="clear" w:color="auto" w:fill="000080"/>
    </w:pPr>
    <w:rPr>
      <w:rFonts w:cs="Times New Roman"/>
    </w:rPr>
  </w:style>
  <w:style w:type="paragraph" w:styleId="778">
    <w:name w:val="annotation text"/>
    <w:basedOn w:val="760"/>
    <w:link w:val="972"/>
    <w:uiPriority w:val="0"/>
    <w:qFormat/>
    <w:pPr>
      <w:jc w:val="left"/>
    </w:pPr>
    <w:rPr>
      <w:rFonts w:ascii="Times New Roman" w:hAnsi="Times New Roman" w:cs="Times New Roman"/>
    </w:rPr>
  </w:style>
  <w:style w:type="paragraph" w:styleId="779">
    <w:name w:val="Body Text"/>
    <w:basedOn w:val="760"/>
    <w:link w:val="973"/>
    <w:uiPriority w:val="0"/>
    <w:qFormat/>
    <w:pPr>
      <w:jc w:val="center"/>
    </w:pPr>
    <w:rPr>
      <w:rFonts w:ascii="方正大黑简体" w:eastAsia="方正大黑简体" w:cs="Times New Roman"/>
      <w:position w:val="6"/>
      <w:sz w:val="30"/>
    </w:rPr>
  </w:style>
  <w:style w:type="paragraph" w:styleId="780">
    <w:name w:val="Body Text Indent"/>
    <w:basedOn w:val="760"/>
    <w:next w:val="779"/>
    <w:link w:val="965"/>
    <w:uiPriority w:val="99"/>
    <w:qFormat/>
    <w:pPr>
      <w:ind w:left="570"/>
      <w:spacing w:line="520" w:lineRule="exact"/>
    </w:pPr>
    <w:rPr>
      <w:rFonts w:ascii="方正仿宋简体" w:hAnsi="创艺简仿宋" w:eastAsia="方正仿宋简体" w:cs="Times New Roman"/>
      <w:sz w:val="24"/>
    </w:rPr>
  </w:style>
  <w:style w:type="paragraph" w:styleId="781">
    <w:name w:val="toc 5"/>
    <w:basedOn w:val="760"/>
    <w:next w:val="760"/>
    <w:uiPriority w:val="39"/>
    <w:unhideWhenUsed/>
    <w:qFormat/>
    <w:pPr>
      <w:ind w:left="1680"/>
    </w:pPr>
    <w:rPr>
      <w:rFonts w:cs="Times New Roman"/>
      <w:szCs w:val="22"/>
    </w:rPr>
  </w:style>
  <w:style w:type="paragraph" w:styleId="782">
    <w:name w:val="toc 3"/>
    <w:basedOn w:val="760"/>
    <w:next w:val="760"/>
    <w:uiPriority w:val="39"/>
    <w:unhideWhenUsed/>
    <w:qFormat/>
    <w:pPr>
      <w:ind w:left="440"/>
      <w:jc w:val="left"/>
      <w:spacing w:after="100" w:line="276" w:lineRule="auto"/>
      <w:widowControl/>
    </w:pPr>
    <w:rPr>
      <w:rFonts w:cs="Times New Roman"/>
      <w:sz w:val="22"/>
      <w:szCs w:val="22"/>
    </w:rPr>
  </w:style>
  <w:style w:type="paragraph" w:styleId="783">
    <w:name w:val="Plain Text"/>
    <w:basedOn w:val="760"/>
    <w:link w:val="974"/>
    <w:uiPriority w:val="0"/>
    <w:qFormat/>
    <w:rPr>
      <w:rFonts w:ascii="宋体" w:hAnsi="Courier New" w:eastAsia="楷体_GB2312" w:cs="Times New Roman"/>
      <w:sz w:val="26"/>
    </w:rPr>
  </w:style>
  <w:style w:type="paragraph" w:styleId="784">
    <w:name w:val="toc 8"/>
    <w:basedOn w:val="760"/>
    <w:next w:val="760"/>
    <w:uiPriority w:val="39"/>
    <w:unhideWhenUsed/>
    <w:qFormat/>
    <w:pPr>
      <w:ind w:left="2940"/>
    </w:pPr>
    <w:rPr>
      <w:rFonts w:cs="Times New Roman"/>
      <w:szCs w:val="22"/>
    </w:rPr>
  </w:style>
  <w:style w:type="paragraph" w:styleId="785">
    <w:name w:val="Date"/>
    <w:basedOn w:val="760"/>
    <w:next w:val="760"/>
    <w:link w:val="975"/>
    <w:uiPriority w:val="0"/>
    <w:qFormat/>
    <w:rPr>
      <w:rFonts w:ascii="宋体" w:hAnsi="宋体" w:eastAsia="楷体_GB2312" w:cs="Times New Roman"/>
      <w:sz w:val="24"/>
    </w:rPr>
  </w:style>
  <w:style w:type="paragraph" w:styleId="786">
    <w:name w:val="Body Text Indent 2"/>
    <w:basedOn w:val="760"/>
    <w:link w:val="976"/>
    <w:uiPriority w:val="0"/>
    <w:qFormat/>
    <w:pPr>
      <w:ind w:firstLine="540"/>
      <w:spacing w:line="360" w:lineRule="auto"/>
    </w:pPr>
    <w:rPr>
      <w:rFonts w:ascii="宋体" w:hAnsi="宋体" w:cs="Times New Roman"/>
      <w:sz w:val="24"/>
    </w:rPr>
  </w:style>
  <w:style w:type="paragraph" w:styleId="787">
    <w:name w:val="endnote text"/>
    <w:basedOn w:val="760"/>
    <w:link w:val="961"/>
    <w:uiPriority w:val="99"/>
    <w:semiHidden/>
    <w:unhideWhenUsed/>
    <w:qFormat/>
    <w:pPr>
      <w:spacing w:after="0" w:line="240" w:lineRule="auto"/>
    </w:pPr>
    <w:rPr>
      <w:sz w:val="20"/>
    </w:rPr>
  </w:style>
  <w:style w:type="paragraph" w:styleId="788">
    <w:name w:val="Balloon Text"/>
    <w:basedOn w:val="760"/>
    <w:link w:val="977"/>
    <w:uiPriority w:val="0"/>
    <w:qFormat/>
    <w:rPr>
      <w:rFonts w:ascii="Times New Roman" w:hAnsi="Times New Roman" w:cs="Times New Roman"/>
      <w:sz w:val="18"/>
    </w:rPr>
  </w:style>
  <w:style w:type="paragraph" w:styleId="789">
    <w:name w:val="Footer"/>
    <w:basedOn w:val="760"/>
    <w:link w:val="978"/>
    <w:uiPriority w:val="99"/>
    <w:qFormat/>
    <w:pPr>
      <w:jc w:val="left"/>
      <w:tabs>
        <w:tab w:val="center" w:pos="4153" w:leader="none"/>
        <w:tab w:val="right" w:pos="8306" w:leader="none"/>
      </w:tabs>
    </w:pPr>
    <w:rPr>
      <w:rFonts w:ascii="Times New Roman" w:hAnsi="Times New Roman" w:cs="Times New Roman"/>
      <w:sz w:val="18"/>
    </w:rPr>
  </w:style>
  <w:style w:type="paragraph" w:styleId="790">
    <w:name w:val="envelope return"/>
    <w:basedOn w:val="760"/>
    <w:uiPriority w:val="99"/>
    <w:unhideWhenUsed/>
    <w:qFormat/>
    <w:rPr>
      <w:rFonts w:asciiTheme="majorHAnsi" w:hAnsiTheme="majorHAnsi" w:eastAsiaTheme="majorEastAsia" w:cstheme="majorBidi"/>
    </w:rPr>
  </w:style>
  <w:style w:type="paragraph" w:styleId="791">
    <w:name w:val="Header"/>
    <w:basedOn w:val="760"/>
    <w:link w:val="979"/>
    <w:uiPriority w:val="0"/>
    <w:qFormat/>
    <w:pPr>
      <w:jc w:val="center"/>
      <w:tabs>
        <w:tab w:val="center" w:pos="4153" w:leader="none"/>
        <w:tab w:val="right" w:pos="8306" w:leader="none"/>
      </w:tabs>
      <w:pBdr>
        <w:bottom w:val="single" w:color="auto" w:sz="6" w:space="1"/>
      </w:pBdr>
    </w:pPr>
    <w:rPr>
      <w:rFonts w:ascii="Times New Roman" w:hAnsi="Times New Roman" w:eastAsia="楷体_GB2312" w:cs="Times New Roman"/>
      <w:sz w:val="18"/>
    </w:rPr>
  </w:style>
  <w:style w:type="paragraph" w:styleId="792">
    <w:name w:val="toc 1"/>
    <w:basedOn w:val="760"/>
    <w:next w:val="760"/>
    <w:uiPriority w:val="39"/>
    <w:unhideWhenUsed/>
    <w:qFormat/>
    <w:rPr>
      <w:sz w:val="28"/>
    </w:rPr>
  </w:style>
  <w:style w:type="paragraph" w:styleId="793">
    <w:name w:val="toc 4"/>
    <w:basedOn w:val="760"/>
    <w:next w:val="760"/>
    <w:uiPriority w:val="39"/>
    <w:unhideWhenUsed/>
    <w:qFormat/>
    <w:pPr>
      <w:ind w:left="1260"/>
    </w:pPr>
    <w:rPr>
      <w:rFonts w:cs="Times New Roman"/>
      <w:szCs w:val="22"/>
    </w:rPr>
  </w:style>
  <w:style w:type="paragraph" w:styleId="794">
    <w:name w:val="Subtitle"/>
    <w:basedOn w:val="760"/>
    <w:next w:val="760"/>
    <w:link w:val="827"/>
    <w:uiPriority w:val="11"/>
    <w:qFormat/>
    <w:pPr>
      <w:spacing w:before="200" w:after="200"/>
    </w:pPr>
    <w:rPr>
      <w:sz w:val="24"/>
      <w:szCs w:val="24"/>
    </w:rPr>
  </w:style>
  <w:style w:type="paragraph" w:styleId="795">
    <w:name w:val="footnote text"/>
    <w:basedOn w:val="760"/>
    <w:link w:val="960"/>
    <w:uiPriority w:val="99"/>
    <w:semiHidden/>
    <w:unhideWhenUsed/>
    <w:qFormat/>
    <w:pPr>
      <w:spacing w:after="40" w:line="240" w:lineRule="auto"/>
    </w:pPr>
    <w:rPr>
      <w:sz w:val="18"/>
    </w:rPr>
  </w:style>
  <w:style w:type="paragraph" w:styleId="796">
    <w:name w:val="toc 6"/>
    <w:basedOn w:val="760"/>
    <w:next w:val="760"/>
    <w:uiPriority w:val="39"/>
    <w:unhideWhenUsed/>
    <w:qFormat/>
    <w:pPr>
      <w:ind w:left="2100"/>
    </w:pPr>
    <w:rPr>
      <w:rFonts w:cs="Times New Roman"/>
      <w:szCs w:val="22"/>
    </w:rPr>
  </w:style>
  <w:style w:type="paragraph" w:styleId="797">
    <w:name w:val="Body Text Indent 3"/>
    <w:basedOn w:val="760"/>
    <w:link w:val="980"/>
    <w:uiPriority w:val="0"/>
    <w:qFormat/>
    <w:pPr>
      <w:ind w:left="420"/>
      <w:spacing w:after="120"/>
    </w:pPr>
    <w:rPr>
      <w:rFonts w:cs="Times New Roman"/>
      <w:sz w:val="16"/>
    </w:rPr>
  </w:style>
  <w:style w:type="paragraph" w:styleId="798">
    <w:name w:val="table of figures"/>
    <w:basedOn w:val="760"/>
    <w:next w:val="760"/>
    <w:uiPriority w:val="99"/>
    <w:unhideWhenUsed/>
    <w:qFormat/>
    <w:pPr>
      <w:spacing w:after="0" w:afterAutospacing="0"/>
    </w:pPr>
  </w:style>
  <w:style w:type="paragraph" w:styleId="799">
    <w:name w:val="toc 2"/>
    <w:basedOn w:val="760"/>
    <w:next w:val="760"/>
    <w:uiPriority w:val="39"/>
    <w:unhideWhenUsed/>
    <w:qFormat/>
    <w:pPr>
      <w:ind w:left="220"/>
      <w:jc w:val="left"/>
      <w:spacing w:after="100" w:line="276" w:lineRule="auto"/>
      <w:widowControl/>
    </w:pPr>
    <w:rPr>
      <w:rFonts w:cs="Times New Roman"/>
      <w:sz w:val="22"/>
      <w:szCs w:val="22"/>
    </w:rPr>
  </w:style>
  <w:style w:type="paragraph" w:styleId="800">
    <w:name w:val="toc 9"/>
    <w:basedOn w:val="760"/>
    <w:next w:val="760"/>
    <w:uiPriority w:val="39"/>
    <w:unhideWhenUsed/>
    <w:qFormat/>
    <w:pPr>
      <w:ind w:left="3360"/>
    </w:pPr>
    <w:rPr>
      <w:rFonts w:cs="Times New Roman"/>
      <w:szCs w:val="22"/>
    </w:rPr>
  </w:style>
  <w:style w:type="paragraph" w:styleId="801">
    <w:name w:val="Body Text 2"/>
    <w:basedOn w:val="760"/>
    <w:link w:val="981"/>
    <w:uiPriority w:val="0"/>
    <w:qFormat/>
    <w:rPr>
      <w:rFonts w:ascii="仿宋_GB2312" w:hAnsi="宋体" w:eastAsia="仿宋_GB2312" w:cs="Times New Roman"/>
      <w:spacing w:val="20"/>
      <w:sz w:val="24"/>
    </w:rPr>
  </w:style>
  <w:style w:type="paragraph" w:styleId="802">
    <w:name w:val="HTML Preformatted"/>
    <w:basedOn w:val="760"/>
    <w:link w:val="98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paragraph" w:styleId="803">
    <w:name w:val="Normal (Web)"/>
    <w:basedOn w:val="760"/>
    <w:uiPriority w:val="0"/>
    <w:qFormat/>
    <w:pPr>
      <w:jc w:val="left"/>
      <w:spacing w:before="100" w:beforeAutospacing="1" w:after="100" w:afterAutospacing="1"/>
      <w:widowControl/>
    </w:pPr>
    <w:rPr>
      <w:rFonts w:ascii="宋体" w:hAnsi="宋体"/>
      <w:sz w:val="24"/>
      <w:szCs w:val="24"/>
    </w:rPr>
  </w:style>
  <w:style w:type="paragraph" w:styleId="804">
    <w:name w:val="Title"/>
    <w:next w:val="762"/>
    <w:link w:val="1084"/>
    <w:uiPriority w:val="0"/>
    <w:qFormat/>
    <w:pPr>
      <w:jc w:val="center"/>
      <w:spacing w:before="120" w:after="120" w:line="360" w:lineRule="auto"/>
      <w:outlineLvl w:val="0"/>
    </w:pPr>
    <w:rPr>
      <w:rFonts w:hint="default" w:ascii="Cambria" w:hAnsi="Cambria" w:eastAsia="宋体" w:cs="Times New Roman"/>
      <w:b/>
      <w:bCs/>
      <w:sz w:val="52"/>
      <w:szCs w:val="32"/>
      <w:lang w:val="en-US" w:eastAsia="zh-CN" w:bidi="ar-SA"/>
    </w:rPr>
  </w:style>
  <w:style w:type="paragraph" w:styleId="805">
    <w:name w:val="annotation subject"/>
    <w:basedOn w:val="778"/>
    <w:next w:val="778"/>
    <w:link w:val="983"/>
    <w:uiPriority w:val="0"/>
    <w:qFormat/>
    <w:rPr>
      <w:b/>
      <w:bCs/>
    </w:rPr>
  </w:style>
  <w:style w:type="paragraph" w:styleId="806">
    <w:name w:val="Body Text First Indent 2"/>
    <w:basedOn w:val="780"/>
    <w:link w:val="984"/>
    <w:uiPriority w:val="99"/>
    <w:unhideWhenUsed/>
    <w:qFormat/>
    <w:pPr>
      <w:ind w:firstLine="420"/>
    </w:pPr>
  </w:style>
  <w:style w:type="table" w:styleId="807">
    <w:name w:val="Table Grid"/>
    <w:basedOn w:val="77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8">
    <w:name w:val="Strong"/>
    <w:basedOn w:val="770"/>
    <w:uiPriority w:val="0"/>
    <w:qFormat/>
    <w:rPr>
      <w:b/>
    </w:rPr>
  </w:style>
  <w:style w:type="character" w:styleId="809">
    <w:name w:val="endnote reference"/>
    <w:uiPriority w:val="0"/>
    <w:qFormat/>
    <w:rPr>
      <w:rFonts w:ascii="Times New Roman" w:hAnsi="Times New Roman" w:eastAsia="宋体" w:cs="Times New Roman"/>
      <w:vertAlign w:val="superscript"/>
    </w:rPr>
  </w:style>
  <w:style w:type="character" w:styleId="810">
    <w:name w:val="page number"/>
    <w:basedOn w:val="770"/>
    <w:uiPriority w:val="99"/>
    <w:qFormat/>
  </w:style>
  <w:style w:type="character" w:styleId="811">
    <w:name w:val="FollowedHyperlink"/>
    <w:basedOn w:val="770"/>
    <w:uiPriority w:val="99"/>
    <w:semiHidden/>
    <w:unhideWhenUsed/>
    <w:qFormat/>
    <w:rPr>
      <w:color w:val="333333"/>
      <w:u w:val="none"/>
    </w:rPr>
  </w:style>
  <w:style w:type="character" w:styleId="812">
    <w:name w:val="Emphasis"/>
    <w:basedOn w:val="770"/>
    <w:uiPriority w:val="0"/>
    <w:qFormat/>
  </w:style>
  <w:style w:type="character" w:styleId="813">
    <w:name w:val="Hyperlink"/>
    <w:basedOn w:val="770"/>
    <w:uiPriority w:val="99"/>
    <w:qFormat/>
    <w:rPr>
      <w:color w:val="333333"/>
      <w:u w:val="none"/>
    </w:rPr>
  </w:style>
  <w:style w:type="character" w:styleId="814">
    <w:name w:val="annotation reference"/>
    <w:uiPriority w:val="0"/>
    <w:qFormat/>
    <w:rPr>
      <w:sz w:val="21"/>
      <w:szCs w:val="21"/>
    </w:rPr>
  </w:style>
  <w:style w:type="character" w:styleId="815">
    <w:name w:val="footnote reference"/>
    <w:basedOn w:val="770"/>
    <w:uiPriority w:val="99"/>
    <w:unhideWhenUsed/>
    <w:qFormat/>
    <w:rPr>
      <w:vertAlign w:val="superscript"/>
    </w:rPr>
  </w:style>
  <w:style w:type="character" w:styleId="816" w:customStyle="1">
    <w:name w:val="Heading 1 Char"/>
    <w:basedOn w:val="770"/>
    <w:uiPriority w:val="9"/>
    <w:qFormat/>
    <w:rPr>
      <w:rFonts w:ascii="Arial" w:hAnsi="Arial" w:eastAsia="Arial" w:cs="Arial"/>
      <w:sz w:val="40"/>
      <w:szCs w:val="40"/>
    </w:rPr>
  </w:style>
  <w:style w:type="character" w:styleId="817" w:customStyle="1">
    <w:name w:val="Heading 2 Char"/>
    <w:basedOn w:val="770"/>
    <w:uiPriority w:val="9"/>
    <w:rPr>
      <w:rFonts w:ascii="Arial" w:hAnsi="Arial" w:eastAsia="Arial" w:cs="Arial"/>
      <w:sz w:val="34"/>
    </w:rPr>
  </w:style>
  <w:style w:type="character" w:styleId="818" w:customStyle="1">
    <w:name w:val="Heading 3 Char"/>
    <w:basedOn w:val="770"/>
    <w:uiPriority w:val="9"/>
    <w:rPr>
      <w:rFonts w:ascii="Arial" w:hAnsi="Arial" w:eastAsia="Arial" w:cs="Arial"/>
      <w:sz w:val="30"/>
      <w:szCs w:val="30"/>
    </w:rPr>
  </w:style>
  <w:style w:type="character" w:styleId="819" w:customStyle="1">
    <w:name w:val="Heading 4 Char"/>
    <w:basedOn w:val="770"/>
    <w:uiPriority w:val="9"/>
    <w:qFormat/>
    <w:rPr>
      <w:rFonts w:ascii="Arial" w:hAnsi="Arial" w:eastAsia="Arial" w:cs="Arial"/>
      <w:b/>
      <w:bCs/>
      <w:sz w:val="26"/>
      <w:szCs w:val="26"/>
    </w:rPr>
  </w:style>
  <w:style w:type="character" w:styleId="820" w:customStyle="1">
    <w:name w:val="Heading 5 Char"/>
    <w:basedOn w:val="770"/>
    <w:uiPriority w:val="9"/>
    <w:qFormat/>
    <w:rPr>
      <w:rFonts w:ascii="Arial" w:hAnsi="Arial" w:eastAsia="Arial" w:cs="Arial"/>
      <w:b/>
      <w:bCs/>
      <w:sz w:val="24"/>
      <w:szCs w:val="24"/>
    </w:rPr>
  </w:style>
  <w:style w:type="character" w:styleId="821" w:customStyle="1">
    <w:name w:val="Heading 6 Char"/>
    <w:basedOn w:val="770"/>
    <w:uiPriority w:val="9"/>
    <w:qFormat/>
    <w:rPr>
      <w:rFonts w:ascii="Arial" w:hAnsi="Arial" w:eastAsia="Arial" w:cs="Arial"/>
      <w:b/>
      <w:bCs/>
      <w:sz w:val="22"/>
      <w:szCs w:val="22"/>
    </w:rPr>
  </w:style>
  <w:style w:type="character" w:styleId="822" w:customStyle="1">
    <w:name w:val="Heading 7 Char"/>
    <w:basedOn w:val="770"/>
    <w:uiPriority w:val="9"/>
    <w:qFormat/>
    <w:rPr>
      <w:rFonts w:ascii="Arial" w:hAnsi="Arial" w:eastAsia="Arial" w:cs="Arial"/>
      <w:b/>
      <w:bCs/>
      <w:i/>
      <w:iCs/>
      <w:sz w:val="22"/>
      <w:szCs w:val="22"/>
    </w:rPr>
  </w:style>
  <w:style w:type="character" w:styleId="823" w:customStyle="1">
    <w:name w:val="Heading 8 Char"/>
    <w:basedOn w:val="770"/>
    <w:link w:val="768"/>
    <w:uiPriority w:val="9"/>
    <w:qFormat/>
    <w:rPr>
      <w:rFonts w:ascii="Arial" w:hAnsi="Arial" w:eastAsia="Arial" w:cs="Arial"/>
      <w:i/>
      <w:iCs/>
      <w:sz w:val="22"/>
      <w:szCs w:val="22"/>
    </w:rPr>
  </w:style>
  <w:style w:type="character" w:styleId="824" w:customStyle="1">
    <w:name w:val="Heading 9 Char"/>
    <w:basedOn w:val="770"/>
    <w:link w:val="769"/>
    <w:uiPriority w:val="9"/>
    <w:qFormat/>
    <w:rPr>
      <w:rFonts w:ascii="Arial" w:hAnsi="Arial" w:eastAsia="Arial" w:cs="Arial"/>
      <w:i/>
      <w:iCs/>
      <w:sz w:val="21"/>
      <w:szCs w:val="21"/>
    </w:rPr>
  </w:style>
  <w:style w:type="paragraph" w:styleId="825">
    <w:name w:val="No Spacing"/>
    <w:uiPriority w:val="1"/>
    <w:qFormat/>
    <w:pPr>
      <w:spacing w:before="0" w:after="0" w:line="240" w:lineRule="auto"/>
    </w:pPr>
    <w:rPr>
      <w:rFonts w:hint="default" w:ascii="Times New Roman" w:hAnsi="Times New Roman" w:eastAsia="宋体" w:cs="Times New Roman"/>
    </w:rPr>
  </w:style>
  <w:style w:type="character" w:styleId="826" w:customStyle="1">
    <w:name w:val="Title Char"/>
    <w:basedOn w:val="770"/>
    <w:uiPriority w:val="10"/>
    <w:qFormat/>
    <w:rPr>
      <w:sz w:val="48"/>
      <w:szCs w:val="48"/>
    </w:rPr>
  </w:style>
  <w:style w:type="character" w:styleId="827" w:customStyle="1">
    <w:name w:val="Subtitle Char"/>
    <w:basedOn w:val="770"/>
    <w:link w:val="794"/>
    <w:uiPriority w:val="11"/>
    <w:qFormat/>
    <w:rPr>
      <w:sz w:val="24"/>
      <w:szCs w:val="24"/>
    </w:rPr>
  </w:style>
  <w:style w:type="paragraph" w:styleId="828">
    <w:name w:val="Quote"/>
    <w:basedOn w:val="760"/>
    <w:next w:val="760"/>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60"/>
    <w:next w:val="760"/>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character" w:styleId="832" w:customStyle="1">
    <w:name w:val="Header Char"/>
    <w:basedOn w:val="770"/>
    <w:uiPriority w:val="99"/>
    <w:qFormat/>
  </w:style>
  <w:style w:type="character" w:styleId="833" w:customStyle="1">
    <w:name w:val="Footer Char"/>
    <w:basedOn w:val="770"/>
    <w:uiPriority w:val="99"/>
    <w:qFormat/>
  </w:style>
  <w:style w:type="character" w:styleId="834" w:customStyle="1">
    <w:name w:val="Caption Char"/>
    <w:uiPriority w:val="99"/>
    <w:qFormat/>
  </w:style>
  <w:style w:type="table" w:styleId="835" w:customStyle="1">
    <w:name w:val="Table Grid Light"/>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7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4" w:customStyle="1">
    <w:name w:val="Grid Table 4 - Accent 2"/>
    <w:basedOn w:val="77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5" w:customStyle="1">
    <w:name w:val="Grid Table 4 - Accent 3"/>
    <w:basedOn w:val="77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6" w:customStyle="1">
    <w:name w:val="Grid Table 4 - Accent 4"/>
    <w:basedOn w:val="77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basedOn w:val="77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basedOn w:val="77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7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7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0" w:customStyle="1">
    <w:name w:val="Grid Table 6 Colorful - Accent 4"/>
    <w:basedOn w:val="7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7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basedOn w:val="77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7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7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7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7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7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7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7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7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7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7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7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7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7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basedOn w:val="77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basedOn w:val="77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basedOn w:val="77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basedOn w:val="77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basedOn w:val="77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7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basedOn w:val="7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7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7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7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7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basedOn w:val="77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basedOn w:val="77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basedOn w:val="77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basedOn w:val="77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basedOn w:val="77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7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7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7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7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7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7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7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7" w:customStyle="1">
    <w:name w:val="List Table 6 Colorful - Accent 2"/>
    <w:basedOn w:val="77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8" w:customStyle="1">
    <w:name w:val="List Table 6 Colorful - Accent 3"/>
    <w:basedOn w:val="77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9" w:customStyle="1">
    <w:name w:val="List Table 6 Colorful - Accent 4"/>
    <w:basedOn w:val="77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0" w:customStyle="1">
    <w:name w:val="List Table 6 Colorful - Accent 5"/>
    <w:basedOn w:val="77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1" w:customStyle="1">
    <w:name w:val="List Table 6 Colorful - Accent 6"/>
    <w:basedOn w:val="77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2"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7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7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7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7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7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7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basedOn w:val="7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7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basedOn w:val="77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basedOn w:val="77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basedOn w:val="77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basedOn w:val="77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basedOn w:val="77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basedOn w:val="7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basedOn w:val="7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basedOn w:val="7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basedOn w:val="7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basedOn w:val="7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basedOn w:val="7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Footnote Text Char"/>
    <w:link w:val="795"/>
    <w:uiPriority w:val="99"/>
    <w:qFormat/>
    <w:rPr>
      <w:sz w:val="18"/>
    </w:rPr>
  </w:style>
  <w:style w:type="character" w:styleId="961" w:customStyle="1">
    <w:name w:val="Endnote Text Char"/>
    <w:link w:val="787"/>
    <w:uiPriority w:val="99"/>
    <w:qFormat/>
    <w:rPr>
      <w:sz w:val="20"/>
    </w:rPr>
  </w:style>
  <w:style w:type="paragraph" w:styleId="962" w:customStyle="1">
    <w:name w:val="TOC Heading"/>
    <w:uiPriority w:val="39"/>
    <w:unhideWhenUsed/>
    <w:qFormat/>
    <w:rPr>
      <w:rFonts w:hint="default" w:ascii="Times New Roman" w:hAnsi="Times New Roman" w:eastAsia="宋体" w:cs="Times New Roman"/>
    </w:rPr>
  </w:style>
  <w:style w:type="paragraph" w:styleId="963" w:customStyle="1">
    <w:name w:val="段"/>
    <w:next w:val="76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64" w:customStyle="1">
    <w:name w:val="正文2"/>
    <w:basedOn w:val="760"/>
    <w:uiPriority w:val="0"/>
    <w:qFormat/>
    <w:pPr>
      <w:ind w:firstLine="200"/>
      <w:spacing w:line="360" w:lineRule="auto"/>
    </w:pPr>
  </w:style>
  <w:style w:type="character" w:styleId="965" w:customStyle="1">
    <w:name w:val="正文文本缩进 Char"/>
    <w:link w:val="780"/>
    <w:uiPriority w:val="99"/>
    <w:qFormat/>
    <w:rPr>
      <w:rFonts w:ascii="方正仿宋简体" w:hAnsi="创艺简仿宋" w:eastAsia="方正仿宋简体" w:cs="宋体"/>
      <w:sz w:val="24"/>
    </w:rPr>
  </w:style>
  <w:style w:type="character" w:styleId="966" w:customStyle="1">
    <w:name w:val="标题 1 Char1"/>
    <w:link w:val="761"/>
    <w:uiPriority w:val="9"/>
    <w:qFormat/>
    <w:rPr>
      <w:rFonts w:ascii="Times New Roman" w:hAnsi="Times New Roman" w:eastAsia="宋体"/>
      <w:b/>
      <w:bCs/>
      <w:sz w:val="32"/>
      <w:szCs w:val="44"/>
    </w:rPr>
  </w:style>
  <w:style w:type="character" w:styleId="967" w:customStyle="1">
    <w:name w:val="标题 2 Char"/>
    <w:link w:val="762"/>
    <w:uiPriority w:val="0"/>
    <w:qFormat/>
    <w:rPr>
      <w:rFonts w:ascii="Arial" w:hAnsi="Arial"/>
      <w:b/>
      <w:bCs/>
      <w:sz w:val="24"/>
      <w:szCs w:val="32"/>
    </w:rPr>
  </w:style>
  <w:style w:type="character" w:styleId="968" w:customStyle="1">
    <w:name w:val="标题 3 Char"/>
    <w:link w:val="763"/>
    <w:uiPriority w:val="0"/>
    <w:qFormat/>
    <w:rPr>
      <w:b/>
      <w:bCs/>
      <w:sz w:val="24"/>
      <w:szCs w:val="32"/>
    </w:rPr>
  </w:style>
  <w:style w:type="character" w:styleId="969" w:customStyle="1">
    <w:name w:val="标题 4 Char"/>
    <w:link w:val="764"/>
    <w:uiPriority w:val="0"/>
    <w:qFormat/>
    <w:rPr>
      <w:rFonts w:ascii="宋体" w:hAnsi="宋体" w:cs="宋体"/>
      <w:b/>
      <w:sz w:val="24"/>
      <w:u w:val="single"/>
    </w:rPr>
  </w:style>
  <w:style w:type="character" w:styleId="970" w:customStyle="1">
    <w:name w:val="正文缩进 Char"/>
    <w:link w:val="775"/>
    <w:uiPriority w:val="0"/>
    <w:qFormat/>
    <w:rPr>
      <w:rFonts w:eastAsia="楷体_GB2312"/>
      <w:sz w:val="24"/>
      <w:lang w:val="en-US" w:eastAsia="zh-CN" w:bidi="ar-SA"/>
    </w:rPr>
  </w:style>
  <w:style w:type="character" w:styleId="971" w:customStyle="1">
    <w:name w:val="文档结构图 Char"/>
    <w:link w:val="777"/>
    <w:uiPriority w:val="0"/>
    <w:semiHidden/>
    <w:qFormat/>
    <w:rPr>
      <w:rFonts w:ascii="Calibri" w:hAnsi="Calibri" w:cs="宋体"/>
      <w:sz w:val="21"/>
      <w:shd w:val="clear" w:color="auto" w:fill="000080"/>
    </w:rPr>
  </w:style>
  <w:style w:type="character" w:styleId="972" w:customStyle="1">
    <w:name w:val="批注文字 Char"/>
    <w:link w:val="778"/>
    <w:uiPriority w:val="0"/>
    <w:qFormat/>
    <w:rPr>
      <w:sz w:val="21"/>
    </w:rPr>
  </w:style>
  <w:style w:type="character" w:styleId="973" w:customStyle="1">
    <w:name w:val="正文文本 Char"/>
    <w:link w:val="779"/>
    <w:uiPriority w:val="0"/>
    <w:qFormat/>
    <w:rPr>
      <w:rFonts w:ascii="方正大黑简体" w:hAnsi="Calibri" w:eastAsia="方正大黑简体" w:cs="宋体"/>
      <w:position w:val="6"/>
      <w:sz w:val="30"/>
    </w:rPr>
  </w:style>
  <w:style w:type="character" w:styleId="974" w:customStyle="1">
    <w:name w:val="纯文本 Char"/>
    <w:link w:val="783"/>
    <w:uiPriority w:val="0"/>
    <w:qFormat/>
    <w:rPr>
      <w:rFonts w:ascii="宋体" w:hAnsi="Courier New" w:eastAsia="楷体_GB2312"/>
      <w:sz w:val="26"/>
      <w:lang w:val="en-US" w:eastAsia="zh-CN" w:bidi="ar-SA"/>
    </w:rPr>
  </w:style>
  <w:style w:type="character" w:styleId="975" w:customStyle="1">
    <w:name w:val="日期 Char"/>
    <w:link w:val="785"/>
    <w:uiPriority w:val="0"/>
    <w:qFormat/>
    <w:rPr>
      <w:rFonts w:ascii="宋体" w:hAnsi="宋体" w:eastAsia="楷体_GB2312" w:cs="宋体"/>
      <w:sz w:val="24"/>
    </w:rPr>
  </w:style>
  <w:style w:type="character" w:styleId="976" w:customStyle="1">
    <w:name w:val="正文文本缩进 2 Char"/>
    <w:link w:val="786"/>
    <w:uiPriority w:val="0"/>
    <w:qFormat/>
    <w:rPr>
      <w:rFonts w:ascii="宋体" w:hAnsi="宋体" w:cs="宋体"/>
      <w:sz w:val="24"/>
    </w:rPr>
  </w:style>
  <w:style w:type="character" w:styleId="977" w:customStyle="1">
    <w:name w:val="批注框文本 Char1"/>
    <w:link w:val="788"/>
    <w:uiPriority w:val="0"/>
    <w:qFormat/>
    <w:rPr>
      <w:rFonts w:eastAsia="宋体"/>
      <w:sz w:val="18"/>
      <w:lang w:val="en-US" w:eastAsia="zh-CN" w:bidi="ar-SA"/>
    </w:rPr>
  </w:style>
  <w:style w:type="character" w:styleId="978" w:customStyle="1">
    <w:name w:val="页脚 Char"/>
    <w:link w:val="789"/>
    <w:uiPriority w:val="99"/>
    <w:qFormat/>
    <w:rPr>
      <w:sz w:val="18"/>
    </w:rPr>
  </w:style>
  <w:style w:type="character" w:styleId="979" w:customStyle="1">
    <w:name w:val="页眉 Char"/>
    <w:link w:val="791"/>
    <w:uiPriority w:val="0"/>
    <w:qFormat/>
    <w:rPr>
      <w:rFonts w:eastAsia="楷体_GB2312"/>
      <w:sz w:val="18"/>
    </w:rPr>
  </w:style>
  <w:style w:type="character" w:styleId="980" w:customStyle="1">
    <w:name w:val="正文文本缩进 3 Char"/>
    <w:link w:val="797"/>
    <w:uiPriority w:val="0"/>
    <w:qFormat/>
    <w:rPr>
      <w:rFonts w:ascii="Calibri" w:hAnsi="Calibri" w:cs="宋体"/>
      <w:sz w:val="16"/>
    </w:rPr>
  </w:style>
  <w:style w:type="character" w:styleId="981" w:customStyle="1">
    <w:name w:val="正文文本 2 Char"/>
    <w:link w:val="801"/>
    <w:uiPriority w:val="0"/>
    <w:qFormat/>
    <w:rPr>
      <w:rFonts w:ascii="仿宋_GB2312" w:hAnsi="宋体" w:eastAsia="仿宋_GB2312" w:cs="宋体"/>
      <w:spacing w:val="20"/>
      <w:sz w:val="24"/>
    </w:rPr>
  </w:style>
  <w:style w:type="character" w:styleId="982" w:customStyle="1">
    <w:name w:val="HTML 预设格式 Char"/>
    <w:link w:val="802"/>
    <w:uiPriority w:val="99"/>
    <w:qFormat/>
    <w:rPr>
      <w:rFonts w:ascii="黑体" w:hAnsi="Courier New" w:eastAsia="黑体" w:cs="楷体_GB2312"/>
    </w:rPr>
  </w:style>
  <w:style w:type="character" w:styleId="983" w:customStyle="1">
    <w:name w:val="批注主题 Char"/>
    <w:link w:val="805"/>
    <w:uiPriority w:val="0"/>
    <w:qFormat/>
    <w:rPr>
      <w:b/>
      <w:bCs/>
      <w:sz w:val="21"/>
    </w:rPr>
  </w:style>
  <w:style w:type="character" w:styleId="984" w:customStyle="1">
    <w:name w:val="正文首行缩进 2 Char"/>
    <w:link w:val="806"/>
    <w:uiPriority w:val="99"/>
    <w:qFormat/>
    <w:rPr>
      <w:rFonts w:ascii="方正仿宋简体" w:hAnsi="创艺简仿宋" w:eastAsia="方正仿宋简体" w:cs="宋体"/>
      <w:sz w:val="24"/>
    </w:rPr>
  </w:style>
  <w:style w:type="character" w:styleId="985" w:customStyle="1">
    <w:name w:val="font11"/>
    <w:uiPriority w:val="0"/>
    <w:qFormat/>
    <w:rPr>
      <w:rFonts w:hint="eastAsia" w:ascii="宋体" w:hAnsi="宋体" w:eastAsia="宋体" w:cs="宋体"/>
      <w:color w:val="000000"/>
      <w:sz w:val="22"/>
      <w:szCs w:val="22"/>
      <w:u w:val="none"/>
    </w:rPr>
  </w:style>
  <w:style w:type="character" w:styleId="986" w:customStyle="1">
    <w:name w:val="Plain Text Char"/>
    <w:link w:val="987"/>
    <w:uiPriority w:val="0"/>
    <w:qFormat/>
    <w:rPr>
      <w:rFonts w:ascii="宋体" w:hAnsi="Courier New" w:eastAsia="楷体_GB2312"/>
      <w:sz w:val="28"/>
    </w:rPr>
  </w:style>
  <w:style w:type="paragraph" w:styleId="987" w:customStyle="1">
    <w:name w:val="纯文本1"/>
    <w:basedOn w:val="760"/>
    <w:link w:val="986"/>
    <w:uiPriority w:val="99"/>
    <w:qFormat/>
    <w:rPr>
      <w:rFonts w:ascii="宋体" w:hAnsi="Courier New" w:eastAsia="楷体_GB2312" w:cs="Times New Roman"/>
      <w:sz w:val="28"/>
    </w:rPr>
  </w:style>
  <w:style w:type="character" w:styleId="988" w:customStyle="1">
    <w:name w:val="标题 1 Char"/>
    <w:uiPriority w:val="0"/>
    <w:qFormat/>
    <w:rPr>
      <w:rFonts w:eastAsia="楷体_GB2312"/>
      <w:b/>
      <w:sz w:val="44"/>
      <w:lang w:val="en-US" w:eastAsia="zh-CN" w:bidi="ar-SA"/>
    </w:rPr>
  </w:style>
  <w:style w:type="character" w:styleId="989" w:customStyle="1">
    <w:name w:val="font61"/>
    <w:uiPriority w:val="0"/>
    <w:qFormat/>
    <w:rPr>
      <w:rFonts w:hint="default" w:ascii="font-weight : 400" w:hAnsi="font-weight : 400" w:eastAsia="font-weight : 400" w:cs="font-weight : 400"/>
      <w:color w:val="000000"/>
      <w:sz w:val="22"/>
      <w:szCs w:val="22"/>
      <w:u w:val="none"/>
    </w:rPr>
  </w:style>
  <w:style w:type="character" w:styleId="990" w:customStyle="1">
    <w:name w:val="font131"/>
    <w:uiPriority w:val="0"/>
    <w:qFormat/>
    <w:rPr>
      <w:rFonts w:hint="eastAsia" w:ascii="宋体" w:hAnsi="宋体" w:eastAsia="宋体" w:cs="宋体"/>
      <w:color w:val="ff0000"/>
      <w:sz w:val="18"/>
      <w:szCs w:val="18"/>
      <w:u w:val="none"/>
    </w:rPr>
  </w:style>
  <w:style w:type="character" w:styleId="991" w:customStyle="1">
    <w:name w:val="font101"/>
    <w:uiPriority w:val="0"/>
    <w:qFormat/>
    <w:rPr>
      <w:rFonts w:ascii="font-weight : 400" w:hAnsi="font-weight : 400" w:eastAsia="font-weight : 400" w:cs="font-weight : 400"/>
      <w:color w:val="000000"/>
      <w:sz w:val="20"/>
      <w:szCs w:val="20"/>
      <w:u w:val="none"/>
    </w:rPr>
  </w:style>
  <w:style w:type="character" w:styleId="992" w:customStyle="1">
    <w:name w:val="font41"/>
    <w:uiPriority w:val="0"/>
    <w:qFormat/>
    <w:rPr>
      <w:rFonts w:hint="eastAsia" w:ascii="宋体" w:hAnsi="宋体" w:eastAsia="宋体" w:cs="宋体"/>
      <w:color w:val="000000"/>
      <w:sz w:val="22"/>
      <w:szCs w:val="22"/>
      <w:u w:val="none"/>
    </w:rPr>
  </w:style>
  <w:style w:type="character" w:styleId="993" w:customStyle="1">
    <w:name w:val="font71"/>
    <w:uiPriority w:val="0"/>
    <w:qFormat/>
    <w:rPr>
      <w:rFonts w:hint="default" w:ascii="font-weight : 400" w:hAnsi="font-weight : 400" w:eastAsia="font-weight : 400" w:cs="font-weight : 400"/>
      <w:color w:val="000000"/>
      <w:sz w:val="22"/>
      <w:szCs w:val="22"/>
      <w:u w:val="none"/>
      <w:vertAlign w:val="superscript"/>
    </w:rPr>
  </w:style>
  <w:style w:type="character" w:styleId="994" w:customStyle="1">
    <w:name w:val="font161"/>
    <w:uiPriority w:val="0"/>
    <w:qFormat/>
    <w:rPr>
      <w:rFonts w:hint="eastAsia" w:ascii="宋体" w:hAnsi="宋体" w:eastAsia="宋体" w:cs="宋体"/>
      <w:color w:val="000000"/>
      <w:sz w:val="22"/>
      <w:szCs w:val="22"/>
      <w:u w:val="none"/>
    </w:rPr>
  </w:style>
  <w:style w:type="character" w:styleId="995" w:customStyle="1">
    <w:name w:val="_正文段落 Char"/>
    <w:link w:val="996"/>
    <w:uiPriority w:val="0"/>
    <w:qFormat/>
    <w:rPr>
      <w:rFonts w:ascii="宋体" w:hAnsi="宋体"/>
      <w:sz w:val="24"/>
      <w:szCs w:val="24"/>
    </w:rPr>
  </w:style>
  <w:style w:type="paragraph" w:styleId="996" w:customStyle="1">
    <w:name w:val="_正文段落"/>
    <w:basedOn w:val="760"/>
    <w:next w:val="760"/>
    <w:link w:val="995"/>
    <w:uiPriority w:val="0"/>
    <w:qFormat/>
    <w:pPr>
      <w:ind w:firstLine="200"/>
      <w:spacing w:line="360" w:lineRule="auto"/>
    </w:pPr>
    <w:rPr>
      <w:rFonts w:ascii="宋体" w:hAnsi="宋体" w:cs="Times New Roman"/>
      <w:sz w:val="24"/>
      <w:szCs w:val="24"/>
    </w:rPr>
  </w:style>
  <w:style w:type="character" w:styleId="997" w:customStyle="1">
    <w:name w:val="访问过的超链接1"/>
    <w:uiPriority w:val="99"/>
    <w:qFormat/>
    <w:rPr>
      <w:color w:val="800080"/>
      <w:u w:val="single"/>
    </w:rPr>
  </w:style>
  <w:style w:type="character" w:styleId="998" w:customStyle="1">
    <w:name w:val="font81"/>
    <w:uiPriority w:val="0"/>
    <w:qFormat/>
    <w:rPr>
      <w:rFonts w:ascii="font-weight : 400" w:hAnsi="font-weight : 400" w:eastAsia="font-weight : 400" w:cs="font-weight : 400"/>
      <w:color w:val="000000"/>
      <w:sz w:val="22"/>
      <w:szCs w:val="22"/>
      <w:u w:val="none"/>
      <w:vertAlign w:val="superscript"/>
    </w:rPr>
  </w:style>
  <w:style w:type="character" w:styleId="999" w:customStyle="1">
    <w:name w:val="s1"/>
    <w:basedOn w:val="770"/>
    <w:uiPriority w:val="0"/>
    <w:qFormat/>
  </w:style>
  <w:style w:type="character" w:styleId="1000" w:customStyle="1">
    <w:name w:val="font01"/>
    <w:uiPriority w:val="0"/>
    <w:qFormat/>
    <w:rPr>
      <w:rFonts w:hint="eastAsia" w:ascii="宋体" w:hAnsi="宋体" w:eastAsia="宋体" w:cs="宋体"/>
      <w:color w:val="000000"/>
      <w:sz w:val="22"/>
      <w:szCs w:val="22"/>
      <w:u w:val="none"/>
    </w:rPr>
  </w:style>
  <w:style w:type="character" w:styleId="1001" w:customStyle="1">
    <w:name w:val="font121"/>
    <w:uiPriority w:val="0"/>
    <w:qFormat/>
    <w:rPr>
      <w:rFonts w:hint="eastAsia" w:ascii="宋体" w:hAnsi="宋体" w:eastAsia="宋体" w:cs="宋体"/>
      <w:color w:val="000000"/>
      <w:sz w:val="18"/>
      <w:szCs w:val="18"/>
      <w:u w:val="none"/>
    </w:rPr>
  </w:style>
  <w:style w:type="character" w:styleId="1002" w:customStyle="1">
    <w:name w:val="Plain Text Char Char"/>
    <w:link w:val="1003"/>
    <w:uiPriority w:val="0"/>
    <w:qFormat/>
    <w:rPr>
      <w:rFonts w:ascii="宋体" w:hAnsi="Courier New" w:eastAsia="楷体_GB2312"/>
      <w:sz w:val="28"/>
    </w:rPr>
  </w:style>
  <w:style w:type="paragraph" w:styleId="1003" w:customStyle="1">
    <w:name w:val="Plain Text1"/>
    <w:basedOn w:val="760"/>
    <w:link w:val="1002"/>
    <w:uiPriority w:val="0"/>
    <w:qFormat/>
    <w:rPr>
      <w:rFonts w:ascii="宋体" w:hAnsi="Courier New" w:eastAsia="楷体_GB2312" w:cs="Times New Roman"/>
      <w:sz w:val="28"/>
    </w:rPr>
  </w:style>
  <w:style w:type="character" w:styleId="1004" w:customStyle="1">
    <w:name w:val="font141"/>
    <w:uiPriority w:val="0"/>
    <w:qFormat/>
    <w:rPr>
      <w:rFonts w:hint="eastAsia" w:ascii="宋体" w:hAnsi="宋体" w:eastAsia="宋体" w:cs="宋体"/>
      <w:color w:val="ff0000"/>
      <w:sz w:val="18"/>
      <w:szCs w:val="18"/>
      <w:u w:val="none"/>
    </w:rPr>
  </w:style>
  <w:style w:type="character" w:styleId="1005" w:customStyle="1">
    <w:name w:val="font51"/>
    <w:uiPriority w:val="0"/>
    <w:qFormat/>
    <w:rPr>
      <w:rFonts w:hint="eastAsia" w:ascii="宋体" w:hAnsi="宋体" w:eastAsia="宋体" w:cs="宋体"/>
      <w:color w:val="000000"/>
      <w:sz w:val="22"/>
      <w:szCs w:val="22"/>
      <w:u w:val="none"/>
    </w:rPr>
  </w:style>
  <w:style w:type="character" w:styleId="1006" w:customStyle="1">
    <w:name w:val="font31"/>
    <w:uiPriority w:val="0"/>
    <w:qFormat/>
    <w:rPr>
      <w:rFonts w:hint="eastAsia" w:ascii="宋体" w:hAnsi="宋体" w:eastAsia="宋体" w:cs="宋体"/>
      <w:color w:val="000000"/>
      <w:sz w:val="22"/>
      <w:szCs w:val="22"/>
      <w:u w:val="none"/>
    </w:rPr>
  </w:style>
  <w:style w:type="character" w:styleId="1007" w:customStyle="1">
    <w:name w:val="font21"/>
    <w:uiPriority w:val="0"/>
    <w:qFormat/>
    <w:rPr>
      <w:rFonts w:hint="eastAsia" w:ascii="宋体" w:hAnsi="宋体" w:eastAsia="宋体" w:cs="宋体"/>
      <w:color w:val="000000"/>
      <w:sz w:val="22"/>
      <w:szCs w:val="22"/>
      <w:u w:val="none"/>
    </w:rPr>
  </w:style>
  <w:style w:type="character" w:styleId="1008" w:customStyle="1">
    <w:name w:val="font151"/>
    <w:uiPriority w:val="0"/>
    <w:qFormat/>
    <w:rPr>
      <w:rFonts w:hint="eastAsia" w:ascii="宋体" w:hAnsi="宋体" w:eastAsia="宋体" w:cs="宋体"/>
      <w:color w:val="000000"/>
      <w:sz w:val="20"/>
      <w:szCs w:val="20"/>
      <w:u w:val="none"/>
    </w:rPr>
  </w:style>
  <w:style w:type="paragraph" w:styleId="1009" w:customStyle="1">
    <w:name w:val="p1"/>
    <w:basedOn w:val="760"/>
    <w:uiPriority w:val="0"/>
    <w:qFormat/>
    <w:pPr>
      <w:jc w:val="left"/>
      <w:spacing w:before="100" w:beforeAutospacing="1" w:after="100" w:afterAutospacing="1"/>
      <w:widowControl/>
    </w:pPr>
    <w:rPr>
      <w:rFonts w:ascii="宋体" w:hAnsi="宋体"/>
      <w:sz w:val="24"/>
      <w:szCs w:val="24"/>
    </w:rPr>
  </w:style>
  <w:style w:type="paragraph" w:styleId="1010" w:customStyle="1">
    <w:name w:val="Char1"/>
    <w:basedOn w:val="760"/>
    <w:uiPriority w:val="0"/>
    <w:qFormat/>
    <w:rPr>
      <w:sz w:val="24"/>
      <w:szCs w:val="24"/>
    </w:rPr>
  </w:style>
  <w:style w:type="paragraph" w:styleId="1011">
    <w:name w:val="List Paragraph"/>
    <w:basedOn w:val="760"/>
    <w:link w:val="1095"/>
    <w:uiPriority w:val="34"/>
    <w:qFormat/>
    <w:pPr>
      <w:ind w:firstLine="420"/>
    </w:pPr>
    <w:rPr>
      <w:szCs w:val="22"/>
    </w:rPr>
  </w:style>
  <w:style w:type="paragraph" w:styleId="1012" w:customStyle="1">
    <w:name w:val="纯文本3"/>
    <w:basedOn w:val="760"/>
    <w:uiPriority w:val="0"/>
    <w:qFormat/>
    <w:rPr>
      <w:rFonts w:hint="eastAsia" w:ascii="宋体" w:hAnsi="Courier New" w:eastAsia="楷体_GB2312"/>
      <w:sz w:val="28"/>
    </w:rPr>
  </w:style>
  <w:style w:type="paragraph" w:styleId="1013" w:customStyle="1">
    <w:name w:val="正文 A"/>
    <w:uiPriority w:val="0"/>
    <w:qFormat/>
    <w:pPr>
      <w:jc w:val="both"/>
      <w:widowControl w:val="off"/>
    </w:pPr>
    <w:rPr>
      <w:rFonts w:hint="default" w:ascii="Arial Unicode MS" w:hAnsi="Calibri" w:eastAsia="Times New Roman" w:cs="Arial Unicode MS"/>
      <w:color w:val="000000"/>
      <w:sz w:val="21"/>
      <w:szCs w:val="21"/>
      <w:lang w:val="en-US" w:eastAsia="zh-CN" w:bidi="ar-SA"/>
    </w:rPr>
  </w:style>
  <w:style w:type="paragraph" w:styleId="1014" w:customStyle="1">
    <w:name w:val="列出段落1"/>
    <w:basedOn w:val="760"/>
    <w:uiPriority w:val="0"/>
    <w:qFormat/>
    <w:pPr>
      <w:ind w:firstLine="420"/>
      <w:jc w:val="left"/>
      <w:widowControl/>
    </w:pPr>
    <w:rPr>
      <w:sz w:val="24"/>
    </w:rPr>
  </w:style>
  <w:style w:type="paragraph" w:styleId="1015" w:customStyle="1">
    <w:name w:val="dt4"/>
    <w:basedOn w:val="760"/>
    <w:uiPriority w:val="0"/>
    <w:qFormat/>
    <w:pPr>
      <w:jc w:val="left"/>
    </w:pPr>
    <w:rPr>
      <w:rFonts w:cs="Times New Roman"/>
    </w:rPr>
  </w:style>
  <w:style w:type="paragraph" w:styleId="1016" w:customStyle="1">
    <w:name w:val="Char Char Char Char Char Char Char Char Char1 Char"/>
    <w:basedOn w:val="777"/>
    <w:uiPriority w:val="0"/>
    <w:qFormat/>
    <w:pPr>
      <w:spacing w:line="360" w:lineRule="auto"/>
    </w:pPr>
    <w:rPr>
      <w:szCs w:val="24"/>
    </w:rPr>
  </w:style>
  <w:style w:type="paragraph" w:styleId="1017" w:customStyle="1">
    <w:name w:val="Char"/>
    <w:basedOn w:val="760"/>
    <w:uiPriority w:val="0"/>
    <w:qFormat/>
    <w:pPr>
      <w:jc w:val="left"/>
      <w:spacing w:after="160" w:line="240" w:lineRule="exact"/>
      <w:widowControl/>
    </w:pPr>
    <w:rPr>
      <w:rFonts w:ascii="Verdana" w:hAnsi="Verdana"/>
      <w:lang w:eastAsia="en-US"/>
    </w:rPr>
  </w:style>
  <w:style w:type="paragraph" w:styleId="1018" w:customStyle="1">
    <w:name w:val="List Paragraph1"/>
    <w:basedOn w:val="760"/>
    <w:link w:val="1112"/>
    <w:uiPriority w:val="34"/>
    <w:qFormat/>
    <w:pPr>
      <w:ind w:firstLine="420"/>
    </w:pPr>
  </w:style>
  <w:style w:type="paragraph" w:styleId="1019" w:customStyle="1">
    <w:name w:val="p0"/>
    <w:basedOn w:val="760"/>
    <w:uiPriority w:val="0"/>
    <w:qFormat/>
    <w:pPr>
      <w:widowControl/>
    </w:pPr>
  </w:style>
  <w:style w:type="paragraph" w:styleId="1020" w:customStyle="1">
    <w:name w:val="纯文本11"/>
    <w:basedOn w:val="760"/>
    <w:uiPriority w:val="0"/>
    <w:qFormat/>
    <w:rPr>
      <w:rFonts w:hint="eastAsia" w:ascii="宋体" w:hAnsi="Courier New" w:eastAsia="楷体_GB2312"/>
      <w:sz w:val="28"/>
    </w:rPr>
  </w:style>
  <w:style w:type="paragraph" w:styleId="1021" w:customStyle="1">
    <w:name w:val="Char Char Char Char"/>
    <w:basedOn w:val="777"/>
    <w:uiPriority w:val="0"/>
    <w:qFormat/>
    <w:pPr>
      <w:spacing w:line="360" w:lineRule="auto"/>
    </w:pPr>
  </w:style>
  <w:style w:type="paragraph" w:styleId="1022" w:customStyle="1">
    <w:name w:val="dt2"/>
    <w:basedOn w:val="760"/>
    <w:uiPriority w:val="0"/>
    <w:qFormat/>
    <w:pPr>
      <w:jc w:val="left"/>
    </w:pPr>
    <w:rPr>
      <w:rFonts w:cs="Times New Roman"/>
    </w:rPr>
  </w:style>
  <w:style w:type="paragraph" w:styleId="1023" w:customStyle="1">
    <w:name w:val="dt"/>
    <w:basedOn w:val="760"/>
    <w:uiPriority w:val="0"/>
    <w:qFormat/>
    <w:pPr>
      <w:ind w:right="75"/>
      <w:jc w:val="center"/>
      <w:spacing w:line="720" w:lineRule="atLeast"/>
      <w:pBdr>
        <w:top w:val="single" w:color="FFFFFF" w:sz="6" w:space="0"/>
        <w:left w:val="single" w:color="FFFFFF" w:sz="6" w:space="0"/>
        <w:bottom w:val="single" w:color="FFFFFF" w:sz="6" w:space="0"/>
        <w:right w:val="single" w:color="FFFFFF" w:sz="6" w:space="0"/>
      </w:pBdr>
    </w:pPr>
    <w:rPr>
      <w:rFonts w:ascii="Arial" w:hAnsi="Arial" w:cs="Times New Roman"/>
      <w:color w:val="cccccc"/>
      <w:sz w:val="54"/>
      <w:szCs w:val="54"/>
    </w:rPr>
  </w:style>
  <w:style w:type="paragraph" w:styleId="1024" w:customStyle="1">
    <w:name w:val="dd"/>
    <w:basedOn w:val="760"/>
    <w:uiPriority w:val="0"/>
    <w:qFormat/>
    <w:pPr>
      <w:jc w:val="left"/>
    </w:pPr>
    <w:rPr>
      <w:rFonts w:cs="Times New Roman"/>
    </w:rPr>
  </w:style>
  <w:style w:type="paragraph" w:styleId="1025" w:customStyle="1">
    <w:name w:val="Char2"/>
    <w:basedOn w:val="760"/>
    <w:uiPriority w:val="0"/>
    <w:qFormat/>
    <w:rPr>
      <w:rFonts w:ascii="Tahoma" w:hAnsi="Tahoma"/>
      <w:sz w:val="24"/>
    </w:rPr>
  </w:style>
  <w:style w:type="paragraph" w:styleId="1026" w:customStyle="1">
    <w:name w:val="p25"/>
    <w:basedOn w:val="760"/>
    <w:uiPriority w:val="0"/>
    <w:qFormat/>
    <w:pPr>
      <w:jc w:val="left"/>
      <w:widowControl/>
    </w:pPr>
    <w:rPr>
      <w:rFonts w:ascii="黑体" w:hAnsi="黑体" w:eastAsia="黑体" w:cs="黑体"/>
      <w:sz w:val="26"/>
      <w:szCs w:val="26"/>
    </w:rPr>
  </w:style>
  <w:style w:type="character" w:styleId="1027" w:customStyle="1">
    <w:name w:val="页眉 字符"/>
    <w:uiPriority w:val="99"/>
    <w:qFormat/>
    <w:rPr>
      <w:rFonts w:cs="Times New Roman"/>
      <w:sz w:val="18"/>
      <w:szCs w:val="18"/>
    </w:rPr>
  </w:style>
  <w:style w:type="character" w:styleId="1028" w:customStyle="1">
    <w:name w:val="页脚 字符"/>
    <w:uiPriority w:val="99"/>
    <w:qFormat/>
    <w:rPr>
      <w:rFonts w:cs="Times New Roman"/>
      <w:sz w:val="18"/>
      <w:szCs w:val="18"/>
    </w:rPr>
  </w:style>
  <w:style w:type="paragraph" w:styleId="1029" w:customStyle="1">
    <w:name w:val="纯文本2"/>
    <w:basedOn w:val="760"/>
    <w:uiPriority w:val="0"/>
    <w:qFormat/>
    <w:pPr>
      <w:jc w:val="left"/>
      <w:widowControl/>
    </w:pPr>
    <w:rPr>
      <w:rFonts w:ascii="宋体" w:hAnsi="Courier New" w:eastAsia="楷体_GB2312" w:cs="Times New Roman"/>
      <w:sz w:val="26"/>
    </w:rPr>
  </w:style>
  <w:style w:type="paragraph" w:styleId="1030" w:customStyle="1">
    <w:name w:val="_Style 85"/>
    <w:basedOn w:val="760"/>
    <w:next w:val="1011"/>
    <w:uiPriority w:val="34"/>
    <w:qFormat/>
    <w:pPr>
      <w:ind w:firstLine="420"/>
    </w:pPr>
    <w:rPr>
      <w:rFonts w:ascii="等线" w:hAnsi="等线" w:eastAsia="等线" w:cs="Times New Roman"/>
      <w:szCs w:val="22"/>
    </w:rPr>
  </w:style>
  <w:style w:type="paragraph" w:styleId="1031" w:customStyle="1">
    <w:name w:val="msonormal"/>
    <w:basedOn w:val="760"/>
    <w:uiPriority w:val="0"/>
    <w:qFormat/>
    <w:pPr>
      <w:jc w:val="left"/>
      <w:spacing w:before="100" w:beforeAutospacing="1" w:after="100" w:afterAutospacing="1"/>
      <w:widowControl/>
    </w:pPr>
    <w:rPr>
      <w:rFonts w:ascii="宋体" w:hAnsi="宋体"/>
      <w:sz w:val="24"/>
      <w:szCs w:val="24"/>
    </w:rPr>
  </w:style>
  <w:style w:type="paragraph" w:styleId="1032" w:customStyle="1">
    <w:name w:val="font5"/>
    <w:basedOn w:val="760"/>
    <w:uiPriority w:val="0"/>
    <w:qFormat/>
    <w:pPr>
      <w:jc w:val="left"/>
      <w:spacing w:before="100" w:beforeAutospacing="1" w:after="100" w:afterAutospacing="1"/>
      <w:widowControl/>
    </w:pPr>
    <w:rPr>
      <w:rFonts w:ascii="宋体" w:hAnsi="宋体"/>
      <w:sz w:val="20"/>
    </w:rPr>
  </w:style>
  <w:style w:type="paragraph" w:styleId="1033" w:customStyle="1">
    <w:name w:val="font6"/>
    <w:basedOn w:val="760"/>
    <w:uiPriority w:val="0"/>
    <w:qFormat/>
    <w:pPr>
      <w:jc w:val="left"/>
      <w:spacing w:before="100" w:beforeAutospacing="1" w:after="100" w:afterAutospacing="1"/>
      <w:widowControl/>
    </w:pPr>
    <w:rPr>
      <w:rFonts w:ascii="宋体" w:hAnsi="宋体"/>
      <w:color w:val="000000"/>
      <w:sz w:val="20"/>
    </w:rPr>
  </w:style>
  <w:style w:type="paragraph" w:styleId="1034" w:customStyle="1">
    <w:name w:val="font7"/>
    <w:basedOn w:val="760"/>
    <w:uiPriority w:val="0"/>
    <w:qFormat/>
    <w:pPr>
      <w:jc w:val="left"/>
      <w:spacing w:before="100" w:beforeAutospacing="1" w:after="100" w:afterAutospacing="1"/>
      <w:widowControl/>
    </w:pPr>
    <w:rPr>
      <w:rFonts w:ascii="宋体" w:hAnsi="宋体"/>
      <w:color w:val="000000"/>
      <w:sz w:val="18"/>
      <w:szCs w:val="18"/>
    </w:rPr>
  </w:style>
  <w:style w:type="paragraph" w:styleId="1035" w:customStyle="1">
    <w:name w:val="font8"/>
    <w:basedOn w:val="760"/>
    <w:uiPriority w:val="0"/>
    <w:qFormat/>
    <w:pPr>
      <w:jc w:val="left"/>
      <w:spacing w:before="100" w:beforeAutospacing="1" w:after="100" w:afterAutospacing="1"/>
      <w:widowControl/>
    </w:pPr>
    <w:rPr>
      <w:rFonts w:ascii="宋体" w:hAnsi="宋体"/>
      <w:sz w:val="18"/>
      <w:szCs w:val="18"/>
    </w:rPr>
  </w:style>
  <w:style w:type="paragraph" w:styleId="1036" w:customStyle="1">
    <w:name w:val="font9"/>
    <w:basedOn w:val="760"/>
    <w:uiPriority w:val="0"/>
    <w:qFormat/>
    <w:pPr>
      <w:jc w:val="left"/>
      <w:spacing w:before="100" w:beforeAutospacing="1" w:after="100" w:afterAutospacing="1"/>
      <w:widowControl/>
    </w:pPr>
    <w:rPr>
      <w:rFonts w:ascii="宋体" w:hAnsi="宋体"/>
      <w:sz w:val="20"/>
    </w:rPr>
  </w:style>
  <w:style w:type="paragraph" w:styleId="1037" w:customStyle="1">
    <w:name w:val="font10"/>
    <w:basedOn w:val="760"/>
    <w:uiPriority w:val="0"/>
    <w:qFormat/>
    <w:pPr>
      <w:jc w:val="left"/>
      <w:spacing w:before="100" w:beforeAutospacing="1" w:after="100" w:afterAutospacing="1"/>
      <w:widowControl/>
    </w:pPr>
    <w:rPr>
      <w:rFonts w:cs="Calibri"/>
      <w:sz w:val="20"/>
    </w:rPr>
  </w:style>
  <w:style w:type="paragraph" w:styleId="1038" w:customStyle="1">
    <w:name w:val="font12"/>
    <w:basedOn w:val="760"/>
    <w:uiPriority w:val="0"/>
    <w:qFormat/>
    <w:pPr>
      <w:jc w:val="left"/>
      <w:spacing w:before="100" w:beforeAutospacing="1" w:after="100" w:afterAutospacing="1"/>
      <w:widowControl/>
    </w:pPr>
    <w:rPr>
      <w:rFonts w:cs="Calibri"/>
      <w:color w:val="000000"/>
      <w:sz w:val="20"/>
    </w:rPr>
  </w:style>
  <w:style w:type="paragraph" w:styleId="1039" w:customStyle="1">
    <w:name w:val="font13"/>
    <w:basedOn w:val="760"/>
    <w:uiPriority w:val="0"/>
    <w:qFormat/>
    <w:pPr>
      <w:jc w:val="left"/>
      <w:spacing w:before="100" w:beforeAutospacing="1" w:after="100" w:afterAutospacing="1"/>
      <w:widowControl/>
    </w:pPr>
    <w:rPr>
      <w:rFonts w:ascii="Segoe UI Symbol" w:hAnsi="Segoe UI Symbol"/>
      <w:sz w:val="20"/>
    </w:rPr>
  </w:style>
  <w:style w:type="paragraph" w:styleId="1040" w:customStyle="1">
    <w:name w:val="font14"/>
    <w:basedOn w:val="760"/>
    <w:uiPriority w:val="0"/>
    <w:qFormat/>
    <w:pPr>
      <w:jc w:val="left"/>
      <w:spacing w:before="100" w:beforeAutospacing="1" w:after="100" w:afterAutospacing="1"/>
      <w:widowControl/>
    </w:pPr>
    <w:rPr>
      <w:rFonts w:ascii="Segoe UI Symbol" w:hAnsi="Segoe UI Symbol"/>
      <w:sz w:val="20"/>
    </w:rPr>
  </w:style>
  <w:style w:type="paragraph" w:styleId="1041" w:customStyle="1">
    <w:name w:val="xl90"/>
    <w:basedOn w:val="760"/>
    <w:uiPriority w:val="0"/>
    <w:qFormat/>
    <w:pPr>
      <w:jc w:val="left"/>
      <w:spacing w:before="100" w:beforeAutospacing="1" w:after="100" w:afterAutospacing="1"/>
      <w:widowControl/>
    </w:pPr>
    <w:rPr>
      <w:rFonts w:ascii="宋体" w:hAnsi="宋体"/>
      <w:color w:val="000000"/>
      <w:sz w:val="22"/>
      <w:szCs w:val="22"/>
    </w:rPr>
  </w:style>
  <w:style w:type="paragraph" w:styleId="1042" w:customStyle="1">
    <w:name w:val="xl91"/>
    <w:basedOn w:val="76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43" w:customStyle="1">
    <w:name w:val="xl9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44" w:customStyle="1">
    <w:name w:val="xl93"/>
    <w:basedOn w:val="76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45" w:customStyle="1">
    <w:name w:val="xl9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46" w:customStyle="1">
    <w:name w:val="xl9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47" w:customStyle="1">
    <w:name w:val="xl96"/>
    <w:basedOn w:val="76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olor w:val="000000"/>
      <w:sz w:val="20"/>
    </w:rPr>
  </w:style>
  <w:style w:type="paragraph" w:styleId="1048" w:customStyle="1">
    <w:name w:val="xl9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49" w:customStyle="1">
    <w:name w:val="xl9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50" w:customStyle="1">
    <w:name w:val="xl9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51" w:customStyle="1">
    <w:name w:val="xl10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52" w:customStyle="1">
    <w:name w:val="xl101"/>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53" w:customStyle="1">
    <w:name w:val="xl10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54" w:customStyle="1">
    <w:name w:val="xl10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55" w:customStyle="1">
    <w:name w:val="xl10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56" w:customStyle="1">
    <w:name w:val="xl10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57" w:customStyle="1">
    <w:name w:val="xl10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58" w:customStyle="1">
    <w:name w:val="xl10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59" w:customStyle="1">
    <w:name w:val="xl10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60" w:customStyle="1">
    <w:name w:val="xl10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61" w:customStyle="1">
    <w:name w:val="xl11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62" w:customStyle="1">
    <w:name w:val="xl11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63" w:customStyle="1">
    <w:name w:val="xl11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64" w:customStyle="1">
    <w:name w:val="xl11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65" w:customStyle="1">
    <w:name w:val="xl114"/>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66" w:customStyle="1">
    <w:name w:val="xl11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67" w:customStyle="1">
    <w:name w:val="xl11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68" w:customStyle="1">
    <w:name w:val="xl11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69" w:customStyle="1">
    <w:name w:val="xl11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70" w:customStyle="1">
    <w:name w:val="xl11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71" w:customStyle="1">
    <w:name w:val="xl12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72" w:customStyle="1">
    <w:name w:val="xl121"/>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73" w:customStyle="1">
    <w:name w:val="xl122"/>
    <w:basedOn w:val="76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b/>
      <w:bCs/>
      <w:sz w:val="20"/>
    </w:rPr>
  </w:style>
  <w:style w:type="paragraph" w:styleId="1074" w:customStyle="1">
    <w:name w:val="xl12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5" w:customStyle="1">
    <w:name w:val="xl124"/>
    <w:basedOn w:val="760"/>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76" w:customStyle="1">
    <w:name w:val="xl12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77" w:customStyle="1">
    <w:name w:val="xl126"/>
    <w:basedOn w:val="760"/>
    <w:uiPriority w:val="0"/>
    <w:qFormat/>
    <w:pPr>
      <w:jc w:val="center"/>
      <w:spacing w:before="100" w:beforeAutospacing="1" w:after="100" w:afterAutospacing="1"/>
      <w:widowControl/>
      <w:pBdr>
        <w:top w:val="single" w:color="auto" w:sz="4" w:space="0"/>
        <w:left w:val="single" w:color="auto" w:sz="8" w:space="0"/>
        <w:bottom w:val="single" w:color="auto" w:sz="4" w:space="0"/>
      </w:pBdr>
    </w:pPr>
    <w:rPr>
      <w:rFonts w:ascii="宋体" w:hAnsi="宋体"/>
      <w:b/>
      <w:bCs/>
      <w:sz w:val="20"/>
    </w:rPr>
  </w:style>
  <w:style w:type="paragraph" w:styleId="1078" w:customStyle="1">
    <w:name w:val="xl127"/>
    <w:basedOn w:val="760"/>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rPr>
  </w:style>
  <w:style w:type="paragraph" w:styleId="1079" w:customStyle="1">
    <w:name w:val="xl128"/>
    <w:basedOn w:val="760"/>
    <w:uiPriority w:val="0"/>
    <w:qFormat/>
    <w:pPr>
      <w:jc w:val="left"/>
      <w:spacing w:before="100" w:beforeAutospacing="1" w:after="100" w:afterAutospacing="1"/>
      <w:widowControl/>
      <w:pBdr>
        <w:top w:val="single" w:color="auto" w:sz="4" w:space="0"/>
        <w:left w:val="single" w:color="auto" w:sz="8" w:space="0"/>
        <w:bottom w:val="single" w:color="auto" w:sz="4" w:space="0"/>
      </w:pBdr>
    </w:pPr>
    <w:rPr>
      <w:rFonts w:ascii="宋体" w:hAnsi="宋体"/>
      <w:sz w:val="20"/>
    </w:rPr>
  </w:style>
  <w:style w:type="paragraph" w:styleId="1080" w:customStyle="1">
    <w:name w:val="xl129"/>
    <w:basedOn w:val="760"/>
    <w:uiPriority w:val="0"/>
    <w:qFormat/>
    <w:pPr>
      <w:jc w:val="left"/>
      <w:spacing w:before="100" w:beforeAutospacing="1" w:after="100" w:afterAutospacing="1"/>
      <w:widowControl/>
      <w:pBdr>
        <w:top w:val="single" w:color="auto" w:sz="4" w:space="0"/>
        <w:bottom w:val="single" w:color="auto" w:sz="4" w:space="0"/>
      </w:pBdr>
    </w:pPr>
    <w:rPr>
      <w:rFonts w:ascii="宋体" w:hAnsi="宋体"/>
      <w:sz w:val="20"/>
    </w:rPr>
  </w:style>
  <w:style w:type="paragraph" w:styleId="1081" w:customStyle="1">
    <w:name w:val="xl13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1082" w:customStyle="1">
    <w:name w:val="xl13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83" w:customStyle="1">
    <w:name w:val="TOC 标题1"/>
    <w:basedOn w:val="761"/>
    <w:next w:val="760"/>
    <w:uiPriority w:val="39"/>
    <w:qFormat/>
    <w:pPr>
      <w:jc w:val="left"/>
      <w:spacing w:before="480" w:line="276" w:lineRule="auto"/>
      <w:widowControl/>
      <w:outlineLvl w:val="9"/>
    </w:pPr>
    <w:rPr>
      <w:rFonts w:ascii="Cambria" w:hAnsi="Cambria"/>
      <w:color w:val="365f91"/>
      <w:sz w:val="28"/>
      <w:szCs w:val="28"/>
    </w:rPr>
  </w:style>
  <w:style w:type="character" w:styleId="1084" w:customStyle="1">
    <w:name w:val="标题 Char"/>
    <w:link w:val="804"/>
    <w:uiPriority w:val="0"/>
    <w:qFormat/>
    <w:rPr>
      <w:rFonts w:ascii="Cambria" w:hAnsi="Cambria"/>
      <w:b/>
      <w:bCs/>
      <w:sz w:val="52"/>
      <w:szCs w:val="32"/>
      <w:lang w:bidi="ar-SA"/>
    </w:rPr>
  </w:style>
  <w:style w:type="paragraph" w:styleId="1085" w:customStyle="1">
    <w:name w:val="纯文本4"/>
    <w:basedOn w:val="760"/>
    <w:uiPriority w:val="0"/>
    <w:qFormat/>
    <w:rPr>
      <w:rFonts w:ascii="宋体" w:hAnsi="Courier New" w:cs="Times New Roman"/>
      <w:sz w:val="26"/>
    </w:rPr>
  </w:style>
  <w:style w:type="character" w:styleId="1086" w:customStyle="1">
    <w:name w:val="正文缩进 Char1"/>
    <w:uiPriority w:val="0"/>
    <w:qFormat/>
    <w:rPr>
      <w:rFonts w:eastAsia="楷体_GB2312"/>
      <w:sz w:val="24"/>
      <w:lang w:val="en-US" w:eastAsia="zh-CN" w:bidi="ar-SA"/>
    </w:rPr>
  </w:style>
  <w:style w:type="character" w:styleId="1087" w:customStyle="1">
    <w:name w:val="grame"/>
    <w:basedOn w:val="770"/>
    <w:uiPriority w:val="0"/>
    <w:qFormat/>
  </w:style>
  <w:style w:type="character" w:styleId="1088" w:customStyle="1">
    <w:name w:val="NormalCharacter"/>
    <w:uiPriority w:val="0"/>
    <w:semiHidden/>
    <w:qFormat/>
  </w:style>
  <w:style w:type="character" w:styleId="1089" w:customStyle="1">
    <w:name w:val="UserStyle_12"/>
    <w:link w:val="1090"/>
    <w:uiPriority w:val="0"/>
    <w:qFormat/>
    <w:rPr>
      <w:rFonts w:eastAsia="楷体_GB2312"/>
      <w:sz w:val="24"/>
    </w:rPr>
  </w:style>
  <w:style w:type="paragraph" w:styleId="1090" w:customStyle="1">
    <w:name w:val="NormalIndent"/>
    <w:basedOn w:val="760"/>
    <w:link w:val="1089"/>
    <w:uiPriority w:val="0"/>
    <w:qFormat/>
    <w:pPr>
      <w:ind w:firstLine="420"/>
      <w:jc w:val="left"/>
      <w:widowControl/>
    </w:pPr>
    <w:rPr>
      <w:rFonts w:ascii="Times New Roman" w:hAnsi="Times New Roman" w:eastAsia="楷体_GB2312" w:cs="Times New Roman"/>
      <w:sz w:val="24"/>
    </w:rPr>
  </w:style>
  <w:style w:type="character" w:styleId="1091" w:customStyle="1">
    <w:name w:val="Andy_正文 Char"/>
    <w:link w:val="1092"/>
    <w:uiPriority w:val="0"/>
    <w:qFormat/>
    <w:rPr>
      <w:rFonts w:ascii="Calibri" w:hAnsi="Calibri" w:cs="Calibri"/>
      <w:sz w:val="24"/>
      <w:szCs w:val="24"/>
    </w:rPr>
  </w:style>
  <w:style w:type="paragraph" w:styleId="1092" w:customStyle="1">
    <w:name w:val="Andy_正文"/>
    <w:basedOn w:val="760"/>
    <w:link w:val="1091"/>
    <w:uiPriority w:val="0"/>
    <w:qFormat/>
    <w:pPr>
      <w:ind w:firstLine="480"/>
      <w:spacing w:line="360" w:lineRule="auto"/>
    </w:pPr>
    <w:rPr>
      <w:rFonts w:cs="Calibri"/>
      <w:sz w:val="24"/>
      <w:szCs w:val="24"/>
    </w:rPr>
  </w:style>
  <w:style w:type="paragraph" w:styleId="1093" w:customStyle="1">
    <w:name w:val="UserStyle_62"/>
    <w:basedOn w:val="760"/>
    <w:uiPriority w:val="0"/>
    <w:qFormat/>
    <w:pPr>
      <w:widowControl/>
    </w:pPr>
    <w:rPr>
      <w:rFonts w:ascii="宋体" w:hAnsi="Courier New" w:eastAsia="楷体_GB2312" w:cs="Times New Roman"/>
      <w:sz w:val="26"/>
      <w:szCs w:val="24"/>
    </w:rPr>
  </w:style>
  <w:style w:type="character" w:styleId="1094" w:customStyle="1">
    <w:name w:val="批注框文本 Char"/>
    <w:uiPriority w:val="0"/>
    <w:qFormat/>
    <w:rPr>
      <w:rFonts w:eastAsia="楷体_GB2312"/>
      <w:sz w:val="18"/>
      <w:szCs w:val="18"/>
    </w:rPr>
  </w:style>
  <w:style w:type="character" w:styleId="1095" w:customStyle="1">
    <w:name w:val="列出段落 Char"/>
    <w:link w:val="1011"/>
    <w:uiPriority w:val="34"/>
    <w:qFormat/>
    <w:rPr>
      <w:rFonts w:ascii="Calibri" w:hAnsi="Calibri" w:cs="宋体"/>
      <w:sz w:val="21"/>
      <w:szCs w:val="22"/>
    </w:rPr>
  </w:style>
  <w:style w:type="paragraph" w:styleId="1096" w:customStyle="1">
    <w:name w:val="_Style 172"/>
    <w:basedOn w:val="760"/>
    <w:next w:val="1011"/>
    <w:uiPriority w:val="0"/>
    <w:qFormat/>
    <w:pPr>
      <w:ind w:firstLine="420"/>
      <w:spacing w:line="360" w:lineRule="auto"/>
    </w:pPr>
    <w:rPr>
      <w:rFonts w:cs="Times New Roman"/>
      <w:sz w:val="24"/>
    </w:rPr>
  </w:style>
  <w:style w:type="character" w:styleId="1097" w:customStyle="1">
    <w:name w:val="列表段落 字符"/>
    <w:uiPriority w:val="0"/>
    <w:qFormat/>
    <w:rPr>
      <w:rFonts w:ascii="Calibri" w:hAnsi="Calibri"/>
      <w:sz w:val="24"/>
    </w:rPr>
  </w:style>
  <w:style w:type="paragraph" w:styleId="1098" w:customStyle="1">
    <w:name w:val="Proposals body"/>
    <w:basedOn w:val="760"/>
    <w:next w:val="760"/>
    <w:uiPriority w:val="0"/>
    <w:qFormat/>
    <w:pPr>
      <w:jc w:val="left"/>
      <w:spacing w:line="360" w:lineRule="auto"/>
      <w:widowControl/>
    </w:pPr>
    <w:rPr>
      <w:rFonts w:ascii="宋体" w:hAnsi="Times New Roman" w:cs="Times New Roman"/>
      <w:color w:val="000000"/>
      <w:sz w:val="24"/>
    </w:rPr>
  </w:style>
  <w:style w:type="character" w:styleId="1099" w:customStyle="1">
    <w:name w:val="普通正文 Char"/>
    <w:link w:val="1100"/>
    <w:uiPriority w:val="0"/>
    <w:qFormat/>
    <w:rPr>
      <w:rFonts w:ascii="Arial" w:hAnsi="Arial" w:cs="Arial"/>
      <w:sz w:val="24"/>
      <w:szCs w:val="24"/>
    </w:rPr>
  </w:style>
  <w:style w:type="paragraph" w:styleId="1100" w:customStyle="1">
    <w:name w:val="普通正文"/>
    <w:basedOn w:val="760"/>
    <w:link w:val="1099"/>
    <w:uiPriority w:val="0"/>
    <w:qFormat/>
    <w:pPr>
      <w:ind w:firstLine="480"/>
      <w:jc w:val="left"/>
      <w:spacing w:before="120" w:after="120" w:line="360" w:lineRule="auto"/>
    </w:pPr>
    <w:rPr>
      <w:rFonts w:ascii="Arial" w:hAnsi="Arial" w:cs="Arial"/>
      <w:sz w:val="24"/>
      <w:szCs w:val="24"/>
    </w:rPr>
  </w:style>
  <w:style w:type="paragraph" w:styleId="1101" w:customStyle="1">
    <w:name w:val="*正文"/>
    <w:basedOn w:val="760"/>
    <w:link w:val="1102"/>
    <w:uiPriority w:val="0"/>
    <w:qFormat/>
    <w:rPr>
      <w:rFonts w:ascii="宋体" w:hAnsi="宋体" w:cs="Times New Roman" w:eastAsiaTheme="minorEastAsia"/>
      <w:sz w:val="24"/>
      <w:szCs w:val="24"/>
      <w:lang w:val="zh-CN"/>
    </w:rPr>
  </w:style>
  <w:style w:type="character" w:styleId="1102" w:customStyle="1">
    <w:name w:val="*正文 Char"/>
    <w:link w:val="1101"/>
    <w:uiPriority w:val="0"/>
    <w:qFormat/>
    <w:rPr>
      <w:rFonts w:cs="Times New Roman" w:eastAsiaTheme="minorEastAsia"/>
      <w:sz w:val="24"/>
      <w:szCs w:val="24"/>
      <w:lang w:val="zh-CN"/>
    </w:rPr>
  </w:style>
  <w:style w:type="paragraph" w:styleId="1103" w:customStyle="1">
    <w:name w:val="123标题下的小点"/>
    <w:next w:val="799"/>
    <w:uiPriority w:val="0"/>
    <w:qFormat/>
    <w:pPr>
      <w:ind w:left="840" w:hanging="420"/>
      <w:jc w:val="both"/>
      <w:spacing w:line="360" w:lineRule="auto"/>
      <w:widowControl w:val="off"/>
      <w:tabs>
        <w:tab w:val="left" w:pos="840" w:leader="none"/>
      </w:tabs>
    </w:pPr>
    <w:rPr>
      <w:rFonts w:hint="default" w:ascii="宋体" w:hAnsi="Times New Roman" w:eastAsia="宋体" w:cs="Times New Roman"/>
      <w:sz w:val="21"/>
      <w:lang w:val="en-US" w:eastAsia="zh-CN" w:bidi="ar-SA"/>
    </w:rPr>
  </w:style>
  <w:style w:type="character" w:styleId="1104" w:customStyle="1">
    <w:name w:val="文档结构图 字符1"/>
    <w:uiPriority w:val="0"/>
    <w:qFormat/>
    <w:rPr>
      <w:sz w:val="21"/>
      <w:shd w:val="clear" w:color="auto" w:fill="000080"/>
    </w:rPr>
  </w:style>
  <w:style w:type="paragraph" w:styleId="1105" w:customStyle="1">
    <w:name w:val="首行缩进"/>
    <w:basedOn w:val="760"/>
    <w:uiPriority w:val="0"/>
    <w:qFormat/>
    <w:pPr>
      <w:ind w:firstLine="480"/>
    </w:pPr>
    <w:rPr>
      <w:rFonts w:ascii="Times New Roman" w:hAnsi="Times New Roman" w:cs="Times New Roman"/>
      <w:lang w:val="zh-CN"/>
    </w:rPr>
  </w:style>
  <w:style w:type="paragraph" w:styleId="1106" w:customStyle="1">
    <w:name w:val="Plain Text2"/>
    <w:basedOn w:val="760"/>
    <w:uiPriority w:val="99"/>
    <w:qFormat/>
    <w:rPr>
      <w:rFonts w:hAnsi="Verdana" w:eastAsia="2OcuAe" w:cs="Times New Roman"/>
      <w:sz w:val="28"/>
    </w:rPr>
  </w:style>
  <w:style w:type="paragraph" w:styleId="1107" w:customStyle="1">
    <w:name w:val="my正文"/>
    <w:basedOn w:val="760"/>
    <w:uiPriority w:val="0"/>
    <w:qFormat/>
    <w:pPr>
      <w:ind w:firstLine="480"/>
      <w:spacing w:line="360" w:lineRule="auto"/>
    </w:pPr>
    <w:rPr>
      <w:rFonts w:ascii="Times New Roman" w:hAnsi="Times New Roman" w:cs="Times New Roman"/>
      <w:sz w:val="24"/>
    </w:rPr>
  </w:style>
  <w:style w:type="paragraph" w:styleId="1108" w:customStyle="1">
    <w:name w:val="招标书正文"/>
    <w:basedOn w:val="760"/>
    <w:uiPriority w:val="0"/>
    <w:qFormat/>
    <w:pPr>
      <w:jc w:val="left"/>
      <w:spacing w:line="300" w:lineRule="auto"/>
      <w:widowControl/>
    </w:pPr>
    <w:rPr>
      <w:sz w:val="24"/>
      <w:szCs w:val="24"/>
    </w:rPr>
  </w:style>
  <w:style w:type="paragraph" w:styleId="1109" w:customStyle="1">
    <w:name w:val="_Style 622"/>
    <w:basedOn w:val="760"/>
    <w:next w:val="1011"/>
    <w:uiPriority w:val="99"/>
    <w:qFormat/>
    <w:pPr>
      <w:ind w:firstLine="420"/>
    </w:pPr>
    <w:rPr>
      <w:rFonts w:ascii="Times New Roman" w:hAnsi="Times New Roman" w:cs="Times New Roman"/>
    </w:rPr>
  </w:style>
  <w:style w:type="character" w:styleId="1110" w:customStyle="1">
    <w:name w:val="方案正文 Char"/>
    <w:link w:val="1111"/>
    <w:uiPriority w:val="0"/>
    <w:qFormat/>
    <w:rPr>
      <w:sz w:val="24"/>
    </w:rPr>
  </w:style>
  <w:style w:type="paragraph" w:styleId="1111" w:customStyle="1">
    <w:name w:val="方案正文"/>
    <w:basedOn w:val="760"/>
    <w:link w:val="1110"/>
    <w:uiPriority w:val="0"/>
    <w:qFormat/>
    <w:pPr>
      <w:spacing w:line="440" w:lineRule="atLeast"/>
    </w:pPr>
    <w:rPr>
      <w:rFonts w:ascii="宋体" w:hAnsi="宋体"/>
      <w:sz w:val="24"/>
    </w:rPr>
  </w:style>
  <w:style w:type="character" w:styleId="1112" w:customStyle="1">
    <w:name w:val="列出段落 字符"/>
    <w:link w:val="1018"/>
    <w:uiPriority w:val="34"/>
    <w:qFormat/>
    <w:rPr>
      <w:rFonts w:ascii="Calibri" w:hAnsi="Calibri"/>
      <w:sz w:val="21"/>
    </w:rPr>
  </w:style>
  <w:style w:type="paragraph" w:styleId="1113" w:customStyle="1">
    <w:name w:val="_正文"/>
    <w:basedOn w:val="760"/>
    <w:uiPriority w:val="0"/>
    <w:qFormat/>
    <w:pPr>
      <w:ind w:firstLine="200"/>
      <w:spacing w:line="360" w:lineRule="auto"/>
    </w:pPr>
    <w:rPr>
      <w:sz w:val="24"/>
      <w:szCs w:val="24"/>
    </w:rPr>
  </w:style>
  <w:style w:type="paragraph" w:styleId="1114" w:customStyle="1">
    <w:name w:val="可研正文"/>
    <w:basedOn w:val="760"/>
    <w:uiPriority w:val="0"/>
    <w:qFormat/>
    <w:pPr>
      <w:ind w:firstLine="200"/>
      <w:spacing w:line="360" w:lineRule="auto"/>
    </w:pPr>
    <w:rPr>
      <w:rFonts w:ascii="仿宋" w:hAnsi="仿宋" w:eastAsia="仿宋"/>
      <w:sz w:val="28"/>
      <w:szCs w:val="28"/>
    </w:rPr>
  </w:style>
  <w:style w:type="paragraph" w:styleId="1115" w:customStyle="1">
    <w:name w:val="标准正文"/>
    <w:basedOn w:val="760"/>
    <w:uiPriority w:val="0"/>
    <w:qFormat/>
    <w:pPr>
      <w:ind w:firstLine="480"/>
      <w:spacing w:before="156" w:after="156" w:line="360" w:lineRule="auto"/>
    </w:pPr>
    <w:rPr>
      <w:rFonts w:ascii="Times New Roman" w:hAnsi="Times New Roman"/>
      <w:sz w:val="24"/>
    </w:rPr>
  </w:style>
  <w:style w:type="paragraph" w:styleId="1116" w:customStyle="1">
    <w:name w:val="正文_0_0_0"/>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17" w:customStyle="1">
    <w:name w:val="纯文本10"/>
    <w:basedOn w:val="760"/>
    <w:uiPriority w:val="0"/>
    <w:qFormat/>
    <w:pPr>
      <w:spacing w:line="400" w:lineRule="exact"/>
    </w:pPr>
    <w:rPr>
      <w:rFonts w:hint="eastAsia" w:ascii="宋体" w:hAnsi="Courier New" w:eastAsia="楷体_GB2312"/>
      <w:sz w:val="28"/>
    </w:rPr>
  </w:style>
  <w:style w:type="paragraph" w:styleId="1118" w:customStyle="1">
    <w:name w:val="Body text|2"/>
    <w:basedOn w:val="760"/>
    <w:uiPriority w:val="0"/>
    <w:qFormat/>
    <w:pPr>
      <w:ind w:firstLine="400"/>
      <w:spacing w:line="480" w:lineRule="auto"/>
    </w:pPr>
    <w:rPr>
      <w:rFonts w:ascii="宋体" w:hAnsi="宋体"/>
      <w:sz w:val="22"/>
      <w:szCs w:val="22"/>
      <w:lang w:val="zh-TW" w:eastAsia="zh-TW" w:bidi="zh-TW"/>
    </w:rPr>
  </w:style>
  <w:style w:type="character" w:styleId="1119" w:customStyle="1">
    <w:name w:val="标题 1 字符"/>
    <w:link w:val="761"/>
    <w:uiPriority w:val="0"/>
    <w:qFormat/>
    <w:rPr>
      <w:rFonts w:eastAsia="楷体_GB2312"/>
      <w:b/>
      <w:sz w:val="44"/>
      <w:szCs w:val="20"/>
    </w:rPr>
  </w:style>
  <w:style w:type="numbering" w:styleId="1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6FFC5634-3AFF-4CE0-B395-C942724DED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zckz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86188</dc:creator>
  <cp:lastModifiedBy>汪长春</cp:lastModifiedBy>
  <cp:revision>11</cp:revision>
  <dcterms:created xsi:type="dcterms:W3CDTF">2023-09-18T05:16:00Z</dcterms:created>
  <dcterms:modified xsi:type="dcterms:W3CDTF">2026-08-19T03:48:57Z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57FB89BF23EE413BB06B555E04CB26FB_13</vt:lpwstr>
  </property>
  <property fmtid="{D5CDD505-2E9C-101B-9397-08002B2CF9AE}" pid="4" name="KSOTemplateDocerSaveRecord">
    <vt:lpwstr>eyJoZGlkIjoiMDRjNmQxM2EwZWQ5NWY2MWY3N2UxMGRlYmM5MmY4ODEiLCJ1c2VySWQiOiIxMDU0NTE5ODYzIn0=</vt:lpwstr>
  </property>
</Properties>
</file>