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auto"/>
          <w:sz w:val="21"/>
          <w:szCs w:val="21"/>
          <w:highlight w:val="none"/>
        </w:rPr>
      </w:pPr>
      <w:r>
        <w:rPr>
          <w:rFonts w:hint="eastAsia" w:cs="仿宋" w:asciiTheme="minorEastAsia" w:hAnsiTheme="minorEastAsia" w:eastAsiaTheme="minorEastAsia"/>
          <w:b/>
          <w:color w:val="auto"/>
          <w:sz w:val="72"/>
          <w:highlight w:val="none"/>
        </w:rPr>
        <w:tab/>
      </w:r>
      <w:r/>
    </w:p>
    <w:p>
      <w:pPr>
        <w:jc w:val="center"/>
        <w:rPr>
          <w:rFonts w:hint="eastAsia" w:cs="仿宋" w:asciiTheme="minorEastAsia" w:hAnsiTheme="minorEastAsia" w:eastAsiaTheme="minorEastAsia"/>
          <w:b/>
          <w:color w:val="auto"/>
          <w:sz w:val="72"/>
          <w:highlight w:val="none"/>
        </w:rPr>
      </w:pPr>
      <w:r>
        <w:rPr>
          <w:rFonts w:hint="eastAsia" w:cs="仿宋" w:asciiTheme="minorEastAsia" w:hAnsiTheme="minorEastAsia" w:eastAsiaTheme="minorEastAsia"/>
          <w:b/>
          <w:color w:val="auto"/>
          <w:sz w:val="72"/>
          <w:highlight w:val="none"/>
        </w:rPr>
      </w:r>
      <w:r/>
    </w:p>
    <w:p>
      <w:pPr>
        <w:jc w:val="center"/>
        <w:spacing w:line="360" w:lineRule="auto"/>
        <w:rPr>
          <w:rFonts w:hint="eastAsia" w:cs="仿宋" w:asciiTheme="minorEastAsia" w:hAnsiTheme="minorEastAsia" w:eastAsiaTheme="minorEastAsia"/>
          <w:bCs/>
          <w:color w:val="auto"/>
          <w:spacing w:val="20"/>
          <w:sz w:val="72"/>
          <w:szCs w:val="72"/>
          <w:highlight w:val="none"/>
        </w:rPr>
      </w:pPr>
      <w:r>
        <w:rPr>
          <w:rFonts w:hint="eastAsia" w:cs="仿宋" w:asciiTheme="minorEastAsia" w:hAnsiTheme="minorEastAsia" w:eastAsiaTheme="minorEastAsia"/>
          <w:bCs/>
          <w:color w:val="auto"/>
          <w:spacing w:val="20"/>
          <w:sz w:val="72"/>
          <w:szCs w:val="72"/>
          <w:highlight w:val="none"/>
        </w:rPr>
        <w:t xml:space="preserve">泰州市政府采购</w:t>
      </w:r>
      <w:r/>
    </w:p>
    <w:p>
      <w:pPr>
        <w:jc w:val="center"/>
        <w:spacing w:line="360" w:lineRule="auto"/>
        <w:rPr>
          <w:rFonts w:hint="eastAsia" w:cs="仿宋" w:asciiTheme="minorEastAsia" w:hAnsiTheme="minorEastAsia" w:eastAsiaTheme="minorEastAsia"/>
          <w:bCs/>
          <w:color w:val="auto"/>
          <w:spacing w:val="20"/>
          <w:sz w:val="52"/>
          <w:szCs w:val="52"/>
          <w:highlight w:val="none"/>
        </w:rPr>
      </w:pPr>
      <w:r>
        <w:rPr>
          <w:rFonts w:hint="eastAsia" w:cs="仿宋" w:asciiTheme="minorEastAsia" w:hAnsiTheme="minorEastAsia" w:eastAsiaTheme="minorEastAsia"/>
          <w:bCs/>
          <w:color w:val="auto"/>
          <w:spacing w:val="20"/>
          <w:sz w:val="52"/>
          <w:szCs w:val="52"/>
          <w:highlight w:val="none"/>
        </w:rPr>
        <w:t xml:space="preserve">公开</w:t>
      </w:r>
      <w:r>
        <w:rPr>
          <w:rFonts w:hint="eastAsia" w:asciiTheme="minorEastAsia" w:hAnsiTheme="minorEastAsia" w:eastAsia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auto"/>
          <w:spacing w:val="20"/>
          <w:sz w:val="52"/>
          <w:szCs w:val="52"/>
          <w:highlight w:val="none"/>
        </w:rPr>
        <w:t xml:space="preserve">招标文件</w:t>
      </w:r>
      <w:r/>
    </w:p>
    <w:p>
      <w:pPr>
        <w:jc w:val="center"/>
        <w:rPr>
          <w:rFonts w:hint="eastAsia" w:cs="仿宋" w:asciiTheme="minorEastAsia" w:hAnsiTheme="minorEastAsia" w:eastAsiaTheme="minorEastAsia"/>
          <w:b/>
          <w:color w:val="auto"/>
          <w:sz w:val="72"/>
          <w:szCs w:val="72"/>
          <w:highlight w:val="none"/>
        </w:rPr>
      </w:pPr>
      <w:r>
        <w:rPr>
          <w:rFonts w:hint="eastAsia" w:cs="仿宋" w:asciiTheme="minorEastAsia" w:hAnsiTheme="minorEastAsia" w:eastAsiaTheme="minorEastAsia"/>
          <w:bCs/>
          <w:color w:val="auto"/>
          <w:sz w:val="30"/>
          <w:highlight w:val="none"/>
        </w:rPr>
        <w:t xml:space="preserve">（全流程电子化不见面开标）</w:t>
      </w:r>
      <w:r/>
    </w:p>
    <w:p>
      <w:pPr>
        <w:rPr>
          <w:rFonts w:hint="eastAsia" w:cs="仿宋" w:asciiTheme="minorEastAsia" w:hAnsiTheme="minorEastAsia" w:eastAsiaTheme="minorEastAsia"/>
          <w:b/>
          <w:color w:val="auto"/>
          <w:sz w:val="72"/>
          <w:highlight w:val="none"/>
        </w:rPr>
      </w:pPr>
      <w:r>
        <w:rPr>
          <w:rFonts w:hint="eastAsia" w:cs="仿宋" w:asciiTheme="minorEastAsia" w:hAnsiTheme="minorEastAsia" w:eastAsiaTheme="minorEastAsia"/>
          <w:b/>
          <w:color w:val="auto"/>
          <w:sz w:val="72"/>
          <w:highlight w:val="none"/>
        </w:rPr>
      </w:r>
      <w:r/>
    </w:p>
    <w:p>
      <w:pPr>
        <w:pStyle w:val="919"/>
        <w:ind w:firstLine="568"/>
        <w:rPr>
          <w:rFonts w:hint="eastAsia"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r>
      <w:r/>
    </w:p>
    <w:p>
      <w:pPr>
        <w:pStyle w:val="919"/>
        <w:ind w:firstLine="568"/>
        <w:rPr>
          <w:rFonts w:hint="eastAsia"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r>
      <w:r/>
    </w:p>
    <w:p>
      <w:pPr>
        <w:jc w:val="center"/>
        <w:spacing w:line="360" w:lineRule="auto"/>
        <w:rPr>
          <w:rFonts w:hint="eastAsia" w:eastAsia="宋体" w:cs="仿宋" w:asciiTheme="minorEastAsia" w:hAnsiTheme="minorEastAsia"/>
          <w:b/>
          <w:bCs/>
          <w:color w:val="auto"/>
          <w:sz w:val="28"/>
          <w:szCs w:val="28"/>
          <w:highlight w:val="none"/>
          <w:lang w:eastAsia="zh-CN"/>
        </w:rPr>
      </w:pPr>
      <w:r>
        <w:rPr>
          <w:rFonts w:hint="eastAsia" w:cs="仿宋" w:asciiTheme="minorEastAsia" w:hAnsiTheme="minorEastAsia" w:eastAsiaTheme="minorEastAsia"/>
          <w:b/>
          <w:bCs/>
          <w:color w:val="auto"/>
          <w:sz w:val="28"/>
          <w:szCs w:val="28"/>
          <w:highlight w:val="none"/>
        </w:rPr>
        <w:t xml:space="preserve">项目编号：</w:t>
      </w:r>
      <w:r>
        <w:rPr>
          <w:rFonts w:hint="eastAsia" w:eastAsia="宋体" w:cs="仿宋" w:asciiTheme="minorEastAsia" w:hAnsiTheme="minorEastAsia"/>
          <w:b/>
          <w:bCs/>
          <w:color w:val="auto"/>
          <w:sz w:val="28"/>
          <w:szCs w:val="28"/>
          <w:highlight w:val="none"/>
          <w:lang w:eastAsia="zh-CN"/>
        </w:rPr>
        <w:t xml:space="preserve">JSZC-321203-SMDG-G2026-0078</w:t>
      </w:r>
      <w:r/>
    </w:p>
    <w:p>
      <w:pPr>
        <w:jc w:val="center"/>
        <w:spacing w:line="360" w:lineRule="auto"/>
        <w:rPr>
          <w:rFonts w:hint="eastAsia" w:eastAsia="宋体" w:cs="仿宋" w:asciiTheme="minorEastAsia" w:hAnsiTheme="minorEastAsia"/>
          <w:b/>
          <w:bCs/>
          <w:color w:val="auto"/>
          <w:sz w:val="28"/>
          <w:szCs w:val="28"/>
          <w:highlight w:val="none"/>
          <w:lang w:eastAsia="zh-CN"/>
        </w:rPr>
      </w:pPr>
      <w:r>
        <w:rPr>
          <w:rFonts w:hint="eastAsia" w:cs="仿宋" w:asciiTheme="minorEastAsia" w:hAnsiTheme="minorEastAsia" w:eastAsiaTheme="minorEastAsia"/>
          <w:b/>
          <w:bCs/>
          <w:color w:val="auto"/>
          <w:szCs w:val="28"/>
          <w:highlight w:val="none"/>
        </w:rPr>
        <w:t xml:space="preserve">采</w:t>
      </w:r>
      <w:r>
        <w:rPr>
          <w:rFonts w:hint="eastAsia" w:cs="仿宋" w:asciiTheme="minorEastAsia" w:hAnsiTheme="minorEastAsia" w:eastAsiaTheme="minorEastAsia"/>
          <w:b/>
          <w:bCs/>
          <w:color w:val="auto"/>
          <w:sz w:val="28"/>
          <w:szCs w:val="28"/>
          <w:highlight w:val="none"/>
        </w:rPr>
        <w:t xml:space="preserve">购代理编号：</w:t>
      </w:r>
      <w:r>
        <w:rPr>
          <w:rFonts w:hint="eastAsia" w:eastAsia="宋体" w:cs="仿宋" w:asciiTheme="minorEastAsia" w:hAnsiTheme="minorEastAsia"/>
          <w:b/>
          <w:bCs/>
          <w:color w:val="auto"/>
          <w:sz w:val="28"/>
          <w:szCs w:val="28"/>
          <w:highlight w:val="none"/>
          <w:lang w:eastAsia="zh-CN"/>
        </w:rPr>
        <w:t xml:space="preserve">0664-2640SUMECZF124</w:t>
      </w:r>
      <w:r/>
    </w:p>
    <w:p>
      <w:pPr>
        <w:jc w:val="center"/>
        <w:spacing w:line="360" w:lineRule="auto"/>
        <w:rPr>
          <w:rFonts w:hint="eastAsia" w:eastAsia="宋体" w:cs="仿宋" w:asciiTheme="minorEastAsia" w:hAnsiTheme="minorEastAsia"/>
          <w:b/>
          <w:bCs/>
          <w:color w:val="auto"/>
          <w:sz w:val="28"/>
          <w:szCs w:val="28"/>
          <w:highlight w:val="none"/>
          <w:lang w:eastAsia="zh-CN"/>
        </w:rPr>
      </w:pPr>
      <w:r>
        <w:rPr>
          <w:rFonts w:hint="eastAsia" w:cs="仿宋" w:asciiTheme="minorEastAsia" w:hAnsiTheme="minorEastAsia" w:eastAsiaTheme="minorEastAsia"/>
          <w:b/>
          <w:bCs/>
          <w:color w:val="auto"/>
          <w:sz w:val="28"/>
          <w:szCs w:val="28"/>
          <w:highlight w:val="none"/>
        </w:rPr>
        <w:t xml:space="preserve">项目名称：</w:t>
      </w:r>
      <w:r>
        <w:rPr>
          <w:rFonts w:hint="eastAsia" w:eastAsia="宋体" w:cs="仿宋" w:asciiTheme="minorEastAsia" w:hAnsiTheme="minorEastAsia"/>
          <w:b/>
          <w:bCs/>
          <w:color w:val="auto"/>
          <w:sz w:val="28"/>
          <w:szCs w:val="28"/>
          <w:highlight w:val="none"/>
          <w:lang w:eastAsia="zh-CN"/>
        </w:rPr>
        <w:t xml:space="preserve">泰州医药高新区(高港区)医疗器械检验检测服务中心二期实验室设备采购</w:t>
      </w:r>
      <w:r/>
    </w:p>
    <w:p>
      <w:pPr>
        <w:ind w:firstLine="419"/>
        <w:jc w:val="center"/>
        <w:spacing w:line="360" w:lineRule="auto"/>
        <w:rPr>
          <w:rFonts w:hint="eastAsia"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r>
      <w:r/>
    </w:p>
    <w:p>
      <w:pPr>
        <w:ind w:firstLine="419"/>
        <w:spacing w:line="360" w:lineRule="auto"/>
        <w:rPr>
          <w:rFonts w:hint="eastAsia"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r>
      <w:r/>
    </w:p>
    <w:p>
      <w:pPr>
        <w:ind w:firstLine="419"/>
        <w:spacing w:line="360" w:lineRule="auto"/>
        <w:rPr>
          <w:rFonts w:hint="eastAsia"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r>
      <w:r/>
    </w:p>
    <w:p>
      <w:pPr>
        <w:ind w:firstLine="419"/>
        <w:spacing w:line="360" w:lineRule="auto"/>
        <w:rPr>
          <w:rFonts w:hint="eastAsia"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r>
      <w:r/>
    </w:p>
    <w:p>
      <w:pPr>
        <w:ind w:firstLine="419"/>
        <w:spacing w:line="360" w:lineRule="auto"/>
        <w:rPr>
          <w:rFonts w:hint="eastAsia"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r>
      <w:r/>
    </w:p>
    <w:p>
      <w:pPr>
        <w:spacing w:line="360" w:lineRule="auto"/>
        <w:rPr>
          <w:rFonts w:hint="eastAsia" w:cs="仿宋" w:asciiTheme="minorEastAsia" w:hAnsiTheme="minorEastAsia" w:eastAsiaTheme="minorEastAsia"/>
          <w:b/>
          <w:bCs/>
          <w:color w:val="auto"/>
          <w:sz w:val="28"/>
          <w:szCs w:val="28"/>
          <w:highlight w:val="none"/>
        </w:rPr>
      </w:pPr>
      <w:r>
        <w:rPr>
          <w:rFonts w:hint="eastAsia" w:cs="仿宋" w:asciiTheme="minorEastAsia" w:hAnsiTheme="minorEastAsia" w:eastAsiaTheme="minorEastAsia"/>
          <w:b/>
          <w:bCs/>
          <w:color w:val="auto"/>
          <w:sz w:val="28"/>
          <w:szCs w:val="28"/>
          <w:highlight w:val="none"/>
        </w:rPr>
      </w:r>
      <w:r/>
    </w:p>
    <w:p>
      <w:pPr>
        <w:jc w:val="center"/>
        <w:spacing w:line="360" w:lineRule="auto"/>
        <w:rPr>
          <w:rFonts w:hint="eastAsia" w:eastAsia="宋体" w:cs="仿宋" w:asciiTheme="minorEastAsia" w:hAnsiTheme="minorEastAsia"/>
          <w:b/>
          <w:bCs/>
          <w:color w:val="auto"/>
          <w:sz w:val="28"/>
          <w:szCs w:val="28"/>
          <w:highlight w:val="none"/>
          <w:lang w:eastAsia="zh-CN"/>
        </w:rPr>
      </w:pPr>
      <w:r>
        <w:rPr>
          <w:rFonts w:hint="eastAsia" w:cs="仿宋" w:asciiTheme="minorEastAsia" w:hAnsiTheme="minorEastAsia" w:eastAsiaTheme="minorEastAsia"/>
          <w:b/>
          <w:bCs/>
          <w:color w:val="auto"/>
          <w:sz w:val="28"/>
          <w:szCs w:val="28"/>
          <w:highlight w:val="none"/>
        </w:rPr>
        <w:t xml:space="preserve">采   购   人：</w:t>
      </w:r>
      <w:r>
        <w:rPr>
          <w:rFonts w:hint="eastAsia" w:eastAsia="宋体" w:cs="仿宋" w:asciiTheme="minorEastAsia" w:hAnsiTheme="minorEastAsia"/>
          <w:b/>
          <w:bCs/>
          <w:color w:val="auto"/>
          <w:sz w:val="28"/>
          <w:szCs w:val="28"/>
          <w:highlight w:val="none"/>
          <w:lang w:eastAsia="zh-CN"/>
        </w:rPr>
        <w:t xml:space="preserve">泰州医药高新技术产业开发区（泰州市高港区）医疗器械检验检测服务中心</w:t>
      </w:r>
      <w:r/>
    </w:p>
    <w:p>
      <w:pPr>
        <w:pStyle w:val="765"/>
        <w:ind w:firstLine="0"/>
        <w:jc w:val="center"/>
        <w:rPr>
          <w:rFonts w:hint="eastAsia" w:cs="仿宋" w:asciiTheme="minorEastAsia" w:hAnsiTheme="minorEastAsia" w:eastAsiaTheme="minorEastAsia"/>
          <w:color w:val="auto"/>
          <w:highlight w:val="none"/>
        </w:rPr>
      </w:pPr>
      <w:r>
        <w:rPr>
          <w:rFonts w:hint="eastAsia" w:cs="仿宋" w:asciiTheme="minorEastAsia" w:hAnsiTheme="minorEastAsia" w:eastAsiaTheme="minorEastAsia"/>
          <w:color w:val="auto"/>
          <w:highlight w:val="none"/>
        </w:rPr>
      </w:r>
      <w:r/>
    </w:p>
    <w:p>
      <w:pPr>
        <w:jc w:val="center"/>
        <w:spacing w:line="360" w:lineRule="auto"/>
        <w:rPr>
          <w:rFonts w:hint="eastAsia" w:eastAsia="宋体" w:cs="仿宋" w:asciiTheme="minorEastAsia" w:hAnsiTheme="minorEastAsia"/>
          <w:b/>
          <w:bCs/>
          <w:color w:val="auto"/>
          <w:sz w:val="28"/>
          <w:szCs w:val="28"/>
          <w:highlight w:val="none"/>
          <w:lang w:eastAsia="zh-CN"/>
        </w:rPr>
      </w:pPr>
      <w:r>
        <w:rPr>
          <w:rFonts w:hint="eastAsia" w:cs="仿宋" w:asciiTheme="minorEastAsia" w:hAnsiTheme="minorEastAsia" w:eastAsiaTheme="minorEastAsia"/>
          <w:b/>
          <w:bCs/>
          <w:color w:val="auto"/>
          <w:sz w:val="28"/>
          <w:szCs w:val="28"/>
          <w:highlight w:val="none"/>
        </w:rPr>
        <w:t xml:space="preserve">采购代理机构：</w:t>
      </w:r>
      <w:r>
        <w:rPr>
          <w:rFonts w:hint="eastAsia" w:eastAsia="宋体" w:cs="仿宋" w:asciiTheme="minorEastAsia" w:hAnsiTheme="minorEastAsia"/>
          <w:b/>
          <w:bCs/>
          <w:color w:val="auto"/>
          <w:sz w:val="28"/>
          <w:szCs w:val="28"/>
          <w:highlight w:val="none"/>
          <w:lang w:eastAsia="zh-CN"/>
        </w:rPr>
        <w:t xml:space="preserve">苏美达国际技术贸易有限公司</w:t>
      </w:r>
      <w:r/>
    </w:p>
    <w:p>
      <w:pPr>
        <w:jc w:val="center"/>
        <w:rPr>
          <w:rFonts w:hint="eastAsia" w:cs="仿宋" w:asciiTheme="minorEastAsia" w:hAnsiTheme="minorEastAsia" w:eastAsiaTheme="minorEastAsia"/>
          <w:b/>
          <w:color w:val="auto"/>
          <w:sz w:val="28"/>
          <w:szCs w:val="28"/>
          <w:highlight w:val="none"/>
        </w:rPr>
      </w:pPr>
      <w:r>
        <w:rPr>
          <w:rFonts w:hint="eastAsia" w:cs="仿宋" w:asciiTheme="minorEastAsia" w:hAnsiTheme="minorEastAsia" w:eastAsiaTheme="minorEastAsia"/>
          <w:b/>
          <w:color w:val="auto"/>
          <w:sz w:val="28"/>
          <w:szCs w:val="28"/>
          <w:highlight w:val="none"/>
        </w:rPr>
      </w:r>
      <w:r/>
    </w:p>
    <w:p>
      <w:pPr>
        <w:jc w:val="center"/>
        <w:rPr>
          <w:rFonts w:hint="eastAsia" w:cs="仿宋" w:asciiTheme="minorEastAsia" w:hAnsiTheme="minorEastAsia" w:eastAsiaTheme="minorEastAsia"/>
          <w:b/>
          <w:color w:val="auto"/>
          <w:sz w:val="28"/>
          <w:szCs w:val="28"/>
          <w:highlight w:val="none"/>
        </w:rPr>
      </w:pPr>
      <w:r>
        <w:rPr>
          <w:rFonts w:hint="eastAsia" w:cs="仿宋" w:asciiTheme="minorEastAsia" w:hAnsiTheme="minorEastAsia" w:eastAsiaTheme="minorEastAsia"/>
          <w:b/>
          <w:color w:val="auto"/>
          <w:sz w:val="28"/>
          <w:szCs w:val="28"/>
          <w:highlight w:val="none"/>
        </w:rPr>
        <w:t xml:space="preserve">2026年</w:t>
      </w:r>
      <w:r>
        <w:rPr>
          <w:rFonts w:hint="eastAsia" w:cs="仿宋" w:asciiTheme="minorEastAsia" w:hAnsiTheme="minorEastAsia" w:eastAsiaTheme="minorEastAsia"/>
          <w:b/>
          <w:color w:val="auto"/>
          <w:sz w:val="28"/>
          <w:szCs w:val="28"/>
          <w:highlight w:val="none"/>
          <w:lang w:val="en-US" w:eastAsia="zh-CN"/>
        </w:rPr>
        <w:t xml:space="preserve">8</w:t>
      </w:r>
      <w:r>
        <w:rPr>
          <w:rFonts w:hint="eastAsia" w:cs="仿宋" w:asciiTheme="minorEastAsia" w:hAnsiTheme="minorEastAsia" w:eastAsiaTheme="minorEastAsia"/>
          <w:b/>
          <w:color w:val="auto"/>
          <w:sz w:val="28"/>
          <w:szCs w:val="28"/>
          <w:highlight w:val="none"/>
        </w:rPr>
        <w:t xml:space="preserve">月</w:t>
      </w:r>
      <w:r/>
    </w:p>
    <w:p>
      <w:pPr>
        <w:jc w:val="center"/>
        <w:spacing w:line="360" w:lineRule="auto"/>
        <w:widowControl/>
        <w:rPr>
          <w:rFonts w:hint="eastAsia" w:cs="仿宋" w:asciiTheme="minorEastAsia" w:hAnsiTheme="minorEastAsia" w:eastAsiaTheme="minorEastAsia"/>
          <w:b/>
          <w:color w:val="auto"/>
          <w:sz w:val="28"/>
          <w:szCs w:val="28"/>
          <w:highlight w:val="none"/>
        </w:rPr>
      </w:pPr>
      <w:r>
        <w:rPr>
          <w:rFonts w:hint="eastAsia" w:cs="仿宋" w:asciiTheme="minorEastAsia" w:hAnsiTheme="minorEastAsia" w:eastAsiaTheme="minorEastAsia"/>
          <w:b/>
          <w:color w:val="auto"/>
          <w:sz w:val="28"/>
          <w:szCs w:val="28"/>
          <w:highlight w:val="none"/>
        </w:rPr>
        <w:br w:type="page" w:clear="all"/>
      </w:r>
      <w:r/>
    </w:p>
    <w:sdt>
      <w:sdtPr>
        <w15:appearance w15:val="boundingBox"/>
        <w15:color w:val="dbdbdb"/>
        <w:id w:val="147454837"/>
        <w:docPartObj>
          <w:docPartGallery w:val="Table of Contents"/>
          <w:docPartUnique w:val="true"/>
        </w:docPartObj>
        <w:rPr>
          <w:rFonts w:hint="default" w:ascii="宋体" w:hAnsi="宋体" w:eastAsia="宋体" w:cs="Times New Roman"/>
          <w:color w:val="auto"/>
          <w:sz w:val="21"/>
          <w:highlight w:val="none"/>
          <w:lang w:val="en-US" w:eastAsia="zh-CN" w:bidi="ar-SA"/>
        </w:rPr>
      </w:sdtPr>
      <w:sdtContent>
        <w:p>
          <w:pPr>
            <w:ind w:left="0" w:right="0" w:firstLine="0"/>
            <w:jc w:val="center"/>
            <w:spacing w:before="0" w:after="0" w:line="240" w:lineRule="auto"/>
            <w:rPr>
              <w:color w:val="auto"/>
              <w:highlight w:val="none"/>
            </w:rPr>
          </w:pPr>
          <w:r>
            <w:rPr>
              <w:rFonts w:ascii="宋体" w:hAnsi="宋体" w:eastAsia="宋体"/>
              <w:b/>
              <w:bCs/>
              <w:color w:val="auto"/>
              <w:sz w:val="32"/>
              <w:szCs w:val="28"/>
              <w:highlight w:val="none"/>
            </w:rPr>
            <w:t xml:space="preserve">目录</w:t>
          </w:r>
          <w:r/>
        </w:p>
        <w:p>
          <w:pPr>
            <w:pStyle w:val="754"/>
            <w:tabs>
              <w:tab w:val="right" w:pos="8300" w:leader="dot"/>
            </w:tabs>
          </w:pPr>
          <w:r>
            <w:rPr>
              <w:rFonts w:hint="eastAsia" w:cs="仿宋" w:asciiTheme="minorEastAsia" w:hAnsiTheme="minorEastAsia" w:eastAsiaTheme="minorEastAsia"/>
              <w:color w:val="auto"/>
              <w:sz w:val="24"/>
              <w:szCs w:val="24"/>
              <w:highlight w:val="none"/>
            </w:rPr>
            <w:fldChar w:fldCharType="begin"/>
          </w:r>
          <w:r>
            <w:rPr>
              <w:rFonts w:hint="eastAsia" w:cs="仿宋" w:asciiTheme="minorEastAsia" w:hAnsiTheme="minorEastAsia" w:eastAsiaTheme="minorEastAsia"/>
              <w:color w:val="auto"/>
              <w:sz w:val="24"/>
              <w:szCs w:val="24"/>
              <w:highlight w:val="none"/>
            </w:rPr>
            <w:instrText xml:space="preserve">TOC \o "1-1" \h \u </w:instrText>
          </w:r>
          <w:r>
            <w:rPr>
              <w:rFonts w:hint="eastAsia" w:cs="仿宋" w:asciiTheme="minorEastAsia" w:hAnsiTheme="minorEastAsia" w:eastAsiaTheme="minorEastAsia"/>
              <w:color w:val="auto"/>
              <w:sz w:val="24"/>
              <w:szCs w:val="24"/>
              <w:highlight w:val="none"/>
            </w:rPr>
            <w:fldChar w:fldCharType="separate"/>
          </w:r>
          <w:r>
            <w:rPr>
              <w:rFonts w:hint="eastAsia" w:cs="仿宋" w:asciiTheme="minorEastAsia" w:hAnsiTheme="minorEastAsia" w:eastAsiaTheme="minorEastAsia"/>
              <w:color w:val="auto"/>
              <w:szCs w:val="24"/>
              <w:highlight w:val="none"/>
            </w:rPr>
            <w:fldChar w:fldCharType="begin"/>
          </w:r>
          <w:r>
            <w:rPr>
              <w:rFonts w:hint="eastAsia" w:cs="仿宋" w:asciiTheme="minorEastAsia" w:hAnsiTheme="minorEastAsia" w:eastAsiaTheme="minorEastAsia"/>
              <w:szCs w:val="24"/>
              <w:highlight w:val="none"/>
            </w:rPr>
            <w:instrText xml:space="preserve"> HYPERLINK \l _Toc19069 </w:instrText>
          </w:r>
          <w:r>
            <w:rPr>
              <w:rFonts w:hint="eastAsia" w:cs="仿宋" w:asciiTheme="minorEastAsia" w:hAnsiTheme="minorEastAsia" w:eastAsiaTheme="minorEastAsia"/>
              <w:szCs w:val="24"/>
              <w:highlight w:val="none"/>
            </w:rPr>
            <w:fldChar w:fldCharType="separate"/>
          </w:r>
          <w:r>
            <w:rPr>
              <w:rFonts w:hint="eastAsia" w:ascii="宋体" w:hAnsi="宋体" w:eastAsia="宋体" w:cs="宋体"/>
              <w:spacing w:val="15"/>
              <w:szCs w:val="28"/>
              <w:highlight w:val="none"/>
            </w:rPr>
            <w:t xml:space="preserve">第一章</w:t>
          </w:r>
          <w:r>
            <w:rPr>
              <w:rFonts w:hint="eastAsia" w:ascii="宋体" w:hAnsi="宋体" w:eastAsia="宋体" w:cs="宋体"/>
              <w:spacing w:val="15"/>
              <w:szCs w:val="28"/>
              <w:highlight w:val="none"/>
              <w:lang w:val="en-US" w:eastAsia="zh-CN"/>
            </w:rPr>
            <w:t xml:space="preserve"> </w:t>
          </w:r>
          <w:r>
            <w:rPr>
              <w:rFonts w:hint="eastAsia" w:ascii="宋体" w:hAnsi="宋体" w:eastAsia="宋体" w:cs="宋体"/>
              <w:spacing w:val="15"/>
              <w:szCs w:val="28"/>
              <w:highlight w:val="none"/>
            </w:rPr>
            <w:t xml:space="preserve">招标公告</w:t>
          </w:r>
          <w:r>
            <w:tab/>
          </w:r>
          <w:r>
            <w:fldChar w:fldCharType="begin"/>
          </w:r>
          <w:r>
            <w:instrText xml:space="preserve"> PAGEREF _Toc19069 \h </w:instrText>
          </w:r>
          <w:r>
            <w:fldChar w:fldCharType="separate"/>
          </w:r>
          <w:r>
            <w:t xml:space="preserve">3</w:t>
          </w:r>
          <w:r>
            <w:fldChar w:fldCharType="end"/>
          </w:r>
          <w:r>
            <w:rPr>
              <w:rFonts w:hint="eastAsia" w:cs="仿宋" w:asciiTheme="minorEastAsia" w:hAnsiTheme="minorEastAsia" w:eastAsiaTheme="minorEastAsia"/>
              <w:color w:val="auto"/>
              <w:szCs w:val="24"/>
              <w:highlight w:val="none"/>
            </w:rPr>
            <w:fldChar w:fldCharType="end"/>
          </w:r>
          <w:r/>
        </w:p>
        <w:p>
          <w:pPr>
            <w:pStyle w:val="754"/>
            <w:tabs>
              <w:tab w:val="right" w:pos="8300" w:leader="dot"/>
            </w:tabs>
          </w:pPr>
          <w:r>
            <w:rPr>
              <w:rFonts w:hint="eastAsia" w:cs="仿宋" w:asciiTheme="minorEastAsia" w:hAnsiTheme="minorEastAsia" w:eastAsiaTheme="minorEastAsia"/>
              <w:color w:val="auto"/>
              <w:szCs w:val="24"/>
              <w:highlight w:val="none"/>
            </w:rPr>
            <w:fldChar w:fldCharType="begin"/>
          </w:r>
          <w:r>
            <w:rPr>
              <w:rFonts w:hint="eastAsia" w:cs="仿宋" w:asciiTheme="minorEastAsia" w:hAnsiTheme="minorEastAsia" w:eastAsiaTheme="minorEastAsia"/>
              <w:szCs w:val="24"/>
              <w:highlight w:val="none"/>
            </w:rPr>
            <w:instrText xml:space="preserve"> HYPERLINK \l _Toc3842 </w:instrText>
          </w:r>
          <w:r>
            <w:rPr>
              <w:rFonts w:hint="eastAsia" w:cs="仿宋" w:asciiTheme="minorEastAsia" w:hAnsiTheme="minorEastAsia" w:eastAsiaTheme="minorEastAsia"/>
              <w:szCs w:val="24"/>
              <w:highlight w:val="none"/>
            </w:rPr>
            <w:fldChar w:fldCharType="separate"/>
          </w:r>
          <w:r>
            <w:rPr>
              <w:rFonts w:hint="eastAsia" w:ascii="宋体" w:hAnsi="宋体" w:eastAsia="宋体" w:cs="宋体"/>
              <w:spacing w:val="15"/>
              <w:szCs w:val="28"/>
              <w:highlight w:val="none"/>
            </w:rPr>
            <w:t xml:space="preserve">第二章 投标人须知</w:t>
          </w:r>
          <w:r>
            <w:tab/>
          </w:r>
          <w:r>
            <w:fldChar w:fldCharType="begin"/>
          </w:r>
          <w:r>
            <w:instrText xml:space="preserve"> PAGEREF _Toc3842 \h </w:instrText>
          </w:r>
          <w:r>
            <w:fldChar w:fldCharType="separate"/>
          </w:r>
          <w:r>
            <w:t xml:space="preserve">8</w:t>
          </w:r>
          <w:r>
            <w:fldChar w:fldCharType="end"/>
          </w:r>
          <w:r>
            <w:rPr>
              <w:rFonts w:hint="eastAsia" w:cs="仿宋" w:asciiTheme="minorEastAsia" w:hAnsiTheme="minorEastAsia" w:eastAsiaTheme="minorEastAsia"/>
              <w:color w:val="auto"/>
              <w:szCs w:val="24"/>
              <w:highlight w:val="none"/>
            </w:rPr>
            <w:fldChar w:fldCharType="end"/>
          </w:r>
          <w:r/>
        </w:p>
        <w:p>
          <w:pPr>
            <w:pStyle w:val="754"/>
            <w:tabs>
              <w:tab w:val="right" w:pos="8300" w:leader="dot"/>
            </w:tabs>
          </w:pPr>
          <w:r>
            <w:rPr>
              <w:rFonts w:hint="eastAsia" w:cs="仿宋" w:asciiTheme="minorEastAsia" w:hAnsiTheme="minorEastAsia" w:eastAsiaTheme="minorEastAsia"/>
              <w:color w:val="auto"/>
              <w:szCs w:val="24"/>
              <w:highlight w:val="none"/>
            </w:rPr>
            <w:fldChar w:fldCharType="begin"/>
          </w:r>
          <w:r>
            <w:rPr>
              <w:rFonts w:hint="eastAsia" w:cs="仿宋" w:asciiTheme="minorEastAsia" w:hAnsiTheme="minorEastAsia" w:eastAsiaTheme="minorEastAsia"/>
              <w:szCs w:val="24"/>
              <w:highlight w:val="none"/>
            </w:rPr>
            <w:instrText xml:space="preserve"> HYPERLINK \l _Toc29715 </w:instrText>
          </w:r>
          <w:r>
            <w:rPr>
              <w:rFonts w:hint="eastAsia" w:cs="仿宋" w:asciiTheme="minorEastAsia" w:hAnsiTheme="minorEastAsia" w:eastAsiaTheme="minorEastAsia"/>
              <w:szCs w:val="24"/>
              <w:highlight w:val="none"/>
            </w:rPr>
            <w:fldChar w:fldCharType="separate"/>
          </w:r>
          <w:r>
            <w:rPr>
              <w:rFonts w:hint="eastAsia" w:ascii="宋体" w:hAnsi="宋体" w:eastAsia="宋体" w:cs="宋体"/>
              <w:spacing w:val="15"/>
              <w:szCs w:val="28"/>
              <w:highlight w:val="none"/>
              <w:lang w:val="en-US" w:eastAsia="zh-CN"/>
            </w:rPr>
            <w:t xml:space="preserve">第三章</w:t>
          </w:r>
          <w:r>
            <w:rPr>
              <w:rFonts w:hint="eastAsia" w:ascii="宋体" w:hAnsi="宋体" w:eastAsia="宋体" w:cs="宋体"/>
              <w:spacing w:val="15"/>
              <w:szCs w:val="28"/>
              <w:highlight w:val="none"/>
            </w:rPr>
            <w:t xml:space="preserve"> 采购需求</w:t>
          </w:r>
          <w:r>
            <w:tab/>
          </w:r>
          <w:r>
            <w:fldChar w:fldCharType="begin"/>
          </w:r>
          <w:r>
            <w:instrText xml:space="preserve"> PAGEREF _Toc29715 \h </w:instrText>
          </w:r>
          <w:r>
            <w:fldChar w:fldCharType="separate"/>
          </w:r>
          <w:r>
            <w:t xml:space="preserve">23</w:t>
          </w:r>
          <w:r>
            <w:fldChar w:fldCharType="end"/>
          </w:r>
          <w:r>
            <w:rPr>
              <w:rFonts w:hint="eastAsia" w:cs="仿宋" w:asciiTheme="minorEastAsia" w:hAnsiTheme="minorEastAsia" w:eastAsiaTheme="minorEastAsia"/>
              <w:color w:val="auto"/>
              <w:szCs w:val="24"/>
              <w:highlight w:val="none"/>
            </w:rPr>
            <w:fldChar w:fldCharType="end"/>
          </w:r>
          <w:r/>
        </w:p>
        <w:p>
          <w:pPr>
            <w:pStyle w:val="754"/>
            <w:tabs>
              <w:tab w:val="right" w:pos="8300" w:leader="dot"/>
            </w:tabs>
          </w:pPr>
          <w:r>
            <w:rPr>
              <w:rFonts w:hint="eastAsia" w:cs="仿宋" w:asciiTheme="minorEastAsia" w:hAnsiTheme="minorEastAsia" w:eastAsiaTheme="minorEastAsia"/>
              <w:color w:val="auto"/>
              <w:szCs w:val="24"/>
              <w:highlight w:val="none"/>
            </w:rPr>
            <w:fldChar w:fldCharType="begin"/>
          </w:r>
          <w:r>
            <w:rPr>
              <w:rFonts w:hint="eastAsia" w:cs="仿宋" w:asciiTheme="minorEastAsia" w:hAnsiTheme="minorEastAsia" w:eastAsiaTheme="minorEastAsia"/>
              <w:szCs w:val="24"/>
              <w:highlight w:val="none"/>
            </w:rPr>
            <w:instrText xml:space="preserve"> HYPERLINK \l _Toc24881 </w:instrText>
          </w:r>
          <w:r>
            <w:rPr>
              <w:rFonts w:hint="eastAsia" w:cs="仿宋" w:asciiTheme="minorEastAsia" w:hAnsiTheme="minorEastAsia" w:eastAsiaTheme="minorEastAsia"/>
              <w:szCs w:val="24"/>
              <w:highlight w:val="none"/>
            </w:rPr>
            <w:fldChar w:fldCharType="separate"/>
          </w:r>
          <w:r>
            <w:rPr>
              <w:rFonts w:hint="eastAsia" w:ascii="宋体" w:hAnsi="宋体" w:eastAsia="宋体" w:cs="宋体"/>
              <w:spacing w:val="15"/>
              <w:szCs w:val="28"/>
              <w:highlight w:val="none"/>
              <w:lang w:val="en-US" w:eastAsia="zh-CN"/>
            </w:rPr>
            <w:t xml:space="preserve">第四章 评标办法及标准</w:t>
          </w:r>
          <w:r>
            <w:tab/>
          </w:r>
          <w:r>
            <w:fldChar w:fldCharType="begin"/>
          </w:r>
          <w:r>
            <w:instrText xml:space="preserve"> PAGEREF _Toc24881 \h </w:instrText>
          </w:r>
          <w:r>
            <w:fldChar w:fldCharType="separate"/>
          </w:r>
          <w:r>
            <w:t xml:space="preserve">33</w:t>
          </w:r>
          <w:r>
            <w:fldChar w:fldCharType="end"/>
          </w:r>
          <w:r>
            <w:rPr>
              <w:rFonts w:hint="eastAsia" w:cs="仿宋" w:asciiTheme="minorEastAsia" w:hAnsiTheme="minorEastAsia" w:eastAsiaTheme="minorEastAsia"/>
              <w:color w:val="auto"/>
              <w:szCs w:val="24"/>
              <w:highlight w:val="none"/>
            </w:rPr>
            <w:fldChar w:fldCharType="end"/>
          </w:r>
          <w:r/>
        </w:p>
        <w:p>
          <w:pPr>
            <w:pStyle w:val="754"/>
            <w:tabs>
              <w:tab w:val="right" w:pos="8300" w:leader="dot"/>
            </w:tabs>
          </w:pPr>
          <w:r>
            <w:rPr>
              <w:rFonts w:hint="eastAsia" w:cs="仿宋" w:asciiTheme="minorEastAsia" w:hAnsiTheme="minorEastAsia" w:eastAsiaTheme="minorEastAsia"/>
              <w:color w:val="auto"/>
              <w:szCs w:val="24"/>
              <w:highlight w:val="none"/>
            </w:rPr>
            <w:fldChar w:fldCharType="begin"/>
          </w:r>
          <w:r>
            <w:rPr>
              <w:rFonts w:hint="eastAsia" w:cs="仿宋" w:asciiTheme="minorEastAsia" w:hAnsiTheme="minorEastAsia" w:eastAsiaTheme="minorEastAsia"/>
              <w:szCs w:val="24"/>
              <w:highlight w:val="none"/>
            </w:rPr>
            <w:instrText xml:space="preserve"> HYPERLINK \l _Toc26705 </w:instrText>
          </w:r>
          <w:r>
            <w:rPr>
              <w:rFonts w:hint="eastAsia" w:cs="仿宋" w:asciiTheme="minorEastAsia" w:hAnsiTheme="minorEastAsia" w:eastAsiaTheme="minorEastAsia"/>
              <w:szCs w:val="24"/>
              <w:highlight w:val="none"/>
            </w:rPr>
            <w:fldChar w:fldCharType="separate"/>
          </w:r>
          <w:r>
            <w:rPr>
              <w:rFonts w:hint="eastAsia" w:ascii="宋体" w:hAnsi="宋体" w:eastAsia="宋体" w:cs="宋体"/>
              <w:spacing w:val="15"/>
              <w:szCs w:val="28"/>
              <w:highlight w:val="none"/>
              <w:lang w:val="en-US" w:eastAsia="zh-CN"/>
            </w:rPr>
            <w:t xml:space="preserve">第五章 合同条款</w:t>
          </w:r>
          <w:r>
            <w:tab/>
          </w:r>
          <w:r>
            <w:fldChar w:fldCharType="begin"/>
          </w:r>
          <w:r>
            <w:instrText xml:space="preserve"> PAGEREF _Toc26705 \h </w:instrText>
          </w:r>
          <w:r>
            <w:fldChar w:fldCharType="separate"/>
          </w:r>
          <w:r>
            <w:t xml:space="preserve">37</w:t>
          </w:r>
          <w:r>
            <w:fldChar w:fldCharType="end"/>
          </w:r>
          <w:r>
            <w:rPr>
              <w:rFonts w:hint="eastAsia" w:cs="仿宋" w:asciiTheme="minorEastAsia" w:hAnsiTheme="minorEastAsia" w:eastAsiaTheme="minorEastAsia"/>
              <w:color w:val="auto"/>
              <w:szCs w:val="24"/>
              <w:highlight w:val="none"/>
            </w:rPr>
            <w:fldChar w:fldCharType="end"/>
          </w:r>
          <w:r/>
        </w:p>
        <w:p>
          <w:pPr>
            <w:pStyle w:val="754"/>
            <w:tabs>
              <w:tab w:val="right" w:pos="8300" w:leader="dot"/>
            </w:tabs>
          </w:pPr>
          <w:r>
            <w:rPr>
              <w:rFonts w:hint="eastAsia" w:cs="仿宋" w:asciiTheme="minorEastAsia" w:hAnsiTheme="minorEastAsia" w:eastAsiaTheme="minorEastAsia"/>
              <w:color w:val="auto"/>
              <w:szCs w:val="24"/>
              <w:highlight w:val="none"/>
            </w:rPr>
            <w:fldChar w:fldCharType="begin"/>
          </w:r>
          <w:r>
            <w:rPr>
              <w:rFonts w:hint="eastAsia" w:cs="仿宋" w:asciiTheme="minorEastAsia" w:hAnsiTheme="minorEastAsia" w:eastAsiaTheme="minorEastAsia"/>
              <w:szCs w:val="24"/>
              <w:highlight w:val="none"/>
            </w:rPr>
            <w:instrText xml:space="preserve"> HYPERLINK \l _Toc15670 </w:instrText>
          </w:r>
          <w:r>
            <w:rPr>
              <w:rFonts w:hint="eastAsia" w:cs="仿宋" w:asciiTheme="minorEastAsia" w:hAnsiTheme="minorEastAsia" w:eastAsiaTheme="minorEastAsia"/>
              <w:szCs w:val="24"/>
              <w:highlight w:val="none"/>
            </w:rPr>
            <w:fldChar w:fldCharType="separate"/>
          </w:r>
          <w:r>
            <w:rPr>
              <w:rFonts w:hint="eastAsia" w:ascii="宋体" w:hAnsi="宋体" w:eastAsia="宋体" w:cs="宋体"/>
              <w:spacing w:val="15"/>
              <w:szCs w:val="28"/>
              <w:highlight w:val="none"/>
              <w:lang w:val="en-US" w:eastAsia="zh-CN"/>
            </w:rPr>
            <w:t xml:space="preserve">第六章 投标文件格式</w:t>
          </w:r>
          <w:r>
            <w:tab/>
          </w:r>
          <w:r>
            <w:fldChar w:fldCharType="begin"/>
          </w:r>
          <w:r>
            <w:instrText xml:space="preserve"> PAGEREF _Toc15670 \h </w:instrText>
          </w:r>
          <w:r>
            <w:fldChar w:fldCharType="separate"/>
          </w:r>
          <w:r>
            <w:t xml:space="preserve">47</w:t>
          </w:r>
          <w:r>
            <w:fldChar w:fldCharType="end"/>
          </w:r>
          <w:r>
            <w:rPr>
              <w:rFonts w:hint="eastAsia" w:cs="仿宋" w:asciiTheme="minorEastAsia" w:hAnsiTheme="minorEastAsia" w:eastAsiaTheme="minorEastAsia"/>
              <w:color w:val="auto"/>
              <w:szCs w:val="24"/>
              <w:highlight w:val="none"/>
            </w:rPr>
            <w:fldChar w:fldCharType="end"/>
          </w:r>
          <w:r/>
        </w:p>
        <w:p>
          <w:pPr>
            <w:jc w:val="center"/>
            <w:rPr>
              <w:rFonts w:hint="eastAsia" w:cs="仿宋" w:asciiTheme="minorEastAsia" w:hAnsiTheme="minorEastAsia" w:eastAsiaTheme="minorEastAsia"/>
              <w:color w:val="auto"/>
              <w:sz w:val="26"/>
              <w:szCs w:val="24"/>
              <w:highlight w:val="none"/>
              <w:lang w:val="en-US" w:eastAsia="zh-CN" w:bidi="ar-SA"/>
            </w:rPr>
          </w:pPr>
          <w:r>
            <w:rPr>
              <w:rFonts w:hint="eastAsia" w:cs="仿宋" w:asciiTheme="minorEastAsia" w:hAnsiTheme="minorEastAsia" w:eastAsiaTheme="minorEastAsia"/>
              <w:color w:val="auto"/>
              <w:szCs w:val="24"/>
              <w:highlight w:val="none"/>
            </w:rPr>
            <w:fldChar w:fldCharType="end"/>
          </w:r>
          <w:r/>
        </w:p>
      </w:sdtContent>
    </w:sdt>
    <w:p>
      <w:pPr>
        <w:jc w:val="center"/>
        <w:rPr>
          <w:rFonts w:hint="eastAsia" w:cs="仿宋" w:asciiTheme="minorEastAsia" w:hAnsiTheme="minorEastAsia" w:eastAsiaTheme="minorEastAsia"/>
          <w:color w:val="auto"/>
          <w:sz w:val="26"/>
          <w:szCs w:val="24"/>
          <w:highlight w:val="none"/>
          <w:lang w:val="en-US" w:eastAsia="zh-CN" w:bidi="ar-SA"/>
        </w:rPr>
      </w:pPr>
      <w:r>
        <w:rPr>
          <w:rFonts w:hint="eastAsia" w:cs="仿宋" w:asciiTheme="minorEastAsia" w:hAnsiTheme="minorEastAsia" w:eastAsiaTheme="minorEastAsia"/>
          <w:color w:val="auto"/>
          <w:sz w:val="26"/>
          <w:szCs w:val="24"/>
          <w:highlight w:val="none"/>
          <w:lang w:val="en-US" w:eastAsia="zh-CN" w:bidi="ar-SA"/>
        </w:rPr>
      </w:r>
      <w:r/>
    </w:p>
    <w:p>
      <w:pPr>
        <w:spacing w:line="360" w:lineRule="auto"/>
        <w:rPr>
          <w:rFonts w:hint="eastAsia" w:cs="仿宋" w:asciiTheme="minorEastAsia" w:hAnsiTheme="minorEastAsia" w:eastAsiaTheme="minorEastAsia"/>
          <w:b/>
          <w:color w:val="auto"/>
          <w:sz w:val="21"/>
          <w:szCs w:val="21"/>
          <w:highlight w:val="none"/>
        </w:rPr>
      </w:pPr>
      <w:r>
        <w:rPr>
          <w:rFonts w:hint="eastAsia" w:cs="仿宋" w:asciiTheme="minorEastAsia" w:hAnsiTheme="minorEastAsia" w:eastAsiaTheme="minorEastAsia"/>
          <w:b/>
          <w:color w:val="auto"/>
          <w:sz w:val="21"/>
          <w:szCs w:val="21"/>
          <w:highlight w:val="none"/>
        </w:rPr>
      </w:r>
      <w:r/>
    </w:p>
    <w:p>
      <w:pPr>
        <w:spacing w:line="360" w:lineRule="auto"/>
        <w:rPr>
          <w:rFonts w:hint="eastAsia" w:cs="仿宋" w:asciiTheme="minorEastAsia" w:hAnsiTheme="minorEastAsia" w:eastAsiaTheme="minorEastAsia"/>
          <w:b/>
          <w:color w:val="auto"/>
          <w:sz w:val="21"/>
          <w:szCs w:val="21"/>
          <w:highlight w:val="none"/>
        </w:rPr>
      </w:pPr>
      <w:r>
        <w:rPr>
          <w:rFonts w:hint="eastAsia" w:cs="仿宋" w:asciiTheme="minorEastAsia" w:hAnsiTheme="minorEastAsia" w:eastAsiaTheme="minorEastAsia"/>
          <w:b/>
          <w:color w:val="auto"/>
          <w:sz w:val="21"/>
          <w:szCs w:val="21"/>
          <w:highlight w:val="none"/>
        </w:rPr>
      </w:r>
      <w:r/>
    </w:p>
    <w:p>
      <w:pPr>
        <w:spacing w:line="360" w:lineRule="auto"/>
        <w:rPr>
          <w:rFonts w:hint="eastAsia" w:cs="仿宋" w:asciiTheme="minorEastAsia" w:hAnsiTheme="minorEastAsia" w:eastAsiaTheme="minorEastAsia"/>
          <w:b/>
          <w:color w:val="auto"/>
          <w:sz w:val="21"/>
          <w:szCs w:val="21"/>
          <w:highlight w:val="none"/>
        </w:rPr>
      </w:pPr>
      <w:r>
        <w:rPr>
          <w:rFonts w:hint="eastAsia" w:cs="仿宋" w:asciiTheme="minorEastAsia" w:hAnsiTheme="minorEastAsia" w:eastAsiaTheme="minorEastAsia"/>
          <w:b/>
          <w:color w:val="auto"/>
          <w:sz w:val="21"/>
          <w:szCs w:val="21"/>
          <w:highlight w:val="none"/>
        </w:rPr>
      </w:r>
      <w:r/>
    </w:p>
    <w:p>
      <w:pPr>
        <w:spacing w:line="360" w:lineRule="auto"/>
        <w:rPr>
          <w:rFonts w:hint="eastAsia" w:cs="仿宋" w:asciiTheme="minorEastAsia" w:hAnsiTheme="minorEastAsia" w:eastAsiaTheme="minorEastAsia"/>
          <w:b/>
          <w:color w:val="auto"/>
          <w:sz w:val="21"/>
          <w:szCs w:val="21"/>
          <w:highlight w:val="none"/>
        </w:rPr>
      </w:pPr>
      <w:r>
        <w:rPr>
          <w:rFonts w:hint="eastAsia" w:cs="仿宋" w:asciiTheme="minorEastAsia" w:hAnsiTheme="minorEastAsia" w:eastAsiaTheme="minorEastAsia"/>
          <w:b/>
          <w:color w:val="auto"/>
          <w:sz w:val="21"/>
          <w:szCs w:val="21"/>
          <w:highlight w:val="none"/>
        </w:rPr>
      </w:r>
      <w:r/>
    </w:p>
    <w:p>
      <w:pPr>
        <w:jc w:val="center"/>
        <w:spacing w:line="360" w:lineRule="auto"/>
        <w:widowControl/>
        <w:rPr>
          <w:rFonts w:hint="eastAsia" w:ascii="宋体" w:hAnsi="宋体" w:eastAsia="宋体" w:cs="宋体"/>
          <w:b/>
          <w:color w:val="auto"/>
          <w:spacing w:val="15"/>
          <w:sz w:val="28"/>
          <w:szCs w:val="28"/>
          <w:highlight w:val="none"/>
        </w:rPr>
        <w:sectPr>
          <w:headerReference w:type="default" r:id="rId9"/>
          <w:headerReference w:type="first" r:id="rId10"/>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outlineLvl w:val="0"/>
      </w:pPr>
      <w:r/>
      <w:bookmarkStart w:id="0" w:name="_Toc20667"/>
      <w:r/>
      <w:bookmarkStart w:id="1" w:name="_Toc409438817"/>
      <w:r/>
      <w:bookmarkStart w:id="2" w:name="_Toc388026584"/>
      <w:r/>
      <w:r/>
    </w:p>
    <w:p>
      <w:pPr>
        <w:jc w:val="center"/>
        <w:spacing w:line="360" w:lineRule="auto"/>
        <w:widowControl/>
        <w:rPr>
          <w:rFonts w:hint="eastAsia" w:ascii="宋体" w:hAnsi="宋体" w:eastAsia="宋体" w:cs="宋体"/>
          <w:b/>
          <w:color w:val="auto"/>
          <w:spacing w:val="15"/>
          <w:sz w:val="21"/>
          <w:szCs w:val="21"/>
          <w:highlight w:val="none"/>
        </w:rPr>
        <w:outlineLvl w:val="0"/>
      </w:pPr>
      <w:r/>
      <w:bookmarkStart w:id="3" w:name="_Toc19069"/>
      <w:r/>
      <w:bookmarkStart w:id="4" w:name="_Toc27906"/>
      <w:r/>
      <w:bookmarkStart w:id="5" w:name="_Toc4313"/>
      <w:r/>
      <w:bookmarkStart w:id="6" w:name="_Toc11638"/>
      <w:r>
        <w:rPr>
          <w:rFonts w:hint="eastAsia" w:ascii="宋体" w:hAnsi="宋体" w:eastAsia="宋体" w:cs="宋体"/>
          <w:b/>
          <w:color w:val="auto"/>
          <w:spacing w:val="15"/>
          <w:sz w:val="28"/>
          <w:szCs w:val="28"/>
          <w:highlight w:val="none"/>
        </w:rPr>
        <w:t xml:space="preserve">第一章</w:t>
      </w:r>
      <w:bookmarkStart w:id="7" w:name="_Toc228679947"/>
      <w:r/>
      <w:bookmarkEnd w:id="7"/>
      <w:r/>
      <w:bookmarkStart w:id="8" w:name="_Toc417477665"/>
      <w:r/>
      <w:bookmarkEnd w:id="8"/>
      <w:r/>
      <w:bookmarkStart w:id="9" w:name="_Toc258329824"/>
      <w:r/>
      <w:bookmarkEnd w:id="9"/>
      <w:r>
        <w:rPr>
          <w:rFonts w:hint="eastAsia" w:ascii="宋体" w:hAnsi="宋体" w:eastAsia="宋体" w:cs="宋体"/>
          <w:b/>
          <w:color w:val="auto"/>
          <w:spacing w:val="15"/>
          <w:sz w:val="28"/>
          <w:szCs w:val="28"/>
          <w:highlight w:val="none"/>
          <w:lang w:val="en-US" w:eastAsia="zh-CN"/>
        </w:rPr>
        <w:t xml:space="preserve"> </w:t>
      </w:r>
      <w:r>
        <w:rPr>
          <w:rFonts w:hint="eastAsia" w:ascii="宋体" w:hAnsi="宋体" w:eastAsia="宋体" w:cs="宋体"/>
          <w:b/>
          <w:color w:val="auto"/>
          <w:spacing w:val="15"/>
          <w:sz w:val="28"/>
          <w:szCs w:val="28"/>
          <w:highlight w:val="none"/>
        </w:rPr>
        <w:t xml:space="preserve">招标公告</w:t>
      </w:r>
      <w:bookmarkEnd w:id="0"/>
      <w:r/>
      <w:bookmarkEnd w:id="3"/>
      <w:r/>
      <w:bookmarkEnd w:id="4"/>
      <w:r/>
      <w:bookmarkEnd w:id="5"/>
      <w:r/>
      <w:bookmarkEnd w:id="6"/>
      <w:r/>
      <w:r/>
    </w:p>
    <w:p>
      <w:pPr>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项目概况</w:t>
      </w:r>
      <w:r/>
    </w:p>
    <w:p>
      <w:pPr>
        <w:ind w:firstLine="488"/>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lang w:eastAsia="zh-CN"/>
        </w:rPr>
        <w:t xml:space="preserve">泰州医药高新区(高港区)医疗器械检验检测服务中心二期实验室设备采购</w:t>
      </w:r>
      <w:r>
        <w:rPr>
          <w:rFonts w:hint="eastAsia" w:ascii="宋体" w:hAnsi="宋体" w:eastAsia="宋体" w:cs="宋体"/>
          <w:color w:val="auto"/>
          <w:sz w:val="21"/>
          <w:szCs w:val="21"/>
          <w:highlight w:val="none"/>
        </w:rPr>
        <w:t xml:space="preserve">招标项目的潜在投标人可在“</w:t>
      </w:r>
      <w:r>
        <w:rPr>
          <w:rFonts w:hint="eastAsia" w:ascii="宋体" w:hAnsi="宋体" w:eastAsia="宋体" w:cs="宋体"/>
          <w:color w:val="auto"/>
          <w:sz w:val="21"/>
          <w:szCs w:val="21"/>
          <w:highlight w:val="none"/>
          <w:u w:val="single"/>
        </w:rPr>
        <w:t xml:space="preserve">江苏政府采购网-苏采云”系统</w:t>
      </w:r>
      <w:r>
        <w:rPr>
          <w:rFonts w:hint="eastAsia" w:ascii="宋体" w:hAnsi="宋体" w:eastAsia="宋体" w:cs="宋体"/>
          <w:color w:val="auto"/>
          <w:sz w:val="21"/>
          <w:szCs w:val="21"/>
          <w:highlight w:val="none"/>
        </w:rPr>
        <w:t xml:space="preserve">自行下载招标文件</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"http://jszfcg.jsczt.cn/）获取招标文件，并于2023年11月" \o "http://jszfcg.jsczt.cn/）获取招标文件，并于2023年11月" </w:instrText>
      </w:r>
      <w:r>
        <w:rPr>
          <w:rFonts w:hint="eastAsia" w:ascii="宋体" w:hAnsi="宋体" w:eastAsia="宋体" w:cs="宋体"/>
          <w:color w:val="auto"/>
          <w:sz w:val="21"/>
          <w:szCs w:val="21"/>
          <w:highlight w:val="none"/>
        </w:rPr>
        <w:fldChar w:fldCharType="separate"/>
      </w:r>
      <w:r>
        <w:rPr>
          <w:rStyle w:val="770"/>
          <w:rFonts w:hint="eastAsia" w:ascii="宋体" w:hAnsi="宋体" w:eastAsia="宋体" w:cs="宋体"/>
          <w:color w:val="auto"/>
          <w:sz w:val="21"/>
          <w:szCs w:val="21"/>
          <w:highlight w:val="none"/>
          <w:u w:val="none"/>
        </w:rPr>
        <w:t xml:space="preserve">，并于</w:t>
      </w:r>
      <w:r>
        <w:rPr>
          <w:rStyle w:val="770"/>
          <w:rFonts w:hint="eastAsia" w:ascii="宋体" w:hAnsi="宋体" w:eastAsia="宋体" w:cs="宋体"/>
          <w:color w:val="auto"/>
          <w:sz w:val="21"/>
          <w:szCs w:val="21"/>
          <w:highlight w:val="none"/>
        </w:rPr>
        <w:t xml:space="preserve">2026年</w:t>
      </w:r>
      <w:r>
        <w:rPr>
          <w:rStyle w:val="770"/>
          <w:rFonts w:hint="eastAsia" w:ascii="宋体" w:hAnsi="宋体" w:eastAsia="宋体" w:cs="宋体"/>
          <w:color w:val="auto"/>
          <w:sz w:val="21"/>
          <w:szCs w:val="21"/>
          <w:highlight w:val="none"/>
          <w:lang w:val="en-US" w:eastAsia="zh-CN"/>
        </w:rPr>
        <w:t xml:space="preserve">9</w:t>
      </w:r>
      <w:r>
        <w:rPr>
          <w:rStyle w:val="770"/>
          <w:rFonts w:hint="eastAsia" w:ascii="宋体" w:hAnsi="宋体" w:eastAsia="宋体" w:cs="宋体"/>
          <w:color w:val="auto"/>
          <w:sz w:val="21"/>
          <w:szCs w:val="21"/>
          <w:highlight w:val="none"/>
        </w:rPr>
        <w:t xml:space="preserve">月</w:t>
      </w:r>
      <w:r>
        <w:rPr>
          <w:rStyle w:val="770"/>
          <w:rFonts w:hint="eastAsia" w:ascii="宋体" w:hAnsi="宋体" w:eastAsia="宋体" w:cs="宋体"/>
          <w:color w:val="auto"/>
          <w:sz w:val="21"/>
          <w:szCs w:val="21"/>
          <w:highlight w:val="none"/>
        </w:rPr>
        <w:fldChar w:fldCharType="end"/>
      </w:r>
      <w:r>
        <w:rPr>
          <w:rStyle w:val="770"/>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u w:val="single"/>
        </w:rPr>
        <w:t xml:space="preserve">日</w:t>
      </w:r>
      <w:r>
        <w:rPr>
          <w:rFonts w:hint="eastAsia" w:ascii="宋体" w:hAnsi="宋体" w:eastAsia="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rPr>
        <w:t xml:space="preserve">时</w:t>
      </w:r>
      <w:r>
        <w:rPr>
          <w:rFonts w:hint="eastAsia" w:ascii="宋体" w:hAnsi="宋体" w:eastAsia="宋体" w:cs="宋体"/>
          <w:color w:val="auto"/>
          <w:sz w:val="21"/>
          <w:szCs w:val="21"/>
          <w:highlight w:val="none"/>
          <w:u w:val="single"/>
          <w:lang w:val="en-US" w:eastAsia="zh-CN"/>
        </w:rPr>
        <w:t xml:space="preserve">00</w:t>
      </w:r>
      <w:r>
        <w:rPr>
          <w:rFonts w:hint="eastAsia" w:ascii="宋体" w:hAnsi="宋体" w:eastAsia="宋体" w:cs="宋体"/>
          <w:color w:val="auto"/>
          <w:sz w:val="21"/>
          <w:szCs w:val="21"/>
          <w:highlight w:val="none"/>
          <w:u w:val="single"/>
        </w:rPr>
        <w:t xml:space="preserve">分</w:t>
      </w:r>
      <w:r>
        <w:rPr>
          <w:rFonts w:hint="eastAsia" w:ascii="宋体" w:hAnsi="宋体" w:eastAsia="宋体" w:cs="宋体"/>
          <w:bCs/>
          <w:color w:val="auto"/>
          <w:sz w:val="21"/>
          <w:szCs w:val="21"/>
          <w:highlight w:val="none"/>
        </w:rPr>
        <w:t xml:space="preserve">（北京时间）前上传投标文件</w:t>
      </w:r>
      <w:r>
        <w:rPr>
          <w:rFonts w:hint="eastAsia" w:ascii="宋体" w:hAnsi="宋体" w:eastAsia="宋体" w:cs="宋体"/>
          <w:color w:val="auto"/>
          <w:sz w:val="21"/>
          <w:szCs w:val="21"/>
          <w:highlight w:val="none"/>
        </w:rPr>
        <w:t xml:space="preserve">。</w:t>
      </w:r>
      <w:r/>
    </w:p>
    <w:p>
      <w:pPr>
        <w:pStyle w:val="921"/>
        <w:spacing w:before="0" w:after="0" w:line="360" w:lineRule="auto"/>
        <w:rPr>
          <w:rFonts w:hint="eastAsia" w:ascii="宋体" w:hAnsi="宋体" w:eastAsia="宋体" w:cs="宋体"/>
          <w:bCs w:val="0"/>
          <w:color w:val="auto"/>
          <w:sz w:val="21"/>
          <w:szCs w:val="21"/>
          <w:highlight w:val="none"/>
        </w:rPr>
        <w:outlineLvl w:val="9"/>
      </w:pPr>
      <w:r/>
      <w:bookmarkStart w:id="10" w:name="_Toc28359002"/>
      <w:r/>
      <w:bookmarkStart w:id="11" w:name="_Toc35393621"/>
      <w:r/>
      <w:bookmarkStart w:id="12" w:name="_Toc35393790"/>
      <w:r/>
      <w:bookmarkStart w:id="13" w:name="_Toc28359079"/>
      <w:r/>
      <w:bookmarkStart w:id="14" w:name="_Hlk24379207"/>
      <w:r>
        <w:rPr>
          <w:rFonts w:hint="eastAsia" w:ascii="宋体" w:hAnsi="宋体" w:eastAsia="宋体" w:cs="宋体"/>
          <w:bCs w:val="0"/>
          <w:color w:val="auto"/>
          <w:sz w:val="21"/>
          <w:szCs w:val="21"/>
          <w:highlight w:val="none"/>
        </w:rPr>
        <w:t xml:space="preserve">一、项目基本情况</w:t>
      </w:r>
      <w:bookmarkEnd w:id="10"/>
      <w:r/>
      <w:bookmarkEnd w:id="11"/>
      <w:r/>
      <w:bookmarkEnd w:id="12"/>
      <w:r/>
      <w:bookmarkEnd w:id="13"/>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JSZC-321203-SMDG-G2026-0078</w:t>
      </w: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采购代理编号：</w:t>
      </w:r>
      <w:r>
        <w:rPr>
          <w:rFonts w:hint="eastAsia" w:ascii="宋体" w:hAnsi="宋体" w:eastAsia="宋体" w:cs="宋体"/>
          <w:color w:val="auto"/>
          <w:sz w:val="21"/>
          <w:szCs w:val="21"/>
          <w:highlight w:val="none"/>
          <w:lang w:eastAsia="zh-CN"/>
        </w:rPr>
        <w:t xml:space="preserve">0664-2640SUMECZF124</w:t>
      </w: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bookmarkEnd w:id="14"/>
      <w:r>
        <w:rPr>
          <w:rFonts w:hint="eastAsia" w:ascii="宋体" w:hAnsi="宋体" w:eastAsia="宋体" w:cs="宋体"/>
          <w:color w:val="auto"/>
          <w:sz w:val="21"/>
          <w:szCs w:val="21"/>
          <w:highlight w:val="none"/>
          <w:lang w:eastAsia="zh-CN"/>
        </w:rPr>
        <w:t xml:space="preserve">泰州医药高新区(高港区)医疗器械检验检测服务中心二期实验室设备采购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532.9996万</w:t>
      </w:r>
      <w:r>
        <w:rPr>
          <w:rFonts w:hint="eastAsia" w:ascii="宋体" w:hAnsi="宋体" w:eastAsia="宋体" w:cs="宋体"/>
          <w:color w:val="auto"/>
          <w:sz w:val="21"/>
          <w:szCs w:val="21"/>
          <w:highlight w:val="none"/>
        </w:rPr>
        <w:t xml:space="preserve">元</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532.9996万</w:t>
      </w:r>
      <w:r>
        <w:rPr>
          <w:rFonts w:hint="eastAsia" w:ascii="宋体" w:hAnsi="宋体" w:eastAsia="宋体" w:cs="宋体"/>
          <w:color w:val="auto"/>
          <w:sz w:val="21"/>
          <w:szCs w:val="21"/>
          <w:highlight w:val="none"/>
        </w:rPr>
        <w:t xml:space="preserve">元</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p>
    <w:tbl>
      <w:tblPr>
        <w:tblStyle w:val="922"/>
        <w:tblW w:w="500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9"/>
        <w:gridCol w:w="3704"/>
        <w:gridCol w:w="1222"/>
        <w:gridCol w:w="1988"/>
        <w:gridCol w:w="1149"/>
      </w:tblGrid>
      <w:tr>
        <w:trPr>
          <w:jc w:val="center"/>
          <w:trHeight w:val="1041"/>
        </w:trPr>
        <w:tc>
          <w:tcPr>
            <w:tcW w:w="491"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品目</w:t>
            </w:r>
            <w:r/>
          </w:p>
        </w:tc>
        <w:tc>
          <w:tcPr>
            <w:tcW w:w="207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设备名称</w:t>
            </w:r>
            <w:r/>
          </w:p>
        </w:tc>
        <w:tc>
          <w:tcPr>
            <w:tcW w:w="68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11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预算/最高限价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64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cW w:w="2070" w:type="pct"/>
            <w:vAlign w:val="center"/>
            <w:textDirection w:val="lrTb"/>
            <w:noWrap w:val="false"/>
          </w:tcPr>
          <w:p>
            <w:pPr>
              <w:jc w:val="center"/>
              <w:spacing w:line="360" w:lineRule="auto"/>
              <w:rPr>
                <w:rFonts w:hint="eastAsia" w:ascii="宋体" w:hAnsi="宋体" w:eastAsia="楷体_GB2312"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液相色谱串联质谱仪</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核心产品</w:t>
            </w:r>
            <w:r>
              <w:rPr>
                <w:rFonts w:hint="eastAsia" w:ascii="宋体" w:hAnsi="宋体" w:eastAsia="宋体" w:cs="宋体"/>
                <w:b/>
                <w:bCs/>
                <w:color w:val="auto"/>
                <w:sz w:val="21"/>
                <w:szCs w:val="21"/>
                <w:highlight w:val="none"/>
                <w:lang w:eastAsia="zh-CN"/>
              </w:rPr>
              <w:t xml:space="preserve">）</w:t>
            </w:r>
            <w:r/>
          </w:p>
        </w:tc>
        <w:tc>
          <w:tcPr>
            <w:shd w:val="clear" w:color="auto" w:fill="ffffff"/>
            <w:tcW w:w="68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270</w:t>
            </w:r>
            <w:r/>
          </w:p>
        </w:tc>
        <w:tc>
          <w:tcPr>
            <w:shd w:val="clear" w:color="auto" w:fill="ffffff"/>
            <w:tcW w:w="642"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是</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ffffff"/>
            <w:tcW w:w="2070"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基因测序工作站</w:t>
            </w:r>
            <w:r/>
          </w:p>
        </w:tc>
        <w:tc>
          <w:tcPr>
            <w:shd w:val="clear" w:color="auto" w:fill="ffffff"/>
            <w:tcW w:w="68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199.9996</w:t>
            </w:r>
            <w:r/>
          </w:p>
        </w:tc>
        <w:tc>
          <w:tcPr>
            <w:shd w:val="clear" w:color="auto" w:fill="ffffff"/>
            <w:tcW w:w="64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否</w:t>
            </w:r>
            <w:r/>
          </w:p>
        </w:tc>
      </w:tr>
      <w:tr>
        <w:trPr>
          <w:jc w:val="center"/>
          <w:trHeight w:val="915"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ffffff"/>
            <w:tcW w:w="2070"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全自动数字PCR仪</w:t>
            </w:r>
            <w:r/>
          </w:p>
        </w:tc>
        <w:tc>
          <w:tcPr>
            <w:shd w:val="clear" w:color="auto" w:fill="ffffff"/>
            <w:tcW w:w="68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w:t>
            </w:r>
            <w:r/>
          </w:p>
        </w:tc>
        <w:tc>
          <w:tcPr>
            <w:shd w:val="clear" w:color="auto" w:fill="ffffff"/>
            <w:tcW w:w="64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否</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ffffff"/>
            <w:tcW w:w="2070"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凝胶成像系统</w:t>
            </w:r>
            <w:r/>
          </w:p>
        </w:tc>
        <w:tc>
          <w:tcPr>
            <w:shd w:val="clear" w:color="auto" w:fill="ffffff"/>
            <w:tcW w:w="68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ffffff"/>
            <w:tcW w:w="64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否</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ffffff"/>
            <w:tcW w:w="2070"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垂直电泳套装</w:t>
            </w:r>
            <w:r/>
          </w:p>
        </w:tc>
        <w:tc>
          <w:tcPr>
            <w:shd w:val="clear" w:color="auto" w:fill="ffffff"/>
            <w:tcW w:w="68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64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否</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ffffff"/>
            <w:tcW w:w="2070"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水平电泳套装</w:t>
            </w:r>
            <w:r/>
          </w:p>
        </w:tc>
        <w:tc>
          <w:tcPr>
            <w:shd w:val="clear" w:color="auto" w:fill="ffffff"/>
            <w:tcW w:w="68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64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否</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ffffff"/>
            <w:tcW w:w="2070"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核酸定量仪</w:t>
            </w:r>
            <w:r/>
          </w:p>
        </w:tc>
        <w:tc>
          <w:tcPr>
            <w:shd w:val="clear" w:color="auto" w:fill="ffffff"/>
            <w:tcW w:w="683"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ffffff"/>
            <w:tcW w:w="64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否</w:t>
            </w:r>
            <w:r/>
          </w:p>
        </w:tc>
      </w:tr>
    </w:tbl>
    <w:p>
      <w:pPr>
        <w:pStyle w:val="92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合同履行期限：合同签订后</w:t>
      </w:r>
      <w:r>
        <w:rPr>
          <w:rFonts w:hint="eastAsia" w:ascii="宋体" w:hAnsi="宋体" w:eastAsia="宋体" w:cs="宋体"/>
          <w:color w:val="auto"/>
          <w:sz w:val="21"/>
          <w:szCs w:val="21"/>
          <w:highlight w:val="none"/>
          <w:lang w:val="en-US" w:eastAsia="zh-CN"/>
        </w:rPr>
        <w:t xml:space="preserve">60天</w:t>
      </w:r>
      <w:r>
        <w:rPr>
          <w:rFonts w:hint="eastAsia" w:ascii="宋体" w:hAnsi="宋体" w:eastAsia="宋体" w:cs="宋体"/>
          <w:color w:val="auto"/>
          <w:sz w:val="21"/>
          <w:szCs w:val="21"/>
          <w:highlight w:val="none"/>
        </w:rPr>
        <w:t xml:space="preserve">内完成交货</w:t>
      </w:r>
      <w:r/>
    </w:p>
    <w:p>
      <w:pPr>
        <w:pStyle w:val="923"/>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本项目不接受联合体投标。</w:t>
      </w:r>
      <w:r/>
    </w:p>
    <w:p>
      <w:pPr>
        <w:pStyle w:val="921"/>
        <w:spacing w:before="0" w:after="0" w:line="360" w:lineRule="auto"/>
        <w:rPr>
          <w:rFonts w:hint="eastAsia" w:ascii="宋体" w:hAnsi="宋体" w:eastAsia="宋体" w:cs="宋体"/>
          <w:bCs w:val="0"/>
          <w:color w:val="auto"/>
          <w:sz w:val="21"/>
          <w:szCs w:val="21"/>
          <w:highlight w:val="none"/>
        </w:rPr>
        <w:outlineLvl w:val="9"/>
      </w:pPr>
      <w:r/>
      <w:bookmarkStart w:id="15" w:name="_Toc28359003"/>
      <w:r/>
      <w:bookmarkStart w:id="16" w:name="_Toc35393622"/>
      <w:r/>
      <w:bookmarkStart w:id="17" w:name="_Toc28359080"/>
      <w:r/>
      <w:bookmarkStart w:id="18" w:name="_Toc35393791"/>
      <w:r>
        <w:rPr>
          <w:rFonts w:hint="eastAsia" w:ascii="宋体" w:hAnsi="宋体" w:eastAsia="宋体" w:cs="宋体"/>
          <w:bCs w:val="0"/>
          <w:color w:val="auto"/>
          <w:sz w:val="21"/>
          <w:szCs w:val="21"/>
          <w:highlight w:val="none"/>
        </w:rPr>
        <w:t xml:space="preserve">二、申请人的资格要求：</w:t>
      </w:r>
      <w:bookmarkEnd w:id="15"/>
      <w:r/>
      <w:bookmarkEnd w:id="16"/>
      <w:r/>
      <w:bookmarkEnd w:id="17"/>
      <w:r/>
      <w:bookmarkEnd w:id="18"/>
      <w:r/>
      <w:r/>
    </w:p>
    <w:p>
      <w:pPr>
        <w:ind w:firstLine="482"/>
        <w:spacing w:line="360" w:lineRule="auto"/>
        <w:rPr>
          <w:rFonts w:hint="eastAsia" w:ascii="宋体" w:hAnsi="宋体" w:eastAsia="宋体" w:cs="宋体"/>
          <w:b/>
          <w:bCs/>
          <w:color w:val="auto"/>
          <w:sz w:val="21"/>
          <w:szCs w:val="21"/>
          <w:highlight w:val="none"/>
        </w:rPr>
      </w:pPr>
      <w:r/>
      <w:bookmarkStart w:id="19" w:name="_Hlk142317588"/>
      <w:r/>
      <w:bookmarkStart w:id="20" w:name="_Toc28359081"/>
      <w:r/>
      <w:bookmarkStart w:id="21" w:name="_Toc28359004"/>
      <w:r/>
      <w:bookmarkStart w:id="22" w:name="_Toc35393792"/>
      <w:r/>
      <w:bookmarkStart w:id="23" w:name="_Toc35393623"/>
      <w:r>
        <w:rPr>
          <w:rFonts w:hint="eastAsia" w:ascii="宋体" w:hAnsi="宋体" w:eastAsia="宋体" w:cs="宋体"/>
          <w:b/>
          <w:bCs/>
          <w:color w:val="auto"/>
          <w:sz w:val="21"/>
          <w:szCs w:val="21"/>
          <w:highlight w:val="none"/>
        </w:rPr>
        <w:t xml:space="preserve">（一）通用资格要求</w:t>
      </w:r>
      <w:bookmarkEnd w:id="19"/>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1、满足《中华人民共和国政府采购法》第二十二条规定，并提供下列材料：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1.1具有独立承担民事责任的能力（提供法人或者其他组织的营业执照等证明文件，自然人的身份证明）；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1.2具有良好的商业信誉和健全的财务会计制度（提供上一年度的财务状况报告或提供2024年或2025年任意一个年度的会计师事务所出具的审计报告，成立不满一年的需提供银行资信证明）；</w:t>
      </w:r>
      <w:r/>
    </w:p>
    <w:p>
      <w:pPr>
        <w:ind w:firstLine="48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1.3有依法缴纳税收和社会保障资金的良好记录（提供供应商参加本次政府采购活动前6个月内（即</w:t>
      </w:r>
      <w:r>
        <w:rPr>
          <w:rFonts w:hint="eastAsia" w:ascii="宋体" w:hAnsi="宋体" w:eastAsia="宋体" w:cs="宋体"/>
          <w:b/>
          <w:color w:val="auto"/>
          <w:sz w:val="21"/>
          <w:szCs w:val="21"/>
          <w:highlight w:val="none"/>
          <w:lang w:eastAsia="zh-CN"/>
        </w:rPr>
        <w:t xml:space="preserve">2026年2月-2026年7月</w:t>
      </w:r>
      <w:r>
        <w:rPr>
          <w:rFonts w:hint="eastAsia" w:ascii="宋体" w:hAnsi="宋体" w:eastAsia="宋体" w:cs="宋体"/>
          <w:b/>
          <w:color w:val="auto"/>
          <w:sz w:val="21"/>
          <w:szCs w:val="21"/>
          <w:highlight w:val="none"/>
        </w:rPr>
        <w:t xml:space="preserve">期间）</w:t>
      </w:r>
      <w:r>
        <w:rPr>
          <w:rFonts w:hint="eastAsia" w:ascii="宋体" w:hAnsi="宋体" w:eastAsia="宋体" w:cs="宋体"/>
          <w:color w:val="auto"/>
          <w:sz w:val="21"/>
          <w:szCs w:val="21"/>
          <w:highlight w:val="none"/>
        </w:rPr>
        <w:t xml:space="preserve">至少一个月缴纳税收及缴纳社会保障资金的证明材料。供应商依法享受缓缴、免缴税收、社会保障资金的提供证明材料）；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1.4具有履行合同所必需的设备和专业技术能力（提供书面声明）；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1.5参加政府采购活动前3年内在经营活动中没有重大违法记录（提供书面声明）。</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、落实政府采购政策需满足的资格要求：</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.1本项目属于</w:t>
      </w:r>
      <w:r>
        <w:rPr>
          <w:rFonts w:hint="eastAsia" w:ascii="宋体" w:hAnsi="宋体" w:eastAsia="宋体" w:cs="宋体"/>
          <w:bCs/>
          <w:color w:val="auto"/>
          <w:sz w:val="21"/>
          <w:szCs w:val="21"/>
          <w:highlight w:val="none"/>
          <w:u w:val="single"/>
        </w:rPr>
        <w:t xml:space="preserve">货物类</w:t>
      </w:r>
      <w:r>
        <w:rPr>
          <w:rFonts w:hint="eastAsia" w:ascii="宋体" w:hAnsi="宋体" w:eastAsia="宋体" w:cs="宋体"/>
          <w:bCs/>
          <w:color w:val="auto"/>
          <w:sz w:val="21"/>
          <w:szCs w:val="21"/>
          <w:highlight w:val="none"/>
        </w:rPr>
        <w:t xml:space="preserve">采购。不专门面向中小企业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hAnsi="宋体" w:eastAsia="宋体" w:cs="宋体"/>
          <w:bCs/>
          <w:color w:val="auto"/>
          <w:sz w:val="21"/>
          <w:szCs w:val="21"/>
          <w:highlight w:val="none"/>
          <w:u w:val="single"/>
        </w:rPr>
        <w:t xml:space="preserve">工业</w:t>
      </w:r>
      <w:r>
        <w:rPr>
          <w:rFonts w:hint="eastAsia" w:ascii="宋体" w:hAnsi="宋体" w:eastAsia="宋体" w:cs="宋体"/>
          <w:bCs/>
          <w:color w:val="auto"/>
          <w:sz w:val="21"/>
          <w:szCs w:val="21"/>
          <w:highlight w:val="none"/>
        </w:rPr>
        <w:t xml:space="preserve">。</w:t>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、本项目的特定资格要求：</w:t>
      </w:r>
      <w:r/>
    </w:p>
    <w:p>
      <w:pPr>
        <w:ind w:left="178" w:right="105" w:firstLine="422"/>
        <w:spacing w:line="360" w:lineRule="auto"/>
        <w:shd w:val="clear" w:color="auto" w:fill="ffffff"/>
        <w:widowControl/>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4.1 本项仅针对液相色谱串联质谱仪、基因测序工作站、全自动数字PCR仪</w:t>
      </w:r>
      <w:r/>
    </w:p>
    <w:p>
      <w:pPr>
        <w:ind w:left="178" w:right="105" w:firstLine="422"/>
        <w:spacing w:line="360" w:lineRule="auto"/>
        <w:shd w:val="clear" w:color="auto" w:fill="ffffff"/>
        <w:widowControl/>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4</w:t>
      </w:r>
      <w:r>
        <w:rPr>
          <w:rFonts w:hint="eastAsia" w:ascii="宋体" w:hAnsi="宋体" w:eastAsia="宋体"/>
          <w:b/>
          <w:bCs/>
          <w:color w:val="auto"/>
          <w:sz w:val="21"/>
          <w:szCs w:val="21"/>
          <w:highlight w:val="none"/>
          <w:lang w:val="en-US"/>
        </w:rPr>
        <w:t xml:space="preserve">.1.1投标人须提供有效的医疗器械注册证或备案凭证，投标时需提供复印件并加盖公章;</w:t>
      </w:r>
      <w:r/>
    </w:p>
    <w:p>
      <w:pPr>
        <w:ind w:left="178" w:right="105" w:firstLine="422"/>
        <w:spacing w:line="360" w:lineRule="auto"/>
        <w:shd w:val="clear" w:color="auto" w:fill="ffffff"/>
        <w:widowControl/>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4</w:t>
      </w:r>
      <w:r>
        <w:rPr>
          <w:rFonts w:hint="eastAsia" w:ascii="宋体" w:hAnsi="宋体" w:eastAsia="宋体"/>
          <w:b/>
          <w:bCs/>
          <w:color w:val="auto"/>
          <w:sz w:val="21"/>
          <w:szCs w:val="21"/>
          <w:highlight w:val="none"/>
          <w:lang w:val="en-US"/>
        </w:rPr>
        <w:t xml:space="preserve">.1.2若投标人为代理商，须具有有效的医疗器械经营许可证或医疗器械经营备案凭证，投标时需提供复印件并加盖公章</w:t>
      </w:r>
      <w:r>
        <w:rPr>
          <w:rFonts w:hint="eastAsia" w:ascii="宋体" w:hAnsi="宋体" w:eastAsia="宋体"/>
          <w:b/>
          <w:bCs/>
          <w:color w:val="auto"/>
          <w:sz w:val="21"/>
          <w:szCs w:val="21"/>
          <w:highlight w:val="none"/>
          <w:lang w:val="en-US" w:eastAsia="zh-CN"/>
        </w:rPr>
        <w:t xml:space="preserve">；</w:t>
      </w:r>
      <w:r/>
    </w:p>
    <w:p>
      <w:pPr>
        <w:ind w:left="178" w:right="105" w:firstLine="422"/>
        <w:spacing w:line="360" w:lineRule="auto"/>
        <w:shd w:val="clear" w:color="auto" w:fill="ffffff"/>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4</w:t>
      </w:r>
      <w:r>
        <w:rPr>
          <w:rFonts w:hint="eastAsia" w:ascii="宋体" w:hAnsi="宋体" w:eastAsia="宋体"/>
          <w:b/>
          <w:bCs/>
          <w:color w:val="auto"/>
          <w:sz w:val="21"/>
          <w:szCs w:val="21"/>
          <w:highlight w:val="none"/>
          <w:lang w:val="en-US"/>
        </w:rPr>
        <w:t xml:space="preserve">.1.3若投标人为生产商/制造商，须具有有效的医疗器械生产许可证或生产备案凭证(医疗器械生产许可证如有医疗器械生产产品登记表的须一并提供)，投标时需提供复印件并加特定资格要求盖公章。</w:t>
      </w:r>
      <w:r/>
    </w:p>
    <w:p>
      <w:pPr>
        <w:ind w:left="178" w:right="105" w:firstLine="422"/>
        <w:spacing w:line="360" w:lineRule="auto"/>
        <w:shd w:val="clear" w:color="auto" w:fill="ffffff"/>
        <w:widowControl/>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4.2对于采用进口产品投标的供应商，必须提供下列授权文件之一（原件或扫描/复印件）：①该设备制造商出具的授权函；②制造商的国内子公司或办事处出具的授权函；③ 制造商对授权的区域代理商出具的授权函及该区域代理商出具的授权函；④ 供应商取得的产品代理证书。</w:t>
      </w:r>
      <w:r/>
    </w:p>
    <w:p>
      <w:pPr>
        <w:pStyle w:val="921"/>
        <w:spacing w:before="0" w:after="0" w:line="360" w:lineRule="auto"/>
        <w:rPr>
          <w:rFonts w:hint="eastAsia" w:ascii="宋体" w:hAnsi="宋体" w:eastAsia="宋体" w:cs="宋体"/>
          <w:bCs w:val="0"/>
          <w:color w:val="auto"/>
          <w:sz w:val="21"/>
          <w:szCs w:val="21"/>
          <w:highlight w:val="none"/>
        </w:rPr>
        <w:outlineLvl w:val="9"/>
      </w:pPr>
      <w:r>
        <w:rPr>
          <w:rFonts w:hint="eastAsia" w:ascii="宋体" w:hAnsi="宋体" w:eastAsia="宋体" w:cs="宋体"/>
          <w:bCs w:val="0"/>
          <w:color w:val="auto"/>
          <w:sz w:val="21"/>
          <w:szCs w:val="21"/>
          <w:highlight w:val="none"/>
        </w:rPr>
        <w:t xml:space="preserve">三、获取招标文件</w:t>
      </w:r>
      <w:bookmarkEnd w:id="20"/>
      <w:r/>
      <w:bookmarkEnd w:id="21"/>
      <w:r/>
      <w:bookmarkEnd w:id="22"/>
      <w:r/>
      <w:bookmarkEnd w:id="23"/>
      <w:r>
        <w:rPr>
          <w:rFonts w:hint="eastAsia" w:ascii="宋体" w:hAnsi="宋体" w:eastAsia="宋体" w:cs="宋体"/>
          <w:bCs w:val="0"/>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bookmarkStart w:id="24" w:name="_Toc28359082"/>
      <w:r/>
      <w:bookmarkStart w:id="25" w:name="_Toc28359005"/>
      <w:r/>
      <w:bookmarkStart w:id="26" w:name="_Toc35393624"/>
      <w:r/>
      <w:bookmarkStart w:id="27" w:name="_Toc35393793"/>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时间：2026年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日起至2026年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日止，2026年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18</w:t>
      </w:r>
      <w:r>
        <w:rPr>
          <w:rFonts w:hint="eastAsia" w:ascii="宋体" w:hAnsi="宋体" w:eastAsia="宋体" w:cs="宋体"/>
          <w:color w:val="auto"/>
          <w:sz w:val="21"/>
          <w:szCs w:val="21"/>
          <w:highlight w:val="none"/>
        </w:rPr>
        <w:t xml:space="preserve">日后仍可以下载招标文件，2026年8月18日后下载的招标文件，超出有效报名时间且不作为供应商权益受到损害的证明材料和依据。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2.地点：苏采云系统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3.获取方式：本项目采用网上注册登记方式。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3.1潜在供应商访问电子招标响应交易平台的网络地址和方法：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3.2潜在供应商访问“苏采云”系统的网络地址和方法：“苏采云”系统的网址：http://jszfcg.jsczt.cn/。</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3.3“CA数字证书”的获取：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响应供应商需办理“CA 数字证书”，CA办理指南及“苏采云”操作手册可至江苏省政府采购网―办事指南-资料下载中心下载。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3.4采购文件（后缀名为“.kedt”）、供应商操作手册及政府采购客户端工具可通过“苏采云”系统--已报名项目--报名详情页面内相应链接进行下载。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3.5采购人或采购代理机构将数据电文形式的采购文件加载至“苏采云”系统，供潜在供应商下载或者查阅。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注：如潜在供应商未按上述要求操作，将自行承担所产生的风险。</w:t>
      </w:r>
      <w:r/>
    </w:p>
    <w:p>
      <w:pPr>
        <w:pStyle w:val="921"/>
        <w:spacing w:before="0" w:after="0" w:line="360" w:lineRule="auto"/>
        <w:rPr>
          <w:rFonts w:hint="eastAsia" w:ascii="宋体" w:hAnsi="宋体" w:eastAsia="宋体" w:cs="宋体"/>
          <w:bCs w:val="0"/>
          <w:color w:val="auto"/>
          <w:sz w:val="21"/>
          <w:szCs w:val="21"/>
          <w:highlight w:val="none"/>
        </w:rPr>
        <w:outlineLvl w:val="9"/>
      </w:pPr>
      <w:r>
        <w:rPr>
          <w:rFonts w:hint="eastAsia" w:ascii="宋体" w:hAnsi="宋体" w:eastAsia="宋体" w:cs="宋体"/>
          <w:bCs w:val="0"/>
          <w:color w:val="auto"/>
          <w:sz w:val="21"/>
          <w:szCs w:val="21"/>
          <w:highlight w:val="none"/>
        </w:rPr>
        <w:t xml:space="preserve">四、提交投标文件</w:t>
      </w:r>
      <w:bookmarkEnd w:id="24"/>
      <w:r/>
      <w:bookmarkEnd w:id="25"/>
      <w:r>
        <w:rPr>
          <w:rFonts w:hint="eastAsia" w:ascii="宋体" w:hAnsi="宋体" w:eastAsia="宋体" w:cs="宋体"/>
          <w:bCs w:val="0"/>
          <w:color w:val="auto"/>
          <w:sz w:val="21"/>
          <w:szCs w:val="21"/>
          <w:highlight w:val="none"/>
        </w:rPr>
        <w:t xml:space="preserve">截止时间、开标时间和地点</w:t>
      </w:r>
      <w:bookmarkEnd w:id="26"/>
      <w:r/>
      <w:bookmarkEnd w:id="27"/>
      <w:r/>
      <w:r/>
    </w:p>
    <w:p>
      <w:pPr>
        <w:ind w:firstLine="42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lang w:eastAsia="zh-CN"/>
        </w:rPr>
        <w:t xml:space="preserve">2026年9月3日14时00分</w:t>
      </w:r>
      <w:r>
        <w:rPr>
          <w:rFonts w:hint="eastAsia" w:ascii="宋体" w:hAnsi="宋体" w:eastAsia="宋体" w:cs="宋体"/>
          <w:color w:val="auto"/>
          <w:sz w:val="21"/>
          <w:szCs w:val="21"/>
          <w:highlight w:val="none"/>
        </w:rPr>
        <w:t xml:space="preserve">（北京时间）</w:t>
      </w:r>
      <w:r/>
    </w:p>
    <w:p>
      <w:pPr>
        <w:ind w:firstLine="420"/>
        <w:spacing w:line="360" w:lineRule="auto"/>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rPr>
        <w:t xml:space="preserve">地点：</w:t>
      </w:r>
      <w:r>
        <w:rPr>
          <w:rFonts w:hint="eastAsia" w:ascii="宋体" w:hAnsi="宋体" w:eastAsia="宋体" w:cs="宋体"/>
          <w:bCs/>
          <w:color w:val="auto"/>
          <w:sz w:val="21"/>
          <w:szCs w:val="21"/>
          <w:highlight w:val="none"/>
        </w:rPr>
        <w:t xml:space="preserve">江苏省政府采购交易系统（以下简称“苏采云系统”）网上开标大厅</w:t>
      </w:r>
      <w:r/>
    </w:p>
    <w:p>
      <w:pPr>
        <w:ind w:firstLine="420"/>
        <w:spacing w:line="360"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投标文件的解密：开标当天各供应商及时登录不见面开标大厅，投标文件递交截止时间后，采购人将在系统内公布供应商名单，然后通</w:t>
      </w:r>
      <w:r>
        <w:rPr>
          <w:rFonts w:hint="eastAsia" w:ascii="宋体" w:hAnsi="宋体" w:eastAsia="宋体" w:cs="宋体"/>
          <w:bCs/>
          <w:color w:val="auto"/>
          <w:sz w:val="21"/>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921"/>
        <w:spacing w:before="0" w:after="0" w:line="360" w:lineRule="auto"/>
        <w:rPr>
          <w:rFonts w:hint="eastAsia" w:ascii="宋体" w:hAnsi="宋体" w:eastAsia="宋体" w:cs="宋体"/>
          <w:bCs w:val="0"/>
          <w:color w:val="auto"/>
          <w:sz w:val="21"/>
          <w:szCs w:val="21"/>
          <w:highlight w:val="none"/>
        </w:rPr>
        <w:outlineLvl w:val="9"/>
      </w:pPr>
      <w:r/>
      <w:bookmarkStart w:id="28" w:name="_Toc28359084"/>
      <w:r/>
      <w:bookmarkStart w:id="29" w:name="_Toc35393625"/>
      <w:r/>
      <w:bookmarkStart w:id="30" w:name="_Toc28359007"/>
      <w:r/>
      <w:bookmarkStart w:id="31" w:name="_Toc35393794"/>
      <w:r>
        <w:rPr>
          <w:rFonts w:hint="eastAsia" w:ascii="宋体" w:hAnsi="宋体" w:eastAsia="宋体" w:cs="宋体"/>
          <w:bCs w:val="0"/>
          <w:color w:val="auto"/>
          <w:sz w:val="21"/>
          <w:szCs w:val="21"/>
          <w:highlight w:val="none"/>
        </w:rPr>
        <w:t xml:space="preserve">五、公告期限</w:t>
      </w:r>
      <w:bookmarkEnd w:id="28"/>
      <w:r/>
      <w:bookmarkEnd w:id="29"/>
      <w:r/>
      <w:bookmarkEnd w:id="30"/>
      <w:r/>
      <w:bookmarkEnd w:id="31"/>
      <w:r/>
      <w:r/>
    </w:p>
    <w:p>
      <w:pPr>
        <w:ind w:firstLine="488"/>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自本公告发布之日起5个工作日。</w:t>
      </w:r>
      <w:r/>
    </w:p>
    <w:p>
      <w:pPr>
        <w:pStyle w:val="921"/>
        <w:spacing w:before="0" w:after="0" w:line="360" w:lineRule="auto"/>
        <w:rPr>
          <w:rFonts w:hint="eastAsia" w:ascii="宋体" w:hAnsi="宋体" w:eastAsia="宋体" w:cs="宋体"/>
          <w:bCs w:val="0"/>
          <w:color w:val="auto"/>
          <w:sz w:val="21"/>
          <w:szCs w:val="21"/>
          <w:highlight w:val="none"/>
        </w:rPr>
        <w:outlineLvl w:val="9"/>
      </w:pPr>
      <w:r/>
      <w:bookmarkStart w:id="32" w:name="_Toc35393795"/>
      <w:r/>
      <w:bookmarkStart w:id="33" w:name="_Toc35393626"/>
      <w:r>
        <w:rPr>
          <w:rFonts w:hint="eastAsia" w:ascii="宋体" w:hAnsi="宋体" w:eastAsia="宋体" w:cs="宋体"/>
          <w:bCs w:val="0"/>
          <w:color w:val="auto"/>
          <w:sz w:val="21"/>
          <w:szCs w:val="21"/>
          <w:highlight w:val="none"/>
        </w:rPr>
        <w:t xml:space="preserve">六、其他补充事宜</w:t>
      </w:r>
      <w:bookmarkEnd w:id="32"/>
      <w:r/>
      <w:bookmarkEnd w:id="33"/>
      <w:r/>
      <w:r/>
    </w:p>
    <w:p>
      <w:pPr>
        <w:ind w:firstLine="480"/>
        <w:spacing w:line="360" w:lineRule="auto"/>
        <w:rPr>
          <w:rFonts w:hint="eastAsia" w:ascii="宋体" w:hAnsi="宋体" w:eastAsia="宋体" w:cs="宋体"/>
          <w:bCs/>
          <w:color w:val="auto"/>
          <w:sz w:val="21"/>
          <w:szCs w:val="21"/>
          <w:highlight w:val="none"/>
        </w:rPr>
        <w:outlineLvl w:val="9"/>
      </w:pPr>
      <w:r/>
      <w:bookmarkStart w:id="34" w:name="_Toc35393796"/>
      <w:r/>
      <w:bookmarkStart w:id="35" w:name="_Toc28359008"/>
      <w:r/>
      <w:bookmarkStart w:id="36" w:name="_Toc35393627"/>
      <w:r/>
      <w:bookmarkStart w:id="37" w:name="_Toc28359085"/>
      <w:r>
        <w:rPr>
          <w:rFonts w:hint="eastAsia" w:ascii="宋体" w:hAnsi="宋体" w:eastAsia="宋体" w:cs="宋体"/>
          <w:bCs/>
          <w:color w:val="auto"/>
          <w:sz w:val="21"/>
          <w:szCs w:val="21"/>
          <w:highlight w:val="none"/>
        </w:rPr>
        <w:t xml:space="preserve">1、本项目不收取投标保证金；</w:t>
      </w:r>
      <w:r/>
    </w:p>
    <w:p>
      <w:pPr>
        <w:ind w:firstLine="480"/>
        <w:spacing w:line="360" w:lineRule="auto"/>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w:t>
      </w:r>
      <w:bookmarkStart w:id="38" w:name="_Hlk142317669"/>
      <w:r>
        <w:rPr>
          <w:rFonts w:hint="eastAsia" w:ascii="宋体" w:hAnsi="宋体" w:eastAsia="宋体" w:cs="宋体"/>
          <w:bCs/>
          <w:color w:val="auto"/>
          <w:sz w:val="21"/>
          <w:szCs w:val="21"/>
          <w:highlight w:val="none"/>
        </w:rPr>
        <w:t xml:space="preserve">本项目支持</w:t>
      </w:r>
      <w:bookmarkEnd w:id="38"/>
      <w:r>
        <w:rPr>
          <w:rFonts w:hint="eastAsia" w:ascii="宋体" w:hAnsi="宋体" w:eastAsia="宋体" w:cs="宋体"/>
          <w:bCs/>
          <w:color w:val="auto"/>
          <w:sz w:val="21"/>
          <w:szCs w:val="21"/>
          <w:highlight w:val="none"/>
        </w:rPr>
        <w:t xml:space="preserve">1）.小微企业价格扣除《江苏省财政厅关于进一步加大政府采购支持中小企业力度的通知》（苏财购〔2022〕45号）2）.节能、环保产</w:t>
      </w:r>
      <w:r>
        <w:rPr>
          <w:rFonts w:hint="eastAsia" w:ascii="宋体" w:hAnsi="宋体" w:eastAsia="宋体" w:cs="宋体"/>
          <w:bCs/>
          <w:color w:val="auto"/>
          <w:sz w:val="21"/>
          <w:szCs w:val="21"/>
          <w:highlight w:val="none"/>
        </w:rPr>
        <w:t xml:space="preserve">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号）等政策。5）.本项目对采购本国产品给予政策支持，具体内容见招标文件“第四章 评标办法及标准”</w:t>
      </w:r>
      <w:r/>
    </w:p>
    <w:p>
      <w:pPr>
        <w:ind w:firstLine="420"/>
        <w:spacing w:line="360" w:lineRule="auto"/>
        <w:rPr>
          <w:rFonts w:hint="eastAsia" w:ascii="宋体" w:hAnsi="宋体" w:eastAsia="宋体" w:cs="宋体"/>
          <w:color w:val="auto"/>
          <w:position w:val="-10"/>
          <w:sz w:val="21"/>
          <w:szCs w:val="21"/>
          <w:highlight w:val="none"/>
        </w:rPr>
      </w:pPr>
      <w:r>
        <w:rPr>
          <w:rFonts w:hint="eastAsia" w:ascii="宋体" w:hAnsi="宋体" w:eastAsia="宋体" w:cs="宋体"/>
          <w:color w:val="auto"/>
          <w:position w:val="-10"/>
          <w:sz w:val="21"/>
          <w:szCs w:val="21"/>
          <w:highlight w:val="none"/>
        </w:rPr>
        <w:t xml:space="preserve">3、本项目不属于专门面向中小企业采购的项目</w:t>
      </w:r>
      <w:r/>
    </w:p>
    <w:p>
      <w:pPr>
        <w:ind w:firstLine="420"/>
        <w:spacing w:line="360" w:lineRule="auto"/>
        <w:rPr>
          <w:rFonts w:hint="eastAsia" w:ascii="宋体" w:hAnsi="宋体" w:eastAsia="宋体" w:cs="宋体"/>
          <w:color w:val="auto"/>
          <w:position w:val="-10"/>
          <w:sz w:val="21"/>
          <w:szCs w:val="21"/>
          <w:highlight w:val="none"/>
          <w:lang w:val="en-US" w:eastAsia="zh-CN"/>
        </w:rPr>
      </w:pPr>
      <w:r>
        <w:rPr>
          <w:rFonts w:hint="eastAsia" w:ascii="宋体" w:hAnsi="宋体" w:eastAsia="宋体" w:cs="宋体"/>
          <w:color w:val="auto"/>
          <w:position w:val="-10"/>
          <w:sz w:val="21"/>
          <w:szCs w:val="21"/>
          <w:highlight w:val="none"/>
          <w:lang w:val="en-US" w:eastAsia="zh-CN"/>
        </w:rPr>
        <w:t xml:space="preserve">4、有关本次招标的事项若存在变动或修改，敬请及时关注“江苏省政府采购网”发布的更正公告。</w:t>
      </w:r>
      <w:r/>
    </w:p>
    <w:p>
      <w:pPr>
        <w:pStyle w:val="921"/>
        <w:spacing w:before="0" w:after="0"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七、对本次招标提出询问，请按以下方式联系。</w:t>
      </w:r>
      <w:bookmarkEnd w:id="34"/>
      <w:r/>
      <w:bookmarkEnd w:id="35"/>
      <w:r/>
      <w:bookmarkEnd w:id="36"/>
      <w:r/>
      <w:bookmarkEnd w:id="37"/>
      <w:r/>
      <w:r/>
    </w:p>
    <w:p>
      <w:pPr>
        <w:jc w:val="left"/>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1.采购人信息</w:t>
      </w:r>
      <w:r/>
    </w:p>
    <w:p>
      <w:pPr>
        <w:ind w:firstLine="452"/>
        <w:jc w:val="left"/>
        <w:spacing w:line="360" w:lineRule="auto"/>
        <w:shd w:val="clear" w:color="auto" w:fill="ffffff"/>
        <w:widowControl/>
        <w:rPr>
          <w:rFonts w:hint="eastAsia" w:ascii="宋体" w:hAnsi="宋体" w:eastAsia="宋体" w:cs="宋体"/>
          <w:color w:val="auto"/>
          <w:spacing w:val="8"/>
          <w:sz w:val="21"/>
          <w:szCs w:val="21"/>
          <w:highlight w:val="none"/>
          <w:lang w:eastAsia="zh-CN"/>
        </w:rPr>
        <w:outlineLvl w:val="9"/>
      </w:pPr>
      <w:r/>
      <w:bookmarkStart w:id="39" w:name="_Toc28359086"/>
      <w:r/>
      <w:bookmarkStart w:id="40" w:name="_Toc28359009"/>
      <w:r>
        <w:rPr>
          <w:rFonts w:hint="eastAsia" w:ascii="宋体" w:hAnsi="宋体" w:eastAsia="宋体" w:cs="宋体"/>
          <w:color w:val="auto"/>
          <w:spacing w:val="8"/>
          <w:sz w:val="21"/>
          <w:szCs w:val="21"/>
          <w:highlight w:val="none"/>
        </w:rPr>
        <w:t xml:space="preserve">名称：</w:t>
      </w:r>
      <w:r>
        <w:rPr>
          <w:rFonts w:hint="eastAsia" w:ascii="宋体" w:hAnsi="宋体" w:eastAsia="宋体" w:cs="宋体"/>
          <w:color w:val="auto"/>
          <w:spacing w:val="8"/>
          <w:sz w:val="21"/>
          <w:szCs w:val="21"/>
          <w:highlight w:val="none"/>
          <w:lang w:eastAsia="zh-CN"/>
        </w:rPr>
        <w:t xml:space="preserve">泰州医药高新技术产业开发区（泰州市高港区）医疗器械检验检测服务中心</w:t>
      </w:r>
      <w:r/>
    </w:p>
    <w:p>
      <w:pPr>
        <w:ind w:firstLine="452"/>
        <w:jc w:val="left"/>
        <w:spacing w:line="360" w:lineRule="auto"/>
        <w:shd w:val="clear" w:color="auto" w:fill="ffffff"/>
        <w:widowControl/>
        <w:rPr>
          <w:rFonts w:hint="eastAsia" w:ascii="宋体" w:hAnsi="宋体" w:eastAsia="宋体" w:cs="宋体"/>
          <w:color w:val="auto"/>
          <w:spacing w:val="8"/>
          <w:sz w:val="21"/>
          <w:szCs w:val="21"/>
          <w:highlight w:val="none"/>
          <w:lang w:val="zh-CN"/>
        </w:rPr>
        <w:outlineLvl w:val="9"/>
      </w:pPr>
      <w:r>
        <w:rPr>
          <w:rFonts w:hint="eastAsia" w:ascii="宋体" w:hAnsi="宋体" w:eastAsia="宋体" w:cs="宋体"/>
          <w:color w:val="auto"/>
          <w:spacing w:val="8"/>
          <w:sz w:val="21"/>
          <w:szCs w:val="21"/>
          <w:highlight w:val="none"/>
          <w:lang w:val="zh-CN"/>
        </w:rPr>
        <w:t xml:space="preserve">地址：泰州市海陵区寺巷街道滨河路1号科技大厦7楼</w:t>
      </w:r>
      <w:r/>
    </w:p>
    <w:p>
      <w:pPr>
        <w:ind w:firstLine="452"/>
        <w:jc w:val="left"/>
        <w:spacing w:line="360" w:lineRule="auto"/>
        <w:shd w:val="clear" w:color="auto" w:fill="ffffff"/>
        <w:widowControl/>
        <w:rPr>
          <w:rFonts w:hint="eastAsia" w:ascii="宋体" w:hAnsi="宋体" w:eastAsia="宋体" w:cs="宋体"/>
          <w:color w:val="auto"/>
          <w:spacing w:val="8"/>
          <w:sz w:val="21"/>
          <w:szCs w:val="21"/>
          <w:highlight w:val="none"/>
        </w:rPr>
        <w:outlineLvl w:val="9"/>
      </w:pPr>
      <w:r>
        <w:rPr>
          <w:rFonts w:hint="eastAsia" w:ascii="宋体" w:hAnsi="宋体" w:eastAsia="宋体" w:cs="宋体"/>
          <w:color w:val="auto"/>
          <w:spacing w:val="8"/>
          <w:sz w:val="21"/>
          <w:szCs w:val="21"/>
          <w:highlight w:val="none"/>
          <w:lang w:val="zh-CN"/>
        </w:rPr>
        <w:t xml:space="preserve">联系人：</w:t>
      </w:r>
      <w:r>
        <w:rPr>
          <w:rFonts w:hint="eastAsia" w:ascii="宋体" w:hAnsi="宋体" w:eastAsia="宋体" w:cs="宋体"/>
          <w:color w:val="auto"/>
          <w:spacing w:val="8"/>
          <w:sz w:val="21"/>
          <w:szCs w:val="21"/>
          <w:highlight w:val="none"/>
          <w:lang w:val="en-US" w:eastAsia="zh-CN"/>
        </w:rPr>
        <w:t xml:space="preserve">郭老师</w:t>
      </w:r>
      <w:r>
        <w:rPr>
          <w:rFonts w:hint="eastAsia" w:ascii="宋体" w:hAnsi="宋体" w:eastAsia="宋体" w:cs="宋体"/>
          <w:color w:val="auto"/>
          <w:spacing w:val="8"/>
          <w:sz w:val="21"/>
          <w:szCs w:val="21"/>
          <w:highlight w:val="none"/>
          <w:lang w:val="zh-CN"/>
        </w:rPr>
        <w:t xml:space="preserve">   </w:t>
      </w:r>
      <w:r/>
    </w:p>
    <w:p>
      <w:pPr>
        <w:ind w:firstLine="480"/>
        <w:jc w:val="left"/>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8"/>
          <w:sz w:val="21"/>
          <w:szCs w:val="21"/>
          <w:highlight w:val="none"/>
          <w:lang w:val="zh-CN"/>
        </w:rPr>
        <w:t xml:space="preserve">联系方式：0523-86201805 </w:t>
      </w:r>
      <w:r>
        <w:rPr>
          <w:rFonts w:hint="eastAsia" w:ascii="宋体" w:hAnsi="宋体" w:eastAsia="宋体" w:cs="宋体"/>
          <w:color w:val="auto"/>
          <w:sz w:val="21"/>
          <w:szCs w:val="21"/>
          <w:highlight w:val="none"/>
        </w:rPr>
        <w:t xml:space="preserve">   </w:t>
      </w:r>
      <w:r/>
    </w:p>
    <w:p>
      <w:pPr>
        <w:ind w:firstLine="480"/>
        <w:jc w:val="left"/>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2.采购代理机构信息</w:t>
      </w:r>
      <w:bookmarkEnd w:id="39"/>
      <w:r/>
      <w:bookmarkEnd w:id="40"/>
      <w:r/>
      <w:r/>
    </w:p>
    <w:p>
      <w:pPr>
        <w:ind w:firstLine="48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苏美达国际技术贸易有限公司</w:t>
      </w:r>
      <w:r/>
    </w:p>
    <w:p>
      <w:pPr>
        <w:ind w:firstLine="48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南京市长江路198号苏美达大厦</w:t>
      </w:r>
      <w:r/>
    </w:p>
    <w:p>
      <w:pPr>
        <w:ind w:firstLine="48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联系方式：</w:t>
      </w:r>
      <w:bookmarkStart w:id="41" w:name="_Toc28359010"/>
      <w:r/>
      <w:bookmarkStart w:id="42" w:name="_Toc28359087"/>
      <w:r>
        <w:rPr>
          <w:rFonts w:hint="eastAsia" w:ascii="宋体" w:hAnsi="宋体" w:eastAsia="宋体" w:cs="宋体"/>
          <w:color w:val="auto"/>
          <w:sz w:val="21"/>
          <w:szCs w:val="21"/>
          <w:highlight w:val="none"/>
          <w:lang w:eastAsia="zh-CN"/>
        </w:rPr>
        <w:t xml:space="preserve">025-84531327</w:t>
      </w:r>
      <w:r/>
    </w:p>
    <w:p>
      <w:pPr>
        <w:ind w:firstLine="48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3.项目联系方式</w:t>
      </w:r>
      <w:bookmarkEnd w:id="41"/>
      <w:r/>
      <w:bookmarkEnd w:id="42"/>
      <w:r/>
      <w:r/>
    </w:p>
    <w:p>
      <w:pPr>
        <w:pStyle w:val="924"/>
        <w:ind w:firstLine="48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项目联系人：</w:t>
      </w:r>
      <w:r>
        <w:rPr>
          <w:rFonts w:hint="eastAsia" w:hAnsi="宋体" w:eastAsia="宋体" w:cs="宋体"/>
          <w:color w:val="auto"/>
          <w:sz w:val="21"/>
          <w:szCs w:val="21"/>
          <w:highlight w:val="none"/>
          <w:lang w:eastAsia="zh-CN"/>
        </w:rPr>
        <w:t xml:space="preserve">冯帆</w:t>
      </w:r>
      <w:r>
        <w:rPr>
          <w:rFonts w:hint="eastAsia" w:ascii="宋体"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eastAsia="zh-CN"/>
        </w:rPr>
        <w:t xml:space="preserve">高雅婧</w:t>
      </w:r>
      <w:r>
        <w:rPr>
          <w:rFonts w:hint="eastAsia" w:ascii="宋体" w:hAnsi="宋体" w:eastAsia="宋体" w:cs="宋体"/>
          <w:color w:val="auto"/>
          <w:sz w:val="21"/>
          <w:szCs w:val="21"/>
          <w:highlight w:val="none"/>
          <w:lang w:eastAsia="zh-CN"/>
        </w:rPr>
        <w:t xml:space="preserve">、杨扬</w:t>
      </w:r>
      <w:r/>
    </w:p>
    <w:p>
      <w:pPr>
        <w:ind w:firstLine="480"/>
        <w:spacing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lang w:eastAsia="zh-CN"/>
        </w:rPr>
        <w:t xml:space="preserve">025-84531327、025-8453245</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025-84532455</w:t>
      </w:r>
      <w:r/>
    </w:p>
    <w:p>
      <w:pPr>
        <w:ind w:right="840" w:firstLine="530"/>
        <w:jc w:val="center"/>
        <w:spacing w:line="360" w:lineRule="auto"/>
        <w:widowControl/>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cente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jc w:val="center"/>
        <w:spacing w:line="360" w:lineRule="auto"/>
        <w:widowControl/>
        <w:rPr>
          <w:rFonts w:hint="eastAsia" w:ascii="宋体" w:hAnsi="宋体" w:eastAsia="宋体" w:cs="宋体"/>
          <w:b/>
          <w:color w:val="auto"/>
          <w:spacing w:val="15"/>
          <w:sz w:val="28"/>
          <w:szCs w:val="28"/>
          <w:highlight w:val="none"/>
        </w:rPr>
        <w:outlineLvl w:val="0"/>
      </w:pPr>
      <w:r/>
      <w:bookmarkStart w:id="43" w:name="_Toc25986"/>
      <w:r/>
      <w:bookmarkStart w:id="44" w:name="_Toc3842"/>
      <w:r/>
      <w:bookmarkStart w:id="45" w:name="_Toc6841"/>
      <w:r/>
      <w:bookmarkStart w:id="46" w:name="_Toc20600"/>
      <w:r/>
      <w:bookmarkStart w:id="47" w:name="_Toc21871"/>
      <w:r>
        <w:rPr>
          <w:rFonts w:hint="eastAsia" w:ascii="宋体" w:hAnsi="宋体" w:eastAsia="宋体" w:cs="宋体"/>
          <w:b/>
          <w:color w:val="auto"/>
          <w:spacing w:val="15"/>
          <w:sz w:val="28"/>
          <w:szCs w:val="28"/>
          <w:highlight w:val="none"/>
        </w:rPr>
        <w:t xml:space="preserve">第二章 投标人须知</w:t>
      </w:r>
      <w:bookmarkEnd w:id="1"/>
      <w:r/>
      <w:bookmarkEnd w:id="2"/>
      <w:r/>
      <w:bookmarkEnd w:id="43"/>
      <w:r/>
      <w:bookmarkEnd w:id="44"/>
      <w:r/>
      <w:bookmarkEnd w:id="45"/>
      <w:r/>
      <w:bookmarkEnd w:id="46"/>
      <w:r/>
      <w:bookmarkEnd w:id="47"/>
      <w:r/>
      <w:r/>
    </w:p>
    <w:p>
      <w:pPr>
        <w:jc w:val="center"/>
        <w:spacing w:line="5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投标人须知前附表</w:t>
      </w:r>
      <w:r/>
    </w:p>
    <w:tbl>
      <w:tblPr>
        <w:tblStyle w:val="73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605"/>
        <w:gridCol w:w="6712"/>
      </w:tblGrid>
      <w:tr>
        <w:trPr>
          <w:jc w:val="center"/>
          <w:trHeight w:val="558"/>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62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r>
      <w:tr>
        <w:trPr>
          <w:jc w:val="center"/>
          <w:trHeight w:val="557"/>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泰州医药高新区(高港区)医疗器械检验检测服务中心二期实验室设备采购</w:t>
            </w:r>
            <w:r/>
          </w:p>
        </w:tc>
      </w:tr>
      <w:tr>
        <w:trPr>
          <w:jc w:val="center"/>
          <w:trHeight w:val="543"/>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招标内容</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详见第三章采购需求</w:t>
            </w:r>
            <w:r/>
          </w:p>
        </w:tc>
      </w:tr>
      <w:tr>
        <w:trPr>
          <w:jc w:val="center"/>
          <w:trHeight w:val="744"/>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供货期及供货地点</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交货期：</w:t>
            </w:r>
            <w:r>
              <w:rPr>
                <w:rFonts w:hint="eastAsia" w:ascii="宋体" w:hAnsi="宋体" w:eastAsia="宋体" w:cs="宋体"/>
                <w:color w:val="auto"/>
                <w:sz w:val="21"/>
                <w:szCs w:val="21"/>
                <w:highlight w:val="none"/>
                <w:lang w:eastAsia="zh-CN"/>
              </w:rPr>
              <w:t xml:space="preserve">合同签订后</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lang w:eastAsia="zh-CN"/>
              </w:rPr>
              <w:t xml:space="preserve">天内完成交货</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最高投标限价</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预算金额：</w:t>
            </w:r>
            <w:r>
              <w:rPr>
                <w:rFonts w:hint="eastAsia" w:ascii="宋体" w:hAnsi="宋体" w:eastAsia="宋体" w:cs="宋体"/>
                <w:iCs/>
                <w:color w:val="auto"/>
                <w:sz w:val="21"/>
                <w:szCs w:val="21"/>
                <w:highlight w:val="none"/>
                <w:lang w:val="en-US" w:eastAsia="zh-CN"/>
              </w:rPr>
              <w:t xml:space="preserve">532.9996万</w:t>
            </w:r>
            <w:r>
              <w:rPr>
                <w:rFonts w:hint="eastAsia" w:ascii="宋体" w:hAnsi="宋体" w:eastAsia="宋体" w:cs="宋体"/>
                <w:color w:val="auto"/>
                <w:sz w:val="21"/>
                <w:szCs w:val="21"/>
                <w:highlight w:val="none"/>
              </w:rPr>
              <w:t xml:space="preserve">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iCs/>
                <w:color w:val="auto"/>
                <w:sz w:val="21"/>
                <w:szCs w:val="21"/>
                <w:highlight w:val="none"/>
              </w:rPr>
              <w:t xml:space="preserve">最高限价：</w:t>
            </w:r>
            <w:r>
              <w:rPr>
                <w:rFonts w:hint="eastAsia" w:ascii="宋体" w:hAnsi="宋体" w:eastAsia="宋体" w:cs="宋体"/>
                <w:iCs/>
                <w:color w:val="auto"/>
                <w:sz w:val="21"/>
                <w:szCs w:val="21"/>
                <w:highlight w:val="none"/>
                <w:lang w:val="en-US" w:eastAsia="zh-CN"/>
              </w:rPr>
              <w:t xml:space="preserve">532.9996万</w:t>
            </w:r>
            <w:r>
              <w:rPr>
                <w:rFonts w:hint="eastAsia" w:ascii="宋体" w:hAnsi="宋体" w:eastAsia="宋体" w:cs="宋体"/>
                <w:color w:val="auto"/>
                <w:sz w:val="21"/>
                <w:szCs w:val="21"/>
                <w:highlight w:val="none"/>
              </w:rPr>
              <w:t xml:space="preserve">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合格投标人资格要求</w:t>
            </w:r>
            <w:r/>
          </w:p>
        </w:tc>
        <w:tc>
          <w:tcPr>
            <w:tcW w:w="6249"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详见招标公告</w:t>
            </w:r>
            <w:r/>
          </w:p>
        </w:tc>
      </w:tr>
      <w:tr>
        <w:trPr>
          <w:jc w:val="center"/>
          <w:trHeight w:val="834"/>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联合体投标</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☑不接受，招标文件中有关联合体规定均不适用。</w:t>
            </w:r>
            <w:r/>
          </w:p>
          <w:p>
            <w:pPr>
              <w:pStyle w:val="926"/>
              <w:numPr>
                <w:ilvl w:val="0"/>
                <w:numId w:val="1"/>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w:t>
            </w:r>
            <w:r/>
          </w:p>
        </w:tc>
      </w:tr>
      <w:tr>
        <w:trPr>
          <w:jc w:val="center"/>
          <w:trHeight w:val="1385"/>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现场勘察</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☑不组织，自行勘察;如投标人需自行勘察,费用自理。</w:t>
            </w:r>
            <w:r/>
          </w:p>
          <w:p>
            <w:pPr>
              <w:pStyle w:val="926"/>
              <w:numPr>
                <w:ilvl w:val="0"/>
                <w:numId w:val="1"/>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组织，勘察时间： 年月日时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集合地点：</w:t>
            </w:r>
            <w:r/>
          </w:p>
          <w:p>
            <w:pPr>
              <w:ind w:firstLine="97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联系人：联系电话：</w:t>
            </w:r>
            <w:r/>
          </w:p>
        </w:tc>
      </w:tr>
      <w:tr>
        <w:trPr>
          <w:jc w:val="center"/>
          <w:trHeight w:val="1067"/>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投标答疑会</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☑不召开</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口召开，召开时间：年月日时</w:t>
            </w:r>
            <w:r/>
          </w:p>
          <w:p>
            <w:pPr>
              <w:ind w:firstLine="97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召开地点：</w:t>
            </w:r>
            <w:r/>
          </w:p>
        </w:tc>
      </w:tr>
      <w:tr>
        <w:trPr>
          <w:jc w:val="center"/>
          <w:trHeight w:val="420"/>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投标货币</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r>
      <w:tr>
        <w:trPr>
          <w:jc w:val="center"/>
          <w:trHeight w:val="768"/>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核心产品</w:t>
            </w:r>
            <w:r/>
          </w:p>
        </w:tc>
        <w:tc>
          <w:tcPr>
            <w:tcW w:w="6249"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液相色谱串联质谱仪</w:t>
            </w:r>
            <w:r/>
          </w:p>
        </w:tc>
      </w:tr>
      <w:tr>
        <w:trPr>
          <w:jc w:val="center"/>
          <w:trHeight w:val="604"/>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投标保证金</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本项目不收取投标保证金。</w:t>
            </w:r>
            <w:r/>
          </w:p>
        </w:tc>
      </w:tr>
      <w:tr>
        <w:trPr>
          <w:jc w:val="center"/>
          <w:trHeight w:val="429"/>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投标文件有效期</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90 </w:t>
            </w:r>
            <w:r>
              <w:rPr>
                <w:rFonts w:hint="eastAsia" w:ascii="宋体" w:hAnsi="宋体" w:eastAsia="宋体" w:cs="宋体"/>
                <w:color w:val="auto"/>
                <w:sz w:val="21"/>
                <w:szCs w:val="21"/>
                <w:highlight w:val="none"/>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投标截止时间</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u w:val="single"/>
                <w:lang w:val="en-US" w:eastAsia="zh-CN"/>
              </w:rPr>
              <w:t xml:space="preserve">详见招标公告</w:t>
            </w:r>
            <w:r/>
          </w:p>
        </w:tc>
      </w:tr>
      <w:tr>
        <w:trPr>
          <w:cantSplit/>
          <w:jc w:val="center"/>
          <w:trHeight w:val="535"/>
        </w:trPr>
        <w:tc>
          <w:tcPr>
            <w:tcW w:w="76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投标地点</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开标时间和地点</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u w:val="single"/>
                <w:lang w:val="en-US" w:eastAsia="zh-CN"/>
              </w:rPr>
              <w:t xml:space="preserve">详见招标公告</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w:t>
            </w:r>
            <w:r/>
          </w:p>
        </w:tc>
      </w:tr>
      <w:tr>
        <w:trPr>
          <w:jc w:val="center"/>
          <w:trHeight w:val="539"/>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定标办法</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履约保证金</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不提交，招标文件中有关履约保证金的规定均不适用</w:t>
            </w:r>
            <w:r/>
          </w:p>
          <w:p>
            <w:pPr>
              <w:pStyle w:val="926"/>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提交</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金额：中标价的5% </w:t>
            </w:r>
            <w:r/>
          </w:p>
          <w:p>
            <w:pPr>
              <w:pStyle w:val="925"/>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形式：保证保险、保函、电汇、转账、汇票、支票、本票等非现金形式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提交时间：收到中标通知书后签订合同前。</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签订合同</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中标通知书发出之日起</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rPr>
              <w:t xml:space="preserve">日内</w:t>
            </w:r>
            <w:r/>
          </w:p>
        </w:tc>
      </w:tr>
      <w:tr>
        <w:trPr>
          <w:jc w:val="center"/>
          <w:trHeight w:val="848"/>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付款方式</w:t>
            </w:r>
            <w:r/>
          </w:p>
        </w:tc>
        <w:tc>
          <w:tcPr>
            <w:tcW w:w="624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预付款保函安排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保函担保金额：保函担保金额为本合同设备总价款的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rPr>
              <w:t xml:space="preserve">0 </w:t>
            </w:r>
            <w:r>
              <w:rPr>
                <w:rFonts w:hint="eastAsia" w:ascii="宋体" w:hAnsi="宋体" w:eastAsia="宋体" w:cs="宋体"/>
                <w:color w:val="auto"/>
                <w:sz w:val="21"/>
                <w:szCs w:val="21"/>
                <w:highlight w:val="none"/>
              </w:rPr>
              <w:t xml:space="preserve">%，为银行最高赔付限额。若合同通过变更、增补设备导致总价款上浮超20%，卖方应在变更协议签订7日内同步上调保函对应金额；价款下调可协商降低保函额度。</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1.3保函有效期：自保函正本送达买方之日起生效，有效期至全部货物最终验收合格之日起满</w:t>
            </w:r>
            <w:r>
              <w:rPr>
                <w:rFonts w:hint="eastAsia" w:ascii="宋体" w:hAnsi="宋体" w:eastAsia="宋体" w:cs="宋体"/>
                <w:color w:val="auto"/>
                <w:sz w:val="21"/>
                <w:szCs w:val="21"/>
                <w:highlight w:val="none"/>
                <w:u w:val="single"/>
              </w:rPr>
              <w:t xml:space="preserve"> 30</w:t>
            </w:r>
            <w:r>
              <w:rPr>
                <w:rFonts w:hint="eastAsia" w:ascii="宋体" w:hAnsi="宋体" w:eastAsia="宋体" w:cs="宋体"/>
                <w:color w:val="auto"/>
                <w:sz w:val="21"/>
                <w:szCs w:val="21"/>
                <w:highlight w:val="none"/>
              </w:rPr>
              <w:t xml:space="preserve">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1.4费用承担：开立、延期、调整保函产生的全部银行手续费、保证金成本，均由卖方自行承担。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付款进度安排</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2.1合同生效且收到卖方保函后30天内，买方支付合同总价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0%的预付款。</w:t>
            </w:r>
            <w:r/>
          </w:p>
          <w:p>
            <w:pPr>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2.2设备、材料全部运抵交货地点，并安装结束，调试完毕，最终验收合格且买方收到全额有效发票后30天内，买方向卖方支付合同总价</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0%的货款.</w:t>
            </w:r>
            <w:r/>
          </w:p>
          <w:p>
            <w:pPr>
              <w:ind w:right="-119"/>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zh-CN"/>
              </w:rPr>
              <w:t xml:space="preserve">（如果中标人为中小企业，按&lt;&lt;保障中小企业款项支付条例&gt;&gt;(国令第802号)相关要求执行） </w:t>
            </w:r>
            <w:r/>
          </w:p>
        </w:tc>
      </w:tr>
      <w:tr>
        <w:trPr>
          <w:jc w:val="center"/>
          <w:trHeight w:val="1355"/>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w:t>
            </w:r>
            <w:r/>
          </w:p>
        </w:tc>
        <w:tc>
          <w:tcPr>
            <w:tcW w:w="6249" w:type="dxa"/>
            <w:textDirection w:val="lrTb"/>
            <w:noWrap w:val="false"/>
          </w:tcPr>
          <w:p>
            <w:pPr>
              <w:ind w:firstLine="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根据苏财规﹝2026﹞1号文的相关要求，本项目代理服务费由采购人支付，采购人自收到招标存档资料后10日内按照计价格[2002]1980号文件收费标准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收取；备注</w:t>
            </w:r>
            <w:r>
              <w:rPr>
                <w:rFonts w:hint="eastAsia" w:ascii="宋体" w:hAnsi="宋体" w:eastAsia="宋体" w:cs="宋体"/>
                <w:color w:val="auto"/>
                <w:sz w:val="21"/>
                <w:szCs w:val="21"/>
                <w:highlight w:val="none"/>
                <w:lang w:val="en-US" w:eastAsia="zh-CN"/>
              </w:rPr>
              <w:t xml:space="preserve">ZF124</w:t>
            </w:r>
            <w:r>
              <w:rPr>
                <w:rFonts w:hint="eastAsia" w:ascii="宋体" w:hAnsi="宋体" w:eastAsia="宋体" w:cs="宋体"/>
                <w:color w:val="auto"/>
                <w:sz w:val="21"/>
                <w:szCs w:val="21"/>
                <w:highlight w:val="none"/>
              </w:rPr>
              <w:t xml:space="preserve">代理服务费。 </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银行信息：</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单位名称：苏美达国际技术贸易有限公司</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开户银行：中信南京分行营业部</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账号：7321010182300013675</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行号：302301003210</w:t>
            </w:r>
            <w:r/>
          </w:p>
        </w:tc>
      </w:tr>
      <w:tr>
        <w:trPr>
          <w:jc w:val="center"/>
          <w:trHeight w:val="1090"/>
        </w:trPr>
        <w:tc>
          <w:tcPr>
            <w:tcW w:w="7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4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W w:w="6249" w:type="dxa"/>
            <w:vAlign w:val="center"/>
            <w:textDirection w:val="lrTb"/>
            <w:noWrap w:val="false"/>
          </w:tcPr>
          <w:p>
            <w:pPr>
              <w:pStyle w:val="925"/>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投标文件的制作要求</w:t>
            </w:r>
            <w:r/>
          </w:p>
          <w:p>
            <w:pPr>
              <w:pStyle w:val="92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本次采购采用“苏采云”系统进行政府采购活动。</w:t>
            </w:r>
            <w:r/>
          </w:p>
          <w:p>
            <w:pPr>
              <w:pStyle w:val="925"/>
              <w:ind w:firstLine="2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投标人如确定参加投标，可自行下载招标文件及有关资料，按</w:t>
            </w:r>
            <w:r>
              <w:rPr>
                <w:rFonts w:hint="eastAsia" w:ascii="宋体" w:hAnsi="宋体" w:eastAsia="宋体" w:cs="宋体"/>
                <w:color w:val="auto"/>
                <w:sz w:val="21"/>
                <w:szCs w:val="21"/>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一、说明和释义</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1.说明  </w:t>
      </w:r>
      <w:r/>
    </w:p>
    <w:p>
      <w:pPr>
        <w:pStyle w:val="925"/>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1.1本招标文件仅适用于本采购项目的招标、投标、评审、确定中标单位、验收、合同履约、付款等（法律、法规另有规定的，从其规定）。</w:t>
      </w:r>
      <w:r/>
    </w:p>
    <w:p>
      <w:pPr>
        <w:pStyle w:val="925"/>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925"/>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1.3本招标文件的解释权属于采购人（代理机构）。</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2.词语释义</w:t>
      </w:r>
      <w:r/>
    </w:p>
    <w:p>
      <w:pPr>
        <w:pStyle w:val="925"/>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2.1采购人：指依法进行采购的国家机关、事业单位、团体组织。</w:t>
      </w:r>
      <w:r/>
    </w:p>
    <w:p>
      <w:pPr>
        <w:pStyle w:val="925"/>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供应商、投标人：指向采购人提供货物、工程或服务的法人、其他组织或者自然人，不包括其分公司。</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2.3采购代理机构：指依法接受采购人委托，从事货物、工程和服务等采购招标代理业务的社会中介机构。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2.4招标采购单位：采购人及采购代理机构的统称。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2.6响应：投标人根据采购人或采购代理机构发售的招标文件，编制投标文件并按规定投标的行为。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2.7知识产权：指专利权、商标权、著作权等无形财产专有权的统称。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2.8天：日历天。</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2.9服务地点：合同中明确约定的乙方履行服务的最终地点。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2.10不可抗力：不能预见、不能避免并且不能克服的客观情况。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2.12书面形式：指书面文字、合同书、信件等可以有形地表现所载内容的形式。</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二、投标人</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3.合格投标人资格要求</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3.1详见投标人须知前附表规定。</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4.</w:t>
      </w:r>
      <w:r>
        <w:rPr>
          <w:rFonts w:hint="eastAsia" w:ascii="宋体" w:hAnsi="宋体" w:eastAsia="宋体" w:cs="宋体"/>
          <w:bCs/>
          <w:color w:val="auto"/>
          <w:sz w:val="21"/>
          <w:szCs w:val="21"/>
          <w:highlight w:val="none"/>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5.投标人代表</w:t>
      </w:r>
      <w:r/>
    </w:p>
    <w:p>
      <w:pPr>
        <w:ind w:firstLine="36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5.1指全权代表投标人参加投标活动并签署投标文件的人，如果投标人代表不是法人代表，须具有《法人授权书》（详见</w:t>
      </w:r>
      <w:r>
        <w:rPr>
          <w:rFonts w:hint="eastAsia" w:ascii="宋体" w:hAnsi="宋体" w:eastAsia="宋体" w:cs="宋体"/>
          <w:color w:val="auto"/>
          <w:sz w:val="21"/>
          <w:szCs w:val="21"/>
          <w:highlight w:val="none"/>
          <w:lang w:val="en-US" w:eastAsia="zh-CN"/>
        </w:rPr>
        <w:t xml:space="preserve">第六章</w:t>
      </w:r>
      <w:r>
        <w:rPr>
          <w:rFonts w:hint="eastAsia" w:ascii="宋体" w:hAnsi="宋体" w:eastAsia="宋体" w:cs="宋体"/>
          <w:color w:val="auto"/>
          <w:sz w:val="21"/>
          <w:szCs w:val="21"/>
          <w:highlight w:val="none"/>
        </w:rPr>
        <w:t xml:space="preserve">统一格式）。</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6.不接受联合体投标。</w:t>
      </w:r>
      <w:r/>
    </w:p>
    <w:p>
      <w:pPr>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7.投标人有下列情形之一的不能参加本次投标：</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（1）因重大经济问题正在接受国家有关部门审查的；</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（2）正在被其他企业兼并（或收购）或因重大经济纠纷正在进行诉讼或仲裁的；</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（3）因腐败和欺诈行为而被有关部门处理的。</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（4）被责令停业的； </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（5）被暂停或取消投标资格的； </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（6）财产被接管或冻结的；</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（7）在最近三年内有骗取中标或严重违约或重大工程质量问题的；</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（8）在投标过程中弄虚作假、行贿或有其他违法违规行为的；</w:t>
      </w:r>
      <w:r/>
    </w:p>
    <w:p>
      <w:pPr>
        <w:ind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（9）违反法律法规相关规定的。</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三、招标文件说明</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8.招标文件</w:t>
      </w:r>
      <w:r/>
    </w:p>
    <w:p>
      <w:pPr>
        <w:ind w:firstLine="5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9.现场勘察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9.1投标人应按</w:t>
      </w:r>
      <w:r>
        <w:rPr>
          <w:rFonts w:hint="eastAsia" w:ascii="宋体" w:hAnsi="宋体" w:eastAsia="宋体" w:cs="宋体"/>
          <w:bCs/>
          <w:color w:val="auto"/>
          <w:sz w:val="21"/>
          <w:szCs w:val="21"/>
          <w:highlight w:val="none"/>
        </w:rPr>
        <w:t xml:space="preserve">招标文件中所述时间</w:t>
      </w:r>
      <w:r>
        <w:rPr>
          <w:rFonts w:hint="eastAsia" w:ascii="宋体" w:hAnsi="宋体" w:eastAsia="宋体" w:cs="宋体"/>
          <w:color w:val="auto"/>
          <w:sz w:val="21"/>
          <w:szCs w:val="21"/>
          <w:highlight w:val="none"/>
        </w:rPr>
        <w:t xml:space="preserve">对有关现场和周围环境进行勘察，以获取编制投标文件和签署合同所需的信息。勘察现场所发生的费用由投标人自己承担。</w:t>
      </w:r>
      <w:r/>
    </w:p>
    <w:p>
      <w:pPr>
        <w:pStyle w:val="925"/>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25"/>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925"/>
        <w:ind w:firstLine="480"/>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10.招标文件的澄清和修改</w:t>
      </w:r>
      <w:r/>
    </w:p>
    <w:p>
      <w:pPr>
        <w:ind w:firstLine="488"/>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四、投标文件说明</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11.投标文件计量单位和使用文字</w:t>
      </w:r>
      <w:r/>
    </w:p>
    <w:p>
      <w:pPr>
        <w:pStyle w:val="925"/>
        <w:ind w:firstLine="5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11.1投标文件中所使用的计量单位，除招标文件中有特殊要求外，均应使用中华人民共和国法定计量单位。</w:t>
      </w:r>
      <w:r/>
    </w:p>
    <w:p>
      <w:pPr>
        <w:ind w:firstLine="5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924"/>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11.3投标人应当同时凭CA数字证书登录“江苏政府采购“苏采云”系统”，并在投标截止时间前上传电子投标文件。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bookmarkStart w:id="48" w:name="_Toc217446047"/>
      <w:r>
        <w:rPr>
          <w:rFonts w:hint="eastAsia" w:ascii="宋体" w:hAnsi="宋体" w:eastAsia="宋体" w:cs="宋体"/>
          <w:b/>
          <w:color w:val="auto"/>
          <w:sz w:val="21"/>
          <w:szCs w:val="21"/>
          <w:highlight w:val="none"/>
        </w:rPr>
        <w:t xml:space="preserve">2.知识产权</w:t>
      </w:r>
      <w:bookmarkEnd w:id="48"/>
      <w:r/>
      <w:r/>
    </w:p>
    <w:p>
      <w:pPr>
        <w:pStyle w:val="925"/>
        <w:ind w:firstLine="5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13.投标文件的组成</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投标函（格式见附件）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资格、资信证明文件：</w:t>
      </w:r>
      <w:r/>
    </w:p>
    <w:p>
      <w:pPr>
        <w:pStyle w:val="926"/>
        <w:numPr>
          <w:ilvl w:val="1"/>
          <w:numId w:val="2"/>
        </w:numPr>
        <w:ind w:left="0" w:firstLine="567"/>
        <w:spacing w:line="360" w:lineRule="auto"/>
        <w:tabs>
          <w:tab w:val="left" w:pos="127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资格证明文件（格式见附件）</w:t>
      </w:r>
      <w:r/>
    </w:p>
    <w:p>
      <w:pPr>
        <w:pStyle w:val="926"/>
        <w:numPr>
          <w:ilvl w:val="1"/>
          <w:numId w:val="2"/>
        </w:numPr>
        <w:ind w:left="0" w:firstLine="567"/>
        <w:spacing w:line="360" w:lineRule="auto"/>
        <w:tabs>
          <w:tab w:val="left" w:pos="127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法定代表人授权委托书（格式见附件，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具有良好的商业信誉和健全的财务会计制度（提供上一年度的财务状况报告或提供2024年或2025年任意一个年度的会计师事务所出具的审计报告，成立不满一年的需提供银行资信证明）</w:t>
      </w:r>
      <w:r>
        <w:rPr>
          <w:rFonts w:hint="eastAsia" w:ascii="宋体" w:hAnsi="宋体" w:eastAsia="宋体" w:cs="宋体"/>
          <w:color w:val="auto"/>
          <w:sz w:val="21"/>
          <w:szCs w:val="21"/>
          <w:highlight w:val="none"/>
        </w:rPr>
        <w:t xml:space="preserve">； </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提供供应商参加本次政府采购活动前6个月内（即2026年2月-2026年7月期间）至少一个月</w:t>
      </w:r>
      <w:r>
        <w:rPr>
          <w:rFonts w:hint="eastAsia" w:ascii="宋体" w:hAnsi="宋体" w:eastAsia="宋体" w:cs="宋体"/>
          <w:color w:val="auto"/>
          <w:sz w:val="21"/>
          <w:szCs w:val="21"/>
          <w:highlight w:val="none"/>
        </w:rPr>
        <w:t xml:space="preserve">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提供供应商参加本次政府采购活动前6个月内（即2026年2月-2026年7月期间）至少一个月</w:t>
      </w:r>
      <w:r>
        <w:rPr>
          <w:rFonts w:hint="eastAsia" w:ascii="宋体" w:hAnsi="宋体" w:eastAsia="宋体" w:cs="宋体"/>
          <w:color w:val="auto"/>
          <w:sz w:val="21"/>
          <w:szCs w:val="21"/>
          <w:highlight w:val="none"/>
        </w:rPr>
        <w:t xml:space="preserve">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承诺书（格式见附件）；</w:t>
      </w:r>
      <w:r/>
    </w:p>
    <w:p>
      <w:pPr>
        <w:numPr>
          <w:ilvl w:val="1"/>
          <w:numId w:val="2"/>
        </w:numPr>
        <w:ind w:left="0" w:firstLine="531"/>
        <w:spacing w:line="360" w:lineRule="auto"/>
        <w:tabs>
          <w:tab w:val="left" w:pos="945" w:leader="none"/>
          <w:tab w:val="left" w:pos="127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采购人要求的特定资质证明（详见“采购公告”-“本项目特定资格要求”之3中要求）。</w:t>
      </w:r>
      <w:r/>
    </w:p>
    <w:p>
      <w:pPr>
        <w:pStyle w:val="92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0"/>
        </w:numPr>
        <w:ind w:left="-11" w:firstLine="531"/>
        <w:spacing w:line="360" w:lineRule="auto"/>
        <w:tabs>
          <w:tab w:val="left" w:pos="525" w:leader="none"/>
          <w:tab w:val="left" w:pos="945" w:leader="none"/>
        </w:tabs>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lang w:val="en-US" w:eastAsia="zh-CN" w:bidi="ar-SA"/>
        </w:rPr>
        <w:t xml:space="preserve">3.</w:t>
      </w:r>
      <w:r>
        <w:rPr>
          <w:rFonts w:hint="eastAsia" w:ascii="宋体" w:hAnsi="宋体" w:eastAsia="宋体" w:cs="宋体"/>
          <w:color w:val="auto"/>
          <w:sz w:val="21"/>
          <w:szCs w:val="21"/>
          <w:highlight w:val="none"/>
        </w:rPr>
        <w:t xml:space="preserve">开标一览表（格式见附件）</w:t>
      </w:r>
      <w:r/>
    </w:p>
    <w:p>
      <w:pPr>
        <w:numPr>
          <w:ilvl w:val="0"/>
          <w:numId w:val="0"/>
        </w:numPr>
        <w:ind w:left="-11" w:firstLine="531"/>
        <w:spacing w:line="360" w:lineRule="auto"/>
        <w:tabs>
          <w:tab w:val="left" w:pos="525" w:leader="none"/>
          <w:tab w:val="left" w:pos="945" w:leader="none"/>
        </w:tabs>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lang w:val="en-US" w:eastAsia="zh-CN" w:bidi="ar-SA"/>
        </w:rPr>
        <w:t xml:space="preserve">4.</w:t>
      </w:r>
      <w:r>
        <w:rPr>
          <w:rFonts w:hint="eastAsia" w:ascii="宋体" w:hAnsi="宋体" w:eastAsia="宋体" w:cs="宋体"/>
          <w:color w:val="auto"/>
          <w:sz w:val="21"/>
          <w:szCs w:val="21"/>
          <w:highlight w:val="none"/>
        </w:rPr>
        <w:t xml:space="preserve">投标报价明细表（格式见附件）</w:t>
      </w:r>
      <w:r/>
    </w:p>
    <w:p>
      <w:pPr>
        <w:numPr>
          <w:ilvl w:val="0"/>
          <w:numId w:val="0"/>
        </w:numPr>
        <w:ind w:left="-11" w:firstLine="531"/>
        <w:spacing w:line="360" w:lineRule="auto"/>
        <w:tabs>
          <w:tab w:val="left" w:pos="525" w:leader="none"/>
          <w:tab w:val="left" w:pos="945" w:leader="none"/>
        </w:tabs>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lang w:val="en-US" w:eastAsia="zh-CN" w:bidi="ar-SA"/>
        </w:rPr>
        <w:t xml:space="preserve">5.</w:t>
      </w:r>
      <w:r>
        <w:rPr>
          <w:rFonts w:hint="eastAsia" w:ascii="宋体" w:hAnsi="宋体" w:eastAsia="宋体" w:cs="宋体"/>
          <w:color w:val="auto"/>
          <w:sz w:val="21"/>
          <w:szCs w:val="21"/>
          <w:highlight w:val="none"/>
        </w:rPr>
        <w:t xml:space="preserve">商务偏离表（格式见附件）</w:t>
      </w:r>
      <w:r/>
    </w:p>
    <w:p>
      <w:pPr>
        <w:numPr>
          <w:ilvl w:val="0"/>
          <w:numId w:val="0"/>
        </w:numPr>
        <w:ind w:left="-11" w:firstLine="531"/>
        <w:spacing w:line="360" w:lineRule="auto"/>
        <w:tabs>
          <w:tab w:val="left" w:pos="525" w:leader="none"/>
          <w:tab w:val="left" w:pos="945" w:leader="none"/>
        </w:tabs>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lang w:val="en-US" w:eastAsia="zh-CN" w:bidi="ar-SA"/>
        </w:rPr>
        <w:t xml:space="preserve">6.</w:t>
      </w:r>
      <w:r>
        <w:rPr>
          <w:rFonts w:hint="eastAsia" w:ascii="宋体" w:hAnsi="宋体" w:eastAsia="宋体" w:cs="宋体"/>
          <w:color w:val="auto"/>
          <w:sz w:val="21"/>
          <w:szCs w:val="21"/>
          <w:highlight w:val="none"/>
        </w:rPr>
        <w:t xml:space="preserve">技术偏离表（格式见附件）</w:t>
      </w:r>
      <w:r/>
    </w:p>
    <w:p>
      <w:pPr>
        <w:numPr>
          <w:ilvl w:val="0"/>
          <w:numId w:val="0"/>
        </w:numPr>
        <w:ind w:left="-11" w:firstLine="531"/>
        <w:spacing w:line="360" w:lineRule="auto"/>
        <w:tabs>
          <w:tab w:val="left" w:pos="525" w:leader="none"/>
          <w:tab w:val="left" w:pos="945" w:leader="none"/>
        </w:tabs>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lang w:val="en-US" w:eastAsia="zh-CN" w:bidi="ar-SA"/>
        </w:rPr>
        <w:t xml:space="preserve">7.</w:t>
      </w:r>
      <w:r>
        <w:rPr>
          <w:rFonts w:hint="eastAsia" w:ascii="宋体" w:hAnsi="宋体" w:eastAsia="宋体" w:cs="宋体"/>
          <w:color w:val="auto"/>
          <w:sz w:val="21"/>
          <w:szCs w:val="21"/>
          <w:highlight w:val="none"/>
        </w:rPr>
        <w:t xml:space="preserve">评分标准中对应的其它所需证明材料（如有自行添加）</w:t>
      </w:r>
      <w:r/>
    </w:p>
    <w:p>
      <w:pPr>
        <w:numPr>
          <w:ilvl w:val="0"/>
          <w:numId w:val="0"/>
        </w:numPr>
        <w:ind w:left="-11" w:firstLine="531"/>
        <w:spacing w:line="360" w:lineRule="auto"/>
        <w:tabs>
          <w:tab w:val="left" w:pos="525" w:leader="none"/>
          <w:tab w:val="left" w:pos="945" w:leader="none"/>
        </w:tabs>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lang w:val="en-US" w:eastAsia="zh-CN" w:bidi="ar-SA"/>
        </w:rPr>
        <w:t xml:space="preserve">8.</w:t>
      </w:r>
      <w:r>
        <w:rPr>
          <w:rFonts w:hint="eastAsia" w:ascii="宋体" w:hAnsi="宋体" w:eastAsia="宋体" w:cs="宋体"/>
          <w:color w:val="auto"/>
          <w:sz w:val="21"/>
          <w:szCs w:val="21"/>
          <w:highlight w:val="none"/>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14.投标文件编制及递交要求</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14.1所有文件、往来函件均应使用</w:t>
      </w:r>
      <w:r>
        <w:rPr>
          <w:rFonts w:hint="eastAsia" w:ascii="宋体" w:hAnsi="宋体" w:eastAsia="宋体" w:cs="宋体"/>
          <w:b/>
          <w:bCs/>
          <w:color w:val="auto"/>
          <w:sz w:val="21"/>
          <w:szCs w:val="21"/>
          <w:highlight w:val="none"/>
        </w:rPr>
        <w:t xml:space="preserve">简体中文</w:t>
      </w:r>
      <w:r>
        <w:rPr>
          <w:rFonts w:hint="eastAsia" w:ascii="宋体" w:hAnsi="宋体" w:eastAsia="宋体" w:cs="宋体"/>
          <w:color w:val="auto"/>
          <w:sz w:val="21"/>
          <w:szCs w:val="21"/>
          <w:highlight w:val="none"/>
        </w:rPr>
        <w:t xml:space="preserve">（规格、型号辅助符号例外）。</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14.3如无特别说明，投标人报价一律以人民币为投标结算货币,结算单位为“元”。</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14.5投标费用自理。</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14.6投标人应当同时凭CA数字证书登录“江苏政府采购“苏采云”系统”，并在投标截止时间前上传电子投标文件。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15.投标报价（编制）要求的说明</w:t>
      </w:r>
      <w:r/>
    </w:p>
    <w:p>
      <w:pPr>
        <w:pStyle w:val="925"/>
        <w:ind w:firstLine="505"/>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925"/>
        <w:ind w:firstLine="50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投标人要认真阅读清单，慎重报价。采购人不再支付报价以外的任何费用。</w:t>
      </w:r>
      <w:r/>
    </w:p>
    <w:p>
      <w:pPr>
        <w:pStyle w:val="925"/>
        <w:ind w:firstLine="50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15.2投标人应对招标文件内所要采购的全部内容进行报价，只投其中部分内容者，其标书将被拒绝。</w:t>
      </w:r>
      <w:r/>
    </w:p>
    <w:p>
      <w:pPr>
        <w:pStyle w:val="925"/>
        <w:ind w:firstLine="505"/>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15.3一项投标内容只允许一个报价，招标采购单位不接受任何有选择性的投标报价。</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15.4投标文件报价中的单价和总价全部采用人民币表示，除非合同的特殊条款另有规定。</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16.投标保证金</w:t>
      </w:r>
      <w:r/>
    </w:p>
    <w:p>
      <w:pPr>
        <w:pStyle w:val="928"/>
        <w:ind w:firstLine="480"/>
        <w:keepLines w:val="0"/>
        <w:keepNext w:val="0"/>
        <w:spacing w:before="0" w:after="0" w:line="360" w:lineRule="auto"/>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根据苏财购〔2020〕52号文件，本项目不收取投标保证金。 </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17.投标文件的有效期</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18.投标文件的拒收</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采购人拒绝接收在其规定的投标截止时间后上传的任何投标文件。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五、投标文件的递交</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19.投标文件的递交</w:t>
      </w:r>
      <w:r/>
    </w:p>
    <w:p>
      <w:pPr>
        <w:ind w:firstLine="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19.1电子投标文件的递交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20.投标截止日期</w:t>
      </w:r>
      <w:r/>
    </w:p>
    <w:p>
      <w:pPr>
        <w:ind w:firstLine="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21.投标文件的修改和撤回</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21.1投标文件的撤回</w:t>
      </w:r>
      <w:r/>
    </w:p>
    <w:p>
      <w:pPr>
        <w:ind w:firstLine="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投标文件的修改</w:t>
      </w:r>
      <w:r/>
    </w:p>
    <w:p>
      <w:pPr>
        <w:ind w:firstLine="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21.3在投标截止时间之后，投标人不得对其电子投标文件作任何修改。</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六、开标和评标</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22.开标</w:t>
      </w:r>
      <w:r/>
    </w:p>
    <w:p>
      <w:pPr>
        <w:ind w:firstLine="488"/>
        <w:spacing w:line="360" w:lineRule="auto"/>
        <w:tabs>
          <w:tab w:val="center" w:pos="447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22.6投标人未参加开标的，视同认可开标结果。</w:t>
      </w:r>
      <w:r/>
    </w:p>
    <w:p>
      <w:pPr>
        <w:spacing w:line="360" w:lineRule="auto"/>
        <w:tabs>
          <w:tab w:val="center" w:pos="4479"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23.评标委员会</w:t>
      </w:r>
      <w:r>
        <w:rPr>
          <w:rFonts w:hint="eastAsia" w:ascii="宋体" w:hAnsi="宋体" w:eastAsia="宋体" w:cs="宋体"/>
          <w:b/>
          <w:color w:val="auto"/>
          <w:sz w:val="21"/>
          <w:szCs w:val="21"/>
          <w:highlight w:val="none"/>
        </w:rPr>
        <w:tab/>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23.1评标委员会由招标采购单位依法组建，负责本项目的评标事务。</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23.2评标委员会独立履行下列职责：</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23.2.1审查投标文件是否符合招标文件的要求，并作出评价；</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23.2.2可以要求投标供应商对投标文件有关事项作出解释或澄清；</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23.2.3推荐中标候选供应商名单，或者受采购人委托按照事先确定的办法直接确定中标供应商；</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23.2.4向招标采购单位或者有关部门报告非法干预评标工作的行为。</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23.3评标委员会成员应当履行下列义务：</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23.3.1遵纪守法，客观、公正、廉洁地履行职责；</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23.3.2按照招标文件规定的评标办法和评标标准进行评标，对评审意见承担个人责任；</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23.3.3对评标过程和结果，以及投标人的商业秘密保密；</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23.3.4参与评标报告的起草；</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23.3.5配合相关部门的投诉处理工作；</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23.3.6配合招标采购单位答复投标供应商提出的质疑。</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24.评标内容的保密</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24.1公开开标后，直到宣布授予中标人合同为止，凡属于审查、澄清、评价和比较投标的所有资料，有关授予合同的信息都不应向投标人或与评标无关的其他人泄露。</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在投标文件的审查、澄清、评价和比较以及授予合同的过程中，投标人对招标采购单位和评标委员会成员施加影响的任何行为，都将取消其投标资格。</w:t>
      </w:r>
      <w:r/>
    </w:p>
    <w:p>
      <w:pPr>
        <w:pStyle w:val="925"/>
        <w:ind w:firstLine="426"/>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24.3在评标期间，招标采购单位将通过指定联络人与投标人进行联系。</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25.对投标文件初审</w:t>
      </w:r>
      <w:r/>
    </w:p>
    <w:p>
      <w:pPr>
        <w:pStyle w:val="925"/>
        <w:ind w:firstLine="48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25.1投标文件初审分为资格性检查和符合性检查。</w:t>
      </w:r>
      <w:r/>
    </w:p>
    <w:p>
      <w:pPr>
        <w:pStyle w:val="925"/>
        <w:ind w:firstLine="488"/>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投标人有下列情况之一者，投标文件无效：</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1）投标人未在规定时间内成功解密电子投标文件的；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2）投标人未按照招标文件要求上传电子投标文件的；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3）投标文件未按照招标文件要求加盖电子签章；</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4）招标人的法定代表人授权代表，无法定代表人授权委托书的；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7）投标文件未按招标文件规定的内容和要求填写的；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8）投标文件中有招标文件未允许提供的选择性内容；</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9）不同投标人的投标文件由同一单位或者个人编制的；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10）不同投标人委托同一单位或者个人办理投标事宜的；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11）不同投标人的投标文件载明的项目管理成员为同一人的；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12）不同投标人的投标文件异常一致或者投标报价呈规律性差异的；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13）不同投标人的单位负责人为同一人或者存在直接控股、管理关系的；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14）项目（标段）投标总价或单价超过本项目（标段）预算或最高限价的；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15）提供虚假材料的（包括工商营业执照、财务报表、资格证明文件等）；</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16）投标文件含有采购人不能接受的附加条件的；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17）评审中出现下列情形之一的，评审委员会应当启动异常低价投标（响应）审查程序： </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1.投标（响应）报价低于全部通过符合性审查供应商投标（响应）报价平均值</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%的，即投标（响应）报价&lt;全部通过符合性审查供应商投标（响应）报价平均值×</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%的，即投标（响应）报价&lt;通过符合性审查的次低报价供应商投标（响应）报价×</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%的，即投标（响应）报价&lt;采购项目最高限价×</w:t>
      </w:r>
      <w:r>
        <w:rPr>
          <w:rFonts w:hint="eastAsia" w:ascii="宋体" w:hAnsi="宋体" w:eastAsia="宋体" w:cs="宋体"/>
          <w:color w:val="auto"/>
          <w:sz w:val="21"/>
          <w:szCs w:val="21"/>
          <w:highlight w:val="none"/>
          <w:lang w:val="en-US" w:eastAsia="zh-CN"/>
        </w:rPr>
        <w:t xml:space="preserve">65</w:t>
      </w: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18）除单一来源采购项目外，为采购项目提供整体设计、规范编制或者项目管理、监理、检测等服务的；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19）投标文件内容不全或不符合招标文件中规定的其它实质性要求的；</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20）法律法规和招标文件规定的其它无效情形；</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21）改变招标文件清单给出的名称、实施范围、工作内容、计量单位、工程量、养护标准等。</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25.5招标采购单位对投标文件的判定，只依据投标内容本身，不依靠开标后的任何外来证明。</w:t>
      </w:r>
      <w:r/>
    </w:p>
    <w:p>
      <w:pPr>
        <w:ind w:firstLine="48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25.6招标采购单位将拒绝被确定为非实质性响应的投标，投标人不能通过修正或撤销不符之处而使其投标成为实质性响应的投标。</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26.投标的澄清</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26.1对投标文件中含义不明确</w:t>
      </w:r>
      <w:r>
        <w:rPr>
          <w:rFonts w:hint="eastAsia" w:ascii="宋体" w:hAnsi="宋体" w:eastAsia="宋体" w:cs="宋体"/>
          <w:color w:val="auto"/>
          <w:sz w:val="21"/>
          <w:szCs w:val="21"/>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27.废标</w:t>
      </w:r>
      <w:r/>
    </w:p>
    <w:p>
      <w:pPr>
        <w:ind w:firstLine="57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在招标采购中，出现下列情形之一的，应予废标：</w:t>
      </w:r>
      <w:r/>
    </w:p>
    <w:p>
      <w:pPr>
        <w:ind w:firstLine="57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1．符合专业条件的投标人或者对招标文件作出实质性响应的投标人不足三家；</w:t>
      </w:r>
      <w:r/>
    </w:p>
    <w:p>
      <w:pPr>
        <w:ind w:firstLine="57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w:t>
      </w:r>
      <w:r/>
    </w:p>
    <w:p>
      <w:pPr>
        <w:ind w:firstLine="57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3．投标人的报价均超过采购预算，采购人不能支付的；</w:t>
      </w:r>
      <w:r/>
    </w:p>
    <w:p>
      <w:pPr>
        <w:ind w:firstLine="57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4．因重大变故，采购任务取消。</w:t>
      </w:r>
      <w:r/>
    </w:p>
    <w:p>
      <w:pPr>
        <w:ind w:left="485" w:firstLine="8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5．因“江苏政府采购“苏采云”系统”系统重大故障原因无法继续开评标的。</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28.投标文件的评价和比较</w:t>
      </w:r>
      <w:r/>
    </w:p>
    <w:p>
      <w:pPr>
        <w:pStyle w:val="925"/>
        <w:ind w:firstLine="6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28.1评标委员会按招标文件规定的评标方法和标准，对符合性检查合格的投标文件进行商务和技术评估，综合比较与评价。</w:t>
      </w:r>
      <w:r/>
    </w:p>
    <w:p>
      <w:pPr>
        <w:pStyle w:val="925"/>
        <w:ind w:firstLine="6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28.2最低的投标报价或最高的折扣比例是中标的重要条件，但不是唯一条件。</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七、授予合同</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29.中标人的确认</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29.1评标委员会按招标文件规定的评标方法和标准进行详细评审后，按招标采购单位的委托向招标采购单位推荐中标候选单位或根据采购人授权直接确定中标供应商。</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29.2中标无效的确认：</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（1）提供虚假材料谋取中标的；</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（2）采取不正当手段诋毁、排挤其他投标人的；</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（3）与招标采购单位、其他投标人恶意串通的；</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（4）向招标采购单位行贿或者提供其他不正当利益的；</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（5）在招标过程中与招标采购单位进行协商谈判、不按照招标文件和中标供应商的投标文件订立合同，或者与采购人另行订立背离合同实质性内容的协议的；</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（6）拒绝有关部门监督检查或者提供虚假情况的。</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29.3经评标委员</w:t>
      </w:r>
      <w:r>
        <w:rPr>
          <w:rFonts w:hint="eastAsia" w:ascii="宋体" w:hAnsi="宋体" w:eastAsia="宋体" w:cs="宋体"/>
          <w:color w:val="auto"/>
          <w:sz w:val="21"/>
          <w:szCs w:val="21"/>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29.6本项目只接收以纸质原件形式送达的质疑，联系方式详见招标公告。</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29.7以下情形的质疑不予受理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（1）质疑主体和内容不符合《政府采购质疑和投诉办法》第十一条、第十二条规定的；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（2）供应商超过法定质疑期提出质疑的；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（3）供应商以传真、电子邮件等方式递交的非原件形式的；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（4）供应商组成联合体参加投标（响应）的，联合体中任何一方或多方未按要求签字、盖章、加盖公章的；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（5）供应商对自身提出质疑的。</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30.合同授予标准</w:t>
      </w:r>
      <w:r/>
    </w:p>
    <w:p>
      <w:pPr>
        <w:ind w:firstLine="50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30.1招标采购单位将把合同授予其投标文件在实质上响应招标文件要求且综合评分得分最高的投标人。</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31.中标通知书</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31.2中标通知书将成为合同的组成部分。</w:t>
      </w:r>
      <w:r/>
    </w:p>
    <w:p>
      <w:pPr>
        <w:pStyle w:val="925"/>
        <w:ind w:firstLine="50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31.3招标采购单位对未中标供应商不承担解释未中标原因的义务。</w:t>
      </w:r>
      <w:r/>
    </w:p>
    <w:p>
      <w:pPr>
        <w:spacing w:line="36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32.履约保证金</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32.1中标人应按规定提交履约保证金。</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32.2中标人必须在合同签订前按规定将履约保证金交至采购人指定账户。中标人未按上述要求提交履约保证金的,采购人可取消其中标资格。</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32.3履约保证金用以约束供应商在合同履行中的行为，弥补合同执行中由于自身行为可能给采购人带来的各种损失。</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33.合同的签订</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33.1中标人应按中标通知书中规定的时间和地点，由法定代表人或委托代理人与采购人代表签订合同。</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33.2签订合同及合同条款应以招标文件和中标人的投标文件及其澄清文件为依据。</w:t>
      </w:r>
      <w:r/>
    </w:p>
    <w:p>
      <w:pPr>
        <w:ind w:firstLine="43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34.特别提醒</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34.1投标单位如有提供不实评审材料，弄虚作假者，一律作废标处理，该不良行为将予以公示。</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925"/>
        <w:ind w:firstLine="431"/>
        <w:jc w:val="both"/>
        <w:spacing w:line="360" w:lineRule="auto"/>
        <w:rPr>
          <w:rFonts w:hint="eastAsia" w:ascii="宋体" w:hAnsi="宋体" w:eastAsia="宋体" w:cs="宋体"/>
          <w:color w:val="auto"/>
          <w:sz w:val="21"/>
          <w:szCs w:val="21"/>
          <w:highlight w:val="none"/>
        </w:rPr>
      </w:pPr>
      <w:r/>
      <w:bookmarkStart w:id="49" w:name="_Toc409438818"/>
      <w:r>
        <w:rPr>
          <w:rFonts w:hint="eastAsia" w:ascii="宋体" w:hAnsi="宋体" w:eastAsia="宋体" w:cs="宋体"/>
          <w:color w:val="auto"/>
          <w:sz w:val="21"/>
          <w:szCs w:val="21"/>
          <w:highlight w:val="none"/>
        </w:rPr>
        <w:t xml:space="preserve">34.3政府采购线上合同信用融资功能告知提醒</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我区已正式启用“苏采云”系统，目前已全面开通政府采购线上合同信用融资（以下简称“政采贷”）功能。成交供应商可凭政府采购合同在中征平台发起贷款申请贷款。</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34.3.1.“政采贷”业务流程</w:t>
      </w:r>
      <w:r/>
    </w:p>
    <w:p>
      <w:pPr>
        <w:pStyle w:val="925"/>
        <w:ind w:firstLine="43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5141595" cy="1518285"/>
                <wp:effectExtent l="0" t="0" r="1905" b="5715"/>
                <wp:docPr id="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5"/>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8pt;height:119.5pt;mso-wrap-distance-left:0.0pt;mso-wrap-distance-top:0.0pt;mso-wrap-distance-right:0.0pt;mso-wrap-distance-bottom:0.0pt;" stroked="f">
                <v:path textboxrect="0,0,0,0"/>
                <v:imagedata r:id="rId15" o:title=""/>
              </v:shape>
            </w:pict>
          </mc:Fallback>
        </mc:AlternateConten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34.3.2.操作流程</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34.3.3.常见问题</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Q1：哪些企业能申请“政采贷”？</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答：江苏省内采用国库集中支付的政府采购项目的中标供应商，可凭政府采购合同申请"政采贷"。</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Q2：供应商在哪里申请“政采贷”？</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答：中标供应商在“中征应收账款融资服务平台”（简称“中征平台”）上向意向银行发起融资申请</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Q3：中标供应商要注意什么？</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答：中标供应商要加强和采购单位的沟通协调，尽早确定融资需求。需要“政采贷”融资的，政府采购合同付款账号应当空置。</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Q4：采购单位要做什么？</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Q5：“政采贷”融资失败怎么办？</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34.3.4.网址及联系方式</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政采贷：http://www.ccgp-jiangsu.gov.cn/jiangsu/paying.html</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中征平台：https://www.crcrfsp.com/</w:t>
      </w:r>
      <w:r/>
    </w:p>
    <w:p>
      <w:pPr>
        <w:pStyle w:val="925"/>
        <w:ind w:firstLine="431"/>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联系人：翟先生           联系电话：0523-88816349</w:t>
      </w:r>
      <w:r/>
    </w:p>
    <w:p>
      <w:pPr>
        <w:pStyle w:val="925"/>
        <w:numPr>
          <w:ilvl w:val="0"/>
          <w:numId w:val="3"/>
        </w:numPr>
        <w:ind w:firstLine="43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货物（包含与货物相关的服务）的追加</w:t>
      </w:r>
      <w:r/>
    </w:p>
    <w:p>
      <w:pPr>
        <w:pStyle w:val="925"/>
        <w:ind w:firstLine="431"/>
        <w:jc w:val="both"/>
        <w:spacing w:line="360" w:lineRule="auto"/>
        <w:rPr>
          <w:rFonts w:hint="eastAsia" w:cs="仿宋" w:asciiTheme="minorEastAsia" w:hAnsiTheme="minorEastAsia" w:eastAsiaTheme="minorEastAsia"/>
          <w:color w:val="auto"/>
          <w:szCs w:val="24"/>
          <w:highlight w:val="none"/>
        </w:rPr>
      </w:pPr>
      <w:r>
        <w:rPr>
          <w:rFonts w:hint="eastAsia" w:ascii="宋体" w:hAnsi="宋体" w:eastAsia="宋体" w:cs="宋体"/>
          <w:color w:val="auto"/>
          <w:sz w:val="21"/>
          <w:szCs w:val="21"/>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49"/>
      <w:r/>
      <w:bookmarkStart w:id="50" w:name="_Toc388026586"/>
      <w:r>
        <w:rPr>
          <w:rFonts w:hint="eastAsia" w:cs="仿宋" w:asciiTheme="minorEastAsia" w:hAnsiTheme="minorEastAsia" w:eastAsiaTheme="minorEastAsia"/>
          <w:color w:val="auto"/>
          <w:szCs w:val="24"/>
          <w:highlight w:val="none"/>
        </w:rPr>
        <w:br w:type="page" w:clear="all"/>
      </w:r>
      <w:r/>
    </w:p>
    <w:p>
      <w:pPr>
        <w:jc w:val="center"/>
        <w:spacing w:line="360" w:lineRule="auto"/>
        <w:widowControl/>
        <w:rPr>
          <w:rFonts w:hint="eastAsia" w:ascii="宋体" w:hAnsi="宋体" w:eastAsia="宋体" w:cs="宋体"/>
          <w:b/>
          <w:color w:val="auto"/>
          <w:spacing w:val="15"/>
          <w:sz w:val="28"/>
          <w:szCs w:val="28"/>
          <w:highlight w:val="none"/>
        </w:rPr>
        <w:outlineLvl w:val="0"/>
      </w:pPr>
      <w:r/>
      <w:bookmarkStart w:id="51" w:name="_Toc16008"/>
      <w:r/>
      <w:bookmarkStart w:id="52" w:name="_Toc29715"/>
      <w:r/>
      <w:bookmarkStart w:id="53" w:name="_Toc6885"/>
      <w:r/>
      <w:bookmarkStart w:id="54" w:name="_Toc23761"/>
      <w:r>
        <w:rPr>
          <w:rFonts w:hint="eastAsia" w:ascii="宋体" w:hAnsi="宋体" w:eastAsia="宋体" w:cs="宋体"/>
          <w:b/>
          <w:color w:val="auto"/>
          <w:spacing w:val="15"/>
          <w:sz w:val="28"/>
          <w:szCs w:val="28"/>
          <w:highlight w:val="none"/>
          <w:lang w:val="en-US" w:eastAsia="zh-CN"/>
        </w:rPr>
        <w:t xml:space="preserve">第三章</w:t>
      </w:r>
      <w:r>
        <w:rPr>
          <w:rFonts w:hint="eastAsia" w:ascii="宋体" w:hAnsi="宋体" w:eastAsia="宋体" w:cs="宋体"/>
          <w:b/>
          <w:color w:val="auto"/>
          <w:spacing w:val="15"/>
          <w:sz w:val="28"/>
          <w:szCs w:val="28"/>
          <w:highlight w:val="none"/>
        </w:rPr>
        <w:t xml:space="preserve"> 采购</w:t>
      </w:r>
      <w:bookmarkEnd w:id="50"/>
      <w:r>
        <w:rPr>
          <w:rFonts w:hint="eastAsia" w:ascii="宋体" w:hAnsi="宋体" w:eastAsia="宋体" w:cs="宋体"/>
          <w:b/>
          <w:color w:val="auto"/>
          <w:spacing w:val="15"/>
          <w:sz w:val="28"/>
          <w:szCs w:val="28"/>
          <w:highlight w:val="none"/>
        </w:rPr>
        <w:t xml:space="preserve">需求</w:t>
      </w:r>
      <w:bookmarkEnd w:id="51"/>
      <w:r/>
      <w:bookmarkEnd w:id="52"/>
      <w:r/>
      <w:bookmarkEnd w:id="53"/>
      <w:r/>
      <w:bookmarkEnd w:id="54"/>
      <w:r/>
      <w:r/>
    </w:p>
    <w:p>
      <w:pPr>
        <w:spacing w:line="360" w:lineRule="auto"/>
        <w:rPr>
          <w:rFonts w:hint="eastAsia" w:ascii="宋体" w:hAnsi="宋体" w:eastAsia="宋体" w:cs="宋体"/>
          <w:b/>
          <w:bCs/>
          <w:color w:val="auto"/>
          <w:sz w:val="21"/>
          <w:szCs w:val="21"/>
          <w:highlight w:val="none"/>
        </w:rPr>
      </w:pPr>
      <w:r/>
      <w:bookmarkStart w:id="55" w:name="_Toc409438821"/>
      <w:r/>
      <w:bookmarkStart w:id="56" w:name="_Toc388026588"/>
      <w:r>
        <w:rPr>
          <w:rFonts w:hint="eastAsia" w:ascii="宋体" w:hAnsi="宋体" w:eastAsia="宋体" w:cs="宋体"/>
          <w:b/>
          <w:bCs/>
          <w:color w:val="auto"/>
          <w:sz w:val="21"/>
          <w:szCs w:val="21"/>
          <w:highlight w:val="none"/>
        </w:rPr>
        <w:t xml:space="preserve">一、配置需求清单（投标供应商须在分项报价表中对下述配置做分项报价）</w:t>
      </w:r>
      <w:r/>
    </w:p>
    <w:p>
      <w:pPr>
        <w:ind w:firstLine="48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液相色谱串联质谱仪</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1套</w:t>
      </w:r>
      <w:r>
        <w:rPr>
          <w:rFonts w:hint="eastAsia" w:ascii="宋体" w:hAnsi="宋体" w:eastAsia="宋体" w:cs="宋体"/>
          <w:b w:val="0"/>
          <w:bCs w:val="0"/>
          <w:color w:val="auto"/>
          <w:sz w:val="21"/>
          <w:szCs w:val="21"/>
          <w:highlight w:val="none"/>
        </w:rPr>
        <w:tab/>
      </w:r>
      <w:r/>
    </w:p>
    <w:p>
      <w:pPr>
        <w:ind w:firstLine="48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基因测序工作站</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1套</w:t>
      </w:r>
      <w:r>
        <w:rPr>
          <w:rFonts w:hint="eastAsia" w:ascii="宋体" w:hAnsi="宋体" w:eastAsia="宋体" w:cs="宋体"/>
          <w:b w:val="0"/>
          <w:bCs w:val="0"/>
          <w:color w:val="auto"/>
          <w:sz w:val="21"/>
          <w:szCs w:val="21"/>
          <w:highlight w:val="none"/>
        </w:rPr>
        <w:tab/>
      </w:r>
      <w:r/>
    </w:p>
    <w:p>
      <w:pPr>
        <w:ind w:firstLine="48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全自动数字PCR仪</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1套</w:t>
      </w:r>
      <w:r>
        <w:rPr>
          <w:rFonts w:hint="eastAsia" w:ascii="宋体" w:hAnsi="宋体" w:eastAsia="宋体" w:cs="宋体"/>
          <w:b w:val="0"/>
          <w:bCs w:val="0"/>
          <w:color w:val="auto"/>
          <w:sz w:val="21"/>
          <w:szCs w:val="21"/>
          <w:highlight w:val="none"/>
        </w:rPr>
        <w:tab/>
      </w:r>
      <w:r/>
    </w:p>
    <w:p>
      <w:pPr>
        <w:ind w:firstLine="48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凝胶成像系统</w:t>
      </w:r>
      <w:r>
        <w:rPr>
          <w:rFonts w:hint="eastAsia" w:ascii="宋体" w:hAnsi="宋体" w:eastAsia="宋体" w:cs="宋体"/>
          <w:b w:val="0"/>
          <w:bCs w:val="0"/>
          <w:color w:val="auto"/>
          <w:sz w:val="21"/>
          <w:szCs w:val="21"/>
          <w:highlight w:val="none"/>
        </w:rPr>
        <w:t xml:space="preserve"> </w:t>
        <w:tab/>
      </w:r>
      <w:r>
        <w:rPr>
          <w:rFonts w:hint="eastAsia" w:ascii="宋体" w:hAnsi="宋体" w:eastAsia="宋体" w:cs="宋体"/>
          <w:b w:val="0"/>
          <w:bCs w:val="0"/>
          <w:color w:val="auto"/>
          <w:sz w:val="21"/>
          <w:szCs w:val="21"/>
          <w:highlight w:val="none"/>
        </w:rPr>
        <w:t xml:space="preserve">1套</w:t>
      </w:r>
      <w:r>
        <w:rPr>
          <w:rFonts w:hint="eastAsia" w:ascii="宋体" w:hAnsi="宋体" w:eastAsia="宋体" w:cs="宋体"/>
          <w:b w:val="0"/>
          <w:bCs w:val="0"/>
          <w:color w:val="auto"/>
          <w:sz w:val="21"/>
          <w:szCs w:val="21"/>
          <w:highlight w:val="none"/>
        </w:rPr>
        <w:tab/>
      </w:r>
      <w:r/>
    </w:p>
    <w:p>
      <w:pPr>
        <w:ind w:firstLine="48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垂直电泳套装</w:t>
      </w:r>
      <w:r>
        <w:rPr>
          <w:rFonts w:hint="eastAsia" w:ascii="宋体" w:hAnsi="宋体" w:eastAsia="宋体" w:cs="宋体"/>
          <w:b w:val="0"/>
          <w:bCs w:val="0"/>
          <w:color w:val="auto"/>
          <w:sz w:val="21"/>
          <w:szCs w:val="21"/>
          <w:highlight w:val="none"/>
        </w:rPr>
        <w:tab/>
        <w:t xml:space="preserve"> </w:t>
      </w:r>
      <w:r>
        <w:rPr>
          <w:rFonts w:hint="eastAsia" w:ascii="宋体" w:hAnsi="宋体" w:eastAsia="宋体" w:cs="宋体"/>
          <w:b w:val="0"/>
          <w:bCs w:val="0"/>
          <w:color w:val="auto"/>
          <w:sz w:val="21"/>
          <w:szCs w:val="21"/>
          <w:highlight w:val="none"/>
        </w:rPr>
        <w:t xml:space="preserve">1套</w:t>
      </w:r>
      <w:r>
        <w:rPr>
          <w:rFonts w:hint="eastAsia" w:ascii="宋体" w:hAnsi="宋体" w:eastAsia="宋体" w:cs="宋体"/>
          <w:b w:val="0"/>
          <w:bCs w:val="0"/>
          <w:color w:val="auto"/>
          <w:sz w:val="21"/>
          <w:szCs w:val="21"/>
          <w:highlight w:val="none"/>
        </w:rPr>
        <w:tab/>
      </w:r>
      <w:r/>
    </w:p>
    <w:p>
      <w:pPr>
        <w:ind w:firstLine="482"/>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水平电泳套装</w:t>
      </w:r>
      <w:r>
        <w:rPr>
          <w:rFonts w:hint="eastAsia" w:ascii="宋体" w:hAnsi="宋体" w:eastAsia="宋体" w:cs="宋体"/>
          <w:b w:val="0"/>
          <w:bCs w:val="0"/>
          <w:color w:val="auto"/>
          <w:sz w:val="21"/>
          <w:szCs w:val="21"/>
          <w:highlight w:val="none"/>
        </w:rPr>
        <w:t xml:space="preserve"> </w:t>
        <w:tab/>
      </w:r>
      <w:r>
        <w:rPr>
          <w:rFonts w:hint="eastAsia" w:ascii="宋体" w:hAnsi="宋体" w:eastAsia="宋体" w:cs="宋体"/>
          <w:b w:val="0"/>
          <w:bCs w:val="0"/>
          <w:color w:val="auto"/>
          <w:sz w:val="21"/>
          <w:szCs w:val="21"/>
          <w:highlight w:val="none"/>
        </w:rPr>
        <w:t xml:space="preserve">1套</w:t>
      </w:r>
      <w:r>
        <w:rPr>
          <w:rFonts w:hint="eastAsia" w:ascii="宋体" w:hAnsi="宋体" w:eastAsia="宋体" w:cs="宋体"/>
          <w:b w:val="0"/>
          <w:bCs w:val="0"/>
          <w:color w:val="auto"/>
          <w:sz w:val="21"/>
          <w:szCs w:val="21"/>
          <w:highlight w:val="none"/>
        </w:rPr>
        <w:tab/>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val="0"/>
          <w:bCs w:val="0"/>
          <w:color w:val="auto"/>
          <w:sz w:val="21"/>
          <w:szCs w:val="21"/>
          <w:highlight w:val="none"/>
        </w:rPr>
        <w:t xml:space="preserve">7</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核酸定量仪</w:t>
      </w:r>
      <w:r>
        <w:rPr>
          <w:rFonts w:hint="eastAsia" w:ascii="宋体" w:hAnsi="宋体" w:eastAsia="宋体" w:cs="宋体"/>
          <w:b w:val="0"/>
          <w:bCs w:val="0"/>
          <w:color w:val="auto"/>
          <w:sz w:val="21"/>
          <w:szCs w:val="21"/>
          <w:highlight w:val="none"/>
        </w:rPr>
        <w:tab/>
      </w:r>
      <w:r>
        <w:rPr>
          <w:rFonts w:hint="eastAsia" w:ascii="宋体" w:hAnsi="宋体" w:eastAsia="宋体" w:cs="宋体"/>
          <w:b w:val="0"/>
          <w:bCs w:val="0"/>
          <w:color w:val="auto"/>
          <w:sz w:val="21"/>
          <w:szCs w:val="21"/>
          <w:highlight w:val="none"/>
        </w:rPr>
        <w:t xml:space="preserve">1套</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、配置清单中各项货物的详细技术要求</w:t>
      </w:r>
      <w:r/>
    </w:p>
    <w:p>
      <w:pPr>
        <w:ind w:firstLine="482"/>
        <w:jc w:val="cente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品目一：液相色谱串联质谱仪</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1套</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核心产品</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（一）</w:t>
      </w:r>
      <w:r>
        <w:rPr>
          <w:rFonts w:hint="eastAsia" w:ascii="宋体" w:hAnsi="宋体" w:eastAsia="宋体" w:cs="宋体"/>
          <w:color w:val="auto"/>
          <w:sz w:val="21"/>
          <w:szCs w:val="21"/>
          <w:highlight w:val="none"/>
        </w:rPr>
        <w:t xml:space="preserve">工作条件和用途</w:t>
      </w:r>
      <w:r/>
    </w:p>
    <w:p>
      <w:pPr>
        <w:ind w:firstLine="54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工作条件及安全性符合中国及国际有关标准或规定</w:t>
      </w:r>
      <w:r/>
    </w:p>
    <w:p>
      <w:pPr>
        <w:ind w:firstLine="54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设备用途：在临床上用于对来源于人体血液样本中的无机或有机化合物进行定性或定量检测，包括但不限于诊断指示物（内源性物质：氨基酸、维生素、激素）和治疗监控化合物（外源性物质：治疗/毒物药物）。</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电源电压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单相220V±10%</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1.2 环境温度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15～28 </w:t>
      </w:r>
      <w:r>
        <w:rPr>
          <w:rFonts w:hint="eastAsia" w:ascii="宋体" w:hAnsi="宋体" w:eastAsia="宋体" w:cs="宋体"/>
          <w:color w:val="auto"/>
          <w:sz w:val="21"/>
          <w:szCs w:val="21"/>
          <w:highlight w:val="none"/>
          <w:lang w:val="en-US"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 </w:t>
      </w:r>
      <w:r>
        <w:rPr>
          <w:rFonts w:hint="eastAsia" w:ascii="宋体" w:hAnsi="宋体" w:eastAsia="宋体" w:cs="宋体"/>
          <w:color w:val="auto"/>
          <w:sz w:val="21"/>
          <w:szCs w:val="21"/>
          <w:highlight w:val="none"/>
        </w:rPr>
        <w:t xml:space="preserve">相对湿度</w:t>
      </w:r>
      <w:r>
        <w:rPr>
          <w:rFonts w:hint="eastAsia" w:ascii="宋体" w:hAnsi="宋体" w:eastAsia="宋体" w:cs="宋体"/>
          <w:color w:val="auto"/>
          <w:sz w:val="21"/>
          <w:szCs w:val="21"/>
          <w:highlight w:val="none"/>
          <w:lang w:eastAsia="zh-CN"/>
        </w:rPr>
        <w:t xml:space="preserve">：35%～80%</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（二）</w:t>
      </w:r>
      <w:r>
        <w:rPr>
          <w:rFonts w:hint="eastAsia" w:ascii="宋体" w:hAnsi="宋体" w:eastAsia="宋体" w:cs="宋体"/>
          <w:color w:val="auto"/>
          <w:sz w:val="21"/>
          <w:szCs w:val="21"/>
          <w:highlight w:val="none"/>
        </w:rPr>
        <w:t xml:space="preserve">系统配置及性能指标</w:t>
      </w:r>
      <w:r/>
    </w:p>
    <w:p>
      <w:pPr>
        <w:keepLines w:val="0"/>
        <w:keepNext w:val="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性能要求</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2.1.1 质量数范围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m/z 5～2000</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2.1.2 单位质量分辨率（全扫描）：</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0.4amu</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扫描速度≥12000Da/s</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bookmarkStart w:id="57" w:name="_Hlk182924274"/>
      <w:r>
        <w:rPr>
          <w:rFonts w:hint="eastAsia" w:ascii="宋体" w:hAnsi="宋体" w:eastAsia="宋体" w:cs="宋体"/>
          <w:color w:val="auto"/>
          <w:sz w:val="21"/>
          <w:szCs w:val="21"/>
          <w:highlight w:val="none"/>
        </w:rPr>
        <w:t xml:space="preserve">★</w:t>
      </w:r>
      <w:bookmarkEnd w:id="57"/>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2.1.3 MRM灵敏度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1）利血平柱上进样（1pg），m/z 609/195，信噪比≥</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00000:1，同时满足6针重现性RSD&lt;2%；</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2）氯霉素柱上进样（1pg），m/z</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321-152，信噪比≥</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00000:1, 同时满足6针重现性RSD&lt;2%；</w:t>
      </w:r>
      <w:r/>
    </w:p>
    <w:p>
      <w:pPr>
        <w:pStyle w:val="740"/>
        <w:ind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3）临床基质样品，雌激素（雌酮，雌二醇，雌三醇）最低定量下限≤8pg/mL</w:t>
      </w:r>
      <w:r>
        <w:rPr>
          <w:rFonts w:hint="eastAsia" w:ascii="宋体" w:hAnsi="宋体" w:eastAsia="宋体" w:cs="宋体"/>
          <w:b/>
          <w:bCs/>
          <w:color w:val="auto"/>
          <w:sz w:val="21"/>
          <w:szCs w:val="21"/>
          <w:highlight w:val="none"/>
        </w:rPr>
        <w:t xml:space="preserve">（提供技术应用报告）</w:t>
      </w:r>
      <w:r>
        <w:rPr>
          <w:rFonts w:hint="eastAsia" w:ascii="宋体" w:hAnsi="宋体" w:eastAsia="宋体" w:cs="宋体"/>
          <w:color w:val="auto"/>
          <w:sz w:val="21"/>
          <w:szCs w:val="21"/>
          <w:highlight w:val="none"/>
        </w:rPr>
        <w:t xml:space="preserve">；</w:t>
      </w:r>
      <w:r/>
    </w:p>
    <w:p>
      <w:pPr>
        <w:pStyle w:val="740"/>
        <w:ind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4）临床基质样品，变肾上腺素类和3-甲氧酪胺同时测定，最低定量下限≤15pg/ml（</w:t>
      </w:r>
      <w:r>
        <w:rPr>
          <w:rFonts w:hint="eastAsia" w:ascii="宋体" w:hAnsi="宋体" w:eastAsia="宋体" w:cs="宋体"/>
          <w:b/>
          <w:bCs/>
          <w:color w:val="auto"/>
          <w:sz w:val="21"/>
          <w:szCs w:val="21"/>
          <w:highlight w:val="none"/>
        </w:rPr>
        <w:t xml:space="preserve">提供技术应用报告）</w:t>
      </w:r>
      <w:r>
        <w:rPr>
          <w:rFonts w:hint="eastAsia" w:ascii="宋体" w:hAnsi="宋体" w:eastAsia="宋体" w:cs="宋体"/>
          <w:color w:val="auto"/>
          <w:sz w:val="21"/>
          <w:szCs w:val="21"/>
          <w:highlight w:val="none"/>
        </w:rPr>
        <w:t xml:space="preserve">；</w:t>
      </w:r>
      <w:r/>
    </w:p>
    <w:p>
      <w:pPr>
        <w:pStyle w:val="740"/>
        <w:ind w:firstLine="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5）17-羟孕酮柱上进样1pg，m/z 331-109，信噪比≥2000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1，同时满足6针重现性RSD</w:t>
      </w:r>
      <w:r>
        <w:rPr>
          <w:rFonts w:hint="eastAsia" w:ascii="宋体" w:hAnsi="宋体" w:eastAsia="宋体" w:cs="宋体"/>
          <w:color w:val="auto"/>
          <w:sz w:val="21"/>
          <w:szCs w:val="21"/>
          <w:highlight w:val="none"/>
        </w:rPr>
        <w:t xml:space="preserve">&lt;</w:t>
      </w:r>
      <w:r>
        <w:rPr>
          <w:rFonts w:hint="eastAsia" w:ascii="宋体" w:hAnsi="宋体" w:eastAsia="宋体" w:cs="宋体"/>
          <w:color w:val="auto"/>
          <w:sz w:val="21"/>
          <w:szCs w:val="21"/>
          <w:highlight w:val="none"/>
        </w:rPr>
        <w:t xml:space="preserve">2%</w:t>
      </w:r>
      <w:r>
        <w:rPr>
          <w:rFonts w:hint="eastAsia" w:ascii="宋体" w:hAnsi="宋体" w:eastAsia="宋体" w:cs="宋体"/>
          <w:b/>
          <w:bCs/>
          <w:color w:val="auto"/>
          <w:sz w:val="21"/>
          <w:szCs w:val="21"/>
          <w:highlight w:val="none"/>
        </w:rPr>
        <w:t xml:space="preserve">（提供技术应用报告）</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质量稳定性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&lt;0.1amu/24小时</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2.1.5 质量准确度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&lt;0.01% amu（全质量数范围）</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MRM最小驻留时间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dwell time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≤1ms（同一化合物在不同驻留时间下灵敏度不丢失，如：1ms、10ms等不同驻留时间数据证明文件）。</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 同一化合物在正负切换和单一极性模式下检测灵敏度不下降</w:t>
      </w:r>
      <w:r>
        <w:rPr>
          <w:rFonts w:hint="eastAsia" w:ascii="宋体" w:hAnsi="宋体" w:eastAsia="宋体" w:cs="宋体"/>
          <w:b/>
          <w:bCs/>
          <w:color w:val="auto"/>
          <w:sz w:val="21"/>
          <w:szCs w:val="21"/>
          <w:highlight w:val="none"/>
        </w:rPr>
        <w:t xml:space="preserve">（提供谱图证明文件）</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质量分析器：三重四极杆</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2.2.1 具有串联MS/MS质谱功能</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★2.2.2 采取线性（非波形）加速设计措施消除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记忆效应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交叉污染</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2.2.3 数据采集动态线性范围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&gt;4×10</w:t>
      </w:r>
      <w:r>
        <w:rPr>
          <w:rFonts w:hint="eastAsia" w:ascii="宋体" w:hAnsi="宋体" w:eastAsia="宋体" w:cs="宋体"/>
          <w:color w:val="auto"/>
          <w:sz w:val="21"/>
          <w:szCs w:val="21"/>
          <w:highlight w:val="none"/>
          <w:vertAlign w:val="superscript"/>
        </w:rPr>
        <w:t xml:space="preserve">5</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定量分析重现性5ppb和50ppb胆固醇氧化物和甘油分别进样，不少于5次，RSD&lt;1%。</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 Q0（预四极杆）高压聚焦，</w:t>
      </w:r>
      <w:r>
        <w:rPr>
          <w:rFonts w:hint="eastAsia" w:ascii="宋体" w:hAnsi="宋体" w:eastAsia="宋体" w:cs="宋体"/>
          <w:color w:val="auto"/>
          <w:sz w:val="21"/>
          <w:szCs w:val="21"/>
          <w:highlight w:val="none"/>
        </w:rPr>
        <w:t xml:space="preserve">Q0高压聚焦压力</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8mTorr。</w:t>
      </w:r>
      <w:r/>
    </w:p>
    <w:p>
      <w:pPr>
        <w:keepLines w:val="0"/>
        <w:keepNext w:val="0"/>
        <w:pageBreakBefore w:val="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2.3 </w:t>
      </w:r>
      <w:r>
        <w:rPr>
          <w:rFonts w:hint="eastAsia" w:ascii="宋体" w:hAnsi="宋体" w:eastAsia="宋体" w:cs="宋体"/>
          <w:color w:val="auto"/>
          <w:sz w:val="21"/>
          <w:szCs w:val="21"/>
          <w:highlight w:val="none"/>
          <w:lang w:val="en-US" w:eastAsia="zh-CN"/>
        </w:rPr>
        <w:t xml:space="preserve">具备如下功能</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全扫描（Full Scan）</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子离子扫描（Product Ion Scan）</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母离子扫描（Precursor Ion Scan）</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中性丢失扫描（Neutral Loss Scan）</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多反应监测扫描（MRM）</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混合扫描（Mixed Scan Mode）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一次进样完成上述所有扫描模式</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离子源和进样方式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2.4.1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离子源内标配两路加热雾化气，具备高效去溶剂化加热系统，最高设置温度不低于650℃</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离子源接口采用一级锥孔结构，非毛细管等管路引流结构设计，保证特别强的抗污染能力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（投标时须提供制造商出具的仪器内部构造图作为证明材料）</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离子源接口采用反吹气体屏蔽</w:t>
      </w:r>
      <w:r>
        <w:rPr>
          <w:rFonts w:hint="eastAsia" w:ascii="宋体" w:hAnsi="宋体" w:eastAsia="宋体" w:cs="宋体"/>
          <w:color w:val="auto"/>
          <w:sz w:val="21"/>
          <w:szCs w:val="21"/>
          <w:highlight w:val="none"/>
          <w:lang w:eastAsia="zh-CN"/>
        </w:rPr>
        <w:t xml:space="preserve">技术</w:t>
      </w:r>
      <w:r>
        <w:rPr>
          <w:rFonts w:hint="eastAsia" w:ascii="宋体" w:hAnsi="宋体" w:eastAsia="宋体" w:cs="宋体"/>
          <w:color w:val="auto"/>
          <w:sz w:val="21"/>
          <w:szCs w:val="21"/>
          <w:highlight w:val="none"/>
        </w:rPr>
        <w:t xml:space="preserve">，以同时保持高灵敏度和优异的抗污染能力。</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★2.4.4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正/负ESI接口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正/负ESI接口支持5μL/min~3mL/min流速范围且无需分流，确保在高流速下仍具备优异的雾化效果和灵敏度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（提供数据证明材料）</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★2.4.5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正/负APCI接口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流速50μL /min~</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ml/min不分流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（提供数据证明材料）</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★2.4.6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离子源内必须配有专门的负压排气设计，同时连接有专门的排气通道，废气不进入机械泵。该设计必须为原厂设计，而非改造。防止气体在密闭的离子源腔体中的回流，降低离子源的记忆效应和污染，降低机械泵的负荷延长机械泵泵油使用时间，维护试验环境，保障工作人员健康。</w:t>
      </w:r>
      <w:r>
        <w:rPr>
          <w:rFonts w:hint="eastAsia" w:ascii="宋体" w:hAnsi="宋体" w:eastAsia="宋体" w:cs="宋体"/>
          <w:b/>
          <w:bCs/>
          <w:color w:val="auto"/>
          <w:sz w:val="21"/>
          <w:szCs w:val="21"/>
          <w:highlight w:val="none"/>
        </w:rPr>
        <w:t xml:space="preserve">（提供离子源结构图作为证明材料）</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检测器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数字式电子倍增检测器。</w:t>
      </w:r>
      <w:r>
        <w:rPr>
          <w:rFonts w:hint="eastAsia" w:ascii="宋体" w:hAnsi="宋体" w:eastAsia="宋体" w:cs="宋体"/>
          <w:b/>
          <w:bCs/>
          <w:color w:val="auto"/>
          <w:sz w:val="21"/>
          <w:szCs w:val="21"/>
          <w:highlight w:val="none"/>
        </w:rPr>
        <w:t xml:space="preserve">（须提供官网或者彩页证明资料）</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具有中华人民共和国计量器具</w:t>
      </w:r>
      <w:r>
        <w:rPr>
          <w:rFonts w:hint="eastAsia" w:ascii="宋体" w:hAnsi="宋体" w:eastAsia="宋体" w:cs="宋体"/>
          <w:color w:val="auto"/>
          <w:sz w:val="21"/>
          <w:szCs w:val="21"/>
          <w:highlight w:val="none"/>
          <w:lang w:eastAsia="zh-CN"/>
        </w:rPr>
        <w:t xml:space="preserve">型式批准证书。</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气体要求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氮气发生器供应，雾化气和碰撞气只需氮气一种气体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无需额外氩气或</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气源。</w:t>
      </w:r>
      <w:r>
        <w:rPr>
          <w:rFonts w:hint="eastAsia" w:ascii="宋体" w:hAnsi="宋体" w:eastAsia="宋体" w:cs="宋体"/>
          <w:b/>
          <w:bCs/>
          <w:color w:val="auto"/>
          <w:sz w:val="21"/>
          <w:szCs w:val="21"/>
          <w:highlight w:val="none"/>
        </w:rPr>
        <w:t xml:space="preserve">（提供场地准备说明书中的气体要求等证明材料）</w:t>
      </w:r>
      <w:r/>
    </w:p>
    <w:p>
      <w:pP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数据系统</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Microsoft Windows 操作环境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质谱系统软件能对整套系统进行控制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进行数据采集、数据处理、定性分析和定量分析、建立数据库功能，谱库检索功能，GLP认证、自动校正和全自动分析功能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全自动定量软件等。</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操作软件符合21 CFR Part 11电子稽查的要求，具有数据追踪和电子签名，符合NMPA认证的各项要求。</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碰撞室技术：碰撞池物理结构弯曲度不</w:t>
      </w:r>
      <w:r>
        <w:rPr>
          <w:rFonts w:hint="eastAsia" w:ascii="宋体" w:hAnsi="宋体" w:eastAsia="宋体" w:cs="宋体"/>
          <w:color w:val="auto"/>
          <w:sz w:val="21"/>
          <w:szCs w:val="21"/>
          <w:highlight w:val="none"/>
          <w:lang w:eastAsia="zh-CN"/>
        </w:rPr>
        <w:t xml:space="preserve">小于</w:t>
      </w:r>
      <w:r>
        <w:rPr>
          <w:rFonts w:hint="eastAsia" w:ascii="宋体" w:hAnsi="宋体" w:eastAsia="宋体" w:cs="宋体"/>
          <w:color w:val="auto"/>
          <w:sz w:val="21"/>
          <w:szCs w:val="21"/>
          <w:highlight w:val="none"/>
        </w:rPr>
        <w:t xml:space="preserve">90°，有效消除“交叉污染”、保证高通量分析能力的同时灵敏度不损失。</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临检新项目IVD适配</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正负离子模式分析物同时测定：人血浆中血管紧张素1和醛固酮同时检测，血管紧张素I线性范围在0.05-30ng/mL，醛固酮的线性范围在0.02-5ng/mL，线性良好，连续进样稳定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提供检测报告或</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eastAsia="zh-CN"/>
        </w:rPr>
        <w:t xml:space="preserve">应用报告或其他证明材料</w:t>
      </w:r>
      <w:r>
        <w:rPr>
          <w:rFonts w:hint="eastAsia" w:ascii="宋体" w:hAnsi="宋体" w:eastAsia="宋体" w:cs="宋体"/>
          <w:b/>
          <w:bCs/>
          <w:color w:val="auto"/>
          <w:sz w:val="21"/>
          <w:szCs w:val="21"/>
          <w:highlight w:val="none"/>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脂溶性维生素检测：人血清样本经处理后，维生素K1（VK1），维生素MK4（VK2）和维生素MK7（VK3）可同时被检出，且血清样本中VK1，VK2和VK3的线性范围可到达0.05-5ng/mL</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提供检测报告或</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eastAsia="zh-CN"/>
        </w:rPr>
        <w:t xml:space="preserve">应用报告或其他证明材料</w:t>
      </w:r>
      <w:r>
        <w:rPr>
          <w:rFonts w:hint="eastAsia" w:ascii="宋体" w:hAnsi="宋体" w:eastAsia="宋体" w:cs="宋体"/>
          <w:b/>
          <w:bCs/>
          <w:color w:val="auto"/>
          <w:sz w:val="21"/>
          <w:szCs w:val="21"/>
          <w:highlight w:val="none"/>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大分子定量能力：基于质谱的生长激素精准分型测定，定量20KD和22KD生长激素，非酶解方案，实现人生长激素的定量分析。其中22KDa生长激素，柱上进样量15-200 pg，线性良好，R大于0.995</w:t>
      </w:r>
      <w:r>
        <w:rPr>
          <w:rFonts w:hint="eastAsia" w:ascii="宋体" w:hAnsi="宋体" w:eastAsia="宋体" w:cs="宋体"/>
          <w:color w:val="auto"/>
          <w:sz w:val="21"/>
          <w:szCs w:val="21"/>
          <w:highlight w:val="none"/>
          <w:lang w:eastAsia="zh-CN"/>
        </w:rPr>
        <w:t xml:space="preserve">。</w:t>
      </w:r>
      <w:r/>
    </w:p>
    <w:p>
      <w:pPr>
        <w:pStyle w:val="93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（三）</w:t>
      </w:r>
      <w:r>
        <w:rPr>
          <w:rFonts w:hint="eastAsia" w:ascii="宋体" w:hAnsi="宋体" w:eastAsia="宋体" w:cs="宋体"/>
          <w:color w:val="auto"/>
          <w:sz w:val="21"/>
          <w:szCs w:val="21"/>
          <w:highlight w:val="none"/>
        </w:rPr>
        <w:t xml:space="preserve">高效液相色谱仪的参数</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二元高压梯度泵</w:t>
      </w:r>
      <w:r/>
    </w:p>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流速范围：0.001-5mL/min, 0.001mL/min步进</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压力范围：≥66Mpa</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流速精密度：&lt;0.06%RSD</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备有在线脱气机，具有≥5个独立通道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提供官网或者彩页证明资料</w:t>
      </w:r>
      <w:r>
        <w:rPr>
          <w:rFonts w:hint="eastAsia" w:ascii="宋体" w:hAnsi="宋体" w:eastAsia="宋体" w:cs="宋体"/>
          <w:b/>
          <w:bCs/>
          <w:color w:val="auto"/>
          <w:sz w:val="21"/>
          <w:szCs w:val="21"/>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自动进样器（自动降温功能）</w:t>
      </w:r>
      <w:r/>
    </w:p>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进样精度：&lt; 0.3% RSD</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进样范围：0.1-50</w:t>
      </w:r>
      <w:r>
        <w:rPr>
          <w:rFonts w:ascii="Symbol" w:hAnsi="Symbol" w:eastAsia="Symbol" w:cs="Symbol"/>
          <w:color w:val="auto"/>
          <w:sz w:val="21"/>
          <w:szCs w:val="21"/>
          <w:highlight w:val="none"/>
        </w:rPr>
        <w:t xml:space="preserve">m</w:t>
      </w:r>
      <w:r>
        <w:rPr>
          <w:rFonts w:hint="eastAsia" w:ascii="宋体" w:hAnsi="宋体" w:eastAsia="宋体" w:cs="宋体"/>
          <w:color w:val="auto"/>
          <w:sz w:val="21"/>
          <w:szCs w:val="21"/>
          <w:highlight w:val="none"/>
        </w:rPr>
        <w:t xml:space="preserve">L，可增加至100</w:t>
      </w:r>
      <w:r>
        <w:rPr>
          <w:rFonts w:ascii="Symbol" w:hAnsi="Symbol" w:eastAsia="Symbol" w:cs="Symbol"/>
          <w:color w:val="auto"/>
          <w:sz w:val="21"/>
          <w:szCs w:val="21"/>
          <w:highlight w:val="none"/>
        </w:rPr>
        <w:t xml:space="preserve">m</w:t>
      </w:r>
      <w:r>
        <w:rPr>
          <w:rFonts w:hint="eastAsia" w:ascii="宋体" w:hAnsi="宋体" w:eastAsia="宋体" w:cs="宋体"/>
          <w:color w:val="auto"/>
          <w:sz w:val="21"/>
          <w:szCs w:val="21"/>
          <w:highlight w:val="none"/>
        </w:rPr>
        <w:t xml:space="preserve">L</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3.2.3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样品瓶位数≥100位</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柱温箱</w:t>
      </w:r>
      <w:r/>
    </w:p>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温度范围：室温+5℃–90℃</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同时可放置≥6根30cm色谱柱</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p>
    <w:p>
      <w:pPr>
        <w:ind w:firstLine="48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品目二、</w:t>
      </w:r>
      <w:r>
        <w:rPr>
          <w:rFonts w:hint="eastAsia" w:ascii="宋体" w:hAnsi="宋体" w:eastAsia="宋体" w:cs="宋体"/>
          <w:b/>
          <w:bCs/>
          <w:color w:val="auto"/>
          <w:sz w:val="21"/>
          <w:szCs w:val="21"/>
          <w:highlight w:val="none"/>
        </w:rPr>
        <w:t xml:space="preserve">基因测序工作站</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1套</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（一）技术参数要求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扩增原理：采用高通量测序扩增技术，支持在测序载片上形成高密度的信号集合体（DNB或DNA簇），确保测序信号的稳定读取。</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扩增精度：每轮扩增均以原始文库分子为模板，有效减少由PCR引入的错误累积的影响。</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仪器功能：可完成样本核酸序列信息的收集、序列信息的识别读取与测序数据的初步分析。</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下机数据：输出FASTQ通用格式，支持与第三方生信分析软件无缝对接。</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污染控制：扩增反应（包括文库拷贝数扩增）在载片加载前完成，加载后无需进行扩增操作。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测序方式：支持单端测序（SE）和双端测序（PE），支持读长单端不低于100个碱基，双端不低于2×PE150个碱基。</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操作模式：配置双载片测序平台，支持单载片测序模式和双载片测序模式；双载片测序平台可相互独立运行，支持双载片平台灵活滚动上机测序。</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操作便利性：采用测序试剂预置设计，单端测序模式下无需额外加入液体进试剂槽。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试剂耗材识别：测序仪具有射频识别（RFID）功能，能够对试剂耗材进行精准识别和跟踪。</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加载系统：测序仪能满足外置样本加载系统的功能，完成载片制备及样本加载。</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碱基识别：</w:t>
      </w:r>
      <w:r>
        <w:rPr>
          <w:rFonts w:hint="eastAsia" w:ascii="宋体" w:hAnsi="宋体" w:eastAsia="宋体" w:cs="宋体"/>
          <w:i w:val="0"/>
          <w:iCs w:val="0"/>
          <w:caps w:val="0"/>
          <w:color w:val="auto"/>
          <w:spacing w:val="0"/>
          <w:sz w:val="21"/>
          <w:szCs w:val="21"/>
          <w:highlight w:val="none"/>
          <w:shd w:val="clear" w:color="auto" w:fill="fafafa"/>
        </w:rPr>
        <w:t xml:space="preserve">支持主流二代测序技术路线（如基于 DNA 纳米球的滚环扩增测序、边合成边测序等），采用多色荧光标记，通过光学成像系统实现碱基序列的精准识别。</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数据准确性：测序Q30值≥85%。</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数据通量：每次运行可产生≥18Gb碱基数据。</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运行时间：PE150模式下，运行时间≤12小时，包括：样本加载、测序、碱基识别和数据处理时间。</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仪器维护：测序流程运行结束后可直接进行自动清洗，无需手动干预。</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操作便利性：嵌入式操作系统，无需外部电脑即可独立工作；</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支持双载片独立运行及滚动上机，单芯片故障不影响另一芯片运行。</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p>
    <w:p>
      <w:pPr>
        <w:ind w:firstLine="48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品目三、</w:t>
      </w:r>
      <w:r>
        <w:rPr>
          <w:rFonts w:hint="eastAsia" w:ascii="宋体" w:hAnsi="宋体" w:eastAsia="宋体" w:cs="宋体"/>
          <w:b/>
          <w:bCs/>
          <w:color w:val="auto"/>
          <w:sz w:val="21"/>
          <w:szCs w:val="21"/>
          <w:highlight w:val="none"/>
        </w:rPr>
        <w:t xml:space="preserve">全自动数字PCR仪</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1套</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（一）工作原理与集成度要求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一体化集成设计：设备必须为全自动数字PCR一体机，单台设备即可实现微滴生成、封闭、PCR扩增、荧光信号检测以及数据分析全流程，中途无需另配扩增仪或其他移液、封膜设备。</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微滴生成原理（多路径兼容）：系统可采用振动注射微滴技术、纳米孔固态分区技术或压力动力微流控油包水微滴生成技术。</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全程防污染流转：样本放入系统后，后续的微滴制备、扩增和检测过程必须处于全封闭或闭管流转状态，确保微滴无空气暴露，避免人工操作误差及气溶胶交叉污染。</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（二）工作原理与集成度要求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液滴生成量：在标准检测模式下，单个测试通道生成的有效液滴数需≥20000个，以保证足够的样本丰度和统计学精度。</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反应体系体积：单孔反应体系体积支持≥20μL（或在 20~50μL范围内可调），以满足常规及低丰度样本的上样量需求。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多色荧光通道：系统需配备≥5个荧光检测通道，可兼容并包含 FAM、VIC/HEX、ROX、CY5 等临床与科研常用荧光染料。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检测灵敏度与范围：最低检测限需达到可检测单拷贝基因（或≥0.1copies/μL）；定量线性动态范围需≥5个数量级。</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温度控制系统：最大升降温速率≥5℃/sec，控温范围需覆盖4℃~99℃，确保孔间控温的一致性与最优的热循环效率。</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（三）软件功能与数据合规性要求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自动化定量分析：系统配套软件可自动对目标核酸进行绝对定量分析，根据泊松分布公式自动计算绝对定量拷贝数浓度值、置信区间及变异系数。</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超低丰度合并功能：软件须支持将多个技术重复样品的微滴总数进行合并重组和泊松分布计算，以实现超高灵敏度的数据获取与定量。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专业质控与导出：具有独立的QC质控或液滴形态监测模块；支持原始数据、浓度图、一维/二维散点图及结果表格的导出与定制化报告生成。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管理合规性：软件支持账户分级管理及操作追溯。</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p>
    <w:p>
      <w:pPr>
        <w:ind w:firstLine="48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品目四、</w:t>
      </w:r>
      <w:r>
        <w:rPr>
          <w:rFonts w:hint="eastAsia" w:ascii="宋体" w:hAnsi="宋体" w:eastAsia="宋体" w:cs="宋体"/>
          <w:b/>
          <w:bCs/>
          <w:color w:val="auto"/>
          <w:sz w:val="21"/>
          <w:szCs w:val="21"/>
          <w:highlight w:val="none"/>
        </w:rPr>
        <w:t xml:space="preserve">凝胶成像系统</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1套</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（一）技术参数要求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控制系统：采用内置嵌入式操作系统配合大尺寸彩色LCD触摸屏（≥12寸）进行本地控制，支持佩戴实验室手套操作；同时兼容外接计算机通过专业影像软件进行远程操控及深度定量分析。</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CCD相机：配备科研级高分辨率冷CCD相机，硬件物理像素≥600万，图像分辨率（DPI）≥600DPI，确保条带成像清晰、信噪比高。</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光学镜头：采用高分辨率电动变焦镜头（F1.2大光圈），支持软件远程控制对焦、光圈及缩放；具备超高分辨率成像模式，物理分辨率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2.4微米，支持自动完成精密对焦。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激发光源：采用组合式多波长光源系统，包括但不限于302nm波长LED/透射紫外光源（用于核酸染料激发）；全波段LED白色光源（用于蛋白质胶、胶片及显色平板成像）；选配470nm波段蓝光光源（用于安全染料激发）。</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智能感应系统：配备带有智能感应器的样品托盘（支持智能白光托盘、紫外托盘、防护切胶托盘等），仪器可根据放入的托盘类型自动识别并开启对应激发光源，实现全智能拍摄控制，并支持图像伪彩色合成展示。</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成像面积：紫外透射成像范围不小于200mm×250mm，支持多块凝胶同时拍摄与独立分析。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滤光片系统：采用全自动多位滤光片轮，标配590nm专用滤光片，系统可根据染料类型自动切换至匹配的波长位置。</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软件分析功能：软件支持一键全自动曝光、自动条带识别、分子量计算及定量分析；具备完善的用户管理权限，支持审计追踪功能，确保实验数据符合试剂盒注册申报的真实性要求。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数据安全：具备暗箱门开启自动切断紫外保护功能；支持数据实时备份，输出格式包含TIFF（16bit）、JPG、PNG等。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外观与材质：采用全金属防腐蚀、防辐射密闭暗箱，整体设计紧凑，占用实验台面积小。</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p>
    <w:p>
      <w:pPr>
        <w:ind w:firstLine="48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品目五、</w:t>
      </w:r>
      <w:r>
        <w:rPr>
          <w:rFonts w:hint="eastAsia" w:ascii="宋体" w:hAnsi="宋体" w:eastAsia="宋体" w:cs="宋体"/>
          <w:b/>
          <w:bCs/>
          <w:color w:val="auto"/>
          <w:sz w:val="21"/>
          <w:szCs w:val="21"/>
          <w:highlight w:val="none"/>
        </w:rPr>
        <w:t xml:space="preserve">垂直电泳套装</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1套</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（一）技术参数要求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电泳仪电源（通用电源）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电压：5~600V，步进单位：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1V，电流：5~500mA，递增单位：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1mA</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可层叠防滑动机箱</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垂直电泳槽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备选多种厚度间隔的垫条玻璃板和制胶梳子（0.75mm/1.0mm/1.5mm），满足不同上样量的需要。</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专用制胶架，操作方便。</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单槽支持同时运行不少于2块凝胶；标准胶面积不小于 80×70mm。</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电泳槽盖具备安全联锁保护，开盖即触发物理或电子式断电，防止高压触电。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支持定时功能，具有短路检测报警及自动断电功能，确保实验室用电安全。</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p>
    <w:p>
      <w:pPr>
        <w:ind w:firstLine="48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品目六、</w:t>
      </w:r>
      <w:r>
        <w:rPr>
          <w:rFonts w:hint="eastAsia" w:ascii="宋体" w:hAnsi="宋体" w:eastAsia="宋体" w:cs="宋体"/>
          <w:b/>
          <w:bCs/>
          <w:color w:val="auto"/>
          <w:sz w:val="21"/>
          <w:szCs w:val="21"/>
          <w:highlight w:val="none"/>
        </w:rPr>
        <w:t xml:space="preserve">水平电泳套装</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1套</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（一）技术参数要求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电泳仪电源（通用电源）</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电压：5~600V，步进单位：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1V，电流：5~500mA，递增单位：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1mA</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可层叠防滑动机箱</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水平电泳槽</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多用制胶器内含的</w:t>
      </w:r>
      <w:r>
        <w:rPr>
          <w:rFonts w:hint="eastAsia" w:ascii="宋体" w:hAnsi="宋体" w:eastAsia="宋体" w:cs="宋体"/>
          <w:color w:val="auto"/>
          <w:sz w:val="21"/>
          <w:szCs w:val="21"/>
          <w:highlight w:val="none"/>
          <w:lang w:val="en-US" w:eastAsia="zh-CN"/>
        </w:rPr>
        <w:t xml:space="preserve">各</w:t>
      </w:r>
      <w:r>
        <w:rPr>
          <w:rFonts w:hint="eastAsia" w:ascii="宋体" w:hAnsi="宋体" w:eastAsia="宋体" w:cs="宋体"/>
          <w:color w:val="auto"/>
          <w:sz w:val="21"/>
          <w:szCs w:val="21"/>
          <w:highlight w:val="none"/>
        </w:rPr>
        <w:t xml:space="preserve">规格的梳子为耐温材料注塑成型，不变型，尺寸精度高，不宜损坏。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标配多用途制胶器，支持不低于三种规格（如120×120mm、120×60mm、60×60mm）的凝胶制作，制胶时无须胶布封口。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电泳槽盖具备安全联锁保护，开盖即断电。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支持定时功能，具有短路自动断电保护，并在屏幕上显示错误报警代码。</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br w:type="page" w:clear="all"/>
      </w:r>
      <w:r/>
    </w:p>
    <w:p>
      <w:pPr>
        <w:ind w:firstLine="482"/>
        <w:jc w:val="cente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品目七、</w:t>
      </w:r>
      <w:r>
        <w:rPr>
          <w:rFonts w:hint="eastAsia" w:ascii="宋体" w:hAnsi="宋体" w:eastAsia="宋体" w:cs="宋体"/>
          <w:b/>
          <w:bCs/>
          <w:color w:val="auto"/>
          <w:sz w:val="21"/>
          <w:szCs w:val="21"/>
          <w:highlight w:val="none"/>
        </w:rPr>
        <w:t xml:space="preserve">核酸定量仪</w:t>
      </w:r>
      <w:r>
        <w:rPr>
          <w:rFonts w:hint="eastAsia" w:ascii="宋体" w:hAnsi="宋体" w:eastAsia="宋体" w:cs="宋体"/>
          <w:b/>
          <w:bCs/>
          <w:color w:val="auto"/>
          <w:sz w:val="21"/>
          <w:szCs w:val="21"/>
          <w:highlight w:val="none"/>
        </w:rPr>
        <w:tab/>
      </w:r>
      <w:r>
        <w:rPr>
          <w:rFonts w:hint="eastAsia" w:ascii="宋体" w:hAnsi="宋体" w:eastAsia="宋体" w:cs="宋体"/>
          <w:b/>
          <w:bCs/>
          <w:color w:val="auto"/>
          <w:sz w:val="21"/>
          <w:szCs w:val="21"/>
          <w:highlight w:val="none"/>
        </w:rPr>
        <w:t xml:space="preserve">1套</w:t>
      </w:r>
      <w:r/>
    </w:p>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（一）技术参数要求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检测浓度范围：0.1pg/μL~1000ng/μL。</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检测物质至少包含dsDNA，ssDNA，RNA，蛋白质。</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具备快速测量完整RNA与降解RNA的能力。支持双荧光通道联动计算，可直观显示样本的RNA完整性分值（或类似IQ指标），辅助判断样本是否可用于下游测序。</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设备需具备极速并行检测能力，要求在6秒内完成不少于8个样本的荧光信号采集与浓度计算。</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检测重复性 CV值≤1.5%。</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自带试剂计算器，快速计算工作溶液配方。</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配置全彩色 LCD 触摸屏，内置稀释计算器。支持根据用户输入的初始样本体积、染料体积自动折算初始样本浓度，并可存储不少于 10,000 条完整检测记录。</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具备样品浓度超限自动提示功能。当样本浓度超出所选试剂盒的检测线性范围时，系统需自动发出预警，避免误导性结果。</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rPr>
        <w:t xml:space="preserve">商务要求</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
          <w:color w:val="auto"/>
          <w:sz w:val="21"/>
          <w:szCs w:val="21"/>
          <w:highlight w:val="none"/>
          <w:lang w:val="en-US"/>
        </w:rPr>
        <w:t xml:space="preserve">1</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rPr>
        <w:t xml:space="preserve">质保期</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 卖方所供设备、材料及安装的质量保证期为</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rPr>
        <w:t xml:space="preserve">1</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技术参数中单独注明的以单独注明的为准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，自买方验收合格之日起计算。</w:t>
      </w:r>
      <w:r>
        <w:rPr>
          <w:rFonts w:hint="eastAsia" w:ascii="宋体" w:hAnsi="宋体" w:eastAsia="宋体" w:cs="宋体"/>
          <w:bCs/>
          <w:color w:val="auto"/>
          <w:sz w:val="21"/>
          <w:szCs w:val="21"/>
          <w:highlight w:val="none"/>
          <w:lang w:val="en-US"/>
        </w:rPr>
        <w:t xml:space="preserve">在此期间，系统及设备发生任何非人为原因造成的故障和损坏，均由供应商负责免费修复，失效零件予以免费更换。</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2</w:t>
      </w:r>
      <w:r>
        <w:rPr>
          <w:rFonts w:hint="eastAsia" w:ascii="宋体" w:hAnsi="宋体" w:eastAsia="宋体" w:cs="宋体"/>
          <w:b/>
          <w:color w:val="auto"/>
          <w:sz w:val="21"/>
          <w:szCs w:val="21"/>
          <w:highlight w:val="none"/>
        </w:rPr>
        <w:t xml:space="preserve">、售后服务要求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设备安装、调试和验收和服务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1.1 供应商所提供设备需是全新未开封设备，需在装机时提供产品出厂合格证予以证明。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1.2 仪器到达用户所在地后，在接到用户通知后一周内进行安装调试，直至通过验收。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1.3 上门安装设备时需提供制造商原厂工程师证明材料，以确保设备正规的售后服务及技术支持。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rPr>
        <w:t xml:space="preserve">保修期：卖方提供一年的免费保修。</w:t>
      </w:r>
      <w:r>
        <w:rPr>
          <w:rFonts w:hint="eastAsia" w:ascii="宋体" w:hAnsi="宋体" w:eastAsia="宋体" w:cs="宋体"/>
          <w:color w:val="auto"/>
          <w:sz w:val="21"/>
          <w:szCs w:val="21"/>
          <w:highlight w:val="none"/>
          <w:lang w:val="en-US" w:eastAsia="zh-CN"/>
        </w:rPr>
        <w:t xml:space="preserve">（如所投产品为进口产品，其供应商或制造商应在中国设有保税库。）</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rPr>
        <w:t xml:space="preserve">维修响应时间：卖方对用户的服务要求应在2小时内响应，48小时内到达用户现场。</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3</w:t>
      </w:r>
      <w:r>
        <w:rPr>
          <w:rFonts w:hint="eastAsia" w:ascii="宋体" w:hAnsi="宋体" w:eastAsia="宋体" w:cs="宋体"/>
          <w:b/>
          <w:color w:val="auto"/>
          <w:sz w:val="21"/>
          <w:szCs w:val="21"/>
          <w:highlight w:val="none"/>
        </w:rPr>
        <w:t xml:space="preserve">、交货地点：江苏省泰州市医药高新区解家舍路2号2#楼</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4</w:t>
      </w:r>
      <w:r>
        <w:rPr>
          <w:rFonts w:hint="eastAsia" w:ascii="宋体" w:hAnsi="宋体" w:eastAsia="宋体" w:cs="宋体"/>
          <w:b/>
          <w:color w:val="auto"/>
          <w:sz w:val="21"/>
          <w:szCs w:val="21"/>
          <w:highlight w:val="none"/>
        </w:rPr>
        <w:t xml:space="preserve">、验收要求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验收时，双方代表在场，现场拆箱验收。如因运输等因素，仪器及配件出现损坏、破裂、变形等无法使用的情况时，仪器生产商或经销商应予以无偿换货。</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验收时，需由仪器生产商或经销商提供工程师上门安装调试仪器，指导及培训使用。</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验收时，仪器应满足其生产商或经销商或官方公布的所有参数及性能。</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5</w:t>
      </w:r>
      <w:r>
        <w:rPr>
          <w:rFonts w:hint="eastAsia" w:ascii="宋体" w:hAnsi="宋体" w:eastAsia="宋体" w:cs="宋体"/>
          <w:b/>
          <w:color w:val="auto"/>
          <w:sz w:val="21"/>
          <w:szCs w:val="21"/>
          <w:highlight w:val="none"/>
        </w:rPr>
        <w:t xml:space="preserve">、付款方式</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.1 预付款保函安排</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.1.2 保函担保金额：保函担保金额为本合同设备总价款的  </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0 %，为银行最高赔付限额。若合同通过变更、增补设备导致总价款上浮超20%，卖方应在变更协议签订7日内同步上调保函对应金额；价款下调可协商降低保函额度。</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.1.4费用承担：开立、延期、调整保函产生的全部银行手续费、保证金成本，均由卖方自行承担。</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.2 付款进度安排</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.2.1合同生效且收到卖方保函后30天内，买方支付合同总价</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0%的预付款。</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.2.2设备、材料全部运抵交货地点，并安装结束，调试完毕，最终验收合格且买方收到全额有效发票后30天内，买方向卖方支付合同总价</w:t>
      </w: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0%的货款。</w:t>
      </w:r>
      <w:r/>
    </w:p>
    <w:p>
      <w:pP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rPr>
        <w:t xml:space="preserve">6</w:t>
      </w:r>
      <w:r>
        <w:rPr>
          <w:rFonts w:hint="eastAsia" w:ascii="宋体" w:hAnsi="宋体" w:eastAsia="宋体" w:cs="宋体"/>
          <w:b/>
          <w:color w:val="auto"/>
          <w:sz w:val="21"/>
          <w:szCs w:val="21"/>
          <w:highlight w:val="none"/>
        </w:rPr>
        <w:t xml:space="preserve">、报价</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1）</w:t>
      </w:r>
      <w:r>
        <w:rPr>
          <w:rFonts w:hint="eastAsia" w:ascii="宋体" w:hAnsi="宋体" w:eastAsia="宋体" w:cs="宋体"/>
          <w:bCs/>
          <w:color w:val="auto"/>
          <w:sz w:val="21"/>
          <w:szCs w:val="21"/>
          <w:highlight w:val="none"/>
        </w:rPr>
        <w:t xml:space="preserve">报价人供应的产品和服务报价货币为人民币</w:t>
      </w:r>
      <w:r>
        <w:rPr>
          <w:rFonts w:hint="eastAsia" w:ascii="宋体" w:hAnsi="宋体" w:eastAsia="宋体" w:cs="宋体"/>
          <w:bCs/>
          <w:color w:val="auto"/>
          <w:sz w:val="21"/>
          <w:szCs w:val="21"/>
          <w:highlight w:val="none"/>
          <w:lang w:val="en-US" w:eastAsia="zh-CN"/>
        </w:rPr>
        <w:t xml:space="preserve">含税价，</w:t>
      </w:r>
      <w:r>
        <w:rPr>
          <w:rFonts w:hint="eastAsia" w:ascii="宋体" w:hAnsi="宋体" w:eastAsia="宋体" w:cs="宋体"/>
          <w:bCs/>
          <w:color w:val="auto"/>
          <w:sz w:val="21"/>
          <w:szCs w:val="21"/>
          <w:highlight w:val="none"/>
        </w:rPr>
        <w:t xml:space="preserve">报价应是唯一的，采购单位不接受有选择的报价。当数量和单价之积不等于总价时，以单价为准重新计算总价。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rPr>
        <w:t xml:space="preserve">2）</w:t>
      </w:r>
      <w:r>
        <w:rPr>
          <w:rFonts w:hint="eastAsia" w:ascii="宋体" w:hAnsi="宋体" w:eastAsia="宋体" w:cs="宋体"/>
          <w:color w:val="auto"/>
          <w:sz w:val="21"/>
          <w:szCs w:val="21"/>
          <w:highlight w:val="none"/>
        </w:rPr>
        <w:t xml:space="preserve">一次性报价，包括卖方完成本项目服务工作期间所需的人工、材料、交通、差旅、保险、利润、税金、通讯、办公设备、政策性文件规定及合同包含的所有风险、责任等各项应有费用。</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履约保证金</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本项目不收取</w:t>
      </w:r>
      <w:r>
        <w:rPr>
          <w:rFonts w:hint="eastAsia" w:ascii="宋体" w:hAnsi="宋体" w:eastAsia="宋体" w:cs="宋体"/>
          <w:b/>
          <w:bCs/>
          <w:color w:val="auto"/>
          <w:sz w:val="21"/>
          <w:szCs w:val="21"/>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违约金</w:t>
      </w:r>
      <w:r/>
    </w:p>
    <w:p>
      <w:pPr>
        <w:jc w:val="left"/>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详见第五章合同条款</w:t>
      </w:r>
      <w:r/>
    </w:p>
    <w:p>
      <w:pPr>
        <w:jc w:val="left"/>
        <w:spacing w:line="240" w:lineRule="auto"/>
        <w:widowControl/>
        <w:rPr>
          <w:rFonts w:hint="eastAsia" w:ascii="宋体" w:hAnsi="宋体" w:eastAsia="宋体" w:cs="宋体"/>
          <w:b/>
          <w:color w:val="auto"/>
          <w:spacing w:val="15"/>
          <w:sz w:val="28"/>
          <w:szCs w:val="28"/>
          <w:highlight w:val="none"/>
          <w:lang w:val="en-US" w:eastAsia="zh-CN"/>
        </w:rPr>
        <w:outlineLvl w:val="9"/>
      </w:pPr>
      <w:r/>
      <w:bookmarkStart w:id="58" w:name="_Toc20971"/>
      <w:r>
        <w:rPr>
          <w:rFonts w:hint="eastAsia" w:ascii="宋体" w:hAnsi="宋体" w:eastAsia="宋体" w:cs="宋体"/>
          <w:b/>
          <w:color w:val="auto"/>
          <w:spacing w:val="15"/>
          <w:sz w:val="28"/>
          <w:szCs w:val="28"/>
          <w:highlight w:val="none"/>
          <w:lang w:val="en-US" w:eastAsia="zh-CN"/>
        </w:rPr>
        <w:br w:type="page" w:clear="all"/>
      </w:r>
      <w:r/>
    </w:p>
    <w:p>
      <w:pPr>
        <w:jc w:val="center"/>
        <w:spacing w:line="360" w:lineRule="auto"/>
        <w:widowControl/>
        <w:rPr>
          <w:rFonts w:hint="eastAsia" w:ascii="宋体" w:hAnsi="宋体" w:eastAsia="宋体" w:cs="宋体"/>
          <w:b/>
          <w:color w:val="auto"/>
          <w:spacing w:val="15"/>
          <w:sz w:val="28"/>
          <w:szCs w:val="28"/>
          <w:highlight w:val="none"/>
          <w:lang w:val="en-US" w:eastAsia="zh-CN"/>
        </w:rPr>
        <w:outlineLvl w:val="0"/>
      </w:pPr>
      <w:r/>
      <w:bookmarkStart w:id="59" w:name="_Toc24881"/>
      <w:r/>
      <w:bookmarkStart w:id="60" w:name="_Toc1555"/>
      <w:r/>
      <w:bookmarkStart w:id="61" w:name="_Toc12286"/>
      <w:r/>
      <w:bookmarkStart w:id="62" w:name="_Toc16452"/>
      <w:r>
        <w:rPr>
          <w:rFonts w:hint="eastAsia" w:ascii="宋体" w:hAnsi="宋体" w:eastAsia="宋体" w:cs="宋体"/>
          <w:b/>
          <w:color w:val="auto"/>
          <w:spacing w:val="15"/>
          <w:sz w:val="28"/>
          <w:szCs w:val="28"/>
          <w:highlight w:val="none"/>
          <w:lang w:val="en-US" w:eastAsia="zh-CN"/>
        </w:rPr>
        <w:t xml:space="preserve">第四章 评标办法及标准</w:t>
      </w:r>
      <w:bookmarkEnd w:id="55"/>
      <w:r/>
      <w:bookmarkEnd w:id="56"/>
      <w:r/>
      <w:bookmarkEnd w:id="58"/>
      <w:r/>
      <w:bookmarkEnd w:id="59"/>
      <w:r/>
      <w:bookmarkEnd w:id="60"/>
      <w:r/>
      <w:bookmarkEnd w:id="61"/>
      <w:r/>
      <w:bookmarkEnd w:id="62"/>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一、评标办法：</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本项目评标采用综合评分法，总分为100分。合格投标人的综合得分为各评分项目汇总</w:t>
      </w:r>
      <w:r>
        <w:rPr>
          <w:rFonts w:hint="eastAsia" w:ascii="宋体" w:hAnsi="宋体" w:eastAsia="宋体" w:cs="宋体"/>
          <w:color w:val="auto"/>
          <w:sz w:val="21"/>
          <w:szCs w:val="21"/>
          <w:highlight w:val="none"/>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763"/>
        <w:ind w:firstLine="420"/>
        <w:jc w:val="both"/>
        <w:spacing w:before="0" w:beforeAutospacing="0" w:after="0"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政府采购政策功能落实</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1、小微型企业价格扣除</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（1）本项目对小型和微型企业产品给予10%的扣除价格，用扣除后的价格参与评审。</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（2）供应商需按照采购文件的要求提供相应的《中小企业声明函》。</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（3）企业标准请参照《关于印发中小企业划型标准规定的通知》（工信部联企业[2011]300号）文件规定自行填写。</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2、残疾人福利单位价格扣除</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（1）本项目对残疾人福利性单位视同小型、微型企业，给予10%的价格扣除，用扣除后的价格参与评审。</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（2）残疾人福利单位需按照采购文件的要求提供《残疾人福利性单位声明函》。</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（3）残疾人福利单位标准请参照《关于促进残疾人就业政府采购政策的通知》（财库〔2017〕141号）。</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3、监狱和戒毒企业价格扣除</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（1）本项目对监狱和戒毒企业（简称监狱企业）视同小型、微型企业，给予10%的价格扣除，用扣除后的价格参与评审。</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（3）监狱企业标准请参照《关于政府采购支持监狱企业发展有关问题的通知》（财库[2014]68号）。</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4、残疾人福利单位、监狱企业属于小型、微型企业的，不重复享受政策。</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6、联合体各方均为小型、微型企业（残疾人福利单位、监狱企业）的，联合体享受10%价格扣除，用扣除后的价格参与评审。</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7、专门面向中小企业采购的项目，小微企业不再享受价格扣除优惠政策。</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8、采购本国产品的支持政策</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8.3 本项目政府采购活动中既有本国产品又有非本国产品参与竞争的，依法对本国产品给予价格评审优惠，对本国产品的报价给予  20%的价格扣除，用扣除后的价格参与评审。</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8.5 供应商需按照招标文件的要求提供《关于符合本国产品标准的声明函》（以下简称《声明函》），如不提供将不享受本国产品价格评审优惠。</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63"/>
        <w:ind w:firstLine="420"/>
        <w:jc w:val="both"/>
        <w:spacing w:before="0" w:beforeAutospacing="0" w:after="0" w:afterAutospacing="0" w:line="360" w:lineRule="auto"/>
        <w:shd w:val="clear" w:color="auto" w:fill="ffff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65"/>
        <w:ind w:firstLine="0"/>
        <w:rPr>
          <w:rFonts w:hint="eastAsia" w:ascii="宋体" w:hAnsi="宋体" w:eastAsia="宋体" w:cs="宋体"/>
          <w:b/>
          <w:color w:val="auto"/>
          <w:sz w:val="21"/>
          <w:szCs w:val="21"/>
          <w:highlight w:val="none"/>
        </w:rPr>
      </w:pPr>
      <w:r/>
      <w:bookmarkStart w:id="63" w:name="_Hlk147842034"/>
      <w:r>
        <w:rPr>
          <w:rFonts w:hint="eastAsia" w:ascii="宋体" w:hAnsi="宋体" w:eastAsia="宋体" w:cs="宋体"/>
          <w:b/>
          <w:color w:val="auto"/>
          <w:sz w:val="21"/>
          <w:szCs w:val="21"/>
          <w:highlight w:val="none"/>
        </w:rPr>
        <w:t xml:space="preserve">评标内容及标准： </w:t>
      </w:r>
      <w:r/>
    </w:p>
    <w:tbl>
      <w:tblPr>
        <w:tblStyle w:val="73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66"/>
        <w:gridCol w:w="862"/>
        <w:gridCol w:w="7055"/>
        <w:gridCol w:w="664"/>
      </w:tblGrid>
      <w:t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评分因素</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ind w:firstLine="42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评分细则</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r>
      <w:t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w:t>
            </w:r>
            <w:r/>
          </w:p>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rPr>
              <w:t xml:space="preserve">0</w:t>
            </w:r>
            <w:r>
              <w:rPr>
                <w:rFonts w:hint="eastAsia" w:ascii="宋体" w:hAnsi="宋体" w:eastAsia="宋体" w:cs="宋体"/>
                <w:bCs/>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价格分采用低价优先法计算，即满足招标文件要求且投标价格最低的投标报价为评标基准价，其价格分为满分。其他投标人的价格分统一按照下列公式计算：</w:t>
            </w:r>
            <w:r/>
          </w:p>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投标报价得分=(评标基准价／投标报价)×3</w:t>
            </w:r>
            <w:r>
              <w:rPr>
                <w:rFonts w:hint="eastAsia" w:ascii="宋体" w:hAnsi="宋体" w:eastAsia="宋体" w:cs="宋体"/>
                <w:bCs/>
                <w:color w:val="auto"/>
                <w:sz w:val="21"/>
                <w:szCs w:val="21"/>
                <w:highlight w:val="none"/>
                <w:lang w:val="en-US"/>
              </w:rPr>
              <w:t xml:space="preserve">0</w:t>
            </w:r>
            <w:r>
              <w:rPr>
                <w:rFonts w:hint="eastAsia" w:ascii="宋体" w:hAnsi="宋体" w:eastAsia="宋体" w:cs="宋体"/>
                <w:bCs/>
                <w:color w:val="auto"/>
                <w:sz w:val="21"/>
                <w:szCs w:val="21"/>
                <w:highlight w:val="none"/>
              </w:rPr>
              <w:t xml:space="preserve">（小数点保留两位）。</w:t>
            </w:r>
            <w:r/>
          </w:p>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总报价或单设备价格超过预算的，均按无效处理。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bCs/>
                <w:color w:val="auto"/>
                <w:sz w:val="21"/>
                <w:szCs w:val="21"/>
                <w:highlight w:val="none"/>
                <w:lang w:val="en-US"/>
              </w:rPr>
              <w:t xml:space="preserve">0</w:t>
            </w:r>
            <w:r/>
          </w:p>
        </w:tc>
      </w:tr>
      <w:tr>
        <w:trPr/>
        <w:tc>
          <w:tcPr>
            <w:tcBorders>
              <w:top w:val="single" w:color="auto" w:sz="4" w:space="0"/>
              <w:left w:val="single" w:color="auto" w:sz="4" w:space="0"/>
              <w:right w:val="single" w:color="auto" w:sz="4" w:space="0"/>
            </w:tcBorders>
            <w:tcW w:w="309" w:type="pct"/>
            <w:vAlign w:val="center"/>
            <w:textDirection w:val="lrTb"/>
            <w:noWrap w:val="false"/>
          </w:tcPr>
          <w:p>
            <w:pP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top w:val="single" w:color="auto" w:sz="4" w:space="0"/>
              <w:left w:val="none" w:color="000000" w:sz="4" w:space="0"/>
              <w:right w:val="single" w:color="auto" w:sz="4" w:space="0"/>
            </w:tcBorders>
            <w:tcW w:w="471"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采购需求响应（</w:t>
            </w:r>
            <w:r>
              <w:rPr>
                <w:rFonts w:hint="eastAsia" w:ascii="宋体" w:hAnsi="宋体" w:eastAsia="宋体" w:cs="宋体"/>
                <w:bCs/>
                <w:color w:val="auto"/>
                <w:sz w:val="21"/>
                <w:szCs w:val="21"/>
                <w:highlight w:val="none"/>
                <w:lang w:val="en-US"/>
              </w:rPr>
              <w:t xml:space="preserve">39</w:t>
            </w:r>
            <w:r>
              <w:rPr>
                <w:rFonts w:hint="eastAsia" w:ascii="宋体" w:hAnsi="宋体" w:eastAsia="宋体" w:cs="宋体"/>
                <w:bCs/>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投标产品对招标文件具体需求响应程度能够满足招标文件</w:t>
            </w:r>
            <w:r>
              <w:rPr>
                <w:rFonts w:hint="eastAsia" w:ascii="宋体" w:hAnsi="宋体" w:eastAsia="宋体" w:cs="宋体"/>
                <w:bCs/>
                <w:color w:val="auto"/>
                <w:sz w:val="21"/>
                <w:szCs w:val="21"/>
                <w:highlight w:val="none"/>
                <w:lang w:val="en-US" w:eastAsia="zh-CN"/>
              </w:rPr>
              <w:t xml:space="preserve">第四章二（一）技术</w:t>
            </w:r>
            <w:r>
              <w:rPr>
                <w:rFonts w:hint="eastAsia" w:ascii="宋体" w:hAnsi="宋体" w:eastAsia="宋体" w:cs="宋体"/>
                <w:bCs/>
                <w:color w:val="auto"/>
                <w:sz w:val="21"/>
                <w:szCs w:val="21"/>
                <w:highlight w:val="none"/>
              </w:rPr>
              <w:t xml:space="preserve">要求的得39分，其中标注“</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”的为否决项，不满足</w:t>
            </w:r>
            <w:r>
              <w:rPr>
                <w:rFonts w:hint="eastAsia" w:ascii="宋体" w:hAnsi="宋体" w:eastAsia="宋体" w:cs="宋体"/>
                <w:bCs/>
                <w:color w:val="auto"/>
                <w:sz w:val="21"/>
                <w:szCs w:val="21"/>
                <w:highlight w:val="none"/>
                <w:lang w:val="en-US"/>
              </w:rPr>
              <w:t xml:space="preserve">的</w:t>
            </w:r>
            <w:r>
              <w:rPr>
                <w:rFonts w:hint="eastAsia" w:ascii="宋体" w:hAnsi="宋体" w:eastAsia="宋体" w:cs="宋体"/>
                <w:bCs/>
                <w:color w:val="auto"/>
                <w:sz w:val="21"/>
                <w:szCs w:val="21"/>
                <w:highlight w:val="none"/>
              </w:rPr>
              <w:t xml:space="preserve">作无效投标处理；标注“★”的为重要指标，不满足的每项扣</w:t>
            </w:r>
            <w:r>
              <w:rPr>
                <w:rFonts w:hint="eastAsia" w:ascii="宋体" w:hAnsi="宋体" w:eastAsia="宋体" w:cs="宋体"/>
                <w:bCs/>
                <w:color w:val="auto"/>
                <w:sz w:val="21"/>
                <w:szCs w:val="21"/>
                <w:highlight w:val="none"/>
                <w:lang w:val="en-US" w:eastAsia="zh-CN"/>
              </w:rPr>
              <w:t xml:space="preserve">1.5</w:t>
            </w:r>
            <w:r>
              <w:rPr>
                <w:rFonts w:hint="eastAsia" w:ascii="宋体" w:hAnsi="宋体" w:eastAsia="宋体" w:cs="宋体"/>
                <w:bCs/>
                <w:color w:val="auto"/>
                <w:sz w:val="21"/>
                <w:szCs w:val="21"/>
                <w:highlight w:val="none"/>
              </w:rPr>
              <w:t xml:space="preserve">分，其他一般</w:t>
            </w:r>
            <w:r>
              <w:rPr>
                <w:rFonts w:hint="eastAsia" w:ascii="宋体" w:hAnsi="宋体" w:eastAsia="宋体" w:cs="宋体"/>
                <w:bCs/>
                <w:color w:val="auto"/>
                <w:sz w:val="21"/>
                <w:szCs w:val="21"/>
                <w:highlight w:val="none"/>
                <w:lang w:val="en-US"/>
              </w:rPr>
              <w:t xml:space="preserve">条款</w:t>
            </w:r>
            <w:r>
              <w:rPr>
                <w:rFonts w:hint="eastAsia" w:ascii="宋体" w:hAnsi="宋体" w:eastAsia="宋体" w:cs="宋体"/>
                <w:bCs/>
                <w:color w:val="auto"/>
                <w:sz w:val="21"/>
                <w:szCs w:val="21"/>
                <w:highlight w:val="none"/>
              </w:rPr>
              <w:t xml:space="preserve">有负偏离的每项扣</w:t>
            </w:r>
            <w:r>
              <w:rPr>
                <w:rFonts w:hint="eastAsia" w:ascii="宋体" w:hAnsi="宋体" w:eastAsia="宋体" w:cs="宋体"/>
                <w:bCs/>
                <w:color w:val="auto"/>
                <w:sz w:val="21"/>
                <w:szCs w:val="21"/>
                <w:highlight w:val="none"/>
                <w:lang w:val="en-US"/>
              </w:rPr>
              <w:t xml:space="preserve">0.</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spacing w:line="36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备注:对于招标文件中标注“★”“▲”的参数需提供相应技术支持资料（如彩页、白皮书、检测报告</w:t>
            </w:r>
            <w:r>
              <w:rPr>
                <w:rFonts w:hint="eastAsia" w:ascii="宋体" w:hAnsi="宋体" w:eastAsia="宋体" w:cs="宋体"/>
                <w:bCs/>
                <w:color w:val="auto"/>
                <w:sz w:val="21"/>
                <w:szCs w:val="21"/>
                <w:highlight w:val="none"/>
                <w:lang w:val="en-US"/>
              </w:rPr>
              <w:t xml:space="preserve">或招标文件第四章技术参数中要求的证明材料</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第四章明确要求技术支持资料类型的技术条款，应严格按照具体要求提交相应资料，未明确要求技术支持资料类型的技术条款提供任意一种技术支持材料即可</w:t>
            </w:r>
            <w:r>
              <w:rPr>
                <w:rFonts w:hint="eastAsia" w:ascii="宋体" w:hAnsi="宋体" w:eastAsia="宋体" w:cs="宋体"/>
                <w:bCs/>
                <w:color w:val="auto"/>
                <w:sz w:val="21"/>
                <w:szCs w:val="21"/>
                <w:highlight w:val="none"/>
              </w:rPr>
              <w:t xml:space="preserve">）并在《技术参数响应表》中详细标明技术支持资料在投标文件中的页码和位置。未提供技术支持资料的作负偏离处理。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39</w:t>
            </w:r>
            <w:r/>
          </w:p>
        </w:tc>
      </w:tr>
      <w:tr>
        <w:trPr/>
        <w:tc>
          <w:tcPr>
            <w:tcBorders>
              <w:top w:val="single" w:color="auto" w:sz="4" w:space="0"/>
              <w:left w:val="single" w:color="auto" w:sz="4" w:space="0"/>
              <w:right w:val="single" w:color="auto" w:sz="4" w:space="0"/>
            </w:tcBorders>
            <w:tcW w:w="309" w:type="pct"/>
            <w:vAlign w:val="center"/>
            <w:vMerge w:val="restart"/>
            <w:textDirection w:val="lrTb"/>
            <w:noWrap w:val="false"/>
          </w:tcPr>
          <w:p>
            <w:pP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3</w:t>
            </w:r>
            <w:r/>
          </w:p>
        </w:tc>
        <w:tc>
          <w:tcPr>
            <w:tcBorders>
              <w:top w:val="single" w:color="auto" w:sz="4" w:space="0"/>
              <w:left w:val="none" w:color="000000" w:sz="4" w:space="0"/>
              <w:right w:val="single" w:color="auto" w:sz="4" w:space="0"/>
            </w:tcBorders>
            <w:tcW w:w="471" w:type="pct"/>
            <w:vAlign w:val="center"/>
            <w:vMerge w:val="restart"/>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实施方案</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23</w:t>
            </w:r>
            <w:r>
              <w:rPr>
                <w:rFonts w:hint="eastAsia" w:ascii="宋体" w:hAnsi="宋体" w:eastAsia="宋体" w:cs="宋体"/>
                <w:bCs/>
                <w:color w:val="auto"/>
                <w:sz w:val="21"/>
                <w:szCs w:val="21"/>
                <w:highlight w:val="none"/>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spacing w:line="360" w:lineRule="auto"/>
              <w:tabs>
                <w:tab w:val="left" w:pos="540" w:leader="none"/>
                <w:tab w:val="center" w:pos="41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提供的实施方案（</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color w:val="auto"/>
                <w:sz w:val="21"/>
                <w:szCs w:val="21"/>
                <w:highlight w:val="none"/>
              </w:rPr>
              <w:t xml:space="preserve">需考虑到本项目实际情况，提供有针对性的方案，内容包括但不限于：</w:t>
            </w:r>
            <w:r>
              <w:rPr>
                <w:rFonts w:hint="eastAsia" w:ascii="宋体" w:hAnsi="宋体" w:eastAsia="宋体" w:cs="宋体"/>
                <w:bCs/>
                <w:color w:val="auto"/>
                <w:sz w:val="21"/>
                <w:szCs w:val="21"/>
                <w:highlight w:val="none"/>
              </w:rPr>
              <w:t xml:space="preserve">①</w:t>
            </w:r>
            <w:r>
              <w:rPr>
                <w:rFonts w:hint="eastAsia" w:ascii="宋体" w:hAnsi="宋体" w:eastAsia="宋体" w:cs="宋体"/>
                <w:color w:val="auto"/>
                <w:sz w:val="21"/>
                <w:szCs w:val="21"/>
                <w:highlight w:val="none"/>
              </w:rPr>
              <w:t xml:space="preserve">总体实施方案、</w:t>
            </w:r>
            <w:r>
              <w:rPr>
                <w:rFonts w:hint="eastAsia" w:ascii="宋体" w:hAnsi="宋体" w:eastAsia="宋体" w:cs="宋体"/>
                <w:bCs/>
                <w:color w:val="auto"/>
                <w:sz w:val="21"/>
                <w:szCs w:val="21"/>
                <w:highlight w:val="none"/>
              </w:rPr>
              <w:t xml:space="preserve">②</w:t>
            </w:r>
            <w:r>
              <w:rPr>
                <w:rFonts w:hint="eastAsia" w:ascii="宋体" w:hAnsi="宋体" w:eastAsia="宋体" w:cs="宋体"/>
                <w:color w:val="auto"/>
                <w:sz w:val="21"/>
                <w:szCs w:val="21"/>
                <w:highlight w:val="none"/>
              </w:rPr>
              <w:t xml:space="preserve">具体计划进度安排、运输、</w:t>
            </w:r>
            <w:r>
              <w:rPr>
                <w:rFonts w:hint="eastAsia" w:ascii="宋体" w:hAnsi="宋体" w:eastAsia="宋体" w:cs="宋体"/>
                <w:bCs/>
                <w:color w:val="auto"/>
                <w:sz w:val="21"/>
                <w:szCs w:val="21"/>
                <w:highlight w:val="none"/>
              </w:rPr>
              <w:t xml:space="preserve">③</w:t>
            </w:r>
            <w:r>
              <w:rPr>
                <w:rFonts w:hint="eastAsia" w:ascii="宋体" w:hAnsi="宋体" w:eastAsia="宋体" w:cs="宋体"/>
                <w:color w:val="auto"/>
                <w:sz w:val="21"/>
                <w:szCs w:val="21"/>
                <w:highlight w:val="none"/>
              </w:rPr>
              <w:t xml:space="preserve">安装调试方案、</w:t>
            </w:r>
            <w:r>
              <w:rPr>
                <w:rFonts w:hint="eastAsia" w:ascii="宋体" w:hAnsi="宋体" w:eastAsia="宋体" w:cs="宋体"/>
                <w:bCs/>
                <w:color w:val="auto"/>
                <w:sz w:val="21"/>
                <w:szCs w:val="21"/>
                <w:highlight w:val="none"/>
              </w:rPr>
              <w:t xml:space="preserve">④</w:t>
            </w:r>
            <w:r>
              <w:rPr>
                <w:rFonts w:hint="eastAsia" w:ascii="宋体" w:hAnsi="宋体" w:eastAsia="宋体" w:cs="宋体"/>
                <w:bCs/>
                <w:color w:val="auto"/>
                <w:sz w:val="21"/>
                <w:szCs w:val="21"/>
                <w:highlight w:val="none"/>
                <w:lang w:val="en-US"/>
              </w:rPr>
              <w:t xml:space="preserve">验收方案</w:t>
            </w:r>
            <w:r>
              <w:rPr>
                <w:rFonts w:hint="eastAsia" w:ascii="宋体" w:hAnsi="宋体" w:eastAsia="宋体" w:cs="宋体"/>
                <w:color w:val="auto"/>
                <w:sz w:val="21"/>
                <w:szCs w:val="21"/>
                <w:highlight w:val="none"/>
              </w:rPr>
              <w:t xml:space="preserve">等）进行综合评分：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1）方案包含的要点齐全无缺漏项、内容与要点完全相符、每个要点均有展开详细的阐述且能够适用于本项目，得</w:t>
            </w: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2）方案所包含的要点有一处缺漏或基本能够适用于本项目，得</w:t>
            </w:r>
            <w:r>
              <w:rPr>
                <w:rFonts w:hint="eastAsia" w:ascii="宋体" w:hAnsi="宋体" w:eastAsia="宋体" w:cs="宋体"/>
                <w:bCs/>
                <w:color w:val="auto"/>
                <w:sz w:val="21"/>
                <w:szCs w:val="21"/>
                <w:highlight w:val="none"/>
                <w:lang w:val="en-US"/>
              </w:rPr>
              <w:t xml:space="preserve">5</w:t>
            </w:r>
            <w:r>
              <w:rPr>
                <w:rFonts w:hint="eastAsia" w:ascii="宋体" w:hAnsi="宋体" w:eastAsia="宋体" w:cs="宋体"/>
                <w:bCs/>
                <w:color w:val="auto"/>
                <w:sz w:val="21"/>
                <w:szCs w:val="21"/>
                <w:highlight w:val="none"/>
              </w:rPr>
              <w:t xml:space="preserve">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3）方案所包含的要点有</w:t>
            </w:r>
            <w:r>
              <w:rPr>
                <w:rFonts w:hint="eastAsia" w:ascii="宋体" w:hAnsi="宋体" w:eastAsia="宋体" w:cs="宋体"/>
                <w:bCs/>
                <w:color w:val="auto"/>
                <w:sz w:val="21"/>
                <w:szCs w:val="21"/>
                <w:highlight w:val="none"/>
                <w:lang w:val="en-US"/>
              </w:rPr>
              <w:t xml:space="preserve">两</w:t>
            </w:r>
            <w:r>
              <w:rPr>
                <w:rFonts w:hint="eastAsia" w:ascii="宋体" w:hAnsi="宋体" w:eastAsia="宋体" w:cs="宋体"/>
                <w:bCs/>
                <w:color w:val="auto"/>
                <w:sz w:val="21"/>
                <w:szCs w:val="21"/>
                <w:highlight w:val="none"/>
              </w:rPr>
              <w:t xml:space="preserve">处缺漏或基本能够适用于本项目，但针对性不足，得</w:t>
            </w: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分；</w:t>
            </w:r>
            <w:r/>
          </w:p>
          <w:p>
            <w:pPr>
              <w:jc w:val="left"/>
              <w:spacing w:line="360" w:lineRule="exact"/>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）未提供服务方案的不得分。</w:t>
            </w:r>
            <w:r/>
          </w:p>
        </w:tc>
        <w:tc>
          <w:tcPr>
            <w:shd w:val="clear" w:color="auto" w:fill="auto"/>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7</w:t>
            </w:r>
            <w:r/>
          </w:p>
        </w:tc>
      </w:tr>
      <w:tr>
        <w:trPr/>
        <w:tc>
          <w:tcPr>
            <w:tcBorders>
              <w:left w:val="single" w:color="auto" w:sz="4" w:space="0"/>
              <w:right w:val="single" w:color="auto" w:sz="4" w:space="0"/>
            </w:tcBorders>
            <w:tcW w:w="309" w:type="pct"/>
            <w:vAlign w:val="center"/>
            <w:vMerge w:val="continue"/>
            <w:textDirection w:val="lrTb"/>
            <w:noWrap w:val="false"/>
          </w:tcPr>
          <w:p>
            <w:pP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left w:val="none" w:color="000000" w:sz="4" w:space="0"/>
              <w:right w:val="single" w:color="auto" w:sz="4" w:space="0"/>
            </w:tcBorders>
            <w:tcW w:w="471" w:type="pct"/>
            <w:vAlign w:val="center"/>
            <w:vMerge w:val="continue"/>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rPr>
              <w:t xml:space="preserve">供应商</w:t>
            </w:r>
            <w:r>
              <w:rPr>
                <w:rFonts w:hint="eastAsia" w:ascii="宋体" w:hAnsi="宋体" w:eastAsia="宋体" w:cs="宋体"/>
                <w:bCs/>
                <w:color w:val="auto"/>
                <w:sz w:val="21"/>
                <w:szCs w:val="21"/>
                <w:highlight w:val="none"/>
              </w:rPr>
              <w:t xml:space="preserve">提供的售后服务方案（包括①响应时间、②回访巡检方案、③故障解决措施、④技术人员保障、⑤备品配件价格等方面）、服务方案（包括⑥服务网点、维修网点设置情况以及⑦技术人员安排情况等方面）进行综合评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1）方案包含的要点齐全无缺漏项、内容与要点完全相符、每个要点均有展开详细的阐述且能够适用于本项目，得7分；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2）方案所包含的要点有一处缺漏或基本能够适用于本项目，得5分；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3）方案所包含的要点有两处及以上缺漏或基本适用于本项目，但针对性不足，得</w:t>
            </w: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分；</w:t>
            </w:r>
            <w:r/>
          </w:p>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4）未提供服务方案的不得分。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7</w:t>
            </w:r>
            <w:r/>
          </w:p>
        </w:tc>
      </w:tr>
      <w:tr>
        <w:trPr/>
        <w:tc>
          <w:tcPr>
            <w:tcBorders>
              <w:left w:val="single" w:color="auto" w:sz="4" w:space="0"/>
              <w:right w:val="single" w:color="auto" w:sz="4" w:space="0"/>
            </w:tcBorders>
            <w:tcW w:w="309" w:type="pct"/>
            <w:vAlign w:val="center"/>
            <w:vMerge w:val="continue"/>
            <w:textDirection w:val="lrTb"/>
            <w:noWrap w:val="false"/>
          </w:tcPr>
          <w:p>
            <w:pPr>
              <w:spacing w:line="360" w:lineRule="exact"/>
              <w:rPr>
                <w:rFonts w:hint="eastAsia" w:ascii="宋体" w:hAnsi="宋体" w:eastAsia="宋体" w:cs="宋体"/>
                <w:bCs/>
                <w:color w:val="auto"/>
                <w:sz w:val="21"/>
                <w:szCs w:val="21"/>
                <w:highlight w:val="none"/>
              </w:rPr>
            </w:pPr>
            <w:r/>
            <w:bookmarkStart w:id="94" w:name="_GoBack"/>
            <w:r/>
            <w:r/>
          </w:p>
        </w:tc>
        <w:tc>
          <w:tcPr>
            <w:tcBorders>
              <w:left w:val="none" w:color="000000" w:sz="4" w:space="0"/>
              <w:right w:val="single" w:color="auto" w:sz="4" w:space="0"/>
            </w:tcBorders>
            <w:tcW w:w="471" w:type="pct"/>
            <w:vAlign w:val="center"/>
            <w:vMerge w:val="continue"/>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满足招标文件免费质保期的基础上，</w:t>
            </w:r>
            <w:r>
              <w:rPr>
                <w:rFonts w:hint="eastAsia" w:ascii="宋体" w:hAnsi="宋体" w:eastAsia="宋体" w:cs="宋体"/>
                <w:bCs/>
                <w:color w:val="auto"/>
                <w:sz w:val="21"/>
                <w:szCs w:val="21"/>
                <w:highlight w:val="none"/>
                <w:lang w:val="en-US" w:eastAsia="zh-CN"/>
              </w:rPr>
              <w:t xml:space="preserve">主要产品（液相色谱串联质谱仪和基因测序工作站）同步</w:t>
            </w:r>
            <w:r>
              <w:rPr>
                <w:rFonts w:hint="eastAsia" w:ascii="宋体" w:hAnsi="宋体" w:eastAsia="宋体" w:cs="宋体"/>
                <w:bCs/>
                <w:color w:val="auto"/>
                <w:sz w:val="21"/>
                <w:szCs w:val="21"/>
                <w:highlight w:val="none"/>
              </w:rPr>
              <w:t xml:space="preserve">每增加1年免费质保加1分，本项最多得</w:t>
            </w: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分。</w:t>
            </w:r>
            <w:r>
              <w:rPr>
                <w:rFonts w:hint="eastAsia" w:ascii="宋体" w:hAnsi="宋体" w:eastAsia="宋体" w:cs="宋体"/>
                <w:b/>
                <w:color w:val="auto"/>
                <w:sz w:val="21"/>
                <w:szCs w:val="21"/>
                <w:highlight w:val="none"/>
              </w:rPr>
              <w:t xml:space="preserve">需提供售后服务承诺书（原件）（若投标文件中出现前后不一致的情况，以最低免费质保期作为评分依据）</w:t>
            </w:r>
            <w:r>
              <w:rPr>
                <w:rFonts w:hint="eastAsia" w:ascii="宋体" w:hAnsi="宋体" w:eastAsia="宋体" w:cs="宋体"/>
                <w:bCs/>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2</w:t>
            </w:r>
            <w:bookmarkEnd w:id="94"/>
            <w:r/>
            <w:r/>
          </w:p>
        </w:tc>
      </w:tr>
      <w:tr>
        <w:trPr/>
        <w:tc>
          <w:tcPr>
            <w:tcBorders>
              <w:left w:val="single" w:color="auto" w:sz="4" w:space="0"/>
              <w:bottom w:val="single" w:color="auto" w:sz="4" w:space="0"/>
              <w:right w:val="single" w:color="auto" w:sz="4" w:space="0"/>
            </w:tcBorders>
            <w:tcW w:w="309" w:type="pct"/>
            <w:vAlign w:val="center"/>
            <w:vMerge w:val="continue"/>
            <w:textDirection w:val="lrTb"/>
            <w:noWrap w:val="false"/>
          </w:tcPr>
          <w:p>
            <w:pP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left w:val="none" w:color="000000" w:sz="4" w:space="0"/>
              <w:bottom w:val="single" w:color="auto" w:sz="4" w:space="0"/>
              <w:right w:val="single" w:color="auto" w:sz="4" w:space="0"/>
            </w:tcBorders>
            <w:tcW w:w="471" w:type="pct"/>
            <w:vAlign w:val="center"/>
            <w:vMerge w:val="continue"/>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根据供应商</w:t>
            </w:r>
            <w:r>
              <w:rPr>
                <w:rFonts w:hint="eastAsia" w:ascii="宋体" w:hAnsi="宋体" w:eastAsia="宋体" w:cs="宋体"/>
                <w:bCs/>
                <w:color w:val="auto"/>
                <w:sz w:val="21"/>
                <w:szCs w:val="21"/>
                <w:highlight w:val="none"/>
              </w:rPr>
              <w:t xml:space="preserve">提供对用户的操作培训（包括①师资安排、②培训时间、③课程安排等）、④业务功能培训等相关计划方案</w:t>
            </w:r>
            <w:r>
              <w:rPr>
                <w:rFonts w:hint="eastAsia" w:ascii="宋体" w:hAnsi="宋体" w:eastAsia="宋体" w:cs="宋体"/>
                <w:bCs/>
                <w:color w:val="auto"/>
                <w:sz w:val="21"/>
                <w:szCs w:val="21"/>
                <w:highlight w:val="none"/>
                <w:lang w:val="en-US"/>
              </w:rPr>
              <w:t xml:space="preserve">等）进行综合评分：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1）方案包含的要点齐全无缺漏项、内容与要点完全相符、每个要点均有展开详细的阐述且能够适用于本项目，得</w:t>
            </w:r>
            <w:r>
              <w:rPr>
                <w:rFonts w:hint="eastAsia" w:ascii="宋体" w:hAnsi="宋体" w:eastAsia="宋体" w:cs="宋体"/>
                <w:bCs/>
                <w:color w:val="auto"/>
                <w:sz w:val="21"/>
                <w:szCs w:val="21"/>
                <w:highlight w:val="none"/>
                <w:lang w:val="en-US"/>
              </w:rPr>
              <w:t xml:space="preserve">7</w:t>
            </w:r>
            <w:r>
              <w:rPr>
                <w:rFonts w:hint="eastAsia" w:ascii="宋体" w:hAnsi="宋体" w:eastAsia="宋体" w:cs="宋体"/>
                <w:bCs/>
                <w:color w:val="auto"/>
                <w:sz w:val="21"/>
                <w:szCs w:val="21"/>
                <w:highlight w:val="none"/>
              </w:rPr>
              <w:t xml:space="preserve">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2）方案所包含的要点有一处缺漏或基本能够适用于本项目，得</w:t>
            </w:r>
            <w:r>
              <w:rPr>
                <w:rFonts w:hint="eastAsia" w:ascii="宋体" w:hAnsi="宋体" w:eastAsia="宋体" w:cs="宋体"/>
                <w:bCs/>
                <w:color w:val="auto"/>
                <w:sz w:val="21"/>
                <w:szCs w:val="21"/>
                <w:highlight w:val="none"/>
                <w:lang w:val="en-US"/>
              </w:rPr>
              <w:t xml:space="preserve">5</w:t>
            </w:r>
            <w:r>
              <w:rPr>
                <w:rFonts w:hint="eastAsia" w:ascii="宋体" w:hAnsi="宋体" w:eastAsia="宋体" w:cs="宋体"/>
                <w:bCs/>
                <w:color w:val="auto"/>
                <w:sz w:val="21"/>
                <w:szCs w:val="21"/>
                <w:highlight w:val="none"/>
              </w:rPr>
              <w:t xml:space="preserve">分；</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3）方案所包含的要点有两处及以上缺漏或基本适用于本项目，但针对性不足，得</w:t>
            </w:r>
            <w:r>
              <w:rPr>
                <w:rFonts w:hint="eastAsia" w:ascii="宋体" w:hAnsi="宋体" w:eastAsia="宋体" w:cs="宋体"/>
                <w:bCs/>
                <w:color w:val="auto"/>
                <w:sz w:val="21"/>
                <w:szCs w:val="21"/>
                <w:highlight w:val="none"/>
                <w:lang w:val="en-US"/>
              </w:rPr>
              <w:t xml:space="preserve">2</w:t>
            </w:r>
            <w:r>
              <w:rPr>
                <w:rFonts w:hint="eastAsia" w:ascii="宋体" w:hAnsi="宋体" w:eastAsia="宋体" w:cs="宋体"/>
                <w:bCs/>
                <w:color w:val="auto"/>
                <w:sz w:val="21"/>
                <w:szCs w:val="21"/>
                <w:highlight w:val="none"/>
              </w:rPr>
              <w:t xml:space="preserve">分；</w:t>
            </w:r>
            <w:r/>
          </w:p>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4）未提供方案或方案无可行性不得分。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7</w:t>
            </w:r>
            <w:r/>
          </w:p>
        </w:tc>
      </w:tr>
      <w:t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业绩</w:t>
            </w:r>
            <w:r/>
          </w:p>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6</w:t>
            </w:r>
            <w:r>
              <w:rPr>
                <w:rFonts w:hint="eastAsia" w:ascii="宋体" w:hAnsi="宋体" w:eastAsia="宋体" w:cs="宋体"/>
                <w:bCs/>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提供</w:t>
            </w:r>
            <w:r>
              <w:rPr>
                <w:rFonts w:hint="eastAsia" w:ascii="宋体" w:hAnsi="宋体" w:eastAsia="宋体" w:cs="宋体"/>
                <w:bCs/>
                <w:color w:val="auto"/>
                <w:sz w:val="21"/>
                <w:szCs w:val="21"/>
                <w:highlight w:val="none"/>
              </w:rPr>
              <w:t xml:space="preserve">所投</w:t>
            </w:r>
            <w:r>
              <w:rPr>
                <w:rFonts w:hint="eastAsia" w:ascii="宋体" w:hAnsi="宋体" w:eastAsia="宋体" w:cs="宋体"/>
                <w:bCs/>
                <w:color w:val="auto"/>
                <w:sz w:val="21"/>
                <w:szCs w:val="21"/>
                <w:highlight w:val="none"/>
                <w:lang w:val="en-US" w:eastAsia="zh-CN"/>
              </w:rPr>
              <w:t xml:space="preserve">主要产品（液相色谱串联质谱仪或基因测序工作站）</w:t>
            </w:r>
            <w:r>
              <w:rPr>
                <w:rFonts w:hint="eastAsia" w:ascii="宋体" w:hAnsi="宋体" w:eastAsia="宋体" w:cs="宋体"/>
                <w:bCs/>
                <w:color w:val="auto"/>
                <w:sz w:val="21"/>
                <w:szCs w:val="21"/>
                <w:highlight w:val="none"/>
              </w:rPr>
              <w:t xml:space="preserve">同品牌同类产品近3年（202</w:t>
            </w: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年1月1日-投标截止时间前）在国内的销售业绩。每提供一份有效合同得2分，最多得</w:t>
            </w:r>
            <w:r>
              <w:rPr>
                <w:rFonts w:hint="eastAsia" w:ascii="宋体" w:hAnsi="宋体" w:eastAsia="宋体" w:cs="宋体"/>
                <w:bCs/>
                <w:color w:val="auto"/>
                <w:sz w:val="21"/>
                <w:szCs w:val="21"/>
                <w:highlight w:val="none"/>
                <w:lang w:val="en-US"/>
              </w:rPr>
              <w:t xml:space="preserve">6</w:t>
            </w:r>
            <w:r>
              <w:rPr>
                <w:rFonts w:hint="eastAsia" w:ascii="宋体" w:hAnsi="宋体" w:eastAsia="宋体" w:cs="宋体"/>
                <w:bCs/>
                <w:color w:val="auto"/>
                <w:sz w:val="21"/>
                <w:szCs w:val="21"/>
                <w:highlight w:val="none"/>
              </w:rPr>
              <w:t xml:space="preserve">分。（业绩中的型号须不低于所投产品型号，提供所投产品在全国的销售合同复印件，其他代理公司的销售合同也可，原件备查。）  </w:t>
            </w:r>
            <w:r/>
          </w:p>
          <w:p>
            <w:pPr>
              <w:jc w:val="left"/>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注：不低于所投产品型号，需提供相关证明材料，由评委会认可。合同按照签订时间计算。</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6</w:t>
            </w:r>
            <w:r/>
          </w:p>
        </w:tc>
      </w:tr>
      <w:tr>
        <w:trPr/>
        <w:tc>
          <w:tcPr>
            <w:tcBorders>
              <w:top w:val="single" w:color="auto" w:sz="4" w:space="0"/>
              <w:left w:val="single" w:color="auto" w:sz="4" w:space="0"/>
              <w:right w:val="single" w:color="auto" w:sz="4" w:space="0"/>
            </w:tcBorders>
            <w:tcW w:w="309" w:type="pct"/>
            <w:vAlign w:val="center"/>
            <w:vMerge w:val="restart"/>
            <w:textDirection w:val="lrTb"/>
            <w:noWrap w:val="false"/>
          </w:tcPr>
          <w:p>
            <w:pP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Borders>
              <w:top w:val="single" w:color="auto" w:sz="4" w:space="0"/>
              <w:left w:val="none" w:color="000000" w:sz="4" w:space="0"/>
              <w:right w:val="single" w:color="auto" w:sz="4" w:space="0"/>
            </w:tcBorders>
            <w:tcW w:w="471" w:type="pct"/>
            <w:vAlign w:val="center"/>
            <w:vMerge w:val="restart"/>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国家政策导向</w:t>
            </w:r>
            <w:r/>
          </w:p>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（2分）</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spacing w:line="36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r>
      <w:tr>
        <w:trPr/>
        <w:tc>
          <w:tcPr>
            <w:tcBorders>
              <w:left w:val="single" w:color="auto" w:sz="4" w:space="0"/>
              <w:bottom w:val="single" w:color="auto" w:sz="4" w:space="0"/>
              <w:right w:val="single" w:color="auto" w:sz="4" w:space="0"/>
            </w:tcBorders>
            <w:tcW w:w="309" w:type="pct"/>
            <w:vAlign w:val="center"/>
            <w:vMerge w:val="continue"/>
            <w:textDirection w:val="lrTb"/>
            <w:noWrap w:val="false"/>
          </w:tcPr>
          <w:p>
            <w:pP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left w:val="none" w:color="000000" w:sz="4" w:space="0"/>
              <w:bottom w:val="single" w:color="auto" w:sz="4" w:space="0"/>
              <w:right w:val="single" w:color="auto" w:sz="4" w:space="0"/>
            </w:tcBorders>
            <w:tcW w:w="471" w:type="pct"/>
            <w:vAlign w:val="center"/>
            <w:vMerge w:val="continue"/>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r>
    </w:tbl>
    <w:p>
      <w:pPr>
        <w:pStyle w:val="765"/>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bookmarkEnd w:id="63"/>
      <w:r/>
      <w:r/>
    </w:p>
    <w:p>
      <w:pPr>
        <w:spacing w:line="300" w:lineRule="auto"/>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p>
      <w:pPr>
        <w:jc w:val="left"/>
        <w:spacing w:line="240" w:lineRule="auto"/>
        <w:widowControl/>
        <w:rPr>
          <w:rFonts w:hint="eastAsia" w:ascii="宋体" w:hAnsi="宋体" w:eastAsia="宋体" w:cs="宋体"/>
          <w:b/>
          <w:color w:val="auto"/>
          <w:spacing w:val="15"/>
          <w:sz w:val="28"/>
          <w:szCs w:val="28"/>
          <w:highlight w:val="none"/>
          <w:lang w:val="en-US" w:eastAsia="zh-CN"/>
        </w:rPr>
        <w:outlineLvl w:val="9"/>
      </w:pPr>
      <w:r/>
      <w:bookmarkStart w:id="64" w:name="_Toc16032"/>
      <w:r>
        <w:rPr>
          <w:rFonts w:hint="eastAsia" w:ascii="宋体" w:hAnsi="宋体" w:eastAsia="宋体" w:cs="宋体"/>
          <w:b/>
          <w:color w:val="auto"/>
          <w:spacing w:val="15"/>
          <w:sz w:val="28"/>
          <w:szCs w:val="28"/>
          <w:highlight w:val="none"/>
          <w:lang w:val="en-US" w:eastAsia="zh-CN"/>
        </w:rPr>
        <w:br w:type="page" w:clear="all"/>
      </w:r>
      <w:r/>
    </w:p>
    <w:p>
      <w:pPr>
        <w:jc w:val="center"/>
        <w:spacing w:line="360" w:lineRule="auto"/>
        <w:widowControl/>
        <w:rPr>
          <w:rFonts w:hint="eastAsia" w:ascii="宋体" w:hAnsi="宋体" w:eastAsia="宋体" w:cs="宋体"/>
          <w:b/>
          <w:color w:val="auto"/>
          <w:spacing w:val="15"/>
          <w:sz w:val="28"/>
          <w:szCs w:val="28"/>
          <w:highlight w:val="none"/>
          <w:lang w:val="en-US" w:eastAsia="zh-CN"/>
        </w:rPr>
        <w:outlineLvl w:val="0"/>
      </w:pPr>
      <w:r/>
      <w:bookmarkStart w:id="65" w:name="_Toc22786"/>
      <w:r/>
      <w:bookmarkStart w:id="66" w:name="_Toc26705"/>
      <w:r/>
      <w:bookmarkStart w:id="67" w:name="_Toc21530"/>
      <w:r/>
      <w:bookmarkStart w:id="68" w:name="_Toc8536"/>
      <w:r>
        <w:rPr>
          <w:rFonts w:hint="eastAsia" w:ascii="宋体" w:hAnsi="宋体" w:eastAsia="宋体" w:cs="宋体"/>
          <w:b/>
          <w:color w:val="auto"/>
          <w:spacing w:val="15"/>
          <w:sz w:val="28"/>
          <w:szCs w:val="28"/>
          <w:highlight w:val="none"/>
          <w:lang w:val="en-US" w:eastAsia="zh-CN"/>
        </w:rPr>
        <w:t xml:space="preserve">第五章 合同条款</w:t>
      </w:r>
      <w:bookmarkEnd w:id="64"/>
      <w:r/>
      <w:bookmarkEnd w:id="65"/>
      <w:r/>
      <w:bookmarkEnd w:id="66"/>
      <w:r/>
      <w:bookmarkEnd w:id="67"/>
      <w:r/>
      <w:bookmarkEnd w:id="68"/>
      <w:r/>
      <w:r/>
    </w:p>
    <w:p>
      <w:pPr>
        <w:ind w:firstLine="567"/>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以下为成交后签订本项目合同的通用条款，成交供应商不得提出实质性的修改，关于专用条款将由采购人与成交供应商结合本项目具体情况协商后签订。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采 购 合 同</w:t>
      </w:r>
      <w:r/>
    </w:p>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（货物类）</w:t>
      </w:r>
      <w:r/>
    </w:p>
    <w:p>
      <w:pPr>
        <w:ind w:right="480"/>
        <w:jc w:val="left"/>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合同编号：</w:t>
      </w:r>
      <w:r/>
    </w:p>
    <w:p>
      <w:pPr>
        <w:ind w:right="480"/>
        <w:jc w:val="left"/>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项目名称：</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甲方（采购人）</w:t>
      </w:r>
      <w:r>
        <w:rPr>
          <w:rFonts w:hint="eastAsia" w:ascii="宋体" w:hAnsi="宋体" w:eastAsia="宋体" w:cs="宋体"/>
          <w:color w:val="auto"/>
          <w:sz w:val="21"/>
          <w:szCs w:val="21"/>
          <w:highlight w:val="none"/>
        </w:rPr>
        <w:t xml:space="preserve">:(以下称“买方”)</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rPr>
        <w:br/>
      </w:r>
      <w:r>
        <w:rPr>
          <w:rFonts w:hint="eastAsia" w:ascii="宋体" w:hAnsi="宋体" w:eastAsia="宋体" w:cs="宋体"/>
          <w:b/>
          <w:bCs/>
          <w:color w:val="auto"/>
          <w:sz w:val="21"/>
          <w:szCs w:val="21"/>
          <w:highlight w:val="none"/>
        </w:rPr>
        <w:t xml:space="preserve">乙方（供应商）</w:t>
      </w:r>
      <w:r>
        <w:rPr>
          <w:rFonts w:hint="eastAsia" w:ascii="宋体" w:hAnsi="宋体" w:eastAsia="宋体" w:cs="宋体"/>
          <w:color w:val="auto"/>
          <w:sz w:val="21"/>
          <w:szCs w:val="21"/>
          <w:highlight w:val="none"/>
        </w:rPr>
        <w:t xml:space="preserve">:  (以下称“卖方”)</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招标代理机构: </w:t>
      </w:r>
      <w:r>
        <w:rPr>
          <w:rFonts w:hint="eastAsia" w:ascii="宋体" w:hAnsi="宋体" w:eastAsia="宋体" w:cs="宋体"/>
          <w:color w:val="auto"/>
          <w:sz w:val="21"/>
          <w:szCs w:val="21"/>
          <w:highlight w:val="none"/>
        </w:rPr>
        <w:t xml:space="preserve">苏美达国际技术贸易有限公司</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第一条  合同目的描述</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鉴于: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受买方委托，招标代理机构于</w:t>
      </w:r>
      <w:r>
        <w:rPr>
          <w:rFonts w:hint="eastAsia" w:ascii="宋体" w:hAnsi="宋体" w:eastAsia="宋体" w:cs="宋体"/>
          <w:color w:val="auto"/>
          <w:sz w:val="21"/>
          <w:szCs w:val="21"/>
          <w:highlight w:val="none"/>
          <w:u w:val="single"/>
        </w:rPr>
        <w:t xml:space="preserve">2026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日组织了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项目的招标，经评委认真严格地评审，确定由卖方中标。</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依据《中华人民共和国民法典》、《中华人民共和国政府采购法》及相关法律法规的规定，并依据</w:t>
      </w:r>
      <w:bookmarkStart w:id="69" w:name="OLE_LINK3"/>
      <w:r>
        <w:rPr>
          <w:rFonts w:hint="eastAsia" w:ascii="宋体" w:hAnsi="宋体" w:eastAsia="宋体" w:cs="宋体"/>
          <w:color w:val="auto"/>
          <w:sz w:val="21"/>
          <w:szCs w:val="21"/>
          <w:highlight w:val="none"/>
          <w:u w:val="single"/>
        </w:rPr>
        <w:t xml:space="preserve">【                    】</w:t>
      </w:r>
      <w:bookmarkEnd w:id="69"/>
      <w:r>
        <w:rPr>
          <w:rFonts w:hint="eastAsia" w:ascii="宋体" w:hAnsi="宋体" w:eastAsia="宋体" w:cs="宋体"/>
          <w:color w:val="auto"/>
          <w:sz w:val="21"/>
          <w:szCs w:val="21"/>
          <w:highlight w:val="none"/>
        </w:rPr>
        <w:t xml:space="preserve">招标文件规定，买卖双方遵循平等、自愿、公平和诚实信用原则，经充分协商，一致同意就以下条款订立本合同，共同信守执行。</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第二条  合同术语定义与解释</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“技术资料”指与本合同设备相关的制造检验、安装、调试、验收、性能验收试验、技术指导和运行维护等文件(包括图纸、各种说明、标准、电子文档等)。</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“技术服务”指由卖方提供的本合同项下设备的安装、调试、验收、性能试验、运行、检修有关的技术指导、技术配合、技术培训等全过程的服务。</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“现场”指将要进行本合同货物安装和运行的地点，一般是指买方地点。</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“验收”指为证明本合同货物已完成安装、调试和性能试验且试运行合格而按照合同规定进行的活动。</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2.5“法律”指中华人民共和国现行的法律、行政法规、部门规章、地方性法规、地方政府规章及其他对本合同履行可能产生影响的规范性文件。</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第三条  合同金额和货物内容</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本合同总价：人民币（大写）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         元）。与合同有关的一切费用，均已包含在上述合同金额中。</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设备名称、技术参数、数量及要求：</w:t>
      </w:r>
      <w:r/>
    </w:p>
    <w:tbl>
      <w:tblPr>
        <w:tblStyle w:val="766"/>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574"/>
        <w:gridCol w:w="2318"/>
        <w:gridCol w:w="1489"/>
        <w:gridCol w:w="741"/>
        <w:gridCol w:w="1401"/>
      </w:tblGrid>
      <w:tr>
        <w:trPr>
          <w:trHeight w:val="151"/>
        </w:trPr>
        <w:tc>
          <w:tcPr>
            <w:tcW w:w="754"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4"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W w:w="2318"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W w:w="148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741"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401" w:type="dxa"/>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单价（万元）</w:t>
            </w:r>
            <w:r/>
          </w:p>
        </w:tc>
      </w:tr>
      <w:tr>
        <w:trPr>
          <w:trHeight w:val="273"/>
        </w:trPr>
        <w:tc>
          <w:tcPr>
            <w:tcW w:w="754"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574"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18"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9"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1" w:type="dxa"/>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1" w:type="dxa"/>
            <w:textDirection w:val="lrTb"/>
            <w:noWrap w:val="false"/>
          </w:tcPr>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备注：          /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设备的技术标准(包括质量要求)，按下列标准执行：</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（1）按国家标准、行业标准、部颁标准、企业标准的顺序在前的标准执行；</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（2）同时应当符合招标要求，按买卖双方在合同中商定的技术条件、样品或补充的技术要求执行。</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第四条  付款方式</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预付款保函安排</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保函担保金额：保函担保金额为本合同设备总价款的</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0 %，为银行最高赔付限额。若合同通过变更、增补设备导致总价款上浮超20%，卖方应在变更协议签订7日内同步上调保函对应金额；价款下调可协商降低保函额度。</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4.1.4费用承担：开立、延期、调整保函产生的全部银行手续费、保证金成本，均由卖方自行承担。</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付款进度安排</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4.2.1合同生效且收到卖方保函后30天内，买方支付合同总价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0%的预付款。</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4.2.2设备、材料全部运抵交货地点，并安装结束，调试完毕，最终验收合格且买方收到全额有效发票后30天内，买方向卖方支付合同总价</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0%的货款。</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卖方理解并接受：买方付款流程需遵循政府财政支付管理规定，若因财政预算审批、资金拨付流程等原因导致付款延迟，不视为买方违约，买方无需承担利息或违约金，卖方不得以此为由停止供货或服务。</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第五条  交付方式</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交付地点：为买方指定地点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，买方应承担卖方为改变交付地点而增加的全部费用，包括但不限于运输费、安装调试费及人工费等。</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交付方法：卖方承担运费及相关费用并送货；设备运抵买方现场后，供货商、设备采购部门及相关使用科室根据货物清单，共同派员签收，如货物齐全并符合招标要求，各方共同签字完成交接。如发生数量短少、外观缺损等问题，由卖方负责免费补齐、调换。</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第六条  交付期限</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自本合同签订生效之日起</w:t>
      </w:r>
      <w:r>
        <w:rPr>
          <w:rFonts w:hint="eastAsia" w:ascii="宋体" w:hAnsi="宋体" w:eastAsia="宋体" w:cs="宋体"/>
          <w:color w:val="auto"/>
          <w:sz w:val="21"/>
          <w:szCs w:val="21"/>
          <w:highlight w:val="none"/>
          <w:u w:val="single"/>
        </w:rPr>
        <w:t xml:space="preserve">【   】日内</w:t>
      </w:r>
      <w:r>
        <w:rPr>
          <w:rFonts w:hint="eastAsia" w:ascii="宋体" w:hAnsi="宋体" w:eastAsia="宋体" w:cs="宋体"/>
          <w:color w:val="auto"/>
          <w:sz w:val="21"/>
          <w:szCs w:val="21"/>
          <w:highlight w:val="none"/>
        </w:rPr>
        <w:t xml:space="preserve">交货，货物到货后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日内安装完成并通过买方验收。</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第七条  货物的包装、运输与标记</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卖方负责办理发运合同货物所需要的运输手续及合同货物交付前的运输，合同货物运抵并卸至合同约定交货地点前的一切质量和安全方面的风险责任由卖方承担。如货物丢失或损坏，卖方应负责尽快对丢失的合同货物补充供货，修理和/或更换损坏的合同货物，并承担由于补充和/或修理和/或更换损坏的合同货物而发生的一切费用。</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卖方交付的所有合同货物均应符合相关包装储运指示标志的规定，按照国家标准最新的规定进行包装，满足长途运输、能承受水平受力、垂直受力、多次搬运、装卸、防潮、防震、防碎等包装要求。卖方并应按照合同货物的特点，按需要分别加上防冲撞、防霉、防锈、防腐蚀、防冻的保护措施，以便合同货物在没有任何损坏和腐蚀的情况下安全地运抵合同货物安装现场。合同货物包装前，卖方应负责按部/套进行检查清理，不留异物，并保证零部件齐全。</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卖方对包装箱内的各散装部件在装配图中的部件号、零件号应标记清楚。 备品备件及专用工具应分别包装，标记清楚并与主设备一起发货。</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合同附件【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】中列明的备品备件及专用工具应按每台/套货物分别包装并在包装箱外加以注明，一同发货。小件货物及松散零星的部件应采用适当的包装方式，装入尽可能小的完好的包装箱内，并尽可能整车发运。</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第八条 运输、卸装、仓储等费用的承担</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本合同项下全部产品由卖方负责运输，运输过程中产生的一切风险、费用由卖方承担。产品送抵后由卖方负责产品的卸货，相关风险和费用由卖方承担。 </w:t>
      </w:r>
      <w:r/>
    </w:p>
    <w:p>
      <w:pPr>
        <w:spacing w:line="40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8.2 如因包装、运输问题导致货物损毁、丢失或者品质下降，买方有权要求降价、换货、 拒收部分或整批货物，由此产生的费用和损失，均由卖方承担。</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第九条  设备的验收与异议</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交验的货物必须符合中华人民共和国国家安全质量标准、环保标准或行业标准;符合采购文件/要求和响应承诺中买方认可的合理最佳配置、参数及各项要求;经有关法定部门计量检定合格(合同中特殊规定的除外;计量费用由卖方承担)，如计量结果不符合国家有关规定、规范、标准时，卖方必须负责更换货物零部件，乃至更换整台货物，直至货物符合有关规定、规范、标准和货物声明的文件(包括说明书、宣传资料等)，由此产生的有关费用由卖方承担。</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买方验收时，卖方需提供如下资料，包括不限于技术资料、使用说明书、原厂装箱单（如有）、合格证（如有）、通过材料（进口设备）、国家认可计量单位的计量证书、发票等，否则不予验收。</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现场验收时，合同货物由于卖方原因有任何损坏、缺陷、短少或不符合合同规定的质量标准和规范的情况，卖方应尽快自费进行修理、更换或补齐短缺部件，由此产生的制造、修理和运费及保险费等一切相关费用均由卖方负担。修理、更换后的货物或经补齐的短缺部件到达交货地点的时间为该货物的实际交货期，并可作为计算卖方迟交违约金的依据。</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买方在验收完成之日起【15】个工作日内，有权对货物出现的外观、数量及表面质量问题向卖方提出异议，卖方应在买方要求期限内对有缺陷或不足的货物进行调换、修理、补充或退货，并承担相关费用。对于无法通过表面验收发现性能缺陷或设计缺陷，买方有权在质保期内任何时间提出异议，不受前述期限限制，且买方有权在发现货物问题时要求卖方更换、退货并承担相应责任及费用。</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第十条  质保期、售后服务等质量瑕疵担保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10.1卖方应保证所供货物为全新，未使用过的，并完全符合合同规定的质量、规格和性能要求。 卖方所供设备、材料及安装的质量保证期为【    】年，自买方验收合格之日起计算。</w:t>
      </w:r>
      <w:r/>
    </w:p>
    <w:p>
      <w:pPr>
        <w:spacing w:line="400" w:lineRule="exact"/>
        <w:rPr>
          <w:rFonts w:hint="eastAsia" w:ascii="宋体" w:hAnsi="宋体" w:eastAsia="宋体" w:cs="宋体"/>
          <w:color w:val="auto"/>
          <w:sz w:val="21"/>
          <w:szCs w:val="21"/>
          <w:highlight w:val="none"/>
        </w:rPr>
      </w:pPr>
      <w:r/>
      <w:bookmarkStart w:id="70" w:name="OLE_LINK7"/>
      <w:r>
        <w:rPr>
          <w:rFonts w:hint="eastAsia" w:ascii="宋体" w:hAnsi="宋体" w:eastAsia="宋体" w:cs="宋体"/>
          <w:color w:val="auto"/>
          <w:sz w:val="21"/>
          <w:szCs w:val="21"/>
          <w:highlight w:val="none"/>
        </w:rPr>
        <w:t xml:space="preserve">10</w:t>
      </w:r>
      <w:bookmarkEnd w:id="70"/>
      <w:r>
        <w:rPr>
          <w:rFonts w:hint="eastAsia" w:ascii="宋体" w:hAnsi="宋体" w:eastAsia="宋体" w:cs="宋体"/>
          <w:color w:val="auto"/>
          <w:sz w:val="21"/>
          <w:szCs w:val="21"/>
          <w:highlight w:val="none"/>
        </w:rPr>
        <w:t xml:space="preserve">.2 在质保期内，因卖方所供设备、材料制造质量或安装问题出现设备故障时，卖方在接买方通知后，4小时内响应，并在24小时内赶到买方现场，免费予以排除故障、修复或更换零部件。还应支付因更换所发生的运输、保险、安装、检测等有关的全部费用。</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本合同执行期间，如果发现卖方提供的合同设备有缺陷或技术资料有错误，或者由于卖方技术人员指导错误，造成工程返工、设备报废，卖方应立即无偿进行修理或更换。需更换货物的，卖方应承担由此产生的到安装现场换货的一切费用，包括但不限于新货物的费用、将新设备运至安装现场的费用及处理被更换货物的费用等。卖方更换或修理合同货物的期限按专用条款规定执行，如逾期未完成更换或修理工作的，按延迟交货处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售后服务：若产品在保修期限内发生任何质量问题，买方有权要求卖方予以及时维修，卖方应在接到买方维修通知书/电话4个小时内回复，并在24小时内派相关工作人员到达买方现场，免费予以排除故障、修复或更换零部件。若经维修仍不能保证产品持续正常使用或经过多次使用的，买方有权选择采取下列措施：</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（1）要求卖方更换同种型号的同类新产品，相关一切费用由卖方承担；或</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（2）要求退货退款，所涉相关费用（如运输费、税费等）由卖方承担。</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 在质保期内，因买方使用不当原因出现设备故障时，卖方在接买方通知后，应在10.2条款中所述的时限内赶到买方现场，帮助排除故障、修复或更换零部件，需购买零部件时，酌情收取成本费。质保期满后，如设备出现故障，卖方在接买方通知后，仍应在上述时间内响应、派人赶到买方现场，帮助排除故障、修复或更换零部件，需购买零部件时，酌情收取成本费。</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 卖方负责免费提供技术培训，包括仪器操作，日常维护及维修，系统的操作和控制，系统故障查找和诊断等。</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第十一条  保密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在合同执行过程中,双方可能让对方了解到不为公众所知的有关对方的过去、现在和将来的研究、发展、商务活动、产品、服务、经济事件、技术信息、经营管理信息和其他信息。有鉴于此，特制定以下细则：</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（1）卖方有对买方技术方案及数据进行保密的义务，不得泄露给第三方；</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（2）卖方必须采取措施保证其雇员、工作人员、代理商及分包商遵守此条款，承担保密义务。</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（3）所有保密信息在（A）合同服务一经结束或 (B)买方要求归还或销毁的情况下，包括复印件在内的所有现有保密信息应归还或销毁，并不得保留任何形式的副本。</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第十二条  权利瑕疵担保及知识产权保证</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卖方保证对其出售的货物享有合法的权利。</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卖方保证在交付的货物上不存在抵押权等担保物权。</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如买方使用上述货物构成对第三人侵权的，则由卖方承担全部责任。</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卖方保证本合同项下产品不侵犯任何第三方知识产权的权利，买方因使用本合同项下产品，被任何第三方主张知识产权侵权的，卖方应当承担由此造成全部费用及损失，包括：诉讼费、律师费、交通费、生效判决认定的赔偿责任等。</w:t>
      </w:r>
      <w:r/>
    </w:p>
    <w:p>
      <w:pPr>
        <w:spacing w:before="120" w:line="4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第十三条  </w:t>
      </w:r>
      <w:r>
        <w:rPr>
          <w:rFonts w:hint="eastAsia" w:ascii="宋体" w:hAnsi="宋体" w:eastAsia="宋体" w:cs="宋体"/>
          <w:color w:val="auto"/>
          <w:sz w:val="21"/>
          <w:szCs w:val="21"/>
          <w:highlight w:val="none"/>
        </w:rPr>
        <w:t xml:space="preserve">技术资料与服务</w:t>
      </w:r>
      <w:r/>
    </w:p>
    <w:p>
      <w:pPr>
        <w:spacing w:before="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卖方应在供货同时向买方提供所有与本合同货物有关的技术资料。卖方应将货物的配备件、随机工具等交付给买方。上述技术资料应包含保证买方能够正确进行安装、操作、检查、维修、维护、测试、调试、验收和运作所需要的所有内容。</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卖方应指派经验丰富的技术人员到现场进行技术服务，负责解决合同货物在安装、调试、试运行过程中发现的质量问题，全权处理现场开箱过程中出现的问题。参加指导安装调试的人员必须具有较高的技术水平，能够协调或解决安装调试过程中的全部问题，并使买方技术人员应能达到熟悉产品的运行，并能进行一般的维护。参加试运行的人员能够全权处理设备所有问题。卖方技术人员若不能胜任工作，买方有权要求卖方在不影响工程进度的条件下重新选派服务人员。</w:t>
      </w:r>
      <w:r/>
    </w:p>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卖方供给买方的设备、材料及卖方自己的施工用具，进入买方工地现场后的保管，由卖方负责；卖方在买方工地现场安装、调试、验收人员的安全、保险、食宿、交通由卖方负责。</w:t>
      </w:r>
      <w:r/>
    </w:p>
    <w:p>
      <w:pPr>
        <w:jc w:val="left"/>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卖方在设备安装、调试、验收过程中，买方提供下列条件和配合，超出下列范围的由卖方自理：设备送至指定地点后，卖方安排人员现场查看安装条件，买方应根据设备需要进行相应的场地及水电改造。</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第十四条  违约责任</w:t>
      </w:r>
      <w:r/>
    </w:p>
    <w:p>
      <w:pPr>
        <w:spacing w:before="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迟延交货的违约责任</w:t>
      </w:r>
      <w:r/>
    </w:p>
    <w:p>
      <w:pPr>
        <w:ind w:firstLine="420"/>
        <w:spacing w:before="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除不可抗力因素外，卖方应按照本合同规定的时间、地点交货和提供相关服务。在履行合同过程中，如卖方遇到可能影响按时交货和提供服务的情形时，应及时以书面形式将迟延的事实、可能迟延的期限和理由通知买方。买方在收到卖方通知后，应尽快对情况进行评价，并确定是否同意延长交货时间或延期提供服务。 </w:t>
      </w:r>
      <w:r/>
    </w:p>
    <w:p>
      <w:pPr>
        <w:ind w:firstLine="420"/>
        <w:spacing w:before="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卖方没有按照合同规定的时间交货和提供相关服务，买方有权从货款中扣除延迟违约金，卖方每逾期一日，应向买方支付合同金额0.5%的违约金。如果涉及公共利益，且赔偿金额无法弥补公共利益损失，买方可要求继续履行或者采取其他补救措施。</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卖方迟延交货超过15个工作日的，视为卖方不具备履约能力，卖方应当全部返还买方已支付的货款，买方有权书面通知卖方单方面解除本合同，且有权要求卖方赔偿相当于合同总额10%的违约金，若该违约金不足以补偿给买方造成的损失，则卖方还应当补足差额部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（4）买方未按合同规定的时间和要求向卖方提供相关安装条件等，卖方交付时间顺延。</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货物质量问题的违约责任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货物验收时，由于卖方责任，合同货物的主要技术参数不能够满足招标文件、投标文件或合同附件中规定的保证值（或技术参数）时，卖方应在【5】个工作日内免费更换符合约定标准的设备，卖方拒绝更换或更换后仍不符合约定的，买方有权解除全部合同，卖方应返还全部设备款项并向买方支付合同总价10%的违约金，违约金不能覆盖买方损失的，买方有权继续追偿。</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买方接收货物后，若出现通过通常验收方法无法发现的质量问题导致产品不符合约定质量标准的，买方有权要求更换或退货。如买方要求退货的，卖方应退还对应的设备款项，并按退货设备总价的10%支付违约金，违约金不能覆盖买方损失的，买方有权继续追偿。</w:t>
      </w:r>
      <w:r/>
    </w:p>
    <w:p>
      <w:pPr>
        <w:spacing w:before="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 逾期付款的违约责任</w:t>
      </w:r>
      <w:r/>
    </w:p>
    <w:p>
      <w:pPr>
        <w:ind w:firstLine="420"/>
        <w:spacing w:before="12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非卖方原因，买方延期付款，经卖方书面告知后3个工作日内仍未付款的，每迟延一日，买方应向卖方支付迟延付款金额的0.5%的违约金，直至款项付清之日，但卖方不得以此为由迟延交付货物。</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卖方交付设备后，履行义务不符合合同约定时，包括技术服务、售后服务、整修、返工、补交或由买方提出更改、卖方承诺，但未在承诺的工期内完成等卖方的义务，买方有权扣减10%尾款。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14.5 卖方未按期向买方交付技术资料的，每迟交1天，应向买方支付合同总价0.1%且不超过5000元的违约金。卖方向买方或买方指定的设计单位提供的图纸有错误的，每发现1张有错误的图纸，应向买方支付合同总价0.1%且不超过5000元的违约金。</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 买方有权从到期应向卖方支付的价款或尾款中扣除卖方应支付的违约金或赔偿金。</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 卖方因其他违约行为导致买方解除合同的，卖方应退还全部货款并向买方支付合同总价10%的违约金，违约金不能覆盖买方损失的，买方有权继续追偿。</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 经双方协商同意延期交货和经双方友好协商同意退货且无需承担违约责任或赔偿责任者不在此例；</w:t>
      </w:r>
      <w:r/>
    </w:p>
    <w:p>
      <w:pPr>
        <w:spacing w:line="400" w:lineRule="exact"/>
        <w:rPr>
          <w:rFonts w:hint="eastAsia" w:ascii="宋体" w:hAnsi="宋体" w:eastAsia="宋体" w:cs="宋体"/>
          <w:b/>
          <w:bCs/>
          <w:color w:val="auto"/>
          <w:sz w:val="21"/>
          <w:szCs w:val="21"/>
          <w:highlight w:val="none"/>
        </w:rPr>
      </w:pPr>
      <w:r/>
      <w:bookmarkStart w:id="71" w:name="OLE_LINK4"/>
      <w:r>
        <w:rPr>
          <w:rFonts w:hint="eastAsia" w:ascii="宋体" w:hAnsi="宋体" w:eastAsia="宋体" w:cs="宋体"/>
          <w:b/>
          <w:color w:val="auto"/>
          <w:sz w:val="21"/>
          <w:szCs w:val="21"/>
          <w:highlight w:val="none"/>
        </w:rPr>
        <w:t xml:space="preserve">第十五条</w:t>
      </w:r>
      <w:bookmarkEnd w:id="71"/>
      <w:r>
        <w:rPr>
          <w:rFonts w:hint="eastAsia" w:ascii="宋体" w:hAnsi="宋体" w:eastAsia="宋体" w:cs="宋体"/>
          <w:b/>
          <w:color w:val="auto"/>
          <w:sz w:val="21"/>
          <w:szCs w:val="21"/>
          <w:highlight w:val="none"/>
        </w:rPr>
        <w:t xml:space="preserve"> </w:t>
      </w:r>
      <w:r>
        <w:rPr>
          <w:rFonts w:hint="eastAsia" w:ascii="宋体" w:hAnsi="宋体" w:eastAsia="宋体" w:cs="宋体"/>
          <w:b/>
          <w:bCs/>
          <w:color w:val="auto"/>
          <w:sz w:val="21"/>
          <w:szCs w:val="21"/>
          <w:highlight w:val="none"/>
        </w:rPr>
        <w:t xml:space="preserve">合同转让与分包</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本合同卖方在任何情况下都不得全部或部分转让其应履行的合同义务。</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未经买方事前书面同意，卖方不得将合同分包或转包给第三方，否则，买方有权按卖方不能交付或不能完成合同处理。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卖方将本合同分包的，分包人就分包部分承担连带责任。</w:t>
      </w:r>
      <w:r/>
    </w:p>
    <w:p>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第十六条 </w:t>
      </w:r>
      <w:r>
        <w:rPr>
          <w:rFonts w:hint="eastAsia" w:ascii="宋体" w:hAnsi="宋体" w:eastAsia="宋体" w:cs="宋体"/>
          <w:b/>
          <w:bCs/>
          <w:color w:val="auto"/>
          <w:sz w:val="21"/>
          <w:szCs w:val="21"/>
          <w:highlight w:val="none"/>
        </w:rPr>
        <w:t xml:space="preserve">合同变更</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买方需追加与合同标的相同的货物或者服务的，在不改变合同其他条款的前提下，可以与卖方协商签订补充合同，但所有补充合同的采购金额不得超过本合同采购金额的百分之十。</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在本合同项下的任何权利和义务不因合同卖方发生收购、兼并、重组、分立而发生 变化。如果发生上述情形，则本合同项下的权利随之转移至收购、兼并、重组后的企业继续履行 合同，分立后成立的企业共同对买方承担连带责任。</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双方就本合同内容作出的任何变更（包括本条第一款约定的补充协议），均需经双方法定代表人或持有合法有效授权文件的委托代理人签字，并加盖双方公章或合同专用章后方发生法律效力。未履行前述签署程序的任何口头或书面变更合意，均对双方不具有法律约束力。</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第十七条 </w:t>
      </w:r>
      <w:r>
        <w:rPr>
          <w:rFonts w:hint="eastAsia" w:ascii="宋体" w:hAnsi="宋体" w:eastAsia="宋体" w:cs="宋体"/>
          <w:b/>
          <w:bCs/>
          <w:color w:val="auto"/>
          <w:sz w:val="21"/>
          <w:szCs w:val="21"/>
          <w:highlight w:val="none"/>
        </w:rPr>
        <w:t xml:space="preserve">合同解除</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买卖双方各自完成规定的责任和义务，合同自然终止。</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17.2合同因国家利益和社会公共利益而解除或终止：</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（1）买方可因合同继续履行将损害国家利益和社会公共利益向卖方发出书面通知终止或部分终止合同，终止通知应明确该终止合同是出于国家利益和社会公共利益，并明确合同终止的程度，以及终止的日期。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（2）卖方在收到终止通知书后30天内完成已终止的合同标的货物的清运工作，否则买方不予保管。对于剩下的货物，买方应按合同价格和条款予以接收，买方可选择: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（A）仅对剩下部分货物按照原来合同价格和条款予以接收；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（B）终止整个合同，有过错方按合同相关规定赔付违约金。</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合同因卖方违约违规而解除合同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卖方以下违约违规行为经买方限期补救、纠正仍未能及时完成的，属于合同继续履行将损害国家利益和社会公共利益的情形，买方可向卖方发出书面的违约通知书，提出解除部分或全部合同: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(1)卖方未能在合同规定的期限内提供符合验收标准的货物(参见本合同违约责任条款)，在买方发函催告期限内仍未完成。</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(2)卖方未能履行合同规定的其它任何义务，在买方发函催告期限内仍未完成。</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买方认为卖方在本合同的投标竞争和实施过程中有违反有关政府采购的法律、法规，涉嫌用不正当手段影响买方采购过程，包括谎报或隐瞒事实、损害买方利益、干扰买方、评委、集中采购机构的招标、评标等行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因卖方破产而解除合同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如果卖方破产或无清偿能力，买方可在任何时候以书面形式通知卖方，提出解除合同而不给卖方补偿。该合同的解除将不损害或影响买方已经采取或将要采取的任何行动或补救措施的权力。</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 因不可抗力而解除合同</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如因发生不可抗力事件导致合同无法履行的，或延迟履行会给一方或双方造成严重利益损害 的，双方可协商终止本合同履行，双方互不承担违约及赔偿责任，但仍应就已履行部分进行费用结算。</w:t>
      </w:r>
      <w:r/>
    </w:p>
    <w:p>
      <w:pPr>
        <w:spacing w:before="12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第十八条  不可抗力</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本条所述的“不可抗力”系指那些双方不可预见、不可避免、不可克服的事件，但不包括双方的违约或疏忽。这些事件包括但不限于：战争、严重火灾、 洪水、台风、地震、国家政策的重大变化，以及其它双方商定的其他事件。</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因不可抗力导致本合同无法有效及时履行时，遭遇不可抗力方应立即用电话、传真、电子邮件等尽可能迅速的通讯方式通知对方，并在通知后的【7】日内将不可抗力的书面有效证明及本合同无法有效及时履行的书面理由提交给对方确认。遭受不可抗力的一方凭此证明免除全部或部分违约责任，具体免除范围和方式由双方另行协商。</w:t>
      </w:r>
      <w:r/>
    </w:p>
    <w:p>
      <w:pPr>
        <w:spacing w:before="12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第十九条 下列文件为合同的组成部分: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（1）合同协议书；</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（2）招标文件；</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（3）中标通知书；</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（4）合同附件；</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（5）卖方的本项目投标文件或响应文件</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（6）形成合同的其他文件。</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上述文件应互为补充和解释，如有不清或互相矛盾之处，以上面所列顺序在前的为准，由买方负责解释。</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第二十条  通知与送达</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20.1 任何为本合同所要求或允许的通知或其他通讯，应以书面形式做出，并应以快递、EMS、挂号信函的方式发出，按如下的联系方式及联系地址通知： 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（1）若发往买方：  </w:t>
      </w:r>
      <w:r/>
    </w:p>
    <w:p>
      <w:pPr>
        <w:spacing w:line="400" w:lineRule="exact"/>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 地址：</w:t>
      </w:r>
      <w:r>
        <w:rPr>
          <w:rFonts w:hint="eastAsia" w:ascii="宋体" w:hAnsi="宋体" w:eastAsia="宋体" w:cs="宋体"/>
          <w:color w:val="auto"/>
          <w:sz w:val="21"/>
          <w:szCs w:val="21"/>
          <w:highlight w:val="none"/>
          <w:u w:val="single"/>
          <w:lang w:val="en-US" w:eastAsia="zh-CN"/>
        </w:rPr>
        <w:t xml:space="preserve">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电话： </w:t>
      </w:r>
      <w:r>
        <w:rPr>
          <w:rFonts w:hint="eastAsia" w:ascii="宋体" w:hAnsi="宋体" w:eastAsia="宋体" w:cs="宋体"/>
          <w:color w:val="auto"/>
          <w:sz w:val="21"/>
          <w:szCs w:val="21"/>
          <w:highlight w:val="none"/>
          <w:u w:val="single"/>
        </w:rPr>
        <w:t xml:space="preserve">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（2）若发往卖方：</w:t>
      </w:r>
      <w:r/>
    </w:p>
    <w:p>
      <w:pPr>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地址： </w:t>
      </w:r>
      <w:r>
        <w:rPr>
          <w:rFonts w:hint="eastAsia" w:ascii="宋体" w:hAnsi="宋体" w:eastAsia="宋体" w:cs="宋体"/>
          <w:color w:val="auto"/>
          <w:sz w:val="21"/>
          <w:szCs w:val="21"/>
          <w:highlight w:val="none"/>
          <w:u w:val="single"/>
        </w:rPr>
        <w:t xml:space="preserve">                      </w:t>
      </w:r>
      <w:r/>
    </w:p>
    <w:p>
      <w:pPr>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联系人： </w:t>
      </w:r>
      <w:r>
        <w:rPr>
          <w:rFonts w:hint="eastAsia" w:ascii="宋体" w:hAnsi="宋体" w:eastAsia="宋体" w:cs="宋体"/>
          <w:color w:val="auto"/>
          <w:sz w:val="21"/>
          <w:szCs w:val="21"/>
          <w:highlight w:val="none"/>
          <w:u w:val="single"/>
        </w:rPr>
        <w:t xml:space="preserve">                    </w:t>
      </w:r>
      <w:r/>
    </w:p>
    <w:p>
      <w:pPr>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电话： </w:t>
      </w:r>
      <w:r>
        <w:rPr>
          <w:rFonts w:hint="eastAsia" w:ascii="宋体" w:hAnsi="宋体" w:eastAsia="宋体" w:cs="宋体"/>
          <w:color w:val="auto"/>
          <w:sz w:val="21"/>
          <w:szCs w:val="21"/>
          <w:highlight w:val="none"/>
          <w:u w:val="single"/>
        </w:rPr>
        <w:t xml:space="preserve">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或者发往一方通过以上所规定的方式通知另一方的任何其他地址。所有该等通知应视为收到，一旦：(a) 已为收信人实际收悉；(b) 已经实际发送至适当的地址；或 (c) 发信人发出传真并由收信人以传真确认页数，构成收悉无误的通知。</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第二十一条  纠纷解决程序与管辖</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21.1本合同如发生纠纷，当事人双方应当及时协商解决，协商不成，任何一方均可向南京仲裁委员提出仲裁。</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仲裁期间，除正在进行仲裁的部分，本合同其他部分应继续执行。</w:t>
      </w:r>
      <w:r/>
    </w:p>
    <w:p>
      <w:pPr>
        <w:spacing w:before="12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第二十二条  合同的生效</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本合同一式肆份，自买卖双方签字盖章之日起生效，买方持两份，卖方持两份，均具有相同的法律效力。</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（以下无正文，代理人签名和日期手写）</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甲方：</w:t>
      </w:r>
      <w:r>
        <w:rPr>
          <w:rFonts w:hint="eastAsia" w:ascii="宋体" w:hAnsi="宋体" w:eastAsia="宋体" w:cs="宋体"/>
          <w:color w:val="auto"/>
          <w:sz w:val="21"/>
          <w:szCs w:val="21"/>
          <w:highlight w:val="none"/>
          <w:lang w:eastAsia="zh-CN"/>
        </w:rPr>
        <w:t xml:space="preserve">泰州医药高新技术产业开发区（泰州市高港区）医疗器械检验检测服务中心</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法定代表人或委托代理人：</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签订日期：</w:t>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住所：</w:t>
      </w:r>
      <w:r>
        <w:rPr>
          <w:rFonts w:hint="eastAsia" w:ascii="宋体" w:hAnsi="宋体" w:eastAsia="宋体" w:cs="宋体"/>
          <w:color w:val="auto"/>
          <w:sz w:val="21"/>
          <w:szCs w:val="21"/>
          <w:highlight w:val="none"/>
          <w:lang w:val="en-US" w:eastAsia="zh-CN"/>
        </w:rPr>
        <w:t xml:space="preserve"> </w:t>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 </w:t>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开户银行：</w:t>
      </w:r>
      <w:r>
        <w:rPr>
          <w:rFonts w:hint="eastAsia" w:ascii="宋体" w:hAnsi="宋体" w:eastAsia="宋体" w:cs="宋体"/>
          <w:color w:val="auto"/>
          <w:sz w:val="21"/>
          <w:szCs w:val="21"/>
          <w:highlight w:val="none"/>
          <w:lang w:val="en-US" w:eastAsia="zh-CN"/>
        </w:rPr>
        <w:t xml:space="preserve"> </w:t>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银行账号：</w:t>
      </w:r>
      <w:r>
        <w:rPr>
          <w:rFonts w:hint="eastAsia" w:ascii="宋体" w:hAnsi="宋体" w:eastAsia="宋体" w:cs="宋体"/>
          <w:color w:val="auto"/>
          <w:sz w:val="21"/>
          <w:szCs w:val="21"/>
          <w:highlight w:val="none"/>
          <w:lang w:val="en-US" w:eastAsia="zh-CN"/>
        </w:rPr>
        <w:t xml:space="preserve"> </w:t>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税号：</w:t>
      </w:r>
      <w:r>
        <w:rPr>
          <w:rFonts w:hint="eastAsia" w:ascii="宋体" w:hAnsi="宋体" w:eastAsia="宋体" w:cs="宋体"/>
          <w:color w:val="auto"/>
          <w:sz w:val="21"/>
          <w:szCs w:val="21"/>
          <w:highlight w:val="none"/>
          <w:lang w:val="en-US" w:eastAsia="zh-CN"/>
        </w:rPr>
        <w:t xml:space="preserve">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乙方： </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法定代表人或委托代理人：</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签订日期：</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住所：</w:t>
      </w:r>
      <w:r>
        <w:rPr>
          <w:rFonts w:hint="eastAsia" w:ascii="宋体" w:hAnsi="宋体" w:eastAsia="宋体" w:cs="宋体"/>
          <w:color w:val="auto"/>
          <w:sz w:val="21"/>
          <w:szCs w:val="21"/>
          <w:highlight w:val="none"/>
        </w:rPr>
        <w:t xml:space="preserve"> </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电话：</w:t>
      </w:r>
      <w:r>
        <w:rPr>
          <w:rFonts w:hint="eastAsia" w:ascii="宋体" w:hAnsi="宋体" w:eastAsia="宋体" w:cs="宋体"/>
          <w:color w:val="auto"/>
          <w:sz w:val="21"/>
          <w:szCs w:val="21"/>
          <w:highlight w:val="none"/>
        </w:rPr>
        <w:t xml:space="preserve"> </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开户银行：</w:t>
      </w:r>
      <w:r>
        <w:rPr>
          <w:rFonts w:hint="eastAsia" w:ascii="宋体" w:hAnsi="宋体" w:eastAsia="宋体" w:cs="宋体"/>
          <w:color w:val="auto"/>
          <w:sz w:val="21"/>
          <w:szCs w:val="21"/>
          <w:highlight w:val="none"/>
        </w:rPr>
        <w:t xml:space="preserve"> </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银行账号：</w:t>
      </w:r>
      <w:r>
        <w:rPr>
          <w:rFonts w:hint="eastAsia" w:ascii="宋体" w:hAnsi="宋体" w:eastAsia="宋体" w:cs="宋体"/>
          <w:color w:val="auto"/>
          <w:sz w:val="21"/>
          <w:szCs w:val="21"/>
          <w:highlight w:val="none"/>
        </w:rPr>
        <w:t xml:space="preserve"> </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税号：</w:t>
      </w:r>
      <w:r>
        <w:rPr>
          <w:rFonts w:hint="eastAsia" w:ascii="宋体" w:hAnsi="宋体" w:eastAsia="宋体" w:cs="宋体"/>
          <w:color w:val="auto"/>
          <w:sz w:val="21"/>
          <w:szCs w:val="21"/>
          <w:highlight w:val="none"/>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附件一：</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附件二：</w:t>
      </w:r>
      <w:r/>
    </w:p>
    <w:p>
      <w:pPr>
        <w:ind w:firstLine="422"/>
        <w:spacing w:line="400" w:lineRule="exact"/>
        <w:rPr>
          <w:rFonts w:ascii="宋体" w:hAnsi="宋体" w:eastAsia="宋体" w:cs="Times New Roman"/>
          <w:b/>
          <w:bCs/>
          <w:color w:val="auto"/>
          <w:highlight w:val="none"/>
        </w:rPr>
      </w:pPr>
      <w:r>
        <w:rPr>
          <w:rFonts w:hint="eastAsia" w:ascii="宋体" w:hAnsi="宋体" w:eastAsia="宋体"/>
          <w:color w:val="auto"/>
          <w:highlight w:val="none"/>
        </w:rPr>
        <w:t xml:space="preserve"> </w:t>
      </w:r>
      <w:r/>
    </w:p>
    <w:p>
      <w:pPr>
        <w:rPr>
          <w:rFonts w:ascii="宋体" w:hAnsi="宋体" w:eastAsia="宋体" w:cs="Times New Roman"/>
          <w:color w:val="auto"/>
          <w:highlight w:val="none"/>
        </w:rPr>
      </w:pPr>
      <w:r>
        <w:rPr>
          <w:rFonts w:ascii="宋体" w:hAnsi="宋体" w:eastAsia="宋体" w:cs="Times New Roman"/>
          <w:color w:val="auto"/>
          <w:highlight w:val="none"/>
        </w:rPr>
      </w:r>
      <w:r/>
    </w:p>
    <w:p>
      <w:pPr>
        <w:ind w:left="178" w:right="105"/>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720"/>
        <w:rPr>
          <w:rFonts w:ascii="黑体" w:eastAsia="黑体"/>
          <w:color w:val="auto"/>
          <w:sz w:val="36"/>
          <w:szCs w:val="36"/>
          <w:highlight w:val="none"/>
        </w:rPr>
      </w:pPr>
      <w:r>
        <w:rPr>
          <w:rFonts w:hint="eastAsia" w:ascii="黑体" w:eastAsia="黑体"/>
          <w:color w:val="auto"/>
          <w:sz w:val="36"/>
          <w:szCs w:val="36"/>
          <w:highlight w:val="none"/>
        </w:rPr>
        <w:br w:type="page" w:clear="all"/>
      </w:r>
      <w:r/>
    </w:p>
    <w:p>
      <w:pPr>
        <w:jc w:val="center"/>
        <w:spacing w:line="360" w:lineRule="auto"/>
        <w:widowControl/>
        <w:rPr>
          <w:rFonts w:hint="eastAsia" w:ascii="宋体" w:hAnsi="宋体" w:eastAsia="宋体" w:cs="宋体"/>
          <w:b/>
          <w:color w:val="auto"/>
          <w:spacing w:val="15"/>
          <w:sz w:val="28"/>
          <w:szCs w:val="28"/>
          <w:highlight w:val="none"/>
          <w:lang w:val="en-US" w:eastAsia="zh-CN"/>
        </w:rPr>
        <w:outlineLvl w:val="0"/>
      </w:pPr>
      <w:r/>
      <w:bookmarkStart w:id="72" w:name="_Toc10219"/>
      <w:r/>
      <w:bookmarkStart w:id="73" w:name="_Toc844"/>
      <w:r/>
      <w:bookmarkStart w:id="74" w:name="_Toc3127"/>
      <w:r/>
      <w:bookmarkStart w:id="75" w:name="_Toc15670"/>
      <w:r/>
      <w:bookmarkStart w:id="76" w:name="_Toc20997"/>
      <w:r>
        <w:rPr>
          <w:rFonts w:hint="eastAsia" w:ascii="宋体" w:hAnsi="宋体" w:eastAsia="宋体" w:cs="宋体"/>
          <w:b/>
          <w:color w:val="auto"/>
          <w:spacing w:val="15"/>
          <w:sz w:val="28"/>
          <w:szCs w:val="28"/>
          <w:highlight w:val="none"/>
          <w:lang w:val="en-US" w:eastAsia="zh-CN"/>
        </w:rPr>
        <w:t xml:space="preserve">第六章 投标文件格式</w:t>
      </w:r>
      <w:bookmarkEnd w:id="72"/>
      <w:r/>
      <w:bookmarkEnd w:id="73"/>
      <w:r/>
      <w:bookmarkEnd w:id="74"/>
      <w:r/>
      <w:bookmarkEnd w:id="75"/>
      <w:r/>
      <w:bookmarkEnd w:id="76"/>
      <w:r>
        <w:rPr>
          <w:rFonts w:hint="eastAsia" w:ascii="宋体" w:hAnsi="宋体" w:eastAsia="宋体" w:cs="宋体"/>
          <w:b/>
          <w:color w:val="auto"/>
          <w:spacing w:val="15"/>
          <w:sz w:val="28"/>
          <w:szCs w:val="28"/>
          <w:highlight w:val="none"/>
          <w:lang w:val="en-US" w:eastAsia="zh-CN"/>
        </w:rPr>
        <w:t xml:space="preserve"> </w:t>
      </w:r>
      <w:r/>
    </w:p>
    <w:p>
      <w:pPr>
        <w:jc w:val="center"/>
        <w:rPr>
          <w:rFonts w:eastAsia="宋体"/>
          <w:b/>
          <w:color w:val="auto"/>
          <w:sz w:val="72"/>
          <w:szCs w:val="21"/>
          <w:highlight w:val="none"/>
        </w:rPr>
      </w:pPr>
      <w:r/>
      <w:bookmarkStart w:id="77" w:name="_Hlt26671244"/>
      <w:r/>
      <w:bookmarkEnd w:id="77"/>
      <w:r/>
      <w:bookmarkStart w:id="78" w:name="_Hlt26955039"/>
      <w:r/>
      <w:bookmarkEnd w:id="78"/>
      <w:r/>
      <w:bookmarkStart w:id="79" w:name="_Toc120614282"/>
      <w:r/>
      <w:bookmarkStart w:id="80" w:name="_Toc49090576"/>
      <w:r/>
      <w:bookmarkStart w:id="81" w:name="_Toc26554094"/>
      <w:r/>
      <w:r/>
    </w:p>
    <w:p>
      <w:pPr>
        <w:jc w:val="center"/>
        <w:rPr>
          <w:rFonts w:eastAsia="宋体"/>
          <w:b/>
          <w:color w:val="auto"/>
          <w:sz w:val="72"/>
          <w:szCs w:val="21"/>
          <w:highlight w:val="none"/>
        </w:rPr>
      </w:pPr>
      <w:r>
        <w:rPr>
          <w:rFonts w:hint="eastAsia" w:eastAsia="宋体"/>
          <w:b/>
          <w:color w:val="auto"/>
          <w:sz w:val="72"/>
          <w:szCs w:val="21"/>
          <w:highlight w:val="none"/>
        </w:rPr>
        <w:t xml:space="preserve">投  标  文  件</w:t>
      </w:r>
      <w:r/>
    </w:p>
    <w:p>
      <w:pPr>
        <w:jc w:val="center"/>
        <w:rPr>
          <w:rFonts w:eastAsia="宋体"/>
          <w:b/>
          <w:color w:val="auto"/>
          <w:sz w:val="72"/>
          <w:szCs w:val="21"/>
          <w:highlight w:val="none"/>
        </w:rPr>
      </w:pPr>
      <w:r>
        <w:rPr>
          <w:rFonts w:eastAsia="宋体"/>
          <w:b/>
          <w:color w:val="auto"/>
          <w:sz w:val="72"/>
          <w:szCs w:val="21"/>
          <w:highlight w:val="none"/>
        </w:rPr>
      </w:r>
      <w:r/>
    </w:p>
    <w:p>
      <w:pPr>
        <w:jc w:val="center"/>
        <w:rPr>
          <w:rFonts w:eastAsia="宋体"/>
          <w:b/>
          <w:color w:val="auto"/>
          <w:sz w:val="72"/>
          <w:szCs w:val="21"/>
          <w:highlight w:val="none"/>
        </w:rPr>
      </w:pPr>
      <w:r>
        <w:rPr>
          <w:rFonts w:eastAsia="宋体"/>
          <w:b/>
          <w:color w:val="auto"/>
          <w:sz w:val="72"/>
          <w:szCs w:val="21"/>
          <w:highlight w:val="none"/>
        </w:rPr>
      </w:r>
      <w:r/>
    </w:p>
    <w:p>
      <w:pPr>
        <w:jc w:val="center"/>
        <w:rPr>
          <w:rFonts w:eastAsia="宋体"/>
          <w:b/>
          <w:color w:val="auto"/>
          <w:sz w:val="36"/>
          <w:szCs w:val="21"/>
          <w:highlight w:val="none"/>
        </w:rPr>
      </w:pPr>
      <w:r>
        <w:rPr>
          <w:rFonts w:eastAsia="宋体"/>
          <w:b/>
          <w:color w:val="auto"/>
          <w:sz w:val="36"/>
          <w:szCs w:val="21"/>
          <w:highlight w:val="none"/>
        </w:rPr>
      </w:r>
      <w:r/>
    </w:p>
    <w:p>
      <w:pPr>
        <w:jc w:val="center"/>
        <w:rPr>
          <w:rFonts w:eastAsia="宋体"/>
          <w:b/>
          <w:color w:val="auto"/>
          <w:sz w:val="36"/>
          <w:szCs w:val="21"/>
          <w:highlight w:val="none"/>
        </w:rPr>
      </w:pPr>
      <w:r>
        <w:rPr>
          <w:rFonts w:eastAsia="宋体"/>
          <w:b/>
          <w:color w:val="auto"/>
          <w:sz w:val="36"/>
          <w:szCs w:val="21"/>
          <w:highlight w:val="none"/>
        </w:rPr>
      </w:r>
      <w:r/>
    </w:p>
    <w:p>
      <w:pPr>
        <w:jc w:val="center"/>
        <w:rPr>
          <w:rFonts w:eastAsia="宋体"/>
          <w:b/>
          <w:color w:val="auto"/>
          <w:sz w:val="36"/>
          <w:szCs w:val="21"/>
          <w:highlight w:val="none"/>
        </w:rPr>
      </w:pPr>
      <w:r>
        <w:rPr>
          <w:rFonts w:eastAsia="宋体"/>
          <w:b/>
          <w:color w:val="auto"/>
          <w:sz w:val="36"/>
          <w:szCs w:val="21"/>
          <w:highlight w:val="none"/>
        </w:rPr>
      </w:r>
      <w:r/>
    </w:p>
    <w:p>
      <w:pPr>
        <w:ind w:firstLine="1084"/>
        <w:rPr>
          <w:rFonts w:eastAsia="宋体"/>
          <w:b/>
          <w:color w:val="auto"/>
          <w:sz w:val="36"/>
          <w:szCs w:val="21"/>
          <w:highlight w:val="none"/>
        </w:rPr>
      </w:pPr>
      <w:r>
        <w:rPr>
          <w:rFonts w:hint="eastAsia" w:eastAsia="宋体"/>
          <w:b/>
          <w:color w:val="auto"/>
          <w:sz w:val="36"/>
          <w:szCs w:val="21"/>
          <w:highlight w:val="none"/>
        </w:rPr>
        <w:t xml:space="preserve">项 目 名 称：</w:t>
      </w:r>
      <w:r>
        <w:rPr>
          <w:rFonts w:hint="eastAsia" w:eastAsia="宋体"/>
          <w:b/>
          <w:color w:val="auto"/>
          <w:sz w:val="36"/>
          <w:szCs w:val="21"/>
          <w:highlight w:val="none"/>
          <w:u w:val="single"/>
        </w:rPr>
        <w:t xml:space="preserve">               </w:t>
      </w:r>
      <w:r/>
    </w:p>
    <w:p>
      <w:pPr>
        <w:ind w:firstLine="1084"/>
        <w:rPr>
          <w:rFonts w:eastAsia="宋体"/>
          <w:b/>
          <w:color w:val="auto"/>
          <w:sz w:val="36"/>
          <w:szCs w:val="21"/>
          <w:highlight w:val="none"/>
          <w:u w:val="single"/>
        </w:rPr>
      </w:pPr>
      <w:r>
        <w:rPr>
          <w:rFonts w:hint="eastAsia" w:eastAsia="宋体"/>
          <w:b/>
          <w:color w:val="auto"/>
          <w:sz w:val="36"/>
          <w:szCs w:val="21"/>
          <w:highlight w:val="none"/>
        </w:rPr>
        <w:t xml:space="preserve">项 目 编 号：</w:t>
      </w:r>
      <w:r>
        <w:rPr>
          <w:rFonts w:hint="eastAsia" w:eastAsia="宋体"/>
          <w:b/>
          <w:color w:val="auto"/>
          <w:sz w:val="36"/>
          <w:szCs w:val="21"/>
          <w:highlight w:val="none"/>
          <w:u w:val="single"/>
        </w:rPr>
        <w:t xml:space="preserve">               </w:t>
      </w:r>
      <w:r/>
    </w:p>
    <w:p>
      <w:pPr>
        <w:rPr>
          <w:rFonts w:eastAsia="宋体"/>
          <w:b/>
          <w:color w:val="auto"/>
          <w:sz w:val="36"/>
          <w:szCs w:val="21"/>
          <w:highlight w:val="none"/>
          <w:u w:val="single"/>
        </w:rPr>
      </w:pPr>
      <w:r>
        <w:rPr>
          <w:rFonts w:hint="eastAsia" w:eastAsia="宋体"/>
          <w:b/>
          <w:color w:val="auto"/>
          <w:sz w:val="36"/>
          <w:szCs w:val="21"/>
          <w:highlight w:val="none"/>
        </w:rPr>
        <w:t xml:space="preserve">      投标人名称 ：</w:t>
      </w:r>
      <w:r>
        <w:rPr>
          <w:rFonts w:hint="eastAsia" w:eastAsia="宋体"/>
          <w:b/>
          <w:color w:val="auto"/>
          <w:sz w:val="36"/>
          <w:szCs w:val="21"/>
          <w:highlight w:val="none"/>
          <w:u w:val="single"/>
        </w:rPr>
        <w:t xml:space="preserve">（加盖CA电子公章）</w:t>
      </w:r>
      <w:r/>
    </w:p>
    <w:p>
      <w:pPr>
        <w:rPr>
          <w:rFonts w:eastAsia="宋体"/>
          <w:b/>
          <w:color w:val="auto"/>
          <w:sz w:val="36"/>
          <w:szCs w:val="21"/>
          <w:highlight w:val="none"/>
          <w:u w:val="single"/>
        </w:rPr>
      </w:pPr>
      <w:r>
        <w:rPr>
          <w:rFonts w:hint="eastAsia" w:eastAsia="宋体"/>
          <w:b/>
          <w:color w:val="auto"/>
          <w:sz w:val="36"/>
          <w:szCs w:val="21"/>
          <w:highlight w:val="none"/>
        </w:rPr>
        <w:t xml:space="preserve">      日      期 ：</w:t>
      </w:r>
      <w:r>
        <w:rPr>
          <w:rFonts w:hint="eastAsia" w:eastAsia="宋体"/>
          <w:b/>
          <w:color w:val="auto"/>
          <w:sz w:val="36"/>
          <w:szCs w:val="21"/>
          <w:highlight w:val="none"/>
          <w:u w:val="single"/>
        </w:rPr>
        <w:t xml:space="preserve">               </w:t>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color w:val="auto"/>
          <w:sz w:val="36"/>
          <w:szCs w:val="21"/>
          <w:highlight w:val="none"/>
          <w:u w:val="single"/>
        </w:rPr>
      </w:pPr>
      <w:r>
        <w:rPr>
          <w:rFonts w:eastAsia="宋体"/>
          <w:b/>
          <w:color w:val="auto"/>
          <w:sz w:val="36"/>
          <w:szCs w:val="21"/>
          <w:highlight w:val="none"/>
          <w:u w:val="single"/>
        </w:rPr>
      </w:r>
      <w:r/>
    </w:p>
    <w:p>
      <w:pPr>
        <w:jc w:val="center"/>
        <w:spacing w:line="440" w:lineRule="exact"/>
        <w:rPr>
          <w:rFonts w:eastAsia="宋体"/>
          <w:b/>
          <w:bCs/>
          <w:color w:val="auto"/>
          <w:sz w:val="32"/>
          <w:szCs w:val="32"/>
          <w:highlight w:val="none"/>
        </w:rPr>
      </w:pPr>
      <w:r>
        <w:rPr>
          <w:rFonts w:hint="eastAsia" w:eastAsia="宋体"/>
          <w:b/>
          <w:bCs/>
          <w:color w:val="auto"/>
          <w:sz w:val="32"/>
          <w:szCs w:val="32"/>
          <w:highlight w:val="none"/>
        </w:rPr>
        <w:t xml:space="preserve">投标文件目录</w:t>
      </w:r>
      <w:r/>
    </w:p>
    <w:p>
      <w:pPr>
        <w:jc w:val="center"/>
        <w:spacing w:line="440" w:lineRule="exact"/>
        <w:rPr>
          <w:rFonts w:eastAsia="宋体"/>
          <w:b/>
          <w:bCs/>
          <w:color w:val="auto"/>
          <w:sz w:val="32"/>
          <w:szCs w:val="32"/>
          <w:highlight w:val="none"/>
        </w:rPr>
      </w:pPr>
      <w:r>
        <w:rPr>
          <w:rFonts w:eastAsia="宋体"/>
          <w:b/>
          <w:bCs/>
          <w:color w:val="auto"/>
          <w:sz w:val="32"/>
          <w:szCs w:val="32"/>
          <w:highlight w:val="none"/>
        </w:rPr>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一、投标声明及承诺函</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二、投标人基本情况</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三、满足特定资格要求的证明文件（如果设置特定资格要求，则需要提供）</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四、法人授权书</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五、开标一览表</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六、投标报价明细表</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七、中小企业声明函</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八、技术要求响应及偏离表</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九、项目组成员</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十、企业业绩</w:t>
      </w:r>
      <w:r/>
    </w:p>
    <w:p>
      <w:pPr>
        <w:ind w:firstLine="560"/>
        <w:spacing w:line="360" w:lineRule="auto"/>
        <w:rPr>
          <w:rFonts w:eastAsia="宋体" w:cs="宋体"/>
          <w:color w:val="auto"/>
          <w:sz w:val="28"/>
          <w:szCs w:val="28"/>
          <w:highlight w:val="none"/>
        </w:rPr>
      </w:pPr>
      <w:r>
        <w:rPr>
          <w:rFonts w:hint="eastAsia" w:eastAsia="宋体" w:cs="宋体"/>
          <w:color w:val="auto"/>
          <w:sz w:val="28"/>
          <w:szCs w:val="28"/>
          <w:highlight w:val="none"/>
        </w:rPr>
        <w:t xml:space="preserve">十一、投标所需其他材料</w:t>
      </w:r>
      <w:r/>
    </w:p>
    <w:p>
      <w:pPr>
        <w:pStyle w:val="743"/>
        <w:spacing w:line="360" w:lineRule="auto"/>
        <w:rPr>
          <w:rFonts w:hint="eastAsia" w:asciiTheme="minorEastAsia" w:hAnsiTheme="minorEastAsia" w:eastAsiaTheme="minorEastAsia"/>
          <w:color w:val="auto"/>
          <w:szCs w:val="28"/>
          <w:highlight w:val="none"/>
        </w:rPr>
      </w:pPr>
      <w:r>
        <w:rPr>
          <w:rFonts w:hint="eastAsia"/>
          <w:color w:val="auto"/>
          <w:highlight w:val="none"/>
        </w:rPr>
        <w:t xml:space="preserve">    </w:t>
      </w:r>
      <w:r>
        <w:rPr>
          <w:rFonts w:hint="eastAsia" w:asciiTheme="minorEastAsia" w:hAnsiTheme="minorEastAsia" w:eastAsiaTheme="minorEastAsia"/>
          <w:color w:val="auto"/>
          <w:szCs w:val="28"/>
          <w:highlight w:val="none"/>
        </w:rPr>
        <w:t xml:space="preserve">十二、资格证明文件参考格式</w:t>
      </w:r>
      <w:r/>
    </w:p>
    <w:p>
      <w:pPr>
        <w:jc w:val="left"/>
        <w:spacing w:before="120" w:after="120" w:line="400" w:lineRule="exact"/>
        <w:tabs>
          <w:tab w:val="right" w:pos="8720" w:leader="dot"/>
        </w:tabs>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4"/>
          <w:highlight w:val="none"/>
        </w:rPr>
      </w:pPr>
      <w:r>
        <w:rPr>
          <w:rFonts w:eastAsia="宋体"/>
          <w:color w:val="auto"/>
          <w:sz w:val="24"/>
          <w:szCs w:val="24"/>
          <w:highlight w:val="none"/>
        </w:rPr>
      </w:r>
      <w:r/>
    </w:p>
    <w:p>
      <w:pPr>
        <w:ind w:firstLine="480"/>
        <w:spacing w:line="440" w:lineRule="exact"/>
        <w:rPr>
          <w:rFonts w:eastAsia="宋体"/>
          <w:color w:val="auto"/>
          <w:sz w:val="24"/>
          <w:szCs w:val="21"/>
          <w:highlight w:val="none"/>
        </w:rPr>
      </w:pPr>
      <w:r>
        <w:rPr>
          <w:rFonts w:eastAsia="宋体"/>
          <w:color w:val="auto"/>
          <w:sz w:val="24"/>
          <w:szCs w:val="21"/>
          <w:highlight w:val="none"/>
        </w:rPr>
      </w:r>
      <w:r/>
    </w:p>
    <w:p>
      <w:pPr>
        <w:ind w:firstLine="480"/>
        <w:spacing w:line="440" w:lineRule="exact"/>
        <w:rPr>
          <w:rFonts w:eastAsia="宋体"/>
          <w:color w:val="auto"/>
          <w:sz w:val="24"/>
          <w:szCs w:val="21"/>
          <w:highlight w:val="none"/>
        </w:rPr>
      </w:pPr>
      <w:r>
        <w:rPr>
          <w:rFonts w:eastAsia="宋体"/>
          <w:color w:val="auto"/>
          <w:sz w:val="24"/>
          <w:szCs w:val="21"/>
          <w:highlight w:val="none"/>
        </w:rPr>
      </w:r>
      <w:r/>
    </w:p>
    <w:p>
      <w:pPr>
        <w:ind w:firstLine="480"/>
        <w:spacing w:line="440" w:lineRule="exact"/>
        <w:rPr>
          <w:rFonts w:eastAsia="宋体"/>
          <w:color w:val="auto"/>
          <w:sz w:val="24"/>
          <w:szCs w:val="21"/>
          <w:highlight w:val="none"/>
        </w:rPr>
      </w:pPr>
      <w:r>
        <w:rPr>
          <w:rFonts w:eastAsia="宋体"/>
          <w:color w:val="auto"/>
          <w:sz w:val="24"/>
          <w:szCs w:val="21"/>
          <w:highlight w:val="none"/>
        </w:rPr>
      </w:r>
      <w:r/>
    </w:p>
    <w:p>
      <w:pPr>
        <w:ind w:firstLine="480"/>
        <w:spacing w:line="440" w:lineRule="exact"/>
        <w:rPr>
          <w:rFonts w:eastAsia="宋体"/>
          <w:color w:val="auto"/>
          <w:sz w:val="24"/>
          <w:szCs w:val="21"/>
          <w:highlight w:val="none"/>
        </w:rPr>
      </w:pPr>
      <w:r>
        <w:rPr>
          <w:rFonts w:eastAsia="宋体"/>
          <w:color w:val="auto"/>
          <w:sz w:val="24"/>
          <w:szCs w:val="21"/>
          <w:highlight w:val="none"/>
        </w:rPr>
      </w:r>
      <w:r/>
    </w:p>
    <w:p>
      <w:pPr>
        <w:jc w:val="left"/>
        <w:widowControl/>
        <w:rPr>
          <w:rFonts w:eastAsiaTheme="minorEastAsia"/>
          <w:color w:val="auto"/>
          <w:sz w:val="24"/>
          <w:szCs w:val="24"/>
          <w:highlight w:val="none"/>
        </w:rPr>
      </w:pPr>
      <w:r/>
      <w:bookmarkStart w:id="82" w:name="_Toc23838"/>
      <w:r/>
      <w:bookmarkEnd w:id="82"/>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一、</w:t>
      </w:r>
      <w:bookmarkEnd w:id="79"/>
      <w:r/>
      <w:bookmarkEnd w:id="80"/>
      <w:r/>
      <w:bookmarkEnd w:id="81"/>
      <w:r/>
      <w:bookmarkStart w:id="83" w:name="_Toc120614284"/>
      <w:r>
        <w:rPr>
          <w:rFonts w:hint="eastAsia" w:ascii="宋体" w:hAnsi="宋体" w:eastAsia="宋体"/>
          <w:b/>
          <w:color w:val="auto"/>
          <w:sz w:val="32"/>
          <w:szCs w:val="32"/>
          <w:highlight w:val="none"/>
        </w:rPr>
        <w:t xml:space="preserve">投标声明及承诺函</w:t>
      </w:r>
      <w:r/>
    </w:p>
    <w:p>
      <w:pPr>
        <w:jc w:val="left"/>
        <w:spacing w:line="500" w:lineRule="exact"/>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（采购单位名称）：</w:t>
      </w:r>
      <w:r/>
    </w:p>
    <w:p>
      <w:pPr>
        <w:ind w:firstLine="480"/>
        <w:jc w:val="left"/>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根据已收到的项目编号为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的</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项目的招标文件，我方在参加本项目招投标活动中，特做出如下承诺：</w:t>
      </w:r>
      <w:r/>
    </w:p>
    <w:p>
      <w:pPr>
        <w:ind w:firstLine="480"/>
        <w:jc w:val="left"/>
        <w:spacing w:line="500" w:lineRule="exact"/>
        <w:rPr>
          <w:rFonts w:hint="eastAsia" w:ascii="宋体" w:hAnsi="宋体" w:eastAsia="宋体"/>
          <w:color w:val="auto"/>
          <w:sz w:val="24"/>
          <w:szCs w:val="22"/>
          <w:highlight w:val="none"/>
        </w:rPr>
      </w:pPr>
      <w:r>
        <w:rPr>
          <w:rFonts w:hint="eastAsia" w:ascii="宋体" w:hAnsi="宋体" w:eastAsia="宋体"/>
          <w:color w:val="auto"/>
          <w:sz w:val="24"/>
          <w:szCs w:val="24"/>
          <w:highlight w:val="none"/>
        </w:rPr>
        <w:t xml:space="preserve">一、我方</w:t>
      </w:r>
      <w:r>
        <w:rPr>
          <w:rFonts w:ascii="宋体" w:hAnsi="宋体" w:eastAsia="宋体"/>
          <w:color w:val="auto"/>
          <w:sz w:val="24"/>
          <w:szCs w:val="22"/>
          <w:highlight w:val="none"/>
        </w:rPr>
        <w:t xml:space="preserve">具备《中华人民共和国政府采购法》第二十二条第一款规定的6项条件；</w:t>
      </w:r>
      <w:r/>
    </w:p>
    <w:p>
      <w:pPr>
        <w:ind w:firstLine="480"/>
        <w:jc w:val="left"/>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三、我方按招标文件要求提交投标文件，响应招标文件规定的投标有效期；</w:t>
      </w:r>
      <w:r/>
    </w:p>
    <w:p>
      <w:pPr>
        <w:ind w:firstLine="480"/>
        <w:jc w:val="left"/>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六、我方同意采购人、采购代理机构将本声明及承诺函上网公开。</w:t>
      </w:r>
      <w:r/>
    </w:p>
    <w:p>
      <w:pPr>
        <w:ind w:firstLine="480"/>
        <w:jc w:val="left"/>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left"/>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jc w:val="left"/>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投标人名称：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（加盖CA电子公章）</w:t>
      </w:r>
      <w:r/>
    </w:p>
    <w:p>
      <w:pPr>
        <w:ind w:firstLine="480"/>
        <w:rPr>
          <w:rFonts w:hint="eastAsia" w:ascii="宋体" w:hAnsi="宋体" w:eastAsia="宋体"/>
          <w:color w:val="auto"/>
          <w:sz w:val="21"/>
          <w:szCs w:val="22"/>
          <w:highlight w:val="none"/>
        </w:rPr>
      </w:pPr>
      <w:r>
        <w:rPr>
          <w:rFonts w:hint="eastAsia" w:ascii="宋体" w:hAnsi="宋体" w:eastAsia="宋体"/>
          <w:color w:val="auto"/>
          <w:sz w:val="24"/>
          <w:szCs w:val="24"/>
          <w:highlight w:val="none"/>
        </w:rPr>
        <w:t xml:space="preserve">日期：    年    月   日</w:t>
      </w:r>
      <w:r/>
    </w:p>
    <w:p>
      <w:pPr>
        <w:jc w:val="left"/>
        <w:widowControl/>
        <w:rPr>
          <w:rFonts w:hint="eastAsia" w:ascii="宋体" w:hAnsi="宋体" w:eastAsia="宋体"/>
          <w:color w:val="auto"/>
          <w:sz w:val="24"/>
          <w:szCs w:val="24"/>
          <w:highlight w:val="none"/>
        </w:rPr>
      </w:pPr>
      <w:r>
        <w:rPr>
          <w:rFonts w:ascii="宋体" w:hAnsi="宋体" w:eastAsia="宋体"/>
          <w:color w:val="auto"/>
          <w:sz w:val="24"/>
          <w:szCs w:val="24"/>
          <w:highlight w:val="none"/>
        </w:rPr>
        <w:br w:type="page" w:clear="all"/>
      </w:r>
      <w:r>
        <w:rPr>
          <w:rFonts w:hint="eastAsia" w:ascii="宋体" w:hAnsi="宋体" w:eastAsia="宋体"/>
          <w:b/>
          <w:color w:val="auto"/>
          <w:sz w:val="32"/>
          <w:szCs w:val="32"/>
          <w:highlight w:val="none"/>
        </w:rPr>
        <w:t xml:space="preserve">二、投标人基本情况</w:t>
      </w:r>
      <w:r/>
    </w:p>
    <w:p>
      <w:pPr>
        <w:jc w:val="center"/>
        <w:rPr>
          <w:rFonts w:hint="eastAsia" w:ascii="宋体" w:hAnsi="宋体" w:eastAsia="宋体"/>
          <w:color w:val="auto"/>
          <w:sz w:val="44"/>
          <w:szCs w:val="44"/>
          <w:highlight w:val="none"/>
        </w:rPr>
      </w:pPr>
      <w:r>
        <w:rPr>
          <w:rFonts w:hint="eastAsia" w:ascii="宋体" w:hAnsi="宋体" w:eastAsia="宋体"/>
          <w:color w:val="auto"/>
          <w:sz w:val="44"/>
          <w:szCs w:val="44"/>
          <w:highlight w:val="none"/>
        </w:rPr>
        <w:t xml:space="preserve">投标人基本情况表</w:t>
      </w:r>
      <w:r/>
    </w:p>
    <w:tbl>
      <w:tblPr>
        <w:tblStyle w:val="7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注册地区</w:t>
            </w:r>
            <w:r/>
          </w:p>
        </w:tc>
        <w:tc>
          <w:tcPr>
            <w:tcW w:w="2604"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地址</w:t>
            </w:r>
            <w:r/>
          </w:p>
        </w:tc>
        <w:tc>
          <w:tcPr>
            <w:tcW w:w="3118"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邮政编码</w:t>
            </w:r>
            <w:r/>
          </w:p>
        </w:tc>
        <w:tc>
          <w:tcPr>
            <w:tcW w:w="2604"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成立时间</w:t>
            </w:r>
            <w:r/>
          </w:p>
        </w:tc>
        <w:tc>
          <w:tcPr>
            <w:tcW w:w="3118"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单位性质</w:t>
            </w:r>
            <w:r/>
          </w:p>
        </w:tc>
        <w:tc>
          <w:tcPr>
            <w:tcW w:w="2604"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开户银行</w:t>
            </w:r>
            <w:r/>
          </w:p>
        </w:tc>
        <w:tc>
          <w:tcPr>
            <w:tcW w:w="3118"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账号</w:t>
            </w:r>
            <w:r/>
          </w:p>
        </w:tc>
        <w:tc>
          <w:tcPr>
            <w:tcW w:w="2604"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c>
          <w:tcPr>
            <w:tcW w:w="152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联系人</w:t>
            </w:r>
            <w:r/>
          </w:p>
        </w:tc>
        <w:tc>
          <w:tcPr>
            <w:tcW w:w="3118"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76"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tc>
        <w:tc>
          <w:tcPr>
            <w:tcW w:w="2604" w:type="dxa"/>
            <w:vAlign w:val="center"/>
            <w:textDirection w:val="lrTb"/>
            <w:noWrap w:val="false"/>
          </w:tcPr>
          <w:p>
            <w:pPr>
              <w:jc w:val="center"/>
              <w:spacing w:line="6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经营范围</w:t>
            </w:r>
            <w:r/>
          </w:p>
        </w:tc>
        <w:tc>
          <w:tcPr>
            <w:gridSpan w:val="3"/>
            <w:tcW w:w="6998" w:type="dxa"/>
            <w:textDirection w:val="lrTb"/>
            <w:noWrap w:val="false"/>
          </w:tcPr>
          <w:p>
            <w:pPr>
              <w:ind w:firstLine="1432"/>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无需提供营业执照等证明材料</w:t>
            </w:r>
            <w:r/>
          </w:p>
        </w:tc>
      </w:tr>
    </w:tbl>
    <w:p>
      <w:pPr>
        <w:ind w:firstLine="480"/>
        <w:spacing w:line="44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p>
    <w:p>
      <w:pPr>
        <w:ind w:firstLine="480"/>
        <w:spacing w:line="44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p>
    <w:p>
      <w:pPr>
        <w:ind w:firstLine="480"/>
        <w:spacing w:line="440" w:lineRule="exact"/>
        <w:rPr>
          <w:rFonts w:hint="eastAsia" w:ascii="宋体" w:hAnsi="宋体" w:eastAsia="宋体"/>
          <w:color w:val="auto"/>
          <w:sz w:val="24"/>
          <w:szCs w:val="21"/>
          <w:highlight w:val="none"/>
        </w:rPr>
      </w:pPr>
      <w:r>
        <w:rPr>
          <w:rFonts w:hint="eastAsia" w:ascii="宋体" w:hAnsi="宋体" w:eastAsia="宋体"/>
          <w:color w:val="auto"/>
          <w:sz w:val="24"/>
          <w:szCs w:val="21"/>
          <w:highlight w:val="none"/>
        </w:rPr>
      </w:r>
      <w:r/>
    </w:p>
    <w:p>
      <w:pP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rPr>
          <w:rFonts w:hint="eastAsia" w:ascii="宋体" w:hAnsi="宋体" w:eastAsia="宋体"/>
          <w:i/>
          <w:color w:val="auto"/>
          <w:sz w:val="32"/>
          <w:szCs w:val="32"/>
          <w:highlight w:val="none"/>
          <w:u w:val="single"/>
        </w:rPr>
      </w:pPr>
      <w:r>
        <w:rPr>
          <w:rFonts w:ascii="宋体" w:hAnsi="宋体" w:eastAsia="宋体"/>
          <w:color w:val="auto"/>
          <w:sz w:val="21"/>
          <w:szCs w:val="21"/>
          <w:highlight w:val="none"/>
        </w:rPr>
        <w:br w:type="page" w:clear="all"/>
      </w:r>
      <w:r>
        <w:rPr>
          <w:rFonts w:hint="eastAsia" w:ascii="宋体" w:hAnsi="宋体" w:eastAsia="宋体"/>
          <w:b/>
          <w:color w:val="auto"/>
          <w:sz w:val="32"/>
          <w:szCs w:val="32"/>
          <w:highlight w:val="none"/>
        </w:rPr>
        <w:t xml:space="preserve">三、特定资格要求的证明文件</w:t>
      </w:r>
      <w:r/>
    </w:p>
    <w:p>
      <w:pPr>
        <w:spacing w:line="460" w:lineRule="exact"/>
        <w:rPr>
          <w:rFonts w:hint="eastAsia" w:ascii="宋体" w:hAnsi="宋体" w:eastAsia="宋体"/>
          <w:bCs/>
          <w:color w:val="auto"/>
          <w:sz w:val="24"/>
          <w:szCs w:val="21"/>
          <w:highlight w:val="none"/>
        </w:rPr>
      </w:pPr>
      <w:r>
        <w:rPr>
          <w:rFonts w:hint="eastAsia" w:ascii="宋体" w:hAnsi="宋体" w:eastAsia="宋体"/>
          <w:color w:val="auto"/>
          <w:sz w:val="24"/>
          <w:szCs w:val="21"/>
          <w:highlight w:val="none"/>
        </w:rPr>
        <w:t xml:space="preserve">    如果本项目申请人的特定资格要求中要求提供的，必须提供。</w:t>
      </w:r>
      <w:r/>
    </w:p>
    <w:p>
      <w:pPr>
        <w:spacing w:line="460" w:lineRule="exact"/>
        <w:rPr>
          <w:rFonts w:hint="eastAsia" w:ascii="宋体" w:hAnsi="宋体" w:eastAsia="宋体"/>
          <w:bCs/>
          <w:color w:val="auto"/>
          <w:sz w:val="24"/>
          <w:szCs w:val="21"/>
          <w:highlight w:val="none"/>
        </w:rPr>
      </w:pPr>
      <w:r>
        <w:rPr>
          <w:rFonts w:hint="eastAsia" w:ascii="宋体" w:hAnsi="宋体" w:eastAsia="宋体"/>
          <w:bCs/>
          <w:color w:val="auto"/>
          <w:sz w:val="24"/>
          <w:szCs w:val="21"/>
          <w:highlight w:val="non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ind w:firstLine="640"/>
        <w:jc w:val="left"/>
        <w:spacing w:line="560" w:lineRule="exact"/>
        <w:rPr>
          <w:rFonts w:hint="eastAsia" w:ascii="宋体" w:hAnsi="宋体" w:eastAsia="宋体" w:cs="仿宋_GB2312"/>
          <w:i/>
          <w:color w:val="auto"/>
          <w:sz w:val="32"/>
          <w:szCs w:val="32"/>
          <w:highlight w:val="none"/>
          <w:u w:val="single"/>
        </w:rPr>
      </w:pPr>
      <w:r>
        <w:rPr>
          <w:rFonts w:hint="eastAsia" w:ascii="宋体" w:hAnsi="宋体" w:eastAsia="宋体" w:cs="仿宋_GB2312"/>
          <w:i/>
          <w:color w:val="auto"/>
          <w:sz w:val="32"/>
          <w:szCs w:val="32"/>
          <w:highlight w:val="none"/>
          <w:u w:val="single"/>
        </w:rPr>
      </w:r>
      <w:r/>
    </w:p>
    <w:p>
      <w:pPr>
        <w:ind w:firstLine="640"/>
        <w:jc w:val="left"/>
        <w:spacing w:line="560" w:lineRule="exact"/>
        <w:rPr>
          <w:rFonts w:hint="eastAsia" w:ascii="宋体" w:hAnsi="宋体" w:eastAsia="宋体" w:cs="仿宋_GB2312"/>
          <w:bCs/>
          <w:i/>
          <w:color w:val="auto"/>
          <w:sz w:val="32"/>
          <w:szCs w:val="32"/>
          <w:highlight w:val="none"/>
          <w:u w:val="single"/>
        </w:rPr>
      </w:pPr>
      <w:r>
        <w:rPr>
          <w:rFonts w:hint="eastAsia" w:ascii="宋体" w:hAnsi="宋体" w:eastAsia="宋体" w:cs="仿宋_GB2312"/>
          <w:bCs/>
          <w:i/>
          <w:color w:val="auto"/>
          <w:sz w:val="32"/>
          <w:szCs w:val="32"/>
          <w:highlight w:val="none"/>
          <w:u w:val="single"/>
        </w:rPr>
      </w:r>
      <w:r/>
    </w:p>
    <w:p>
      <w:pPr>
        <w:ind w:firstLine="640"/>
        <w:jc w:val="left"/>
        <w:spacing w:line="560" w:lineRule="exact"/>
        <w:rPr>
          <w:rFonts w:hint="eastAsia" w:ascii="宋体" w:hAnsi="宋体" w:eastAsia="宋体" w:cs="仿宋_GB2312"/>
          <w:bCs/>
          <w:i/>
          <w:color w:val="auto"/>
          <w:sz w:val="32"/>
          <w:szCs w:val="32"/>
          <w:highlight w:val="none"/>
          <w:u w:val="single"/>
        </w:rPr>
      </w:pPr>
      <w:r>
        <w:rPr>
          <w:rFonts w:hint="eastAsia" w:ascii="宋体" w:hAnsi="宋体" w:eastAsia="宋体" w:cs="仿宋_GB2312"/>
          <w:bCs/>
          <w:i/>
          <w:color w:val="auto"/>
          <w:sz w:val="32"/>
          <w:szCs w:val="32"/>
          <w:highlight w:val="none"/>
          <w:u w:val="single"/>
        </w:rPr>
      </w:r>
      <w:r/>
    </w:p>
    <w:p>
      <w:pPr>
        <w:ind w:firstLine="640"/>
        <w:jc w:val="left"/>
        <w:spacing w:line="560" w:lineRule="exact"/>
        <w:rPr>
          <w:rFonts w:hint="eastAsia" w:ascii="宋体" w:hAnsi="宋体" w:eastAsia="宋体" w:cs="仿宋_GB2312"/>
          <w:bCs/>
          <w:i/>
          <w:color w:val="auto"/>
          <w:sz w:val="32"/>
          <w:szCs w:val="32"/>
          <w:highlight w:val="none"/>
          <w:u w:val="single"/>
        </w:rPr>
      </w:pPr>
      <w:r>
        <w:rPr>
          <w:rFonts w:hint="eastAsia" w:ascii="宋体" w:hAnsi="宋体" w:eastAsia="宋体" w:cs="仿宋_GB2312"/>
          <w:bCs/>
          <w:i/>
          <w:color w:val="auto"/>
          <w:sz w:val="32"/>
          <w:szCs w:val="32"/>
          <w:highlight w:val="none"/>
          <w:u w:val="single"/>
        </w:rPr>
      </w:r>
      <w:r/>
    </w:p>
    <w:p>
      <w:pPr>
        <w:ind w:firstLine="640"/>
        <w:jc w:val="left"/>
        <w:spacing w:line="560" w:lineRule="exact"/>
        <w:rPr>
          <w:rFonts w:hint="eastAsia" w:ascii="宋体" w:hAnsi="宋体" w:eastAsia="宋体" w:cs="仿宋_GB2312"/>
          <w:bCs/>
          <w:i/>
          <w:color w:val="auto"/>
          <w:sz w:val="32"/>
          <w:szCs w:val="32"/>
          <w:highlight w:val="none"/>
          <w:u w:val="single"/>
        </w:rPr>
      </w:pPr>
      <w:r>
        <w:rPr>
          <w:rFonts w:hint="eastAsia" w:ascii="宋体" w:hAnsi="宋体" w:eastAsia="宋体" w:cs="仿宋_GB2312"/>
          <w:bCs/>
          <w:i/>
          <w:color w:val="auto"/>
          <w:sz w:val="32"/>
          <w:szCs w:val="32"/>
          <w:highlight w:val="none"/>
          <w:u w:val="single"/>
        </w:rPr>
      </w:r>
      <w:r/>
    </w:p>
    <w:p>
      <w:pPr>
        <w:ind w:firstLine="640"/>
        <w:jc w:val="left"/>
        <w:spacing w:line="560" w:lineRule="exact"/>
        <w:rPr>
          <w:rFonts w:hint="eastAsia" w:ascii="宋体" w:hAnsi="宋体" w:eastAsia="宋体" w:cs="仿宋_GB2312"/>
          <w:bCs/>
          <w:i/>
          <w:color w:val="auto"/>
          <w:sz w:val="32"/>
          <w:szCs w:val="32"/>
          <w:highlight w:val="none"/>
          <w:u w:val="single"/>
        </w:rPr>
      </w:pPr>
      <w:r>
        <w:rPr>
          <w:rFonts w:hint="eastAsia" w:ascii="宋体" w:hAnsi="宋体" w:eastAsia="宋体" w:cs="仿宋_GB2312"/>
          <w:bCs/>
          <w:i/>
          <w:color w:val="auto"/>
          <w:sz w:val="32"/>
          <w:szCs w:val="32"/>
          <w:highlight w:val="none"/>
          <w:u w:val="single"/>
        </w:rPr>
      </w:r>
      <w:r/>
    </w:p>
    <w:p>
      <w:pPr>
        <w:ind w:firstLine="640"/>
        <w:jc w:val="left"/>
        <w:spacing w:line="560" w:lineRule="exact"/>
        <w:rPr>
          <w:rFonts w:hint="eastAsia" w:ascii="宋体" w:hAnsi="宋体" w:eastAsia="宋体" w:cs="仿宋_GB2312"/>
          <w:bCs/>
          <w:i/>
          <w:color w:val="auto"/>
          <w:sz w:val="32"/>
          <w:szCs w:val="32"/>
          <w:highlight w:val="none"/>
          <w:u w:val="single"/>
        </w:rPr>
      </w:pPr>
      <w:r>
        <w:rPr>
          <w:rFonts w:hint="eastAsia" w:ascii="宋体" w:hAnsi="宋体" w:eastAsia="宋体" w:cs="仿宋_GB2312"/>
          <w:bCs/>
          <w:i/>
          <w:color w:val="auto"/>
          <w:sz w:val="32"/>
          <w:szCs w:val="32"/>
          <w:highlight w:val="none"/>
          <w:u w:val="single"/>
        </w:rPr>
      </w:r>
      <w:r/>
    </w:p>
    <w:p>
      <w:pPr>
        <w:ind w:firstLine="640"/>
        <w:jc w:val="left"/>
        <w:spacing w:line="560" w:lineRule="exact"/>
        <w:rPr>
          <w:rFonts w:hint="eastAsia" w:ascii="宋体" w:hAnsi="宋体" w:eastAsia="宋体" w:cs="仿宋_GB2312"/>
          <w:bCs/>
          <w:i/>
          <w:color w:val="auto"/>
          <w:sz w:val="32"/>
          <w:szCs w:val="32"/>
          <w:highlight w:val="none"/>
          <w:u w:val="single"/>
        </w:rPr>
      </w:pPr>
      <w:r>
        <w:rPr>
          <w:rFonts w:hint="eastAsia" w:ascii="宋体" w:hAnsi="宋体" w:eastAsia="宋体" w:cs="仿宋_GB2312"/>
          <w:bCs/>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jc w:val="center"/>
        <w:rPr>
          <w:rFonts w:hint="eastAsia" w:asciiTheme="minorEastAsia" w:hAnsiTheme="minorEastAsia" w:eastAsiaTheme="minorEastAsia"/>
          <w:i/>
          <w:color w:val="auto"/>
          <w:sz w:val="32"/>
          <w:szCs w:val="32"/>
          <w:highlight w:val="none"/>
          <w:u w:val="single"/>
        </w:rPr>
      </w:pPr>
      <w:r>
        <w:rPr>
          <w:rFonts w:hint="eastAsia" w:asciiTheme="minorEastAsia" w:hAnsiTheme="minorEastAsia" w:eastAsiaTheme="minorEastAsia"/>
          <w:i/>
          <w:color w:val="auto"/>
          <w:sz w:val="32"/>
          <w:szCs w:val="32"/>
          <w:highlight w:val="none"/>
          <w:u w:val="single"/>
        </w:rPr>
      </w:r>
      <w:r/>
    </w:p>
    <w:p>
      <w:pPr>
        <w:jc w:val="center"/>
        <w:rPr>
          <w:rFonts w:hint="eastAsia" w:ascii="宋体" w:hAnsi="宋体" w:eastAsia="宋体"/>
          <w:i/>
          <w:color w:val="auto"/>
          <w:sz w:val="32"/>
          <w:szCs w:val="32"/>
          <w:highlight w:val="none"/>
          <w:u w:val="single"/>
        </w:rPr>
      </w:pPr>
      <w:r>
        <w:rPr>
          <w:rFonts w:hint="eastAsia" w:ascii="宋体" w:hAnsi="宋体" w:eastAsia="宋体"/>
          <w:i/>
          <w:color w:val="auto"/>
          <w:sz w:val="32"/>
          <w:szCs w:val="32"/>
          <w:highlight w:val="none"/>
          <w:u w:val="single"/>
        </w:rPr>
      </w:r>
      <w:r/>
    </w:p>
    <w:p>
      <w:pP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四、法人授权书</w:t>
      </w:r>
      <w:r/>
    </w:p>
    <w:p>
      <w:pPr>
        <w:ind w:firstLine="480"/>
        <w:tabs>
          <w:tab w:val="left" w:pos="36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本授权书声明：____________（投标人名称）授权________________（被授权人的姓名）为我方就JSZC-</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被授权人身份证号码：</w:t>
      </w:r>
      <w:r>
        <w:rPr>
          <w:rFonts w:hint="eastAsia" w:ascii="宋体" w:hAnsi="宋体" w:eastAsia="宋体"/>
          <w:color w:val="auto"/>
          <w:sz w:val="24"/>
          <w:szCs w:val="24"/>
          <w:highlight w:val="none"/>
          <w:u w:val="single"/>
        </w:rPr>
        <w:t xml:space="preserve">                              </w:t>
      </w:r>
      <w:r/>
    </w:p>
    <w:p>
      <w:pPr>
        <w:tabs>
          <w:tab w:val="left" w:pos="360" w:leader="none"/>
        </w:tabs>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被授权人联系电话：（手机）</w:t>
      </w:r>
      <w:r>
        <w:rPr>
          <w:rFonts w:hint="eastAsia" w:ascii="宋体" w:hAnsi="宋体" w:eastAsia="宋体"/>
          <w:color w:val="auto"/>
          <w:sz w:val="24"/>
          <w:szCs w:val="24"/>
          <w:highlight w:val="none"/>
          <w:u w:val="single"/>
        </w:rPr>
        <w:t xml:space="preserve">                          </w:t>
      </w:r>
      <w:r/>
    </w:p>
    <w:p>
      <w:pPr>
        <w:ind w:firstLine="1200"/>
        <w:tabs>
          <w:tab w:val="left" w:pos="36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授权单位名称：</w:t>
      </w:r>
      <w:r>
        <w:rPr>
          <w:rFonts w:hint="eastAsia" w:ascii="宋体" w:hAnsi="宋体" w:eastAsia="宋体"/>
          <w:color w:val="auto"/>
          <w:sz w:val="24"/>
          <w:szCs w:val="24"/>
          <w:highlight w:val="none"/>
          <w:u w:val="single"/>
        </w:rPr>
        <w:t xml:space="preserve">（加盖CA电子公章）</w:t>
      </w:r>
      <w:r/>
    </w:p>
    <w:p>
      <w:pPr>
        <w:ind w:firstLine="480"/>
        <w:tabs>
          <w:tab w:val="left" w:pos="360" w:leader="none"/>
        </w:tabs>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单位地址：</w:t>
      </w:r>
      <w:r>
        <w:rPr>
          <w:rFonts w:hint="eastAsia" w:ascii="宋体" w:hAnsi="宋体" w:eastAsia="宋体"/>
          <w:color w:val="auto"/>
          <w:sz w:val="24"/>
          <w:szCs w:val="24"/>
          <w:highlight w:val="none"/>
          <w:u w:val="single"/>
        </w:rPr>
        <w:t xml:space="preserve">                                         </w:t>
      </w:r>
      <w:r/>
    </w:p>
    <w:p>
      <w:pPr>
        <w:ind w:firstLine="480"/>
        <w:tabs>
          <w:tab w:val="left" w:pos="36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日期：</w:t>
      </w:r>
      <w:bookmarkStart w:id="84" w:name="_Hlt26955070"/>
      <w:r/>
      <w:bookmarkEnd w:id="84"/>
      <w:r/>
      <w:bookmarkStart w:id="85" w:name="_格式3__银行出具的资信证明"/>
      <w:r/>
      <w:bookmarkEnd w:id="85"/>
      <w:r/>
      <w:bookmarkStart w:id="86" w:name="_Hlt26671380"/>
      <w:r/>
      <w:bookmarkEnd w:id="86"/>
      <w:r>
        <w:rPr>
          <w:rFonts w:hint="eastAsia" w:ascii="宋体" w:hAnsi="宋体" w:eastAsia="宋体"/>
          <w:color w:val="auto"/>
          <w:sz w:val="24"/>
          <w:szCs w:val="24"/>
          <w:highlight w:val="none"/>
          <w:u w:val="single"/>
        </w:rPr>
        <w:t xml:space="preserve">                                         </w:t>
      </w:r>
      <w:r/>
    </w:p>
    <w:p>
      <w:pPr>
        <w:ind w:firstLine="420"/>
        <w:rPr>
          <w:rFonts w:hint="eastAsia" w:ascii="宋体" w:hAnsi="宋体" w:eastAsia="宋体"/>
          <w:i/>
          <w:color w:val="auto"/>
          <w:sz w:val="24"/>
          <w:szCs w:val="24"/>
          <w:highlight w:val="none"/>
          <w:u w:val="single"/>
        </w:rPr>
      </w:pPr>
      <w:r>
        <w:rPr>
          <w:rFonts w:hint="eastAsia" w:ascii="宋体" w:hAnsi="宋体" w:eastAsia="宋体"/>
          <w:i/>
          <w:color w:val="auto"/>
          <w:sz w:val="24"/>
          <w:szCs w:val="24"/>
          <w:highlight w:val="none"/>
          <w:u w:val="single"/>
        </w:rPr>
      </w:r>
      <w:r/>
    </w:p>
    <w:p>
      <w:pPr>
        <w:rPr>
          <w:rFonts w:hint="eastAsia" w:ascii="宋体" w:hAnsi="宋体" w:eastAsia="宋体"/>
          <w:color w:val="auto"/>
          <w:sz w:val="20"/>
          <w:szCs w:val="21"/>
          <w:highlight w:val="none"/>
        </w:rPr>
      </w:pPr>
      <w:r>
        <w:rPr>
          <w:rFonts w:hint="eastAsia" w:ascii="宋体" w:hAnsi="宋体" w:eastAsia="宋体"/>
          <w:color w:val="auto"/>
          <w:sz w:val="20"/>
          <w:szCs w:val="21"/>
          <w:highlight w:val="none"/>
        </w:rPr>
      </w:r>
      <w:r/>
    </w:p>
    <w:p>
      <w:pPr>
        <w:spacing w:line="460" w:lineRule="exact"/>
        <w:rPr>
          <w:rFonts w:hint="default" w:ascii="宋体" w:hAnsi="宋体" w:eastAsia="宋体"/>
          <w:bCs/>
          <w:color w:val="auto"/>
          <w:sz w:val="24"/>
          <w:szCs w:val="21"/>
          <w:highlight w:val="none"/>
          <w:lang w:val="en-US" w:eastAsia="zh-CN"/>
        </w:rPr>
      </w:pPr>
      <w:r>
        <w:rPr>
          <w:rFonts w:hint="eastAsia" w:ascii="宋体" w:hAnsi="宋体" w:eastAsia="宋体"/>
          <w:bCs/>
          <w:color w:val="auto"/>
          <w:sz w:val="24"/>
          <w:szCs w:val="21"/>
          <w:highlight w:val="none"/>
          <w:lang w:val="en-US" w:eastAsia="zh-CN"/>
        </w:rPr>
        <w:t xml:space="preserve">法定代表人身份证（正反面）：</w:t>
      </w:r>
      <w:r>
        <w:rPr>
          <w:rFonts w:hint="eastAsia" w:ascii="宋体" w:hAnsi="宋体" w:eastAsia="宋体"/>
          <w:bCs/>
          <w:color w:val="auto"/>
          <w:sz w:val="24"/>
          <w:szCs w:val="21"/>
          <w:highlight w:val="none"/>
          <w:lang w:val="en-US" w:eastAsia="zh-CN"/>
        </w:rPr>
        <w:br/>
      </w:r>
      <w:r>
        <w:rPr>
          <w:rFonts w:hint="eastAsia" w:ascii="宋体" w:hAnsi="宋体" w:eastAsia="宋体"/>
          <w:bCs/>
          <w:color w:val="auto"/>
          <w:sz w:val="24"/>
          <w:szCs w:val="21"/>
          <w:highlight w:val="none"/>
          <w:lang w:val="en-US" w:eastAsia="zh-CN"/>
        </w:rPr>
        <w:br/>
      </w:r>
      <w:r>
        <w:rPr>
          <w:rFonts w:hint="eastAsia" w:ascii="宋体" w:hAnsi="宋体" w:eastAsia="宋体"/>
          <w:bCs/>
          <w:color w:val="auto"/>
          <w:sz w:val="24"/>
          <w:szCs w:val="21"/>
          <w:highlight w:val="none"/>
          <w:lang w:val="en-US" w:eastAsia="zh-CN"/>
        </w:rPr>
        <w:t xml:space="preserve">授权代理人身份证（正反面）：</w:t>
      </w:r>
      <w:r/>
    </w:p>
    <w:p>
      <w:pPr>
        <w:jc w:val="center"/>
        <w:rPr>
          <w:rFonts w:hint="eastAsia" w:ascii="宋体" w:hAnsi="宋体" w:eastAsia="宋体"/>
          <w:b/>
          <w:color w:val="auto"/>
          <w:sz w:val="32"/>
          <w:szCs w:val="32"/>
          <w:highlight w:val="none"/>
        </w:rPr>
      </w:pPr>
      <w:r>
        <w:rPr>
          <w:rFonts w:ascii="宋体" w:hAnsi="宋体" w:eastAsia="宋体"/>
          <w:bCs/>
          <w:color w:val="auto"/>
          <w:sz w:val="24"/>
          <w:szCs w:val="21"/>
          <w:highlight w:val="none"/>
        </w:rPr>
        <w:br w:type="page" w:clear="all"/>
      </w:r>
      <w:r>
        <w:rPr>
          <w:rFonts w:hint="eastAsia" w:ascii="宋体" w:hAnsi="宋体" w:eastAsia="宋体"/>
          <w:b/>
          <w:color w:val="auto"/>
          <w:sz w:val="32"/>
          <w:szCs w:val="32"/>
          <w:highlight w:val="none"/>
        </w:rPr>
        <w:t xml:space="preserve">五、开标一览表</w:t>
      </w:r>
      <w:r/>
    </w:p>
    <w:p>
      <w:pPr>
        <w:jc w:val="cente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r>
      <w:r/>
    </w:p>
    <w:p>
      <w:pPr>
        <w:jc w:val="cente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直接在苏采云系统里填写</w:t>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jc w:val="center"/>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Theme="minorEastAsia" w:hAnsiTheme="minorEastAsia" w:eastAsiaTheme="minorEastAsia"/>
          <w:bCs/>
          <w:color w:val="auto"/>
          <w:sz w:val="24"/>
          <w:szCs w:val="21"/>
          <w:highlight w:val="none"/>
        </w:rPr>
      </w:pPr>
      <w:r>
        <w:rPr>
          <w:rFonts w:hint="eastAsia" w:asciiTheme="minorEastAsia" w:hAnsiTheme="minorEastAsia" w:eastAsiaTheme="minorEastAsia"/>
          <w:bCs/>
          <w:color w:val="auto"/>
          <w:sz w:val="24"/>
          <w:szCs w:val="21"/>
          <w:highlight w:val="none"/>
        </w:rPr>
      </w:r>
      <w:r/>
    </w:p>
    <w:p>
      <w:pPr>
        <w:rPr>
          <w:color w:val="auto"/>
          <w:highlight w:val="none"/>
        </w:rPr>
      </w:pPr>
      <w:r>
        <w:rPr>
          <w:color w:val="auto"/>
          <w:highlight w:val="none"/>
        </w:rPr>
      </w:r>
      <w:r/>
    </w:p>
    <w:p>
      <w:pPr>
        <w:jc w:val="center"/>
        <w:spacing w:line="560" w:lineRule="exact"/>
        <w:rPr>
          <w:rFonts w:hint="eastAsia" w:ascii="宋体" w:hAnsi="宋体" w:eastAsia="宋体"/>
          <w:b/>
          <w:color w:val="auto"/>
          <w:sz w:val="32"/>
          <w:szCs w:val="32"/>
          <w:highlight w:val="none"/>
        </w:rPr>
      </w:pPr>
      <w:r>
        <w:rPr>
          <w:rFonts w:hint="eastAsia" w:ascii="宋体" w:hAnsi="宋体" w:eastAsia="宋体"/>
          <w:b/>
          <w:color w:val="auto"/>
          <w:sz w:val="32"/>
          <w:szCs w:val="32"/>
          <w:highlight w:val="none"/>
        </w:rPr>
        <w:t xml:space="preserve">六、分项报价表（分包号：**）（货物类）</w:t>
      </w:r>
      <w:r/>
    </w:p>
    <w:tbl>
      <w:tblPr>
        <w:tblStyle w:val="738"/>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96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414"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784"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980"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727"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1372"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124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103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产品</w:t>
            </w:r>
            <w:r/>
          </w:p>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规格</w:t>
            </w:r>
            <w:r/>
          </w:p>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103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6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14"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84"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80"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27"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372"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4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103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6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14"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84"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80"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27"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372"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4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103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6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14"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84"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80"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27"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372"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4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p>
        </w:tc>
        <w:tc>
          <w:tcPr>
            <w:tcW w:w="1036" w:type="dxa"/>
            <w:vAlign w:val="center"/>
            <w:textDirection w:val="lrTb"/>
            <w:noWrap w:val="false"/>
          </w:tcPr>
          <w:p>
            <w:pPr>
              <w:spacing w:line="56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p>
        </w:tc>
        <w:tc>
          <w:tcPr>
            <w:tcW w:w="96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414"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84"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80"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727"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372"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246" w:type="dxa"/>
            <w:vAlign w:val="center"/>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总报价（人民币：元）</w:t>
            </w:r>
            <w:r/>
          </w:p>
        </w:tc>
        <w:tc>
          <w:tcPr>
            <w:tcW w:w="1246" w:type="dxa"/>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cantSplit/>
          <w:trHeight w:val="1030"/>
        </w:trPr>
        <w:tc>
          <w:tcPr>
            <w:gridSpan w:val="8"/>
            <w:tcW w:w="7835" w:type="dxa"/>
            <w:vAlign w:val="center"/>
            <w:textDirection w:val="lrTb"/>
            <w:noWrap w:val="false"/>
          </w:tcPr>
          <w:p>
            <w:pPr>
              <w:jc w:val="both"/>
              <w:spacing w:line="560" w:lineRule="exact"/>
              <w:rPr>
                <w:rFonts w:hint="eastAsia" w:ascii="宋体" w:hAnsi="宋体" w:eastAsia="宋体"/>
                <w:color w:val="auto"/>
                <w:sz w:val="24"/>
                <w:szCs w:val="24"/>
                <w:highlight w:val="none"/>
              </w:rPr>
            </w:pPr>
            <w:r>
              <w:rPr>
                <w:rFonts w:hint="eastAsia" w:ascii="宋体" w:hAnsi="宋体" w:eastAsia="宋体"/>
                <w:color w:val="auto"/>
                <w:sz w:val="22"/>
                <w:szCs w:val="22"/>
                <w:highlight w:val="none"/>
              </w:rPr>
              <w:t xml:space="preserve">本公司(单位)提供的全部产品中，符合本国产品标准的产品成本之和占本公司(单位)提供的全部产品成本之和的比例达到</w:t>
            </w:r>
            <w:r>
              <w:rPr>
                <w:rFonts w:hint="eastAsia" w:ascii="宋体" w:hAnsi="宋体" w:eastAsia="宋体"/>
                <w:color w:val="auto"/>
                <w:sz w:val="22"/>
                <w:szCs w:val="22"/>
                <w:highlight w:val="none"/>
                <w:lang w:val="en-US"/>
              </w:rPr>
              <w:t xml:space="preserve">    %</w:t>
            </w:r>
            <w:r>
              <w:rPr>
                <w:rFonts w:hint="eastAsia" w:ascii="宋体" w:hAnsi="宋体" w:eastAsia="宋体"/>
                <w:color w:val="auto"/>
                <w:sz w:val="22"/>
                <w:szCs w:val="22"/>
                <w:highlight w:val="none"/>
              </w:rPr>
              <w:t xml:space="preserve">(填写具体百分比)</w:t>
            </w:r>
            <w:r/>
          </w:p>
        </w:tc>
        <w:tc>
          <w:tcPr>
            <w:tcW w:w="1246" w:type="dxa"/>
            <w:textDirection w:val="lrTb"/>
            <w:noWrap w:val="false"/>
          </w:tcPr>
          <w:p>
            <w:pPr>
              <w:spacing w:line="56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jc w:val="left"/>
        <w:keepLines/>
        <w:spacing w:before="120" w:after="120" w:line="416" w:lineRule="auto"/>
        <w:rPr>
          <w:rFonts w:eastAsia="黑体"/>
          <w:b/>
          <w:color w:val="auto"/>
          <w:sz w:val="32"/>
          <w:szCs w:val="32"/>
          <w:highlight w:val="none"/>
        </w:rPr>
        <w:outlineLvl w:val="9"/>
      </w:pPr>
      <w:r>
        <w:rPr>
          <w:rFonts w:eastAsia="黑体"/>
          <w:b/>
          <w:color w:val="auto"/>
          <w:sz w:val="32"/>
          <w:szCs w:val="32"/>
          <w:highlight w:val="none"/>
        </w:rPr>
      </w:r>
      <w:r/>
    </w:p>
    <w:p>
      <w:pPr>
        <w:jc w:val="left"/>
        <w:keepLines/>
        <w:spacing w:before="120" w:after="120" w:line="416" w:lineRule="auto"/>
        <w:rPr>
          <w:rFonts w:eastAsia="黑体"/>
          <w:b/>
          <w:color w:val="auto"/>
          <w:sz w:val="32"/>
          <w:szCs w:val="32"/>
          <w:highlight w:val="none"/>
        </w:rPr>
        <w:outlineLvl w:val="9"/>
      </w:pPr>
      <w:r>
        <w:rPr>
          <w:rFonts w:eastAsia="黑体"/>
          <w:b/>
          <w:color w:val="auto"/>
          <w:sz w:val="32"/>
          <w:szCs w:val="32"/>
          <w:highlight w:val="none"/>
        </w:rPr>
      </w:r>
      <w:r/>
    </w:p>
    <w:p>
      <w:pPr>
        <w:jc w:val="left"/>
        <w:keepLines/>
        <w:spacing w:before="120" w:after="120" w:line="416" w:lineRule="auto"/>
        <w:rPr>
          <w:rFonts w:eastAsia="黑体"/>
          <w:b/>
          <w:color w:val="auto"/>
          <w:sz w:val="32"/>
          <w:szCs w:val="32"/>
          <w:highlight w:val="none"/>
        </w:rPr>
        <w:outlineLvl w:val="9"/>
      </w:pPr>
      <w:r>
        <w:rPr>
          <w:rFonts w:eastAsia="黑体"/>
          <w:b/>
          <w:color w:val="auto"/>
          <w:sz w:val="32"/>
          <w:szCs w:val="32"/>
          <w:highlight w:val="none"/>
        </w:rPr>
      </w:r>
      <w:r/>
    </w:p>
    <w:p>
      <w:pPr>
        <w:jc w:val="left"/>
        <w:keepLines/>
        <w:spacing w:before="120" w:after="120" w:line="416" w:lineRule="auto"/>
        <w:rPr>
          <w:rFonts w:eastAsia="黑体"/>
          <w:b/>
          <w:color w:val="auto"/>
          <w:sz w:val="32"/>
          <w:szCs w:val="32"/>
          <w:highlight w:val="none"/>
        </w:rPr>
        <w:outlineLvl w:val="9"/>
      </w:pPr>
      <w:r>
        <w:rPr>
          <w:rFonts w:eastAsia="黑体"/>
          <w:b/>
          <w:color w:val="auto"/>
          <w:sz w:val="32"/>
          <w:szCs w:val="32"/>
          <w:highlight w:val="none"/>
        </w:rPr>
      </w:r>
      <w:r/>
    </w:p>
    <w:p>
      <w:pPr>
        <w:jc w:val="left"/>
        <w:keepLines/>
        <w:spacing w:before="120" w:after="120" w:line="416" w:lineRule="auto"/>
        <w:rPr>
          <w:rFonts w:eastAsia="黑体"/>
          <w:b/>
          <w:color w:val="auto"/>
          <w:sz w:val="32"/>
          <w:szCs w:val="32"/>
          <w:highlight w:val="none"/>
        </w:rPr>
        <w:outlineLvl w:val="9"/>
      </w:pPr>
      <w:r>
        <w:rPr>
          <w:rFonts w:eastAsia="黑体"/>
          <w:b/>
          <w:color w:val="auto"/>
          <w:sz w:val="32"/>
          <w:szCs w:val="32"/>
          <w:highlight w:val="none"/>
        </w:rPr>
      </w:r>
      <w:r/>
    </w:p>
    <w:p>
      <w:pPr>
        <w:jc w:val="left"/>
        <w:keepLines/>
        <w:spacing w:before="120" w:after="120" w:line="416" w:lineRule="auto"/>
        <w:rPr>
          <w:rFonts w:eastAsia="黑体"/>
          <w:b/>
          <w:color w:val="auto"/>
          <w:sz w:val="32"/>
          <w:szCs w:val="32"/>
          <w:highlight w:val="none"/>
        </w:rPr>
        <w:outlineLvl w:val="9"/>
      </w:pPr>
      <w:r>
        <w:rPr>
          <w:rFonts w:eastAsia="黑体"/>
          <w:b/>
          <w:color w:val="auto"/>
          <w:sz w:val="32"/>
          <w:szCs w:val="32"/>
          <w:highlight w:val="none"/>
        </w:rPr>
      </w:r>
      <w:r/>
    </w:p>
    <w:p>
      <w:pPr>
        <w:jc w:val="left"/>
        <w:keepLines/>
        <w:spacing w:before="120" w:after="120" w:line="416" w:lineRule="auto"/>
        <w:rPr>
          <w:rFonts w:eastAsia="黑体"/>
          <w:b/>
          <w:color w:val="auto"/>
          <w:sz w:val="32"/>
          <w:szCs w:val="32"/>
          <w:highlight w:val="none"/>
        </w:rPr>
        <w:outlineLvl w:val="9"/>
      </w:pPr>
      <w:r>
        <w:rPr>
          <w:rFonts w:eastAsia="黑体"/>
          <w:b/>
          <w:color w:val="auto"/>
          <w:sz w:val="32"/>
          <w:szCs w:val="32"/>
          <w:highlight w:val="none"/>
        </w:rPr>
      </w:r>
      <w:r/>
    </w:p>
    <w:p>
      <w:pPr>
        <w:jc w:val="left"/>
        <w:keepLines/>
        <w:spacing w:before="120" w:after="120" w:line="416" w:lineRule="auto"/>
        <w:rPr>
          <w:rFonts w:eastAsia="黑体"/>
          <w:b/>
          <w:color w:val="auto"/>
          <w:sz w:val="32"/>
          <w:szCs w:val="32"/>
          <w:highlight w:val="none"/>
        </w:rPr>
        <w:outlineLvl w:val="9"/>
      </w:pPr>
      <w:r>
        <w:rPr>
          <w:rFonts w:eastAsia="黑体"/>
          <w:b/>
          <w:color w:val="auto"/>
          <w:sz w:val="32"/>
          <w:szCs w:val="32"/>
          <w:highlight w:val="none"/>
        </w:rPr>
      </w:r>
      <w:r/>
    </w:p>
    <w:p>
      <w:pPr>
        <w:pStyle w:val="931"/>
        <w:jc w:val="center"/>
        <w:rPr>
          <w:rFonts w:hint="eastAsia"/>
          <w:b/>
          <w:bCs/>
          <w:iCs/>
          <w:color w:val="auto"/>
          <w:szCs w:val="32"/>
          <w:highlight w:val="none"/>
        </w:rPr>
        <w:outlineLvl w:val="9"/>
      </w:pPr>
      <w:r>
        <w:rPr>
          <w:rFonts w:hint="eastAsia" w:asciiTheme="minorEastAsia" w:hAnsiTheme="minorEastAsia" w:eastAsiaTheme="minorEastAsia"/>
          <w:b/>
          <w:bCs/>
          <w:iCs/>
          <w:color w:val="auto"/>
          <w:szCs w:val="32"/>
          <w:highlight w:val="none"/>
        </w:rPr>
        <w:t xml:space="preserve">七、</w:t>
      </w:r>
      <w:r>
        <w:rPr>
          <w:rFonts w:hint="eastAsia"/>
          <w:b/>
          <w:bCs/>
          <w:iCs/>
          <w:color w:val="auto"/>
          <w:szCs w:val="32"/>
          <w:highlight w:val="none"/>
        </w:rPr>
        <w:t xml:space="preserve">中小企业声明函</w:t>
      </w:r>
      <w:r/>
    </w:p>
    <w:p>
      <w:pPr>
        <w:pStyle w:val="932"/>
        <w:jc w:val="center"/>
        <w:rPr>
          <w:rFonts w:hint="eastAsia" w:ascii="宋体" w:hAnsi="宋体"/>
          <w:b/>
          <w:color w:val="auto"/>
          <w:sz w:val="36"/>
          <w:szCs w:val="36"/>
          <w:highlight w:val="none"/>
        </w:rPr>
      </w:pPr>
      <w:r>
        <w:rPr>
          <w:rFonts w:hint="eastAsia" w:ascii="宋体" w:hAnsi="宋体"/>
          <w:b/>
          <w:color w:val="auto"/>
          <w:sz w:val="36"/>
          <w:szCs w:val="36"/>
          <w:highlight w:val="none"/>
        </w:rPr>
        <w:t xml:space="preserve">中小企业声明函（货物）</w:t>
      </w:r>
      <w:r/>
    </w:p>
    <w:p>
      <w:pPr>
        <w:pStyle w:val="932"/>
        <w:jc w:val="left"/>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32"/>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w:t>
      </w:r>
      <w:r>
        <w:rPr>
          <w:rFonts w:ascii="宋体" w:hAnsi="宋体"/>
          <w:color w:val="auto"/>
          <w:sz w:val="24"/>
          <w:szCs w:val="24"/>
          <w:highlight w:val="none"/>
        </w:rPr>
        <w:t xml:space="preserve">〔2020〕46号）</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932"/>
        <w:ind w:firstLine="480"/>
        <w:jc w:val="left"/>
        <w:spacing w:line="50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u w:val="single"/>
        </w:rPr>
        <w:t xml:space="preserve">行业</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（中型企业、小型企业、微型企业）；</w:t>
      </w:r>
      <w:r/>
    </w:p>
    <w:p>
      <w:pPr>
        <w:pStyle w:val="932"/>
        <w:ind w:firstLine="480"/>
        <w:jc w:val="left"/>
        <w:spacing w:line="50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 xml:space="preserve">标的名称          </w:t>
      </w:r>
      <w:r>
        <w:rPr>
          <w:rFonts w:hint="eastAsia" w:ascii="宋体" w:hAnsi="宋体"/>
          <w:color w:val="auto"/>
          <w:sz w:val="24"/>
          <w:szCs w:val="24"/>
          <w:highlight w:val="none"/>
        </w:rPr>
        <w:t xml:space="preserve">，属于（</w:t>
      </w:r>
      <w:r>
        <w:rPr>
          <w:rFonts w:hint="eastAsia" w:ascii="宋体" w:hAnsi="宋体"/>
          <w:i/>
          <w:color w:val="auto"/>
          <w:sz w:val="24"/>
          <w:szCs w:val="24"/>
          <w:highlight w:val="none"/>
          <w:u w:val="single"/>
        </w:rPr>
        <w:t xml:space="preserve">采购文件中明确的所属行业）</w:t>
      </w:r>
      <w:r>
        <w:rPr>
          <w:rFonts w:hint="eastAsia" w:ascii="宋体" w:hAnsi="宋体"/>
          <w:color w:val="auto"/>
          <w:sz w:val="24"/>
          <w:szCs w:val="24"/>
          <w:highlight w:val="none"/>
          <w:u w:val="single"/>
        </w:rPr>
        <w:t xml:space="preserve">行业</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p>
    <w:p>
      <w:pPr>
        <w:pStyle w:val="932"/>
        <w:ind w:firstLine="480"/>
        <w:jc w:val="left"/>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p>
      <w:pPr>
        <w:pStyle w:val="932"/>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pStyle w:val="932"/>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932"/>
        <w:ind w:firstLine="480"/>
        <w:jc w:val="cente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32"/>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pStyle w:val="932"/>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w:t>
      </w:r>
      <w:r/>
    </w:p>
    <w:p>
      <w:pPr>
        <w:pStyle w:val="932"/>
        <w:ind w:firstLine="560"/>
        <w:spacing w:line="56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932"/>
        <w:ind w:firstLine="360"/>
        <w:spacing w:line="560" w:lineRule="exact"/>
        <w:rPr>
          <w:rFonts w:hint="eastAsia" w:ascii="宋体" w:hAnsi="宋体"/>
          <w:color w:val="auto"/>
          <w:sz w:val="18"/>
          <w:szCs w:val="18"/>
          <w:highlight w:val="none"/>
        </w:rPr>
      </w:pPr>
      <w:r>
        <w:rPr>
          <w:rFonts w:hint="eastAsia" w:ascii="宋体" w:hAnsi="宋体"/>
          <w:color w:val="auto"/>
          <w:sz w:val="18"/>
          <w:szCs w:val="18"/>
          <w:highlight w:val="none"/>
          <w:vertAlign w:val="superscript"/>
        </w:rPr>
        <w:t xml:space="preserve">1</w:t>
      </w:r>
      <w:r>
        <w:rPr>
          <w:rFonts w:hint="eastAsia" w:ascii="宋体" w:hAnsi="宋体"/>
          <w:color w:val="auto"/>
          <w:sz w:val="18"/>
          <w:szCs w:val="18"/>
          <w:highlight w:val="none"/>
        </w:rPr>
        <w:t xml:space="preserve">从业人员、营业收入、资产总额填报上一年数据，无上一年数据的新成立企业可不填报。</w:t>
      </w:r>
      <w:r/>
    </w:p>
    <w:p>
      <w:pPr>
        <w:pStyle w:val="932"/>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932"/>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932"/>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932"/>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pStyle w:val="932"/>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932"/>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763"/>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63"/>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769"/>
          <w:rFonts w:hint="eastAsia" w:ascii="方正魏碑_GBK" w:hAnsi="方正魏碑_GBK" w:eastAsia="方正魏碑_GBK" w:cs="方正魏碑_GBK"/>
          <w:i w:val="0"/>
          <w:color w:val="auto"/>
          <w:highlight w:val="none"/>
          <w:u w:val="single"/>
          <w:shd w:val="clear" w:color="auto" w:fill="ffffff"/>
        </w:rPr>
        <w:t xml:space="preserve">（产品名称1）</w:t>
      </w:r>
      <w:r>
        <w:rPr>
          <w:rStyle w:val="769"/>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69"/>
          <w:rFonts w:hint="eastAsia" w:ascii="方正魏碑_GBK" w:hAnsi="方正魏碑_GBK" w:eastAsia="方正魏碑_GBK" w:cs="方正魏碑_GBK"/>
          <w:i w:val="0"/>
          <w:color w:val="auto"/>
          <w:highlight w:val="none"/>
          <w:u w:val="single"/>
          <w:shd w:val="clear" w:color="auto" w:fill="ffffff"/>
        </w:rPr>
        <w:t xml:space="preserve">（厂名）</w:t>
      </w:r>
      <w:r>
        <w:rPr>
          <w:rStyle w:val="769"/>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69"/>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69"/>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9"/>
          <w:rFonts w:hint="eastAsia" w:ascii="方正魏碑_GBK" w:hAnsi="方正魏碑_GBK" w:eastAsia="方正魏碑_GBK" w:cs="方正魏碑_GBK"/>
          <w:i w:val="0"/>
          <w:color w:val="auto"/>
          <w:highlight w:val="none"/>
          <w:u w:val="single"/>
          <w:shd w:val="clear" w:color="auto" w:fill="ffffff"/>
        </w:rPr>
        <w:t xml:space="preserve">（规定</w:t>
      </w:r>
      <w:r>
        <w:rPr>
          <w:rStyle w:val="769"/>
          <w:rFonts w:ascii="方正魏碑_GBK" w:hAnsi="方正魏碑_GBK" w:eastAsia="方正魏碑_GBK" w:cs="方正魏碑_GBK"/>
          <w:i w:val="0"/>
          <w:color w:val="auto"/>
          <w:highlight w:val="none"/>
          <w:u w:val="single"/>
          <w:shd w:val="clear" w:color="auto" w:fill="ffffff"/>
        </w:rPr>
        <w:t xml:space="preserve">比例</w:t>
      </w:r>
      <w:r>
        <w:rPr>
          <w:rStyle w:val="769"/>
          <w:rFonts w:hint="eastAsia" w:ascii="方正魏碑_GBK" w:hAnsi="方正魏碑_GBK" w:eastAsia="方正魏碑_GBK" w:cs="方正魏碑_GBK"/>
          <w:i w:val="0"/>
          <w:color w:val="auto"/>
          <w:highlight w:val="none"/>
          <w:u w:val="single"/>
          <w:shd w:val="clear" w:color="auto" w:fill="ffffff"/>
        </w:rPr>
        <w:t xml:space="preserve">）</w:t>
      </w:r>
      <w:r>
        <w:rPr>
          <w:rStyle w:val="769"/>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69"/>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69"/>
          <w:rFonts w:hint="eastAsia" w:ascii="方正魏碑_GBK" w:hAnsi="方正魏碑_GBK" w:eastAsia="方正魏碑_GBK" w:cs="方正魏碑_GBK"/>
          <w:i w:val="0"/>
          <w:color w:val="auto"/>
          <w:highlight w:val="none"/>
          <w:u w:val="single"/>
          <w:shd w:val="clear" w:color="auto" w:fill="ffffff"/>
        </w:rPr>
        <w:t xml:space="preserve">（关键</w:t>
      </w:r>
      <w:r>
        <w:rPr>
          <w:rStyle w:val="769"/>
          <w:rFonts w:ascii="方正魏碑_GBK" w:hAnsi="方正魏碑_GBK" w:eastAsia="方正魏碑_GBK" w:cs="方正魏碑_GBK"/>
          <w:i w:val="0"/>
          <w:color w:val="auto"/>
          <w:highlight w:val="none"/>
          <w:u w:val="single"/>
          <w:shd w:val="clear" w:color="auto" w:fill="ffffff"/>
        </w:rPr>
        <w:t xml:space="preserve">组件</w:t>
      </w:r>
      <w:r>
        <w:rPr>
          <w:rStyle w:val="769"/>
          <w:rFonts w:hint="eastAsia" w:ascii="方正魏碑_GBK" w:hAnsi="方正魏碑_GBK" w:eastAsia="方正魏碑_GBK" w:cs="方正魏碑_GBK"/>
          <w:i w:val="0"/>
          <w:color w:val="auto"/>
          <w:highlight w:val="none"/>
          <w:u w:val="single"/>
          <w:shd w:val="clear" w:color="auto" w:fill="ffffff"/>
        </w:rPr>
        <w:t xml:space="preserve">）</w:t>
      </w:r>
      <w:r>
        <w:rPr>
          <w:rStyle w:val="769"/>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69"/>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69"/>
          <w:rFonts w:hint="eastAsia" w:ascii="方正魏碑_GBK" w:hAnsi="方正魏碑_GBK" w:eastAsia="方正魏碑_GBK" w:cs="方正魏碑_GBK"/>
          <w:i w:val="0"/>
          <w:color w:val="auto"/>
          <w:highlight w:val="none"/>
          <w:u w:val="single"/>
          <w:shd w:val="clear" w:color="auto" w:fill="ffffff"/>
        </w:rPr>
        <w:t xml:space="preserve">（关键工序）</w:t>
      </w:r>
      <w:r>
        <w:rPr>
          <w:rStyle w:val="769"/>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6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76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69"/>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69"/>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6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69"/>
          <w:rFonts w:hint="eastAsia" w:ascii="方正魏碑_GBK" w:hAnsi="方正魏碑_GBK" w:eastAsia="方正魏碑_GBK" w:cs="方正魏碑_GBK"/>
          <w:i w:val="0"/>
          <w:color w:val="auto"/>
          <w:highlight w:val="none"/>
          <w:u w:val="single"/>
          <w:shd w:val="clear" w:color="auto" w:fill="ffffff"/>
        </w:rPr>
        <w:t xml:space="preserve">（规定</w:t>
      </w:r>
      <w:r>
        <w:rPr>
          <w:rStyle w:val="769"/>
          <w:rFonts w:ascii="方正魏碑_GBK" w:hAnsi="方正魏碑_GBK" w:eastAsia="方正魏碑_GBK" w:cs="方正魏碑_GBK"/>
          <w:i w:val="0"/>
          <w:color w:val="auto"/>
          <w:highlight w:val="none"/>
          <w:u w:val="single"/>
          <w:shd w:val="clear" w:color="auto" w:fill="ffffff"/>
        </w:rPr>
        <w:t xml:space="preserve">比例</w:t>
      </w:r>
      <w:r>
        <w:rPr>
          <w:rStyle w:val="76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6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769"/>
          <w:rFonts w:hint="eastAsia" w:ascii="方正魏碑_GBK" w:hAnsi="方正魏碑_GBK" w:eastAsia="方正魏碑_GBK" w:cs="方正魏碑_GBK"/>
          <w:i w:val="0"/>
          <w:color w:val="auto"/>
          <w:highlight w:val="none"/>
          <w:u w:val="single"/>
          <w:shd w:val="clear" w:color="auto" w:fill="ffffff"/>
        </w:rPr>
        <w:t xml:space="preserve">（关键</w:t>
      </w:r>
      <w:r>
        <w:rPr>
          <w:rStyle w:val="769"/>
          <w:rFonts w:ascii="方正魏碑_GBK" w:hAnsi="方正魏碑_GBK" w:eastAsia="方正魏碑_GBK" w:cs="方正魏碑_GBK"/>
          <w:i w:val="0"/>
          <w:color w:val="auto"/>
          <w:highlight w:val="none"/>
          <w:u w:val="single"/>
          <w:shd w:val="clear" w:color="auto" w:fill="ffffff"/>
        </w:rPr>
        <w:t xml:space="preserve">组件</w:t>
      </w:r>
      <w:r>
        <w:rPr>
          <w:rStyle w:val="76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69"/>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69"/>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6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6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6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63"/>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763"/>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6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6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6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6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6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6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63"/>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keepLines/>
        <w:spacing w:before="120" w:after="120" w:line="416" w:lineRule="auto"/>
        <w:rPr>
          <w:rFonts w:eastAsia="黑体"/>
          <w:b/>
          <w:color w:val="auto"/>
          <w:sz w:val="32"/>
          <w:szCs w:val="32"/>
          <w:highlight w:val="none"/>
        </w:rPr>
        <w:outlineLvl w:val="9"/>
      </w:pPr>
      <w:r>
        <w:rPr>
          <w:rFonts w:eastAsia="黑体"/>
          <w:b/>
          <w:color w:val="auto"/>
          <w:sz w:val="32"/>
          <w:szCs w:val="32"/>
          <w:highlight w:val="none"/>
        </w:rPr>
        <w:br w:type="page" w:clear="all"/>
      </w:r>
      <w:r>
        <w:rPr>
          <w:rFonts w:hint="eastAsia" w:eastAsia="黑体"/>
          <w:b/>
          <w:color w:val="auto"/>
          <w:sz w:val="32"/>
          <w:szCs w:val="32"/>
          <w:highlight w:val="none"/>
        </w:rPr>
        <w:t xml:space="preserve">八、技术及商务要求响应及偏离表（分包号：**）</w:t>
      </w:r>
      <w:r/>
    </w:p>
    <w:p>
      <w:pPr>
        <w:jc w:val="center"/>
        <w:widowControl/>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技术要求响应及偏离表</w:t>
      </w:r>
      <w:r/>
    </w:p>
    <w:tbl>
      <w:tblPr>
        <w:tblStyle w:val="738"/>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588" w:lineRule="exact"/>
        <w:rPr>
          <w:rFonts w:eastAsia="宋体"/>
          <w:color w:val="auto"/>
          <w:sz w:val="24"/>
          <w:szCs w:val="21"/>
          <w:highlight w:val="none"/>
        </w:rPr>
      </w:pPr>
      <w:r>
        <w:rPr>
          <w:rFonts w:hint="eastAsia" w:eastAsia="宋体"/>
          <w:color w:val="auto"/>
          <w:sz w:val="24"/>
          <w:szCs w:val="21"/>
          <w:highlight w:val="none"/>
        </w:rPr>
        <w:t xml:space="preserve">4.行数不够，可自行添加。</w:t>
      </w:r>
      <w:r/>
    </w:p>
    <w:p>
      <w:pPr>
        <w:jc w:val="center"/>
        <w:rPr>
          <w:rFonts w:eastAsia="黑体"/>
          <w:b/>
          <w:color w:val="auto"/>
          <w:sz w:val="36"/>
          <w:szCs w:val="21"/>
          <w:highlight w:val="none"/>
        </w:rPr>
      </w:pPr>
      <w:r>
        <w:rPr>
          <w:rFonts w:eastAsia="黑体"/>
          <w:b/>
          <w:color w:val="auto"/>
          <w:sz w:val="36"/>
          <w:szCs w:val="21"/>
          <w:highlight w:val="none"/>
        </w:rPr>
      </w:r>
      <w:r/>
    </w:p>
    <w:p>
      <w:pPr>
        <w:pStyle w:val="743"/>
        <w:rPr>
          <w:color w:val="auto"/>
          <w:highlight w:val="none"/>
        </w:rPr>
      </w:pPr>
      <w:r>
        <w:rPr>
          <w:color w:val="auto"/>
          <w:highlight w:val="none"/>
        </w:rPr>
      </w:r>
      <w:r/>
    </w:p>
    <w:p>
      <w:pPr>
        <w:rPr>
          <w:color w:val="auto"/>
          <w:highlight w:val="none"/>
        </w:rPr>
      </w:pPr>
      <w:r>
        <w:rPr>
          <w:color w:val="auto"/>
          <w:highlight w:val="none"/>
        </w:rPr>
      </w:r>
      <w:r/>
    </w:p>
    <w:p>
      <w:pPr>
        <w:pStyle w:val="743"/>
        <w:rPr>
          <w:color w:val="auto"/>
          <w:highlight w:val="none"/>
        </w:rPr>
      </w:pPr>
      <w:r>
        <w:rPr>
          <w:color w:val="auto"/>
          <w:highlight w:val="none"/>
        </w:rPr>
      </w:r>
      <w:r/>
    </w:p>
    <w:p>
      <w:pPr>
        <w:rPr>
          <w:color w:val="auto"/>
          <w:highlight w:val="none"/>
        </w:rPr>
      </w:pPr>
      <w:r>
        <w:rPr>
          <w:color w:val="auto"/>
          <w:highlight w:val="none"/>
        </w:rPr>
      </w:r>
      <w:r/>
    </w:p>
    <w:p>
      <w:pPr>
        <w:pStyle w:val="743"/>
        <w:rPr>
          <w:color w:val="auto"/>
          <w:highlight w:val="none"/>
        </w:rPr>
      </w:pPr>
      <w:r>
        <w:rPr>
          <w:color w:val="auto"/>
          <w:highlight w:val="none"/>
        </w:rPr>
      </w:r>
      <w:r/>
    </w:p>
    <w:p>
      <w:pPr>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r/>
      <w:r/>
    </w:p>
    <w:p>
      <w:pPr>
        <w:pStyle w:val="743"/>
        <w:rPr>
          <w:color w:val="auto"/>
          <w:highlight w:val="none"/>
        </w:rPr>
      </w:pPr>
      <w:r>
        <w:rPr>
          <w:color w:val="auto"/>
          <w:highlight w:val="none"/>
        </w:rPr>
      </w:r>
      <w:r/>
    </w:p>
    <w:p>
      <w:pPr>
        <w:rPr>
          <w:color w:val="auto"/>
          <w:highlight w:val="none"/>
        </w:rPr>
      </w:pPr>
      <w:r>
        <w:rPr>
          <w:color w:val="auto"/>
          <w:highlight w:val="none"/>
        </w:rPr>
      </w:r>
      <w:r/>
    </w:p>
    <w:p>
      <w:pPr>
        <w:pStyle w:val="743"/>
        <w:rPr>
          <w:color w:val="auto"/>
          <w:highlight w:val="none"/>
        </w:rPr>
      </w:pPr>
      <w:r>
        <w:rPr>
          <w:color w:val="auto"/>
          <w:highlight w:val="none"/>
        </w:rPr>
      </w:r>
      <w:r/>
    </w:p>
    <w:p>
      <w:pPr>
        <w:pStyle w:val="743"/>
        <w:rPr>
          <w:color w:val="auto"/>
          <w:highlight w:val="none"/>
        </w:rPr>
      </w:pPr>
      <w:r>
        <w:rPr>
          <w:color w:val="auto"/>
          <w:highlight w:val="none"/>
        </w:rPr>
      </w:r>
      <w:r/>
    </w:p>
    <w:p>
      <w:pPr>
        <w:jc w:val="center"/>
        <w:widowControl/>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商务要求响应及偏离表</w:t>
      </w:r>
      <w:r/>
    </w:p>
    <w:tbl>
      <w:tblPr>
        <w:tblStyle w:val="738"/>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left"/>
        <w:widowControl/>
        <w:rPr>
          <w:rFonts w:eastAsia="黑体" w:cs="黑体"/>
          <w:b/>
          <w:color w:val="auto"/>
          <w:sz w:val="32"/>
          <w:szCs w:val="24"/>
          <w:highlight w:val="none"/>
        </w:rPr>
        <w:outlineLvl w:val="9"/>
      </w:pPr>
      <w:r>
        <w:rPr>
          <w:rFonts w:eastAsia="黑体" w:cs="黑体"/>
          <w:b/>
          <w:color w:val="auto"/>
          <w:sz w:val="32"/>
          <w:szCs w:val="24"/>
          <w:highlight w:val="none"/>
        </w:rPr>
      </w:r>
      <w:r/>
    </w:p>
    <w:p>
      <w:pPr>
        <w:jc w:val="left"/>
        <w:widowControl/>
        <w:rPr>
          <w:rFonts w:eastAsia="黑体" w:cs="黑体"/>
          <w:b/>
          <w:color w:val="auto"/>
          <w:sz w:val="32"/>
          <w:szCs w:val="24"/>
          <w:highlight w:val="none"/>
        </w:rPr>
        <w:outlineLvl w:val="9"/>
      </w:pPr>
      <w:r>
        <w:rPr>
          <w:rFonts w:eastAsia="黑体" w:cs="黑体"/>
          <w:b/>
          <w:color w:val="auto"/>
          <w:sz w:val="32"/>
          <w:szCs w:val="24"/>
          <w:highlight w:val="none"/>
        </w:rPr>
      </w:r>
      <w:r/>
    </w:p>
    <w:p>
      <w:pPr>
        <w:jc w:val="left"/>
        <w:widowControl/>
        <w:rPr>
          <w:rFonts w:eastAsia="黑体" w:cs="黑体"/>
          <w:b/>
          <w:color w:val="auto"/>
          <w:sz w:val="32"/>
          <w:szCs w:val="24"/>
          <w:highlight w:val="none"/>
        </w:rPr>
        <w:outlineLvl w:val="9"/>
      </w:pPr>
      <w:r>
        <w:rPr>
          <w:rFonts w:eastAsia="黑体" w:cs="黑体"/>
          <w:b/>
          <w:color w:val="auto"/>
          <w:sz w:val="32"/>
          <w:szCs w:val="24"/>
          <w:highlight w:val="none"/>
        </w:rPr>
      </w:r>
      <w:r/>
    </w:p>
    <w:p>
      <w:pPr>
        <w:pStyle w:val="743"/>
        <w:rPr>
          <w:color w:val="auto"/>
          <w:highlight w:val="none"/>
        </w:rPr>
        <w:outlineLvl w:val="9"/>
      </w:pPr>
      <w:r>
        <w:rPr>
          <w:color w:val="auto"/>
          <w:highlight w:val="none"/>
        </w:rPr>
      </w:r>
      <w:r/>
    </w:p>
    <w:p>
      <w:pPr>
        <w:rPr>
          <w:color w:val="auto"/>
          <w:highlight w:val="none"/>
        </w:rPr>
        <w:outlineLvl w:val="9"/>
      </w:pPr>
      <w:r>
        <w:rPr>
          <w:color w:val="auto"/>
          <w:highlight w:val="none"/>
        </w:rPr>
      </w:r>
      <w:r/>
    </w:p>
    <w:p>
      <w:pPr>
        <w:pStyle w:val="743"/>
        <w:rPr>
          <w:color w:val="auto"/>
          <w:highlight w:val="none"/>
        </w:rPr>
        <w:outlineLvl w:val="9"/>
      </w:pPr>
      <w:r>
        <w:rPr>
          <w:color w:val="auto"/>
          <w:highlight w:val="none"/>
        </w:rPr>
      </w:r>
      <w:r/>
    </w:p>
    <w:p>
      <w:pPr>
        <w:rPr>
          <w:color w:val="auto"/>
          <w:highlight w:val="none"/>
        </w:rPr>
        <w:outlineLvl w:val="9"/>
      </w:pPr>
      <w:r>
        <w:rPr>
          <w:color w:val="auto"/>
          <w:highlight w:val="none"/>
        </w:rPr>
      </w:r>
      <w:r/>
    </w:p>
    <w:p>
      <w:pPr>
        <w:pStyle w:val="743"/>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rPr>
          <w:color w:val="auto"/>
          <w:highlight w:val="none"/>
        </w:rPr>
        <w:outlineLvl w:val="9"/>
      </w:pPr>
      <w:r>
        <w:rPr>
          <w:color w:val="auto"/>
          <w:highlight w:val="none"/>
        </w:rPr>
      </w:r>
      <w:r/>
    </w:p>
    <w:p>
      <w:pPr>
        <w:pStyle w:val="743"/>
        <w:rPr>
          <w:color w:val="auto"/>
          <w:highlight w:val="none"/>
        </w:rPr>
        <w:outlineLvl w:val="9"/>
      </w:pPr>
      <w:r>
        <w:rPr>
          <w:color w:val="auto"/>
          <w:highlight w:val="none"/>
        </w:rPr>
      </w:r>
      <w:r/>
    </w:p>
    <w:p>
      <w:pPr>
        <w:rPr>
          <w:color w:val="auto"/>
          <w:highlight w:val="none"/>
        </w:rPr>
        <w:outlineLvl w:val="9"/>
      </w:pPr>
      <w:r>
        <w:rPr>
          <w:color w:val="auto"/>
          <w:highlight w:val="none"/>
        </w:rPr>
      </w:r>
      <w:r/>
    </w:p>
    <w:p>
      <w:pPr>
        <w:pStyle w:val="743"/>
        <w:rPr>
          <w:color w:val="auto"/>
          <w:highlight w:val="none"/>
        </w:rPr>
        <w:outlineLvl w:val="9"/>
      </w:pPr>
      <w:r>
        <w:rPr>
          <w:color w:val="auto"/>
          <w:highlight w:val="none"/>
        </w:rPr>
      </w:r>
      <w:r/>
    </w:p>
    <w:p>
      <w:pPr>
        <w:pStyle w:val="743"/>
        <w:rPr>
          <w:color w:val="auto"/>
          <w:highlight w:val="none"/>
        </w:rPr>
        <w:outlineLvl w:val="9"/>
      </w:pPr>
      <w:r>
        <w:rPr>
          <w:color w:val="auto"/>
          <w:highlight w:val="none"/>
        </w:rPr>
      </w:r>
      <w:r/>
    </w:p>
    <w:p>
      <w:pPr>
        <w:jc w:val="left"/>
        <w:widowControl/>
        <w:rPr>
          <w:rFonts w:eastAsia="黑体" w:cs="黑体"/>
          <w:b/>
          <w:color w:val="auto"/>
          <w:sz w:val="32"/>
          <w:szCs w:val="24"/>
          <w:highlight w:val="none"/>
        </w:rPr>
        <w:outlineLvl w:val="9"/>
      </w:pPr>
      <w:r>
        <w:rPr>
          <w:rFonts w:hint="eastAsia" w:eastAsia="黑体" w:cs="黑体"/>
          <w:b/>
          <w:color w:val="auto"/>
          <w:sz w:val="32"/>
          <w:szCs w:val="24"/>
          <w:highlight w:val="none"/>
        </w:rPr>
        <w:t xml:space="preserve">九、</w:t>
      </w:r>
      <w:r>
        <w:rPr>
          <w:rFonts w:eastAsia="黑体" w:cs="黑体"/>
          <w:b/>
          <w:color w:val="auto"/>
          <w:sz w:val="32"/>
          <w:szCs w:val="24"/>
          <w:highlight w:val="none"/>
        </w:rPr>
        <w:t xml:space="preserve">项目组人员</w:t>
      </w:r>
      <w:r>
        <w:rPr>
          <w:rFonts w:hint="eastAsia" w:eastAsia="黑体" w:cs="黑体"/>
          <w:b/>
          <w:color w:val="auto"/>
          <w:sz w:val="32"/>
          <w:szCs w:val="24"/>
          <w:highlight w:val="none"/>
        </w:rPr>
        <w:t xml:space="preserve">（如有）</w:t>
      </w:r>
      <w:r/>
    </w:p>
    <w:p>
      <w:pPr>
        <w:jc w:val="center"/>
        <w:spacing w:before="100" w:beforeAutospacing="1" w:after="100" w:afterAutospacing="1" w:line="600" w:lineRule="exact"/>
        <w:widowControl/>
        <w:rPr>
          <w:rFonts w:eastAsia="宋体" w:cs="宋体"/>
          <w:b/>
          <w:bCs/>
          <w:color w:val="auto"/>
          <w:sz w:val="32"/>
          <w:szCs w:val="32"/>
          <w:highlight w:val="none"/>
        </w:rPr>
        <w:outlineLvl w:val="9"/>
      </w:pPr>
      <w:r>
        <w:rPr>
          <w:rFonts w:hint="eastAsia" w:eastAsia="宋体" w:cs="宋体"/>
          <w:b/>
          <w:bCs/>
          <w:color w:val="auto"/>
          <w:sz w:val="32"/>
          <w:szCs w:val="32"/>
          <w:highlight w:val="none"/>
        </w:rPr>
        <w:t xml:space="preserve">项目组成员</w:t>
      </w:r>
      <w:r/>
    </w:p>
    <w:tbl>
      <w:tblPr>
        <w:tblStyle w:val="73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color w:val="auto"/>
                <w:sz w:val="20"/>
                <w:highlight w:val="none"/>
              </w:rPr>
            </w:pPr>
            <w:r>
              <w:rPr>
                <w:rFonts w:hint="eastAsia" w:eastAsia="仿宋_GB2312" w:cs="仿宋_GB2312"/>
                <w:color w:val="auto"/>
                <w:sz w:val="28"/>
                <w:szCs w:val="28"/>
                <w:highlight w:val="none"/>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ind w:firstLine="398"/>
        <w:jc w:val="left"/>
        <w:spacing w:before="100" w:beforeAutospacing="1" w:after="100" w:afterAutospacing="1" w:line="460" w:lineRule="exact"/>
        <w:widowControl/>
        <w:rPr>
          <w:rFonts w:eastAsia="仿宋_GB2312" w:cs="仿宋_GB2312"/>
          <w:color w:val="auto"/>
          <w:sz w:val="24"/>
          <w:szCs w:val="24"/>
          <w:highlight w:val="none"/>
        </w:rPr>
      </w:pPr>
      <w:r>
        <w:rPr>
          <w:rFonts w:eastAsia="仿宋_GB2312" w:cs="仿宋_GB2312"/>
          <w:b/>
          <w:color w:val="auto"/>
          <w:sz w:val="24"/>
          <w:szCs w:val="24"/>
          <w:highlight w:val="none"/>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color w:val="auto"/>
          <w:sz w:val="24"/>
          <w:szCs w:val="24"/>
          <w:highlight w:val="none"/>
        </w:rPr>
      </w:pPr>
      <w:r>
        <w:rPr>
          <w:rFonts w:eastAsia="仿宋_GB2312" w:cs="仿宋_GB2312"/>
          <w:color w:val="auto"/>
          <w:sz w:val="24"/>
          <w:szCs w:val="24"/>
          <w:highlight w:val="none"/>
        </w:rPr>
      </w:r>
      <w:r/>
    </w:p>
    <w:p>
      <w:pPr>
        <w:spacing w:line="500" w:lineRule="exact"/>
        <w:rPr>
          <w:rFonts w:eastAsia="宋体"/>
          <w:color w:val="auto"/>
          <w:sz w:val="21"/>
          <w:szCs w:val="24"/>
          <w:highlight w:val="none"/>
        </w:rPr>
      </w:pPr>
      <w:r>
        <w:rPr>
          <w:rFonts w:eastAsia="宋体"/>
          <w:color w:val="auto"/>
          <w:sz w:val="21"/>
          <w:szCs w:val="24"/>
          <w:highlight w:val="none"/>
        </w:rPr>
        <w:br w:type="page" w:clear="all"/>
      </w:r>
      <w:bookmarkStart w:id="87" w:name="_Toc11176"/>
      <w:r>
        <w:rPr>
          <w:rFonts w:hint="eastAsia" w:eastAsia="黑体" w:cs="黑体"/>
          <w:b/>
          <w:color w:val="auto"/>
          <w:sz w:val="32"/>
          <w:szCs w:val="24"/>
          <w:highlight w:val="none"/>
        </w:rPr>
        <w:t xml:space="preserve">十、</w:t>
      </w:r>
      <w:bookmarkEnd w:id="87"/>
      <w:r>
        <w:rPr>
          <w:rFonts w:hint="eastAsia" w:eastAsia="黑体" w:cs="黑体"/>
          <w:b/>
          <w:color w:val="auto"/>
          <w:sz w:val="32"/>
          <w:szCs w:val="24"/>
          <w:highlight w:val="none"/>
        </w:rPr>
        <w:t xml:space="preserve">企业业绩（如有）</w:t>
      </w:r>
      <w:r/>
    </w:p>
    <w:p>
      <w:pPr>
        <w:jc w:val="center"/>
        <w:rPr>
          <w:rFonts w:eastAsia="宋体"/>
          <w:b/>
          <w:color w:val="auto"/>
          <w:sz w:val="32"/>
          <w:szCs w:val="32"/>
          <w:highlight w:val="none"/>
        </w:rPr>
      </w:pPr>
      <w:r>
        <w:rPr>
          <w:rFonts w:hint="eastAsia" w:eastAsia="宋体"/>
          <w:b/>
          <w:color w:val="auto"/>
          <w:sz w:val="32"/>
          <w:szCs w:val="32"/>
          <w:highlight w:val="none"/>
        </w:rPr>
        <w:t xml:space="preserve">投标人承担类似项目业绩一览表</w:t>
      </w:r>
      <w:r/>
    </w:p>
    <w:tbl>
      <w:tblPr>
        <w:tblStyle w:val="73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r>
      <w:tr>
        <w:trPr>
          <w:jc w:val="center"/>
          <w:trHeight w:val="1510"/>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r>
      <w:tr>
        <w:trPr>
          <w:jc w:val="center"/>
          <w:trHeight w:val="1510"/>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r>
      <w:tr>
        <w:trPr>
          <w:jc w:val="center"/>
          <w:trHeight w:val="1525"/>
        </w:trPr>
        <w:tc>
          <w:tcPr>
            <w:tcW w:w="1229" w:type="dxa"/>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3827"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2433"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c>
          <w:tcPr>
            <w:tcW w:w="1395" w:type="dxa"/>
            <w:vAlign w:val="center"/>
            <w:textDirection w:val="lrTb"/>
            <w:noWrap w:val="false"/>
          </w:tcPr>
          <w:p>
            <w:pPr>
              <w:jc w:val="center"/>
              <w:spacing w:line="560" w:lineRule="exact"/>
              <w:rPr>
                <w:rFonts w:eastAsia="仿宋_GB2312"/>
                <w:color w:val="auto"/>
                <w:sz w:val="28"/>
                <w:szCs w:val="24"/>
                <w:highlight w:val="none"/>
              </w:rPr>
            </w:pPr>
            <w:r>
              <w:rPr>
                <w:rFonts w:eastAsia="仿宋_GB2312"/>
                <w:color w:val="auto"/>
                <w:sz w:val="28"/>
                <w:szCs w:val="24"/>
                <w:highlight w:val="none"/>
              </w:rPr>
            </w:r>
            <w:r/>
          </w:p>
        </w:tc>
      </w:tr>
    </w:tbl>
    <w:p>
      <w:pPr>
        <w:rPr>
          <w:rFonts w:eastAsia="宋体"/>
          <w:color w:val="auto"/>
          <w:sz w:val="21"/>
          <w:szCs w:val="22"/>
          <w:highlight w:val="none"/>
        </w:rPr>
      </w:pPr>
      <w:r>
        <w:rPr>
          <w:rFonts w:hint="eastAsia" w:eastAsia="仿宋_GB2312"/>
          <w:b/>
          <w:color w:val="auto"/>
          <w:sz w:val="24"/>
          <w:szCs w:val="22"/>
          <w:highlight w:val="none"/>
        </w:rPr>
        <w:t xml:space="preserve">注：请填写此表，并按要求上传业绩资料电子件。</w:t>
      </w:r>
      <w:r/>
    </w:p>
    <w:p>
      <w:pPr>
        <w:jc w:val="left"/>
        <w:widowControl/>
        <w:rPr>
          <w:rFonts w:eastAsia="黑体" w:cs="黑体"/>
          <w:b/>
          <w:color w:val="auto"/>
          <w:sz w:val="32"/>
          <w:szCs w:val="24"/>
          <w:highlight w:val="none"/>
        </w:rPr>
        <w:outlineLvl w:val="9"/>
      </w:pPr>
      <w:r>
        <w:rPr>
          <w:rFonts w:eastAsia="黑体" w:cs="黑体"/>
          <w:b/>
          <w:color w:val="auto"/>
          <w:sz w:val="32"/>
          <w:szCs w:val="24"/>
          <w:highlight w:val="none"/>
        </w:rPr>
        <w:br w:type="page" w:clear="all"/>
      </w:r>
      <w:bookmarkStart w:id="88" w:name="_Toc28140"/>
      <w:r>
        <w:rPr>
          <w:rFonts w:hint="eastAsia" w:eastAsia="黑体" w:cs="黑体"/>
          <w:b/>
          <w:color w:val="auto"/>
          <w:sz w:val="32"/>
          <w:szCs w:val="24"/>
          <w:highlight w:val="none"/>
        </w:rPr>
        <w:t xml:space="preserve">十一</w:t>
      </w:r>
      <w:r>
        <w:rPr>
          <w:rFonts w:eastAsia="黑体" w:cs="黑体"/>
          <w:b/>
          <w:color w:val="auto"/>
          <w:sz w:val="32"/>
          <w:szCs w:val="24"/>
          <w:highlight w:val="none"/>
        </w:rPr>
        <w:t xml:space="preserve">、投标所需其他材料</w:t>
      </w:r>
      <w:bookmarkEnd w:id="88"/>
      <w:r/>
      <w:r/>
    </w:p>
    <w:p>
      <w:pPr>
        <w:ind w:firstLine="560"/>
        <w:spacing w:line="360" w:lineRule="auto"/>
        <w:rPr>
          <w:rFonts w:eastAsia="仿宋_GB2312"/>
          <w:color w:val="auto"/>
          <w:sz w:val="28"/>
          <w:szCs w:val="28"/>
          <w:highlight w:val="none"/>
        </w:rPr>
      </w:pPr>
      <w:r>
        <w:rPr>
          <w:rFonts w:hint="eastAsia" w:eastAsia="仿宋_GB2312"/>
          <w:color w:val="auto"/>
          <w:sz w:val="28"/>
          <w:szCs w:val="28"/>
          <w:highlight w:val="none"/>
        </w:rPr>
        <w:t xml:space="preserve">请在此文档中增加投标所需其他相关内容，如没有请将此空文档上传。</w:t>
      </w:r>
      <w:r/>
    </w:p>
    <w:p>
      <w:pPr>
        <w:rPr>
          <w:rFonts w:eastAsia="宋体"/>
          <w:color w:val="auto"/>
          <w:sz w:val="20"/>
          <w:szCs w:val="21"/>
          <w:highlight w:val="none"/>
        </w:rPr>
      </w:pPr>
      <w:r>
        <w:rPr>
          <w:rFonts w:hint="eastAsia" w:eastAsia="宋体"/>
          <w:color w:val="auto"/>
          <w:sz w:val="20"/>
          <w:szCs w:val="21"/>
          <w:highlight w:val="none"/>
        </w:rPr>
        <w:t xml:space="preserve"> </w:t>
      </w:r>
      <w:r/>
    </w:p>
    <w:p>
      <w:pPr>
        <w:rPr>
          <w:rFonts w:eastAsia="宋体"/>
          <w:color w:val="auto"/>
          <w:sz w:val="21"/>
          <w:szCs w:val="21"/>
          <w:highlight w:val="none"/>
        </w:rPr>
      </w:pPr>
      <w:r>
        <w:rPr>
          <w:rFonts w:eastAsia="宋体"/>
          <w:color w:val="auto"/>
          <w:sz w:val="21"/>
          <w:szCs w:val="21"/>
          <w:highlight w:val="none"/>
        </w:rPr>
      </w:r>
      <w:r/>
    </w:p>
    <w:p>
      <w:pPr>
        <w:rPr>
          <w:rFonts w:eastAsia="黑体"/>
          <w:color w:val="auto"/>
          <w:sz w:val="32"/>
          <w:szCs w:val="21"/>
          <w:highlight w:val="none"/>
        </w:rPr>
      </w:pPr>
      <w:r>
        <w:rPr>
          <w:rFonts w:eastAsia="黑体"/>
          <w:color w:val="auto"/>
          <w:sz w:val="32"/>
          <w:szCs w:val="21"/>
          <w:highlight w:val="none"/>
        </w:rPr>
      </w:r>
      <w:r/>
    </w:p>
    <w:p>
      <w:pPr>
        <w:rPr>
          <w:rFonts w:eastAsia="黑体"/>
          <w:color w:val="auto"/>
          <w:sz w:val="32"/>
          <w:szCs w:val="21"/>
          <w:highlight w:val="none"/>
        </w:rPr>
      </w:pPr>
      <w:r>
        <w:rPr>
          <w:rFonts w:eastAsia="黑体"/>
          <w:color w:val="auto"/>
          <w:sz w:val="32"/>
          <w:szCs w:val="21"/>
          <w:highlight w:val="none"/>
        </w:rPr>
      </w:r>
      <w:r/>
    </w:p>
    <w:p>
      <w:pPr>
        <w:rPr>
          <w:rFonts w:eastAsia="黑体"/>
          <w:color w:val="auto"/>
          <w:sz w:val="32"/>
          <w:szCs w:val="21"/>
          <w:highlight w:val="none"/>
        </w:rPr>
      </w:pPr>
      <w:r>
        <w:rPr>
          <w:rFonts w:eastAsia="黑体"/>
          <w:color w:val="auto"/>
          <w:sz w:val="32"/>
          <w:szCs w:val="21"/>
          <w:highlight w:val="none"/>
        </w:rPr>
      </w:r>
      <w:bookmarkEnd w:id="83"/>
      <w:r/>
      <w:r/>
    </w:p>
    <w:p>
      <w:pPr>
        <w:rPr>
          <w:rFonts w:eastAsia="黑体"/>
          <w:color w:val="auto"/>
          <w:sz w:val="32"/>
          <w:szCs w:val="21"/>
          <w:highlight w:val="none"/>
        </w:rPr>
      </w:pPr>
      <w:r>
        <w:rPr>
          <w:rFonts w:eastAsia="黑体"/>
          <w:color w:val="auto"/>
          <w:sz w:val="32"/>
          <w:szCs w:val="21"/>
          <w:highlight w:val="none"/>
        </w:rPr>
      </w:r>
      <w:r/>
    </w:p>
    <w:p>
      <w:pPr>
        <w:spacing w:line="480" w:lineRule="auto"/>
        <w:rPr>
          <w:rFonts w:eastAsia="宋体"/>
          <w:color w:val="auto"/>
          <w:sz w:val="24"/>
          <w:szCs w:val="21"/>
          <w:highlight w:val="none"/>
        </w:rPr>
      </w:pPr>
      <w:r>
        <w:rPr>
          <w:rFonts w:eastAsia="宋体"/>
          <w:color w:val="auto"/>
          <w:sz w:val="24"/>
          <w:szCs w:val="21"/>
          <w:highlight w:val="none"/>
        </w:rPr>
      </w:r>
      <w:r/>
    </w:p>
    <w:p>
      <w:pPr>
        <w:spacing w:line="480" w:lineRule="auto"/>
        <w:rPr>
          <w:rFonts w:eastAsia="宋体"/>
          <w:color w:val="auto"/>
          <w:sz w:val="30"/>
          <w:szCs w:val="21"/>
          <w:highlight w:val="none"/>
        </w:rPr>
      </w:pPr>
      <w:r>
        <w:rPr>
          <w:rFonts w:eastAsia="宋体"/>
          <w:color w:val="auto"/>
          <w:sz w:val="30"/>
          <w:szCs w:val="21"/>
          <w:highlight w:val="none"/>
        </w:rPr>
      </w:r>
      <w:r/>
    </w:p>
    <w:p>
      <w:pPr>
        <w:rPr>
          <w:rFonts w:eastAsia="宋体"/>
          <w:color w:val="auto"/>
          <w:sz w:val="24"/>
          <w:szCs w:val="21"/>
          <w:highlight w:val="none"/>
        </w:rPr>
      </w:pPr>
      <w:r/>
      <w:bookmarkStart w:id="89" w:name="_Hlt26609389"/>
      <w:r/>
      <w:bookmarkEnd w:id="89"/>
      <w:r/>
      <w:bookmarkStart w:id="90" w:name="_Hlt26955066"/>
      <w:r/>
      <w:bookmarkEnd w:id="90"/>
      <w:r/>
      <w:bookmarkStart w:id="91" w:name="_Hlt26671374"/>
      <w:r/>
      <w:bookmarkEnd w:id="91"/>
      <w:r/>
      <w:bookmarkStart w:id="92" w:name="_Toc462564146"/>
      <w:r/>
      <w:r/>
    </w:p>
    <w:p>
      <w:pPr>
        <w:rPr>
          <w:rFonts w:eastAsia="宋体"/>
          <w:color w:val="auto"/>
          <w:sz w:val="24"/>
          <w:szCs w:val="21"/>
          <w:highlight w:val="none"/>
        </w:rPr>
      </w:pPr>
      <w:r>
        <w:rPr>
          <w:rFonts w:eastAsia="宋体"/>
          <w:color w:val="auto"/>
          <w:sz w:val="24"/>
          <w:szCs w:val="21"/>
          <w:highlight w:val="none"/>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bookmarkEnd w:id="92"/>
      <w:r/>
      <w:r/>
    </w:p>
    <w:p>
      <w:pPr>
        <w:ind w:firstLine="480"/>
        <w:jc w:val="left"/>
        <w:spacing w:line="560" w:lineRule="exact"/>
        <w:rPr>
          <w:rFonts w:eastAsia="仿宋_GB2312" w:cs="仿宋_GB2312"/>
          <w:color w:val="auto"/>
          <w:sz w:val="24"/>
          <w:szCs w:val="32"/>
          <w:highlight w:val="none"/>
          <w:lang w:val="zh-TW"/>
        </w:rPr>
      </w:pPr>
      <w:r>
        <w:rPr>
          <w:rFonts w:eastAsia="仿宋_GB2312" w:cs="仿宋_GB2312"/>
          <w:color w:val="auto"/>
          <w:sz w:val="24"/>
          <w:szCs w:val="32"/>
          <w:highlight w:val="none"/>
          <w:lang w:val="zh-TW"/>
        </w:rPr>
      </w:r>
      <w:r/>
    </w:p>
    <w:p>
      <w:pPr>
        <w:tabs>
          <w:tab w:val="left" w:pos="1275" w:leader="none"/>
        </w:tabs>
        <w:rPr>
          <w:rFonts w:hint="eastAsia" w:eastAsia="黑体"/>
          <w:b/>
          <w:bCs/>
          <w:color w:val="auto"/>
          <w:sz w:val="32"/>
          <w:szCs w:val="32"/>
          <w:highlight w:val="none"/>
        </w:rPr>
      </w:pPr>
      <w:r/>
      <w:bookmarkStart w:id="93" w:name="_格式2__法定代表人授权书"/>
      <w:r/>
      <w:bookmarkEnd w:id="93"/>
      <w:r>
        <w:rPr>
          <w:rFonts w:hint="eastAsia" w:eastAsia="黑体"/>
          <w:b/>
          <w:color w:val="auto"/>
          <w:sz w:val="32"/>
          <w:szCs w:val="32"/>
          <w:highlight w:val="none"/>
        </w:rPr>
        <w:tab/>
      </w:r>
      <w:r/>
    </w:p>
    <w:p>
      <w:pPr>
        <w:tabs>
          <w:tab w:val="left" w:pos="1275" w:leader="none"/>
        </w:tabs>
        <w:rPr>
          <w:rFonts w:eastAsia="黑体"/>
          <w:b/>
          <w:bCs/>
          <w:color w:val="auto"/>
          <w:sz w:val="32"/>
          <w:szCs w:val="32"/>
          <w:highlight w:val="none"/>
        </w:rPr>
      </w:pPr>
      <w:r>
        <w:rPr>
          <w:rFonts w:eastAsia="黑体"/>
          <w:b/>
          <w:bCs/>
          <w:color w:val="auto"/>
          <w:sz w:val="32"/>
          <w:szCs w:val="32"/>
          <w:highlight w:val="none"/>
        </w:rPr>
      </w:r>
      <w:r/>
    </w:p>
    <w:p>
      <w:pPr>
        <w:tabs>
          <w:tab w:val="left" w:pos="1275" w:leader="none"/>
        </w:tabs>
        <w:rPr>
          <w:rFonts w:eastAsia="黑体"/>
          <w:b/>
          <w:bCs/>
          <w:color w:val="auto"/>
          <w:sz w:val="32"/>
          <w:szCs w:val="32"/>
          <w:highlight w:val="none"/>
        </w:rPr>
      </w:pPr>
      <w:r>
        <w:rPr>
          <w:rFonts w:eastAsia="黑体"/>
          <w:b/>
          <w:bCs/>
          <w:color w:val="auto"/>
          <w:sz w:val="32"/>
          <w:szCs w:val="32"/>
          <w:highlight w:val="none"/>
        </w:rPr>
      </w:r>
      <w:r/>
    </w:p>
    <w:p>
      <w:pPr>
        <w:tabs>
          <w:tab w:val="left" w:pos="1275" w:leader="none"/>
        </w:tabs>
        <w:rPr>
          <w:rFonts w:eastAsia="黑体"/>
          <w:b/>
          <w:bCs/>
          <w:color w:val="auto"/>
          <w:sz w:val="32"/>
          <w:szCs w:val="32"/>
          <w:highlight w:val="none"/>
        </w:rPr>
      </w:pPr>
      <w:r>
        <w:rPr>
          <w:rFonts w:eastAsia="黑体"/>
          <w:b/>
          <w:bCs/>
          <w:color w:val="auto"/>
          <w:sz w:val="32"/>
          <w:szCs w:val="32"/>
          <w:highlight w:val="none"/>
        </w:rPr>
      </w:r>
      <w:r/>
    </w:p>
    <w:p>
      <w:pPr>
        <w:tabs>
          <w:tab w:val="left" w:pos="1275" w:leader="none"/>
        </w:tabs>
        <w:rPr>
          <w:rFonts w:eastAsia="黑体"/>
          <w:b/>
          <w:bCs/>
          <w:color w:val="auto"/>
          <w:sz w:val="32"/>
          <w:szCs w:val="32"/>
          <w:highlight w:val="none"/>
        </w:rPr>
      </w:pPr>
      <w:r>
        <w:rPr>
          <w:rFonts w:eastAsia="黑体"/>
          <w:b/>
          <w:bCs/>
          <w:color w:val="auto"/>
          <w:sz w:val="32"/>
          <w:szCs w:val="32"/>
          <w:highlight w:val="none"/>
        </w:rPr>
      </w:r>
      <w:r/>
    </w:p>
    <w:p>
      <w:pPr>
        <w:tabs>
          <w:tab w:val="left" w:pos="1275" w:leader="none"/>
        </w:tabs>
        <w:rPr>
          <w:rFonts w:eastAsia="黑体"/>
          <w:b/>
          <w:bCs/>
          <w:color w:val="auto"/>
          <w:sz w:val="32"/>
          <w:szCs w:val="32"/>
          <w:highlight w:val="none"/>
        </w:rPr>
      </w:pPr>
      <w:r>
        <w:rPr>
          <w:rFonts w:eastAsia="黑体"/>
          <w:b/>
          <w:bCs/>
          <w:color w:val="auto"/>
          <w:sz w:val="32"/>
          <w:szCs w:val="32"/>
          <w:highlight w:val="none"/>
        </w:rPr>
      </w:r>
      <w:r/>
    </w:p>
    <w:p>
      <w:pPr>
        <w:tabs>
          <w:tab w:val="left" w:pos="1275" w:leader="none"/>
        </w:tabs>
        <w:rPr>
          <w:rFonts w:eastAsia="黑体"/>
          <w:b/>
          <w:bCs/>
          <w:color w:val="auto"/>
          <w:sz w:val="32"/>
          <w:szCs w:val="32"/>
          <w:highlight w:val="none"/>
        </w:rPr>
      </w:pPr>
      <w:r>
        <w:rPr>
          <w:rFonts w:eastAsia="黑体"/>
          <w:b/>
          <w:bCs/>
          <w:color w:val="auto"/>
          <w:sz w:val="32"/>
          <w:szCs w:val="32"/>
          <w:highlight w:val="none"/>
        </w:rPr>
      </w:r>
      <w:r/>
    </w:p>
    <w:p>
      <w:pPr>
        <w:tabs>
          <w:tab w:val="left" w:pos="1275" w:leader="none"/>
        </w:tabs>
        <w:rPr>
          <w:rFonts w:eastAsia="黑体"/>
          <w:b/>
          <w:bCs/>
          <w:color w:val="auto"/>
          <w:sz w:val="32"/>
          <w:szCs w:val="32"/>
          <w:highlight w:val="none"/>
        </w:rPr>
      </w:pPr>
      <w:r>
        <w:rPr>
          <w:rFonts w:eastAsia="黑体"/>
          <w:b/>
          <w:bCs/>
          <w:color w:val="auto"/>
          <w:sz w:val="32"/>
          <w:szCs w:val="32"/>
          <w:highlight w:val="none"/>
        </w:rPr>
      </w:r>
      <w:r/>
    </w:p>
    <w:p>
      <w:pPr>
        <w:tabs>
          <w:tab w:val="left" w:pos="1275" w:leader="none"/>
        </w:tabs>
        <w:rPr>
          <w:rFonts w:eastAsia="黑体"/>
          <w:b/>
          <w:bCs/>
          <w:color w:val="auto"/>
          <w:sz w:val="32"/>
          <w:szCs w:val="32"/>
          <w:highlight w:val="none"/>
        </w:rPr>
      </w:pPr>
      <w:r>
        <w:rPr>
          <w:rFonts w:eastAsia="黑体"/>
          <w:b/>
          <w:bCs/>
          <w:color w:val="auto"/>
          <w:sz w:val="32"/>
          <w:szCs w:val="32"/>
          <w:highlight w:val="none"/>
        </w:rPr>
      </w:r>
      <w:r/>
    </w:p>
    <w:p>
      <w:pPr>
        <w:tabs>
          <w:tab w:val="left" w:pos="1275" w:leader="none"/>
        </w:tabs>
        <w:rPr>
          <w:rFonts w:eastAsia="黑体"/>
          <w:b/>
          <w:color w:val="auto"/>
          <w:sz w:val="32"/>
          <w:szCs w:val="32"/>
          <w:highlight w:val="none"/>
        </w:rPr>
      </w:pPr>
      <w:r>
        <w:rPr>
          <w:rFonts w:eastAsia="黑体"/>
          <w:b/>
          <w:color w:val="auto"/>
          <w:sz w:val="32"/>
          <w:szCs w:val="32"/>
          <w:highlight w:val="none"/>
        </w:rPr>
      </w:r>
      <w:r/>
    </w:p>
    <w:p>
      <w:pPr>
        <w:rPr>
          <w:rFonts w:eastAsia="黑体"/>
          <w:b/>
          <w:color w:val="auto"/>
          <w:sz w:val="32"/>
          <w:szCs w:val="32"/>
          <w:highlight w:val="none"/>
        </w:rPr>
      </w:pPr>
      <w:r>
        <w:rPr>
          <w:rFonts w:eastAsia="黑体"/>
          <w:b/>
          <w:color w:val="auto"/>
          <w:sz w:val="32"/>
          <w:szCs w:val="32"/>
          <w:highlight w:val="none"/>
        </w:rPr>
      </w:r>
      <w:r/>
    </w:p>
    <w:p>
      <w:pPr>
        <w:jc w:val="center"/>
        <w:rPr>
          <w:rFonts w:eastAsia="宋体" w:cs="仿宋"/>
          <w:b/>
          <w:bCs/>
          <w:color w:val="auto"/>
          <w:sz w:val="32"/>
          <w:szCs w:val="32"/>
          <w:highlight w:val="none"/>
        </w:rPr>
      </w:pPr>
      <w:r>
        <w:rPr>
          <w:rFonts w:eastAsia="宋体" w:cs="仿宋"/>
          <w:b/>
          <w:bCs/>
          <w:color w:val="auto"/>
          <w:sz w:val="32"/>
          <w:szCs w:val="32"/>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ajorEastAsia" w:hAnsiTheme="majorEastAsia" w:eastAsiaTheme="majorEastAsia"/>
          <w:color w:val="auto"/>
          <w:sz w:val="32"/>
          <w:szCs w:val="32"/>
          <w:highlight w:val="none"/>
        </w:rPr>
      </w:pPr>
      <w:r>
        <w:rPr>
          <w:rFonts w:hint="eastAsia" w:asciiTheme="majorEastAsia" w:hAnsiTheme="majorEastAsia" w:eastAsiaTheme="majorEastAsia"/>
          <w:color w:val="auto"/>
          <w:sz w:val="32"/>
          <w:szCs w:val="32"/>
          <w:highlight w:val="none"/>
        </w:rPr>
        <w:t xml:space="preserve">十二、资格证明文件（参考格式）</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（说明：投标人须按“招标公告”的要求，并按下列格式提供相应的资格证明文件）　　　</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格式一</w:t>
      </w:r>
      <w:r/>
    </w:p>
    <w:p>
      <w:pP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法人或者其他组织的营业执照等证明文件，自然人的身份证明</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格式二</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上一年度的</w:t>
      </w:r>
      <w:r>
        <w:rPr>
          <w:rFonts w:asciiTheme="minorEastAsia" w:hAnsiTheme="minorEastAsia" w:eastAsiaTheme="minorEastAsia"/>
          <w:color w:val="auto"/>
          <w:sz w:val="24"/>
          <w:szCs w:val="24"/>
          <w:highlight w:val="none"/>
        </w:rPr>
        <w:t xml:space="preserve">财务状况报告</w:t>
      </w:r>
      <w:r>
        <w:rPr>
          <w:rFonts w:hint="eastAsia" w:asciiTheme="minorEastAsia" w:hAnsiTheme="minorEastAsia" w:eastAsiaTheme="minorEastAsia"/>
          <w:color w:val="auto"/>
          <w:sz w:val="24"/>
          <w:szCs w:val="24"/>
          <w:highlight w:val="none"/>
        </w:rPr>
        <w:t xml:space="preserve">（成立不满一年不需提供）</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单位：万元</w:t>
      </w:r>
      <w:r/>
    </w:p>
    <w:tbl>
      <w:tblPr>
        <w:tblStyle w:val="738"/>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名称</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05"/>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注册资本</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67"/>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实收资本</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59"/>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全部资产总值</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37"/>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固定资产总值</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71"/>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流动资产</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63"/>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平均流动资产余额</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40"/>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速动资产</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61"/>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流动负债</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67"/>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年末所有者权益</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59"/>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营业收入</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51"/>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净利润</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56"/>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现金净流量</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13</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流动比率%</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（流动资产/流动负债）</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速动比率%</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（速动资产/流动负债）</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409"/>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15</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资产负债率%</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（总负债/总资产）</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16</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应收账款周转率%</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17</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存货周转率%</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（销售成本/平均存货）</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18</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资产报酬率%</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（收入/资产）</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r>
        <w:trPr>
          <w:trHeight w:val="630"/>
        </w:trPr>
        <w:tc>
          <w:tcPr>
            <w:tcW w:w="647"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19</w:t>
            </w:r>
            <w:r/>
          </w:p>
        </w:tc>
        <w:tc>
          <w:tcPr>
            <w:tcW w:w="3346"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净资产收益率</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（净利润/平均净资产）</w:t>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715" w:type="dxa"/>
            <w:vAlign w:val="center"/>
            <w:textDirection w:val="lrTb"/>
            <w:noWrap w:val="false"/>
          </w:tcPr>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r>
    </w:tbl>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w:t>
      </w:r>
      <w:r/>
    </w:p>
    <w:p>
      <w:pP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格式三</w:t>
      </w:r>
      <w:r/>
    </w:p>
    <w:p>
      <w:pP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依法</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缴纳税收” 和</w:t>
      </w: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社会保障资金”的相关材料</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格式四</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具备履行合同所必需的设备和专业技术能力的书面声明</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主要设备有：。</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主要专业技术能力有：。</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投标人名称（电子签章）：</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日期： __年月日</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br w:type="page" w:clear="all"/>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格式五</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参加政府采购活动前 3 年内在经营活动中没有重大违法记录的书面声明</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声  明</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投标人名称（电子签章）：</w:t>
      </w:r>
      <w:r/>
    </w:p>
    <w:p>
      <w:pP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日期：___年月日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rFonts w:hint="eastAsia"/>
          <w:color w:val="auto"/>
          <w:highlight w:val="none"/>
        </w:rPr>
        <w:t xml:space="preserve">格式六</w:t>
      </w:r>
      <w:r/>
    </w:p>
    <w:p>
      <w:pPr>
        <w:rPr>
          <w:color w:val="auto"/>
          <w:highlight w:val="none"/>
        </w:rPr>
      </w:pPr>
      <w:r>
        <w:rPr>
          <w:rFonts w:hint="eastAsia"/>
          <w:color w:val="auto"/>
          <w:highlight w:val="none"/>
        </w:rPr>
        <w:t xml:space="preserve">资质证书（复印件）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cs="仿宋" w:asciiTheme="minorEastAsia" w:hAnsiTheme="minorEastAsia" w:eastAsiaTheme="minorEastAsia"/>
          <w:b/>
          <w:bCs/>
          <w:color w:val="auto"/>
          <w:sz w:val="32"/>
          <w:szCs w:val="32"/>
          <w:highlight w:val="none"/>
        </w:rPr>
      </w:pPr>
      <w:r>
        <w:rPr>
          <w:rFonts w:hint="eastAsia" w:cs="仿宋" w:asciiTheme="minorEastAsia" w:hAnsiTheme="minorEastAsia" w:eastAsiaTheme="minorEastAsia"/>
          <w:b/>
          <w:bCs/>
          <w:color w:val="auto"/>
          <w:sz w:val="32"/>
          <w:szCs w:val="32"/>
          <w:highlight w:val="none"/>
        </w:rPr>
        <w:t xml:space="preserve">质疑函范本</w:t>
      </w:r>
      <w:r/>
    </w:p>
    <w:p>
      <w:pPr>
        <w:spacing w:before="240" w:line="360" w:lineRule="auto"/>
        <w:rPr>
          <w:rFonts w:hint="eastAsia"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 xml:space="preserve">一、质疑供应商基本信息</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质疑供应商：</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地址：邮编：</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联系人：联系电话：</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授权代表：</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联系电话：</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地址： 邮编：</w:t>
      </w:r>
      <w:r/>
    </w:p>
    <w:p>
      <w:pPr>
        <w:spacing w:line="360" w:lineRule="auto"/>
        <w:rPr>
          <w:rFonts w:hint="eastAsia"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 xml:space="preserve">二、质疑项目基本情况</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质疑项目的名称：</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质疑项目的编号：包号：</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采购人名称：</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采购文件获取日期：</w:t>
      </w:r>
      <w:r/>
    </w:p>
    <w:p>
      <w:pPr>
        <w:spacing w:line="360" w:lineRule="auto"/>
        <w:rPr>
          <w:rFonts w:hint="eastAsia"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 xml:space="preserve">三、质疑事项具体内容</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质疑事项1：</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事实依据：</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法律依据：</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u w:val="single"/>
        </w:rPr>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质疑事项2</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w:t>
      </w:r>
      <w:r/>
    </w:p>
    <w:p>
      <w:pPr>
        <w:spacing w:line="360" w:lineRule="auto"/>
        <w:rPr>
          <w:rFonts w:hint="eastAsia"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t xml:space="preserve">四、与质疑事项相关的质疑请求</w:t>
      </w:r>
      <w:r/>
    </w:p>
    <w:p>
      <w:pPr>
        <w:spacing w:line="360" w:lineRule="auto"/>
        <w:rPr>
          <w:rFonts w:hint="eastAsia" w:cs="仿宋" w:asciiTheme="minorEastAsia" w:hAnsiTheme="minorEastAsia" w:eastAsiaTheme="minorEastAsia"/>
          <w:color w:val="auto"/>
          <w:sz w:val="24"/>
          <w:szCs w:val="24"/>
          <w:highlight w:val="none"/>
          <w:u w:val="single"/>
        </w:rPr>
      </w:pPr>
      <w:r>
        <w:rPr>
          <w:rFonts w:hint="eastAsia" w:cs="仿宋" w:asciiTheme="minorEastAsia" w:hAnsiTheme="minorEastAsia" w:eastAsiaTheme="minorEastAsia"/>
          <w:color w:val="auto"/>
          <w:sz w:val="24"/>
          <w:szCs w:val="24"/>
          <w:highlight w:val="none"/>
        </w:rPr>
        <w:t xml:space="preserve">请求：</w:t>
      </w:r>
      <w:r/>
    </w:p>
    <w:p>
      <w:pPr>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r>
      <w:r/>
    </w:p>
    <w:p>
      <w:pPr>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r>
      <w:r/>
    </w:p>
    <w:p>
      <w:pPr>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签字(签章)：                   公章：                      </w:t>
      </w:r>
      <w:r/>
    </w:p>
    <w:p>
      <w:pPr>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日期：    </w:t>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r>
      <w:r/>
    </w:p>
    <w:p>
      <w:pPr>
        <w:spacing w:line="360" w:lineRule="auto"/>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r>
      <w:r/>
    </w:p>
    <w:p>
      <w:pPr>
        <w:rPr>
          <w:rFonts w:hint="eastAsia" w:cs="仿宋" w:asciiTheme="minorEastAsia" w:hAnsiTheme="minorEastAsia" w:eastAsiaTheme="minorEastAsia"/>
          <w:bCs/>
          <w:color w:val="auto"/>
          <w:sz w:val="24"/>
          <w:szCs w:val="24"/>
          <w:highlight w:val="none"/>
        </w:rPr>
      </w:pPr>
      <w:r>
        <w:rPr>
          <w:rFonts w:hint="eastAsia" w:cs="仿宋" w:asciiTheme="minorEastAsia" w:hAnsiTheme="minorEastAsia" w:eastAsiaTheme="minorEastAsia"/>
          <w:bCs/>
          <w:color w:val="auto"/>
          <w:sz w:val="24"/>
          <w:szCs w:val="24"/>
          <w:highlight w:val="none"/>
        </w:rPr>
      </w:r>
      <w:r/>
    </w:p>
    <w:p>
      <w:pPr>
        <w:spacing w:line="360" w:lineRule="auto"/>
        <w:rPr>
          <w:rFonts w:hint="eastAsia" w:cs="仿宋" w:asciiTheme="minorEastAsia" w:hAnsiTheme="minorEastAsia" w:eastAsiaTheme="minorEastAsia"/>
          <w:b/>
          <w:color w:val="auto"/>
          <w:sz w:val="24"/>
          <w:szCs w:val="24"/>
          <w:highlight w:val="none"/>
        </w:rPr>
      </w:pPr>
      <w:r>
        <w:rPr>
          <w:rFonts w:hint="eastAsia" w:cs="仿宋" w:asciiTheme="minorEastAsia" w:hAnsiTheme="minorEastAsia" w:eastAsiaTheme="minorEastAsia"/>
          <w:b/>
          <w:color w:val="auto"/>
          <w:sz w:val="24"/>
          <w:szCs w:val="24"/>
          <w:highlight w:val="none"/>
        </w:rPr>
        <w:t xml:space="preserve">质疑函制作说明：</w:t>
      </w:r>
      <w:r/>
    </w:p>
    <w:p>
      <w:pPr>
        <w:ind w:firstLine="480"/>
        <w:jc w:val="left"/>
        <w:spacing w:line="360" w:lineRule="auto"/>
        <w:widowControl/>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1.供应商提出质疑时，应提交质疑函和必要的证明材料。</w:t>
      </w:r>
      <w:r/>
    </w:p>
    <w:p>
      <w:pPr>
        <w:ind w:firstLine="480"/>
        <w:jc w:val="left"/>
        <w:spacing w:line="360" w:lineRule="auto"/>
        <w:widowControl/>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4.质疑函的质疑事项应具体、明确，并有必要的事实依据和法律依据。</w:t>
      </w:r>
      <w:r/>
    </w:p>
    <w:p>
      <w:pPr>
        <w:ind w:firstLine="480"/>
        <w:jc w:val="left"/>
        <w:spacing w:line="360" w:lineRule="auto"/>
        <w:widowControl/>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5.质疑函的质疑请求应与质疑事项相关。</w:t>
      </w:r>
      <w:r/>
    </w:p>
    <w:p>
      <w:pPr>
        <w:ind w:firstLine="480"/>
        <w:jc w:val="left"/>
        <w:spacing w:line="360" w:lineRule="auto"/>
        <w:widowControl/>
        <w:rPr>
          <w:rFonts w:hint="eastAsia" w:cs="仿宋" w:asciiTheme="minorEastAsia" w:hAnsiTheme="minorEastAsia" w:eastAsiaTheme="minorEastAsia"/>
          <w:color w:val="auto"/>
          <w:sz w:val="24"/>
          <w:szCs w:val="24"/>
          <w:highlight w:val="none"/>
        </w:rPr>
      </w:pPr>
      <w:r>
        <w:rPr>
          <w:rFonts w:hint="eastAsia" w:cs="仿宋" w:asciiTheme="minorEastAsia" w:hAnsiTheme="minorEastAsia" w:eastAsiaTheme="minorEastAsia"/>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footerReference w:type="default" r:id="rId13"/>
      <w:footnotePr/>
      <w:endnotePr/>
      <w:type w:val="nextPage"/>
      <w:pgSz w:w="11906" w:h="16838" w:orient="portrait"/>
      <w:pgMar w:top="1440" w:right="1274"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t xml:space="preserve">第 </w:t>
                    </w:r>
                    <w:r>
                      <w:fldChar w:fldCharType="begin"/>
                    </w:r>
                    <w:r>
                      <w:instrText xml:space="preserve"> PAGE  \* MERGEFORMAT </w:instrText>
                    </w:r>
                    <w:r>
                      <w:fldChar w:fldCharType="separate"/>
                    </w:r>
                    <w:r>
                      <w:t xml:space="preserve">40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30" w:hanging="420"/>
      </w:pPr>
      <w:rPr>
        <w:rFonts w:cs="Times New Roman"/>
      </w:rPr>
    </w:lvl>
    <w:lvl w:ilvl="1">
      <w:start w:val="1"/>
      <w:numFmt w:val="decimal"/>
      <w:isLgl w:val="false"/>
      <w:suff w:val="nothing"/>
      <w:lvlText w:val="（%2）"/>
      <w:lvlJc w:val="left"/>
      <w:pPr>
        <w:ind w:left="360" w:hanging="360"/>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0"/>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uiPriority w:val="0"/>
    <w:qFormat/>
    <w:pPr>
      <w:jc w:val="both"/>
      <w:widowControl w:val="off"/>
    </w:pPr>
    <w:rPr>
      <w:rFonts w:hint="default" w:ascii="Times New Roman" w:hAnsi="Times New Roman" w:eastAsia="楷体_GB2312" w:cs="Times New Roman"/>
      <w:sz w:val="26"/>
      <w:lang w:val="en-US" w:eastAsia="zh-CN" w:bidi="ar-SA"/>
    </w:rPr>
  </w:style>
  <w:style w:type="paragraph" w:styleId="728">
    <w:name w:val="Heading 1"/>
    <w:basedOn w:val="727"/>
    <w:next w:val="727"/>
    <w:link w:val="772"/>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73"/>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74"/>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75"/>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76"/>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7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9"/>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80"/>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0"/>
    <w:semiHidden/>
    <w:qFormat/>
  </w:style>
  <w:style w:type="table" w:styleId="738" w:default="1">
    <w:name w:val="Normal Table"/>
    <w:uiPriority w:val="0"/>
    <w:semiHidden/>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Normal Indent"/>
    <w:basedOn w:val="727"/>
    <w:uiPriority w:val="0"/>
    <w:unhideWhenUsed/>
    <w:qFormat/>
    <w:pPr>
      <w:ind w:firstLine="420"/>
      <w:jc w:val="left"/>
      <w:widowControl/>
    </w:pPr>
    <w:rPr>
      <w:sz w:val="20"/>
    </w:rPr>
  </w:style>
  <w:style w:type="paragraph" w:styleId="741">
    <w:name w:val="Caption"/>
    <w:basedOn w:val="727"/>
    <w:next w:val="72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2">
    <w:name w:val="annotation text"/>
    <w:basedOn w:val="727"/>
    <w:uiPriority w:val="99"/>
    <w:unhideWhenUsed/>
    <w:qFormat/>
    <w:pPr>
      <w:jc w:val="left"/>
    </w:pPr>
  </w:style>
  <w:style w:type="paragraph" w:styleId="743">
    <w:name w:val="Body Text"/>
    <w:basedOn w:val="727"/>
    <w:next w:val="727"/>
    <w:uiPriority w:val="0"/>
    <w:qFormat/>
    <w:rPr>
      <w:rFonts w:ascii="楷体_GB2312" w:hAnsi="Arial"/>
      <w:sz w:val="28"/>
    </w:rPr>
  </w:style>
  <w:style w:type="paragraph" w:styleId="744">
    <w:name w:val="Body Text Indent"/>
    <w:basedOn w:val="727"/>
    <w:uiPriority w:val="0"/>
    <w:qFormat/>
    <w:pPr>
      <w:ind w:firstLine="645"/>
    </w:pPr>
    <w:rPr>
      <w:rFonts w:ascii="楷体_GB2312" w:hAnsi="Calibri"/>
      <w:sz w:val="32"/>
      <w:szCs w:val="22"/>
    </w:rPr>
  </w:style>
  <w:style w:type="paragraph" w:styleId="745">
    <w:name w:val="toc 5"/>
    <w:basedOn w:val="727"/>
    <w:next w:val="727"/>
    <w:uiPriority w:val="39"/>
    <w:unhideWhenUsed/>
    <w:qFormat/>
    <w:pPr>
      <w:ind w:left="1134" w:right="0" w:firstLine="0"/>
      <w:spacing w:after="57"/>
    </w:pPr>
  </w:style>
  <w:style w:type="paragraph" w:styleId="746">
    <w:name w:val="toc 3"/>
    <w:basedOn w:val="727"/>
    <w:next w:val="727"/>
    <w:uiPriority w:val="39"/>
    <w:unhideWhenUsed/>
    <w:qFormat/>
    <w:pPr>
      <w:ind w:left="567" w:right="0" w:firstLine="0"/>
      <w:spacing w:after="57"/>
    </w:pPr>
  </w:style>
  <w:style w:type="paragraph" w:styleId="747">
    <w:name w:val="toc 8"/>
    <w:basedOn w:val="727"/>
    <w:next w:val="727"/>
    <w:uiPriority w:val="39"/>
    <w:unhideWhenUsed/>
    <w:qFormat/>
    <w:pPr>
      <w:ind w:left="1984" w:right="0" w:firstLine="0"/>
      <w:spacing w:after="57"/>
    </w:pPr>
  </w:style>
  <w:style w:type="paragraph" w:styleId="748">
    <w:name w:val="endnote text"/>
    <w:basedOn w:val="727"/>
    <w:link w:val="917"/>
    <w:uiPriority w:val="99"/>
    <w:semiHidden/>
    <w:unhideWhenUsed/>
    <w:qFormat/>
    <w:pPr>
      <w:spacing w:after="0" w:line="240" w:lineRule="auto"/>
    </w:pPr>
    <w:rPr>
      <w:sz w:val="20"/>
    </w:rPr>
  </w:style>
  <w:style w:type="paragraph" w:styleId="749">
    <w:name w:val="Footer"/>
    <w:basedOn w:val="727"/>
    <w:uiPriority w:val="99"/>
    <w:unhideWhenUsed/>
    <w:qFormat/>
    <w:pPr>
      <w:tabs>
        <w:tab w:val="center" w:pos="7143" w:leader="none"/>
        <w:tab w:val="right" w:pos="14287" w:leader="none"/>
      </w:tabs>
    </w:pPr>
  </w:style>
  <w:style w:type="paragraph" w:styleId="750">
    <w:name w:val="envelope return"/>
    <w:basedOn w:val="751"/>
    <w:uiPriority w:val="99"/>
    <w:unhideWhenUsed/>
    <w:qFormat/>
    <w:rPr>
      <w:rFonts w:ascii="Arial" w:hAnsi="Arial"/>
    </w:rPr>
  </w:style>
  <w:style w:type="paragraph" w:styleId="751" w:customStyle="1">
    <w:name w:val="Normal_19"/>
    <w:next w:val="7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2" w:customStyle="1">
    <w:name w:val="正文文本缩进1"/>
    <w:basedOn w:val="727"/>
    <w:next w:val="750"/>
    <w:uiPriority w:val="0"/>
    <w:unhideWhenUsed/>
    <w:qFormat/>
    <w:pPr>
      <w:ind w:firstLine="570"/>
    </w:pPr>
    <w:rPr>
      <w:rFonts w:ascii="宋体" w:eastAsia="宋体"/>
      <w:sz w:val="28"/>
    </w:rPr>
  </w:style>
  <w:style w:type="paragraph" w:styleId="753">
    <w:name w:val="Header"/>
    <w:basedOn w:val="727"/>
    <w:link w:val="788"/>
    <w:uiPriority w:val="99"/>
    <w:unhideWhenUsed/>
    <w:qFormat/>
    <w:pPr>
      <w:spacing w:after="0" w:line="240" w:lineRule="auto"/>
      <w:tabs>
        <w:tab w:val="center" w:pos="7143" w:leader="none"/>
        <w:tab w:val="right" w:pos="14287" w:leader="none"/>
      </w:tabs>
    </w:pPr>
  </w:style>
  <w:style w:type="paragraph" w:styleId="754">
    <w:name w:val="toc 1"/>
    <w:basedOn w:val="727"/>
    <w:next w:val="727"/>
    <w:uiPriority w:val="39"/>
    <w:unhideWhenUsed/>
    <w:qFormat/>
    <w:pPr>
      <w:ind w:left="0" w:right="0" w:firstLine="0"/>
      <w:spacing w:after="57"/>
    </w:pPr>
  </w:style>
  <w:style w:type="paragraph" w:styleId="755">
    <w:name w:val="toc 4"/>
    <w:basedOn w:val="727"/>
    <w:next w:val="727"/>
    <w:uiPriority w:val="39"/>
    <w:unhideWhenUsed/>
    <w:qFormat/>
    <w:pPr>
      <w:ind w:left="850" w:right="0" w:firstLine="0"/>
      <w:spacing w:after="57"/>
    </w:pPr>
  </w:style>
  <w:style w:type="paragraph" w:styleId="756">
    <w:name w:val="Subtitle"/>
    <w:basedOn w:val="727"/>
    <w:next w:val="727"/>
    <w:link w:val="783"/>
    <w:uiPriority w:val="11"/>
    <w:qFormat/>
    <w:pPr>
      <w:spacing w:before="200" w:after="200"/>
    </w:pPr>
    <w:rPr>
      <w:sz w:val="24"/>
      <w:szCs w:val="24"/>
    </w:rPr>
  </w:style>
  <w:style w:type="paragraph" w:styleId="757">
    <w:name w:val="footnote text"/>
    <w:basedOn w:val="727"/>
    <w:link w:val="916"/>
    <w:uiPriority w:val="99"/>
    <w:semiHidden/>
    <w:unhideWhenUsed/>
    <w:qFormat/>
    <w:pPr>
      <w:spacing w:after="40" w:line="240" w:lineRule="auto"/>
    </w:pPr>
    <w:rPr>
      <w:sz w:val="18"/>
    </w:rPr>
  </w:style>
  <w:style w:type="paragraph" w:styleId="758">
    <w:name w:val="toc 6"/>
    <w:basedOn w:val="727"/>
    <w:next w:val="727"/>
    <w:uiPriority w:val="39"/>
    <w:unhideWhenUsed/>
    <w:qFormat/>
    <w:pPr>
      <w:ind w:left="1417" w:right="0" w:firstLine="0"/>
      <w:spacing w:after="57"/>
    </w:pPr>
  </w:style>
  <w:style w:type="paragraph" w:styleId="759">
    <w:name w:val="table of figures"/>
    <w:basedOn w:val="727"/>
    <w:next w:val="727"/>
    <w:uiPriority w:val="99"/>
    <w:unhideWhenUsed/>
    <w:qFormat/>
    <w:pPr>
      <w:spacing w:after="0" w:afterAutospacing="0"/>
    </w:pPr>
  </w:style>
  <w:style w:type="paragraph" w:styleId="760">
    <w:name w:val="toc 2"/>
    <w:basedOn w:val="727"/>
    <w:next w:val="727"/>
    <w:uiPriority w:val="39"/>
    <w:unhideWhenUsed/>
    <w:qFormat/>
    <w:pPr>
      <w:ind w:left="283" w:right="0" w:firstLine="0"/>
      <w:spacing w:after="57"/>
    </w:pPr>
  </w:style>
  <w:style w:type="paragraph" w:styleId="761">
    <w:name w:val="toc 9"/>
    <w:basedOn w:val="727"/>
    <w:next w:val="727"/>
    <w:uiPriority w:val="39"/>
    <w:unhideWhenUsed/>
    <w:qFormat/>
    <w:pPr>
      <w:ind w:left="2268" w:right="0" w:firstLine="0"/>
      <w:spacing w:after="57"/>
    </w:pPr>
  </w:style>
  <w:style w:type="paragraph" w:styleId="762">
    <w:name w:val="HTML Preformatted"/>
    <w:basedOn w:val="727"/>
    <w:uiPriority w:val="0"/>
    <w:unhideWhenUsed/>
    <w:qFormat/>
    <w:rPr>
      <w:rFonts w:ascii="Courier New" w:hAnsi="Courier New" w:cs="Courier New"/>
      <w:sz w:val="20"/>
    </w:rPr>
  </w:style>
  <w:style w:type="paragraph" w:styleId="763">
    <w:name w:val="Normal (Web)"/>
    <w:basedOn w:val="727"/>
    <w:uiPriority w:val="0"/>
    <w:qFormat/>
    <w:pPr>
      <w:jc w:val="left"/>
      <w:spacing w:before="100" w:beforeAutospacing="1" w:after="100" w:afterAutospacing="1"/>
      <w:widowControl/>
    </w:pPr>
    <w:rPr>
      <w:rFonts w:ascii="宋体" w:hAnsi="宋体"/>
      <w:color w:val="000000"/>
      <w:sz w:val="24"/>
      <w:szCs w:val="24"/>
    </w:rPr>
  </w:style>
  <w:style w:type="paragraph" w:styleId="764">
    <w:name w:val="Title"/>
    <w:basedOn w:val="727"/>
    <w:next w:val="727"/>
    <w:link w:val="782"/>
    <w:uiPriority w:val="10"/>
    <w:qFormat/>
    <w:pPr>
      <w:contextualSpacing/>
      <w:spacing w:before="300" w:after="200"/>
    </w:pPr>
    <w:rPr>
      <w:sz w:val="48"/>
      <w:szCs w:val="48"/>
    </w:rPr>
  </w:style>
  <w:style w:type="paragraph" w:styleId="765">
    <w:name w:val="Body Text First Indent 2"/>
    <w:basedOn w:val="744"/>
    <w:uiPriority w:val="99"/>
    <w:unhideWhenUsed/>
    <w:qFormat/>
    <w:pPr>
      <w:ind w:firstLine="200"/>
    </w:pPr>
  </w:style>
  <w:style w:type="table" w:styleId="766">
    <w:name w:val="Table Grid"/>
    <w:basedOn w:val="7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7">
    <w:name w:val="Strong"/>
    <w:basedOn w:val="737"/>
    <w:uiPriority w:val="22"/>
    <w:qFormat/>
    <w:rPr>
      <w:b/>
    </w:rPr>
  </w:style>
  <w:style w:type="character" w:styleId="768">
    <w:name w:val="endnote reference"/>
    <w:basedOn w:val="737"/>
    <w:uiPriority w:val="99"/>
    <w:semiHidden/>
    <w:unhideWhenUsed/>
    <w:qFormat/>
    <w:rPr>
      <w:vertAlign w:val="superscript"/>
    </w:rPr>
  </w:style>
  <w:style w:type="character" w:styleId="769">
    <w:name w:val="Emphasis"/>
    <w:uiPriority w:val="0"/>
    <w:qFormat/>
    <w:rPr>
      <w:rFonts w:ascii="Times New Roman" w:hAnsi="Times New Roman" w:eastAsia="宋体" w:cs="Times New Roman"/>
      <w:i/>
    </w:rPr>
  </w:style>
  <w:style w:type="character" w:styleId="770">
    <w:name w:val="Hyperlink"/>
    <w:uiPriority w:val="99"/>
    <w:unhideWhenUsed/>
    <w:qFormat/>
    <w:rPr>
      <w:color w:val="0563c1"/>
      <w:u w:val="single"/>
    </w:rPr>
  </w:style>
  <w:style w:type="character" w:styleId="771">
    <w:name w:val="footnote reference"/>
    <w:basedOn w:val="737"/>
    <w:uiPriority w:val="99"/>
    <w:unhideWhenUsed/>
    <w:qFormat/>
    <w:rPr>
      <w:vertAlign w:val="superscript"/>
    </w:rPr>
  </w:style>
  <w:style w:type="character" w:styleId="772" w:customStyle="1">
    <w:name w:val="Heading 1 Char"/>
    <w:basedOn w:val="737"/>
    <w:link w:val="728"/>
    <w:uiPriority w:val="9"/>
    <w:qFormat/>
    <w:rPr>
      <w:rFonts w:ascii="Arial" w:hAnsi="Arial" w:eastAsia="Arial" w:cs="Arial"/>
      <w:sz w:val="40"/>
      <w:szCs w:val="40"/>
    </w:rPr>
  </w:style>
  <w:style w:type="character" w:styleId="773" w:customStyle="1">
    <w:name w:val="Heading 2 Char"/>
    <w:basedOn w:val="737"/>
    <w:link w:val="729"/>
    <w:uiPriority w:val="9"/>
    <w:qFormat/>
    <w:rPr>
      <w:rFonts w:ascii="Arial" w:hAnsi="Arial" w:eastAsia="Arial" w:cs="Arial"/>
      <w:sz w:val="34"/>
    </w:rPr>
  </w:style>
  <w:style w:type="character" w:styleId="774" w:customStyle="1">
    <w:name w:val="Heading 3 Char"/>
    <w:basedOn w:val="737"/>
    <w:link w:val="730"/>
    <w:uiPriority w:val="9"/>
    <w:qFormat/>
    <w:rPr>
      <w:rFonts w:ascii="Arial" w:hAnsi="Arial" w:eastAsia="Arial" w:cs="Arial"/>
      <w:sz w:val="30"/>
      <w:szCs w:val="30"/>
    </w:rPr>
  </w:style>
  <w:style w:type="character" w:styleId="775" w:customStyle="1">
    <w:name w:val="Heading 4 Char"/>
    <w:basedOn w:val="737"/>
    <w:link w:val="731"/>
    <w:uiPriority w:val="9"/>
    <w:qFormat/>
    <w:rPr>
      <w:rFonts w:ascii="Arial" w:hAnsi="Arial" w:eastAsia="Arial" w:cs="Arial"/>
      <w:b/>
      <w:bCs/>
      <w:sz w:val="26"/>
      <w:szCs w:val="26"/>
    </w:rPr>
  </w:style>
  <w:style w:type="character" w:styleId="776" w:customStyle="1">
    <w:name w:val="Heading 5 Char"/>
    <w:basedOn w:val="737"/>
    <w:link w:val="732"/>
    <w:uiPriority w:val="9"/>
    <w:qFormat/>
    <w:rPr>
      <w:rFonts w:ascii="Arial" w:hAnsi="Arial" w:eastAsia="Arial" w:cs="Arial"/>
      <w:b/>
      <w:bCs/>
      <w:sz w:val="24"/>
      <w:szCs w:val="24"/>
    </w:rPr>
  </w:style>
  <w:style w:type="character" w:styleId="777" w:customStyle="1">
    <w:name w:val="Heading 6 Char"/>
    <w:basedOn w:val="737"/>
    <w:link w:val="733"/>
    <w:uiPriority w:val="9"/>
    <w:qFormat/>
    <w:rPr>
      <w:rFonts w:ascii="Arial" w:hAnsi="Arial" w:eastAsia="Arial" w:cs="Arial"/>
      <w:b/>
      <w:bCs/>
      <w:sz w:val="22"/>
      <w:szCs w:val="22"/>
    </w:rPr>
  </w:style>
  <w:style w:type="character" w:styleId="778" w:customStyle="1">
    <w:name w:val="Heading 7 Char"/>
    <w:basedOn w:val="737"/>
    <w:link w:val="734"/>
    <w:uiPriority w:val="9"/>
    <w:qFormat/>
    <w:rPr>
      <w:rFonts w:ascii="Arial" w:hAnsi="Arial" w:eastAsia="Arial" w:cs="Arial"/>
      <w:b/>
      <w:bCs/>
      <w:i/>
      <w:iCs/>
      <w:sz w:val="22"/>
      <w:szCs w:val="22"/>
    </w:rPr>
  </w:style>
  <w:style w:type="character" w:styleId="779" w:customStyle="1">
    <w:name w:val="Heading 8 Char"/>
    <w:basedOn w:val="737"/>
    <w:link w:val="735"/>
    <w:uiPriority w:val="9"/>
    <w:qFormat/>
    <w:rPr>
      <w:rFonts w:ascii="Arial" w:hAnsi="Arial" w:eastAsia="Arial" w:cs="Arial"/>
      <w:i/>
      <w:iCs/>
      <w:sz w:val="22"/>
      <w:szCs w:val="22"/>
    </w:rPr>
  </w:style>
  <w:style w:type="character" w:styleId="780" w:customStyle="1">
    <w:name w:val="Heading 9 Char"/>
    <w:basedOn w:val="737"/>
    <w:link w:val="736"/>
    <w:uiPriority w:val="9"/>
    <w:qFormat/>
    <w:rPr>
      <w:rFonts w:ascii="Arial" w:hAnsi="Arial" w:eastAsia="Arial" w:cs="Arial"/>
      <w:i/>
      <w:iCs/>
      <w:sz w:val="21"/>
      <w:szCs w:val="21"/>
    </w:rPr>
  </w:style>
  <w:style w:type="paragraph" w:styleId="781">
    <w:name w:val="No Spacing"/>
    <w:uiPriority w:val="1"/>
    <w:qFormat/>
    <w:pPr>
      <w:spacing w:before="0" w:after="0" w:line="240" w:lineRule="auto"/>
    </w:pPr>
    <w:rPr>
      <w:rFonts w:hint="default" w:asciiTheme="minorHAnsi" w:hAnsiTheme="minorHAnsi" w:eastAsiaTheme="minorEastAsia" w:cstheme="minorBidi"/>
    </w:rPr>
  </w:style>
  <w:style w:type="character" w:styleId="782" w:customStyle="1">
    <w:name w:val="Title Char"/>
    <w:basedOn w:val="737"/>
    <w:link w:val="764"/>
    <w:uiPriority w:val="10"/>
    <w:qFormat/>
    <w:rPr>
      <w:sz w:val="48"/>
      <w:szCs w:val="48"/>
    </w:rPr>
  </w:style>
  <w:style w:type="character" w:styleId="783" w:customStyle="1">
    <w:name w:val="Subtitle Char"/>
    <w:basedOn w:val="737"/>
    <w:link w:val="756"/>
    <w:uiPriority w:val="11"/>
    <w:qFormat/>
    <w:rPr>
      <w:sz w:val="24"/>
      <w:szCs w:val="24"/>
    </w:rPr>
  </w:style>
  <w:style w:type="paragraph" w:styleId="784">
    <w:name w:val="Quote"/>
    <w:basedOn w:val="727"/>
    <w:next w:val="727"/>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27"/>
    <w:next w:val="727"/>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basedOn w:val="737"/>
    <w:link w:val="753"/>
    <w:uiPriority w:val="99"/>
    <w:qFormat/>
  </w:style>
  <w:style w:type="character" w:styleId="789" w:customStyle="1">
    <w:name w:val="Footer Char"/>
    <w:basedOn w:val="737"/>
    <w:uiPriority w:val="99"/>
    <w:qFormat/>
  </w:style>
  <w:style w:type="character" w:styleId="790" w:customStyle="1">
    <w:name w:val="Caption Char"/>
    <w:uiPriority w:val="99"/>
    <w:qFormat/>
  </w:style>
  <w:style w:type="table" w:styleId="791" w:customStyle="1">
    <w:name w:val="Table Grid Light"/>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3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3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3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3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3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3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3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3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3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3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3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3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1" w:customStyle="1">
    <w:name w:val="Grid Table 3"/>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3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3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3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3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3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3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3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0" w:customStyle="1">
    <w:name w:val="Grid Table 4 - Accent 2"/>
    <w:basedOn w:val="73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1" w:customStyle="1">
    <w:name w:val="Grid Table 4 - Accent 3"/>
    <w:basedOn w:val="73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2" w:customStyle="1">
    <w:name w:val="Grid Table 4 - Accent 4"/>
    <w:basedOn w:val="73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3" w:customStyle="1">
    <w:name w:val="Grid Table 4 - Accent 5"/>
    <w:basedOn w:val="73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4" w:customStyle="1">
    <w:name w:val="Grid Table 4 - Accent 6"/>
    <w:basedOn w:val="73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5" w:customStyle="1">
    <w:name w:val="Grid Table 5 Dark"/>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7" w:customStyle="1">
    <w:name w:val="Grid Table 5 Dark - Accent 2"/>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8" w:customStyle="1">
    <w:name w:val="Grid Table 5 Dark - Accent 3"/>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9" w:customStyle="1">
    <w:name w:val="Grid Table 5 Dark- Accent 4"/>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0" w:customStyle="1">
    <w:name w:val="Grid Table 5 Dark - Accent 5"/>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1" w:customStyle="1">
    <w:name w:val="Grid Table 5 Dark - Accent 6"/>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2" w:customStyle="1">
    <w:name w:val="Grid Table 6 Colorful"/>
    <w:basedOn w:val="7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3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3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3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6" w:customStyle="1">
    <w:name w:val="Grid Table 6 Colorful - Accent 4"/>
    <w:basedOn w:val="73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3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8" w:customStyle="1">
    <w:name w:val="Grid Table 6 Colorful - Accent 6"/>
    <w:basedOn w:val="73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9" w:customStyle="1">
    <w:name w:val="Grid Table 7 Colorful"/>
    <w:basedOn w:val="7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3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3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3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3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3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3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basedOn w:val="7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3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3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3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3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3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3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List Table 2"/>
    <w:basedOn w:val="7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3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5" w:customStyle="1">
    <w:name w:val="List Table 2 - Accent 2"/>
    <w:basedOn w:val="73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6" w:customStyle="1">
    <w:name w:val="List Table 2 - Accent 3"/>
    <w:basedOn w:val="73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7" w:customStyle="1">
    <w:name w:val="List Table 2 - Accent 4"/>
    <w:basedOn w:val="73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8" w:customStyle="1">
    <w:name w:val="List Table 2 - Accent 5"/>
    <w:basedOn w:val="73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9" w:customStyle="1">
    <w:name w:val="List Table 2 - Accent 6"/>
    <w:basedOn w:val="73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0" w:customStyle="1">
    <w:name w:val="List Table 3"/>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3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2" w:customStyle="1">
    <w:name w:val="List Table 3 - Accent 2"/>
    <w:basedOn w:val="73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3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3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3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3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7" w:customStyle="1">
    <w:name w:val="List Table 4"/>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3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9" w:customStyle="1">
    <w:name w:val="List Table 4 - Accent 2"/>
    <w:basedOn w:val="73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0" w:customStyle="1">
    <w:name w:val="List Table 4 - Accent 3"/>
    <w:basedOn w:val="73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1" w:customStyle="1">
    <w:name w:val="List Table 4 - Accent 4"/>
    <w:basedOn w:val="73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2" w:customStyle="1">
    <w:name w:val="List Table 4 - Accent 5"/>
    <w:basedOn w:val="73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3" w:customStyle="1">
    <w:name w:val="List Table 4 - Accent 6"/>
    <w:basedOn w:val="73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4" w:customStyle="1">
    <w:name w:val="List Table 5 Dark"/>
    <w:basedOn w:val="7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3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3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3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3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3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3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7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3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3" w:customStyle="1">
    <w:name w:val="List Table 6 Colorful - Accent 2"/>
    <w:basedOn w:val="73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4" w:customStyle="1">
    <w:name w:val="List Table 6 Colorful - Accent 3"/>
    <w:basedOn w:val="73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5" w:customStyle="1">
    <w:name w:val="List Table 6 Colorful - Accent 4"/>
    <w:basedOn w:val="73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6" w:customStyle="1">
    <w:name w:val="List Table 6 Colorful - Accent 5"/>
    <w:basedOn w:val="73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7" w:customStyle="1">
    <w:name w:val="List Table 6 Colorful - Accent 6"/>
    <w:basedOn w:val="73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8" w:customStyle="1">
    <w:name w:val="List Table 7 Colorful"/>
    <w:basedOn w:val="7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3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3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3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3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3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3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7" w:customStyle="1">
    <w:name w:val="Lined - Accent 2"/>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8" w:customStyle="1">
    <w:name w:val="Lined - Accent 3"/>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9" w:customStyle="1">
    <w:name w:val="Lined - Accent 4"/>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0" w:customStyle="1">
    <w:name w:val="Lined - Accent 5"/>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1" w:customStyle="1">
    <w:name w:val="Lined - Accent 6"/>
    <w:basedOn w:val="73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2" w:customStyle="1">
    <w:name w:val="Bordered &amp; Lined - Accent"/>
    <w:basedOn w:val="73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3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4" w:customStyle="1">
    <w:name w:val="Bordered &amp; Lined - Accent 2"/>
    <w:basedOn w:val="73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5" w:customStyle="1">
    <w:name w:val="Bordered &amp; Lined - Accent 3"/>
    <w:basedOn w:val="73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6" w:customStyle="1">
    <w:name w:val="Bordered &amp; Lined - Accent 4"/>
    <w:basedOn w:val="73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7" w:customStyle="1">
    <w:name w:val="Bordered &amp; Lined - Accent 5"/>
    <w:basedOn w:val="73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8" w:customStyle="1">
    <w:name w:val="Bordered &amp; Lined - Accent 6"/>
    <w:basedOn w:val="73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9" w:customStyle="1">
    <w:name w:val="Bordered"/>
    <w:basedOn w:val="73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3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1" w:customStyle="1">
    <w:name w:val="Bordered - Accent 2"/>
    <w:basedOn w:val="73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2" w:customStyle="1">
    <w:name w:val="Bordered - Accent 3"/>
    <w:basedOn w:val="73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3" w:customStyle="1">
    <w:name w:val="Bordered - Accent 4"/>
    <w:basedOn w:val="73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4" w:customStyle="1">
    <w:name w:val="Bordered - Accent 5"/>
    <w:basedOn w:val="73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5" w:customStyle="1">
    <w:name w:val="Bordered - Accent 6"/>
    <w:basedOn w:val="73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6" w:customStyle="1">
    <w:name w:val="Footnote Text Char"/>
    <w:link w:val="757"/>
    <w:uiPriority w:val="99"/>
    <w:qFormat/>
    <w:rPr>
      <w:sz w:val="18"/>
    </w:rPr>
  </w:style>
  <w:style w:type="character" w:styleId="917" w:customStyle="1">
    <w:name w:val="Endnote Text Char"/>
    <w:link w:val="748"/>
    <w:uiPriority w:val="99"/>
    <w:qFormat/>
    <w:rPr>
      <w:sz w:val="20"/>
    </w:rPr>
  </w:style>
  <w:style w:type="paragraph" w:styleId="918" w:customStyle="1">
    <w:name w:val="TOC Heading"/>
    <w:uiPriority w:val="39"/>
    <w:unhideWhenUsed/>
    <w:qFormat/>
    <w:rPr>
      <w:rFonts w:hint="default" w:asciiTheme="minorHAnsi" w:hAnsiTheme="minorHAnsi" w:eastAsiaTheme="minorEastAsia" w:cstheme="minorBidi"/>
    </w:rPr>
  </w:style>
  <w:style w:type="paragraph" w:styleId="919" w:customStyle="1">
    <w:name w:val="正文首行缩进 21"/>
    <w:basedOn w:val="752"/>
    <w:uiPriority w:val="99"/>
    <w:unhideWhenUsed/>
    <w:qFormat/>
    <w:pPr>
      <w:ind w:firstLine="420"/>
    </w:pPr>
  </w:style>
  <w:style w:type="paragraph" w:styleId="920" w:customStyle="1">
    <w:name w:val="目录 11"/>
    <w:basedOn w:val="727"/>
    <w:next w:val="727"/>
    <w:uiPriority w:val="0"/>
    <w:unhideWhenUsed/>
    <w:qFormat/>
    <w:pPr>
      <w:jc w:val="left"/>
    </w:pPr>
    <w:rPr>
      <w:sz w:val="24"/>
    </w:rPr>
  </w:style>
  <w:style w:type="paragraph" w:styleId="921" w:customStyle="1">
    <w:name w:val="标题 21"/>
    <w:basedOn w:val="727"/>
    <w:next w:val="727"/>
    <w:uiPriority w:val="0"/>
    <w:qFormat/>
    <w:pPr>
      <w:keepLines/>
      <w:keepNext/>
      <w:spacing w:before="260" w:after="260" w:line="416" w:lineRule="auto"/>
      <w:outlineLvl w:val="1"/>
    </w:pPr>
    <w:rPr>
      <w:rFonts w:ascii="Cambria" w:hAnsi="Cambria" w:eastAsia="宋体"/>
      <w:b/>
      <w:bCs/>
      <w:sz w:val="32"/>
      <w:szCs w:val="32"/>
    </w:rPr>
  </w:style>
  <w:style w:type="table" w:styleId="922" w:customStyle="1">
    <w:name w:val="Table Normal"/>
    <w:uiPriority w:val="0"/>
    <w:semiHidden/>
    <w:unhideWhenUsed/>
    <w:qFormat/>
    <w:tblPr>
      <w:tblCellMar>
        <w:left w:w="0" w:type="dxa"/>
        <w:top w:w="0" w:type="dxa"/>
        <w:right w:w="0" w:type="dxa"/>
        <w:bottom w:w="0" w:type="dxa"/>
      </w:tblCellMar>
    </w:tblPr>
  </w:style>
  <w:style w:type="paragraph" w:styleId="92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4" w:customStyle="1">
    <w:name w:val="纯文本1111"/>
    <w:basedOn w:val="727"/>
    <w:next w:val="925"/>
    <w:uiPriority w:val="0"/>
    <w:unhideWhenUsed/>
    <w:qFormat/>
    <w:rPr>
      <w:rFonts w:ascii="宋体" w:hAnsi="Courier New"/>
    </w:rPr>
  </w:style>
  <w:style w:type="paragraph" w:styleId="925" w:customStyle="1">
    <w:name w:val="正文缩进1"/>
    <w:basedOn w:val="727"/>
    <w:uiPriority w:val="0"/>
    <w:unhideWhenUsed/>
    <w:qFormat/>
    <w:pPr>
      <w:ind w:firstLine="420"/>
      <w:jc w:val="left"/>
    </w:pPr>
    <w:rPr>
      <w:sz w:val="24"/>
    </w:rPr>
  </w:style>
  <w:style w:type="paragraph" w:styleId="926">
    <w:name w:val="List Paragraph"/>
    <w:basedOn w:val="727"/>
    <w:uiPriority w:val="0"/>
    <w:qFormat/>
    <w:pPr>
      <w:ind w:firstLine="420"/>
    </w:pPr>
  </w:style>
  <w:style w:type="paragraph" w:styleId="927" w:customStyle="1">
    <w:name w:val="首行缩进"/>
    <w:basedOn w:val="727"/>
    <w:uiPriority w:val="0"/>
    <w:qFormat/>
    <w:pPr>
      <w:ind w:firstLine="480"/>
      <w:spacing w:line="360" w:lineRule="auto"/>
    </w:pPr>
    <w:rPr>
      <w:rFonts w:hAnsi="宋体" w:eastAsia="宋体" w:cs="宋体"/>
      <w:sz w:val="24"/>
      <w:szCs w:val="24"/>
    </w:rPr>
  </w:style>
  <w:style w:type="paragraph" w:styleId="928" w:customStyle="1">
    <w:name w:val="标题 31"/>
    <w:basedOn w:val="727"/>
    <w:next w:val="727"/>
    <w:uiPriority w:val="0"/>
    <w:qFormat/>
    <w:pPr>
      <w:keepLines/>
      <w:keepNext/>
      <w:spacing w:before="260" w:after="260" w:line="416" w:lineRule="auto"/>
      <w:outlineLvl w:val="2"/>
    </w:pPr>
    <w:rPr>
      <w:b/>
      <w:bCs/>
      <w:sz w:val="32"/>
      <w:szCs w:val="32"/>
    </w:rPr>
  </w:style>
  <w:style w:type="paragraph" w:styleId="929" w:customStyle="1">
    <w:name w:val="标题 11"/>
    <w:basedOn w:val="727"/>
    <w:next w:val="727"/>
    <w:uiPriority w:val="0"/>
    <w:qFormat/>
    <w:pPr>
      <w:keepLines/>
      <w:keepNext/>
      <w:spacing w:before="340" w:after="330" w:line="578" w:lineRule="auto"/>
      <w:outlineLvl w:val="0"/>
    </w:pPr>
    <w:rPr>
      <w:b/>
      <w:sz w:val="44"/>
    </w:rPr>
  </w:style>
  <w:style w:type="paragraph" w:styleId="930" w:customStyle="1">
    <w:name w:val="标题二、"/>
    <w:basedOn w:val="727"/>
    <w:uiPriority w:val="99"/>
    <w:qFormat/>
    <w:pPr>
      <w:ind w:firstLine="200"/>
      <w:spacing w:line="360" w:lineRule="auto"/>
      <w:outlineLvl w:val="2"/>
    </w:pPr>
    <w:rPr>
      <w:rFonts w:ascii="宋体" w:hAnsi="宋体"/>
      <w:b/>
      <w:szCs w:val="21"/>
    </w:rPr>
  </w:style>
  <w:style w:type="paragraph" w:styleId="931" w:customStyle="1">
    <w:name w:val="Normal_16_1"/>
    <w:uiPriority w:val="0"/>
    <w:qFormat/>
    <w:rPr>
      <w:rFonts w:hint="default" w:ascii="宋体" w:hAnsi="宋体" w:eastAsia="宋体" w:cs="Times New Roman"/>
      <w:sz w:val="32"/>
      <w:szCs w:val="24"/>
      <w:lang w:val="en-US" w:eastAsia="zh-CN" w:bidi="ar-SA"/>
    </w:rPr>
  </w:style>
  <w:style w:type="paragraph" w:styleId="932"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933" w:customStyle="1">
    <w:name w:val="页眉1"/>
    <w:basedOn w:val="727"/>
    <w:uiPriority w:val="0"/>
    <w:unhideWhenUsed/>
    <w:qFormat/>
    <w:pPr>
      <w:jc w:val="center"/>
      <w:tabs>
        <w:tab w:val="center" w:pos="4153" w:leader="none"/>
        <w:tab w:val="right" w:pos="8306" w:leader="none"/>
      </w:tabs>
      <w:pBdr>
        <w:bottom w:val="single" w:color="000000" w:sz="6" w:space="1"/>
      </w:pBdr>
    </w:pPr>
    <w:rPr>
      <w:sz w:val="18"/>
    </w:rPr>
  </w:style>
  <w:style w:type="paragraph" w:styleId="934" w:customStyle="1">
    <w:name w:val="页脚1"/>
    <w:basedOn w:val="727"/>
    <w:uiPriority w:val="0"/>
    <w:unhideWhenUsed/>
    <w:qFormat/>
    <w:pPr>
      <w:jc w:val="left"/>
      <w:tabs>
        <w:tab w:val="center" w:pos="4153" w:leader="none"/>
        <w:tab w:val="right" w:pos="8306" w:leader="none"/>
      </w:tabs>
    </w:pPr>
    <w:rPr>
      <w:sz w:val="18"/>
    </w:rPr>
  </w:style>
  <w:style w:type="paragraph" w:styleId="93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numbering" w:styleId="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冯帆</cp:lastModifiedBy>
  <cp:revision>4</cp:revision>
  <dcterms:created xsi:type="dcterms:W3CDTF">2026-07-07T10:56:00Z</dcterms:created>
  <dcterms:modified xsi:type="dcterms:W3CDTF">2026-08-07T09:09:47Z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eyJoZGlkIjoiZjNjNTNlZTYzOWNjODk1OTMxM2FkYThmNDUwMjM1OGQiLCJ1c2VySWQiOiIzNTg2NTc4MDQifQ==</vt:lpwstr>
  </property>
  <property fmtid="{D5CDD505-2E9C-101B-9397-08002B2CF9AE}" pid="4" name="ICV">
    <vt:lpwstr>E69AFC7C005A410C9C06C849C985B3F5_13</vt:lpwstr>
  </property>
</Properties>
</file>