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9E1F4">
      <w:pPr>
        <w:pStyle w:val="2"/>
        <w:bidi w:val="0"/>
        <w:jc w:val="center"/>
        <w:rPr>
          <w:rFonts w:hint="eastAsia" w:ascii="宋体" w:hAnsi="宋体" w:eastAsia="宋体" w:cs="宋体"/>
          <w:lang w:val="en-US" w:eastAsia="zh-CN"/>
        </w:rPr>
      </w:pPr>
      <w:r>
        <w:rPr>
          <w:rFonts w:hint="eastAsia" w:ascii="宋体" w:hAnsi="宋体" w:eastAsia="宋体" w:cs="宋体"/>
          <w:lang w:eastAsia="zh-CN"/>
        </w:rPr>
        <w:t>南京师范大学附属中学晓庄校区物理、化学数字化探究实验仪器</w:t>
      </w:r>
      <w:r>
        <w:rPr>
          <w:rFonts w:hint="eastAsia" w:ascii="宋体" w:hAnsi="宋体" w:eastAsia="宋体" w:cs="宋体"/>
        </w:rPr>
        <w:t>更正公告</w:t>
      </w:r>
    </w:p>
    <w:p w14:paraId="65C40F03">
      <w:pPr>
        <w:spacing w:line="360" w:lineRule="auto"/>
        <w:rPr>
          <w:rFonts w:hint="eastAsia" w:ascii="仿宋" w:hAnsi="仿宋" w:eastAsia="仿宋" w:cs="仿宋"/>
          <w:b/>
          <w:bCs/>
          <w:color w:val="000000" w:themeColor="text1"/>
          <w:sz w:val="22"/>
          <w:szCs w:val="22"/>
          <w:highlight w:val="none"/>
          <w14:textFill>
            <w14:solidFill>
              <w14:schemeClr w14:val="tx1"/>
            </w14:solidFill>
          </w14:textFill>
        </w:rPr>
      </w:pPr>
      <w:r>
        <w:rPr>
          <w:rFonts w:hint="eastAsia" w:ascii="仿宋" w:hAnsi="仿宋" w:eastAsia="仿宋" w:cs="仿宋"/>
          <w:b/>
          <w:bCs/>
          <w:color w:val="000000" w:themeColor="text1"/>
          <w:sz w:val="22"/>
          <w:szCs w:val="22"/>
          <w:highlight w:val="none"/>
          <w14:textFill>
            <w14:solidFill>
              <w14:schemeClr w14:val="tx1"/>
            </w14:solidFill>
          </w14:textFill>
        </w:rPr>
        <w:t>一、项目基本情况</w:t>
      </w:r>
    </w:p>
    <w:p w14:paraId="43745185">
      <w:pPr>
        <w:spacing w:line="360" w:lineRule="auto"/>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原公告的采购项目编号：JSZC-320100-JLAL-G2026-0002</w:t>
      </w:r>
    </w:p>
    <w:p w14:paraId="03250F9D">
      <w:pPr>
        <w:spacing w:line="360" w:lineRule="auto"/>
        <w:rPr>
          <w:rFonts w:hint="eastAsia" w:ascii="仿宋" w:hAnsi="仿宋" w:eastAsia="仿宋" w:cs="仿宋"/>
          <w:color w:val="000000" w:themeColor="text1"/>
          <w:sz w:val="22"/>
          <w:szCs w:val="22"/>
          <w:highlight w:val="none"/>
          <w:lang w:eastAsia="zh-CN"/>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原公告的采购项目名称：</w:t>
      </w:r>
      <w:r>
        <w:rPr>
          <w:rFonts w:hint="eastAsia" w:ascii="仿宋" w:hAnsi="仿宋" w:eastAsia="仿宋" w:cs="仿宋"/>
          <w:color w:val="000000" w:themeColor="text1"/>
          <w:sz w:val="22"/>
          <w:szCs w:val="22"/>
          <w:highlight w:val="none"/>
          <w:lang w:eastAsia="zh-CN"/>
          <w14:textFill>
            <w14:solidFill>
              <w14:schemeClr w14:val="tx1"/>
            </w14:solidFill>
          </w14:textFill>
        </w:rPr>
        <w:t>南京师范大学附属中学晓庄校区物理、化学数字化探究实验仪器</w:t>
      </w:r>
    </w:p>
    <w:p w14:paraId="637719D6">
      <w:pPr>
        <w:spacing w:line="360" w:lineRule="auto"/>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首次公告日期：</w:t>
      </w:r>
      <w:r>
        <w:rPr>
          <w:rFonts w:hint="eastAsia" w:ascii="仿宋" w:hAnsi="仿宋" w:eastAsia="仿宋" w:cs="仿宋"/>
          <w:color w:val="000000" w:themeColor="text1"/>
          <w:sz w:val="22"/>
          <w:szCs w:val="22"/>
          <w:highlight w:val="none"/>
          <w:lang w:val="en-US" w:eastAsia="zh-CN"/>
          <w14:textFill>
            <w14:solidFill>
              <w14:schemeClr w14:val="tx1"/>
            </w14:solidFill>
          </w14:textFill>
        </w:rPr>
        <w:t>2026年8月28日</w:t>
      </w:r>
    </w:p>
    <w:p w14:paraId="3493095E">
      <w:pPr>
        <w:spacing w:line="360" w:lineRule="auto"/>
        <w:rPr>
          <w:rFonts w:hint="eastAsia" w:ascii="仿宋" w:hAnsi="仿宋" w:eastAsia="仿宋" w:cs="仿宋"/>
          <w:b/>
          <w:bCs/>
          <w:color w:val="000000" w:themeColor="text1"/>
          <w:sz w:val="22"/>
          <w:szCs w:val="22"/>
          <w:highlight w:val="none"/>
          <w14:textFill>
            <w14:solidFill>
              <w14:schemeClr w14:val="tx1"/>
            </w14:solidFill>
          </w14:textFill>
        </w:rPr>
      </w:pPr>
      <w:r>
        <w:rPr>
          <w:rFonts w:hint="eastAsia" w:ascii="仿宋" w:hAnsi="仿宋" w:eastAsia="仿宋" w:cs="仿宋"/>
          <w:b/>
          <w:bCs/>
          <w:color w:val="000000" w:themeColor="text1"/>
          <w:sz w:val="22"/>
          <w:szCs w:val="22"/>
          <w:highlight w:val="none"/>
          <w14:textFill>
            <w14:solidFill>
              <w14:schemeClr w14:val="tx1"/>
            </w14:solidFill>
          </w14:textFill>
        </w:rPr>
        <w:t>二、更正信息</w:t>
      </w:r>
    </w:p>
    <w:p w14:paraId="7192A8DB">
      <w:pPr>
        <w:spacing w:line="360" w:lineRule="auto"/>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更正事项：采购文件</w:t>
      </w:r>
    </w:p>
    <w:p w14:paraId="6F5F408D">
      <w:pPr>
        <w:spacing w:line="360" w:lineRule="auto"/>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更正内容：</w:t>
      </w:r>
    </w:p>
    <w:p w14:paraId="6549F949">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1.原采购文件第一章投标邀请的提交投标文件截止时间、开标时间：</w:t>
      </w:r>
    </w:p>
    <w:p w14:paraId="206904A0">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“2026年9月20日13点30分（北京时间）”</w:t>
      </w:r>
    </w:p>
    <w:p w14:paraId="3AD0DF95">
      <w:pPr>
        <w:spacing w:line="360" w:lineRule="auto"/>
        <w:rPr>
          <w:rFonts w:hint="eastAsia" w:ascii="仿宋" w:hAnsi="仿宋" w:eastAsia="仿宋" w:cs="仿宋"/>
          <w:b/>
          <w:bCs/>
          <w:color w:val="000000" w:themeColor="text1"/>
          <w:sz w:val="22"/>
          <w:szCs w:val="22"/>
          <w:highlight w:val="none"/>
          <w:lang w:val="en-US" w:eastAsia="zh-CN"/>
          <w14:textFill>
            <w14:solidFill>
              <w14:schemeClr w14:val="tx1"/>
            </w14:solidFill>
          </w14:textFill>
        </w:rPr>
      </w:pPr>
      <w:r>
        <w:rPr>
          <w:rFonts w:hint="eastAsia" w:ascii="仿宋" w:hAnsi="仿宋" w:eastAsia="仿宋" w:cs="仿宋"/>
          <w:b/>
          <w:bCs/>
          <w:color w:val="000000" w:themeColor="text1"/>
          <w:sz w:val="22"/>
          <w:szCs w:val="22"/>
          <w:highlight w:val="none"/>
          <w:lang w:val="en-US" w:eastAsia="zh-CN"/>
          <w14:textFill>
            <w14:solidFill>
              <w14:schemeClr w14:val="tx1"/>
            </w14:solidFill>
          </w14:textFill>
        </w:rPr>
        <w:t>更正为</w:t>
      </w:r>
    </w:p>
    <w:p w14:paraId="5608FF4D">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“2026年10月10 日13 点30分（北京时间）”</w:t>
      </w:r>
    </w:p>
    <w:p w14:paraId="5E89F874">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kern w:val="2"/>
          <w:sz w:val="22"/>
          <w:szCs w:val="22"/>
          <w:highlight w:val="none"/>
          <w:lang w:val="en-US" w:eastAsia="zh-CN" w:bidi="ar-SA"/>
          <w14:textFill>
            <w14:solidFill>
              <w14:schemeClr w14:val="tx1"/>
            </w14:solidFill>
          </w14:textFill>
        </w:rPr>
        <w:t>2.</w:t>
      </w:r>
      <w:r>
        <w:rPr>
          <w:rFonts w:hint="eastAsia" w:ascii="仿宋" w:hAnsi="仿宋" w:eastAsia="仿宋" w:cs="仿宋"/>
          <w:color w:val="000000" w:themeColor="text1"/>
          <w:sz w:val="22"/>
          <w:szCs w:val="22"/>
          <w:highlight w:val="none"/>
          <w:lang w:val="en-US" w:eastAsia="zh-CN"/>
          <w14:textFill>
            <w14:solidFill>
              <w14:schemeClr w14:val="tx1"/>
            </w14:solidFill>
          </w14:textFill>
        </w:rPr>
        <w:t>原采购文件第二章 供应商须知</w:t>
      </w:r>
    </w:p>
    <w:p w14:paraId="3FCAA1DC">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21.2.2.5 异常低价审查</w:t>
      </w:r>
    </w:p>
    <w:p w14:paraId="4CD8BE15">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22.2.2.5.1 评标过程中出现下列情形之一的，评标委员会应当启动异常低价投标审查程序：</w:t>
      </w:r>
    </w:p>
    <w:p w14:paraId="077DC76A">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（1）投标报价低于全部通过符合性审查投标人投标报价平均值50%的，即投标报价&lt;全部通过符合性审查投标人投标报价平均值×50%；</w:t>
      </w:r>
    </w:p>
    <w:p w14:paraId="011334D1">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（2）投标报价低于通过符合性审查的次低报价投标人投标报价50%的，即投标报价&lt;通过符合性审查的次低报价投标人投标报价×50%；</w:t>
      </w:r>
    </w:p>
    <w:p w14:paraId="7FF1BA78">
      <w:pPr>
        <w:widowControl/>
        <w:numPr>
          <w:ilvl w:val="-1"/>
          <w:numId w:val="0"/>
        </w:numPr>
        <w:spacing w:line="360" w:lineRule="auto"/>
        <w:outlineLvl w:val="9"/>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（3）投标报价低于采购项目最高限价45%的，即投标报价&lt;采购项目最高限价×45%；</w:t>
      </w:r>
    </w:p>
    <w:p w14:paraId="4A943F23">
      <w:pPr>
        <w:widowControl/>
        <w:numPr>
          <w:ilvl w:val="-1"/>
          <w:numId w:val="0"/>
        </w:numPr>
        <w:spacing w:line="360" w:lineRule="auto"/>
        <w:outlineLvl w:val="9"/>
        <w:rPr>
          <w:rFonts w:hint="eastAsia" w:ascii="仿宋" w:hAnsi="仿宋" w:eastAsia="仿宋" w:cs="仿宋"/>
          <w:b/>
          <w:bCs/>
          <w:color w:val="000000" w:themeColor="text1"/>
          <w:sz w:val="22"/>
          <w:szCs w:val="22"/>
          <w:highlight w:val="none"/>
          <w:lang w:val="en-US" w:eastAsia="zh-CN"/>
          <w14:textFill>
            <w14:solidFill>
              <w14:schemeClr w14:val="tx1"/>
            </w14:solidFill>
          </w14:textFill>
        </w:rPr>
      </w:pPr>
      <w:r>
        <w:rPr>
          <w:rFonts w:hint="eastAsia" w:ascii="仿宋" w:hAnsi="仿宋" w:eastAsia="仿宋" w:cs="仿宋"/>
          <w:b/>
          <w:bCs/>
          <w:color w:val="000000" w:themeColor="text1"/>
          <w:sz w:val="22"/>
          <w:szCs w:val="22"/>
          <w:highlight w:val="none"/>
          <w:lang w:val="en-US" w:eastAsia="zh-CN"/>
          <w14:textFill>
            <w14:solidFill>
              <w14:schemeClr w14:val="tx1"/>
            </w14:solidFill>
          </w14:textFill>
        </w:rPr>
        <w:t>更正为：</w:t>
      </w:r>
    </w:p>
    <w:p w14:paraId="25557677">
      <w:pPr>
        <w:keepNext w:val="0"/>
        <w:keepLines w:val="0"/>
        <w:pageBreakBefore w:val="0"/>
        <w:widowControl/>
        <w:kinsoku/>
        <w:wordWrap/>
        <w:overflowPunct/>
        <w:topLinePunct w:val="0"/>
        <w:autoSpaceDE/>
        <w:autoSpaceDN/>
        <w:bidi w:val="0"/>
        <w:adjustRightInd/>
        <w:snapToGrid/>
        <w:spacing w:line="360" w:lineRule="auto"/>
        <w:ind w:firstLine="0"/>
        <w:jc w:val="left"/>
        <w:textAlignment w:val="auto"/>
        <w:outlineLvl w:val="9"/>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lang w:val="zh-CN"/>
          <w14:textFill>
            <w14:solidFill>
              <w14:schemeClr w14:val="tx1"/>
            </w14:solidFill>
          </w14:textFill>
        </w:rPr>
        <w:t>21.2.2.5 异常低价审查</w:t>
      </w:r>
    </w:p>
    <w:p w14:paraId="39321412">
      <w:pPr>
        <w:keepNext w:val="0"/>
        <w:keepLines w:val="0"/>
        <w:pageBreakBefore w:val="0"/>
        <w:widowControl/>
        <w:kinsoku/>
        <w:wordWrap/>
        <w:overflowPunct/>
        <w:topLinePunct w:val="0"/>
        <w:autoSpaceDE/>
        <w:autoSpaceDN/>
        <w:bidi w:val="0"/>
        <w:adjustRightInd/>
        <w:snapToGrid/>
        <w:spacing w:line="360" w:lineRule="auto"/>
        <w:ind w:firstLine="0"/>
        <w:jc w:val="left"/>
        <w:textAlignment w:val="auto"/>
        <w:outlineLvl w:val="9"/>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lang w:val="zh-CN"/>
          <w14:textFill>
            <w14:solidFill>
              <w14:schemeClr w14:val="tx1"/>
            </w14:solidFill>
          </w14:textFill>
        </w:rPr>
        <w:t>22.2.2.5.1 评标过程中出现下列情形之一的，评标委员会应当启动异常低价投标审查程序：</w:t>
      </w:r>
    </w:p>
    <w:p w14:paraId="71B24453">
      <w:pPr>
        <w:keepNext w:val="0"/>
        <w:keepLines w:val="0"/>
        <w:pageBreakBefore w:val="0"/>
        <w:widowControl/>
        <w:kinsoku/>
        <w:wordWrap/>
        <w:overflowPunct/>
        <w:topLinePunct w:val="0"/>
        <w:autoSpaceDE/>
        <w:autoSpaceDN/>
        <w:bidi w:val="0"/>
        <w:adjustRightInd/>
        <w:snapToGrid/>
        <w:spacing w:line="360" w:lineRule="auto"/>
        <w:ind w:firstLine="0"/>
        <w:jc w:val="left"/>
        <w:textAlignment w:val="auto"/>
        <w:outlineLvl w:val="9"/>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lang w:val="zh-CN"/>
          <w14:textFill>
            <w14:solidFill>
              <w14:schemeClr w14:val="tx1"/>
            </w14:solidFill>
          </w14:textFill>
        </w:rPr>
        <w:t>（1）投标报价低于全部通过符合性审查投标人投标报价平均值</w:t>
      </w:r>
      <w:r>
        <w:rPr>
          <w:rFonts w:hint="eastAsia" w:ascii="仿宋" w:hAnsi="仿宋" w:eastAsia="仿宋" w:cs="仿宋"/>
          <w:color w:val="000000" w:themeColor="text1"/>
          <w:sz w:val="22"/>
          <w:szCs w:val="22"/>
          <w:highlight w:val="none"/>
          <w:lang w:val="en-US" w:eastAsia="zh-CN"/>
          <w14:textFill>
            <w14:solidFill>
              <w14:schemeClr w14:val="tx1"/>
            </w14:solidFill>
          </w14:textFill>
          <w:woUserID w:val="0"/>
        </w:rPr>
        <w:t>65</w:t>
      </w:r>
      <w:r>
        <w:rPr>
          <w:rFonts w:hint="eastAsia" w:ascii="仿宋" w:hAnsi="仿宋" w:eastAsia="仿宋" w:cs="仿宋"/>
          <w:color w:val="000000" w:themeColor="text1"/>
          <w:sz w:val="22"/>
          <w:szCs w:val="22"/>
          <w:highlight w:val="none"/>
          <w:lang w:val="zh-CN"/>
          <w14:textFill>
            <w14:solidFill>
              <w14:schemeClr w14:val="tx1"/>
            </w14:solidFill>
          </w14:textFill>
        </w:rPr>
        <w:t>%的，即投标报价&lt;全部通过符合性审查投标人投标报价平均值×</w:t>
      </w:r>
      <w:r>
        <w:rPr>
          <w:rFonts w:hint="eastAsia" w:ascii="仿宋" w:hAnsi="仿宋" w:eastAsia="仿宋" w:cs="仿宋"/>
          <w:color w:val="000000" w:themeColor="text1"/>
          <w:sz w:val="22"/>
          <w:szCs w:val="22"/>
          <w:highlight w:val="none"/>
          <w:lang w:val="en-US" w:eastAsia="zh-CN"/>
          <w14:textFill>
            <w14:solidFill>
              <w14:schemeClr w14:val="tx1"/>
            </w14:solidFill>
          </w14:textFill>
          <w:woUserID w:val="0"/>
        </w:rPr>
        <w:t>65</w:t>
      </w:r>
      <w:r>
        <w:rPr>
          <w:rFonts w:hint="eastAsia" w:ascii="仿宋" w:hAnsi="仿宋" w:eastAsia="仿宋" w:cs="仿宋"/>
          <w:color w:val="000000" w:themeColor="text1"/>
          <w:sz w:val="22"/>
          <w:szCs w:val="22"/>
          <w:highlight w:val="none"/>
          <w:lang w:val="zh-CN"/>
          <w14:textFill>
            <w14:solidFill>
              <w14:schemeClr w14:val="tx1"/>
            </w14:solidFill>
          </w14:textFill>
        </w:rPr>
        <w:t>%；</w:t>
      </w:r>
    </w:p>
    <w:p w14:paraId="5D96DADF">
      <w:pPr>
        <w:keepNext w:val="0"/>
        <w:keepLines w:val="0"/>
        <w:pageBreakBefore w:val="0"/>
        <w:widowControl/>
        <w:kinsoku/>
        <w:wordWrap/>
        <w:overflowPunct/>
        <w:topLinePunct w:val="0"/>
        <w:autoSpaceDE/>
        <w:autoSpaceDN/>
        <w:bidi w:val="0"/>
        <w:adjustRightInd/>
        <w:snapToGrid/>
        <w:spacing w:line="360" w:lineRule="auto"/>
        <w:ind w:firstLine="0"/>
        <w:jc w:val="left"/>
        <w:textAlignment w:val="auto"/>
        <w:outlineLvl w:val="9"/>
        <w:rPr>
          <w:rFonts w:hint="eastAsia"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sz w:val="22"/>
          <w:szCs w:val="22"/>
          <w:highlight w:val="none"/>
          <w:lang w:val="zh-CN"/>
          <w14:textFill>
            <w14:solidFill>
              <w14:schemeClr w14:val="tx1"/>
            </w14:solidFill>
          </w14:textFill>
        </w:rPr>
        <w:t>（2）投标报价低于通过符合性审查的次低报价投标人投标报价</w:t>
      </w:r>
      <w:r>
        <w:rPr>
          <w:rFonts w:hint="eastAsia" w:ascii="仿宋" w:hAnsi="仿宋" w:eastAsia="仿宋" w:cs="仿宋"/>
          <w:color w:val="000000" w:themeColor="text1"/>
          <w:sz w:val="22"/>
          <w:szCs w:val="22"/>
          <w:highlight w:val="none"/>
          <w:lang w:val="en-US" w:eastAsia="zh-CN"/>
          <w14:textFill>
            <w14:solidFill>
              <w14:schemeClr w14:val="tx1"/>
            </w14:solidFill>
          </w14:textFill>
        </w:rPr>
        <w:t>65</w:t>
      </w:r>
      <w:r>
        <w:rPr>
          <w:rFonts w:hint="eastAsia" w:ascii="仿宋" w:hAnsi="仿宋" w:eastAsia="仿宋" w:cs="仿宋"/>
          <w:color w:val="000000" w:themeColor="text1"/>
          <w:sz w:val="22"/>
          <w:szCs w:val="22"/>
          <w:highlight w:val="none"/>
          <w:lang w:val="zh-CN"/>
          <w14:textFill>
            <w14:solidFill>
              <w14:schemeClr w14:val="tx1"/>
            </w14:solidFill>
          </w14:textFill>
        </w:rPr>
        <w:t>%的，即投标报价&lt;通过符合性审查的次低报价投标人投标报价×</w:t>
      </w:r>
      <w:r>
        <w:rPr>
          <w:rFonts w:hint="eastAsia" w:ascii="仿宋" w:hAnsi="仿宋" w:eastAsia="仿宋" w:cs="仿宋"/>
          <w:color w:val="000000" w:themeColor="text1"/>
          <w:sz w:val="22"/>
          <w:szCs w:val="22"/>
          <w:highlight w:val="none"/>
          <w:lang w:val="en-US" w:eastAsia="zh-CN"/>
          <w14:textFill>
            <w14:solidFill>
              <w14:schemeClr w14:val="tx1"/>
            </w14:solidFill>
          </w14:textFill>
        </w:rPr>
        <w:t>65</w:t>
      </w:r>
      <w:r>
        <w:rPr>
          <w:rFonts w:hint="eastAsia" w:ascii="仿宋" w:hAnsi="仿宋" w:eastAsia="仿宋" w:cs="仿宋"/>
          <w:color w:val="000000" w:themeColor="text1"/>
          <w:sz w:val="22"/>
          <w:szCs w:val="22"/>
          <w:highlight w:val="none"/>
          <w:lang w:val="zh-CN"/>
          <w14:textFill>
            <w14:solidFill>
              <w14:schemeClr w14:val="tx1"/>
            </w14:solidFill>
          </w14:textFill>
        </w:rPr>
        <w:t>%；</w:t>
      </w:r>
    </w:p>
    <w:p w14:paraId="7EEBEA5E">
      <w:pPr>
        <w:keepNext w:val="0"/>
        <w:keepLines w:val="0"/>
        <w:pageBreakBefore w:val="0"/>
        <w:widowControl/>
        <w:kinsoku/>
        <w:wordWrap/>
        <w:overflowPunct/>
        <w:topLinePunct w:val="0"/>
        <w:autoSpaceDE/>
        <w:autoSpaceDN/>
        <w:bidi w:val="0"/>
        <w:adjustRightInd/>
        <w:snapToGrid/>
        <w:spacing w:line="360" w:lineRule="auto"/>
        <w:ind w:firstLine="0"/>
        <w:jc w:val="left"/>
        <w:textAlignment w:val="auto"/>
        <w:outlineLvl w:val="9"/>
        <w:rPr>
          <w:rFonts w:hint="eastAsia" w:ascii="仿宋" w:hAnsi="仿宋" w:eastAsia="仿宋" w:cs="仿宋"/>
          <w:sz w:val="22"/>
          <w:szCs w:val="22"/>
        </w:rPr>
      </w:pPr>
      <w:r>
        <w:rPr>
          <w:rFonts w:hint="eastAsia" w:ascii="仿宋" w:hAnsi="仿宋" w:eastAsia="仿宋" w:cs="仿宋"/>
          <w:color w:val="000000" w:themeColor="text1"/>
          <w:sz w:val="22"/>
          <w:szCs w:val="22"/>
          <w:highlight w:val="none"/>
          <w:lang w:val="zh-CN"/>
          <w14:textFill>
            <w14:solidFill>
              <w14:schemeClr w14:val="tx1"/>
            </w14:solidFill>
          </w14:textFill>
        </w:rPr>
        <w:t>（3）投标报价低于采购项目最高限价</w:t>
      </w:r>
      <w:r>
        <w:rPr>
          <w:rFonts w:hint="eastAsia" w:ascii="仿宋" w:hAnsi="仿宋" w:eastAsia="仿宋" w:cs="仿宋"/>
          <w:color w:val="000000" w:themeColor="text1"/>
          <w:sz w:val="22"/>
          <w:szCs w:val="22"/>
          <w:highlight w:val="none"/>
          <w:lang w:val="en-US" w:eastAsia="zh-CN"/>
          <w14:textFill>
            <w14:solidFill>
              <w14:schemeClr w14:val="tx1"/>
            </w14:solidFill>
          </w14:textFill>
        </w:rPr>
        <w:t>65</w:t>
      </w:r>
      <w:r>
        <w:rPr>
          <w:rFonts w:hint="eastAsia" w:ascii="仿宋" w:hAnsi="仿宋" w:eastAsia="仿宋" w:cs="仿宋"/>
          <w:color w:val="000000" w:themeColor="text1"/>
          <w:sz w:val="22"/>
          <w:szCs w:val="22"/>
          <w:highlight w:val="none"/>
          <w:lang w:val="zh-CN"/>
          <w14:textFill>
            <w14:solidFill>
              <w14:schemeClr w14:val="tx1"/>
            </w14:solidFill>
          </w14:textFill>
        </w:rPr>
        <w:t>%的，即投标报价&lt;采购项目最高限价×</w:t>
      </w:r>
      <w:r>
        <w:rPr>
          <w:rFonts w:hint="eastAsia" w:ascii="仿宋" w:hAnsi="仿宋" w:eastAsia="仿宋" w:cs="仿宋"/>
          <w:color w:val="000000" w:themeColor="text1"/>
          <w:sz w:val="22"/>
          <w:szCs w:val="22"/>
          <w:highlight w:val="none"/>
          <w:lang w:val="en-US" w:eastAsia="zh-CN"/>
          <w14:textFill>
            <w14:solidFill>
              <w14:schemeClr w14:val="tx1"/>
            </w14:solidFill>
          </w14:textFill>
        </w:rPr>
        <w:t>65</w:t>
      </w:r>
      <w:r>
        <w:rPr>
          <w:rFonts w:hint="eastAsia" w:ascii="仿宋" w:hAnsi="仿宋" w:eastAsia="仿宋" w:cs="仿宋"/>
          <w:color w:val="000000" w:themeColor="text1"/>
          <w:sz w:val="22"/>
          <w:szCs w:val="22"/>
          <w:highlight w:val="none"/>
          <w:lang w:val="zh-CN"/>
          <w14:textFill>
            <w14:solidFill>
              <w14:schemeClr w14:val="tx1"/>
            </w14:solidFill>
          </w14:textFill>
        </w:rPr>
        <w:t>%；</w:t>
      </w:r>
    </w:p>
    <w:p w14:paraId="2F1DA546">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p>
    <w:p w14:paraId="5A4A0414">
      <w:pPr>
        <w:numPr>
          <w:ilvl w:val="0"/>
          <w:numId w:val="0"/>
        </w:num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kern w:val="2"/>
          <w:sz w:val="22"/>
          <w:szCs w:val="22"/>
          <w:lang w:val="en-US" w:eastAsia="zh-CN" w:bidi="ar-SA"/>
          <w14:textFill>
            <w14:solidFill>
              <w14:schemeClr w14:val="tx1"/>
            </w14:solidFill>
          </w14:textFill>
        </w:rPr>
        <w:t>3.</w:t>
      </w:r>
      <w:r>
        <w:rPr>
          <w:rFonts w:hint="eastAsia" w:ascii="仿宋" w:hAnsi="仿宋" w:eastAsia="仿宋" w:cs="仿宋"/>
          <w:color w:val="000000" w:themeColor="text1"/>
          <w:sz w:val="22"/>
          <w:szCs w:val="22"/>
          <w:highlight w:val="none"/>
          <w:lang w:val="en-US" w:eastAsia="zh-CN"/>
          <w14:textFill>
            <w14:solidFill>
              <w14:schemeClr w14:val="tx1"/>
            </w14:solidFill>
          </w14:textFill>
        </w:rPr>
        <w:t>原采购文件第三章评标方法与评标标准：</w:t>
      </w:r>
    </w:p>
    <w:tbl>
      <w:tblPr>
        <w:tblStyle w:val="8"/>
        <w:tblW w:w="501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362"/>
        <w:gridCol w:w="561"/>
        <w:gridCol w:w="7133"/>
        <w:gridCol w:w="285"/>
      </w:tblGrid>
      <w:tr w14:paraId="1C0B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217" w:type="pct"/>
            <w:noWrap w:val="0"/>
            <w:vAlign w:val="top"/>
          </w:tcPr>
          <w:p w14:paraId="59A34526">
            <w:pPr>
              <w:bidi w:val="0"/>
              <w:snapToGrid w:val="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序号</w:t>
            </w:r>
          </w:p>
        </w:tc>
        <w:tc>
          <w:tcPr>
            <w:tcW w:w="336" w:type="pct"/>
            <w:noWrap w:val="0"/>
            <w:vAlign w:val="top"/>
          </w:tcPr>
          <w:p w14:paraId="24D669F0">
            <w:pPr>
              <w:bidi w:val="0"/>
              <w:snapToGrid w:val="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评审因素</w:t>
            </w:r>
          </w:p>
        </w:tc>
        <w:tc>
          <w:tcPr>
            <w:tcW w:w="4276" w:type="pct"/>
            <w:noWrap w:val="0"/>
            <w:vAlign w:val="top"/>
          </w:tcPr>
          <w:p w14:paraId="5FEC7B09">
            <w:pPr>
              <w:bidi w:val="0"/>
              <w:snapToGrid w:val="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评审细则</w:t>
            </w:r>
          </w:p>
        </w:tc>
        <w:tc>
          <w:tcPr>
            <w:tcW w:w="169" w:type="pct"/>
            <w:tcBorders>
              <w:right w:val="single" w:color="auto" w:sz="4" w:space="0"/>
            </w:tcBorders>
            <w:noWrap w:val="0"/>
            <w:vAlign w:val="top"/>
          </w:tcPr>
          <w:p w14:paraId="7AE2191D">
            <w:pPr>
              <w:bidi w:val="0"/>
              <w:snapToGrid w:val="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分值</w:t>
            </w:r>
          </w:p>
        </w:tc>
      </w:tr>
      <w:tr w14:paraId="350A5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5000" w:type="pct"/>
            <w:gridSpan w:val="4"/>
            <w:tcBorders>
              <w:right w:val="single" w:color="auto" w:sz="4" w:space="0"/>
            </w:tcBorders>
            <w:noWrap w:val="0"/>
            <w:vAlign w:val="top"/>
          </w:tcPr>
          <w:p w14:paraId="2F3088AF">
            <w:pPr>
              <w:bidi w:val="0"/>
              <w:snapToGrid w:val="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2.技术</w:t>
            </w:r>
          </w:p>
        </w:tc>
      </w:tr>
      <w:tr w14:paraId="2778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217" w:type="pct"/>
            <w:noWrap w:val="0"/>
            <w:vAlign w:val="center"/>
          </w:tcPr>
          <w:p w14:paraId="46D67229">
            <w:pPr>
              <w:bidi w:val="0"/>
              <w:snapToGrid w:val="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2.1</w:t>
            </w:r>
          </w:p>
        </w:tc>
        <w:tc>
          <w:tcPr>
            <w:tcW w:w="336" w:type="pct"/>
            <w:noWrap w:val="0"/>
            <w:vAlign w:val="center"/>
          </w:tcPr>
          <w:p w14:paraId="1E0D8F47">
            <w:pPr>
              <w:bidi w:val="0"/>
              <w:snapToGrid w:val="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产品技术参数</w:t>
            </w:r>
          </w:p>
        </w:tc>
        <w:tc>
          <w:tcPr>
            <w:tcW w:w="4276" w:type="pct"/>
            <w:noWrap w:val="0"/>
            <w:vAlign w:val="center"/>
          </w:tcPr>
          <w:p w14:paraId="4652BC20">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技术参数完全满足招标文件技术参数要求的得满分</w:t>
            </w:r>
            <w:r>
              <w:rPr>
                <w:rFonts w:hint="eastAsia" w:ascii="仿宋" w:hAnsi="仿宋" w:eastAsia="仿宋" w:cs="仿宋"/>
                <w:sz w:val="22"/>
                <w:szCs w:val="22"/>
                <w:highlight w:val="none"/>
                <w:lang w:val="en-US" w:eastAsia="zh-CN"/>
              </w:rPr>
              <w:t>17</w:t>
            </w:r>
            <w:r>
              <w:rPr>
                <w:rFonts w:hint="eastAsia" w:ascii="仿宋" w:hAnsi="仿宋" w:eastAsia="仿宋" w:cs="仿宋"/>
                <w:sz w:val="22"/>
                <w:szCs w:val="22"/>
                <w:highlight w:val="none"/>
              </w:rPr>
              <w:t>分；</w:t>
            </w:r>
          </w:p>
          <w:p w14:paraId="27A01B51">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招标文件中标▲号为重要指标项，每负偏离1项扣</w:t>
            </w:r>
            <w:r>
              <w:rPr>
                <w:rFonts w:hint="eastAsia" w:ascii="仿宋" w:hAnsi="仿宋" w:eastAsia="仿宋" w:cs="仿宋"/>
                <w:sz w:val="22"/>
                <w:szCs w:val="22"/>
                <w:highlight w:val="none"/>
                <w:lang w:val="en-US" w:eastAsia="zh-CN"/>
              </w:rPr>
              <w:t>0.5</w:t>
            </w:r>
            <w:r>
              <w:rPr>
                <w:rFonts w:hint="eastAsia" w:ascii="仿宋" w:hAnsi="仿宋" w:eastAsia="仿宋" w:cs="仿宋"/>
                <w:sz w:val="22"/>
                <w:szCs w:val="22"/>
                <w:highlight w:val="none"/>
              </w:rPr>
              <w:t>分；其他技术参数，每负偏离1项扣0.</w:t>
            </w:r>
            <w:r>
              <w:rPr>
                <w:rFonts w:hint="eastAsia" w:ascii="仿宋" w:hAnsi="仿宋" w:eastAsia="仿宋" w:cs="仿宋"/>
                <w:sz w:val="22"/>
                <w:szCs w:val="22"/>
                <w:highlight w:val="none"/>
                <w:lang w:val="en-US" w:eastAsia="zh-CN"/>
              </w:rPr>
              <w:t>02</w:t>
            </w:r>
            <w:r>
              <w:rPr>
                <w:rFonts w:hint="eastAsia" w:ascii="仿宋" w:hAnsi="仿宋" w:eastAsia="仿宋" w:cs="仿宋"/>
                <w:sz w:val="22"/>
                <w:szCs w:val="22"/>
                <w:highlight w:val="none"/>
              </w:rPr>
              <w:t>分。（不含产品演示项）</w:t>
            </w:r>
          </w:p>
          <w:p w14:paraId="2F263FA5">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注：评委根据投标单位提供的投标文件中技术支持资料（如白皮书、彩页、手册、检测报告等）及《技术要求响应表》的响应描述和偏离情况说明作为评审依据，未一一对应填写或未响应的均视为负偏离。</w:t>
            </w:r>
          </w:p>
        </w:tc>
        <w:tc>
          <w:tcPr>
            <w:tcW w:w="169" w:type="pct"/>
            <w:tcBorders>
              <w:right w:val="single" w:color="auto" w:sz="4" w:space="0"/>
            </w:tcBorders>
            <w:noWrap w:val="0"/>
            <w:vAlign w:val="center"/>
          </w:tcPr>
          <w:p w14:paraId="088C71AD">
            <w:pPr>
              <w:bidi w:val="0"/>
              <w:snapToGrid w:val="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17</w:t>
            </w:r>
          </w:p>
        </w:tc>
      </w:tr>
      <w:tr w14:paraId="47225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217" w:type="pct"/>
            <w:noWrap w:val="0"/>
            <w:vAlign w:val="center"/>
          </w:tcPr>
          <w:p w14:paraId="6566861F">
            <w:pPr>
              <w:bidi w:val="0"/>
              <w:snapToGrid w:val="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2.2</w:t>
            </w:r>
          </w:p>
        </w:tc>
        <w:tc>
          <w:tcPr>
            <w:tcW w:w="336" w:type="pct"/>
            <w:noWrap w:val="0"/>
            <w:vAlign w:val="center"/>
          </w:tcPr>
          <w:p w14:paraId="5B90E178">
            <w:pPr>
              <w:bidi w:val="0"/>
              <w:snapToGrid w:val="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实验演示</w:t>
            </w:r>
          </w:p>
        </w:tc>
        <w:tc>
          <w:tcPr>
            <w:tcW w:w="4276" w:type="pct"/>
            <w:noWrap w:val="0"/>
            <w:vAlign w:val="center"/>
          </w:tcPr>
          <w:p w14:paraId="5D4F033A">
            <w:pPr>
              <w:bidi w:val="0"/>
              <w:snapToGrid w:val="0"/>
              <w:rPr>
                <w:rFonts w:hint="eastAsia" w:ascii="仿宋" w:hAnsi="仿宋" w:eastAsia="仿宋" w:cs="仿宋"/>
                <w:sz w:val="22"/>
                <w:szCs w:val="22"/>
                <w:highlight w:val="none"/>
              </w:rPr>
            </w:pPr>
            <w:r>
              <w:rPr>
                <w:rFonts w:hint="eastAsia" w:ascii="仿宋" w:hAnsi="仿宋" w:eastAsia="仿宋" w:cs="仿宋"/>
                <w:b/>
                <w:bCs/>
                <w:color w:val="000000"/>
                <w:sz w:val="22"/>
                <w:szCs w:val="22"/>
              </w:rPr>
              <w:t>注：请投标人携带产品及附件于2026年9月20日15:00前进行现场签到演示，超时视为放弃</w:t>
            </w:r>
            <w:r>
              <w:rPr>
                <w:rFonts w:hint="eastAsia" w:ascii="仿宋" w:hAnsi="仿宋" w:eastAsia="仿宋" w:cs="仿宋"/>
                <w:b/>
                <w:bCs/>
                <w:sz w:val="22"/>
                <w:szCs w:val="22"/>
                <w:highlight w:val="none"/>
              </w:rPr>
              <w:t>演示</w:t>
            </w:r>
            <w:r>
              <w:rPr>
                <w:rFonts w:hint="eastAsia" w:ascii="仿宋" w:hAnsi="仿宋" w:eastAsia="仿宋" w:cs="仿宋"/>
                <w:sz w:val="22"/>
                <w:szCs w:val="22"/>
                <w:highlight w:val="none"/>
                <w:lang w:eastAsia="zh-CN"/>
              </w:rPr>
              <w:t>（现场演示</w:t>
            </w:r>
            <w:r>
              <w:rPr>
                <w:rFonts w:hint="eastAsia" w:ascii="仿宋" w:hAnsi="仿宋" w:eastAsia="仿宋" w:cs="仿宋"/>
                <w:sz w:val="22"/>
                <w:szCs w:val="22"/>
                <w:highlight w:val="none"/>
                <w:lang w:val="en-US" w:eastAsia="zh-CN"/>
              </w:rPr>
              <w:t>地点：南京市玄武区长江路99号长江贸易大楼1005室</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。全部演示时间不超过30分钟，由评标委员会根据实验演示效果进行综合评审，演示内容如下：</w:t>
            </w:r>
          </w:p>
          <w:p w14:paraId="076C9BC7">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rPr>
            </w:pPr>
            <w:r>
              <w:rPr>
                <w:rFonts w:hint="eastAsia" w:ascii="仿宋" w:hAnsi="仿宋" w:eastAsia="仿宋" w:cs="仿宋"/>
                <w:kern w:val="2"/>
                <w:sz w:val="22"/>
                <w:szCs w:val="22"/>
                <w:highlight w:val="none"/>
                <w:lang w:val="en-US" w:eastAsia="zh-CN" w:bidi="ar"/>
              </w:rPr>
              <w:t>演示1：用无线光电门传感器（双门）及附件完成“测量物体运动的速度实验”及功能演示（</w:t>
            </w:r>
            <w:r>
              <w:rPr>
                <w:rFonts w:hint="eastAsia" w:ascii="仿宋" w:hAnsi="仿宋" w:eastAsia="仿宋" w:cs="仿宋"/>
                <w:kern w:val="2"/>
                <w:sz w:val="22"/>
                <w:szCs w:val="22"/>
                <w:highlight w:val="none"/>
                <w:lang w:eastAsia="zh-CN" w:bidi="ar"/>
              </w:rPr>
              <w:t>5</w:t>
            </w:r>
            <w:r>
              <w:rPr>
                <w:rFonts w:hint="eastAsia" w:ascii="仿宋" w:hAnsi="仿宋" w:eastAsia="仿宋" w:cs="仿宋"/>
                <w:kern w:val="2"/>
                <w:sz w:val="22"/>
                <w:szCs w:val="22"/>
                <w:highlight w:val="none"/>
                <w:lang w:val="en-US" w:eastAsia="zh-CN" w:bidi="ar"/>
              </w:rPr>
              <w:t>分）</w:t>
            </w:r>
          </w:p>
          <w:p w14:paraId="3053CE00">
            <w:pPr>
              <w:keepNext w:val="0"/>
              <w:keepLines w:val="0"/>
              <w:widowControl w:val="0"/>
              <w:suppressLineNumbers w:val="0"/>
              <w:snapToGrid w:val="0"/>
              <w:spacing w:before="0" w:beforeAutospacing="0" w:after="0" w:afterAutospacing="0"/>
              <w:ind w:left="0" w:right="0" w:firstLine="440" w:firstLineChars="200"/>
              <w:jc w:val="both"/>
              <w:rPr>
                <w:rFonts w:hint="eastAsia" w:ascii="仿宋" w:hAnsi="仿宋" w:eastAsia="仿宋" w:cs="仿宋"/>
                <w:kern w:val="2"/>
                <w:sz w:val="22"/>
                <w:szCs w:val="22"/>
                <w:highlight w:val="none"/>
              </w:rPr>
            </w:pPr>
            <w:r>
              <w:rPr>
                <w:rFonts w:hint="eastAsia" w:ascii="仿宋" w:hAnsi="仿宋" w:eastAsia="仿宋" w:cs="仿宋"/>
                <w:kern w:val="2"/>
                <w:sz w:val="22"/>
                <w:szCs w:val="22"/>
                <w:highlight w:val="none"/>
                <w:lang w:val="en-US" w:eastAsia="zh-CN" w:bidi="ar"/>
              </w:rPr>
              <w:t>功能性演示</w:t>
            </w:r>
          </w:p>
          <w:p w14:paraId="633C49E1">
            <w:pPr>
              <w:keepNext w:val="0"/>
              <w:keepLines w:val="0"/>
              <w:widowControl w:val="0"/>
              <w:suppressLineNumbers w:val="0"/>
              <w:snapToGrid w:val="0"/>
              <w:spacing w:before="0" w:beforeAutospacing="0" w:after="0" w:afterAutospacing="0"/>
              <w:ind w:left="0" w:right="0" w:firstLine="0" w:firstLineChars="0"/>
              <w:jc w:val="both"/>
              <w:rPr>
                <w:rFonts w:hint="eastAsia" w:ascii="仿宋" w:hAnsi="仿宋" w:eastAsia="仿宋" w:cs="仿宋"/>
                <w:sz w:val="22"/>
                <w:szCs w:val="22"/>
                <w:highlight w:val="none"/>
              </w:rPr>
            </w:pPr>
            <w:r>
              <w:rPr>
                <w:rFonts w:hint="eastAsia" w:ascii="仿宋" w:hAnsi="仿宋" w:eastAsia="仿宋" w:cs="仿宋"/>
                <w:kern w:val="2"/>
                <w:sz w:val="22"/>
                <w:szCs w:val="22"/>
                <w:highlight w:val="none"/>
                <w:lang w:eastAsia="zh-CN" w:bidi="ar"/>
              </w:rPr>
              <w:t>1-1</w:t>
            </w:r>
            <w:r>
              <w:rPr>
                <w:rFonts w:hint="eastAsia" w:ascii="仿宋" w:hAnsi="仿宋" w:eastAsia="仿宋" w:cs="仿宋"/>
                <w:kern w:val="2"/>
                <w:sz w:val="22"/>
                <w:szCs w:val="22"/>
                <w:highlight w:val="none"/>
                <w:lang w:val="en-US" w:eastAsia="zh-CN" w:bidi="ar"/>
              </w:rPr>
              <w:t xml:space="preserve"> </w:t>
            </w:r>
            <w:r>
              <w:rPr>
                <w:rFonts w:hint="eastAsia" w:ascii="仿宋" w:hAnsi="仿宋" w:eastAsia="仿宋" w:cs="仿宋"/>
                <w:sz w:val="22"/>
                <w:szCs w:val="22"/>
                <w:highlight w:val="none"/>
              </w:rPr>
              <w:t xml:space="preserve"> 演示无线光电门传感器（双门）连接软件后能够设置多种模式，包含但不限于以下七种模式：①智能光门计时器模式；②光门和摆锤模式；③光门与栅栏模式；④光门计时模式（1个光电门）；⑤激光计时模式；⑥飞行计时模式；⑦光门计时（2个光门）模式。演示的软件画面中要明显观看到以上7种模式及对应的参数可设置的功能。得1分；</w:t>
            </w:r>
          </w:p>
          <w:p w14:paraId="63DE38C9">
            <w:pPr>
              <w:bidi w:val="0"/>
              <w:snapToGrid w:val="0"/>
              <w:rPr>
                <w:rFonts w:hint="eastAsia" w:ascii="仿宋" w:hAnsi="仿宋" w:eastAsia="仿宋" w:cs="仿宋"/>
                <w:sz w:val="22"/>
                <w:szCs w:val="22"/>
                <w:highlight w:val="none"/>
              </w:rPr>
            </w:pPr>
          </w:p>
          <w:p w14:paraId="0E944C1D">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1-2  演示飞行计时模式；通过扩展接口接入震动触发器。测量物体通过光门时间及触发器触发的时间。演示光门计时（两个光门）模式：通过扩展接口接入扩展光门模块，测量物体通过2个光门的门内时间、门间时间，测算相应速度。得1分；</w:t>
            </w:r>
          </w:p>
          <w:p w14:paraId="4A2F7E5C">
            <w:pPr>
              <w:bidi w:val="0"/>
              <w:snapToGrid w:val="0"/>
              <w:rPr>
                <w:rFonts w:hint="eastAsia" w:ascii="仿宋" w:hAnsi="仿宋" w:eastAsia="仿宋" w:cs="仿宋"/>
                <w:sz w:val="22"/>
                <w:szCs w:val="22"/>
                <w:highlight w:val="none"/>
              </w:rPr>
            </w:pPr>
          </w:p>
          <w:p w14:paraId="5C82D905">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实验演示：完成测量物体运动的速度实验</w:t>
            </w:r>
          </w:p>
          <w:p w14:paraId="3214C04C">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1-3  用激光发射器照射激光接收孔，人体运动通过激光和激光接收孔之间时遮挡光线，测得人体运动遮光时间，可以输入人体宽度从而计算出人体运动的速度。演示过程中要明显看到遮光时间及人体运动速度的计算过程。得1分；</w:t>
            </w:r>
          </w:p>
          <w:p w14:paraId="578A7088">
            <w:pPr>
              <w:bidi w:val="0"/>
              <w:snapToGrid w:val="0"/>
              <w:rPr>
                <w:rFonts w:hint="eastAsia" w:ascii="仿宋" w:hAnsi="仿宋" w:eastAsia="仿宋" w:cs="仿宋"/>
                <w:sz w:val="22"/>
                <w:szCs w:val="22"/>
                <w:highlight w:val="none"/>
              </w:rPr>
            </w:pPr>
          </w:p>
          <w:p w14:paraId="02073219">
            <w:pPr>
              <w:bidi w:val="0"/>
              <w:snapToGrid w:val="0"/>
              <w:rPr>
                <w:rFonts w:hint="eastAsia" w:ascii="仿宋" w:hAnsi="仿宋" w:eastAsia="仿宋" w:cs="仿宋"/>
                <w:sz w:val="22"/>
                <w:szCs w:val="22"/>
                <w:highlight w:val="none"/>
              </w:rPr>
            </w:pPr>
            <w:r>
              <w:rPr>
                <w:rFonts w:hint="eastAsia" w:ascii="仿宋" w:hAnsi="仿宋" w:eastAsia="仿宋" w:cs="仿宋"/>
                <w:sz w:val="22"/>
                <w:szCs w:val="22"/>
                <w:highlight w:val="none"/>
              </w:rPr>
              <w:t>1-4  在软件界面中通过无线蓝牙连接上无线光电门传感器，在软件中设置智能光门计时器模式，演示小车从轨道相同位置下滑，用光电门分别测量小车上宽度为0.06m、0.04m、0.02m挡光片经过相同位置的瞬时速度，实验演示过程中要明显观看到操作过程中无需设置挡光片</w:t>
            </w:r>
          </w:p>
          <w:p w14:paraId="43926375">
            <w:pPr>
              <w:bidi w:val="0"/>
              <w:snapToGrid w:val="0"/>
              <w:rPr>
                <w:rFonts w:hint="eastAsia" w:ascii="仿宋" w:hAnsi="仿宋" w:eastAsia="仿宋" w:cs="仿宋"/>
                <w:b/>
                <w:bCs/>
                <w:sz w:val="22"/>
                <w:szCs w:val="22"/>
                <w:highlight w:val="none"/>
              </w:rPr>
            </w:pPr>
            <w:r>
              <w:rPr>
                <w:rFonts w:hint="eastAsia" w:ascii="仿宋" w:hAnsi="仿宋" w:eastAsia="仿宋" w:cs="仿宋"/>
                <w:sz w:val="22"/>
                <w:szCs w:val="22"/>
                <w:highlight w:val="none"/>
              </w:rPr>
              <w:t>宽度，且三次测得的瞬时速度相对误差≤10%。得2分；</w:t>
            </w:r>
          </w:p>
          <w:p w14:paraId="051CA503">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val="en-US" w:eastAsia="zh-CN" w:bidi="ar"/>
              </w:rPr>
            </w:pPr>
          </w:p>
          <w:p w14:paraId="5CFF8D83">
            <w:pPr>
              <w:keepNext w:val="0"/>
              <w:keepLines w:val="0"/>
              <w:widowControl/>
              <w:suppressLineNumbers w:val="0"/>
              <w:snapToGrid w:val="0"/>
              <w:jc w:val="left"/>
              <w:rPr>
                <w:rFonts w:hint="eastAsia" w:ascii="仿宋" w:hAnsi="仿宋" w:eastAsia="仿宋" w:cs="仿宋"/>
                <w:kern w:val="0"/>
                <w:sz w:val="22"/>
                <w:szCs w:val="22"/>
                <w:highlight w:val="none"/>
                <w:lang w:val="en-US" w:eastAsia="zh-CN" w:bidi="ar"/>
              </w:rPr>
            </w:pPr>
            <w:r>
              <w:rPr>
                <w:rFonts w:hint="eastAsia" w:ascii="仿宋" w:hAnsi="仿宋" w:eastAsia="仿宋" w:cs="仿宋"/>
                <w:kern w:val="0"/>
                <w:sz w:val="22"/>
                <w:szCs w:val="22"/>
                <w:highlight w:val="none"/>
                <w:lang w:val="en-US" w:eastAsia="zh-CN" w:bidi="ar"/>
              </w:rPr>
              <w:t>演示2：用数芯一体式光电效应的定量研究实验板完成以下功能演示</w:t>
            </w:r>
            <w:r>
              <w:rPr>
                <w:rFonts w:hint="eastAsia" w:ascii="仿宋" w:hAnsi="仿宋" w:eastAsia="仿宋" w:cs="仿宋"/>
                <w:kern w:val="0"/>
                <w:sz w:val="22"/>
                <w:szCs w:val="22"/>
                <w:highlight w:val="none"/>
                <w:lang w:eastAsia="zh-CN" w:bidi="ar"/>
              </w:rPr>
              <w:t>（5分）</w:t>
            </w:r>
            <w:r>
              <w:rPr>
                <w:rFonts w:hint="eastAsia" w:ascii="仿宋" w:hAnsi="仿宋" w:eastAsia="仿宋" w:cs="仿宋"/>
                <w:kern w:val="0"/>
                <w:sz w:val="22"/>
                <w:szCs w:val="22"/>
                <w:highlight w:val="none"/>
                <w:lang w:val="en-US" w:eastAsia="zh-CN" w:bidi="ar"/>
              </w:rPr>
              <w:t xml:space="preserve"> </w:t>
            </w:r>
          </w:p>
          <w:p w14:paraId="552D86D0">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val="en-US" w:eastAsia="zh-CN" w:bidi="ar"/>
              </w:rPr>
            </w:pPr>
            <w:r>
              <w:rPr>
                <w:rFonts w:hint="eastAsia" w:ascii="仿宋" w:hAnsi="仿宋" w:eastAsia="仿宋" w:cs="仿宋"/>
                <w:kern w:val="0"/>
                <w:sz w:val="22"/>
                <w:szCs w:val="22"/>
                <w:highlight w:val="none"/>
                <w:lang w:eastAsia="zh-CN" w:bidi="ar"/>
              </w:rPr>
              <w:t xml:space="preserve">2-1 </w:t>
            </w:r>
            <w:r>
              <w:rPr>
                <w:rFonts w:hint="eastAsia" w:ascii="仿宋" w:hAnsi="仿宋" w:eastAsia="仿宋" w:cs="仿宋"/>
                <w:kern w:val="0"/>
                <w:sz w:val="22"/>
                <w:szCs w:val="22"/>
                <w:highlight w:val="none"/>
                <w:lang w:val="en-US" w:eastAsia="zh-CN" w:bidi="ar"/>
              </w:rPr>
              <w:t>演示该实验板内嵌电源（不能为</w:t>
            </w:r>
            <w:r>
              <w:rPr>
                <w:rFonts w:hint="eastAsia" w:ascii="仿宋" w:hAnsi="仿宋" w:eastAsia="仿宋" w:cs="仿宋"/>
                <w:kern w:val="0"/>
                <w:sz w:val="22"/>
                <w:szCs w:val="22"/>
                <w:highlight w:val="none"/>
                <w:lang w:eastAsia="zh-CN" w:bidi="ar"/>
              </w:rPr>
              <w:t>外置或外接电源</w:t>
            </w:r>
            <w:r>
              <w:rPr>
                <w:rFonts w:hint="eastAsia" w:ascii="仿宋" w:hAnsi="仿宋" w:eastAsia="仿宋" w:cs="仿宋"/>
                <w:kern w:val="0"/>
                <w:sz w:val="22"/>
                <w:szCs w:val="22"/>
                <w:highlight w:val="none"/>
                <w:lang w:val="en-US" w:eastAsia="zh-CN" w:bidi="ar"/>
              </w:rPr>
              <w:t>）的功能：具有</w:t>
            </w:r>
            <w:r>
              <w:rPr>
                <w:rFonts w:hint="eastAsia" w:ascii="仿宋" w:hAnsi="仿宋" w:eastAsia="仿宋" w:cs="仿宋"/>
                <w:kern w:val="0"/>
                <w:sz w:val="22"/>
                <w:szCs w:val="22"/>
                <w:highlight w:val="none"/>
                <w:lang w:eastAsia="zh-CN" w:bidi="ar"/>
              </w:rPr>
              <w:t>不小于</w:t>
            </w:r>
            <w:r>
              <w:rPr>
                <w:rFonts w:hint="eastAsia" w:ascii="仿宋" w:hAnsi="仿宋" w:eastAsia="仿宋" w:cs="仿宋"/>
                <w:kern w:val="0"/>
                <w:sz w:val="22"/>
                <w:szCs w:val="22"/>
                <w:highlight w:val="none"/>
                <w:lang w:val="en-US" w:eastAsia="zh-CN" w:bidi="ar"/>
              </w:rPr>
              <w:t>5-28V的连续可调电压、并显示数据，具有正反向切换开关，具有Teyp-c接口可充电，具有电量表显示电量。</w:t>
            </w:r>
            <w:r>
              <w:rPr>
                <w:rFonts w:hint="eastAsia" w:ascii="仿宋" w:hAnsi="仿宋" w:eastAsia="仿宋" w:cs="仿宋"/>
                <w:kern w:val="0"/>
                <w:sz w:val="22"/>
                <w:szCs w:val="22"/>
                <w:highlight w:val="none"/>
                <w:lang w:eastAsia="zh-CN" w:bidi="ar"/>
              </w:rPr>
              <w:t>得1分；</w:t>
            </w:r>
            <w:r>
              <w:rPr>
                <w:rFonts w:hint="eastAsia" w:ascii="仿宋" w:hAnsi="仿宋" w:eastAsia="仿宋" w:cs="仿宋"/>
                <w:kern w:val="0"/>
                <w:sz w:val="22"/>
                <w:szCs w:val="22"/>
                <w:highlight w:val="none"/>
                <w:lang w:val="en-US" w:eastAsia="zh-CN" w:bidi="ar"/>
              </w:rPr>
              <w:t xml:space="preserve"> </w:t>
            </w:r>
          </w:p>
          <w:p w14:paraId="5D74AE76">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p>
          <w:p w14:paraId="3BAC953B">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val="en-US" w:eastAsia="zh-CN" w:bidi="ar"/>
              </w:rPr>
            </w:pPr>
            <w:r>
              <w:rPr>
                <w:rFonts w:hint="eastAsia" w:ascii="仿宋" w:hAnsi="仿宋" w:eastAsia="仿宋" w:cs="仿宋"/>
                <w:kern w:val="0"/>
                <w:sz w:val="22"/>
                <w:szCs w:val="22"/>
                <w:highlight w:val="none"/>
                <w:lang w:eastAsia="zh-CN" w:bidi="ar"/>
              </w:rPr>
              <w:t xml:space="preserve">2-2 </w:t>
            </w:r>
            <w:r>
              <w:rPr>
                <w:rFonts w:hint="eastAsia" w:ascii="仿宋" w:hAnsi="仿宋" w:eastAsia="仿宋" w:cs="仿宋"/>
                <w:kern w:val="0"/>
                <w:sz w:val="22"/>
                <w:szCs w:val="22"/>
                <w:highlight w:val="none"/>
                <w:lang w:val="en-US" w:eastAsia="zh-CN" w:bidi="ar"/>
              </w:rPr>
              <w:t>演示该实验板内嵌无线微电流传感器、无线电压传感器（不能为外接式的无线发射模块、传感器）的功能：内嵌4位</w:t>
            </w:r>
            <w:r>
              <w:rPr>
                <w:rFonts w:hint="eastAsia" w:ascii="仿宋" w:hAnsi="仿宋" w:eastAsia="仿宋" w:cs="仿宋"/>
                <w:kern w:val="0"/>
                <w:sz w:val="22"/>
                <w:szCs w:val="22"/>
                <w:highlight w:val="none"/>
                <w:lang w:eastAsia="zh-CN" w:bidi="ar"/>
              </w:rPr>
              <w:t>不小于</w:t>
            </w:r>
            <w:r>
              <w:rPr>
                <w:rFonts w:hint="eastAsia" w:ascii="仿宋" w:hAnsi="仿宋" w:eastAsia="仿宋" w:cs="仿宋"/>
                <w:kern w:val="0"/>
                <w:sz w:val="22"/>
                <w:szCs w:val="22"/>
                <w:highlight w:val="none"/>
                <w:lang w:val="en-US" w:eastAsia="zh-CN" w:bidi="ar"/>
              </w:rPr>
              <w:t>0.56英寸</w:t>
            </w:r>
            <w:r>
              <w:rPr>
                <w:rFonts w:hint="eastAsia" w:ascii="仿宋" w:hAnsi="仿宋" w:eastAsia="仿宋" w:cs="仿宋"/>
                <w:kern w:val="0"/>
                <w:sz w:val="22"/>
                <w:szCs w:val="22"/>
                <w:highlight w:val="none"/>
                <w:lang w:eastAsia="zh-CN" w:bidi="ar"/>
              </w:rPr>
              <w:t>高</w:t>
            </w:r>
            <w:r>
              <w:rPr>
                <w:rFonts w:hint="eastAsia" w:ascii="仿宋" w:hAnsi="仿宋" w:eastAsia="仿宋" w:cs="仿宋"/>
                <w:kern w:val="0"/>
                <w:sz w:val="22"/>
                <w:szCs w:val="22"/>
                <w:highlight w:val="none"/>
                <w:lang w:val="en-US" w:eastAsia="zh-CN" w:bidi="ar"/>
              </w:rPr>
              <w:t>亮数码管</w:t>
            </w:r>
            <w:r>
              <w:rPr>
                <w:rFonts w:hint="eastAsia" w:ascii="仿宋" w:hAnsi="仿宋" w:eastAsia="仿宋" w:cs="仿宋"/>
                <w:kern w:val="0"/>
                <w:sz w:val="22"/>
                <w:szCs w:val="22"/>
                <w:highlight w:val="none"/>
                <w:lang w:eastAsia="zh-CN" w:bidi="ar"/>
              </w:rPr>
              <w:t>，</w:t>
            </w:r>
            <w:r>
              <w:rPr>
                <w:rFonts w:hint="eastAsia" w:ascii="仿宋" w:hAnsi="仿宋" w:eastAsia="仿宋" w:cs="仿宋"/>
                <w:kern w:val="0"/>
                <w:sz w:val="22"/>
                <w:szCs w:val="22"/>
                <w:highlight w:val="none"/>
                <w:lang w:val="en-US" w:eastAsia="zh-CN" w:bidi="ar"/>
              </w:rPr>
              <w:t>内嵌传感器具有无线识别码与电脑或采集终端进行精准无线连接，连接软件后能显示采集的电流、电压数据。</w:t>
            </w:r>
            <w:r>
              <w:rPr>
                <w:rFonts w:hint="eastAsia" w:ascii="仿宋" w:hAnsi="仿宋" w:eastAsia="仿宋" w:cs="仿宋"/>
                <w:kern w:val="0"/>
                <w:sz w:val="22"/>
                <w:szCs w:val="22"/>
                <w:highlight w:val="none"/>
                <w:lang w:eastAsia="zh-CN" w:bidi="ar"/>
              </w:rPr>
              <w:t>得1分；</w:t>
            </w:r>
            <w:r>
              <w:rPr>
                <w:rFonts w:hint="eastAsia" w:ascii="仿宋" w:hAnsi="仿宋" w:eastAsia="仿宋" w:cs="仿宋"/>
                <w:kern w:val="0"/>
                <w:sz w:val="22"/>
                <w:szCs w:val="22"/>
                <w:highlight w:val="none"/>
                <w:lang w:val="en-US" w:eastAsia="zh-CN" w:bidi="ar"/>
              </w:rPr>
              <w:t xml:space="preserve"> </w:t>
            </w:r>
          </w:p>
          <w:p w14:paraId="45C66D7F">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p>
          <w:p w14:paraId="5A3F2FCF">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r>
              <w:rPr>
                <w:rFonts w:hint="eastAsia" w:ascii="仿宋" w:hAnsi="仿宋" w:eastAsia="仿宋" w:cs="仿宋"/>
                <w:kern w:val="0"/>
                <w:sz w:val="22"/>
                <w:szCs w:val="22"/>
                <w:highlight w:val="none"/>
                <w:lang w:eastAsia="zh-CN" w:bidi="ar"/>
              </w:rPr>
              <w:t xml:space="preserve">2-3 </w:t>
            </w:r>
            <w:r>
              <w:rPr>
                <w:rFonts w:hint="eastAsia" w:ascii="仿宋" w:hAnsi="仿宋" w:eastAsia="仿宋" w:cs="仿宋"/>
                <w:kern w:val="0"/>
                <w:sz w:val="22"/>
                <w:szCs w:val="22"/>
                <w:highlight w:val="none"/>
                <w:lang w:val="en-US" w:eastAsia="zh-CN" w:bidi="ar"/>
              </w:rPr>
              <w:t>演示该实验板内嵌色光调节器的功能：具有6档开关，可调节红、黄、绿、蓝、紫5种色光，具有光强调节器，每种色光分三档光强调节。</w:t>
            </w:r>
            <w:r>
              <w:rPr>
                <w:rFonts w:hint="eastAsia" w:ascii="仿宋" w:hAnsi="仿宋" w:eastAsia="仿宋" w:cs="仿宋"/>
                <w:kern w:val="0"/>
                <w:sz w:val="22"/>
                <w:szCs w:val="22"/>
                <w:highlight w:val="none"/>
                <w:lang w:eastAsia="zh-CN" w:bidi="ar"/>
              </w:rPr>
              <w:t>得1分；</w:t>
            </w:r>
          </w:p>
          <w:p w14:paraId="2429098C">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p>
          <w:p w14:paraId="388B02EA">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r>
              <w:rPr>
                <w:rFonts w:hint="eastAsia" w:ascii="仿宋" w:hAnsi="仿宋" w:eastAsia="仿宋" w:cs="仿宋"/>
                <w:kern w:val="0"/>
                <w:sz w:val="22"/>
                <w:szCs w:val="22"/>
                <w:highlight w:val="none"/>
                <w:lang w:eastAsia="zh-CN" w:bidi="ar"/>
              </w:rPr>
              <w:t xml:space="preserve">2-4 </w:t>
            </w:r>
            <w:r>
              <w:rPr>
                <w:rFonts w:hint="eastAsia" w:ascii="仿宋" w:hAnsi="仿宋" w:eastAsia="仿宋" w:cs="仿宋"/>
                <w:kern w:val="0"/>
                <w:sz w:val="22"/>
                <w:szCs w:val="22"/>
                <w:highlight w:val="none"/>
                <w:lang w:val="en-US" w:eastAsia="zh-CN" w:bidi="ar"/>
              </w:rPr>
              <w:t xml:space="preserve">用该实验板内嵌的红光照射光电管时，切换三档光强进行照射时，内嵌微电流传感器的示数，显示光电流均不大于0.1μA。 </w:t>
            </w:r>
            <w:r>
              <w:rPr>
                <w:rFonts w:hint="eastAsia" w:ascii="仿宋" w:hAnsi="仿宋" w:eastAsia="仿宋" w:cs="仿宋"/>
                <w:kern w:val="0"/>
                <w:sz w:val="22"/>
                <w:szCs w:val="22"/>
                <w:highlight w:val="none"/>
                <w:lang w:eastAsia="zh-CN" w:bidi="ar"/>
              </w:rPr>
              <w:t>得1分。</w:t>
            </w:r>
          </w:p>
          <w:p w14:paraId="0779F156">
            <w:pPr>
              <w:keepNext w:val="0"/>
              <w:keepLines w:val="0"/>
              <w:widowControl/>
              <w:numPr>
                <w:ilvl w:val="0"/>
                <w:numId w:val="0"/>
              </w:numPr>
              <w:suppressLineNumbers w:val="0"/>
              <w:snapToGrid w:val="0"/>
              <w:jc w:val="left"/>
              <w:rPr>
                <w:rFonts w:hint="eastAsia" w:ascii="仿宋" w:hAnsi="仿宋" w:eastAsia="仿宋" w:cs="仿宋"/>
                <w:kern w:val="0"/>
                <w:sz w:val="22"/>
                <w:szCs w:val="22"/>
                <w:highlight w:val="none"/>
                <w:lang w:eastAsia="zh-CN" w:bidi="ar"/>
              </w:rPr>
            </w:pPr>
          </w:p>
          <w:p w14:paraId="68AD0BB5">
            <w:pPr>
              <w:keepNext w:val="0"/>
              <w:keepLines w:val="0"/>
              <w:widowControl/>
              <w:numPr>
                <w:ilvl w:val="0"/>
                <w:numId w:val="0"/>
              </w:numPr>
              <w:suppressLineNumbers w:val="0"/>
              <w:snapToGrid w:val="0"/>
              <w:jc w:val="left"/>
              <w:rPr>
                <w:rFonts w:hint="eastAsia" w:ascii="仿宋" w:hAnsi="仿宋" w:eastAsia="仿宋" w:cs="仿宋"/>
                <w:sz w:val="22"/>
                <w:szCs w:val="22"/>
                <w:highlight w:val="none"/>
              </w:rPr>
            </w:pPr>
            <w:r>
              <w:rPr>
                <w:rFonts w:hint="eastAsia" w:ascii="仿宋" w:hAnsi="仿宋" w:eastAsia="仿宋" w:cs="仿宋"/>
                <w:kern w:val="0"/>
                <w:sz w:val="22"/>
                <w:szCs w:val="22"/>
                <w:highlight w:val="none"/>
                <w:lang w:eastAsia="zh-CN" w:bidi="ar"/>
              </w:rPr>
              <w:t xml:space="preserve">2-5 </w:t>
            </w:r>
            <w:r>
              <w:rPr>
                <w:rFonts w:hint="eastAsia" w:ascii="仿宋" w:hAnsi="仿宋" w:eastAsia="仿宋" w:cs="仿宋"/>
                <w:kern w:val="0"/>
                <w:sz w:val="22"/>
                <w:szCs w:val="22"/>
                <w:highlight w:val="none"/>
                <w:lang w:val="en-US" w:eastAsia="zh-CN" w:bidi="ar"/>
              </w:rPr>
              <w:t>演示该实验板测定四种不同色光在同一档光强时的反向遏止电压，利用遏止电压通过数据采集软件公式编辑功能计算得到Ek（光电子的最大初动能），在数据采集软件中绘制Ek与入射光频率的关系图像，得到Ek与入射光频率关系的数据点成线性关系</w:t>
            </w:r>
            <w:r>
              <w:rPr>
                <w:rFonts w:hint="eastAsia" w:ascii="仿宋" w:hAnsi="仿宋" w:eastAsia="仿宋" w:cs="仿宋"/>
                <w:kern w:val="0"/>
                <w:sz w:val="22"/>
                <w:szCs w:val="22"/>
                <w:highlight w:val="none"/>
                <w:lang w:eastAsia="zh-CN" w:bidi="ar"/>
              </w:rPr>
              <w:t>。得1分</w:t>
            </w:r>
            <w:r>
              <w:rPr>
                <w:rFonts w:hint="eastAsia" w:ascii="仿宋" w:hAnsi="仿宋" w:eastAsia="仿宋" w:cs="仿宋"/>
                <w:b/>
                <w:bCs/>
                <w:kern w:val="0"/>
                <w:sz w:val="22"/>
                <w:szCs w:val="22"/>
                <w:highlight w:val="none"/>
                <w:lang w:val="en-US" w:eastAsia="zh-CN" w:bidi="ar"/>
              </w:rPr>
              <w:t>。</w:t>
            </w:r>
          </w:p>
          <w:p w14:paraId="54BBF374">
            <w:pPr>
              <w:pStyle w:val="7"/>
              <w:keepNext w:val="0"/>
              <w:keepLines w:val="0"/>
              <w:widowControl w:val="0"/>
              <w:suppressLineNumbers w:val="0"/>
              <w:snapToGrid w:val="0"/>
              <w:spacing w:before="0" w:beforeAutospacing="0" w:after="0" w:afterAutospacing="0"/>
              <w:ind w:left="0" w:right="0" w:firstLine="0"/>
              <w:jc w:val="both"/>
              <w:rPr>
                <w:rFonts w:hint="eastAsia" w:ascii="仿宋" w:hAnsi="仿宋" w:eastAsia="仿宋" w:cs="仿宋"/>
                <w:kern w:val="2"/>
                <w:sz w:val="22"/>
                <w:szCs w:val="22"/>
                <w:highlight w:val="none"/>
              </w:rPr>
            </w:pPr>
            <w:r>
              <w:rPr>
                <w:rFonts w:hint="eastAsia" w:ascii="仿宋" w:hAnsi="仿宋" w:eastAsia="仿宋" w:cs="仿宋"/>
                <w:kern w:val="2"/>
                <w:sz w:val="22"/>
                <w:szCs w:val="22"/>
                <w:highlight w:val="none"/>
                <w:lang w:val="en-US" w:eastAsia="zh-CN" w:bidi="ar"/>
              </w:rPr>
              <w:t xml:space="preserve"> </w:t>
            </w:r>
          </w:p>
          <w:p w14:paraId="2F9E6CBA">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val="en-US" w:eastAsia="zh-CN" w:bidi="ar"/>
              </w:rPr>
            </w:pPr>
            <w:r>
              <w:rPr>
                <w:rFonts w:hint="eastAsia" w:ascii="仿宋" w:hAnsi="仿宋" w:eastAsia="仿宋" w:cs="仿宋"/>
                <w:kern w:val="2"/>
                <w:sz w:val="22"/>
                <w:szCs w:val="22"/>
                <w:highlight w:val="none"/>
                <w:lang w:val="en-US" w:eastAsia="zh-CN" w:bidi="ar"/>
              </w:rPr>
              <w:t>演示3：用无线彩屏滴数传感器及附件完成“中和滴定实验”及功能演示（</w:t>
            </w:r>
            <w:r>
              <w:rPr>
                <w:rFonts w:hint="eastAsia" w:ascii="仿宋" w:hAnsi="仿宋" w:eastAsia="仿宋" w:cs="仿宋"/>
                <w:kern w:val="2"/>
                <w:sz w:val="22"/>
                <w:szCs w:val="22"/>
                <w:highlight w:val="none"/>
                <w:lang w:eastAsia="zh-CN" w:bidi="ar"/>
              </w:rPr>
              <w:t>5</w:t>
            </w:r>
            <w:r>
              <w:rPr>
                <w:rFonts w:hint="eastAsia" w:ascii="仿宋" w:hAnsi="仿宋" w:eastAsia="仿宋" w:cs="仿宋"/>
                <w:kern w:val="2"/>
                <w:sz w:val="22"/>
                <w:szCs w:val="22"/>
                <w:highlight w:val="none"/>
                <w:lang w:val="en-US" w:eastAsia="zh-CN" w:bidi="ar"/>
              </w:rPr>
              <w:t>分）</w:t>
            </w:r>
          </w:p>
          <w:p w14:paraId="2542AFD0">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r>
              <w:rPr>
                <w:rFonts w:hint="eastAsia" w:ascii="仿宋" w:hAnsi="仿宋" w:eastAsia="仿宋" w:cs="仿宋"/>
                <w:kern w:val="2"/>
                <w:sz w:val="22"/>
                <w:szCs w:val="22"/>
                <w:highlight w:val="none"/>
                <w:lang w:eastAsia="zh-CN" w:bidi="ar"/>
              </w:rPr>
              <w:t>3-1 演示</w:t>
            </w:r>
            <w:r>
              <w:rPr>
                <w:rFonts w:hint="eastAsia" w:ascii="仿宋" w:hAnsi="仿宋" w:eastAsia="仿宋" w:cs="仿宋"/>
                <w:kern w:val="2"/>
                <w:sz w:val="22"/>
                <w:szCs w:val="22"/>
                <w:highlight w:val="none"/>
                <w:lang w:val="en-US" w:eastAsia="zh-CN" w:bidi="ar"/>
              </w:rPr>
              <w:t>无线彩屏滴数传感器</w:t>
            </w:r>
            <w:r>
              <w:rPr>
                <w:rFonts w:hint="eastAsia" w:ascii="仿宋" w:hAnsi="仿宋" w:eastAsia="仿宋" w:cs="仿宋"/>
                <w:kern w:val="2"/>
                <w:sz w:val="22"/>
                <w:szCs w:val="22"/>
                <w:highlight w:val="none"/>
                <w:lang w:eastAsia="zh-CN" w:bidi="ar"/>
              </w:rPr>
              <w:t>进行脱机实验，不用连接任何设备、按开始按钮直接读取显示数值，滴数感应到液滴时状态指示灯亮。得1分；</w:t>
            </w:r>
          </w:p>
          <w:p w14:paraId="533C37EC">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p>
          <w:p w14:paraId="2D7EA42E">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r>
              <w:rPr>
                <w:rFonts w:hint="eastAsia" w:ascii="仿宋" w:hAnsi="仿宋" w:eastAsia="仿宋" w:cs="仿宋"/>
                <w:kern w:val="2"/>
                <w:sz w:val="22"/>
                <w:szCs w:val="22"/>
                <w:highlight w:val="none"/>
                <w:lang w:eastAsia="zh-CN" w:bidi="ar"/>
              </w:rPr>
              <w:t>3-2 演示无线彩屏滴数传感器全窗口可检测的功能，在窗口区域内无需对准某个固定位置，任意调整三个位置都能检测到滴数变化。得1分；</w:t>
            </w:r>
          </w:p>
          <w:p w14:paraId="752AAA09">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p>
          <w:p w14:paraId="626800B5">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r>
              <w:rPr>
                <w:rFonts w:hint="eastAsia" w:ascii="仿宋" w:hAnsi="仿宋" w:eastAsia="仿宋" w:cs="仿宋"/>
                <w:kern w:val="2"/>
                <w:sz w:val="22"/>
                <w:szCs w:val="22"/>
                <w:highlight w:val="none"/>
                <w:lang w:eastAsia="zh-CN" w:bidi="ar"/>
              </w:rPr>
              <w:t>3-3 演示无线彩屏滴数传感器内置屏幕上显示唯一蓝牙识别码，传感器与终端（电脑或平板或手机）使用无线方式连接时，无需数据采集器和数据线，即可实现选择性连接。得1分；</w:t>
            </w:r>
          </w:p>
          <w:p w14:paraId="75329659">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p>
          <w:p w14:paraId="798D1476">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r>
              <w:rPr>
                <w:rFonts w:hint="eastAsia" w:ascii="仿宋" w:hAnsi="仿宋" w:eastAsia="仿宋" w:cs="仿宋"/>
                <w:kern w:val="2"/>
                <w:sz w:val="22"/>
                <w:szCs w:val="22"/>
                <w:highlight w:val="none"/>
                <w:lang w:eastAsia="zh-CN" w:bidi="ar"/>
              </w:rPr>
              <w:t>3-4 使用无线彩屏滴数传感器及其他附件完成中和滴定实验。点击实验模版【中和滴定实验】进入实验，开始实验后，打开滴数实验装置，在数据采集软件中，实时显示中和反应中pH-滴数体积曲线，可清晰呈现中和滴定的突变过程。得1分；</w:t>
            </w:r>
          </w:p>
          <w:p w14:paraId="7C15A917">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p>
          <w:p w14:paraId="51729377">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lang w:eastAsia="zh-CN" w:bidi="ar"/>
              </w:rPr>
            </w:pPr>
            <w:r>
              <w:rPr>
                <w:rFonts w:hint="eastAsia" w:ascii="仿宋" w:hAnsi="仿宋" w:eastAsia="仿宋" w:cs="仿宋"/>
                <w:kern w:val="2"/>
                <w:sz w:val="22"/>
                <w:szCs w:val="22"/>
                <w:highlight w:val="none"/>
                <w:lang w:eastAsia="zh-CN" w:bidi="ar"/>
              </w:rPr>
              <w:t>3-5 利用软件根据图像在突变区域选择适当位置的滴数体积数值，可填入第二页【未知溶液浓度】表格中，一键计算出未知溶液的浓度。要明显观看到滴定的突变过程及一键计算的过程。得1分；</w:t>
            </w:r>
          </w:p>
          <w:p w14:paraId="5AAA75FB">
            <w:pPr>
              <w:pStyle w:val="13"/>
              <w:snapToGrid w:val="0"/>
              <w:ind w:left="0" w:leftChars="0" w:firstLine="0" w:firstLineChars="0"/>
              <w:rPr>
                <w:rFonts w:hint="eastAsia" w:ascii="仿宋" w:hAnsi="仿宋" w:eastAsia="仿宋" w:cs="仿宋"/>
                <w:sz w:val="22"/>
                <w:szCs w:val="22"/>
                <w:highlight w:val="none"/>
              </w:rPr>
            </w:pPr>
          </w:p>
          <w:p w14:paraId="2D880E2A">
            <w:pPr>
              <w:keepNext w:val="0"/>
              <w:keepLines w:val="0"/>
              <w:widowControl/>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shd w:val="clear" w:color="auto" w:fill="auto"/>
              </w:rPr>
            </w:pPr>
            <w:r>
              <w:rPr>
                <w:rFonts w:hint="eastAsia" w:ascii="仿宋" w:hAnsi="仿宋" w:eastAsia="仿宋" w:cs="仿宋"/>
                <w:kern w:val="2"/>
                <w:sz w:val="22"/>
                <w:szCs w:val="22"/>
                <w:highlight w:val="none"/>
                <w:lang w:val="en-US" w:eastAsia="zh-CN" w:bidi="ar"/>
              </w:rPr>
              <w:t>演示4：用</w:t>
            </w:r>
            <w:r>
              <w:rPr>
                <w:rFonts w:hint="eastAsia" w:ascii="仿宋" w:hAnsi="仿宋" w:eastAsia="仿宋" w:cs="仿宋"/>
                <w:kern w:val="2"/>
                <w:sz w:val="22"/>
                <w:szCs w:val="22"/>
                <w:highlight w:val="none"/>
                <w:shd w:val="clear" w:color="auto" w:fill="auto"/>
                <w:lang w:val="en-US" w:eastAsia="zh-CN" w:bidi="ar"/>
              </w:rPr>
              <w:t>无线彩屏力与加速度传感器及其附件完成演示“向心力实验”及功能演示（5分）</w:t>
            </w:r>
          </w:p>
          <w:p w14:paraId="20AD4CE3">
            <w:pPr>
              <w:widowControl w:val="0"/>
              <w:snapToGrid w:val="0"/>
              <w:jc w:val="both"/>
              <w:rPr>
                <w:rFonts w:hint="eastAsia" w:ascii="仿宋" w:hAnsi="仿宋" w:eastAsia="仿宋" w:cs="仿宋"/>
                <w:kern w:val="0"/>
                <w:sz w:val="22"/>
                <w:szCs w:val="22"/>
                <w:highlight w:val="none"/>
                <w:lang w:val="en-US" w:eastAsia="zh-CN" w:bidi="ar"/>
              </w:rPr>
            </w:pPr>
          </w:p>
          <w:p w14:paraId="5D51872E">
            <w:pPr>
              <w:widowControl w:val="0"/>
              <w:snapToGrid w:val="0"/>
              <w:jc w:val="both"/>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4-1  演示无线彩屏力与加速度传感器</w:t>
            </w:r>
            <w:r>
              <w:rPr>
                <w:rFonts w:hint="eastAsia" w:ascii="仿宋" w:hAnsi="仿宋" w:eastAsia="仿宋" w:cs="仿宋"/>
                <w:kern w:val="2"/>
                <w:sz w:val="22"/>
                <w:szCs w:val="22"/>
                <w:highlight w:val="none"/>
                <w:lang w:val="en-US" w:eastAsia="zh-CN" w:bidi="ar"/>
              </w:rPr>
              <w:t>的结构功能：</w:t>
            </w:r>
            <w:r>
              <w:rPr>
                <w:rFonts w:hint="eastAsia" w:ascii="仿宋" w:hAnsi="仿宋" w:eastAsia="仿宋" w:cs="仿宋"/>
                <w:kern w:val="0"/>
                <w:sz w:val="22"/>
                <w:szCs w:val="22"/>
                <w:highlight w:val="none"/>
                <w:lang w:val="en-US" w:eastAsia="zh-CN" w:bidi="ar"/>
              </w:rPr>
              <w:t>自带彩屏、硬件调整小数位数、hold键，自带彩屏上可显示力、加速度、角速度的实时数据。</w:t>
            </w:r>
            <w:r>
              <w:rPr>
                <w:rFonts w:hint="eastAsia" w:ascii="仿宋" w:hAnsi="仿宋" w:eastAsia="仿宋" w:cs="仿宋"/>
                <w:kern w:val="2"/>
                <w:sz w:val="22"/>
                <w:szCs w:val="22"/>
                <w:highlight w:val="none"/>
                <w:lang w:val="en-US" w:eastAsia="zh-CN" w:bidi="ar"/>
              </w:rPr>
              <w:t>得分1分；</w:t>
            </w:r>
          </w:p>
          <w:p w14:paraId="587892E7">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lang w:val="en-US" w:eastAsia="zh-CN" w:bidi="ar"/>
              </w:rPr>
            </w:pPr>
          </w:p>
          <w:p w14:paraId="5C7FE9CE">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4-2  演示无线彩屏力与加速度传感器与终端（电脑或平板或手机）的连接功能：使用无线方式连接，无需数据采集器、数据线。</w:t>
            </w:r>
            <w:r>
              <w:rPr>
                <w:rFonts w:hint="eastAsia" w:ascii="仿宋" w:hAnsi="仿宋" w:eastAsia="仿宋" w:cs="仿宋"/>
                <w:kern w:val="2"/>
                <w:sz w:val="22"/>
                <w:szCs w:val="22"/>
                <w:highlight w:val="none"/>
                <w:lang w:val="en-US" w:eastAsia="zh-CN" w:bidi="ar"/>
              </w:rPr>
              <w:t>得分1分；</w:t>
            </w:r>
          </w:p>
          <w:p w14:paraId="75EF3E4D">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lang w:val="en-US" w:eastAsia="zh-CN" w:bidi="ar"/>
              </w:rPr>
            </w:pPr>
          </w:p>
          <w:p w14:paraId="5D974E7B">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4-3  传感器与终端连接后，在数据采集软件中，须能显示力-时间、加速度X-时间或加速度Y-时间或加速度Z-时间、角速度X-时间或角速度Y-时间或角速度Z-时间、倾角X-时间或倾角Y-时间或倾角Z-时间的实时数据曲线。</w:t>
            </w:r>
            <w:r>
              <w:rPr>
                <w:rFonts w:hint="eastAsia" w:ascii="仿宋" w:hAnsi="仿宋" w:eastAsia="仿宋" w:cs="仿宋"/>
                <w:kern w:val="2"/>
                <w:sz w:val="22"/>
                <w:szCs w:val="22"/>
                <w:highlight w:val="none"/>
                <w:lang w:val="en-US" w:eastAsia="zh-CN" w:bidi="ar"/>
              </w:rPr>
              <w:t>得1分；</w:t>
            </w:r>
          </w:p>
          <w:p w14:paraId="16BFA1DE">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p>
          <w:p w14:paraId="35D66D2F">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4-4  开始实验后，实时采集并在数据采集软件中显示向心力与角速度的关系的图像（采样频率不低于20赫兹，即1秒钟内采集的数据点不低于20个）；演示数据采集软件公式编辑功能，要</w:t>
            </w:r>
            <w:r>
              <w:rPr>
                <w:rFonts w:hint="eastAsia" w:ascii="仿宋" w:hAnsi="仿宋" w:eastAsia="仿宋" w:cs="仿宋"/>
                <w:kern w:val="2"/>
                <w:sz w:val="22"/>
                <w:szCs w:val="22"/>
                <w:highlight w:val="none"/>
                <w:lang w:val="en-US" w:eastAsia="zh-CN" w:bidi="ar"/>
              </w:rPr>
              <w:t>明显看到以下过程：</w:t>
            </w:r>
            <w:r>
              <w:rPr>
                <w:rFonts w:hint="eastAsia" w:ascii="仿宋" w:hAnsi="仿宋" w:eastAsia="仿宋" w:cs="仿宋"/>
                <w:kern w:val="0"/>
                <w:sz w:val="22"/>
                <w:szCs w:val="22"/>
                <w:highlight w:val="none"/>
                <w:lang w:val="en-US" w:eastAsia="zh-CN" w:bidi="ar"/>
              </w:rPr>
              <w:t>通过公式编辑功能获取角速度平方数据，并在数据采集软件中显示向心力与角速度平方的关系的图像。</w:t>
            </w:r>
            <w:r>
              <w:rPr>
                <w:rFonts w:hint="eastAsia" w:ascii="仿宋" w:hAnsi="仿宋" w:eastAsia="仿宋" w:cs="仿宋"/>
                <w:kern w:val="2"/>
                <w:sz w:val="22"/>
                <w:szCs w:val="22"/>
                <w:highlight w:val="none"/>
                <w:lang w:val="en-US" w:eastAsia="zh-CN" w:bidi="ar"/>
              </w:rPr>
              <w:t>得1分；</w:t>
            </w:r>
          </w:p>
          <w:p w14:paraId="6BDC4FAE">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p>
          <w:p w14:paraId="0C3BF11E">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r>
              <w:rPr>
                <w:rFonts w:hint="eastAsia" w:ascii="仿宋" w:hAnsi="仿宋" w:eastAsia="仿宋" w:cs="仿宋"/>
                <w:kern w:val="0"/>
                <w:sz w:val="22"/>
                <w:szCs w:val="22"/>
                <w:highlight w:val="none"/>
                <w:lang w:val="en-US" w:eastAsia="zh-CN" w:bidi="ar"/>
              </w:rPr>
              <w:t>4-5  利用数据采集软件的数据拟合功能，对向心力与角速度平方的关系的数据点进行线性拟合的数据处理操作，软件中拟合数据框中显示r&gt;0.9（数据点紧密围绕拟合曲线分布）,RMSE&lt;0.02（平均误差&lt;0.02）。得1分；</w:t>
            </w:r>
          </w:p>
          <w:p w14:paraId="0E9DAE05">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p>
          <w:p w14:paraId="4D6C917D">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shd w:val="clear" w:color="auto" w:fill="00FF00"/>
              </w:rPr>
            </w:pPr>
            <w:r>
              <w:rPr>
                <w:rFonts w:hint="eastAsia" w:ascii="仿宋" w:hAnsi="仿宋" w:eastAsia="仿宋" w:cs="仿宋"/>
                <w:kern w:val="2"/>
                <w:sz w:val="22"/>
                <w:szCs w:val="22"/>
                <w:highlight w:val="none"/>
                <w:lang w:val="en-US" w:eastAsia="zh-CN" w:bidi="ar"/>
              </w:rPr>
              <w:t xml:space="preserve"> </w:t>
            </w:r>
            <w:r>
              <w:rPr>
                <w:rFonts w:hint="eastAsia" w:ascii="仿宋" w:hAnsi="仿宋" w:eastAsia="仿宋" w:cs="仿宋"/>
                <w:kern w:val="0"/>
                <w:sz w:val="22"/>
                <w:szCs w:val="22"/>
                <w:highlight w:val="none"/>
                <w:shd w:val="clear" w:color="auto" w:fill="auto"/>
                <w:lang w:val="en-US" w:eastAsia="zh-CN" w:bidi="ar"/>
              </w:rPr>
              <w:t>演示5：</w:t>
            </w:r>
            <w:r>
              <w:rPr>
                <w:rFonts w:hint="eastAsia" w:ascii="仿宋" w:hAnsi="仿宋" w:eastAsia="仿宋" w:cs="仿宋"/>
                <w:kern w:val="2"/>
                <w:sz w:val="22"/>
                <w:szCs w:val="22"/>
                <w:highlight w:val="none"/>
                <w:shd w:val="clear" w:color="auto" w:fill="auto"/>
                <w:lang w:val="en-US" w:eastAsia="zh-CN" w:bidi="ar"/>
              </w:rPr>
              <w:t>用数芯一体法拉第电磁感应定律</w:t>
            </w:r>
            <w:r>
              <w:rPr>
                <w:rFonts w:hint="eastAsia" w:ascii="仿宋" w:hAnsi="仿宋" w:eastAsia="仿宋" w:cs="仿宋"/>
                <w:kern w:val="2"/>
                <w:sz w:val="22"/>
                <w:szCs w:val="22"/>
                <w:highlight w:val="none"/>
                <w:shd w:val="clear" w:color="auto" w:fill="auto"/>
                <w:lang w:eastAsia="zh-CN" w:bidi="ar"/>
              </w:rPr>
              <w:t>演示仪</w:t>
            </w:r>
            <w:r>
              <w:rPr>
                <w:rFonts w:hint="eastAsia" w:ascii="仿宋" w:hAnsi="仿宋" w:eastAsia="仿宋" w:cs="仿宋"/>
                <w:kern w:val="2"/>
                <w:sz w:val="22"/>
                <w:szCs w:val="22"/>
                <w:highlight w:val="none"/>
                <w:shd w:val="clear" w:color="auto" w:fill="auto"/>
                <w:lang w:val="en-US" w:eastAsia="zh-CN" w:bidi="ar"/>
              </w:rPr>
              <w:t>（I)及其附件 完成“法拉第电磁感应定律实验”及功能演示</w:t>
            </w:r>
          </w:p>
          <w:p w14:paraId="550F87E2">
            <w:pPr>
              <w:pStyle w:val="7"/>
              <w:keepNext w:val="0"/>
              <w:keepLines w:val="0"/>
              <w:widowControl/>
              <w:suppressLineNumbers w:val="0"/>
              <w:snapToGrid w:val="0"/>
              <w:spacing w:before="0" w:beforeAutospacing="0" w:after="0" w:afterAutospacing="0"/>
              <w:ind w:left="0" w:leftChars="0" w:right="0" w:rightChars="0"/>
              <w:jc w:val="left"/>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5-1  演示仪底座内置无线电压传感器（不能为外接式）具有</w:t>
            </w:r>
            <w:r>
              <w:rPr>
                <w:rFonts w:hint="eastAsia" w:ascii="仿宋" w:hAnsi="仿宋" w:eastAsia="仿宋" w:cs="仿宋"/>
                <w:kern w:val="2"/>
                <w:sz w:val="22"/>
                <w:szCs w:val="22"/>
                <w:highlight w:val="none"/>
                <w:lang w:val="en-US" w:eastAsia="zh-CN" w:bidi="ar"/>
              </w:rPr>
              <w:t>唯一蓝牙识别码，传感器与终端（电脑或平板或手机）使用无线方式连接时，无需数据采集器、数据线，实现选择性连接。得1分；</w:t>
            </w:r>
          </w:p>
          <w:p w14:paraId="1AE8A623">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p>
          <w:p w14:paraId="25EEBF5C">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5-2  磁铁通过线圈组1，采集5组磁铁通过线圈的电压数据，在软件中输入各组电压与对应时间，得到电动势与时间的数据图像，对电动势与时间的数据点进行线性拟合的数据处理操作，软件中拟合数据框中显示r&gt;0.98（数据点紧密围绕拟合曲线分布）,RMSE&lt;0.02（平均误差&lt;0.02）。</w:t>
            </w:r>
            <w:r>
              <w:rPr>
                <w:rFonts w:hint="eastAsia" w:ascii="仿宋" w:hAnsi="仿宋" w:eastAsia="仿宋" w:cs="仿宋"/>
                <w:kern w:val="2"/>
                <w:sz w:val="22"/>
                <w:szCs w:val="22"/>
                <w:highlight w:val="none"/>
                <w:lang w:val="en-US" w:eastAsia="zh-CN" w:bidi="ar"/>
              </w:rPr>
              <w:t>得1分；</w:t>
            </w:r>
          </w:p>
          <w:p w14:paraId="4526D868">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lang w:val="en-US" w:eastAsia="zh-CN" w:bidi="ar"/>
              </w:rPr>
            </w:pPr>
          </w:p>
          <w:p w14:paraId="6B0068FA">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5-3  将铝管放入线圈组1，分别用磁铁和铝块通过线圈组1，采集磁铁和铝块通过线圈的电压数据，在软件中在同一坐标轴内同时显示两组数据的实验图像。</w:t>
            </w:r>
            <w:r>
              <w:rPr>
                <w:rFonts w:hint="eastAsia" w:ascii="仿宋" w:hAnsi="仿宋" w:eastAsia="仿宋" w:cs="仿宋"/>
                <w:kern w:val="2"/>
                <w:sz w:val="22"/>
                <w:szCs w:val="22"/>
                <w:highlight w:val="none"/>
                <w:lang w:val="en-US" w:eastAsia="zh-CN" w:bidi="ar"/>
              </w:rPr>
              <w:t>得1分；</w:t>
            </w:r>
          </w:p>
          <w:p w14:paraId="1056AA99">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lang w:val="en-US" w:eastAsia="zh-CN" w:bidi="ar"/>
              </w:rPr>
            </w:pPr>
          </w:p>
          <w:p w14:paraId="72B862F1">
            <w:pPr>
              <w:pStyle w:val="7"/>
              <w:keepNext w:val="0"/>
              <w:keepLines w:val="0"/>
              <w:widowControl/>
              <w:suppressLineNumbers w:val="0"/>
              <w:snapToGrid w:val="0"/>
              <w:spacing w:before="0" w:beforeAutospacing="0" w:after="0" w:afterAutospacing="0"/>
              <w:ind w:left="0" w:right="0" w:firstLine="0"/>
              <w:jc w:val="left"/>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lang w:val="en-US" w:eastAsia="zh-CN" w:bidi="ar"/>
              </w:rPr>
              <w:t>5-4  将铝管放入线圈组2，用磁铁通过线圈组2，采集5组磁铁通过线圈的电压数据，在软件中输入各组电压与匝数，得到电动势与匝数的数据图像，对电动势与匝数的数据点进行线性拟合的数据处理操作，软件中拟合数据框中显示r&gt;0.98（数据点紧密围绕拟合曲线分布）,RMSE&lt;0.02（平均误差&lt;0.02）。</w:t>
            </w:r>
            <w:r>
              <w:rPr>
                <w:rFonts w:hint="eastAsia" w:ascii="仿宋" w:hAnsi="仿宋" w:eastAsia="仿宋" w:cs="仿宋"/>
                <w:kern w:val="2"/>
                <w:sz w:val="22"/>
                <w:szCs w:val="22"/>
                <w:highlight w:val="none"/>
                <w:lang w:val="en-US" w:eastAsia="zh-CN" w:bidi="ar"/>
              </w:rPr>
              <w:t>得</w:t>
            </w:r>
            <w:r>
              <w:rPr>
                <w:rFonts w:hint="eastAsia" w:ascii="仿宋" w:hAnsi="仿宋" w:eastAsia="仿宋" w:cs="仿宋"/>
                <w:kern w:val="2"/>
                <w:sz w:val="22"/>
                <w:szCs w:val="22"/>
                <w:highlight w:val="none"/>
                <w:lang w:eastAsia="zh-CN" w:bidi="ar"/>
              </w:rPr>
              <w:t>2</w:t>
            </w:r>
            <w:r>
              <w:rPr>
                <w:rFonts w:hint="eastAsia" w:ascii="仿宋" w:hAnsi="仿宋" w:eastAsia="仿宋" w:cs="仿宋"/>
                <w:kern w:val="2"/>
                <w:sz w:val="22"/>
                <w:szCs w:val="22"/>
                <w:highlight w:val="none"/>
                <w:lang w:val="en-US" w:eastAsia="zh-CN" w:bidi="ar"/>
              </w:rPr>
              <w:t>分；</w:t>
            </w:r>
          </w:p>
          <w:p w14:paraId="4443394F">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0"/>
                <w:sz w:val="22"/>
                <w:szCs w:val="22"/>
                <w:highlight w:val="none"/>
                <w:lang w:val="en-US" w:eastAsia="zh-CN" w:bidi="ar"/>
              </w:rPr>
            </w:pPr>
          </w:p>
          <w:p w14:paraId="511D6344">
            <w:pPr>
              <w:keepNext w:val="0"/>
              <w:keepLines w:val="0"/>
              <w:widowControl w:val="0"/>
              <w:suppressLineNumbers w:val="0"/>
              <w:snapToGrid w:val="0"/>
              <w:spacing w:before="0" w:beforeAutospacing="0" w:after="0" w:afterAutospacing="0"/>
              <w:ind w:left="0" w:right="0"/>
              <w:jc w:val="both"/>
              <w:rPr>
                <w:rFonts w:hint="eastAsia" w:ascii="仿宋" w:hAnsi="仿宋" w:eastAsia="仿宋" w:cs="仿宋"/>
                <w:kern w:val="2"/>
                <w:sz w:val="22"/>
                <w:szCs w:val="22"/>
                <w:highlight w:val="none"/>
              </w:rPr>
            </w:pPr>
            <w:r>
              <w:rPr>
                <w:rFonts w:hint="eastAsia" w:ascii="仿宋" w:hAnsi="仿宋" w:eastAsia="仿宋" w:cs="仿宋"/>
                <w:kern w:val="0"/>
                <w:sz w:val="22"/>
                <w:szCs w:val="22"/>
                <w:highlight w:val="none"/>
                <w:lang w:val="en-US" w:eastAsia="zh-CN" w:bidi="ar"/>
              </w:rPr>
              <w:t>5-5  将铝管放入线圈组2，用磁铁通过线圈组2，采集5组磁铁通过线圈的电压数据，在软件中输入各组电压与匝数，得到电动势与匝数的数据图像，对电动势与匝数的数据点进行线性拟合的数据处理操作，软件中拟合数据框中显示r&gt;0.98（数据点紧密围绕拟合曲线分布）,RMSE&lt;0.02（平均误差&lt;0.02）。得1分；</w:t>
            </w:r>
          </w:p>
          <w:p w14:paraId="5DD40486">
            <w:pPr>
              <w:keepNext w:val="0"/>
              <w:keepLines w:val="0"/>
              <w:widowControl/>
              <w:suppressLineNumbers w:val="0"/>
              <w:snapToGrid w:val="0"/>
              <w:jc w:val="left"/>
              <w:rPr>
                <w:rFonts w:hint="eastAsia" w:ascii="仿宋" w:hAnsi="仿宋" w:eastAsia="仿宋" w:cs="仿宋"/>
                <w:sz w:val="22"/>
                <w:szCs w:val="22"/>
                <w:highlight w:val="none"/>
              </w:rPr>
            </w:pPr>
            <w:r>
              <w:rPr>
                <w:rFonts w:hint="eastAsia" w:ascii="仿宋" w:hAnsi="仿宋" w:eastAsia="仿宋" w:cs="仿宋"/>
                <w:b/>
                <w:bCs/>
                <w:kern w:val="2"/>
                <w:sz w:val="22"/>
                <w:szCs w:val="22"/>
                <w:highlight w:val="none"/>
                <w:lang w:val="en-US" w:eastAsia="zh-CN" w:bidi="ar"/>
              </w:rPr>
              <w:t>本项满分为</w:t>
            </w:r>
            <w:r>
              <w:rPr>
                <w:rFonts w:hint="eastAsia" w:ascii="仿宋" w:hAnsi="仿宋" w:eastAsia="仿宋" w:cs="仿宋"/>
                <w:b/>
                <w:bCs/>
                <w:kern w:val="2"/>
                <w:sz w:val="22"/>
                <w:szCs w:val="22"/>
                <w:highlight w:val="none"/>
                <w:lang w:eastAsia="zh-CN" w:bidi="ar"/>
              </w:rPr>
              <w:t>25</w:t>
            </w:r>
            <w:r>
              <w:rPr>
                <w:rFonts w:hint="eastAsia" w:ascii="仿宋" w:hAnsi="仿宋" w:eastAsia="仿宋" w:cs="仿宋"/>
                <w:b/>
                <w:bCs/>
                <w:kern w:val="2"/>
                <w:sz w:val="22"/>
                <w:szCs w:val="22"/>
                <w:highlight w:val="none"/>
                <w:lang w:val="en-US" w:eastAsia="zh-CN" w:bidi="ar"/>
              </w:rPr>
              <w:t>分。</w:t>
            </w:r>
          </w:p>
          <w:p w14:paraId="69F05CA5">
            <w:pPr>
              <w:bidi w:val="0"/>
              <w:snapToGrid w:val="0"/>
              <w:rPr>
                <w:rFonts w:hint="eastAsia" w:ascii="仿宋" w:hAnsi="仿宋" w:eastAsia="仿宋" w:cs="仿宋"/>
                <w:sz w:val="22"/>
                <w:szCs w:val="22"/>
                <w:highlight w:val="none"/>
                <w:lang w:eastAsia="zh-CN"/>
              </w:rPr>
            </w:pPr>
          </w:p>
        </w:tc>
        <w:tc>
          <w:tcPr>
            <w:tcW w:w="169" w:type="pct"/>
            <w:noWrap w:val="0"/>
            <w:vAlign w:val="center"/>
          </w:tcPr>
          <w:p w14:paraId="4769D8CA">
            <w:pPr>
              <w:bidi w:val="0"/>
              <w:snapToGrid w:val="0"/>
              <w:jc w:val="center"/>
              <w:rPr>
                <w:rFonts w:hint="eastAsia" w:ascii="仿宋" w:hAnsi="仿宋" w:eastAsia="仿宋" w:cs="仿宋"/>
                <w:sz w:val="22"/>
                <w:szCs w:val="22"/>
                <w:highlight w:val="none"/>
                <w:lang w:eastAsia="zh-CN"/>
              </w:rPr>
            </w:pPr>
            <w:r>
              <w:rPr>
                <w:rFonts w:hint="eastAsia" w:ascii="仿宋" w:hAnsi="仿宋" w:eastAsia="仿宋" w:cs="仿宋"/>
                <w:sz w:val="22"/>
                <w:szCs w:val="22"/>
                <w:highlight w:val="none"/>
              </w:rPr>
              <w:t>25</w:t>
            </w:r>
          </w:p>
        </w:tc>
      </w:tr>
      <w:tr w14:paraId="42927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217" w:type="pct"/>
            <w:noWrap w:val="0"/>
            <w:vAlign w:val="center"/>
          </w:tcPr>
          <w:p w14:paraId="486182C1">
            <w:pPr>
              <w:bidi w:val="0"/>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3.1</w:t>
            </w:r>
          </w:p>
        </w:tc>
        <w:tc>
          <w:tcPr>
            <w:tcW w:w="336" w:type="pct"/>
            <w:noWrap w:val="0"/>
            <w:vAlign w:val="center"/>
          </w:tcPr>
          <w:p w14:paraId="354802D7">
            <w:pPr>
              <w:bidi w:val="0"/>
              <w:snapToGrid w:val="0"/>
              <w:jc w:val="both"/>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实施方案</w:t>
            </w:r>
          </w:p>
        </w:tc>
        <w:tc>
          <w:tcPr>
            <w:tcW w:w="4276" w:type="pct"/>
            <w:noWrap w:val="0"/>
            <w:vAlign w:val="center"/>
          </w:tcPr>
          <w:p w14:paraId="0094BE5F">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投标人须依据本项目采购需求，提供项目实施方案，内容应涵盖但不限于：①项目具体实施流程及难点分析；②项目施工组织计划与实施流程；③项目施工进度保障措施；④安全文明施工措施等。</w:t>
            </w:r>
          </w:p>
          <w:p w14:paraId="5C015EE0">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(1)方案涵盖上述内容，</w:t>
            </w:r>
            <w:r>
              <w:rPr>
                <w:rFonts w:hint="eastAsia" w:ascii="仿宋" w:hAnsi="仿宋" w:eastAsia="仿宋" w:cs="仿宋"/>
                <w:kern w:val="0"/>
                <w:sz w:val="22"/>
                <w:szCs w:val="22"/>
                <w:highlight w:val="none"/>
                <w:lang w:val="en-US" w:eastAsia="zh-CN" w:bidi="ar"/>
              </w:rPr>
              <w:t>方案</w:t>
            </w:r>
            <w:r>
              <w:rPr>
                <w:rFonts w:hint="eastAsia" w:ascii="仿宋" w:hAnsi="仿宋" w:eastAsia="仿宋" w:cs="仿宋"/>
                <w:bCs w:val="0"/>
                <w:kern w:val="0"/>
                <w:sz w:val="22"/>
                <w:szCs w:val="22"/>
                <w:highlight w:val="none"/>
                <w:lang w:bidi="ar"/>
              </w:rPr>
              <w:t>科学、可操作性强、契合度高</w:t>
            </w:r>
            <w:r>
              <w:rPr>
                <w:rFonts w:hint="eastAsia" w:ascii="仿宋" w:hAnsi="仿宋" w:eastAsia="仿宋" w:cs="仿宋"/>
                <w:kern w:val="0"/>
                <w:sz w:val="22"/>
                <w:szCs w:val="22"/>
                <w:highlight w:val="none"/>
                <w:lang w:eastAsia="zh-CN" w:bidi="ar"/>
              </w:rPr>
              <w:t>，</w:t>
            </w:r>
            <w:r>
              <w:rPr>
                <w:rFonts w:hint="eastAsia" w:ascii="仿宋" w:hAnsi="仿宋" w:eastAsia="仿宋" w:cs="仿宋"/>
                <w:kern w:val="0"/>
                <w:sz w:val="22"/>
                <w:szCs w:val="22"/>
                <w:highlight w:val="none"/>
                <w:lang w:bidi="ar"/>
              </w:rPr>
              <w:t>满足采购需求，得</w:t>
            </w:r>
            <w:r>
              <w:rPr>
                <w:rFonts w:hint="eastAsia" w:ascii="仿宋" w:hAnsi="仿宋" w:eastAsia="仿宋" w:cs="仿宋"/>
                <w:kern w:val="0"/>
                <w:sz w:val="22"/>
                <w:szCs w:val="22"/>
                <w:highlight w:val="none"/>
                <w:lang w:val="en-US" w:eastAsia="zh-CN" w:bidi="ar"/>
              </w:rPr>
              <w:t>5</w:t>
            </w:r>
            <w:r>
              <w:rPr>
                <w:rFonts w:hint="eastAsia" w:ascii="仿宋" w:hAnsi="仿宋" w:eastAsia="仿宋" w:cs="仿宋"/>
                <w:kern w:val="0"/>
                <w:sz w:val="22"/>
                <w:szCs w:val="22"/>
                <w:highlight w:val="none"/>
                <w:lang w:bidi="ar"/>
              </w:rPr>
              <w:t>分；</w:t>
            </w:r>
          </w:p>
          <w:p w14:paraId="3B3DEACE">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(2)方案涵盖上述内容，</w:t>
            </w:r>
            <w:r>
              <w:rPr>
                <w:rFonts w:hint="eastAsia" w:ascii="仿宋" w:hAnsi="仿宋" w:eastAsia="仿宋" w:cs="仿宋"/>
                <w:kern w:val="0"/>
                <w:sz w:val="22"/>
                <w:szCs w:val="22"/>
                <w:highlight w:val="none"/>
                <w:lang w:val="en-US" w:eastAsia="zh-CN" w:bidi="ar"/>
              </w:rPr>
              <w:t>方案</w:t>
            </w:r>
            <w:r>
              <w:rPr>
                <w:rFonts w:hint="eastAsia" w:ascii="仿宋" w:hAnsi="仿宋" w:eastAsia="仿宋" w:cs="仿宋"/>
                <w:bCs w:val="0"/>
                <w:kern w:val="0"/>
                <w:sz w:val="22"/>
                <w:szCs w:val="22"/>
                <w:highlight w:val="none"/>
                <w:lang w:bidi="ar"/>
              </w:rPr>
              <w:t>科学、可操作性</w:t>
            </w:r>
            <w:r>
              <w:rPr>
                <w:rFonts w:hint="eastAsia" w:ascii="仿宋" w:hAnsi="仿宋" w:eastAsia="仿宋" w:cs="仿宋"/>
                <w:bCs w:val="0"/>
                <w:kern w:val="0"/>
                <w:sz w:val="22"/>
                <w:szCs w:val="22"/>
                <w:highlight w:val="none"/>
                <w:lang w:val="en-US" w:eastAsia="zh-CN" w:bidi="ar"/>
              </w:rPr>
              <w:t>较</w:t>
            </w:r>
            <w:r>
              <w:rPr>
                <w:rFonts w:hint="eastAsia" w:ascii="仿宋" w:hAnsi="仿宋" w:eastAsia="仿宋" w:cs="仿宋"/>
                <w:bCs w:val="0"/>
                <w:kern w:val="0"/>
                <w:sz w:val="22"/>
                <w:szCs w:val="22"/>
                <w:highlight w:val="none"/>
                <w:lang w:bidi="ar"/>
              </w:rPr>
              <w:t>强、契合度</w:t>
            </w:r>
            <w:r>
              <w:rPr>
                <w:rFonts w:hint="eastAsia" w:ascii="仿宋" w:hAnsi="仿宋" w:eastAsia="仿宋" w:cs="仿宋"/>
                <w:bCs w:val="0"/>
                <w:kern w:val="0"/>
                <w:sz w:val="22"/>
                <w:szCs w:val="22"/>
                <w:highlight w:val="none"/>
                <w:lang w:val="en-US" w:eastAsia="zh-CN" w:bidi="ar"/>
              </w:rPr>
              <w:t>较</w:t>
            </w:r>
            <w:r>
              <w:rPr>
                <w:rFonts w:hint="eastAsia" w:ascii="仿宋" w:hAnsi="仿宋" w:eastAsia="仿宋" w:cs="仿宋"/>
                <w:bCs w:val="0"/>
                <w:kern w:val="0"/>
                <w:sz w:val="22"/>
                <w:szCs w:val="22"/>
                <w:highlight w:val="none"/>
                <w:lang w:bidi="ar"/>
              </w:rPr>
              <w:t>高</w:t>
            </w:r>
            <w:r>
              <w:rPr>
                <w:rFonts w:hint="eastAsia" w:ascii="仿宋" w:hAnsi="仿宋" w:eastAsia="仿宋" w:cs="仿宋"/>
                <w:bCs w:val="0"/>
                <w:kern w:val="0"/>
                <w:sz w:val="22"/>
                <w:szCs w:val="22"/>
                <w:highlight w:val="none"/>
                <w:lang w:eastAsia="zh-CN" w:bidi="ar"/>
              </w:rPr>
              <w:t>，</w:t>
            </w:r>
            <w:r>
              <w:rPr>
                <w:rFonts w:hint="eastAsia" w:ascii="仿宋" w:hAnsi="仿宋" w:eastAsia="仿宋" w:cs="仿宋"/>
                <w:bCs w:val="0"/>
                <w:kern w:val="0"/>
                <w:sz w:val="22"/>
                <w:szCs w:val="22"/>
                <w:highlight w:val="none"/>
                <w:lang w:val="en-US" w:eastAsia="zh-CN" w:bidi="ar"/>
              </w:rPr>
              <w:t>较能</w:t>
            </w:r>
            <w:r>
              <w:rPr>
                <w:rFonts w:hint="eastAsia" w:ascii="仿宋" w:hAnsi="仿宋" w:eastAsia="仿宋" w:cs="仿宋"/>
                <w:kern w:val="0"/>
                <w:sz w:val="22"/>
                <w:szCs w:val="22"/>
                <w:highlight w:val="none"/>
                <w:lang w:bidi="ar"/>
              </w:rPr>
              <w:t>满足采购需求，得3分；</w:t>
            </w:r>
          </w:p>
          <w:p w14:paraId="4279929D">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(3)方案涵盖上述内容，</w:t>
            </w:r>
            <w:r>
              <w:rPr>
                <w:rFonts w:hint="eastAsia" w:ascii="仿宋" w:hAnsi="仿宋" w:eastAsia="仿宋" w:cs="仿宋"/>
                <w:kern w:val="0"/>
                <w:sz w:val="22"/>
                <w:szCs w:val="22"/>
                <w:highlight w:val="none"/>
                <w:lang w:val="en-US" w:eastAsia="zh-CN" w:bidi="ar"/>
              </w:rPr>
              <w:t>方案</w:t>
            </w:r>
            <w:r>
              <w:rPr>
                <w:rFonts w:hint="eastAsia" w:ascii="仿宋" w:hAnsi="仿宋" w:eastAsia="仿宋" w:cs="仿宋"/>
                <w:bCs w:val="0"/>
                <w:kern w:val="0"/>
                <w:sz w:val="22"/>
                <w:szCs w:val="22"/>
                <w:highlight w:val="none"/>
                <w:lang w:bidi="ar"/>
              </w:rPr>
              <w:t>科学、</w:t>
            </w:r>
            <w:r>
              <w:rPr>
                <w:rFonts w:hint="eastAsia" w:ascii="仿宋" w:hAnsi="仿宋" w:eastAsia="仿宋" w:cs="仿宋"/>
                <w:bCs w:val="0"/>
                <w:kern w:val="0"/>
                <w:sz w:val="22"/>
                <w:szCs w:val="22"/>
                <w:highlight w:val="none"/>
                <w:lang w:val="en-US" w:eastAsia="zh-CN" w:bidi="ar"/>
              </w:rPr>
              <w:t>基本具有</w:t>
            </w:r>
            <w:r>
              <w:rPr>
                <w:rFonts w:hint="eastAsia" w:ascii="仿宋" w:hAnsi="仿宋" w:eastAsia="仿宋" w:cs="仿宋"/>
                <w:bCs w:val="0"/>
                <w:kern w:val="0"/>
                <w:sz w:val="22"/>
                <w:szCs w:val="22"/>
                <w:highlight w:val="none"/>
                <w:lang w:bidi="ar"/>
              </w:rPr>
              <w:t>可操作性</w:t>
            </w:r>
            <w:r>
              <w:rPr>
                <w:rFonts w:hint="eastAsia" w:ascii="仿宋" w:hAnsi="仿宋" w:eastAsia="仿宋" w:cs="仿宋"/>
                <w:bCs w:val="0"/>
                <w:kern w:val="0"/>
                <w:sz w:val="22"/>
                <w:szCs w:val="22"/>
                <w:highlight w:val="none"/>
                <w:lang w:eastAsia="zh-CN" w:bidi="ar"/>
              </w:rPr>
              <w:t>，</w:t>
            </w:r>
            <w:r>
              <w:rPr>
                <w:rFonts w:hint="eastAsia" w:ascii="仿宋" w:hAnsi="仿宋" w:eastAsia="仿宋" w:cs="仿宋"/>
                <w:kern w:val="0"/>
                <w:sz w:val="22"/>
                <w:szCs w:val="22"/>
                <w:highlight w:val="none"/>
                <w:lang w:bidi="ar"/>
              </w:rPr>
              <w:t>基本满足采购需求，得1分；</w:t>
            </w:r>
          </w:p>
          <w:p w14:paraId="7CDB01A9">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(4)未提供方案，或方案未涵盖上述内容或与项目实施存在偏差，不能满足采购需求的，不得分。</w:t>
            </w:r>
          </w:p>
          <w:p w14:paraId="3F283BC7">
            <w:pPr>
              <w:bidi w:val="0"/>
              <w:snapToGrid w:val="0"/>
              <w:rPr>
                <w:rFonts w:hint="eastAsia" w:ascii="仿宋" w:hAnsi="仿宋" w:eastAsia="仿宋" w:cs="仿宋"/>
                <w:kern w:val="0"/>
                <w:sz w:val="22"/>
                <w:szCs w:val="22"/>
                <w:highlight w:val="none"/>
                <w:lang w:bidi="ar"/>
              </w:rPr>
            </w:pPr>
            <w:r>
              <w:rPr>
                <w:rFonts w:hint="eastAsia" w:ascii="仿宋" w:hAnsi="仿宋" w:eastAsia="仿宋" w:cs="仿宋"/>
                <w:kern w:val="0"/>
                <w:sz w:val="22"/>
                <w:szCs w:val="22"/>
                <w:highlight w:val="none"/>
                <w:lang w:bidi="ar"/>
              </w:rPr>
              <w:t>注：投标人须提供为本项目配备的项目实施管理团队人员名单及对应的分工说明（格式自拟），团队至少须包括项目总负责人，商务负责人，财务负责人，生产负责人，且以上职责不得相互兼任。未按要求提供完整人员名单及分工说明的，或名单不完整、或存在人员兼任情况的，团队人员未在社保名单的，本项“项目实施方案”整体不得分。</w:t>
            </w:r>
          </w:p>
        </w:tc>
        <w:tc>
          <w:tcPr>
            <w:tcW w:w="169" w:type="pct"/>
            <w:noWrap w:val="0"/>
            <w:vAlign w:val="center"/>
          </w:tcPr>
          <w:p w14:paraId="0EB8D945">
            <w:pPr>
              <w:bidi w:val="0"/>
              <w:snapToGrid w:val="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5</w:t>
            </w:r>
          </w:p>
        </w:tc>
      </w:tr>
      <w:tr w14:paraId="4ADD9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217" w:type="pct"/>
            <w:noWrap w:val="0"/>
            <w:vAlign w:val="center"/>
          </w:tcPr>
          <w:p w14:paraId="19E10331">
            <w:pPr>
              <w:bidi w:val="0"/>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rPr>
              <w:t>3.2</w:t>
            </w:r>
          </w:p>
        </w:tc>
        <w:tc>
          <w:tcPr>
            <w:tcW w:w="336" w:type="pct"/>
            <w:noWrap w:val="0"/>
            <w:vAlign w:val="center"/>
          </w:tcPr>
          <w:p w14:paraId="4E2FCF90">
            <w:pPr>
              <w:bidi w:val="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产品质量保证方案</w:t>
            </w:r>
          </w:p>
        </w:tc>
        <w:tc>
          <w:tcPr>
            <w:tcW w:w="4276" w:type="pct"/>
            <w:noWrap w:val="0"/>
            <w:vAlign w:val="center"/>
          </w:tcPr>
          <w:p w14:paraId="40F9466F">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投标人须依据本项目采购需求，提供产品质量保证方案，内容应涵盖但不限于：①质量保障体系及目标；②产品的质量性能及原材料的控制；③生产过程中控制措施；④质量回访流程及方案等。</w:t>
            </w:r>
          </w:p>
          <w:p w14:paraId="239E7360">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(1)方案涵盖上述内容，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科学、可操作性强、契合度高</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5</w:t>
            </w:r>
            <w:r>
              <w:rPr>
                <w:rFonts w:hint="eastAsia" w:ascii="仿宋" w:hAnsi="仿宋" w:eastAsia="仿宋" w:cs="仿宋"/>
                <w:sz w:val="22"/>
                <w:szCs w:val="22"/>
                <w:highlight w:val="none"/>
              </w:rPr>
              <w:t>分；</w:t>
            </w:r>
          </w:p>
          <w:p w14:paraId="60ABC562">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(2)方案涵盖上述内容，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科学、可操作性</w:t>
            </w:r>
            <w:r>
              <w:rPr>
                <w:rFonts w:hint="eastAsia" w:ascii="仿宋" w:hAnsi="仿宋" w:eastAsia="仿宋" w:cs="仿宋"/>
                <w:bCs/>
                <w:color w:val="auto"/>
                <w:sz w:val="22"/>
                <w:szCs w:val="22"/>
                <w:highlight w:val="none"/>
                <w:lang w:val="en-US" w:eastAsia="zh-CN"/>
              </w:rPr>
              <w:t>较</w:t>
            </w:r>
            <w:r>
              <w:rPr>
                <w:rFonts w:hint="eastAsia" w:ascii="仿宋" w:hAnsi="仿宋" w:eastAsia="仿宋" w:cs="仿宋"/>
                <w:bCs/>
                <w:color w:val="auto"/>
                <w:sz w:val="22"/>
                <w:szCs w:val="22"/>
                <w:highlight w:val="none"/>
              </w:rPr>
              <w:t>强、契合度</w:t>
            </w:r>
            <w:r>
              <w:rPr>
                <w:rFonts w:hint="eastAsia" w:ascii="仿宋" w:hAnsi="仿宋" w:eastAsia="仿宋" w:cs="仿宋"/>
                <w:bCs/>
                <w:color w:val="auto"/>
                <w:sz w:val="22"/>
                <w:szCs w:val="22"/>
                <w:highlight w:val="none"/>
                <w:lang w:val="en-US" w:eastAsia="zh-CN"/>
              </w:rPr>
              <w:t>较</w:t>
            </w:r>
            <w:r>
              <w:rPr>
                <w:rFonts w:hint="eastAsia" w:ascii="仿宋" w:hAnsi="仿宋" w:eastAsia="仿宋" w:cs="仿宋"/>
                <w:bCs/>
                <w:color w:val="auto"/>
                <w:sz w:val="22"/>
                <w:szCs w:val="22"/>
                <w:highlight w:val="none"/>
              </w:rPr>
              <w:t>高</w:t>
            </w:r>
            <w:r>
              <w:rPr>
                <w:rFonts w:hint="eastAsia" w:ascii="仿宋" w:hAnsi="仿宋" w:eastAsia="仿宋" w:cs="仿宋"/>
                <w:bCs/>
                <w:color w:val="auto"/>
                <w:sz w:val="22"/>
                <w:szCs w:val="22"/>
                <w:highlight w:val="none"/>
                <w:lang w:eastAsia="zh-CN"/>
              </w:rPr>
              <w:t>，</w:t>
            </w:r>
            <w:r>
              <w:rPr>
                <w:rFonts w:hint="eastAsia" w:ascii="仿宋" w:hAnsi="仿宋" w:eastAsia="仿宋" w:cs="仿宋"/>
                <w:bCs/>
                <w:color w:val="auto"/>
                <w:sz w:val="22"/>
                <w:szCs w:val="22"/>
                <w:highlight w:val="none"/>
                <w:lang w:val="en-US" w:eastAsia="zh-CN"/>
              </w:rPr>
              <w:t>较能</w:t>
            </w:r>
            <w:r>
              <w:rPr>
                <w:rFonts w:hint="eastAsia" w:ascii="仿宋" w:hAnsi="仿宋" w:eastAsia="仿宋" w:cs="仿宋"/>
                <w:sz w:val="22"/>
                <w:szCs w:val="22"/>
                <w:highlight w:val="none"/>
              </w:rPr>
              <w:t>满足采购需求，得3分；</w:t>
            </w:r>
          </w:p>
          <w:p w14:paraId="62393608">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(3)方案涵盖上述内容，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w:t>
            </w:r>
            <w:r>
              <w:rPr>
                <w:rFonts w:hint="eastAsia" w:ascii="仿宋" w:hAnsi="仿宋" w:eastAsia="仿宋" w:cs="仿宋"/>
                <w:bCs/>
                <w:color w:val="auto"/>
                <w:sz w:val="22"/>
                <w:szCs w:val="22"/>
                <w:highlight w:val="none"/>
                <w:lang w:val="en-US" w:eastAsia="zh-CN"/>
              </w:rPr>
              <w:t>基本具有</w:t>
            </w:r>
            <w:r>
              <w:rPr>
                <w:rFonts w:hint="eastAsia" w:ascii="仿宋" w:hAnsi="仿宋" w:eastAsia="仿宋" w:cs="仿宋"/>
                <w:bCs/>
                <w:color w:val="auto"/>
                <w:sz w:val="22"/>
                <w:szCs w:val="22"/>
                <w:highlight w:val="none"/>
              </w:rPr>
              <w:t>可操作性</w:t>
            </w:r>
            <w:r>
              <w:rPr>
                <w:rFonts w:hint="eastAsia" w:ascii="仿宋" w:hAnsi="仿宋" w:eastAsia="仿宋" w:cs="仿宋"/>
                <w:bCs/>
                <w:color w:val="auto"/>
                <w:sz w:val="22"/>
                <w:szCs w:val="22"/>
                <w:highlight w:val="none"/>
                <w:lang w:eastAsia="zh-CN"/>
              </w:rPr>
              <w:t>，</w:t>
            </w:r>
            <w:r>
              <w:rPr>
                <w:rFonts w:hint="eastAsia" w:ascii="仿宋" w:hAnsi="仿宋" w:eastAsia="仿宋" w:cs="仿宋"/>
                <w:sz w:val="22"/>
                <w:szCs w:val="22"/>
                <w:highlight w:val="none"/>
              </w:rPr>
              <w:t>基本满足采购需求，得1分；</w:t>
            </w:r>
          </w:p>
          <w:p w14:paraId="52445499">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(4)未提供方案，或方案未涵盖上述内容或与项目实施存在偏差，不能满足采购需求的，不得分。</w:t>
            </w:r>
          </w:p>
          <w:p w14:paraId="6DD767CB">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注：投标人须提供为本项目配备的项目产品质量保证团队人员名单及对应的分工说明（格式自拟），团队至少须包括质量保障体系总负责人，质量性能及原材料的控制负责人，生产过程控制负责人，质量回访流程负责人，且以上职责不得相互兼任。未按要求提供完整人员名单及分工说明的，或名单不完整、或存在人员兼任情况的，团队人员未在社保名单的，本项“产品质量保证方案”整体不得分。</w:t>
            </w:r>
          </w:p>
        </w:tc>
        <w:tc>
          <w:tcPr>
            <w:tcW w:w="169" w:type="pct"/>
            <w:noWrap w:val="0"/>
            <w:vAlign w:val="center"/>
          </w:tcPr>
          <w:p w14:paraId="55A15526">
            <w:pPr>
              <w:bidi w:val="0"/>
              <w:snapToGrid w:val="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5</w:t>
            </w:r>
          </w:p>
        </w:tc>
      </w:tr>
      <w:tr w14:paraId="6CEE1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217" w:type="pct"/>
            <w:noWrap w:val="0"/>
            <w:vAlign w:val="center"/>
          </w:tcPr>
          <w:p w14:paraId="6F9CE926">
            <w:pPr>
              <w:bidi w:val="0"/>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rPr>
              <w:t>3.3</w:t>
            </w:r>
          </w:p>
        </w:tc>
        <w:tc>
          <w:tcPr>
            <w:tcW w:w="336" w:type="pct"/>
            <w:noWrap w:val="0"/>
            <w:vAlign w:val="center"/>
          </w:tcPr>
          <w:p w14:paraId="2FBB2FB3">
            <w:pPr>
              <w:bidi w:val="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安装调试方案</w:t>
            </w:r>
          </w:p>
        </w:tc>
        <w:tc>
          <w:tcPr>
            <w:tcW w:w="4276" w:type="pct"/>
            <w:noWrap w:val="0"/>
            <w:vAlign w:val="center"/>
          </w:tcPr>
          <w:p w14:paraId="635820E0">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投标人须依据本项目采购需求，提供设备安装调试方案，内容应涵盖但不限于：①安装组织架构与分工②货物安装前期准备工作③核心安装实施流程等。</w:t>
            </w:r>
          </w:p>
          <w:p w14:paraId="0476D9AB">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(1)方案涵盖上述内容，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科学、可操作性强、契合度高</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5</w:t>
            </w:r>
            <w:r>
              <w:rPr>
                <w:rFonts w:hint="eastAsia" w:ascii="仿宋" w:hAnsi="仿宋" w:eastAsia="仿宋" w:cs="仿宋"/>
                <w:sz w:val="22"/>
                <w:szCs w:val="22"/>
                <w:highlight w:val="none"/>
              </w:rPr>
              <w:t>分；</w:t>
            </w:r>
          </w:p>
          <w:p w14:paraId="0557B5B8">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(2)方案涵盖上述内容，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科学、可操作性</w:t>
            </w:r>
            <w:r>
              <w:rPr>
                <w:rFonts w:hint="eastAsia" w:ascii="仿宋" w:hAnsi="仿宋" w:eastAsia="仿宋" w:cs="仿宋"/>
                <w:bCs/>
                <w:color w:val="auto"/>
                <w:sz w:val="22"/>
                <w:szCs w:val="22"/>
                <w:highlight w:val="none"/>
                <w:lang w:val="en-US" w:eastAsia="zh-CN"/>
              </w:rPr>
              <w:t>较</w:t>
            </w:r>
            <w:r>
              <w:rPr>
                <w:rFonts w:hint="eastAsia" w:ascii="仿宋" w:hAnsi="仿宋" w:eastAsia="仿宋" w:cs="仿宋"/>
                <w:bCs/>
                <w:color w:val="auto"/>
                <w:sz w:val="22"/>
                <w:szCs w:val="22"/>
                <w:highlight w:val="none"/>
              </w:rPr>
              <w:t>强、契合度</w:t>
            </w:r>
            <w:r>
              <w:rPr>
                <w:rFonts w:hint="eastAsia" w:ascii="仿宋" w:hAnsi="仿宋" w:eastAsia="仿宋" w:cs="仿宋"/>
                <w:bCs/>
                <w:color w:val="auto"/>
                <w:sz w:val="22"/>
                <w:szCs w:val="22"/>
                <w:highlight w:val="none"/>
                <w:lang w:val="en-US" w:eastAsia="zh-CN"/>
              </w:rPr>
              <w:t>较</w:t>
            </w:r>
            <w:r>
              <w:rPr>
                <w:rFonts w:hint="eastAsia" w:ascii="仿宋" w:hAnsi="仿宋" w:eastAsia="仿宋" w:cs="仿宋"/>
                <w:bCs/>
                <w:color w:val="auto"/>
                <w:sz w:val="22"/>
                <w:szCs w:val="22"/>
                <w:highlight w:val="none"/>
              </w:rPr>
              <w:t>高</w:t>
            </w:r>
            <w:r>
              <w:rPr>
                <w:rFonts w:hint="eastAsia" w:ascii="仿宋" w:hAnsi="仿宋" w:eastAsia="仿宋" w:cs="仿宋"/>
                <w:bCs/>
                <w:color w:val="auto"/>
                <w:sz w:val="22"/>
                <w:szCs w:val="22"/>
                <w:highlight w:val="none"/>
                <w:lang w:eastAsia="zh-CN"/>
              </w:rPr>
              <w:t>，</w:t>
            </w:r>
            <w:r>
              <w:rPr>
                <w:rFonts w:hint="eastAsia" w:ascii="仿宋" w:hAnsi="仿宋" w:eastAsia="仿宋" w:cs="仿宋"/>
                <w:bCs/>
                <w:color w:val="auto"/>
                <w:sz w:val="22"/>
                <w:szCs w:val="22"/>
                <w:highlight w:val="none"/>
                <w:lang w:val="en-US" w:eastAsia="zh-CN"/>
              </w:rPr>
              <w:t>较能</w:t>
            </w:r>
            <w:r>
              <w:rPr>
                <w:rFonts w:hint="eastAsia" w:ascii="仿宋" w:hAnsi="仿宋" w:eastAsia="仿宋" w:cs="仿宋"/>
                <w:sz w:val="22"/>
                <w:szCs w:val="22"/>
                <w:highlight w:val="none"/>
              </w:rPr>
              <w:t>满足采购需求，得3分；</w:t>
            </w:r>
          </w:p>
          <w:p w14:paraId="7C7A5CB6">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(3)方案涵盖上述内容，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auto"/>
                <w:sz w:val="22"/>
                <w:szCs w:val="22"/>
                <w:highlight w:val="none"/>
              </w:rPr>
              <w:t>科学、</w:t>
            </w:r>
            <w:r>
              <w:rPr>
                <w:rFonts w:hint="eastAsia" w:ascii="仿宋" w:hAnsi="仿宋" w:eastAsia="仿宋" w:cs="仿宋"/>
                <w:bCs/>
                <w:color w:val="auto"/>
                <w:sz w:val="22"/>
                <w:szCs w:val="22"/>
                <w:highlight w:val="none"/>
                <w:lang w:val="en-US" w:eastAsia="zh-CN"/>
              </w:rPr>
              <w:t>基本具有</w:t>
            </w:r>
            <w:r>
              <w:rPr>
                <w:rFonts w:hint="eastAsia" w:ascii="仿宋" w:hAnsi="仿宋" w:eastAsia="仿宋" w:cs="仿宋"/>
                <w:bCs/>
                <w:color w:val="auto"/>
                <w:sz w:val="22"/>
                <w:szCs w:val="22"/>
                <w:highlight w:val="none"/>
              </w:rPr>
              <w:t>可操作性</w:t>
            </w:r>
            <w:r>
              <w:rPr>
                <w:rFonts w:hint="eastAsia" w:ascii="仿宋" w:hAnsi="仿宋" w:eastAsia="仿宋" w:cs="仿宋"/>
                <w:bCs/>
                <w:color w:val="auto"/>
                <w:sz w:val="22"/>
                <w:szCs w:val="22"/>
                <w:highlight w:val="none"/>
                <w:lang w:eastAsia="zh-CN"/>
              </w:rPr>
              <w:t>，</w:t>
            </w:r>
            <w:r>
              <w:rPr>
                <w:rFonts w:hint="eastAsia" w:ascii="仿宋" w:hAnsi="仿宋" w:eastAsia="仿宋" w:cs="仿宋"/>
                <w:sz w:val="22"/>
                <w:szCs w:val="22"/>
                <w:highlight w:val="none"/>
              </w:rPr>
              <w:t>基本满足采购需求，得1分；</w:t>
            </w:r>
          </w:p>
          <w:p w14:paraId="5459D4F7">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(4)未提供方案，或方案未涵盖上述内容或与项目实施存在偏差，不能满足采购需求的，不得分。</w:t>
            </w:r>
          </w:p>
          <w:p w14:paraId="3413BF9F">
            <w:pPr>
              <w:bidi w:val="0"/>
              <w:rPr>
                <w:rFonts w:hint="eastAsia" w:ascii="仿宋" w:hAnsi="仿宋" w:eastAsia="仿宋" w:cs="仿宋"/>
                <w:sz w:val="22"/>
                <w:szCs w:val="22"/>
                <w:highlight w:val="none"/>
              </w:rPr>
            </w:pPr>
            <w:r>
              <w:rPr>
                <w:rFonts w:hint="eastAsia" w:ascii="仿宋" w:hAnsi="仿宋" w:eastAsia="仿宋" w:cs="仿宋"/>
                <w:sz w:val="22"/>
                <w:szCs w:val="22"/>
                <w:highlight w:val="none"/>
              </w:rPr>
              <w:t>注：投标人须提供为本项目配备的安装实施团队人员名单及对应的分工说明（格式自拟），团队至少须包括教学仪器类安装调试小组负责人，现场安全文明施工负责人，且以上职责不得相互兼任。未按要求提供完整人员名单及分工说明的，或名单不完整、或存在人员兼任情况的，团队人员未在社保名单的，本项“安装调试方案”整体不得分。</w:t>
            </w:r>
          </w:p>
        </w:tc>
        <w:tc>
          <w:tcPr>
            <w:tcW w:w="169" w:type="pct"/>
            <w:noWrap w:val="0"/>
            <w:vAlign w:val="center"/>
          </w:tcPr>
          <w:p w14:paraId="18F89222">
            <w:pPr>
              <w:bidi w:val="0"/>
              <w:snapToGrid w:val="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5</w:t>
            </w:r>
          </w:p>
        </w:tc>
      </w:tr>
      <w:tr w14:paraId="56326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63" w:type="dxa"/>
            <w:noWrap w:val="0"/>
            <w:vAlign w:val="center"/>
          </w:tcPr>
          <w:p w14:paraId="18E92B3D">
            <w:pPr>
              <w:bidi w:val="0"/>
              <w:snapToGrid w:val="0"/>
              <w:jc w:val="center"/>
              <w:rPr>
                <w:rFonts w:hint="eastAsia" w:ascii="仿宋" w:hAnsi="仿宋" w:eastAsia="仿宋" w:cs="仿宋"/>
                <w:b w:val="0"/>
                <w:bCs w:val="0"/>
                <w:sz w:val="22"/>
                <w:szCs w:val="22"/>
                <w:highlight w:val="none"/>
                <w:lang w:val="en-US" w:eastAsia="zh-CN"/>
              </w:rPr>
            </w:pPr>
            <w:r>
              <w:rPr>
                <w:rFonts w:hint="eastAsia" w:ascii="仿宋" w:hAnsi="仿宋" w:eastAsia="仿宋" w:cs="仿宋"/>
                <w:b w:val="0"/>
                <w:bCs w:val="0"/>
                <w:sz w:val="22"/>
                <w:szCs w:val="22"/>
                <w:highlight w:val="none"/>
                <w:lang w:val="en-US" w:eastAsia="zh-CN"/>
              </w:rPr>
              <w:t>3.5</w:t>
            </w:r>
          </w:p>
        </w:tc>
        <w:tc>
          <w:tcPr>
            <w:tcW w:w="560" w:type="dxa"/>
            <w:noWrap w:val="0"/>
            <w:vAlign w:val="center"/>
          </w:tcPr>
          <w:p w14:paraId="185E5E72">
            <w:pPr>
              <w:bidi w:val="0"/>
              <w:snapToGrid w:val="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售后服务及培训方案</w:t>
            </w:r>
          </w:p>
        </w:tc>
        <w:tc>
          <w:tcPr>
            <w:tcW w:w="7123" w:type="dxa"/>
            <w:noWrap w:val="0"/>
            <w:vAlign w:val="center"/>
          </w:tcPr>
          <w:p w14:paraId="3DEB888B">
            <w:pPr>
              <w:pStyle w:val="13"/>
              <w:snapToGrid w:val="0"/>
              <w:rPr>
                <w:rFonts w:hint="eastAsia" w:ascii="仿宋" w:hAnsi="仿宋" w:eastAsia="仿宋" w:cs="仿宋"/>
                <w:sz w:val="22"/>
                <w:szCs w:val="22"/>
                <w:highlight w:val="none"/>
              </w:rPr>
            </w:pPr>
          </w:p>
          <w:p w14:paraId="70C19FB7">
            <w:pPr>
              <w:snapToGrid w:val="0"/>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 xml:space="preserve">根据投标人提供的售后服务及培训方案(包括但不限于售后故障响应时间、故障解决方案、售后服务承诺内容、培训师资力量、培训计划及内容等)进行综合评审： </w:t>
            </w:r>
          </w:p>
          <w:p w14:paraId="60E26FF0">
            <w:pPr>
              <w:numPr>
                <w:ilvl w:val="0"/>
                <w:numId w:val="0"/>
              </w:numPr>
              <w:snapToGrid w:val="0"/>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kern w:val="2"/>
                <w:sz w:val="22"/>
                <w:szCs w:val="22"/>
                <w:lang w:val="en-US" w:eastAsia="zh-CN" w:bidi="ar-SA"/>
              </w:rPr>
              <w:t>（1）</w:t>
            </w:r>
            <w:r>
              <w:rPr>
                <w:rFonts w:hint="eastAsia" w:ascii="仿宋" w:hAnsi="仿宋" w:eastAsia="仿宋" w:cs="仿宋"/>
                <w:color w:val="000000"/>
                <w:sz w:val="22"/>
                <w:szCs w:val="22"/>
                <w:highlight w:val="none"/>
                <w:lang w:val="en-US" w:eastAsia="zh-CN"/>
              </w:rPr>
              <w:t xml:space="preserve">故障解决措施完善，响应时间及时，培训师资配置完备、专业能力突出，内容阐述详细，可操作性强的，得 5分； </w:t>
            </w:r>
          </w:p>
          <w:p w14:paraId="2EDE60E3">
            <w:pPr>
              <w:numPr>
                <w:ilvl w:val="0"/>
                <w:numId w:val="0"/>
              </w:numPr>
              <w:snapToGrid w:val="0"/>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kern w:val="2"/>
                <w:sz w:val="22"/>
                <w:szCs w:val="22"/>
                <w:lang w:val="en-US" w:eastAsia="zh-CN" w:bidi="ar-SA"/>
              </w:rPr>
              <w:t>（2）</w:t>
            </w:r>
            <w:r>
              <w:rPr>
                <w:rFonts w:hint="eastAsia" w:ascii="仿宋" w:hAnsi="仿宋" w:eastAsia="仿宋" w:cs="仿宋"/>
                <w:color w:val="000000"/>
                <w:sz w:val="22"/>
                <w:szCs w:val="22"/>
                <w:highlight w:val="none"/>
                <w:lang w:val="en-US" w:eastAsia="zh-CN"/>
              </w:rPr>
              <w:t xml:space="preserve">故障解决措施较完善，响应时间比较及时，培训师资配置达标、专业能力较强 ，内容阐述较详细，可操作性较强的，得 </w:t>
            </w:r>
            <w:r>
              <w:rPr>
                <w:rFonts w:hint="eastAsia" w:ascii="仿宋" w:hAnsi="仿宋" w:eastAsia="仿宋" w:cs="仿宋"/>
                <w:color w:val="000000"/>
                <w:sz w:val="22"/>
                <w:szCs w:val="22"/>
                <w:highlight w:val="none"/>
                <w:lang w:eastAsia="zh-CN"/>
              </w:rPr>
              <w:t>3</w:t>
            </w:r>
            <w:r>
              <w:rPr>
                <w:rFonts w:hint="eastAsia" w:ascii="仿宋" w:hAnsi="仿宋" w:eastAsia="仿宋" w:cs="仿宋"/>
                <w:color w:val="000000"/>
                <w:sz w:val="22"/>
                <w:szCs w:val="22"/>
                <w:highlight w:val="none"/>
                <w:lang w:val="en-US" w:eastAsia="zh-CN"/>
              </w:rPr>
              <w:t xml:space="preserve"> 分；</w:t>
            </w:r>
          </w:p>
          <w:p w14:paraId="718D031E">
            <w:pPr>
              <w:numPr>
                <w:ilvl w:val="0"/>
                <w:numId w:val="0"/>
              </w:numPr>
              <w:snapToGrid w:val="0"/>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kern w:val="2"/>
                <w:sz w:val="22"/>
                <w:szCs w:val="22"/>
                <w:lang w:val="en-US" w:eastAsia="zh-CN" w:bidi="ar-SA"/>
              </w:rPr>
              <w:t>（3）</w:t>
            </w:r>
            <w:r>
              <w:rPr>
                <w:rFonts w:hint="eastAsia" w:ascii="仿宋" w:hAnsi="仿宋" w:eastAsia="仿宋" w:cs="仿宋"/>
                <w:color w:val="000000"/>
                <w:sz w:val="22"/>
                <w:szCs w:val="22"/>
                <w:highlight w:val="none"/>
                <w:lang w:val="en-US" w:eastAsia="zh-CN"/>
              </w:rPr>
              <w:t xml:space="preserve">故障解决措施完善性一般，响应时间符合要求，培训师资配置简单、专业能力一般，内容阐述不够详细，可操作性一般的，得 </w:t>
            </w:r>
            <w:r>
              <w:rPr>
                <w:rFonts w:hint="eastAsia" w:ascii="仿宋" w:hAnsi="仿宋" w:eastAsia="仿宋" w:cs="仿宋"/>
                <w:color w:val="000000"/>
                <w:sz w:val="22"/>
                <w:szCs w:val="22"/>
                <w:highlight w:val="none"/>
                <w:lang w:eastAsia="zh-CN"/>
              </w:rPr>
              <w:t>1</w:t>
            </w:r>
            <w:r>
              <w:rPr>
                <w:rFonts w:hint="eastAsia" w:ascii="仿宋" w:hAnsi="仿宋" w:eastAsia="仿宋" w:cs="仿宋"/>
                <w:color w:val="000000"/>
                <w:sz w:val="22"/>
                <w:szCs w:val="22"/>
                <w:highlight w:val="none"/>
                <w:lang w:val="en-US" w:eastAsia="zh-CN"/>
              </w:rPr>
              <w:t xml:space="preserve"> 分； </w:t>
            </w:r>
          </w:p>
          <w:p w14:paraId="3BC51D39">
            <w:pPr>
              <w:numPr>
                <w:ilvl w:val="0"/>
                <w:numId w:val="0"/>
              </w:numPr>
              <w:snapToGrid w:val="0"/>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lang w:val="en-US" w:eastAsia="zh-CN"/>
              </w:rPr>
              <w:t>（4）无提供不得分。</w:t>
            </w:r>
          </w:p>
          <w:p w14:paraId="40E6AAEA">
            <w:pPr>
              <w:bidi w:val="0"/>
              <w:snapToGrid w:val="0"/>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rPr>
              <w:t>注：投标人须提供为本项目配备的技术培训团队人员名单及对应的分工说明（格式自拟），团队至少须包括物理教学仪器类培训小组负责人，化学教学仪器类培训小组负责人。且以上职责不得相互兼任。未按要求提供完整人员名单及分工说明的，或名单不完整、或存在人员兼任情况的，团队人员未在社保名单的，本项“培训方案”整体不得分。</w:t>
            </w:r>
          </w:p>
          <w:p w14:paraId="32D241FE">
            <w:pPr>
              <w:snapToGrid w:val="0"/>
              <w:rPr>
                <w:rFonts w:hint="eastAsia" w:ascii="仿宋" w:hAnsi="仿宋" w:eastAsia="仿宋" w:cs="仿宋"/>
                <w:sz w:val="22"/>
                <w:szCs w:val="22"/>
                <w:highlight w:val="none"/>
              </w:rPr>
            </w:pPr>
          </w:p>
        </w:tc>
        <w:tc>
          <w:tcPr>
            <w:tcW w:w="169" w:type="pct"/>
            <w:noWrap w:val="0"/>
            <w:vAlign w:val="center"/>
          </w:tcPr>
          <w:p w14:paraId="4BCD5BE2">
            <w:pPr>
              <w:bidi w:val="0"/>
              <w:snapToGrid w:val="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5</w:t>
            </w:r>
          </w:p>
        </w:tc>
      </w:tr>
    </w:tbl>
    <w:p w14:paraId="24266E75">
      <w:pPr>
        <w:numPr>
          <w:ilvl w:val="0"/>
          <w:numId w:val="0"/>
        </w:num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更正为：</w:t>
      </w:r>
    </w:p>
    <w:tbl>
      <w:tblPr>
        <w:tblStyle w:val="8"/>
        <w:tblW w:w="87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348"/>
        <w:gridCol w:w="542"/>
        <w:gridCol w:w="7176"/>
        <w:gridCol w:w="654"/>
      </w:tblGrid>
      <w:tr w14:paraId="5374B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348" w:type="dxa"/>
            <w:noWrap w:val="0"/>
            <w:vAlign w:val="center"/>
          </w:tcPr>
          <w:p w14:paraId="6CA82C98">
            <w:pPr>
              <w:snapToGrid w:val="0"/>
              <w:ind w:left="0" w:leftChars="0" w:right="0" w:rightChars="0" w:firstLine="0" w:firstLineChars="0"/>
              <w:jc w:val="center"/>
              <w:rPr>
                <w:rFonts w:hint="eastAsia" w:ascii="仿宋" w:hAnsi="仿宋" w:eastAsia="仿宋" w:cs="仿宋"/>
                <w:b/>
                <w:bCs w:val="0"/>
                <w:sz w:val="22"/>
                <w:szCs w:val="22"/>
                <w:highlight w:val="none"/>
              </w:rPr>
            </w:pPr>
            <w:r>
              <w:rPr>
                <w:rFonts w:hint="eastAsia" w:ascii="仿宋" w:hAnsi="仿宋" w:eastAsia="仿宋" w:cs="仿宋"/>
                <w:b/>
                <w:bCs w:val="0"/>
                <w:sz w:val="22"/>
                <w:szCs w:val="22"/>
                <w:highlight w:val="none"/>
              </w:rPr>
              <w:t>序号</w:t>
            </w:r>
          </w:p>
        </w:tc>
        <w:tc>
          <w:tcPr>
            <w:tcW w:w="542" w:type="dxa"/>
            <w:noWrap w:val="0"/>
            <w:vAlign w:val="center"/>
          </w:tcPr>
          <w:p w14:paraId="3C561D1D">
            <w:pPr>
              <w:snapToGrid w:val="0"/>
              <w:ind w:left="0" w:leftChars="0" w:right="0" w:rightChars="0" w:firstLine="0" w:firstLineChars="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评审因素</w:t>
            </w:r>
          </w:p>
        </w:tc>
        <w:tc>
          <w:tcPr>
            <w:tcW w:w="7176" w:type="dxa"/>
            <w:tcBorders>
              <w:right w:val="single" w:color="auto" w:sz="4" w:space="0"/>
            </w:tcBorders>
            <w:noWrap w:val="0"/>
            <w:vAlign w:val="center"/>
          </w:tcPr>
          <w:p w14:paraId="0BFE6D3B">
            <w:pPr>
              <w:snapToGrid w:val="0"/>
              <w:ind w:left="0" w:leftChars="0" w:right="0" w:rightChars="0" w:firstLine="0" w:firstLineChars="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评审细则</w:t>
            </w:r>
          </w:p>
        </w:tc>
        <w:tc>
          <w:tcPr>
            <w:tcW w:w="654" w:type="dxa"/>
            <w:tcBorders>
              <w:left w:val="single" w:color="auto" w:sz="4" w:space="0"/>
              <w:right w:val="single" w:color="auto" w:sz="4" w:space="0"/>
            </w:tcBorders>
            <w:noWrap w:val="0"/>
            <w:vAlign w:val="center"/>
          </w:tcPr>
          <w:p w14:paraId="134684CB">
            <w:pPr>
              <w:snapToGrid w:val="0"/>
              <w:ind w:left="0" w:leftChars="0" w:right="0" w:rightChars="0" w:firstLine="0" w:firstLineChars="0"/>
              <w:jc w:val="center"/>
              <w:rPr>
                <w:rFonts w:hint="eastAsia" w:ascii="仿宋" w:hAnsi="仿宋" w:eastAsia="仿宋" w:cs="仿宋"/>
                <w:b/>
                <w:bCs/>
                <w:sz w:val="22"/>
                <w:szCs w:val="22"/>
                <w:highlight w:val="none"/>
              </w:rPr>
            </w:pPr>
            <w:r>
              <w:rPr>
                <w:rFonts w:hint="eastAsia" w:ascii="仿宋" w:hAnsi="仿宋" w:eastAsia="仿宋" w:cs="仿宋"/>
                <w:b/>
                <w:bCs/>
                <w:sz w:val="22"/>
                <w:szCs w:val="22"/>
                <w:highlight w:val="none"/>
              </w:rPr>
              <w:t>分值</w:t>
            </w:r>
          </w:p>
        </w:tc>
      </w:tr>
      <w:tr w14:paraId="69AD3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8066" w:type="dxa"/>
            <w:gridSpan w:val="3"/>
            <w:tcBorders>
              <w:right w:val="single" w:color="auto" w:sz="4" w:space="0"/>
            </w:tcBorders>
            <w:noWrap w:val="0"/>
            <w:vAlign w:val="center"/>
          </w:tcPr>
          <w:p w14:paraId="29E53CAB">
            <w:pPr>
              <w:snapToGrid w:val="0"/>
              <w:ind w:left="0" w:leftChars="0" w:right="0" w:rightChars="0" w:firstLine="0" w:firstLineChars="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2.技术</w:t>
            </w:r>
          </w:p>
        </w:tc>
        <w:tc>
          <w:tcPr>
            <w:tcW w:w="654" w:type="dxa"/>
            <w:tcBorders>
              <w:left w:val="single" w:color="auto" w:sz="4" w:space="0"/>
              <w:right w:val="single" w:color="auto" w:sz="4" w:space="0"/>
            </w:tcBorders>
            <w:noWrap w:val="0"/>
            <w:vAlign w:val="center"/>
          </w:tcPr>
          <w:p w14:paraId="21311761">
            <w:pPr>
              <w:snapToGrid w:val="0"/>
              <w:ind w:left="0" w:leftChars="0" w:right="0" w:rightChars="0" w:firstLine="0" w:firstLineChars="0"/>
              <w:jc w:val="center"/>
              <w:rPr>
                <w:rFonts w:hint="eastAsia" w:ascii="仿宋" w:hAnsi="仿宋" w:eastAsia="仿宋" w:cs="仿宋"/>
                <w:b w:val="0"/>
                <w:bCs w:val="0"/>
                <w:sz w:val="22"/>
                <w:szCs w:val="22"/>
                <w:highlight w:val="none"/>
              </w:rPr>
            </w:pPr>
          </w:p>
        </w:tc>
      </w:tr>
      <w:tr w14:paraId="797C0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316555C1">
            <w:pPr>
              <w:snapToGrid w:val="0"/>
              <w:ind w:left="0" w:leftChars="0" w:right="0" w:rightChars="0" w:firstLine="0" w:firstLineChars="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2.1</w:t>
            </w:r>
          </w:p>
        </w:tc>
        <w:tc>
          <w:tcPr>
            <w:tcW w:w="542" w:type="dxa"/>
            <w:noWrap w:val="0"/>
            <w:vAlign w:val="center"/>
          </w:tcPr>
          <w:p w14:paraId="68D2C490">
            <w:pPr>
              <w:snapToGrid w:val="0"/>
              <w:ind w:left="0" w:leftChars="0" w:right="0" w:rightChars="0" w:firstLine="0" w:firstLineChars="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产品技术参数</w:t>
            </w:r>
          </w:p>
        </w:tc>
        <w:tc>
          <w:tcPr>
            <w:tcW w:w="7176" w:type="dxa"/>
            <w:tcBorders>
              <w:right w:val="single" w:color="auto" w:sz="4" w:space="0"/>
            </w:tcBorders>
            <w:noWrap w:val="0"/>
            <w:vAlign w:val="center"/>
          </w:tcPr>
          <w:p w14:paraId="055CD456">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技术参数完全满足招标文件技术参数要求的得满分</w:t>
            </w:r>
            <w:r>
              <w:rPr>
                <w:rFonts w:hint="eastAsia" w:ascii="仿宋" w:hAnsi="仿宋" w:eastAsia="仿宋" w:cs="仿宋"/>
                <w:sz w:val="22"/>
                <w:szCs w:val="22"/>
                <w:highlight w:val="none"/>
                <w:lang w:val="en-US" w:eastAsia="zh-CN"/>
              </w:rPr>
              <w:t>20</w:t>
            </w:r>
            <w:r>
              <w:rPr>
                <w:rFonts w:hint="eastAsia" w:ascii="仿宋" w:hAnsi="仿宋" w:eastAsia="仿宋" w:cs="仿宋"/>
                <w:sz w:val="22"/>
                <w:szCs w:val="22"/>
                <w:highlight w:val="none"/>
              </w:rPr>
              <w:t>分；</w:t>
            </w:r>
          </w:p>
          <w:p w14:paraId="1404A48D">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招标文件中标▲号为重要指标项，每负偏离1项扣</w:t>
            </w:r>
            <w:r>
              <w:rPr>
                <w:rFonts w:hint="eastAsia" w:ascii="仿宋" w:hAnsi="仿宋" w:eastAsia="仿宋" w:cs="仿宋"/>
                <w:sz w:val="22"/>
                <w:szCs w:val="22"/>
                <w:highlight w:val="none"/>
                <w:lang w:val="en-US" w:eastAsia="zh-CN"/>
              </w:rPr>
              <w:t>0.7</w:t>
            </w:r>
            <w:r>
              <w:rPr>
                <w:rFonts w:hint="eastAsia" w:ascii="仿宋" w:hAnsi="仿宋" w:eastAsia="仿宋" w:cs="仿宋"/>
                <w:sz w:val="22"/>
                <w:szCs w:val="22"/>
                <w:highlight w:val="none"/>
              </w:rPr>
              <w:t>分；其他技术参数，每负偏离1项扣0.</w:t>
            </w:r>
            <w:r>
              <w:rPr>
                <w:rFonts w:hint="eastAsia" w:ascii="仿宋" w:hAnsi="仿宋" w:eastAsia="仿宋" w:cs="仿宋"/>
                <w:sz w:val="22"/>
                <w:szCs w:val="22"/>
                <w:highlight w:val="none"/>
                <w:lang w:val="en-US" w:eastAsia="zh-CN"/>
              </w:rPr>
              <w:t>02</w:t>
            </w:r>
            <w:r>
              <w:rPr>
                <w:rFonts w:hint="eastAsia" w:ascii="仿宋" w:hAnsi="仿宋" w:eastAsia="仿宋" w:cs="仿宋"/>
                <w:sz w:val="22"/>
                <w:szCs w:val="22"/>
                <w:highlight w:val="none"/>
              </w:rPr>
              <w:t>分。（不含产品演示项）</w:t>
            </w:r>
          </w:p>
          <w:p w14:paraId="435022C7">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注：评委根据投标单位提供的投标文件中技术支持资料（如白皮书、彩页、手册、检测报告等）及《技术要求响应表》的响应描述和偏离情况说明作为评审依据，未一一对应填写或未响应的均视为负偏离。</w:t>
            </w:r>
          </w:p>
        </w:tc>
        <w:tc>
          <w:tcPr>
            <w:tcW w:w="654" w:type="dxa"/>
            <w:tcBorders>
              <w:left w:val="single" w:color="auto" w:sz="4" w:space="0"/>
              <w:right w:val="single" w:color="auto" w:sz="4" w:space="0"/>
            </w:tcBorders>
            <w:noWrap w:val="0"/>
            <w:vAlign w:val="center"/>
          </w:tcPr>
          <w:p w14:paraId="40D5D5CC">
            <w:pPr>
              <w:snapToGrid w:val="0"/>
              <w:ind w:left="0" w:leftChars="0" w:right="0" w:rightChars="0" w:firstLine="0" w:firstLineChars="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20</w:t>
            </w:r>
          </w:p>
        </w:tc>
      </w:tr>
      <w:tr w14:paraId="5B830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27FAD630">
            <w:pPr>
              <w:snapToGrid w:val="0"/>
              <w:ind w:left="0" w:leftChars="0" w:right="0" w:rightChars="0" w:firstLine="0" w:firstLineChars="0"/>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2.2</w:t>
            </w:r>
          </w:p>
        </w:tc>
        <w:tc>
          <w:tcPr>
            <w:tcW w:w="542" w:type="dxa"/>
            <w:noWrap w:val="0"/>
            <w:vAlign w:val="center"/>
          </w:tcPr>
          <w:p w14:paraId="41AAEA30">
            <w:pPr>
              <w:snapToGrid w:val="0"/>
              <w:ind w:left="0" w:leftChars="0" w:right="0" w:rightChars="0" w:firstLine="0" w:firstLineChars="0"/>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实验演示</w:t>
            </w:r>
          </w:p>
        </w:tc>
        <w:tc>
          <w:tcPr>
            <w:tcW w:w="7176" w:type="dxa"/>
            <w:noWrap w:val="0"/>
            <w:vAlign w:val="center"/>
          </w:tcPr>
          <w:p w14:paraId="340C18AC">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b/>
                <w:bCs/>
                <w:color w:val="000000"/>
                <w:kern w:val="0"/>
                <w:sz w:val="22"/>
                <w:szCs w:val="22"/>
                <w:highlight w:val="none"/>
                <w:lang w:bidi="ar"/>
              </w:rPr>
              <w:t>注：</w:t>
            </w:r>
            <w:r>
              <w:rPr>
                <w:rFonts w:hint="eastAsia" w:ascii="仿宋" w:hAnsi="仿宋" w:eastAsia="仿宋" w:cs="仿宋"/>
                <w:b/>
                <w:bCs/>
                <w:color w:val="000000"/>
                <w:kern w:val="0"/>
                <w:sz w:val="22"/>
                <w:szCs w:val="22"/>
                <w:highlight w:val="none"/>
                <w:lang w:val="en-US" w:eastAsia="zh-CN" w:bidi="ar"/>
              </w:rPr>
              <w:t>采取线上演示方式，</w:t>
            </w:r>
            <w:r>
              <w:rPr>
                <w:rFonts w:hint="eastAsia" w:ascii="仿宋" w:hAnsi="仿宋" w:eastAsia="仿宋" w:cs="仿宋"/>
                <w:b/>
                <w:bCs/>
                <w:color w:val="000000"/>
                <w:kern w:val="0"/>
                <w:sz w:val="22"/>
                <w:szCs w:val="22"/>
                <w:highlight w:val="none"/>
                <w:lang w:bidi="ar"/>
              </w:rPr>
              <w:t>演示视频按苏采云平台要求上传，演示时长不超过</w:t>
            </w:r>
            <w:r>
              <w:rPr>
                <w:rFonts w:hint="eastAsia" w:ascii="仿宋" w:hAnsi="仿宋" w:eastAsia="仿宋" w:cs="仿宋"/>
                <w:b/>
                <w:bCs/>
                <w:color w:val="000000"/>
                <w:kern w:val="0"/>
                <w:sz w:val="22"/>
                <w:szCs w:val="22"/>
                <w:highlight w:val="none"/>
                <w:lang w:val="en-US" w:eastAsia="zh-CN" w:bidi="ar"/>
              </w:rPr>
              <w:t>30</w:t>
            </w:r>
            <w:r>
              <w:rPr>
                <w:rFonts w:hint="eastAsia" w:ascii="仿宋" w:hAnsi="仿宋" w:eastAsia="仿宋" w:cs="仿宋"/>
                <w:b/>
                <w:bCs/>
                <w:color w:val="000000"/>
                <w:kern w:val="0"/>
                <w:sz w:val="22"/>
                <w:szCs w:val="22"/>
                <w:highlight w:val="none"/>
                <w:lang w:bidi="ar"/>
              </w:rPr>
              <w:t>分钟。单个视频压缩包大小不得超过50M，整体视频压缩包大小不得超过300M，视频压缩包格式为zip格式。</w:t>
            </w:r>
            <w:r>
              <w:rPr>
                <w:rFonts w:hint="eastAsia" w:ascii="仿宋" w:hAnsi="仿宋" w:eastAsia="仿宋" w:cs="仿宋"/>
                <w:sz w:val="22"/>
                <w:szCs w:val="22"/>
                <w:highlight w:val="none"/>
              </w:rPr>
              <w:t>由评标委员会根据实验演示效果进行综合评审，演示内容如下：</w:t>
            </w:r>
          </w:p>
          <w:p w14:paraId="3DD47D63">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lang w:val="en-US" w:eastAsia="zh-CN" w:bidi="ar"/>
              </w:rPr>
              <w:t>演示1：用无线光电门传感器（双门）及附件完成“测量物体运动的速度实验”及功能演示（</w:t>
            </w:r>
            <w:r>
              <w:rPr>
                <w:rFonts w:hint="eastAsia" w:ascii="仿宋" w:hAnsi="仿宋" w:eastAsia="仿宋" w:cs="仿宋"/>
                <w:sz w:val="22"/>
                <w:szCs w:val="22"/>
                <w:highlight w:val="none"/>
                <w:lang w:val="en-US" w:eastAsia="zh-CN" w:bidi="ar"/>
                <w:woUserID w:val="3"/>
              </w:rPr>
              <w:t>5</w:t>
            </w:r>
            <w:r>
              <w:rPr>
                <w:rFonts w:hint="eastAsia" w:ascii="仿宋" w:hAnsi="仿宋" w:eastAsia="仿宋" w:cs="仿宋"/>
                <w:sz w:val="22"/>
                <w:szCs w:val="22"/>
                <w:highlight w:val="none"/>
                <w:lang w:val="en-US" w:eastAsia="zh-CN" w:bidi="ar"/>
              </w:rPr>
              <w:t>分）</w:t>
            </w:r>
          </w:p>
          <w:p w14:paraId="10C02A23">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lang w:val="en-US" w:eastAsia="zh-CN" w:bidi="ar"/>
              </w:rPr>
              <w:t>功能性演示</w:t>
            </w:r>
          </w:p>
          <w:p w14:paraId="01ED2FE4">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lang w:eastAsia="zh-CN" w:bidi="ar"/>
              </w:rPr>
              <w:t>1-1</w:t>
            </w:r>
            <w:r>
              <w:rPr>
                <w:rFonts w:hint="eastAsia" w:ascii="仿宋" w:hAnsi="仿宋" w:eastAsia="仿宋" w:cs="仿宋"/>
                <w:sz w:val="22"/>
                <w:szCs w:val="22"/>
                <w:highlight w:val="none"/>
                <w:lang w:val="en-US" w:eastAsia="zh-CN" w:bidi="ar"/>
              </w:rPr>
              <w:t xml:space="preserve"> </w:t>
            </w:r>
            <w:r>
              <w:rPr>
                <w:rFonts w:hint="eastAsia" w:ascii="仿宋" w:hAnsi="仿宋" w:eastAsia="仿宋" w:cs="仿宋"/>
                <w:sz w:val="22"/>
                <w:szCs w:val="22"/>
                <w:highlight w:val="none"/>
              </w:rPr>
              <w:t xml:space="preserve"> 演示无线光电门传感器（双门）连接软件后能够设置多种模式，包含但不限于以下七种模式：①智能光门计时器模式；②光门和摆锤模式；③光门与栅栏模式；④光门计时模式（1个光电门）；⑤激光计时模式；⑥飞行计时模式；⑦光门计时（2个光门）模式。演示的软件画面中要明显观看到以上7种模式及对应的参数可设置的功能。得</w:t>
            </w:r>
            <w:r>
              <w:rPr>
                <w:rFonts w:hint="eastAsia" w:ascii="仿宋" w:hAnsi="仿宋" w:eastAsia="仿宋" w:cs="仿宋"/>
                <w:sz w:val="22"/>
                <w:szCs w:val="22"/>
                <w:highlight w:val="none"/>
                <w:woUserID w:val="3"/>
              </w:rPr>
              <w:t>1</w:t>
            </w:r>
            <w:r>
              <w:rPr>
                <w:rFonts w:hint="eastAsia" w:ascii="仿宋" w:hAnsi="仿宋" w:eastAsia="仿宋" w:cs="仿宋"/>
                <w:sz w:val="22"/>
                <w:szCs w:val="22"/>
                <w:highlight w:val="none"/>
              </w:rPr>
              <w:t>分；</w:t>
            </w:r>
          </w:p>
          <w:p w14:paraId="167C15D1">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1-2  演示飞行计时模式；通过扩展接口接入震动触发器。测量物体通过光门时间及触发器触发的时间。演示光门计时（两个光门）模式：通过扩展接口接入扩展光门模块，测量物体通过2个光门的门内时间、门间时间，测算相应速度。得1分；</w:t>
            </w:r>
          </w:p>
          <w:p w14:paraId="48A25B6F">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实验演示：完成测量物体运动的速度实验</w:t>
            </w:r>
          </w:p>
          <w:p w14:paraId="0A3F9796">
            <w:pPr>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rPr>
              <w:t>1-3  用激光发射器照射激光接收孔，人体运动通过激光和激光接收孔之间时遮挡光线，测得人体运动遮光时间，可以输入人体宽度从而计算出人体运动的速度。演示过程中要明显看到遮光时间及人体运动速度的计算过程。得1分；</w:t>
            </w:r>
          </w:p>
          <w:p w14:paraId="4A3AB4F7">
            <w:pPr>
              <w:snapToGrid w:val="0"/>
              <w:ind w:left="0" w:leftChars="0" w:right="0" w:rightChars="0" w:firstLine="0" w:firstLineChars="0"/>
              <w:jc w:val="left"/>
              <w:rPr>
                <w:rFonts w:hint="eastAsia" w:ascii="仿宋" w:hAnsi="仿宋" w:eastAsia="仿宋" w:cs="仿宋"/>
                <w:sz w:val="22"/>
                <w:szCs w:val="22"/>
              </w:rPr>
            </w:pPr>
            <w:r>
              <w:rPr>
                <w:rFonts w:hint="eastAsia" w:ascii="仿宋" w:hAnsi="仿宋" w:eastAsia="仿宋" w:cs="仿宋"/>
                <w:sz w:val="22"/>
                <w:szCs w:val="22"/>
                <w:highlight w:val="none"/>
              </w:rPr>
              <w:t>1-4  在软件界面中通过无线蓝牙连接上无线光电门传感器，在软件中设置智能光门计时器模式，演示小车从轨道相同位置下滑，用光电门分别测量小车上宽度为0.06m、0.04m、0.02m挡光片经过相同位置的瞬时速度，实验演示过程中要明显观看到操作过程中无需设置挡光片</w:t>
            </w:r>
          </w:p>
          <w:p w14:paraId="79F6DA17">
            <w:pPr>
              <w:snapToGrid w:val="0"/>
              <w:ind w:left="0" w:leftChars="0" w:right="0" w:rightChars="0" w:firstLine="0" w:firstLineChars="0"/>
              <w:jc w:val="left"/>
              <w:rPr>
                <w:rFonts w:hint="eastAsia" w:ascii="仿宋" w:hAnsi="仿宋" w:eastAsia="仿宋" w:cs="仿宋"/>
                <w:b/>
                <w:bCs/>
                <w:sz w:val="22"/>
                <w:szCs w:val="22"/>
                <w:highlight w:val="none"/>
              </w:rPr>
            </w:pPr>
            <w:r>
              <w:rPr>
                <w:rFonts w:hint="eastAsia" w:ascii="仿宋" w:hAnsi="仿宋" w:eastAsia="仿宋" w:cs="仿宋"/>
                <w:sz w:val="22"/>
                <w:szCs w:val="22"/>
                <w:highlight w:val="none"/>
              </w:rPr>
              <w:t>宽度，且三次测得的瞬时速度相对误差≤10%。得</w:t>
            </w:r>
            <w:r>
              <w:rPr>
                <w:rFonts w:hint="eastAsia" w:ascii="仿宋" w:hAnsi="仿宋" w:eastAsia="仿宋" w:cs="仿宋"/>
                <w:sz w:val="22"/>
                <w:szCs w:val="22"/>
                <w:highlight w:val="none"/>
                <w:lang w:val="en-US" w:eastAsia="zh-CN"/>
                <w:woUserID w:val="3"/>
              </w:rPr>
              <w:t>2</w:t>
            </w:r>
            <w:r>
              <w:rPr>
                <w:rFonts w:hint="eastAsia" w:ascii="仿宋" w:hAnsi="仿宋" w:eastAsia="仿宋" w:cs="仿宋"/>
                <w:sz w:val="22"/>
                <w:szCs w:val="22"/>
                <w:highlight w:val="none"/>
              </w:rPr>
              <w:t>分；</w:t>
            </w:r>
          </w:p>
          <w:p w14:paraId="2A754353">
            <w:pPr>
              <w:keepNext w:val="0"/>
              <w:keepLines w:val="0"/>
              <w:widowControl/>
              <w:suppressLineNumbers w:val="0"/>
              <w:snapToGrid w:val="0"/>
              <w:ind w:left="0" w:leftChars="0" w:right="0" w:rightChars="0" w:firstLine="0" w:firstLineChars="0"/>
              <w:jc w:val="left"/>
              <w:rPr>
                <w:rFonts w:hint="eastAsia" w:ascii="仿宋" w:hAnsi="仿宋" w:eastAsia="仿宋" w:cs="仿宋"/>
                <w:sz w:val="22"/>
                <w:szCs w:val="22"/>
                <w:highlight w:val="none"/>
                <w:lang w:val="en-US" w:eastAsia="zh-CN" w:bidi="ar"/>
              </w:rPr>
            </w:pPr>
            <w:r>
              <w:rPr>
                <w:rFonts w:hint="eastAsia" w:ascii="仿宋" w:hAnsi="仿宋" w:eastAsia="仿宋" w:cs="仿宋"/>
                <w:sz w:val="22"/>
                <w:szCs w:val="22"/>
                <w:highlight w:val="none"/>
                <w:lang w:val="en-US" w:eastAsia="zh-CN" w:bidi="ar"/>
              </w:rPr>
              <w:t>演示2：用数芯一体式光电效应的定量研究实验板完成以下功能演示</w:t>
            </w:r>
            <w:r>
              <w:rPr>
                <w:rFonts w:hint="eastAsia" w:ascii="仿宋" w:hAnsi="仿宋" w:eastAsia="仿宋" w:cs="仿宋"/>
                <w:sz w:val="22"/>
                <w:szCs w:val="22"/>
                <w:highlight w:val="none"/>
                <w:lang w:eastAsia="zh-CN" w:bidi="ar"/>
              </w:rPr>
              <w:t>（</w:t>
            </w:r>
            <w:r>
              <w:rPr>
                <w:rFonts w:hint="eastAsia" w:ascii="仿宋" w:hAnsi="仿宋" w:eastAsia="仿宋" w:cs="仿宋"/>
                <w:sz w:val="22"/>
                <w:szCs w:val="22"/>
                <w:highlight w:val="none"/>
                <w:lang w:val="en-US" w:eastAsia="zh-CN" w:bidi="ar"/>
                <w:woUserID w:val="3"/>
              </w:rPr>
              <w:t>5</w:t>
            </w:r>
            <w:r>
              <w:rPr>
                <w:rFonts w:hint="eastAsia" w:ascii="仿宋" w:hAnsi="仿宋" w:eastAsia="仿宋" w:cs="仿宋"/>
                <w:sz w:val="22"/>
                <w:szCs w:val="22"/>
                <w:highlight w:val="none"/>
                <w:lang w:eastAsia="zh-CN" w:bidi="ar"/>
              </w:rPr>
              <w:t>分）</w:t>
            </w:r>
            <w:r>
              <w:rPr>
                <w:rFonts w:hint="eastAsia" w:ascii="仿宋" w:hAnsi="仿宋" w:eastAsia="仿宋" w:cs="仿宋"/>
                <w:sz w:val="22"/>
                <w:szCs w:val="22"/>
                <w:highlight w:val="none"/>
                <w:lang w:val="en-US" w:eastAsia="zh-CN" w:bidi="ar"/>
              </w:rPr>
              <w:t xml:space="preserve"> </w:t>
            </w:r>
          </w:p>
          <w:p w14:paraId="66F95650">
            <w:pPr>
              <w:keepNext w:val="0"/>
              <w:keepLines w:val="0"/>
              <w:widowControl/>
              <w:numPr>
                <w:ilvl w:val="0"/>
                <w:numId w:val="0"/>
              </w:numPr>
              <w:suppressLineNumbers w:val="0"/>
              <w:snapToGrid w:val="0"/>
              <w:ind w:left="0" w:leftChars="0" w:right="0" w:rightChars="0" w:firstLine="0" w:firstLineChars="0"/>
              <w:jc w:val="left"/>
              <w:rPr>
                <w:rFonts w:hint="eastAsia" w:ascii="仿宋" w:hAnsi="仿宋" w:eastAsia="仿宋" w:cs="仿宋"/>
                <w:sz w:val="22"/>
                <w:szCs w:val="22"/>
                <w:highlight w:val="none"/>
                <w:lang w:val="en-US" w:eastAsia="zh-CN" w:bidi="ar"/>
              </w:rPr>
            </w:pPr>
            <w:r>
              <w:rPr>
                <w:rFonts w:hint="eastAsia" w:ascii="仿宋" w:hAnsi="仿宋" w:eastAsia="仿宋" w:cs="仿宋"/>
                <w:sz w:val="22"/>
                <w:szCs w:val="22"/>
                <w:highlight w:val="none"/>
                <w:lang w:eastAsia="zh-CN" w:bidi="ar"/>
              </w:rPr>
              <w:t xml:space="preserve">2-1 </w:t>
            </w:r>
            <w:r>
              <w:rPr>
                <w:rFonts w:hint="eastAsia" w:ascii="仿宋" w:hAnsi="仿宋" w:eastAsia="仿宋" w:cs="仿宋"/>
                <w:sz w:val="22"/>
                <w:szCs w:val="22"/>
                <w:highlight w:val="none"/>
                <w:lang w:val="en-US" w:eastAsia="zh-CN" w:bidi="ar"/>
              </w:rPr>
              <w:t>演示该实验板内嵌电源（不能为</w:t>
            </w:r>
            <w:r>
              <w:rPr>
                <w:rFonts w:hint="eastAsia" w:ascii="仿宋" w:hAnsi="仿宋" w:eastAsia="仿宋" w:cs="仿宋"/>
                <w:sz w:val="22"/>
                <w:szCs w:val="22"/>
                <w:highlight w:val="none"/>
                <w:lang w:eastAsia="zh-CN" w:bidi="ar"/>
              </w:rPr>
              <w:t>外置或外接电源</w:t>
            </w:r>
            <w:r>
              <w:rPr>
                <w:rFonts w:hint="eastAsia" w:ascii="仿宋" w:hAnsi="仿宋" w:eastAsia="仿宋" w:cs="仿宋"/>
                <w:sz w:val="22"/>
                <w:szCs w:val="22"/>
                <w:highlight w:val="none"/>
                <w:lang w:val="en-US" w:eastAsia="zh-CN" w:bidi="ar"/>
              </w:rPr>
              <w:t>）的功能：具有</w:t>
            </w:r>
            <w:r>
              <w:rPr>
                <w:rFonts w:hint="eastAsia" w:ascii="仿宋" w:hAnsi="仿宋" w:eastAsia="仿宋" w:cs="仿宋"/>
                <w:sz w:val="22"/>
                <w:szCs w:val="22"/>
                <w:highlight w:val="none"/>
                <w:lang w:eastAsia="zh-CN" w:bidi="ar"/>
              </w:rPr>
              <w:t>不小于</w:t>
            </w:r>
            <w:r>
              <w:rPr>
                <w:rFonts w:hint="eastAsia" w:ascii="仿宋" w:hAnsi="仿宋" w:eastAsia="仿宋" w:cs="仿宋"/>
                <w:sz w:val="22"/>
                <w:szCs w:val="22"/>
                <w:highlight w:val="none"/>
                <w:lang w:val="en-US" w:eastAsia="zh-CN" w:bidi="ar"/>
              </w:rPr>
              <w:t>5-28V的连续可调电压、并显示数据，具有正反向切换开关，具有Teyp-c接口可充电，具有电量表显示电量。</w:t>
            </w:r>
            <w:r>
              <w:rPr>
                <w:rFonts w:hint="eastAsia" w:ascii="仿宋" w:hAnsi="仿宋" w:eastAsia="仿宋" w:cs="仿宋"/>
                <w:sz w:val="22"/>
                <w:szCs w:val="22"/>
                <w:highlight w:val="none"/>
                <w:lang w:eastAsia="zh-CN" w:bidi="ar"/>
              </w:rPr>
              <w:t>得1分；</w:t>
            </w:r>
            <w:r>
              <w:rPr>
                <w:rFonts w:hint="eastAsia" w:ascii="仿宋" w:hAnsi="仿宋" w:eastAsia="仿宋" w:cs="仿宋"/>
                <w:sz w:val="22"/>
                <w:szCs w:val="22"/>
                <w:highlight w:val="none"/>
                <w:lang w:val="en-US" w:eastAsia="zh-CN" w:bidi="ar"/>
              </w:rPr>
              <w:t xml:space="preserve"> </w:t>
            </w:r>
          </w:p>
          <w:p w14:paraId="0A532F79">
            <w:pPr>
              <w:keepNext w:val="0"/>
              <w:keepLines w:val="0"/>
              <w:widowControl/>
              <w:numPr>
                <w:ilvl w:val="0"/>
                <w:numId w:val="0"/>
              </w:numPr>
              <w:suppressLineNumbers w:val="0"/>
              <w:snapToGrid w:val="0"/>
              <w:ind w:left="0" w:leftChars="0" w:right="0" w:rightChars="0" w:firstLine="0" w:firstLineChars="0"/>
              <w:jc w:val="left"/>
              <w:rPr>
                <w:rFonts w:hint="eastAsia" w:ascii="仿宋" w:hAnsi="仿宋" w:eastAsia="仿宋" w:cs="仿宋"/>
                <w:sz w:val="22"/>
                <w:szCs w:val="22"/>
                <w:highlight w:val="none"/>
                <w:lang w:val="en-US" w:eastAsia="zh-CN" w:bidi="ar"/>
              </w:rPr>
            </w:pPr>
            <w:r>
              <w:rPr>
                <w:rFonts w:hint="eastAsia" w:ascii="仿宋" w:hAnsi="仿宋" w:eastAsia="仿宋" w:cs="仿宋"/>
                <w:sz w:val="22"/>
                <w:szCs w:val="22"/>
                <w:highlight w:val="none"/>
                <w:lang w:eastAsia="zh-CN" w:bidi="ar"/>
              </w:rPr>
              <w:t xml:space="preserve">2-2 </w:t>
            </w:r>
            <w:r>
              <w:rPr>
                <w:rFonts w:hint="eastAsia" w:ascii="仿宋" w:hAnsi="仿宋" w:eastAsia="仿宋" w:cs="仿宋"/>
                <w:sz w:val="22"/>
                <w:szCs w:val="22"/>
                <w:highlight w:val="none"/>
                <w:lang w:val="en-US" w:eastAsia="zh-CN" w:bidi="ar"/>
              </w:rPr>
              <w:t>演示该实验板内嵌无线微电流传感器、无线电压传感器（不能为外接式的无线发射模块、传感器）的功能：内嵌4位</w:t>
            </w:r>
            <w:r>
              <w:rPr>
                <w:rFonts w:hint="eastAsia" w:ascii="仿宋" w:hAnsi="仿宋" w:eastAsia="仿宋" w:cs="仿宋"/>
                <w:sz w:val="22"/>
                <w:szCs w:val="22"/>
                <w:highlight w:val="none"/>
                <w:lang w:eastAsia="zh-CN" w:bidi="ar"/>
              </w:rPr>
              <w:t>不小于</w:t>
            </w:r>
            <w:r>
              <w:rPr>
                <w:rFonts w:hint="eastAsia" w:ascii="仿宋" w:hAnsi="仿宋" w:eastAsia="仿宋" w:cs="仿宋"/>
                <w:sz w:val="22"/>
                <w:szCs w:val="22"/>
                <w:highlight w:val="none"/>
                <w:lang w:val="en-US" w:eastAsia="zh-CN" w:bidi="ar"/>
              </w:rPr>
              <w:t>0.56英寸</w:t>
            </w:r>
            <w:r>
              <w:rPr>
                <w:rFonts w:hint="eastAsia" w:ascii="仿宋" w:hAnsi="仿宋" w:eastAsia="仿宋" w:cs="仿宋"/>
                <w:sz w:val="22"/>
                <w:szCs w:val="22"/>
                <w:highlight w:val="none"/>
                <w:lang w:eastAsia="zh-CN" w:bidi="ar"/>
              </w:rPr>
              <w:t>高</w:t>
            </w:r>
            <w:r>
              <w:rPr>
                <w:rFonts w:hint="eastAsia" w:ascii="仿宋" w:hAnsi="仿宋" w:eastAsia="仿宋" w:cs="仿宋"/>
                <w:sz w:val="22"/>
                <w:szCs w:val="22"/>
                <w:highlight w:val="none"/>
                <w:lang w:val="en-US" w:eastAsia="zh-CN" w:bidi="ar"/>
              </w:rPr>
              <w:t>亮数码管</w:t>
            </w:r>
            <w:r>
              <w:rPr>
                <w:rFonts w:hint="eastAsia" w:ascii="仿宋" w:hAnsi="仿宋" w:eastAsia="仿宋" w:cs="仿宋"/>
                <w:sz w:val="22"/>
                <w:szCs w:val="22"/>
                <w:highlight w:val="none"/>
                <w:lang w:eastAsia="zh-CN" w:bidi="ar"/>
              </w:rPr>
              <w:t>，</w:t>
            </w:r>
            <w:r>
              <w:rPr>
                <w:rFonts w:hint="eastAsia" w:ascii="仿宋" w:hAnsi="仿宋" w:eastAsia="仿宋" w:cs="仿宋"/>
                <w:sz w:val="22"/>
                <w:szCs w:val="22"/>
                <w:highlight w:val="none"/>
                <w:lang w:val="en-US" w:eastAsia="zh-CN" w:bidi="ar"/>
              </w:rPr>
              <w:t>内嵌传感器具有无线识别码与电脑或采集终端进行精准无线连接，连接软件后能显示采集的电流、电压数据。</w:t>
            </w:r>
            <w:r>
              <w:rPr>
                <w:rFonts w:hint="eastAsia" w:ascii="仿宋" w:hAnsi="仿宋" w:eastAsia="仿宋" w:cs="仿宋"/>
                <w:sz w:val="22"/>
                <w:szCs w:val="22"/>
                <w:highlight w:val="none"/>
                <w:lang w:eastAsia="zh-CN" w:bidi="ar"/>
              </w:rPr>
              <w:t>得1分；</w:t>
            </w:r>
            <w:r>
              <w:rPr>
                <w:rFonts w:hint="eastAsia" w:ascii="仿宋" w:hAnsi="仿宋" w:eastAsia="仿宋" w:cs="仿宋"/>
                <w:sz w:val="22"/>
                <w:szCs w:val="22"/>
                <w:highlight w:val="none"/>
                <w:lang w:val="en-US" w:eastAsia="zh-CN" w:bidi="ar"/>
              </w:rPr>
              <w:t xml:space="preserve"> </w:t>
            </w:r>
          </w:p>
          <w:p w14:paraId="741D8785">
            <w:pPr>
              <w:keepNext w:val="0"/>
              <w:keepLines w:val="0"/>
              <w:widowControl/>
              <w:numPr>
                <w:ilvl w:val="0"/>
                <w:numId w:val="0"/>
              </w:numPr>
              <w:suppressLineNumbers w:val="0"/>
              <w:snapToGrid w:val="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 xml:space="preserve">2-3 </w:t>
            </w:r>
            <w:r>
              <w:rPr>
                <w:rFonts w:hint="eastAsia" w:ascii="仿宋" w:hAnsi="仿宋" w:eastAsia="仿宋" w:cs="仿宋"/>
                <w:sz w:val="22"/>
                <w:szCs w:val="22"/>
                <w:highlight w:val="none"/>
                <w:lang w:val="en-US" w:eastAsia="zh-CN" w:bidi="ar"/>
              </w:rPr>
              <w:t>演示该实验板内嵌色光调节器的功能：具有6档开关，可调节红、黄、绿、蓝、紫5种色光，具有光强调节器，每种色光分三档光强调节。</w:t>
            </w:r>
            <w:r>
              <w:rPr>
                <w:rFonts w:hint="eastAsia" w:ascii="仿宋" w:hAnsi="仿宋" w:eastAsia="仿宋" w:cs="仿宋"/>
                <w:sz w:val="22"/>
                <w:szCs w:val="22"/>
                <w:highlight w:val="none"/>
                <w:lang w:eastAsia="zh-CN" w:bidi="ar"/>
              </w:rPr>
              <w:t>得</w:t>
            </w:r>
            <w:r>
              <w:rPr>
                <w:rFonts w:hint="eastAsia" w:ascii="仿宋" w:hAnsi="仿宋" w:eastAsia="仿宋" w:cs="仿宋"/>
                <w:sz w:val="22"/>
                <w:szCs w:val="22"/>
                <w:highlight w:val="none"/>
                <w:lang w:eastAsia="zh-CN" w:bidi="ar"/>
                <w:woUserID w:val="3"/>
              </w:rPr>
              <w:t>1</w:t>
            </w:r>
            <w:r>
              <w:rPr>
                <w:rFonts w:hint="eastAsia" w:ascii="仿宋" w:hAnsi="仿宋" w:eastAsia="仿宋" w:cs="仿宋"/>
                <w:sz w:val="22"/>
                <w:szCs w:val="22"/>
                <w:highlight w:val="none"/>
                <w:lang w:eastAsia="zh-CN" w:bidi="ar"/>
              </w:rPr>
              <w:t>分；</w:t>
            </w:r>
          </w:p>
          <w:p w14:paraId="3FCB7F33">
            <w:pPr>
              <w:keepNext w:val="0"/>
              <w:keepLines w:val="0"/>
              <w:widowControl/>
              <w:numPr>
                <w:ilvl w:val="0"/>
                <w:numId w:val="0"/>
              </w:numPr>
              <w:suppressLineNumbers w:val="0"/>
              <w:snapToGrid w:val="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 xml:space="preserve">2-4 </w:t>
            </w:r>
            <w:r>
              <w:rPr>
                <w:rFonts w:hint="eastAsia" w:ascii="仿宋" w:hAnsi="仿宋" w:eastAsia="仿宋" w:cs="仿宋"/>
                <w:sz w:val="22"/>
                <w:szCs w:val="22"/>
                <w:highlight w:val="none"/>
                <w:lang w:val="en-US" w:eastAsia="zh-CN" w:bidi="ar"/>
              </w:rPr>
              <w:t xml:space="preserve">用该实验板内嵌的红光照射光电管时，切换三档光强进行照射时，内嵌微电流传感器的示数，显示光电流均不大于0.1μA。 </w:t>
            </w:r>
            <w:r>
              <w:rPr>
                <w:rFonts w:hint="eastAsia" w:ascii="仿宋" w:hAnsi="仿宋" w:eastAsia="仿宋" w:cs="仿宋"/>
                <w:sz w:val="22"/>
                <w:szCs w:val="22"/>
                <w:highlight w:val="none"/>
                <w:lang w:eastAsia="zh-CN" w:bidi="ar"/>
              </w:rPr>
              <w:t>得1分。</w:t>
            </w:r>
          </w:p>
          <w:p w14:paraId="437379A7">
            <w:pPr>
              <w:keepNext w:val="0"/>
              <w:keepLines w:val="0"/>
              <w:widowControl/>
              <w:numPr>
                <w:ilvl w:val="0"/>
                <w:numId w:val="0"/>
              </w:numPr>
              <w:suppressLineNumbers w:val="0"/>
              <w:snapToGrid w:val="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lang w:eastAsia="zh-CN" w:bidi="ar"/>
              </w:rPr>
              <w:t xml:space="preserve">2-5 </w:t>
            </w:r>
            <w:r>
              <w:rPr>
                <w:rFonts w:hint="eastAsia" w:ascii="仿宋" w:hAnsi="仿宋" w:eastAsia="仿宋" w:cs="仿宋"/>
                <w:sz w:val="22"/>
                <w:szCs w:val="22"/>
                <w:highlight w:val="none"/>
                <w:lang w:val="en-US" w:eastAsia="zh-CN" w:bidi="ar"/>
              </w:rPr>
              <w:t>演示该实验板测定四种不同色光在同一档光强时的反向遏止电压，利用遏止电压通过数据采集软件公式编辑功能计算得到Ek（光电子的最大初动能），在数据采集软件中绘制Ek与入射光频率的关系图像，得到Ek与入射光频率关系的数据点成线性关系</w:t>
            </w:r>
            <w:r>
              <w:rPr>
                <w:rFonts w:hint="eastAsia" w:ascii="仿宋" w:hAnsi="仿宋" w:eastAsia="仿宋" w:cs="仿宋"/>
                <w:sz w:val="22"/>
                <w:szCs w:val="22"/>
                <w:highlight w:val="none"/>
                <w:lang w:eastAsia="zh-CN" w:bidi="ar"/>
              </w:rPr>
              <w:t>。得</w:t>
            </w:r>
            <w:r>
              <w:rPr>
                <w:rFonts w:hint="eastAsia" w:ascii="仿宋" w:hAnsi="仿宋" w:eastAsia="仿宋" w:cs="仿宋"/>
                <w:sz w:val="22"/>
                <w:szCs w:val="22"/>
                <w:highlight w:val="none"/>
                <w:lang w:eastAsia="zh-CN" w:bidi="ar"/>
                <w:woUserID w:val="3"/>
              </w:rPr>
              <w:t>1</w:t>
            </w:r>
            <w:r>
              <w:rPr>
                <w:rFonts w:hint="eastAsia" w:ascii="仿宋" w:hAnsi="仿宋" w:eastAsia="仿宋" w:cs="仿宋"/>
                <w:sz w:val="22"/>
                <w:szCs w:val="22"/>
                <w:highlight w:val="none"/>
                <w:lang w:eastAsia="zh-CN" w:bidi="ar"/>
              </w:rPr>
              <w:t>分</w:t>
            </w:r>
            <w:r>
              <w:rPr>
                <w:rFonts w:hint="eastAsia" w:ascii="仿宋" w:hAnsi="仿宋" w:eastAsia="仿宋" w:cs="仿宋"/>
                <w:b/>
                <w:bCs/>
                <w:sz w:val="22"/>
                <w:szCs w:val="22"/>
                <w:highlight w:val="none"/>
                <w:lang w:val="en-US" w:eastAsia="zh-CN" w:bidi="ar"/>
              </w:rPr>
              <w:t>。</w:t>
            </w:r>
          </w:p>
          <w:p w14:paraId="35DBA492">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lang w:val="en-US" w:eastAsia="zh-CN" w:bidi="ar"/>
              </w:rPr>
            </w:pPr>
            <w:r>
              <w:rPr>
                <w:rFonts w:hint="eastAsia" w:ascii="仿宋" w:hAnsi="仿宋" w:eastAsia="仿宋" w:cs="仿宋"/>
                <w:sz w:val="22"/>
                <w:szCs w:val="22"/>
                <w:highlight w:val="none"/>
                <w:lang w:val="en-US" w:eastAsia="zh-CN" w:bidi="ar"/>
              </w:rPr>
              <w:t>演示3：用无线彩屏滴数传感器及附件完成“中和滴定实验”及功能演示</w:t>
            </w:r>
            <w:r>
              <w:rPr>
                <w:rFonts w:hint="eastAsia" w:ascii="仿宋" w:hAnsi="仿宋" w:eastAsia="仿宋" w:cs="仿宋"/>
                <w:b w:val="0"/>
                <w:bCs w:val="0"/>
                <w:sz w:val="22"/>
                <w:szCs w:val="22"/>
                <w:highlight w:val="none"/>
                <w:lang w:val="en-US" w:eastAsia="zh-CN" w:bidi="ar"/>
              </w:rPr>
              <w:t>（</w:t>
            </w:r>
            <w:r>
              <w:rPr>
                <w:rFonts w:hint="eastAsia" w:ascii="仿宋" w:hAnsi="仿宋" w:eastAsia="仿宋" w:cs="仿宋"/>
                <w:b w:val="0"/>
                <w:bCs w:val="0"/>
                <w:sz w:val="22"/>
                <w:szCs w:val="22"/>
                <w:highlight w:val="none"/>
                <w:lang w:val="en-US" w:eastAsia="zh-CN" w:bidi="ar"/>
                <w:woUserID w:val="3"/>
              </w:rPr>
              <w:t>5</w:t>
            </w:r>
            <w:r>
              <w:rPr>
                <w:rFonts w:hint="eastAsia" w:ascii="仿宋" w:hAnsi="仿宋" w:eastAsia="仿宋" w:cs="仿宋"/>
                <w:b w:val="0"/>
                <w:bCs w:val="0"/>
                <w:sz w:val="22"/>
                <w:szCs w:val="22"/>
                <w:highlight w:val="none"/>
                <w:lang w:val="en-US" w:eastAsia="zh-CN" w:bidi="ar"/>
              </w:rPr>
              <w:t>分）</w:t>
            </w:r>
          </w:p>
          <w:p w14:paraId="10093858">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3-1 演示</w:t>
            </w:r>
            <w:r>
              <w:rPr>
                <w:rFonts w:hint="eastAsia" w:ascii="仿宋" w:hAnsi="仿宋" w:eastAsia="仿宋" w:cs="仿宋"/>
                <w:sz w:val="22"/>
                <w:szCs w:val="22"/>
                <w:highlight w:val="none"/>
                <w:lang w:val="en-US" w:eastAsia="zh-CN" w:bidi="ar"/>
              </w:rPr>
              <w:t>无线彩屏滴数传感器</w:t>
            </w:r>
            <w:r>
              <w:rPr>
                <w:rFonts w:hint="eastAsia" w:ascii="仿宋" w:hAnsi="仿宋" w:eastAsia="仿宋" w:cs="仿宋"/>
                <w:sz w:val="22"/>
                <w:szCs w:val="22"/>
                <w:highlight w:val="none"/>
                <w:lang w:eastAsia="zh-CN" w:bidi="ar"/>
              </w:rPr>
              <w:t>进行脱机实验，不用连接任何设备、按开始按钮直接读取显示数值，滴数感应到液滴时状态指示灯亮。得1分；</w:t>
            </w:r>
          </w:p>
          <w:p w14:paraId="42790A01">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3-2 演示无线彩屏滴数传感器全窗口可检测的功能，在窗口区域内无需对准某个固定位置，任意调整三个位置都能检测到滴数变化。得1分；</w:t>
            </w:r>
          </w:p>
          <w:p w14:paraId="34F4890C">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3-3 演示无线彩屏滴数传感器内置屏幕上显示唯一蓝牙识别码，传感器与终端（电脑或平板或手机）使用无线方式连接时，无需数据采集器和数据线，即可实现选择性连接。得1分；</w:t>
            </w:r>
          </w:p>
          <w:p w14:paraId="1AF28941">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lang w:eastAsia="zh-CN" w:bidi="ar"/>
              </w:rPr>
            </w:pPr>
            <w:r>
              <w:rPr>
                <w:rFonts w:hint="eastAsia" w:ascii="仿宋" w:hAnsi="仿宋" w:eastAsia="仿宋" w:cs="仿宋"/>
                <w:sz w:val="22"/>
                <w:szCs w:val="22"/>
                <w:highlight w:val="none"/>
                <w:lang w:eastAsia="zh-CN" w:bidi="ar"/>
              </w:rPr>
              <w:t>3-4 使用无线彩屏滴数传感器及其他附件完成中和滴定实验。点击实验模版【中和滴定实验】进入实验，开始实验后，打开滴数实验装置，在数据采集软件中，实时显示中和反应中pH-滴数体积曲线，可清晰呈现中和滴定的突变过程。得1分；</w:t>
            </w:r>
          </w:p>
          <w:p w14:paraId="322D2184">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2"/>
                <w:szCs w:val="22"/>
                <w:highlight w:val="none"/>
                <w:lang w:eastAsia="zh-CN" w:bidi="ar"/>
              </w:rPr>
            </w:pPr>
            <w:r>
              <w:rPr>
                <w:rFonts w:hint="eastAsia" w:ascii="仿宋" w:hAnsi="仿宋" w:eastAsia="仿宋" w:cs="仿宋"/>
                <w:sz w:val="22"/>
                <w:szCs w:val="22"/>
                <w:highlight w:val="none"/>
                <w:lang w:eastAsia="zh-CN" w:bidi="ar"/>
              </w:rPr>
              <w:t>3-5 利用软件根据图像在突变区域选择适当位置的滴数体积数值，可填入第二页【未知溶液浓度】表格中，一键计算出未知溶液的浓度。要明显观看到滴定的突变过程及一键计算的过程。</w:t>
            </w:r>
            <w:r>
              <w:rPr>
                <w:rFonts w:hint="eastAsia" w:ascii="仿宋" w:hAnsi="仿宋" w:eastAsia="仿宋" w:cs="仿宋"/>
                <w:color w:val="auto"/>
                <w:sz w:val="22"/>
                <w:szCs w:val="22"/>
                <w:highlight w:val="none"/>
                <w:lang w:eastAsia="zh-CN" w:bidi="ar"/>
              </w:rPr>
              <w:t>得</w:t>
            </w:r>
            <w:r>
              <w:rPr>
                <w:rFonts w:hint="eastAsia" w:ascii="仿宋" w:hAnsi="仿宋" w:eastAsia="仿宋" w:cs="仿宋"/>
                <w:color w:val="auto"/>
                <w:sz w:val="22"/>
                <w:szCs w:val="22"/>
                <w:highlight w:val="none"/>
                <w:lang w:eastAsia="zh-CN" w:bidi="ar"/>
                <w:woUserID w:val="3"/>
              </w:rPr>
              <w:t>1</w:t>
            </w:r>
            <w:r>
              <w:rPr>
                <w:rFonts w:hint="eastAsia" w:ascii="仿宋" w:hAnsi="仿宋" w:eastAsia="仿宋" w:cs="仿宋"/>
                <w:color w:val="auto"/>
                <w:sz w:val="22"/>
                <w:szCs w:val="22"/>
                <w:highlight w:val="none"/>
                <w:lang w:eastAsia="zh-CN" w:bidi="ar"/>
              </w:rPr>
              <w:t>分；</w:t>
            </w:r>
          </w:p>
          <w:p w14:paraId="7F00535A">
            <w:pPr>
              <w:pStyle w:val="12"/>
              <w:keepNext w:val="0"/>
              <w:keepLines w:val="0"/>
              <w:widowControl/>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2"/>
                <w:szCs w:val="22"/>
                <w:highlight w:val="none"/>
                <w:shd w:val="clear" w:color="auto" w:fill="00FF00"/>
              </w:rPr>
            </w:pPr>
            <w:r>
              <w:rPr>
                <w:rFonts w:hint="eastAsia" w:ascii="仿宋" w:hAnsi="仿宋" w:eastAsia="仿宋" w:cs="仿宋"/>
                <w:color w:val="auto"/>
                <w:sz w:val="22"/>
                <w:szCs w:val="22"/>
                <w:highlight w:val="none"/>
                <w:shd w:val="clear" w:color="auto" w:fill="auto"/>
                <w:lang w:val="en-US" w:eastAsia="zh-CN" w:bidi="ar"/>
              </w:rPr>
              <w:t>演示</w:t>
            </w:r>
            <w:r>
              <w:rPr>
                <w:rFonts w:hint="eastAsia" w:ascii="仿宋" w:hAnsi="仿宋" w:eastAsia="仿宋" w:cs="仿宋"/>
                <w:color w:val="auto"/>
                <w:sz w:val="22"/>
                <w:szCs w:val="22"/>
                <w:highlight w:val="none"/>
                <w:shd w:val="clear" w:color="auto" w:fill="auto"/>
                <w:lang w:eastAsia="zh-CN" w:bidi="ar"/>
                <w:woUserID w:val="1"/>
              </w:rPr>
              <w:t>4</w:t>
            </w:r>
            <w:r>
              <w:rPr>
                <w:rFonts w:hint="eastAsia" w:ascii="仿宋" w:hAnsi="仿宋" w:eastAsia="仿宋" w:cs="仿宋"/>
                <w:color w:val="auto"/>
                <w:sz w:val="22"/>
                <w:szCs w:val="22"/>
                <w:highlight w:val="none"/>
                <w:shd w:val="clear" w:color="auto" w:fill="auto"/>
                <w:lang w:val="en-US" w:eastAsia="zh-CN" w:bidi="ar"/>
              </w:rPr>
              <w:t>：用数芯一体法拉第电磁感应定律</w:t>
            </w:r>
            <w:r>
              <w:rPr>
                <w:rFonts w:hint="eastAsia" w:ascii="仿宋" w:hAnsi="仿宋" w:eastAsia="仿宋" w:cs="仿宋"/>
                <w:color w:val="auto"/>
                <w:sz w:val="22"/>
                <w:szCs w:val="22"/>
                <w:highlight w:val="none"/>
                <w:shd w:val="clear" w:color="auto" w:fill="auto"/>
                <w:lang w:eastAsia="zh-CN" w:bidi="ar"/>
              </w:rPr>
              <w:t>演示仪</w:t>
            </w:r>
            <w:r>
              <w:rPr>
                <w:rFonts w:hint="eastAsia" w:ascii="仿宋" w:hAnsi="仿宋" w:eastAsia="仿宋" w:cs="仿宋"/>
                <w:color w:val="auto"/>
                <w:sz w:val="22"/>
                <w:szCs w:val="22"/>
                <w:highlight w:val="none"/>
                <w:shd w:val="clear" w:color="auto" w:fill="auto"/>
                <w:lang w:val="en-US" w:eastAsia="zh-CN" w:bidi="ar"/>
              </w:rPr>
              <w:t>（I)及其附件 完成“法拉第电磁感应定律实验”及功能演示</w:t>
            </w:r>
            <w:r>
              <w:rPr>
                <w:rFonts w:hint="eastAsia" w:ascii="仿宋" w:hAnsi="仿宋" w:eastAsia="仿宋" w:cs="仿宋"/>
                <w:color w:val="auto"/>
                <w:sz w:val="22"/>
                <w:szCs w:val="22"/>
                <w:highlight w:val="none"/>
                <w:lang w:val="en-US" w:eastAsia="zh-CN" w:bidi="ar"/>
                <w:woUserID w:val="1"/>
              </w:rPr>
              <w:t>（</w:t>
            </w:r>
            <w:r>
              <w:rPr>
                <w:rFonts w:hint="eastAsia" w:ascii="仿宋" w:hAnsi="仿宋" w:eastAsia="仿宋" w:cs="仿宋"/>
                <w:color w:val="auto"/>
                <w:sz w:val="22"/>
                <w:szCs w:val="22"/>
                <w:highlight w:val="none"/>
                <w:lang w:val="en-US" w:eastAsia="zh-CN" w:bidi="ar"/>
                <w:woUserID w:val="3"/>
              </w:rPr>
              <w:t>4</w:t>
            </w:r>
            <w:r>
              <w:rPr>
                <w:rFonts w:hint="eastAsia" w:ascii="仿宋" w:hAnsi="仿宋" w:eastAsia="仿宋" w:cs="仿宋"/>
                <w:color w:val="auto"/>
                <w:sz w:val="22"/>
                <w:szCs w:val="22"/>
                <w:highlight w:val="none"/>
                <w:lang w:val="en-US" w:eastAsia="zh-CN" w:bidi="ar"/>
                <w:woUserID w:val="1"/>
              </w:rPr>
              <w:t>分）</w:t>
            </w:r>
          </w:p>
          <w:p w14:paraId="053DB8BD">
            <w:pPr>
              <w:pStyle w:val="12"/>
              <w:keepNext w:val="0"/>
              <w:keepLines w:val="0"/>
              <w:widowControl/>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bidi="ar"/>
                <w:woUserID w:val="1"/>
              </w:rPr>
              <w:t>4</w:t>
            </w:r>
            <w:r>
              <w:rPr>
                <w:rFonts w:hint="eastAsia" w:ascii="仿宋" w:hAnsi="仿宋" w:eastAsia="仿宋" w:cs="仿宋"/>
                <w:color w:val="auto"/>
                <w:sz w:val="22"/>
                <w:szCs w:val="22"/>
                <w:highlight w:val="none"/>
                <w:lang w:val="en-US" w:eastAsia="zh-CN" w:bidi="ar"/>
              </w:rPr>
              <w:t>-1  演示仪底座内置无线电压传感器（不能为外接式）具有唯一蓝牙识别码，传感器与终端（电脑或平板或手机）使用无线方式连接时，无需数据采集器、数据线，实现选择性连接。得1分；</w:t>
            </w:r>
          </w:p>
          <w:p w14:paraId="1FFC20F8">
            <w:pPr>
              <w:pStyle w:val="12"/>
              <w:keepNext w:val="0"/>
              <w:keepLines w:val="0"/>
              <w:widowControl/>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bidi="ar"/>
                <w:woUserID w:val="1"/>
              </w:rPr>
              <w:t>4</w:t>
            </w:r>
            <w:r>
              <w:rPr>
                <w:rFonts w:hint="eastAsia" w:ascii="仿宋" w:hAnsi="仿宋" w:eastAsia="仿宋" w:cs="仿宋"/>
                <w:color w:val="auto"/>
                <w:sz w:val="22"/>
                <w:szCs w:val="22"/>
                <w:highlight w:val="none"/>
                <w:lang w:val="en-US" w:eastAsia="zh-CN" w:bidi="ar"/>
              </w:rPr>
              <w:t>-2  磁铁通过线圈组1，采集5组磁铁通过线圈的电压数据，在软件中输入各组电压与对应时间，得到电动势与时间的数据图像，对电动势与时间的数据点进行线性拟合的数据处理操作，软件中拟合数据框中显示r&gt;0.98（数据点紧密围绕拟合曲线分布）,RMSE&lt;0.02（平均误差&lt;0.02）。得1</w:t>
            </w:r>
            <w:r>
              <w:rPr>
                <w:rFonts w:hint="eastAsia" w:ascii="仿宋" w:hAnsi="仿宋" w:eastAsia="仿宋" w:cs="仿宋"/>
                <w:color w:val="auto"/>
                <w:sz w:val="22"/>
                <w:szCs w:val="22"/>
                <w:highlight w:val="none"/>
                <w:lang w:eastAsia="zh-CN" w:bidi="ar"/>
                <w:woUserID w:val="1"/>
              </w:rPr>
              <w:t>分</w:t>
            </w:r>
            <w:r>
              <w:rPr>
                <w:rFonts w:hint="eastAsia" w:ascii="仿宋" w:hAnsi="仿宋" w:eastAsia="仿宋" w:cs="仿宋"/>
                <w:color w:val="auto"/>
                <w:sz w:val="22"/>
                <w:szCs w:val="22"/>
                <w:highlight w:val="none"/>
                <w:lang w:val="en-US" w:eastAsia="zh-CN" w:bidi="ar"/>
              </w:rPr>
              <w:t>；</w:t>
            </w:r>
          </w:p>
          <w:p w14:paraId="0DFF9A50">
            <w:pPr>
              <w:keepNext w:val="0"/>
              <w:keepLines w:val="0"/>
              <w:widowControl w:val="0"/>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color w:val="auto"/>
                <w:sz w:val="22"/>
                <w:szCs w:val="22"/>
                <w:highlight w:val="none"/>
                <w:lang w:eastAsia="zh-CN" w:bidi="ar"/>
                <w:woUserID w:val="1"/>
              </w:rPr>
              <w:t>4</w:t>
            </w:r>
            <w:r>
              <w:rPr>
                <w:rFonts w:hint="eastAsia" w:ascii="仿宋" w:hAnsi="仿宋" w:eastAsia="仿宋" w:cs="仿宋"/>
                <w:color w:val="auto"/>
                <w:sz w:val="22"/>
                <w:szCs w:val="22"/>
                <w:highlight w:val="none"/>
                <w:lang w:val="en-US" w:eastAsia="zh-CN" w:bidi="ar"/>
              </w:rPr>
              <w:t>-3  将铝管放入线圈组1，分别用磁铁和铝块通过线圈组1，采</w:t>
            </w:r>
            <w:r>
              <w:rPr>
                <w:rFonts w:hint="eastAsia" w:ascii="仿宋" w:hAnsi="仿宋" w:eastAsia="仿宋" w:cs="仿宋"/>
                <w:sz w:val="22"/>
                <w:szCs w:val="22"/>
                <w:highlight w:val="none"/>
                <w:lang w:val="en-US" w:eastAsia="zh-CN" w:bidi="ar"/>
              </w:rPr>
              <w:t>集磁铁和铝块通过线圈的电压数据，在软件中在同一坐标轴内同时显示两组数据的实验图像。得1分；</w:t>
            </w:r>
          </w:p>
          <w:p w14:paraId="54EA8E4F">
            <w:pPr>
              <w:pStyle w:val="12"/>
              <w:keepNext w:val="0"/>
              <w:keepLines w:val="0"/>
              <w:widowControl/>
              <w:suppressLineNumbers w:val="0"/>
              <w:snapToGrid w:val="0"/>
              <w:spacing w:before="0" w:beforeAutospacing="0" w:after="0" w:afterAutospacing="0"/>
              <w:ind w:left="0" w:leftChars="0" w:right="0" w:rightChars="0" w:firstLine="0" w:firstLineChars="0"/>
              <w:jc w:val="left"/>
              <w:rPr>
                <w:rFonts w:hint="eastAsia" w:ascii="仿宋" w:hAnsi="仿宋" w:eastAsia="仿宋" w:cs="仿宋"/>
                <w:sz w:val="22"/>
                <w:szCs w:val="22"/>
                <w:highlight w:val="none"/>
              </w:rPr>
            </w:pPr>
            <w:r>
              <w:rPr>
                <w:rFonts w:hint="eastAsia" w:ascii="仿宋" w:hAnsi="仿宋" w:eastAsia="仿宋" w:cs="仿宋"/>
                <w:sz w:val="22"/>
                <w:szCs w:val="22"/>
                <w:highlight w:val="none"/>
                <w:lang w:eastAsia="zh-CN" w:bidi="ar"/>
                <w:woUserID w:val="1"/>
              </w:rPr>
              <w:t>4</w:t>
            </w:r>
            <w:r>
              <w:rPr>
                <w:rFonts w:hint="eastAsia" w:ascii="仿宋" w:hAnsi="仿宋" w:eastAsia="仿宋" w:cs="仿宋"/>
                <w:sz w:val="22"/>
                <w:szCs w:val="22"/>
                <w:highlight w:val="none"/>
                <w:lang w:val="en-US" w:eastAsia="zh-CN" w:bidi="ar"/>
              </w:rPr>
              <w:t>-4  将铝管放入线圈组2，用磁铁通过线圈组2，采集5组磁铁通过线圈的电压数据，在软件中输入各组电压与匝数，得到电动势与匝数的数据图像，对电动势与匝数的数据点进行线性拟合的数据处理操作，软件中拟合数据框中显示r&gt;0.98（数据点紧密围绕拟合曲线分布）,RMSE&lt;0.02（平均误差&lt;0.02）。得1分；</w:t>
            </w:r>
          </w:p>
          <w:p w14:paraId="6FD0F0C3">
            <w:pPr>
              <w:keepNext w:val="0"/>
              <w:keepLines w:val="0"/>
              <w:widowControl/>
              <w:suppressLineNumbers w:val="0"/>
              <w:snapToGrid w:val="0"/>
              <w:jc w:val="left"/>
              <w:rPr>
                <w:rFonts w:hint="eastAsia" w:ascii="仿宋" w:hAnsi="仿宋" w:eastAsia="仿宋" w:cs="仿宋"/>
                <w:sz w:val="22"/>
                <w:szCs w:val="22"/>
                <w:highlight w:val="none"/>
                <w:lang w:eastAsia="zh-CN"/>
              </w:rPr>
            </w:pPr>
            <w:r>
              <w:rPr>
                <w:rFonts w:hint="eastAsia" w:ascii="仿宋" w:hAnsi="仿宋" w:eastAsia="仿宋" w:cs="仿宋"/>
                <w:b/>
                <w:bCs/>
                <w:sz w:val="22"/>
                <w:szCs w:val="22"/>
                <w:highlight w:val="none"/>
                <w:lang w:val="en-US" w:eastAsia="zh-CN" w:bidi="ar"/>
              </w:rPr>
              <w:t>本项满分为19分。</w:t>
            </w:r>
          </w:p>
        </w:tc>
        <w:tc>
          <w:tcPr>
            <w:tcW w:w="654" w:type="dxa"/>
            <w:noWrap w:val="0"/>
            <w:vAlign w:val="center"/>
          </w:tcPr>
          <w:p w14:paraId="6AA73FBC">
            <w:pPr>
              <w:snapToGrid w:val="0"/>
              <w:ind w:left="0" w:leftChars="0" w:right="0" w:rightChars="0" w:firstLine="0" w:firstLineChars="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19</w:t>
            </w:r>
          </w:p>
        </w:tc>
      </w:tr>
      <w:tr w14:paraId="39223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3FBD2608">
            <w:pPr>
              <w:jc w:val="center"/>
              <w:rPr>
                <w:rFonts w:hint="eastAsia" w:ascii="仿宋" w:hAnsi="仿宋" w:eastAsia="仿宋" w:cs="仿宋"/>
                <w:b w:val="0"/>
                <w:bCs w:val="0"/>
                <w:sz w:val="22"/>
                <w:szCs w:val="22"/>
                <w:highlight w:val="none"/>
              </w:rPr>
            </w:pPr>
            <w:r>
              <w:rPr>
                <w:rFonts w:hint="eastAsia" w:ascii="仿宋" w:hAnsi="仿宋" w:eastAsia="仿宋" w:cs="仿宋"/>
                <w:b w:val="0"/>
                <w:bCs w:val="0"/>
                <w:highlight w:val="none"/>
              </w:rPr>
              <w:t>3.1</w:t>
            </w:r>
          </w:p>
        </w:tc>
        <w:tc>
          <w:tcPr>
            <w:tcW w:w="542" w:type="dxa"/>
            <w:noWrap w:val="0"/>
            <w:vAlign w:val="center"/>
          </w:tcPr>
          <w:p w14:paraId="4C769B05">
            <w:pPr>
              <w:jc w:val="center"/>
              <w:rPr>
                <w:rFonts w:hint="eastAsia" w:ascii="仿宋" w:hAnsi="仿宋" w:eastAsia="仿宋" w:cs="仿宋"/>
                <w:sz w:val="22"/>
                <w:szCs w:val="22"/>
                <w:highlight w:val="none"/>
              </w:rPr>
            </w:pPr>
            <w:r>
              <w:rPr>
                <w:rFonts w:hint="eastAsia" w:ascii="仿宋" w:hAnsi="仿宋" w:eastAsia="仿宋" w:cs="仿宋"/>
                <w:highlight w:val="none"/>
              </w:rPr>
              <w:t>实施方案</w:t>
            </w:r>
          </w:p>
        </w:tc>
        <w:tc>
          <w:tcPr>
            <w:tcW w:w="7176" w:type="dxa"/>
            <w:noWrap w:val="0"/>
            <w:vAlign w:val="center"/>
          </w:tcPr>
          <w:p w14:paraId="0EDBB69F">
            <w:pPr>
              <w:rPr>
                <w:rFonts w:hint="eastAsia" w:ascii="仿宋" w:hAnsi="仿宋" w:eastAsia="仿宋" w:cs="仿宋"/>
                <w:highlight w:val="none"/>
              </w:rPr>
            </w:pPr>
            <w:r>
              <w:rPr>
                <w:rFonts w:hint="eastAsia" w:ascii="仿宋" w:hAnsi="仿宋" w:eastAsia="仿宋" w:cs="仿宋"/>
                <w:highlight w:val="none"/>
              </w:rPr>
              <w:t>投标人须依据本项目采购需求，提供项目实施方案，内容应涵盖但不限于：①项目具体实施流程及难点分析；②项目组织计划与实施流程；③项目进度保障措施；④安全文明措施等。</w:t>
            </w:r>
          </w:p>
          <w:p w14:paraId="255DC727">
            <w:pPr>
              <w:rPr>
                <w:rFonts w:hint="eastAsia" w:ascii="仿宋" w:hAnsi="仿宋" w:eastAsia="仿宋" w:cs="仿宋"/>
                <w:highlight w:val="none"/>
              </w:rPr>
            </w:pPr>
            <w:r>
              <w:rPr>
                <w:rFonts w:hint="eastAsia" w:ascii="仿宋" w:hAnsi="仿宋" w:eastAsia="仿宋" w:cs="仿宋"/>
                <w:highlight w:val="none"/>
              </w:rPr>
              <w:t>(1)方案涵盖上述内容，</w:t>
            </w:r>
            <w:r>
              <w:rPr>
                <w:rFonts w:hint="eastAsia" w:ascii="仿宋" w:hAnsi="仿宋" w:eastAsia="仿宋" w:cs="仿宋"/>
                <w:highlight w:val="none"/>
                <w:lang w:val="en-US" w:eastAsia="zh-CN"/>
              </w:rPr>
              <w:t>方案</w:t>
            </w:r>
            <w:r>
              <w:rPr>
                <w:rFonts w:hint="eastAsia" w:ascii="仿宋" w:hAnsi="仿宋" w:eastAsia="仿宋" w:cs="仿宋"/>
                <w:bCs/>
                <w:color w:val="000000"/>
                <w:highlight w:val="none"/>
              </w:rPr>
              <w:t>科学、可操作性强、契合度高</w:t>
            </w:r>
            <w:r>
              <w:rPr>
                <w:rFonts w:hint="eastAsia" w:ascii="仿宋" w:hAnsi="仿宋" w:eastAsia="仿宋" w:cs="仿宋"/>
                <w:highlight w:val="none"/>
                <w:lang w:eastAsia="zh-CN"/>
              </w:rPr>
              <w:t>，</w:t>
            </w:r>
            <w:r>
              <w:rPr>
                <w:rFonts w:hint="eastAsia" w:ascii="仿宋" w:hAnsi="仿宋" w:eastAsia="仿宋" w:cs="仿宋"/>
                <w:highlight w:val="none"/>
              </w:rPr>
              <w:t>满足采购需求，得</w:t>
            </w:r>
            <w:r>
              <w:rPr>
                <w:rFonts w:hint="eastAsia" w:ascii="仿宋" w:hAnsi="仿宋" w:eastAsia="仿宋" w:cs="仿宋"/>
                <w:highlight w:val="none"/>
                <w:lang w:val="en-US" w:eastAsia="zh-CN"/>
              </w:rPr>
              <w:t>5</w:t>
            </w:r>
            <w:r>
              <w:rPr>
                <w:rFonts w:hint="eastAsia" w:ascii="仿宋" w:hAnsi="仿宋" w:eastAsia="仿宋" w:cs="仿宋"/>
                <w:highlight w:val="none"/>
              </w:rPr>
              <w:t>分；</w:t>
            </w:r>
          </w:p>
          <w:p w14:paraId="115E8A97">
            <w:pPr>
              <w:rPr>
                <w:rFonts w:hint="eastAsia" w:ascii="仿宋" w:hAnsi="仿宋" w:eastAsia="仿宋" w:cs="仿宋"/>
                <w:highlight w:val="none"/>
              </w:rPr>
            </w:pPr>
            <w:r>
              <w:rPr>
                <w:rFonts w:hint="eastAsia" w:ascii="仿宋" w:hAnsi="仿宋" w:eastAsia="仿宋" w:cs="仿宋"/>
                <w:highlight w:val="none"/>
              </w:rPr>
              <w:t>(2)方案涵盖上述内容，</w:t>
            </w:r>
            <w:r>
              <w:rPr>
                <w:rFonts w:hint="eastAsia" w:ascii="仿宋" w:hAnsi="仿宋" w:eastAsia="仿宋" w:cs="仿宋"/>
                <w:highlight w:val="none"/>
                <w:lang w:val="en-US" w:eastAsia="zh-CN"/>
              </w:rPr>
              <w:t>方案</w:t>
            </w:r>
            <w:r>
              <w:rPr>
                <w:rFonts w:hint="eastAsia" w:ascii="仿宋" w:hAnsi="仿宋" w:eastAsia="仿宋" w:cs="仿宋"/>
                <w:bCs/>
                <w:color w:val="000000"/>
                <w:highlight w:val="none"/>
              </w:rPr>
              <w:t>科学、可操作性</w:t>
            </w:r>
            <w:r>
              <w:rPr>
                <w:rFonts w:hint="eastAsia" w:ascii="仿宋" w:hAnsi="仿宋" w:eastAsia="仿宋" w:cs="仿宋"/>
                <w:bCs/>
                <w:color w:val="000000"/>
                <w:highlight w:val="none"/>
                <w:lang w:val="en-US" w:eastAsia="zh-CN"/>
              </w:rPr>
              <w:t>较</w:t>
            </w:r>
            <w:r>
              <w:rPr>
                <w:rFonts w:hint="eastAsia" w:ascii="仿宋" w:hAnsi="仿宋" w:eastAsia="仿宋" w:cs="仿宋"/>
                <w:bCs/>
                <w:color w:val="000000"/>
                <w:highlight w:val="none"/>
              </w:rPr>
              <w:t>强、契合度</w:t>
            </w:r>
            <w:r>
              <w:rPr>
                <w:rFonts w:hint="eastAsia" w:ascii="仿宋" w:hAnsi="仿宋" w:eastAsia="仿宋" w:cs="仿宋"/>
                <w:bCs/>
                <w:color w:val="000000"/>
                <w:highlight w:val="none"/>
                <w:lang w:val="en-US" w:eastAsia="zh-CN"/>
              </w:rPr>
              <w:t>较</w:t>
            </w:r>
            <w:r>
              <w:rPr>
                <w:rFonts w:hint="eastAsia" w:ascii="仿宋" w:hAnsi="仿宋" w:eastAsia="仿宋" w:cs="仿宋"/>
                <w:bCs/>
                <w:color w:val="000000"/>
                <w:highlight w:val="none"/>
              </w:rPr>
              <w:t>高</w:t>
            </w:r>
            <w:r>
              <w:rPr>
                <w:rFonts w:hint="eastAsia" w:ascii="仿宋" w:hAnsi="仿宋" w:eastAsia="仿宋" w:cs="仿宋"/>
                <w:bCs/>
                <w:color w:val="000000"/>
                <w:highlight w:val="none"/>
                <w:lang w:eastAsia="zh-CN"/>
              </w:rPr>
              <w:t>，</w:t>
            </w:r>
            <w:r>
              <w:rPr>
                <w:rFonts w:hint="eastAsia" w:ascii="仿宋" w:hAnsi="仿宋" w:eastAsia="仿宋" w:cs="仿宋"/>
                <w:bCs/>
                <w:color w:val="000000"/>
                <w:highlight w:val="none"/>
                <w:lang w:val="en-US" w:eastAsia="zh-CN"/>
              </w:rPr>
              <w:t>较能</w:t>
            </w:r>
            <w:r>
              <w:rPr>
                <w:rFonts w:hint="eastAsia" w:ascii="仿宋" w:hAnsi="仿宋" w:eastAsia="仿宋" w:cs="仿宋"/>
                <w:highlight w:val="none"/>
              </w:rPr>
              <w:t>满足采购需求，得3分；</w:t>
            </w:r>
          </w:p>
          <w:p w14:paraId="0725CE41">
            <w:pPr>
              <w:rPr>
                <w:rFonts w:hint="eastAsia" w:ascii="仿宋" w:hAnsi="仿宋" w:eastAsia="仿宋" w:cs="仿宋"/>
                <w:highlight w:val="none"/>
              </w:rPr>
            </w:pPr>
            <w:r>
              <w:rPr>
                <w:rFonts w:hint="eastAsia" w:ascii="仿宋" w:hAnsi="仿宋" w:eastAsia="仿宋" w:cs="仿宋"/>
                <w:highlight w:val="none"/>
              </w:rPr>
              <w:t>(3)方案涵盖上述内容，</w:t>
            </w:r>
            <w:r>
              <w:rPr>
                <w:rFonts w:hint="eastAsia" w:ascii="仿宋" w:hAnsi="仿宋" w:eastAsia="仿宋" w:cs="仿宋"/>
                <w:highlight w:val="none"/>
                <w:lang w:val="en-US" w:eastAsia="zh-CN"/>
              </w:rPr>
              <w:t>方案</w:t>
            </w:r>
            <w:r>
              <w:rPr>
                <w:rFonts w:hint="eastAsia" w:ascii="仿宋" w:hAnsi="仿宋" w:eastAsia="仿宋" w:cs="仿宋"/>
                <w:bCs/>
                <w:color w:val="000000"/>
                <w:highlight w:val="none"/>
              </w:rPr>
              <w:t>科学、</w:t>
            </w:r>
            <w:r>
              <w:rPr>
                <w:rFonts w:hint="eastAsia" w:ascii="仿宋" w:hAnsi="仿宋" w:eastAsia="仿宋" w:cs="仿宋"/>
                <w:bCs/>
                <w:color w:val="000000"/>
                <w:highlight w:val="none"/>
                <w:lang w:val="en-US" w:eastAsia="zh-CN"/>
              </w:rPr>
              <w:t>基本具有</w:t>
            </w:r>
            <w:r>
              <w:rPr>
                <w:rFonts w:hint="eastAsia" w:ascii="仿宋" w:hAnsi="仿宋" w:eastAsia="仿宋" w:cs="仿宋"/>
                <w:bCs/>
                <w:color w:val="000000"/>
                <w:highlight w:val="none"/>
              </w:rPr>
              <w:t>可操作性</w:t>
            </w:r>
            <w:r>
              <w:rPr>
                <w:rFonts w:hint="eastAsia" w:ascii="仿宋" w:hAnsi="仿宋" w:eastAsia="仿宋" w:cs="仿宋"/>
                <w:bCs/>
                <w:color w:val="000000"/>
                <w:highlight w:val="none"/>
                <w:lang w:eastAsia="zh-CN"/>
              </w:rPr>
              <w:t>，</w:t>
            </w:r>
            <w:r>
              <w:rPr>
                <w:rFonts w:hint="eastAsia" w:ascii="仿宋" w:hAnsi="仿宋" w:eastAsia="仿宋" w:cs="仿宋"/>
                <w:highlight w:val="none"/>
              </w:rPr>
              <w:t>基本满足采购需求，得1分；</w:t>
            </w:r>
          </w:p>
          <w:p w14:paraId="4DBE9834">
            <w:pPr>
              <w:rPr>
                <w:rFonts w:hint="eastAsia" w:ascii="仿宋" w:hAnsi="仿宋" w:eastAsia="仿宋" w:cs="仿宋"/>
                <w:b/>
                <w:bCs/>
                <w:sz w:val="22"/>
                <w:szCs w:val="22"/>
                <w:highlight w:val="none"/>
                <w:lang w:val="en-US" w:eastAsia="zh-CN" w:bidi="ar"/>
              </w:rPr>
            </w:pPr>
            <w:r>
              <w:rPr>
                <w:rFonts w:hint="eastAsia" w:ascii="仿宋" w:hAnsi="仿宋" w:eastAsia="仿宋" w:cs="仿宋"/>
                <w:highlight w:val="none"/>
              </w:rPr>
              <w:t>(4)未提供方案，或方案未涵盖上述内容或与项目实施存在偏差，不能满足采购需求的，不得分</w:t>
            </w:r>
          </w:p>
        </w:tc>
        <w:tc>
          <w:tcPr>
            <w:tcW w:w="654" w:type="dxa"/>
            <w:noWrap w:val="0"/>
            <w:vAlign w:val="center"/>
          </w:tcPr>
          <w:p w14:paraId="5C25C446">
            <w:pPr>
              <w:snapToGrid w:val="0"/>
              <w:ind w:left="0" w:leftChars="0" w:right="0" w:rightChars="0" w:firstLine="0" w:firstLineChars="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5</w:t>
            </w:r>
          </w:p>
        </w:tc>
      </w:tr>
      <w:tr w14:paraId="02A1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3E047E60">
            <w:pPr>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3.2</w:t>
            </w:r>
          </w:p>
        </w:tc>
        <w:tc>
          <w:tcPr>
            <w:tcW w:w="542" w:type="dxa"/>
            <w:noWrap w:val="0"/>
            <w:vAlign w:val="center"/>
          </w:tcPr>
          <w:p w14:paraId="05596C8B">
            <w:pPr>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产品质量保证方案</w:t>
            </w:r>
          </w:p>
        </w:tc>
        <w:tc>
          <w:tcPr>
            <w:tcW w:w="7176" w:type="dxa"/>
            <w:noWrap w:val="0"/>
            <w:vAlign w:val="center"/>
          </w:tcPr>
          <w:p w14:paraId="2B69B527">
            <w:pPr>
              <w:rPr>
                <w:rFonts w:hint="eastAsia" w:ascii="仿宋" w:hAnsi="仿宋" w:eastAsia="仿宋" w:cs="仿宋"/>
                <w:sz w:val="22"/>
                <w:szCs w:val="22"/>
                <w:highlight w:val="none"/>
              </w:rPr>
            </w:pPr>
            <w:r>
              <w:rPr>
                <w:rFonts w:hint="eastAsia" w:ascii="仿宋" w:hAnsi="仿宋" w:eastAsia="仿宋" w:cs="仿宋"/>
                <w:sz w:val="22"/>
                <w:szCs w:val="22"/>
                <w:highlight w:val="none"/>
              </w:rPr>
              <w:t>投标人须依据本项目采购需求，提供产品质量保证方案，内容应涵盖但不限于：①质量保障体系及目标；②产品的质量性能及原材料的控制；③生产过程中控制措施；④质量回访流程及方案等。</w:t>
            </w:r>
          </w:p>
          <w:p w14:paraId="37A0F384">
            <w:pPr>
              <w:rPr>
                <w:rFonts w:hint="eastAsia" w:ascii="仿宋" w:hAnsi="仿宋" w:eastAsia="仿宋" w:cs="仿宋"/>
                <w:sz w:val="22"/>
                <w:szCs w:val="22"/>
                <w:highlight w:val="none"/>
              </w:rPr>
            </w:pPr>
            <w:r>
              <w:rPr>
                <w:rFonts w:hint="eastAsia" w:ascii="仿宋" w:hAnsi="仿宋" w:eastAsia="仿宋" w:cs="仿宋"/>
                <w:sz w:val="22"/>
                <w:szCs w:val="22"/>
                <w:highlight w:val="none"/>
              </w:rPr>
              <w:t>(1)方案涵盖上述内容，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科学、可操作性强、契合度高</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6</w:t>
            </w:r>
            <w:r>
              <w:rPr>
                <w:rFonts w:hint="eastAsia" w:ascii="仿宋" w:hAnsi="仿宋" w:eastAsia="仿宋" w:cs="仿宋"/>
                <w:sz w:val="22"/>
                <w:szCs w:val="22"/>
                <w:highlight w:val="none"/>
              </w:rPr>
              <w:t>分；</w:t>
            </w:r>
          </w:p>
          <w:p w14:paraId="355736B3">
            <w:pPr>
              <w:rPr>
                <w:rFonts w:hint="eastAsia" w:ascii="仿宋" w:hAnsi="仿宋" w:eastAsia="仿宋" w:cs="仿宋"/>
                <w:sz w:val="22"/>
                <w:szCs w:val="22"/>
                <w:highlight w:val="none"/>
              </w:rPr>
            </w:pPr>
            <w:r>
              <w:rPr>
                <w:rFonts w:hint="eastAsia" w:ascii="仿宋" w:hAnsi="仿宋" w:eastAsia="仿宋" w:cs="仿宋"/>
                <w:sz w:val="22"/>
                <w:szCs w:val="22"/>
                <w:highlight w:val="none"/>
              </w:rPr>
              <w:t>(2)方案涵盖上述内容，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科学、可操作性</w:t>
            </w:r>
            <w:r>
              <w:rPr>
                <w:rFonts w:hint="eastAsia" w:ascii="仿宋" w:hAnsi="仿宋" w:eastAsia="仿宋" w:cs="仿宋"/>
                <w:bCs/>
                <w:color w:val="000000"/>
                <w:sz w:val="22"/>
                <w:szCs w:val="22"/>
                <w:highlight w:val="none"/>
                <w:lang w:val="en-US" w:eastAsia="zh-CN"/>
              </w:rPr>
              <w:t>较</w:t>
            </w:r>
            <w:r>
              <w:rPr>
                <w:rFonts w:hint="eastAsia" w:ascii="仿宋" w:hAnsi="仿宋" w:eastAsia="仿宋" w:cs="仿宋"/>
                <w:bCs/>
                <w:color w:val="000000"/>
                <w:sz w:val="22"/>
                <w:szCs w:val="22"/>
                <w:highlight w:val="none"/>
              </w:rPr>
              <w:t>强、契合度</w:t>
            </w:r>
            <w:r>
              <w:rPr>
                <w:rFonts w:hint="eastAsia" w:ascii="仿宋" w:hAnsi="仿宋" w:eastAsia="仿宋" w:cs="仿宋"/>
                <w:bCs/>
                <w:color w:val="000000"/>
                <w:sz w:val="22"/>
                <w:szCs w:val="22"/>
                <w:highlight w:val="none"/>
                <w:lang w:val="en-US" w:eastAsia="zh-CN"/>
              </w:rPr>
              <w:t>较</w:t>
            </w:r>
            <w:r>
              <w:rPr>
                <w:rFonts w:hint="eastAsia" w:ascii="仿宋" w:hAnsi="仿宋" w:eastAsia="仿宋" w:cs="仿宋"/>
                <w:bCs/>
                <w:color w:val="000000"/>
                <w:sz w:val="22"/>
                <w:szCs w:val="22"/>
                <w:highlight w:val="none"/>
              </w:rPr>
              <w:t>高</w:t>
            </w:r>
            <w:r>
              <w:rPr>
                <w:rFonts w:hint="eastAsia" w:ascii="仿宋" w:hAnsi="仿宋" w:eastAsia="仿宋" w:cs="仿宋"/>
                <w:bCs/>
                <w:color w:val="000000"/>
                <w:sz w:val="22"/>
                <w:szCs w:val="22"/>
                <w:highlight w:val="none"/>
                <w:lang w:eastAsia="zh-CN"/>
              </w:rPr>
              <w:t>，</w:t>
            </w:r>
            <w:r>
              <w:rPr>
                <w:rFonts w:hint="eastAsia" w:ascii="仿宋" w:hAnsi="仿宋" w:eastAsia="仿宋" w:cs="仿宋"/>
                <w:bCs/>
                <w:color w:val="000000"/>
                <w:sz w:val="22"/>
                <w:szCs w:val="22"/>
                <w:highlight w:val="none"/>
                <w:lang w:val="en-US" w:eastAsia="zh-CN"/>
              </w:rPr>
              <w:t>较能</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4</w:t>
            </w:r>
            <w:r>
              <w:rPr>
                <w:rFonts w:hint="eastAsia" w:ascii="仿宋" w:hAnsi="仿宋" w:eastAsia="仿宋" w:cs="仿宋"/>
                <w:sz w:val="22"/>
                <w:szCs w:val="22"/>
                <w:highlight w:val="none"/>
              </w:rPr>
              <w:t>分；</w:t>
            </w:r>
          </w:p>
          <w:p w14:paraId="3D8E1722">
            <w:pPr>
              <w:rPr>
                <w:rFonts w:hint="eastAsia" w:ascii="仿宋" w:hAnsi="仿宋" w:eastAsia="仿宋" w:cs="仿宋"/>
                <w:sz w:val="22"/>
                <w:szCs w:val="22"/>
                <w:highlight w:val="none"/>
              </w:rPr>
            </w:pPr>
            <w:r>
              <w:rPr>
                <w:rFonts w:hint="eastAsia" w:ascii="仿宋" w:hAnsi="仿宋" w:eastAsia="仿宋" w:cs="仿宋"/>
                <w:sz w:val="22"/>
                <w:szCs w:val="22"/>
                <w:highlight w:val="none"/>
              </w:rPr>
              <w:t>(3)方案涵盖上述内容，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w:t>
            </w:r>
            <w:r>
              <w:rPr>
                <w:rFonts w:hint="eastAsia" w:ascii="仿宋" w:hAnsi="仿宋" w:eastAsia="仿宋" w:cs="仿宋"/>
                <w:bCs/>
                <w:color w:val="000000"/>
                <w:sz w:val="22"/>
                <w:szCs w:val="22"/>
                <w:highlight w:val="none"/>
                <w:lang w:val="en-US" w:eastAsia="zh-CN"/>
              </w:rPr>
              <w:t>基本具有</w:t>
            </w:r>
            <w:r>
              <w:rPr>
                <w:rFonts w:hint="eastAsia" w:ascii="仿宋" w:hAnsi="仿宋" w:eastAsia="仿宋" w:cs="仿宋"/>
                <w:bCs/>
                <w:color w:val="000000"/>
                <w:sz w:val="22"/>
                <w:szCs w:val="22"/>
                <w:highlight w:val="none"/>
              </w:rPr>
              <w:t>可操作性</w:t>
            </w:r>
            <w:r>
              <w:rPr>
                <w:rFonts w:hint="eastAsia" w:ascii="仿宋" w:hAnsi="仿宋" w:eastAsia="仿宋" w:cs="仿宋"/>
                <w:bCs/>
                <w:color w:val="000000"/>
                <w:sz w:val="22"/>
                <w:szCs w:val="22"/>
                <w:highlight w:val="none"/>
                <w:lang w:eastAsia="zh-CN"/>
              </w:rPr>
              <w:t>，</w:t>
            </w:r>
            <w:r>
              <w:rPr>
                <w:rFonts w:hint="eastAsia" w:ascii="仿宋" w:hAnsi="仿宋" w:eastAsia="仿宋" w:cs="仿宋"/>
                <w:sz w:val="22"/>
                <w:szCs w:val="22"/>
                <w:highlight w:val="none"/>
              </w:rPr>
              <w:t>基本满足采购需求，得</w:t>
            </w:r>
            <w:r>
              <w:rPr>
                <w:rFonts w:hint="eastAsia" w:ascii="仿宋" w:hAnsi="仿宋" w:eastAsia="仿宋" w:cs="仿宋"/>
                <w:sz w:val="22"/>
                <w:szCs w:val="22"/>
                <w:highlight w:val="none"/>
                <w:lang w:val="en-US" w:eastAsia="zh-CN"/>
              </w:rPr>
              <w:t>2</w:t>
            </w:r>
            <w:r>
              <w:rPr>
                <w:rFonts w:hint="eastAsia" w:ascii="仿宋" w:hAnsi="仿宋" w:eastAsia="仿宋" w:cs="仿宋"/>
                <w:sz w:val="22"/>
                <w:szCs w:val="22"/>
                <w:highlight w:val="none"/>
              </w:rPr>
              <w:t>分；</w:t>
            </w:r>
          </w:p>
          <w:p w14:paraId="7C652F64">
            <w:pP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rPr>
              <w:t>(4)未提供方案，或方案未涵盖上述内容或与项目实施存在偏差，不能满足采购需求的，不得分。</w:t>
            </w:r>
            <w:r>
              <w:rPr>
                <w:rFonts w:hint="eastAsia" w:ascii="仿宋" w:hAnsi="仿宋" w:eastAsia="仿宋" w:cs="仿宋"/>
                <w:sz w:val="22"/>
                <w:szCs w:val="22"/>
                <w:highlight w:val="none"/>
                <w:lang w:val="en-US" w:eastAsia="zh-CN"/>
              </w:rPr>
              <w:t xml:space="preserve"> </w:t>
            </w:r>
          </w:p>
          <w:p w14:paraId="57B1308C">
            <w:pPr>
              <w:rPr>
                <w:rFonts w:hint="eastAsia" w:ascii="仿宋" w:hAnsi="仿宋" w:eastAsia="仿宋" w:cs="仿宋"/>
                <w:b/>
                <w:bCs/>
                <w:sz w:val="22"/>
                <w:szCs w:val="22"/>
                <w:highlight w:val="none"/>
                <w:lang w:val="en-US" w:eastAsia="zh-CN" w:bidi="ar"/>
              </w:rPr>
            </w:pPr>
          </w:p>
        </w:tc>
        <w:tc>
          <w:tcPr>
            <w:tcW w:w="654" w:type="dxa"/>
            <w:noWrap w:val="0"/>
            <w:vAlign w:val="center"/>
          </w:tcPr>
          <w:p w14:paraId="6EF78E5E">
            <w:pPr>
              <w:snapToGrid w:val="0"/>
              <w:ind w:left="0" w:leftChars="0" w:right="0" w:rightChars="0" w:firstLine="0" w:firstLineChars="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6</w:t>
            </w:r>
          </w:p>
        </w:tc>
      </w:tr>
      <w:tr w14:paraId="18AAF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7E9E6297">
            <w:pPr>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3.3</w:t>
            </w:r>
          </w:p>
        </w:tc>
        <w:tc>
          <w:tcPr>
            <w:tcW w:w="542" w:type="dxa"/>
            <w:noWrap w:val="0"/>
            <w:vAlign w:val="center"/>
          </w:tcPr>
          <w:p w14:paraId="6BC6283C">
            <w:pPr>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安装调试方案</w:t>
            </w:r>
          </w:p>
        </w:tc>
        <w:tc>
          <w:tcPr>
            <w:tcW w:w="7176" w:type="dxa"/>
            <w:noWrap w:val="0"/>
            <w:vAlign w:val="center"/>
          </w:tcPr>
          <w:p w14:paraId="66615BC3">
            <w:pPr>
              <w:rPr>
                <w:rFonts w:hint="eastAsia" w:ascii="仿宋" w:hAnsi="仿宋" w:eastAsia="仿宋" w:cs="仿宋"/>
                <w:sz w:val="22"/>
                <w:szCs w:val="22"/>
                <w:highlight w:val="none"/>
              </w:rPr>
            </w:pPr>
            <w:r>
              <w:rPr>
                <w:rFonts w:hint="eastAsia" w:ascii="仿宋" w:hAnsi="仿宋" w:eastAsia="仿宋" w:cs="仿宋"/>
                <w:sz w:val="22"/>
                <w:szCs w:val="22"/>
                <w:highlight w:val="none"/>
              </w:rPr>
              <w:t>投标人须依据本项目采购需求，提供设备安装调试方案，内容应涵盖但不限于：①安装组织架构与分工②货物安装前期准备工作③核心安装实施流程等。</w:t>
            </w:r>
          </w:p>
          <w:p w14:paraId="24DAC340">
            <w:pPr>
              <w:rPr>
                <w:rFonts w:hint="eastAsia" w:ascii="仿宋" w:hAnsi="仿宋" w:eastAsia="仿宋" w:cs="仿宋"/>
                <w:sz w:val="22"/>
                <w:szCs w:val="22"/>
                <w:highlight w:val="none"/>
              </w:rPr>
            </w:pPr>
            <w:r>
              <w:rPr>
                <w:rFonts w:hint="eastAsia" w:ascii="仿宋" w:hAnsi="仿宋" w:eastAsia="仿宋" w:cs="仿宋"/>
                <w:sz w:val="22"/>
                <w:szCs w:val="22"/>
                <w:highlight w:val="none"/>
              </w:rPr>
              <w:t>(1)方案涵盖上述内容，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科学、可操作性强、契合度高</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6</w:t>
            </w:r>
            <w:r>
              <w:rPr>
                <w:rFonts w:hint="eastAsia" w:ascii="仿宋" w:hAnsi="仿宋" w:eastAsia="仿宋" w:cs="仿宋"/>
                <w:sz w:val="22"/>
                <w:szCs w:val="22"/>
                <w:highlight w:val="none"/>
              </w:rPr>
              <w:t>分；</w:t>
            </w:r>
          </w:p>
          <w:p w14:paraId="4C91DE2E">
            <w:pPr>
              <w:rPr>
                <w:rFonts w:hint="eastAsia" w:ascii="仿宋" w:hAnsi="仿宋" w:eastAsia="仿宋" w:cs="仿宋"/>
                <w:sz w:val="22"/>
                <w:szCs w:val="22"/>
                <w:highlight w:val="none"/>
              </w:rPr>
            </w:pPr>
            <w:r>
              <w:rPr>
                <w:rFonts w:hint="eastAsia" w:ascii="仿宋" w:hAnsi="仿宋" w:eastAsia="仿宋" w:cs="仿宋"/>
                <w:sz w:val="22"/>
                <w:szCs w:val="22"/>
                <w:highlight w:val="none"/>
              </w:rPr>
              <w:t>(2)方案涵盖上述内容，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科学、可操作性</w:t>
            </w:r>
            <w:r>
              <w:rPr>
                <w:rFonts w:hint="eastAsia" w:ascii="仿宋" w:hAnsi="仿宋" w:eastAsia="仿宋" w:cs="仿宋"/>
                <w:bCs/>
                <w:color w:val="000000"/>
                <w:sz w:val="22"/>
                <w:szCs w:val="22"/>
                <w:highlight w:val="none"/>
                <w:lang w:val="en-US" w:eastAsia="zh-CN"/>
              </w:rPr>
              <w:t>较</w:t>
            </w:r>
            <w:r>
              <w:rPr>
                <w:rFonts w:hint="eastAsia" w:ascii="仿宋" w:hAnsi="仿宋" w:eastAsia="仿宋" w:cs="仿宋"/>
                <w:bCs/>
                <w:color w:val="000000"/>
                <w:sz w:val="22"/>
                <w:szCs w:val="22"/>
                <w:highlight w:val="none"/>
              </w:rPr>
              <w:t>强、契合度</w:t>
            </w:r>
            <w:r>
              <w:rPr>
                <w:rFonts w:hint="eastAsia" w:ascii="仿宋" w:hAnsi="仿宋" w:eastAsia="仿宋" w:cs="仿宋"/>
                <w:bCs/>
                <w:color w:val="000000"/>
                <w:sz w:val="22"/>
                <w:szCs w:val="22"/>
                <w:highlight w:val="none"/>
                <w:lang w:val="en-US" w:eastAsia="zh-CN"/>
              </w:rPr>
              <w:t>较</w:t>
            </w:r>
            <w:r>
              <w:rPr>
                <w:rFonts w:hint="eastAsia" w:ascii="仿宋" w:hAnsi="仿宋" w:eastAsia="仿宋" w:cs="仿宋"/>
                <w:bCs/>
                <w:color w:val="000000"/>
                <w:sz w:val="22"/>
                <w:szCs w:val="22"/>
                <w:highlight w:val="none"/>
              </w:rPr>
              <w:t>高</w:t>
            </w:r>
            <w:r>
              <w:rPr>
                <w:rFonts w:hint="eastAsia" w:ascii="仿宋" w:hAnsi="仿宋" w:eastAsia="仿宋" w:cs="仿宋"/>
                <w:bCs/>
                <w:color w:val="000000"/>
                <w:sz w:val="22"/>
                <w:szCs w:val="22"/>
                <w:highlight w:val="none"/>
                <w:lang w:eastAsia="zh-CN"/>
              </w:rPr>
              <w:t>，</w:t>
            </w:r>
            <w:r>
              <w:rPr>
                <w:rFonts w:hint="eastAsia" w:ascii="仿宋" w:hAnsi="仿宋" w:eastAsia="仿宋" w:cs="仿宋"/>
                <w:bCs/>
                <w:color w:val="000000"/>
                <w:sz w:val="22"/>
                <w:szCs w:val="22"/>
                <w:highlight w:val="none"/>
                <w:lang w:val="en-US" w:eastAsia="zh-CN"/>
              </w:rPr>
              <w:t>较能</w:t>
            </w:r>
            <w:r>
              <w:rPr>
                <w:rFonts w:hint="eastAsia" w:ascii="仿宋" w:hAnsi="仿宋" w:eastAsia="仿宋" w:cs="仿宋"/>
                <w:sz w:val="22"/>
                <w:szCs w:val="22"/>
                <w:highlight w:val="none"/>
              </w:rPr>
              <w:t>满足采购需求，得</w:t>
            </w:r>
            <w:r>
              <w:rPr>
                <w:rFonts w:hint="eastAsia" w:ascii="仿宋" w:hAnsi="仿宋" w:eastAsia="仿宋" w:cs="仿宋"/>
                <w:sz w:val="22"/>
                <w:szCs w:val="22"/>
                <w:highlight w:val="none"/>
                <w:lang w:val="en-US" w:eastAsia="zh-CN"/>
              </w:rPr>
              <w:t>4</w:t>
            </w:r>
            <w:r>
              <w:rPr>
                <w:rFonts w:hint="eastAsia" w:ascii="仿宋" w:hAnsi="仿宋" w:eastAsia="仿宋" w:cs="仿宋"/>
                <w:sz w:val="22"/>
                <w:szCs w:val="22"/>
                <w:highlight w:val="none"/>
              </w:rPr>
              <w:t>分；</w:t>
            </w:r>
          </w:p>
          <w:p w14:paraId="255ACF51">
            <w:pPr>
              <w:rPr>
                <w:rFonts w:hint="eastAsia" w:ascii="仿宋" w:hAnsi="仿宋" w:eastAsia="仿宋" w:cs="仿宋"/>
                <w:sz w:val="22"/>
                <w:szCs w:val="22"/>
                <w:highlight w:val="none"/>
              </w:rPr>
            </w:pPr>
            <w:r>
              <w:rPr>
                <w:rFonts w:hint="eastAsia" w:ascii="仿宋" w:hAnsi="仿宋" w:eastAsia="仿宋" w:cs="仿宋"/>
                <w:sz w:val="22"/>
                <w:szCs w:val="22"/>
                <w:highlight w:val="none"/>
              </w:rPr>
              <w:t>(3)方案涵盖上述内容，</w:t>
            </w:r>
            <w:r>
              <w:rPr>
                <w:rFonts w:hint="eastAsia" w:ascii="仿宋" w:hAnsi="仿宋" w:eastAsia="仿宋" w:cs="仿宋"/>
                <w:sz w:val="22"/>
                <w:szCs w:val="22"/>
                <w:highlight w:val="none"/>
                <w:lang w:val="en-US" w:eastAsia="zh-CN"/>
              </w:rPr>
              <w:t>方案</w:t>
            </w:r>
            <w:r>
              <w:rPr>
                <w:rFonts w:hint="eastAsia" w:ascii="仿宋" w:hAnsi="仿宋" w:eastAsia="仿宋" w:cs="仿宋"/>
                <w:bCs/>
                <w:color w:val="000000"/>
                <w:sz w:val="22"/>
                <w:szCs w:val="22"/>
                <w:highlight w:val="none"/>
              </w:rPr>
              <w:t>科学、</w:t>
            </w:r>
            <w:r>
              <w:rPr>
                <w:rFonts w:hint="eastAsia" w:ascii="仿宋" w:hAnsi="仿宋" w:eastAsia="仿宋" w:cs="仿宋"/>
                <w:bCs/>
                <w:color w:val="000000"/>
                <w:sz w:val="22"/>
                <w:szCs w:val="22"/>
                <w:highlight w:val="none"/>
                <w:lang w:val="en-US" w:eastAsia="zh-CN"/>
              </w:rPr>
              <w:t>基本具有</w:t>
            </w:r>
            <w:r>
              <w:rPr>
                <w:rFonts w:hint="eastAsia" w:ascii="仿宋" w:hAnsi="仿宋" w:eastAsia="仿宋" w:cs="仿宋"/>
                <w:bCs/>
                <w:color w:val="000000"/>
                <w:sz w:val="22"/>
                <w:szCs w:val="22"/>
                <w:highlight w:val="none"/>
              </w:rPr>
              <w:t>可操作性</w:t>
            </w:r>
            <w:r>
              <w:rPr>
                <w:rFonts w:hint="eastAsia" w:ascii="仿宋" w:hAnsi="仿宋" w:eastAsia="仿宋" w:cs="仿宋"/>
                <w:bCs/>
                <w:color w:val="000000"/>
                <w:sz w:val="22"/>
                <w:szCs w:val="22"/>
                <w:highlight w:val="none"/>
                <w:lang w:eastAsia="zh-CN"/>
              </w:rPr>
              <w:t>，</w:t>
            </w:r>
            <w:r>
              <w:rPr>
                <w:rFonts w:hint="eastAsia" w:ascii="仿宋" w:hAnsi="仿宋" w:eastAsia="仿宋" w:cs="仿宋"/>
                <w:sz w:val="22"/>
                <w:szCs w:val="22"/>
                <w:highlight w:val="none"/>
              </w:rPr>
              <w:t>基本满足采购需求，得</w:t>
            </w:r>
            <w:r>
              <w:rPr>
                <w:rFonts w:hint="eastAsia" w:ascii="仿宋" w:hAnsi="仿宋" w:eastAsia="仿宋" w:cs="仿宋"/>
                <w:sz w:val="22"/>
                <w:szCs w:val="22"/>
                <w:highlight w:val="none"/>
                <w:lang w:val="en-US" w:eastAsia="zh-CN"/>
              </w:rPr>
              <w:t>2</w:t>
            </w:r>
            <w:r>
              <w:rPr>
                <w:rFonts w:hint="eastAsia" w:ascii="仿宋" w:hAnsi="仿宋" w:eastAsia="仿宋" w:cs="仿宋"/>
                <w:sz w:val="22"/>
                <w:szCs w:val="22"/>
                <w:highlight w:val="none"/>
              </w:rPr>
              <w:t>分；</w:t>
            </w:r>
          </w:p>
          <w:p w14:paraId="494EB2B0">
            <w:pPr>
              <w:rPr>
                <w:rFonts w:hint="eastAsia" w:ascii="仿宋" w:hAnsi="仿宋" w:eastAsia="仿宋" w:cs="仿宋"/>
                <w:b/>
                <w:bCs/>
                <w:sz w:val="22"/>
                <w:szCs w:val="22"/>
                <w:highlight w:val="none"/>
                <w:lang w:val="en-US" w:eastAsia="zh-CN" w:bidi="ar"/>
              </w:rPr>
            </w:pPr>
            <w:r>
              <w:rPr>
                <w:rFonts w:hint="eastAsia" w:ascii="仿宋" w:hAnsi="仿宋" w:eastAsia="仿宋" w:cs="仿宋"/>
                <w:sz w:val="22"/>
                <w:szCs w:val="22"/>
                <w:highlight w:val="none"/>
              </w:rPr>
              <w:t>(4)未提供方案，或方案未涵盖上述内容或与项目实施存在偏差，不能满足采购需求的，不得分。</w:t>
            </w:r>
            <w:r>
              <w:rPr>
                <w:rFonts w:hint="eastAsia" w:ascii="仿宋" w:hAnsi="仿宋" w:eastAsia="仿宋" w:cs="仿宋"/>
                <w:sz w:val="22"/>
                <w:szCs w:val="22"/>
                <w:highlight w:val="none"/>
                <w:lang w:val="en-US" w:eastAsia="zh-CN"/>
              </w:rPr>
              <w:t xml:space="preserve"> </w:t>
            </w:r>
          </w:p>
        </w:tc>
        <w:tc>
          <w:tcPr>
            <w:tcW w:w="654" w:type="dxa"/>
            <w:noWrap w:val="0"/>
            <w:vAlign w:val="center"/>
          </w:tcPr>
          <w:p w14:paraId="678461DD">
            <w:pPr>
              <w:snapToGrid w:val="0"/>
              <w:ind w:left="0" w:leftChars="0" w:right="0" w:rightChars="0" w:firstLine="0" w:firstLineChars="0"/>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6</w:t>
            </w:r>
          </w:p>
        </w:tc>
      </w:tr>
      <w:tr w14:paraId="633F4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348" w:type="dxa"/>
            <w:noWrap w:val="0"/>
            <w:vAlign w:val="center"/>
          </w:tcPr>
          <w:p w14:paraId="6C849003">
            <w:pPr>
              <w:jc w:val="center"/>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3.5</w:t>
            </w:r>
          </w:p>
        </w:tc>
        <w:tc>
          <w:tcPr>
            <w:tcW w:w="542" w:type="dxa"/>
            <w:noWrap w:val="0"/>
            <w:vAlign w:val="center"/>
          </w:tcPr>
          <w:p w14:paraId="1E673B85">
            <w:pPr>
              <w:jc w:val="center"/>
              <w:rPr>
                <w:rFonts w:hint="eastAsia" w:ascii="仿宋" w:hAnsi="仿宋" w:eastAsia="仿宋" w:cs="仿宋"/>
                <w:sz w:val="22"/>
                <w:szCs w:val="22"/>
                <w:highlight w:val="none"/>
              </w:rPr>
            </w:pPr>
            <w:r>
              <w:rPr>
                <w:rFonts w:hint="eastAsia" w:ascii="仿宋" w:hAnsi="仿宋" w:eastAsia="仿宋" w:cs="仿宋"/>
                <w:sz w:val="22"/>
                <w:szCs w:val="22"/>
                <w:highlight w:val="none"/>
              </w:rPr>
              <w:t>售后服务及培训方案</w:t>
            </w:r>
          </w:p>
        </w:tc>
        <w:tc>
          <w:tcPr>
            <w:tcW w:w="7176" w:type="dxa"/>
            <w:tcBorders>
              <w:right w:val="single" w:color="auto" w:sz="4" w:space="0"/>
            </w:tcBorders>
            <w:noWrap w:val="0"/>
            <w:vAlign w:val="center"/>
          </w:tcPr>
          <w:p w14:paraId="79D85BEC">
            <w:pPr>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rPr>
              <w:t xml:space="preserve">根据投标人提供的售后服务及培训方案(包括但不限于售后故障响应时间、故障解决方案、售后服务承诺内容、培训师资力量、培训计划及内容等)进行综合评审： </w:t>
            </w:r>
          </w:p>
          <w:p w14:paraId="57B2317C">
            <w:pPr>
              <w:numPr>
                <w:ilvl w:val="0"/>
                <w:numId w:val="0"/>
              </w:numPr>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lang w:val="en-US" w:eastAsia="zh-CN" w:bidi="ar-SA"/>
              </w:rPr>
              <w:t>（1）</w:t>
            </w:r>
            <w:r>
              <w:rPr>
                <w:rFonts w:hint="eastAsia" w:ascii="仿宋" w:hAnsi="仿宋" w:eastAsia="仿宋" w:cs="仿宋"/>
                <w:color w:val="000000"/>
                <w:sz w:val="22"/>
                <w:szCs w:val="22"/>
                <w:highlight w:val="none"/>
                <w:lang w:val="en-US" w:eastAsia="zh-CN"/>
              </w:rPr>
              <w:t xml:space="preserve">故障解决措施完善，响应时间及时，培训师资配置完备、专业能力突出，内容阐述详细，可操作性强的，得 6分； </w:t>
            </w:r>
          </w:p>
          <w:p w14:paraId="49A9F9DF">
            <w:pPr>
              <w:numPr>
                <w:ilvl w:val="0"/>
                <w:numId w:val="0"/>
              </w:numPr>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lang w:val="en-US" w:eastAsia="zh-CN" w:bidi="ar-SA"/>
              </w:rPr>
              <w:t>（2）</w:t>
            </w:r>
            <w:r>
              <w:rPr>
                <w:rFonts w:hint="eastAsia" w:ascii="仿宋" w:hAnsi="仿宋" w:eastAsia="仿宋" w:cs="仿宋"/>
                <w:color w:val="000000"/>
                <w:sz w:val="22"/>
                <w:szCs w:val="22"/>
                <w:highlight w:val="none"/>
                <w:lang w:val="en-US" w:eastAsia="zh-CN"/>
              </w:rPr>
              <w:t>故障解决措施较完善，响应时间比较及时，培训师资配置达标、专业能力较强 ，内容阐述较详细，可操作性较强的，得 4 分；</w:t>
            </w:r>
          </w:p>
          <w:p w14:paraId="2E4C9235">
            <w:pPr>
              <w:numPr>
                <w:ilvl w:val="0"/>
                <w:numId w:val="0"/>
              </w:numPr>
              <w:rPr>
                <w:rFonts w:hint="eastAsia" w:ascii="仿宋" w:hAnsi="仿宋" w:eastAsia="仿宋" w:cs="仿宋"/>
                <w:color w:val="000000"/>
                <w:sz w:val="22"/>
                <w:szCs w:val="22"/>
                <w:highlight w:val="none"/>
                <w:lang w:val="en-US" w:eastAsia="zh-CN"/>
              </w:rPr>
            </w:pPr>
            <w:r>
              <w:rPr>
                <w:rFonts w:hint="eastAsia" w:ascii="仿宋" w:hAnsi="仿宋" w:eastAsia="仿宋" w:cs="仿宋"/>
                <w:color w:val="000000"/>
                <w:sz w:val="22"/>
                <w:szCs w:val="22"/>
                <w:lang w:val="en-US" w:eastAsia="zh-CN" w:bidi="ar-SA"/>
              </w:rPr>
              <w:t>（3）</w:t>
            </w:r>
            <w:r>
              <w:rPr>
                <w:rFonts w:hint="eastAsia" w:ascii="仿宋" w:hAnsi="仿宋" w:eastAsia="仿宋" w:cs="仿宋"/>
                <w:color w:val="000000"/>
                <w:sz w:val="22"/>
                <w:szCs w:val="22"/>
                <w:highlight w:val="none"/>
                <w:lang w:val="en-US" w:eastAsia="zh-CN"/>
              </w:rPr>
              <w:t>故障解决措施完善性一般，响应时间符合要求，培训师资配置简单、专业能力一般，内容阐述不够详细，可操</w:t>
            </w:r>
            <w:bookmarkStart w:id="0" w:name="_GoBack"/>
            <w:bookmarkEnd w:id="0"/>
            <w:r>
              <w:rPr>
                <w:rFonts w:hint="eastAsia" w:ascii="仿宋" w:hAnsi="仿宋" w:eastAsia="仿宋" w:cs="仿宋"/>
                <w:color w:val="000000"/>
                <w:sz w:val="22"/>
                <w:szCs w:val="22"/>
                <w:highlight w:val="none"/>
                <w:lang w:val="en-US" w:eastAsia="zh-CN"/>
              </w:rPr>
              <w:t xml:space="preserve">作性一般的，得 2 分； </w:t>
            </w:r>
          </w:p>
          <w:p w14:paraId="350CC67C">
            <w:pPr>
              <w:numPr>
                <w:ilvl w:val="0"/>
                <w:numId w:val="0"/>
              </w:numPr>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lang w:val="en-US" w:eastAsia="zh-CN"/>
              </w:rPr>
              <w:t>（4）无提供不得分。</w:t>
            </w:r>
          </w:p>
          <w:p w14:paraId="36B69ACD">
            <w:pPr>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rPr>
              <w:t>注：投标人须提供为本项目配备的技术培训团队人员名单及对应的分工说明（格式自拟），团队至少须包括物理教学仪器类培训小组负责人，化学教学仪器类培训小组负责人。且以上职责不得相互兼任。未按要求提供完整人员名单及分工说明的，或名单不完整、或存在人员兼任情况的，团队人员未在社保名单的，本项“</w:t>
            </w:r>
            <w:r>
              <w:rPr>
                <w:rFonts w:hint="eastAsia" w:ascii="仿宋" w:hAnsi="仿宋" w:eastAsia="仿宋" w:cs="仿宋"/>
                <w:sz w:val="22"/>
                <w:szCs w:val="22"/>
                <w:highlight w:val="none"/>
              </w:rPr>
              <w:t>售后服务及培训方案</w:t>
            </w:r>
            <w:r>
              <w:rPr>
                <w:rFonts w:hint="eastAsia" w:ascii="仿宋" w:hAnsi="仿宋" w:eastAsia="仿宋" w:cs="仿宋"/>
                <w:color w:val="000000"/>
                <w:sz w:val="22"/>
                <w:szCs w:val="22"/>
                <w:highlight w:val="none"/>
              </w:rPr>
              <w:t>”整体不得分。</w:t>
            </w:r>
          </w:p>
          <w:p w14:paraId="37D3D413">
            <w:pPr>
              <w:rPr>
                <w:rFonts w:hint="eastAsia" w:ascii="仿宋" w:hAnsi="仿宋" w:eastAsia="仿宋" w:cs="仿宋"/>
                <w:color w:val="000000"/>
                <w:sz w:val="22"/>
                <w:szCs w:val="22"/>
                <w:highlight w:val="none"/>
              </w:rPr>
            </w:pPr>
          </w:p>
        </w:tc>
        <w:tc>
          <w:tcPr>
            <w:tcW w:w="654" w:type="dxa"/>
            <w:tcBorders>
              <w:left w:val="single" w:color="auto" w:sz="4" w:space="0"/>
            </w:tcBorders>
            <w:noWrap w:val="0"/>
            <w:vAlign w:val="center"/>
          </w:tcPr>
          <w:p w14:paraId="61CE45F1">
            <w:pPr>
              <w:jc w:val="center"/>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6</w:t>
            </w:r>
          </w:p>
        </w:tc>
      </w:tr>
    </w:tbl>
    <w:p w14:paraId="79C86229">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4.原采购文件第四章招标项目的技术规格、要求和数量等</w:t>
      </w:r>
    </w:p>
    <w:tbl>
      <w:tblPr>
        <w:tblStyle w:val="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6"/>
        <w:gridCol w:w="2567"/>
        <w:gridCol w:w="5339"/>
      </w:tblGrid>
      <w:tr w14:paraId="7918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3"/>
            <w:tcBorders>
              <w:top w:val="single" w:color="000000" w:sz="4" w:space="0"/>
              <w:left w:val="single" w:color="000000" w:sz="4" w:space="0"/>
              <w:bottom w:val="single" w:color="000000" w:sz="4" w:space="0"/>
              <w:right w:val="single" w:color="000000" w:sz="4" w:space="0"/>
            </w:tcBorders>
            <w:noWrap/>
            <w:vAlign w:val="center"/>
          </w:tcPr>
          <w:p w14:paraId="119C2DDD">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1、教室名称：物理数字化探究实验仪器</w:t>
            </w:r>
          </w:p>
        </w:tc>
      </w:tr>
      <w:tr w14:paraId="47BB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32D26283">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6</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5723A7B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无线彩屏多量程电流传感器</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4F2F5BAF">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kern w:val="0"/>
                <w:sz w:val="20"/>
                <w:szCs w:val="20"/>
                <w:highlight w:val="none"/>
                <w:u w:val="none"/>
                <w:lang w:val="en-US" w:eastAsia="zh-CN" w:bidi="ar"/>
              </w:rPr>
              <w:t>3、测量范围：≥--20mA～+20mA，分辨率：≤0.01mA。</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24Bit高精度高速采样， 精度：≤±1%F.S。</w:t>
            </w:r>
          </w:p>
        </w:tc>
      </w:tr>
      <w:tr w14:paraId="5F6FF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3E72C05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lang w:val="en-US"/>
              </w:rPr>
            </w:pPr>
            <w:r>
              <w:rPr>
                <w:rFonts w:hint="eastAsia" w:ascii="仿宋" w:hAnsi="仿宋" w:eastAsia="仿宋" w:cs="仿宋"/>
                <w:i w:val="0"/>
                <w:iCs w:val="0"/>
                <w:color w:val="auto"/>
                <w:kern w:val="0"/>
                <w:sz w:val="22"/>
                <w:szCs w:val="22"/>
                <w:highlight w:val="none"/>
                <w:u w:val="none"/>
                <w:lang w:val="en-US" w:eastAsia="zh-CN" w:bidi="ar"/>
              </w:rPr>
              <w:t>22</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343D39C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法拉第电磁感应定律演示仪（II)</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23872839">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1、小螺母管≥600匝，电阻12欧姆； 大线圈≥1000匝，电阻34欧姆；</w:t>
            </w:r>
          </w:p>
          <w:p w14:paraId="65860510">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sz w:val="22"/>
                <w:szCs w:val="22"/>
                <w:highlight w:val="none"/>
                <w:u w:val="none"/>
                <w:lang w:val="en-US" w:eastAsia="zh-CN"/>
              </w:rPr>
              <w:t>2、需智能电源（需另配））</w:t>
            </w:r>
            <w:r>
              <w:rPr>
                <w:rFonts w:hint="eastAsia" w:ascii="仿宋" w:hAnsi="仿宋" w:eastAsia="仿宋" w:cs="仿宋"/>
                <w:i w:val="0"/>
                <w:iCs w:val="0"/>
                <w:color w:val="auto"/>
                <w:sz w:val="22"/>
                <w:szCs w:val="22"/>
                <w:highlight w:val="none"/>
                <w:u w:val="none"/>
                <w:lang w:eastAsia="zh-CN"/>
              </w:rPr>
              <w:t>；</w:t>
            </w:r>
          </w:p>
          <w:p w14:paraId="0B54437E">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sz w:val="22"/>
                <w:szCs w:val="22"/>
                <w:highlight w:val="none"/>
                <w:u w:val="none"/>
                <w:lang w:val="en-US" w:eastAsia="zh-CN"/>
              </w:rPr>
              <w:t>3、配合电流、电压传感器使用（传感器需另配）。</w:t>
            </w:r>
          </w:p>
        </w:tc>
      </w:tr>
      <w:tr w14:paraId="1571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71F6CBCB">
            <w:pPr>
              <w:keepNext w:val="0"/>
              <w:keepLines w:val="0"/>
              <w:widowControl/>
              <w:suppressLineNumbers w:val="0"/>
              <w:ind w:left="0" w:leftChars="0" w:right="0" w:rightChars="0" w:firstLine="0" w:firstLineChars="0"/>
              <w:jc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4</w:t>
            </w:r>
            <w:r>
              <w:rPr>
                <w:rFonts w:hint="eastAsia" w:ascii="仿宋" w:hAnsi="仿宋" w:eastAsia="仿宋" w:cs="仿宋"/>
                <w:i w:val="0"/>
                <w:iCs w:val="0"/>
                <w:color w:val="000000"/>
                <w:sz w:val="22"/>
                <w:szCs w:val="22"/>
                <w:highlight w:val="none"/>
                <w:u w:val="none"/>
                <w:lang w:eastAsia="zh-CN" w:bidi="ar"/>
              </w:rPr>
              <w:t>6</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6A815D1">
            <w:pPr>
              <w:keepNext w:val="0"/>
              <w:keepLines w:val="0"/>
              <w:widowControl/>
              <w:suppressLineNumbers w:val="0"/>
              <w:ind w:left="0" w:leftChars="0" w:right="0" w:rightChars="0" w:firstLine="0" w:firstLineChars="0"/>
              <w:jc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无线蓝牙适配器</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64B66EA5">
            <w:pPr>
              <w:keepNext w:val="0"/>
              <w:keepLines w:val="0"/>
              <w:widowControl/>
              <w:suppressLineNumbers w:val="0"/>
              <w:ind w:left="0" w:leftChars="0" w:right="0" w:rightChars="0" w:firstLine="0" w:firstLineChars="0"/>
              <w:jc w:val="left"/>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支持PC或者笔记本蓝牙5.0高速传输。兼容蓝牙4.0、4.1、4.2，传输距离大于等于10米，信号稳定、支持大数据量连续传输、支持WIN8/10/11系统。</w:t>
            </w:r>
          </w:p>
        </w:tc>
      </w:tr>
      <w:tr w14:paraId="56A91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3"/>
            <w:tcBorders>
              <w:top w:val="single" w:color="000000" w:sz="4" w:space="0"/>
              <w:left w:val="single" w:color="000000" w:sz="4" w:space="0"/>
              <w:bottom w:val="single" w:color="000000" w:sz="4" w:space="0"/>
              <w:right w:val="single" w:color="000000" w:sz="4" w:space="0"/>
            </w:tcBorders>
            <w:noWrap/>
            <w:vAlign w:val="center"/>
          </w:tcPr>
          <w:p w14:paraId="387E30FA">
            <w:pPr>
              <w:keepNext w:val="0"/>
              <w:keepLines w:val="0"/>
              <w:widowControl/>
              <w:suppressLineNumbers w:val="0"/>
              <w:ind w:left="0" w:leftChars="0" w:right="0" w:rightChars="0" w:firstLine="0" w:firstLineChars="0"/>
              <w:jc w:val="left"/>
              <w:rPr>
                <w:rFonts w:hint="eastAsia" w:ascii="仿宋" w:hAnsi="仿宋" w:eastAsia="仿宋" w:cs="仿宋"/>
                <w:i w:val="0"/>
                <w:iCs w:val="0"/>
                <w:color w:val="000000"/>
                <w:sz w:val="22"/>
                <w:szCs w:val="22"/>
                <w:u w:val="none"/>
                <w:lang w:val="en-US" w:eastAsia="zh-CN" w:bidi="ar"/>
                <w:woUserID w:val="1"/>
              </w:rPr>
            </w:pPr>
            <w:r>
              <w:rPr>
                <w:rFonts w:hint="eastAsia" w:ascii="仿宋" w:hAnsi="仿宋" w:eastAsia="仿宋" w:cs="仿宋"/>
                <w:i w:val="0"/>
                <w:iCs w:val="0"/>
                <w:color w:val="000000"/>
                <w:sz w:val="22"/>
                <w:szCs w:val="22"/>
                <w:highlight w:val="none"/>
                <w:u w:val="none"/>
                <w:lang w:val="en-US" w:eastAsia="zh-CN" w:bidi="ar"/>
              </w:rPr>
              <w:t>2、教室名称：化学数字化探究实验仪器</w:t>
            </w:r>
          </w:p>
        </w:tc>
      </w:tr>
      <w:tr w14:paraId="2ACAC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12018788">
            <w:pPr>
              <w:keepNext w:val="0"/>
              <w:keepLines w:val="0"/>
              <w:widowControl/>
              <w:suppressLineNumbers w:val="0"/>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u w:val="none"/>
                <w:lang w:val="en-US" w:eastAsia="zh-CN" w:bidi="ar"/>
              </w:rPr>
              <w:t>2</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3E463581">
            <w:pPr>
              <w:keepNext w:val="0"/>
              <w:keepLines w:val="0"/>
              <w:widowControl/>
              <w:suppressLineNumbers w:val="0"/>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u w:val="none"/>
                <w:lang w:val="en-US" w:eastAsia="zh-CN" w:bidi="ar"/>
              </w:rPr>
              <w:t>无线蓝牙适配器</w:t>
            </w:r>
          </w:p>
        </w:tc>
        <w:tc>
          <w:tcPr>
            <w:tcW w:w="5339" w:type="dxa"/>
            <w:tcBorders>
              <w:top w:val="single" w:color="000000" w:sz="4" w:space="0"/>
              <w:left w:val="single" w:color="000000" w:sz="4" w:space="0"/>
              <w:bottom w:val="single" w:color="000000" w:sz="4" w:space="0"/>
              <w:right w:val="single" w:color="000000" w:sz="4" w:space="0"/>
            </w:tcBorders>
            <w:noWrap w:val="0"/>
            <w:vAlign w:val="top"/>
          </w:tcPr>
          <w:p w14:paraId="3BB3B7A2">
            <w:pPr>
              <w:keepNext w:val="0"/>
              <w:keepLines w:val="0"/>
              <w:widowControl/>
              <w:suppressLineNumbers w:val="0"/>
              <w:jc w:val="left"/>
              <w:rPr>
                <w:rFonts w:hint="eastAsia" w:ascii="仿宋" w:hAnsi="仿宋" w:eastAsia="仿宋" w:cs="仿宋"/>
                <w:i w:val="0"/>
                <w:iCs w:val="0"/>
                <w:color w:val="000000"/>
                <w:sz w:val="22"/>
                <w:szCs w:val="22"/>
                <w:u w:val="none"/>
                <w:lang w:val="en-US" w:eastAsia="zh-CN" w:bidi="ar"/>
                <w:woUserID w:val="1"/>
              </w:rPr>
            </w:pPr>
            <w:r>
              <w:rPr>
                <w:rFonts w:hint="eastAsia" w:ascii="仿宋" w:hAnsi="仿宋" w:eastAsia="仿宋" w:cs="仿宋"/>
                <w:i w:val="0"/>
                <w:iCs w:val="0"/>
                <w:color w:val="000000"/>
                <w:kern w:val="0"/>
                <w:sz w:val="22"/>
                <w:szCs w:val="22"/>
                <w:u w:val="none"/>
                <w:lang w:val="en-US" w:eastAsia="zh-CN" w:bidi="ar"/>
              </w:rPr>
              <w:t>支持PC或者笔记本蓝牙5.0高速传输。兼容蓝牙4.0、4.1、4.2，传输距离大于等于10米，信号稳定、支持大数据量连续传输、支持WIN8/10/11系统。</w:t>
            </w:r>
          </w:p>
        </w:tc>
      </w:tr>
    </w:tbl>
    <w:p w14:paraId="5DEF9094">
      <w:pPr>
        <w:spacing w:line="360" w:lineRule="auto"/>
        <w:rPr>
          <w:rFonts w:hint="eastAsia" w:ascii="仿宋" w:hAnsi="仿宋" w:eastAsia="仿宋" w:cs="仿宋"/>
          <w:b/>
          <w:bCs/>
          <w:color w:val="000000" w:themeColor="text1"/>
          <w:sz w:val="22"/>
          <w:szCs w:val="22"/>
          <w:highlight w:val="none"/>
          <w:lang w:val="en-US" w:eastAsia="zh-CN"/>
          <w14:textFill>
            <w14:solidFill>
              <w14:schemeClr w14:val="tx1"/>
            </w14:solidFill>
          </w14:textFill>
        </w:rPr>
      </w:pPr>
      <w:r>
        <w:rPr>
          <w:rFonts w:hint="eastAsia" w:ascii="仿宋" w:hAnsi="仿宋" w:eastAsia="仿宋" w:cs="仿宋"/>
          <w:b/>
          <w:bCs/>
          <w:color w:val="000000" w:themeColor="text1"/>
          <w:sz w:val="22"/>
          <w:szCs w:val="22"/>
          <w:highlight w:val="none"/>
          <w:lang w:val="en-US" w:eastAsia="zh-CN"/>
          <w14:textFill>
            <w14:solidFill>
              <w14:schemeClr w14:val="tx1"/>
            </w14:solidFill>
          </w14:textFill>
        </w:rPr>
        <w:t>更正为：</w:t>
      </w:r>
    </w:p>
    <w:tbl>
      <w:tblPr>
        <w:tblStyle w:val="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6"/>
        <w:gridCol w:w="2567"/>
        <w:gridCol w:w="5339"/>
      </w:tblGrid>
      <w:tr w14:paraId="73CB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3"/>
            <w:tcBorders>
              <w:top w:val="single" w:color="000000" w:sz="4" w:space="0"/>
              <w:left w:val="single" w:color="000000" w:sz="4" w:space="0"/>
              <w:bottom w:val="single" w:color="000000" w:sz="4" w:space="0"/>
              <w:right w:val="single" w:color="000000" w:sz="4" w:space="0"/>
            </w:tcBorders>
            <w:noWrap/>
            <w:vAlign w:val="center"/>
          </w:tcPr>
          <w:p w14:paraId="57DB0C51">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1、教室名称：物理数字化探究实验仪器</w:t>
            </w:r>
          </w:p>
        </w:tc>
      </w:tr>
      <w:tr w14:paraId="497B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67F8D3E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6</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6464931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无线彩屏多量程电流传感器</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5BB3F0C9">
            <w:pPr>
              <w:keepNext w:val="0"/>
              <w:keepLines w:val="0"/>
              <w:widowControl/>
              <w:numPr>
                <w:ilvl w:val="0"/>
                <w:numId w:val="0"/>
              </w:numPr>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lang w:val="en-US" w:eastAsia="zh-CN" w:bidi="ar-SA"/>
              </w:rPr>
            </w:pPr>
            <w:r>
              <w:rPr>
                <w:rFonts w:hint="eastAsia" w:ascii="仿宋" w:hAnsi="仿宋" w:eastAsia="仿宋" w:cs="仿宋"/>
                <w:i w:val="0"/>
                <w:iCs w:val="0"/>
                <w:color w:val="auto"/>
                <w:kern w:val="0"/>
                <w:sz w:val="20"/>
                <w:szCs w:val="20"/>
                <w:highlight w:val="none"/>
                <w:u w:val="none"/>
                <w:lang w:val="en-US" w:eastAsia="zh-CN" w:bidi="ar"/>
              </w:rPr>
              <w:t>3、测量范围：≥-20mA～+20mA，分辨率：≤0.01mA。</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24Bit高精度高速采样， 精度：≤±1%F.S。</w:t>
            </w:r>
          </w:p>
        </w:tc>
      </w:tr>
      <w:tr w14:paraId="37C9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3"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0831BE0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lang w:val="en-US"/>
              </w:rPr>
            </w:pPr>
            <w:r>
              <w:rPr>
                <w:rFonts w:hint="eastAsia" w:ascii="仿宋" w:hAnsi="仿宋" w:eastAsia="仿宋" w:cs="仿宋"/>
                <w:i w:val="0"/>
                <w:iCs w:val="0"/>
                <w:color w:val="auto"/>
                <w:kern w:val="0"/>
                <w:sz w:val="22"/>
                <w:szCs w:val="22"/>
                <w:highlight w:val="none"/>
                <w:u w:val="none"/>
                <w:lang w:val="en-US" w:eastAsia="zh-CN" w:bidi="ar"/>
              </w:rPr>
              <w:t>22</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D1EAFD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法拉第电磁感应定律演示仪（II)</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3ABA006D">
            <w:pPr>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lang w:val="en-US" w:eastAsia="zh-CN" w:bidi="ar"/>
              </w:rPr>
              <w:t>1、</w:t>
            </w:r>
            <w:r>
              <w:rPr>
                <w:rFonts w:hint="eastAsia" w:ascii="仿宋" w:hAnsi="仿宋" w:eastAsia="仿宋" w:cs="仿宋"/>
                <w:i w:val="0"/>
                <w:iCs w:val="0"/>
                <w:color w:val="000000"/>
                <w:sz w:val="22"/>
                <w:szCs w:val="22"/>
                <w:highlight w:val="none"/>
                <w:u w:val="none"/>
                <w:lang w:val="en-US" w:eastAsia="zh-CN" w:bidi="ar"/>
              </w:rPr>
              <w:t>小螺母管≥600匝，电阻12欧姆； 大线圈≥1000匝，电阻34欧姆</w:t>
            </w:r>
            <w:r>
              <w:rPr>
                <w:rFonts w:hint="eastAsia" w:ascii="仿宋" w:hAnsi="仿宋" w:eastAsia="仿宋" w:cs="仿宋"/>
                <w:i w:val="0"/>
                <w:iCs w:val="0"/>
                <w:color w:val="000000"/>
                <w:sz w:val="22"/>
                <w:szCs w:val="22"/>
                <w:highlight w:val="none"/>
                <w:u w:val="none"/>
                <w:lang w:eastAsia="zh-CN" w:bidi="ar"/>
                <w:woUserID w:val="1"/>
              </w:rPr>
              <w:t>；智能电源*1</w:t>
            </w:r>
            <w:r>
              <w:rPr>
                <w:rFonts w:hint="eastAsia" w:ascii="仿宋" w:hAnsi="仿宋" w:eastAsia="仿宋" w:cs="仿宋"/>
                <w:i w:val="0"/>
                <w:iCs w:val="0"/>
                <w:color w:val="000000"/>
                <w:sz w:val="22"/>
                <w:szCs w:val="22"/>
                <w:highlight w:val="none"/>
                <w:u w:val="none"/>
                <w:lang w:val="en-US" w:eastAsia="zh-CN" w:bidi="ar"/>
              </w:rPr>
              <w:t>；</w:t>
            </w:r>
          </w:p>
          <w:p w14:paraId="261EBFE7">
            <w:pP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sz w:val="22"/>
                <w:szCs w:val="22"/>
                <w:lang w:val="en-US" w:eastAsia="zh-CN" w:bidi="ar-SA"/>
              </w:rPr>
              <w:t>2、</w:t>
            </w:r>
            <w:r>
              <w:rPr>
                <w:rFonts w:hint="eastAsia" w:ascii="仿宋" w:hAnsi="仿宋" w:eastAsia="仿宋" w:cs="仿宋"/>
                <w:i w:val="0"/>
                <w:iCs w:val="0"/>
                <w:color w:val="000000"/>
                <w:sz w:val="22"/>
                <w:szCs w:val="22"/>
                <w:highlight w:val="none"/>
                <w:u w:val="none"/>
                <w:lang w:eastAsia="zh-CN" w:bidi="ar"/>
                <w:woUserID w:val="1"/>
              </w:rPr>
              <w:t>内嵌无线电压磁二合一传感器*1，传感器内置蓝牙模块，能够实现无线功能</w:t>
            </w:r>
            <w:r>
              <w:rPr>
                <w:rFonts w:hint="eastAsia" w:ascii="仿宋" w:hAnsi="仿宋" w:eastAsia="仿宋" w:cs="仿宋"/>
                <w:i w:val="0"/>
                <w:iCs w:val="0"/>
                <w:color w:val="000000"/>
                <w:sz w:val="22"/>
                <w:szCs w:val="22"/>
                <w:highlight w:val="none"/>
                <w:u w:val="none"/>
                <w:lang w:eastAsia="zh-CN" w:bidi="ar"/>
              </w:rPr>
              <w:t>；</w:t>
            </w:r>
          </w:p>
          <w:p w14:paraId="45692E1F">
            <w:pP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000000"/>
                <w:sz w:val="22"/>
                <w:szCs w:val="22"/>
                <w:lang w:val="en-US" w:eastAsia="zh-CN" w:bidi="ar-SA"/>
              </w:rPr>
              <w:t>3、</w:t>
            </w:r>
            <w:r>
              <w:rPr>
                <w:rFonts w:hint="eastAsia" w:ascii="仿宋" w:hAnsi="仿宋" w:eastAsia="仿宋" w:cs="仿宋"/>
                <w:i w:val="0"/>
                <w:iCs w:val="0"/>
                <w:color w:val="000000"/>
                <w:sz w:val="22"/>
                <w:szCs w:val="22"/>
                <w:highlight w:val="none"/>
                <w:u w:val="none"/>
                <w:lang w:eastAsia="zh-CN" w:bidi="ar"/>
                <w:woUserID w:val="1"/>
              </w:rPr>
              <w:t>电压测量范围：≥-200mV～+200mV，内阻大于1MΩ，分辨率：≤0.001V 24Bit高精度高速采样；磁测量范围：≥-15mT～+15mT，分辨率：≤0.01mT；</w:t>
            </w:r>
          </w:p>
        </w:tc>
      </w:tr>
      <w:tr w14:paraId="18D9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6DD144EE">
            <w:pPr>
              <w:keepNext w:val="0"/>
              <w:keepLines w:val="0"/>
              <w:widowControl/>
              <w:suppressLineNumbers w:val="0"/>
              <w:ind w:left="0" w:leftChars="0" w:right="0" w:rightChars="0" w:firstLine="0" w:firstLineChars="0"/>
              <w:jc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4</w:t>
            </w:r>
            <w:r>
              <w:rPr>
                <w:rFonts w:hint="eastAsia" w:ascii="仿宋" w:hAnsi="仿宋" w:eastAsia="仿宋" w:cs="仿宋"/>
                <w:i w:val="0"/>
                <w:iCs w:val="0"/>
                <w:color w:val="000000"/>
                <w:sz w:val="22"/>
                <w:szCs w:val="22"/>
                <w:highlight w:val="none"/>
                <w:u w:val="none"/>
                <w:lang w:eastAsia="zh-CN" w:bidi="ar"/>
              </w:rPr>
              <w:t>6</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2DB009DC">
            <w:pPr>
              <w:keepNext w:val="0"/>
              <w:keepLines w:val="0"/>
              <w:widowControl/>
              <w:suppressLineNumbers w:val="0"/>
              <w:ind w:left="0" w:leftChars="0" w:right="0" w:rightChars="0" w:firstLine="0" w:firstLineChars="0"/>
              <w:jc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rPr>
              <w:t>无线蓝牙适配器</w:t>
            </w:r>
          </w:p>
        </w:tc>
        <w:tc>
          <w:tcPr>
            <w:tcW w:w="5339" w:type="dxa"/>
            <w:tcBorders>
              <w:top w:val="single" w:color="000000" w:sz="4" w:space="0"/>
              <w:left w:val="single" w:color="000000" w:sz="4" w:space="0"/>
              <w:bottom w:val="single" w:color="000000" w:sz="4" w:space="0"/>
              <w:right w:val="single" w:color="000000" w:sz="4" w:space="0"/>
            </w:tcBorders>
            <w:noWrap w:val="0"/>
            <w:vAlign w:val="center"/>
          </w:tcPr>
          <w:p w14:paraId="010AEFBD">
            <w:pPr>
              <w:keepNext w:val="0"/>
              <w:keepLines w:val="0"/>
              <w:widowControl/>
              <w:suppressLineNumbers w:val="0"/>
              <w:ind w:left="0" w:leftChars="0" w:right="0" w:rightChars="0" w:firstLine="0" w:firstLineChars="0"/>
              <w:jc w:val="left"/>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000000"/>
                <w:sz w:val="22"/>
                <w:szCs w:val="22"/>
                <w:highlight w:val="none"/>
                <w:u w:val="none"/>
                <w:lang w:val="en-US" w:eastAsia="zh-CN" w:bidi="ar"/>
                <w:woUserID w:val="1"/>
              </w:rPr>
              <w:t>支持PC或者笔记本蓝牙5.0高速传输。兼容蓝牙4.0、4.1、4.2，传输距离大于等于10米，信号稳定、支持大数据量连续传输、支持Windows、macOS、HarmonyOS、KylinOS和UOS等国产系统。</w:t>
            </w:r>
          </w:p>
        </w:tc>
      </w:tr>
      <w:tr w14:paraId="7976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3"/>
            <w:tcBorders>
              <w:top w:val="single" w:color="000000" w:sz="4" w:space="0"/>
              <w:left w:val="single" w:color="000000" w:sz="4" w:space="0"/>
              <w:bottom w:val="single" w:color="000000" w:sz="4" w:space="0"/>
              <w:right w:val="single" w:color="000000" w:sz="4" w:space="0"/>
            </w:tcBorders>
            <w:noWrap/>
            <w:vAlign w:val="center"/>
          </w:tcPr>
          <w:p w14:paraId="06AACAFB">
            <w:pPr>
              <w:keepNext w:val="0"/>
              <w:keepLines w:val="0"/>
              <w:widowControl/>
              <w:suppressLineNumbers w:val="0"/>
              <w:ind w:left="0" w:leftChars="0" w:right="0" w:rightChars="0" w:firstLine="0" w:firstLineChars="0"/>
              <w:jc w:val="left"/>
              <w:rPr>
                <w:rFonts w:hint="eastAsia" w:ascii="仿宋" w:hAnsi="仿宋" w:eastAsia="仿宋" w:cs="仿宋"/>
                <w:i w:val="0"/>
                <w:iCs w:val="0"/>
                <w:color w:val="000000"/>
                <w:sz w:val="22"/>
                <w:szCs w:val="22"/>
                <w:highlight w:val="none"/>
                <w:u w:val="none"/>
                <w:lang w:val="en-US" w:eastAsia="zh-CN" w:bidi="ar"/>
                <w:woUserID w:val="1"/>
              </w:rPr>
            </w:pPr>
            <w:r>
              <w:rPr>
                <w:rFonts w:hint="eastAsia" w:ascii="仿宋" w:hAnsi="仿宋" w:eastAsia="仿宋" w:cs="仿宋"/>
                <w:i w:val="0"/>
                <w:iCs w:val="0"/>
                <w:color w:val="000000"/>
                <w:sz w:val="22"/>
                <w:szCs w:val="22"/>
                <w:highlight w:val="none"/>
                <w:u w:val="none"/>
                <w:lang w:val="en-US" w:eastAsia="zh-CN" w:bidi="ar"/>
              </w:rPr>
              <w:t>2、教室名称：化学数字化探究实验仪器</w:t>
            </w:r>
          </w:p>
        </w:tc>
      </w:tr>
      <w:tr w14:paraId="5ABCD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6" w:type="dxa"/>
            <w:tcBorders>
              <w:top w:val="single" w:color="000000" w:sz="4" w:space="0"/>
              <w:left w:val="single" w:color="000000" w:sz="4" w:space="0"/>
              <w:bottom w:val="single" w:color="000000" w:sz="4" w:space="0"/>
              <w:right w:val="single" w:color="000000" w:sz="4" w:space="0"/>
            </w:tcBorders>
            <w:noWrap/>
            <w:vAlign w:val="center"/>
          </w:tcPr>
          <w:p w14:paraId="0E5F818F">
            <w:pPr>
              <w:keepNext w:val="0"/>
              <w:keepLines w:val="0"/>
              <w:widowControl/>
              <w:suppressLineNumbers w:val="0"/>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u w:val="none"/>
                <w:lang w:val="en-US" w:eastAsia="zh-CN" w:bidi="ar"/>
              </w:rPr>
              <w:t>2</w:t>
            </w:r>
          </w:p>
        </w:tc>
        <w:tc>
          <w:tcPr>
            <w:tcW w:w="2567" w:type="dxa"/>
            <w:tcBorders>
              <w:top w:val="single" w:color="000000" w:sz="4" w:space="0"/>
              <w:left w:val="single" w:color="000000" w:sz="4" w:space="0"/>
              <w:bottom w:val="single" w:color="000000" w:sz="4" w:space="0"/>
              <w:right w:val="single" w:color="000000" w:sz="4" w:space="0"/>
            </w:tcBorders>
            <w:noWrap w:val="0"/>
            <w:vAlign w:val="center"/>
          </w:tcPr>
          <w:p w14:paraId="354018F0">
            <w:pPr>
              <w:keepNext w:val="0"/>
              <w:keepLines w:val="0"/>
              <w:widowControl/>
              <w:suppressLineNumbers w:val="0"/>
              <w:jc w:val="left"/>
              <w:rPr>
                <w:rFonts w:hint="eastAsia" w:ascii="仿宋" w:hAnsi="仿宋" w:eastAsia="仿宋" w:cs="仿宋"/>
                <w:i w:val="0"/>
                <w:iCs w:val="0"/>
                <w:color w:val="000000"/>
                <w:sz w:val="22"/>
                <w:szCs w:val="22"/>
                <w:highlight w:val="none"/>
                <w:u w:val="none"/>
                <w:lang w:val="en-US" w:eastAsia="zh-CN" w:bidi="ar"/>
              </w:rPr>
            </w:pPr>
            <w:r>
              <w:rPr>
                <w:rFonts w:hint="eastAsia" w:ascii="仿宋" w:hAnsi="仿宋" w:eastAsia="仿宋" w:cs="仿宋"/>
                <w:i w:val="0"/>
                <w:iCs w:val="0"/>
                <w:color w:val="000000"/>
                <w:sz w:val="22"/>
                <w:szCs w:val="22"/>
                <w:u w:val="none"/>
                <w:lang w:val="en-US" w:eastAsia="zh-CN" w:bidi="ar"/>
              </w:rPr>
              <w:t>无线蓝牙适配器</w:t>
            </w:r>
          </w:p>
        </w:tc>
        <w:tc>
          <w:tcPr>
            <w:tcW w:w="5339" w:type="dxa"/>
            <w:tcBorders>
              <w:top w:val="single" w:color="000000" w:sz="4" w:space="0"/>
              <w:left w:val="single" w:color="000000" w:sz="4" w:space="0"/>
              <w:bottom w:val="single" w:color="000000" w:sz="4" w:space="0"/>
              <w:right w:val="single" w:color="000000" w:sz="4" w:space="0"/>
            </w:tcBorders>
            <w:noWrap w:val="0"/>
            <w:vAlign w:val="top"/>
          </w:tcPr>
          <w:p w14:paraId="2E63AEA5">
            <w:pPr>
              <w:keepNext w:val="0"/>
              <w:keepLines w:val="0"/>
              <w:widowControl/>
              <w:suppressLineNumbers w:val="0"/>
              <w:jc w:val="left"/>
              <w:rPr>
                <w:rFonts w:hint="eastAsia" w:ascii="仿宋" w:hAnsi="仿宋" w:eastAsia="仿宋" w:cs="仿宋"/>
                <w:i w:val="0"/>
                <w:iCs w:val="0"/>
                <w:color w:val="000000"/>
                <w:sz w:val="22"/>
                <w:szCs w:val="22"/>
                <w:highlight w:val="none"/>
                <w:u w:val="none"/>
                <w:lang w:val="en-US" w:eastAsia="zh-CN" w:bidi="ar"/>
                <w:woUserID w:val="1"/>
              </w:rPr>
            </w:pPr>
            <w:r>
              <w:rPr>
                <w:rFonts w:hint="eastAsia" w:ascii="仿宋" w:hAnsi="仿宋" w:eastAsia="仿宋" w:cs="仿宋"/>
                <w:i w:val="0"/>
                <w:iCs w:val="0"/>
                <w:color w:val="000000"/>
                <w:sz w:val="22"/>
                <w:szCs w:val="22"/>
                <w:highlight w:val="none"/>
                <w:u w:val="none"/>
                <w:lang w:val="en-US" w:eastAsia="zh-CN" w:bidi="ar"/>
              </w:rPr>
              <w:t>支持PC或者笔记本蓝牙5.0高速传输。兼容蓝牙4.0、4.1、4.2，传输距离大于等于10米，信号稳定、支持大数据量连续传输、支持</w:t>
            </w:r>
            <w:r>
              <w:rPr>
                <w:rFonts w:hint="eastAsia" w:ascii="仿宋" w:hAnsi="仿宋" w:eastAsia="仿宋" w:cs="仿宋"/>
                <w:i w:val="0"/>
                <w:iCs w:val="0"/>
                <w:color w:val="000000"/>
                <w:sz w:val="22"/>
                <w:szCs w:val="22"/>
                <w:highlight w:val="none"/>
                <w:u w:val="none"/>
                <w:lang w:val="en-US" w:eastAsia="zh-CN" w:bidi="ar"/>
                <w:woUserID w:val="1"/>
              </w:rPr>
              <w:t>Windows、macOS、HarmonyOS、KylinOS和UOS等国产系统</w:t>
            </w:r>
            <w:r>
              <w:rPr>
                <w:rFonts w:hint="eastAsia" w:ascii="仿宋" w:hAnsi="仿宋" w:eastAsia="仿宋" w:cs="仿宋"/>
                <w:i w:val="0"/>
                <w:iCs w:val="0"/>
                <w:color w:val="000000"/>
                <w:sz w:val="22"/>
                <w:szCs w:val="22"/>
                <w:highlight w:val="none"/>
                <w:u w:val="none"/>
                <w:lang w:val="en-US" w:eastAsia="zh-CN" w:bidi="ar"/>
              </w:rPr>
              <w:t>。</w:t>
            </w:r>
          </w:p>
        </w:tc>
      </w:tr>
    </w:tbl>
    <w:p w14:paraId="73562732">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p>
    <w:p w14:paraId="6ED0EA5F">
      <w:pPr>
        <w:spacing w:line="360" w:lineRule="auto"/>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删除：</w:t>
      </w:r>
      <w:r>
        <w:rPr>
          <w:rFonts w:hint="eastAsia" w:ascii="仿宋" w:hAnsi="仿宋" w:eastAsia="仿宋" w:cs="仿宋"/>
          <w:i w:val="0"/>
          <w:iCs w:val="0"/>
          <w:color w:val="auto"/>
          <w:kern w:val="0"/>
          <w:sz w:val="22"/>
          <w:szCs w:val="22"/>
          <w:highlight w:val="none"/>
          <w:u w:val="none"/>
          <w:lang w:val="en-US" w:eastAsia="zh-CN" w:bidi="ar"/>
        </w:rPr>
        <w:t>教室名称：物理数字化探究实验仪器中</w:t>
      </w:r>
      <w:r>
        <w:rPr>
          <w:rFonts w:hint="eastAsia" w:ascii="仿宋" w:hAnsi="仿宋" w:eastAsia="仿宋" w:cs="仿宋"/>
          <w:color w:val="000000" w:themeColor="text1"/>
          <w:sz w:val="22"/>
          <w:szCs w:val="22"/>
          <w:highlight w:val="none"/>
          <w:lang w:val="en-US" w:eastAsia="zh-CN"/>
          <w14:textFill>
            <w14:solidFill>
              <w14:schemeClr w14:val="tx1"/>
            </w14:solidFill>
          </w14:textFill>
        </w:rPr>
        <w:t>序号45.</w:t>
      </w:r>
      <w:r>
        <w:rPr>
          <w:rFonts w:hint="eastAsia" w:ascii="仿宋" w:hAnsi="仿宋" w:eastAsia="仿宋" w:cs="仿宋"/>
          <w:i w:val="0"/>
          <w:iCs w:val="0"/>
          <w:color w:val="auto"/>
          <w:kern w:val="0"/>
          <w:sz w:val="22"/>
          <w:szCs w:val="22"/>
          <w:highlight w:val="none"/>
          <w:u w:val="none"/>
          <w:lang w:val="en-US" w:eastAsia="zh-CN" w:bidi="ar"/>
        </w:rPr>
        <w:t>数据处理系统中的：</w:t>
      </w:r>
      <w:r>
        <w:rPr>
          <w:rFonts w:hint="eastAsia" w:ascii="仿宋" w:hAnsi="仿宋" w:eastAsia="仿宋" w:cs="仿宋"/>
          <w:i w:val="0"/>
          <w:iCs w:val="0"/>
          <w:color w:val="000000" w:themeColor="text1"/>
          <w:kern w:val="2"/>
          <w:sz w:val="22"/>
          <w:szCs w:val="22"/>
          <w:highlight w:val="none"/>
          <w:u w:val="none"/>
          <w:lang w:val="en-US" w:eastAsia="zh-CN" w:bidi="ar"/>
          <w14:textFill>
            <w14:solidFill>
              <w14:schemeClr w14:val="tx1"/>
            </w14:solidFill>
          </w14:textFill>
        </w:rPr>
        <w:t>集成式数据处理终端，可实现传感器数据采集、分析处理及存储等多功能的实验教学系统平台。</w:t>
      </w:r>
      <w:r>
        <w:rPr>
          <w:rFonts w:hint="eastAsia" w:ascii="仿宋" w:hAnsi="仿宋" w:eastAsia="仿宋" w:cs="仿宋"/>
          <w:i w:val="0"/>
          <w:iCs w:val="0"/>
          <w:color w:val="auto"/>
          <w:kern w:val="0"/>
          <w:sz w:val="22"/>
          <w:szCs w:val="22"/>
          <w:highlight w:val="none"/>
          <w:u w:val="none"/>
          <w:lang w:val="en-US" w:eastAsia="zh-CN" w:bidi="ar"/>
        </w:rPr>
        <w:t>终端硬件性能配置：处理器：不低于八核心处理器；存储：不低于8G+256GB；不小于11.1英寸显示屏；不小于8860mAh电池； 网络：Wi-FI6及以上 蓝牙：5.2以上。</w:t>
      </w:r>
    </w:p>
    <w:p w14:paraId="79F13D9A">
      <w:pPr>
        <w:spacing w:line="360" w:lineRule="auto"/>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删除：教室</w:t>
      </w:r>
      <w:r>
        <w:rPr>
          <w:rFonts w:hint="eastAsia" w:ascii="仿宋" w:hAnsi="仿宋" w:eastAsia="仿宋" w:cs="仿宋"/>
          <w:i w:val="0"/>
          <w:iCs w:val="0"/>
          <w:color w:val="000000"/>
          <w:sz w:val="22"/>
          <w:szCs w:val="22"/>
          <w:highlight w:val="none"/>
          <w:u w:val="none"/>
          <w:lang w:val="en-US" w:eastAsia="zh-CN" w:bidi="ar"/>
        </w:rPr>
        <w:t>名称：化学数字化探究实验仪器中</w:t>
      </w:r>
      <w:r>
        <w:rPr>
          <w:rFonts w:hint="eastAsia" w:ascii="仿宋" w:hAnsi="仿宋" w:eastAsia="仿宋" w:cs="仿宋"/>
          <w:i w:val="0"/>
          <w:iCs w:val="0"/>
          <w:color w:val="auto"/>
          <w:kern w:val="0"/>
          <w:sz w:val="22"/>
          <w:szCs w:val="22"/>
          <w:highlight w:val="none"/>
          <w:u w:val="none"/>
          <w:lang w:val="en-US" w:eastAsia="zh-CN" w:bidi="ar"/>
        </w:rPr>
        <w:t>序号1.</w:t>
      </w:r>
      <w:r>
        <w:rPr>
          <w:rFonts w:hint="eastAsia" w:ascii="仿宋" w:hAnsi="仿宋" w:eastAsia="仿宋" w:cs="仿宋"/>
          <w:i w:val="0"/>
          <w:iCs w:val="0"/>
          <w:color w:val="000000"/>
          <w:kern w:val="0"/>
          <w:sz w:val="22"/>
          <w:szCs w:val="22"/>
          <w:u w:val="none"/>
          <w:lang w:val="en-US" w:eastAsia="zh-CN" w:bidi="ar"/>
        </w:rPr>
        <w:t>数据处理系统中的：</w:t>
      </w:r>
      <w:r>
        <w:rPr>
          <w:rFonts w:hint="eastAsia" w:ascii="仿宋" w:hAnsi="仿宋" w:eastAsia="仿宋" w:cs="仿宋"/>
          <w:i w:val="0"/>
          <w:iCs w:val="0"/>
          <w:color w:val="000000" w:themeColor="text1"/>
          <w:kern w:val="2"/>
          <w:sz w:val="22"/>
          <w:szCs w:val="22"/>
          <w:highlight w:val="none"/>
          <w:u w:val="none"/>
          <w:lang w:val="en-US" w:eastAsia="zh-CN" w:bidi="ar"/>
          <w14:textFill>
            <w14:solidFill>
              <w14:schemeClr w14:val="tx1"/>
            </w14:solidFill>
          </w14:textFill>
        </w:rPr>
        <w:t>集成式数据处理终端，可实现传感器数据采集、分析处理及存储等多功能的实验教学系统平台。</w:t>
      </w:r>
      <w:r>
        <w:rPr>
          <w:rFonts w:hint="eastAsia" w:ascii="仿宋" w:hAnsi="仿宋" w:eastAsia="仿宋" w:cs="仿宋"/>
          <w:i w:val="0"/>
          <w:iCs w:val="0"/>
          <w:color w:val="000000"/>
          <w:kern w:val="0"/>
          <w:sz w:val="22"/>
          <w:szCs w:val="22"/>
          <w:u w:val="none"/>
          <w:lang w:val="en-US" w:eastAsia="zh-CN" w:bidi="ar"/>
        </w:rPr>
        <w:t>终端硬件性能配置标准：1、显示屏：屏幕尺寸≥14英寸，FHD全高清分辨率（≥1920×1080），IPS液晶显示面板，集成式处理方式。2、处理器：核心线程≥6核12线程处理器。3、内存：≥16GB。</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4、存储：≥512GB固态硬盘。</w:t>
      </w:r>
    </w:p>
    <w:p w14:paraId="63B88D5E">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5.请供应商按本更正公告附件中更正后的采购文件内容编制投标文件。</w:t>
      </w:r>
    </w:p>
    <w:p w14:paraId="3E7E7AC0">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14:textFill>
            <w14:solidFill>
              <w14:schemeClr w14:val="tx1"/>
            </w14:solidFill>
          </w14:textFill>
        </w:rPr>
        <w:t>更正日期：</w:t>
      </w:r>
      <w:r>
        <w:rPr>
          <w:rFonts w:hint="eastAsia" w:ascii="仿宋" w:hAnsi="仿宋" w:eastAsia="仿宋" w:cs="仿宋"/>
          <w:color w:val="000000" w:themeColor="text1"/>
          <w:sz w:val="22"/>
          <w:szCs w:val="22"/>
          <w:highlight w:val="none"/>
          <w:lang w:val="en-US" w:eastAsia="zh-CN"/>
          <w14:textFill>
            <w14:solidFill>
              <w14:schemeClr w14:val="tx1"/>
            </w14:solidFill>
          </w14:textFill>
        </w:rPr>
        <w:t>2026年9月17 日</w:t>
      </w:r>
    </w:p>
    <w:p w14:paraId="58511C7C">
      <w:pPr>
        <w:spacing w:line="360" w:lineRule="auto"/>
        <w:rPr>
          <w:rFonts w:hint="eastAsia" w:ascii="仿宋" w:hAnsi="仿宋" w:eastAsia="仿宋" w:cs="仿宋"/>
          <w:b/>
          <w:bCs/>
          <w:color w:val="000000" w:themeColor="text1"/>
          <w:sz w:val="22"/>
          <w:szCs w:val="22"/>
          <w:highlight w:val="none"/>
          <w14:textFill>
            <w14:solidFill>
              <w14:schemeClr w14:val="tx1"/>
            </w14:solidFill>
          </w14:textFill>
        </w:rPr>
      </w:pPr>
      <w:r>
        <w:rPr>
          <w:rFonts w:hint="eastAsia" w:ascii="仿宋" w:hAnsi="仿宋" w:eastAsia="仿宋" w:cs="仿宋"/>
          <w:b/>
          <w:bCs/>
          <w:color w:val="000000" w:themeColor="text1"/>
          <w:sz w:val="22"/>
          <w:szCs w:val="22"/>
          <w:highlight w:val="none"/>
          <w14:textFill>
            <w14:solidFill>
              <w14:schemeClr w14:val="tx1"/>
            </w14:solidFill>
          </w14:textFill>
        </w:rPr>
        <w:t>三、其他补充事宜</w:t>
      </w:r>
    </w:p>
    <w:p w14:paraId="3EE32B46">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无</w:t>
      </w:r>
    </w:p>
    <w:p w14:paraId="738E3764">
      <w:pPr>
        <w:spacing w:line="360" w:lineRule="auto"/>
        <w:rPr>
          <w:rFonts w:hint="eastAsia" w:ascii="仿宋" w:hAnsi="仿宋" w:eastAsia="仿宋" w:cs="仿宋"/>
          <w:b/>
          <w:bCs/>
          <w:color w:val="000000" w:themeColor="text1"/>
          <w:sz w:val="22"/>
          <w:szCs w:val="22"/>
          <w:highlight w:val="none"/>
          <w14:textFill>
            <w14:solidFill>
              <w14:schemeClr w14:val="tx1"/>
            </w14:solidFill>
          </w14:textFill>
        </w:rPr>
      </w:pPr>
      <w:r>
        <w:rPr>
          <w:rFonts w:hint="eastAsia" w:ascii="仿宋" w:hAnsi="仿宋" w:eastAsia="仿宋" w:cs="仿宋"/>
          <w:b/>
          <w:bCs/>
          <w:color w:val="000000" w:themeColor="text1"/>
          <w:sz w:val="22"/>
          <w:szCs w:val="22"/>
          <w:highlight w:val="none"/>
          <w14:textFill>
            <w14:solidFill>
              <w14:schemeClr w14:val="tx1"/>
            </w14:solidFill>
          </w14:textFill>
        </w:rPr>
        <w:t>四、凡对本次公告内容提出询问，请按以下方式联系。</w:t>
      </w:r>
    </w:p>
    <w:p w14:paraId="3AA9319A">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1.采购人信息</w:t>
      </w:r>
    </w:p>
    <w:p w14:paraId="7AF8E37B">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名称：南京师范大学附属中学</w:t>
      </w:r>
    </w:p>
    <w:p w14:paraId="156CFD5A">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地址：南京市察哈尔路37号</w:t>
      </w:r>
    </w:p>
    <w:p w14:paraId="38A62E74">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联系方式：柏主任025-83469016</w:t>
      </w:r>
    </w:p>
    <w:p w14:paraId="253BE130">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2.采购代理机构信息</w:t>
      </w:r>
    </w:p>
    <w:p w14:paraId="02B1A90B">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名称：江苏嘉里工程咨询有限公司</w:t>
      </w:r>
    </w:p>
    <w:p w14:paraId="210378AD">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 xml:space="preserve">地址：南京市玄武区长江路99号长江贸易大楼1005室 </w:t>
      </w:r>
    </w:p>
    <w:p w14:paraId="7F6A53E2">
      <w:pPr>
        <w:spacing w:line="360" w:lineRule="auto"/>
        <w:rPr>
          <w:rFonts w:hint="eastAsia" w:ascii="仿宋" w:hAnsi="仿宋" w:eastAsia="仿宋" w:cs="仿宋"/>
          <w:color w:val="000000" w:themeColor="text1"/>
          <w:sz w:val="22"/>
          <w:szCs w:val="22"/>
          <w:highlight w:val="none"/>
          <w:lang w:val="en-US" w:eastAsia="zh-CN"/>
          <w14:textFill>
            <w14:solidFill>
              <w14:schemeClr w14:val="tx1"/>
            </w14:solidFill>
          </w14:textFill>
        </w:rPr>
      </w:pPr>
      <w:r>
        <w:rPr>
          <w:rFonts w:hint="eastAsia" w:ascii="仿宋" w:hAnsi="仿宋" w:eastAsia="仿宋" w:cs="仿宋"/>
          <w:color w:val="000000" w:themeColor="text1"/>
          <w:sz w:val="22"/>
          <w:szCs w:val="22"/>
          <w:highlight w:val="none"/>
          <w:lang w:val="en-US" w:eastAsia="zh-CN"/>
          <w14:textFill>
            <w14:solidFill>
              <w14:schemeClr w14:val="tx1"/>
            </w14:solidFill>
          </w14:textFill>
        </w:rPr>
        <w:t xml:space="preserve">联系方式： 袁工18752094221 </w:t>
      </w:r>
    </w:p>
    <w:p w14:paraId="4D7FF3E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136AC"/>
    <w:rsid w:val="015D6BAC"/>
    <w:rsid w:val="027435A8"/>
    <w:rsid w:val="028A7F6C"/>
    <w:rsid w:val="05300538"/>
    <w:rsid w:val="05E10046"/>
    <w:rsid w:val="082F287B"/>
    <w:rsid w:val="0A994E89"/>
    <w:rsid w:val="0F2721A6"/>
    <w:rsid w:val="0F4679FA"/>
    <w:rsid w:val="101E5B5C"/>
    <w:rsid w:val="10822A1D"/>
    <w:rsid w:val="10CD52E9"/>
    <w:rsid w:val="11484717"/>
    <w:rsid w:val="14346C48"/>
    <w:rsid w:val="16580887"/>
    <w:rsid w:val="167B2E3D"/>
    <w:rsid w:val="19BE05FC"/>
    <w:rsid w:val="1A0C00DA"/>
    <w:rsid w:val="1B2220F0"/>
    <w:rsid w:val="1B780E60"/>
    <w:rsid w:val="1C551602"/>
    <w:rsid w:val="1D6D1ED1"/>
    <w:rsid w:val="1FC508AF"/>
    <w:rsid w:val="203B0E76"/>
    <w:rsid w:val="231F27E0"/>
    <w:rsid w:val="232D5345"/>
    <w:rsid w:val="29EA7688"/>
    <w:rsid w:val="2B2B601A"/>
    <w:rsid w:val="2B496BF1"/>
    <w:rsid w:val="2E4032D3"/>
    <w:rsid w:val="2EAB6DE2"/>
    <w:rsid w:val="34711390"/>
    <w:rsid w:val="36051C95"/>
    <w:rsid w:val="375825CC"/>
    <w:rsid w:val="37FA215C"/>
    <w:rsid w:val="390D035C"/>
    <w:rsid w:val="39F063F4"/>
    <w:rsid w:val="39F33289"/>
    <w:rsid w:val="3A986BDB"/>
    <w:rsid w:val="3CAB46E7"/>
    <w:rsid w:val="3D1C2E61"/>
    <w:rsid w:val="3EAB1A5E"/>
    <w:rsid w:val="3ECB08A5"/>
    <w:rsid w:val="3F572B2A"/>
    <w:rsid w:val="41B716A9"/>
    <w:rsid w:val="45F428E0"/>
    <w:rsid w:val="46BF70C9"/>
    <w:rsid w:val="47F07F68"/>
    <w:rsid w:val="50D926A1"/>
    <w:rsid w:val="53585940"/>
    <w:rsid w:val="560C0A5E"/>
    <w:rsid w:val="5627600E"/>
    <w:rsid w:val="58535244"/>
    <w:rsid w:val="5A3066A5"/>
    <w:rsid w:val="5C0C055A"/>
    <w:rsid w:val="611430D1"/>
    <w:rsid w:val="636F3548"/>
    <w:rsid w:val="64607667"/>
    <w:rsid w:val="658B3340"/>
    <w:rsid w:val="671E6DC4"/>
    <w:rsid w:val="672476E2"/>
    <w:rsid w:val="6C3E01AA"/>
    <w:rsid w:val="6E4E5595"/>
    <w:rsid w:val="6F22020C"/>
    <w:rsid w:val="72976F9D"/>
    <w:rsid w:val="72AD42B0"/>
    <w:rsid w:val="739765FA"/>
    <w:rsid w:val="76845770"/>
    <w:rsid w:val="772B6048"/>
    <w:rsid w:val="786164FB"/>
    <w:rsid w:val="7B1A2C93"/>
    <w:rsid w:val="7BC279D4"/>
    <w:rsid w:val="7EDA614E"/>
    <w:rsid w:val="7FF97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Indent"/>
    <w:basedOn w:val="1"/>
    <w:next w:val="1"/>
    <w:qFormat/>
    <w:uiPriority w:val="99"/>
    <w:pPr>
      <w:spacing w:after="120"/>
      <w:ind w:left="420" w:leftChars="200"/>
    </w:pPr>
    <w:rPr>
      <w:kern w:val="0"/>
      <w:sz w:val="24"/>
    </w:rPr>
  </w:style>
  <w:style w:type="paragraph" w:styleId="6">
    <w:name w:val="Plain Text"/>
    <w:basedOn w:val="1"/>
    <w:qFormat/>
    <w:uiPriority w:val="0"/>
    <w:rPr>
      <w:rFonts w:ascii="宋体" w:hAnsi="Courier New" w:eastAsiaTheme="minorEastAsia" w:cstheme="minorBidi"/>
      <w:szCs w:val="22"/>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autoRedefine/>
    <w:qFormat/>
    <w:uiPriority w:val="34"/>
    <w:pPr>
      <w:spacing w:line="360" w:lineRule="auto"/>
      <w:ind w:firstLine="420" w:firstLineChars="200"/>
    </w:pPr>
    <w:rPr>
      <w:rFonts w:ascii="Calibri" w:hAnsi="Calibri"/>
      <w:kern w:val="0"/>
      <w:sz w:val="20"/>
      <w:szCs w:val="20"/>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sz w:val="24"/>
    </w:rPr>
  </w:style>
  <w:style w:type="paragraph" w:customStyle="1" w:styleId="13">
    <w:name w:val="正文首行缩进 21"/>
    <w:basedOn w:val="14"/>
    <w:next w:val="1"/>
    <w:qFormat/>
    <w:uiPriority w:val="0"/>
    <w:pPr>
      <w:ind w:firstLine="420"/>
    </w:pPr>
    <w:rPr>
      <w:rFonts w:ascii="Calibri" w:hAnsi="Calibri" w:cs="Calibri"/>
      <w:szCs w:val="24"/>
    </w:rPr>
  </w:style>
  <w:style w:type="paragraph" w:customStyle="1" w:styleId="14">
    <w:name w:val="正文文本缩进12"/>
    <w:basedOn w:val="1"/>
    <w:next w:val="15"/>
    <w:qFormat/>
    <w:uiPriority w:val="0"/>
    <w:pPr>
      <w:ind w:firstLine="645"/>
    </w:pPr>
    <w:rPr>
      <w:rFonts w:ascii="方正楷体_GB2312" w:eastAsia="方正楷体_GB2312"/>
      <w:sz w:val="32"/>
    </w:rPr>
  </w:style>
  <w:style w:type="paragraph" w:customStyle="1" w:styleId="15">
    <w:name w:val="寄信人地址11"/>
    <w:basedOn w:val="1"/>
    <w:qFormat/>
    <w:uiPriority w:val="0"/>
    <w:rPr>
      <w:rFonts w:ascii="Arial" w:hAnsi="Arial"/>
    </w:rPr>
  </w:style>
  <w:style w:type="paragraph" w:customStyle="1" w:styleId="16">
    <w:name w:val="页眉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17">
    <w:name w:val="页脚1"/>
    <w:basedOn w:val="1"/>
    <w:unhideWhenUsed/>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636</Words>
  <Characters>735</Characters>
  <Lines>0</Lines>
  <Paragraphs>0</Paragraphs>
  <TotalTime>10</TotalTime>
  <ScaleCrop>false</ScaleCrop>
  <LinksUpToDate>false</LinksUpToDate>
  <CharactersWithSpaces>745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2026-02-28T05:46:00Z</dcterms:created>
  <dc:creator>PC</dc:creator>
  <cp:lastModifiedBy>pz</cp:lastModifiedBy>
  <dcterms:modified xsi:type="dcterms:W3CDTF">2026-09-17T04:41:33Z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eyJoZGlkIjoiNjE4M2EyZGMzZDhlM2MzYzMwNTViYTc0NjU5NmI5ZGQiLCJ1c2VySWQiOiIyMjg1MjU4OTUifQ==</vt:lpwstr>
  </property>
  <property fmtid="{D5CDD505-2E9C-101B-9397-08002B2CF9AE}" pid="4" name="ICV">
    <vt:lpwstr>DC1576033EE4452493CAE17CD0A8F5CA_13</vt:lpwstr>
  </property>
</Properties>
</file>