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jc w:val="left"/>
        <w:keepNex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12"/>
        <w:ind w:firstLine="0"/>
        <w:jc w:val="center"/>
        <w:keepNext/>
        <w:rPr>
          <w:rFonts w:hint="eastAsia" w:eastAsia="黑体"/>
          <w:b/>
          <w:bCs/>
          <w:sz w:val="84"/>
        </w:rPr>
      </w:pPr>
      <w:r>
        <w:rPr>
          <w:rFonts w:hint="eastAsia" w:eastAsia="黑体"/>
          <w:b/>
          <w:bCs/>
          <w:sz w:val="84"/>
        </w:rPr>
        <w:t xml:space="preserve">招　标　文　件</w:t>
      </w:r>
      <w:r/>
    </w:p>
    <w:p>
      <w:pPr>
        <w:pStyle w:val="769"/>
        <w:ind w:firstLine="1285"/>
        <w:keepNext/>
        <w:rPr>
          <w:rFonts w:ascii="Arial" w:hAnsi="Arial"/>
          <w:b/>
          <w:bCs/>
          <w:sz w:val="32"/>
          <w:szCs w:val="24"/>
        </w:rPr>
      </w:pPr>
      <w:r>
        <w:rPr>
          <w:rFonts w:ascii="Arial" w:hAnsi="Arial"/>
          <w:b/>
          <w:bCs/>
          <w:sz w:val="32"/>
          <w:szCs w:val="24"/>
        </w:rPr>
      </w:r>
      <w:r/>
    </w:p>
    <w:p>
      <w:pPr>
        <w:pStyle w:val="769"/>
        <w:ind w:firstLine="1285"/>
        <w:keepNext/>
        <w:rPr>
          <w:rFonts w:ascii="Arial" w:hAnsi="Arial"/>
          <w:b/>
          <w:bCs/>
          <w:sz w:val="32"/>
          <w:szCs w:val="24"/>
        </w:rPr>
      </w:pPr>
      <w:r>
        <w:rPr>
          <w:rFonts w:ascii="Arial" w:hAnsi="Arial"/>
          <w:b/>
          <w:bCs/>
          <w:sz w:val="32"/>
          <w:szCs w:val="24"/>
        </w:rPr>
      </w:r>
      <w:r/>
    </w:p>
    <w:p>
      <w:pPr>
        <w:pStyle w:val="769"/>
        <w:ind w:firstLine="1285"/>
        <w:keepNext/>
        <w:rPr>
          <w:rFonts w:ascii="Arial" w:hAnsi="Arial"/>
          <w:b/>
          <w:bCs/>
          <w:sz w:val="32"/>
          <w:szCs w:val="24"/>
        </w:rPr>
      </w:pPr>
      <w:r>
        <w:rPr>
          <w:rFonts w:ascii="Arial" w:hAnsi="Arial"/>
          <w:b/>
          <w:bCs/>
          <w:sz w:val="32"/>
          <w:szCs w:val="24"/>
        </w:rPr>
      </w:r>
      <w:r/>
    </w:p>
    <w:p>
      <w:pPr>
        <w:pStyle w:val="769"/>
        <w:ind w:firstLine="1285"/>
        <w:keepNext/>
        <w:rPr>
          <w:rFonts w:hint="eastAsia" w:ascii="Arial" w:hAnsi="Arial"/>
          <w:b/>
          <w:bCs/>
          <w:sz w:val="32"/>
          <w:szCs w:val="24"/>
          <w:u w:val="single"/>
        </w:rPr>
      </w:pPr>
      <w:r>
        <w:rPr>
          <w:rFonts w:hint="eastAsia" w:ascii="Arial" w:hAnsi="Arial"/>
          <w:b/>
          <w:bCs/>
          <w:sz w:val="32"/>
          <w:szCs w:val="24"/>
        </w:rPr>
        <w:t xml:space="preserve">项目名称：</w:t>
      </w:r>
      <w:r>
        <w:rPr>
          <w:rFonts w:hint="eastAsia"/>
          <w:b/>
          <w:sz w:val="32"/>
          <w:szCs w:val="32"/>
        </w:rPr>
        <w:t xml:space="preserve">多校普通教室及功能室教学设备</w:t>
      </w:r>
      <w:r>
        <w:rPr>
          <w:rFonts w:hint="eastAsia" w:ascii="Arial" w:hAnsi="Arial"/>
          <w:b/>
          <w:bCs/>
          <w:sz w:val="32"/>
          <w:szCs w:val="24"/>
          <w:u w:val="single"/>
        </w:rPr>
      </w:r>
      <w:r/>
    </w:p>
    <w:p>
      <w:pPr>
        <w:pStyle w:val="769"/>
        <w:ind w:firstLine="1606"/>
        <w:jc w:val="left"/>
        <w:keepNext/>
        <w:spacing w:before="120" w:after="120" w:line="360" w:lineRule="auto"/>
        <w:rPr>
          <w:rFonts w:hint="eastAsia" w:ascii="Arial" w:hAnsi="Arial"/>
          <w:b/>
          <w:bCs/>
          <w:sz w:val="32"/>
          <w:szCs w:val="24"/>
        </w:rPr>
      </w:pPr>
      <w:r>
        <w:rPr>
          <w:rFonts w:hint="eastAsia" w:ascii="Arial" w:hAnsi="Arial"/>
          <w:b/>
          <w:bCs/>
          <w:sz w:val="32"/>
          <w:szCs w:val="24"/>
        </w:rPr>
      </w:r>
      <w:r/>
    </w:p>
    <w:p>
      <w:pPr>
        <w:pStyle w:val="769"/>
        <w:ind w:firstLine="1285"/>
        <w:jc w:val="left"/>
        <w:keepNext/>
        <w:spacing w:before="120" w:after="120" w:line="360" w:lineRule="auto"/>
        <w:rPr>
          <w:rFonts w:hint="eastAsia"/>
          <w:b/>
          <w:sz w:val="32"/>
          <w:szCs w:val="32"/>
        </w:rPr>
      </w:pPr>
      <w:r>
        <w:rPr>
          <w:rFonts w:hint="eastAsia"/>
          <w:b/>
          <w:sz w:val="32"/>
          <w:szCs w:val="32"/>
        </w:rPr>
        <w:t xml:space="preserve">项目编号：</w:t>
      </w:r>
      <w:r>
        <w:rPr>
          <w:b/>
          <w:sz w:val="32"/>
          <w:szCs w:val="32"/>
        </w:rPr>
        <w:t xml:space="preserve">JSZC-320116-RJGC-G2026-0007</w:t>
      </w:r>
      <w:r>
        <w:rPr>
          <w:rFonts w:hint="eastAsia"/>
          <w:b/>
          <w:sz w:val="32"/>
          <w:szCs w:val="32"/>
        </w:rPr>
      </w:r>
      <w:r/>
    </w:p>
    <w:p>
      <w:pPr>
        <w:pStyle w:val="769"/>
        <w:jc w:val="left"/>
        <w:keepNext/>
        <w:spacing w:line="360" w:lineRule="auto"/>
        <w:rPr>
          <w:rFonts w:hint="eastAsia" w:ascii="宋体" w:hAnsi="宋体"/>
          <w:sz w:val="24"/>
          <w:szCs w:val="24"/>
        </w:rPr>
      </w:pPr>
      <w:r>
        <w:rPr>
          <w:rFonts w:hint="eastAsia" w:ascii="宋体" w:hAnsi="宋体"/>
          <w:sz w:val="24"/>
          <w:szCs w:val="24"/>
        </w:rPr>
      </w:r>
      <w:r/>
    </w:p>
    <w:p>
      <w:pPr>
        <w:pStyle w:val="769"/>
        <w:jc w:val="left"/>
        <w:keepNext/>
        <w:spacing w:line="360" w:lineRule="auto"/>
        <w:rPr>
          <w:rFonts w:hint="eastAsia" w:ascii="宋体" w:hAnsi="宋体"/>
          <w:sz w:val="24"/>
          <w:szCs w:val="24"/>
        </w:rPr>
      </w:pPr>
      <w:r>
        <w:rPr>
          <w:rFonts w:hint="eastAsia" w:ascii="宋体" w:hAnsi="宋体"/>
          <w:sz w:val="24"/>
          <w:szCs w:val="24"/>
        </w:rPr>
      </w:r>
      <w:r/>
    </w:p>
    <w:p>
      <w:pPr>
        <w:pStyle w:val="769"/>
        <w:jc w:val="left"/>
        <w:keepNext/>
        <w:spacing w:line="360" w:lineRule="auto"/>
        <w:rPr>
          <w:rFonts w:hint="eastAsia" w:ascii="宋体" w:hAnsi="宋体"/>
          <w:sz w:val="24"/>
          <w:szCs w:val="24"/>
        </w:rPr>
      </w:pPr>
      <w:r>
        <w:rPr>
          <w:rFonts w:hint="eastAsia" w:ascii="宋体" w:hAnsi="宋体"/>
          <w:sz w:val="24"/>
          <w:szCs w:val="24"/>
        </w:rPr>
      </w:r>
      <w:r/>
    </w:p>
    <w:p>
      <w:pPr>
        <w:pStyle w:val="769"/>
        <w:jc w:val="left"/>
        <w:keepNext/>
        <w:spacing w:line="360" w:lineRule="auto"/>
        <w:rPr>
          <w:rFonts w:hint="eastAsia" w:ascii="宋体" w:hAnsi="宋体"/>
          <w:sz w:val="24"/>
          <w:szCs w:val="24"/>
        </w:rPr>
      </w:pPr>
      <w:r>
        <w:rPr>
          <w:rFonts w:hint="eastAsia" w:ascii="宋体" w:hAnsi="宋体"/>
          <w:sz w:val="24"/>
          <w:szCs w:val="24"/>
        </w:rPr>
      </w:r>
      <w:r/>
    </w:p>
    <w:p>
      <w:pPr>
        <w:pStyle w:val="769"/>
        <w:jc w:val="left"/>
        <w:keepNext/>
        <w:spacing w:line="360" w:lineRule="auto"/>
        <w:rPr>
          <w:rFonts w:hint="eastAsia" w:ascii="宋体" w:hAnsi="宋体"/>
          <w:sz w:val="24"/>
          <w:szCs w:val="24"/>
        </w:rPr>
      </w:pPr>
      <w:r>
        <w:rPr>
          <w:rFonts w:hint="eastAsia" w:ascii="宋体" w:hAnsi="宋体"/>
          <w:sz w:val="24"/>
          <w:szCs w:val="24"/>
        </w:rPr>
      </w:r>
      <w:r/>
    </w:p>
    <w:p>
      <w:pPr>
        <w:pStyle w:val="769"/>
        <w:jc w:val="left"/>
        <w:keepNext/>
        <w:spacing w:line="360" w:lineRule="auto"/>
        <w:rPr>
          <w:rFonts w:hint="eastAsia" w:ascii="宋体" w:hAnsi="宋体"/>
          <w:sz w:val="24"/>
          <w:szCs w:val="24"/>
        </w:rPr>
      </w:pPr>
      <w:r>
        <w:rPr>
          <w:rFonts w:hint="eastAsia" w:ascii="宋体" w:hAnsi="宋体"/>
          <w:sz w:val="24"/>
          <w:szCs w:val="24"/>
        </w:rPr>
      </w:r>
      <w:r/>
    </w:p>
    <w:p>
      <w:pPr>
        <w:pStyle w:val="769"/>
        <w:jc w:val="left"/>
        <w:keepNext/>
        <w:spacing w:line="360" w:lineRule="auto"/>
        <w:rPr>
          <w:rFonts w:hint="eastAsia" w:ascii="宋体" w:hAnsi="宋体"/>
          <w:sz w:val="24"/>
          <w:szCs w:val="24"/>
        </w:rPr>
      </w:pPr>
      <w:r>
        <w:rPr>
          <w:rFonts w:hint="eastAsia" w:ascii="宋体" w:hAnsi="宋体"/>
          <w:sz w:val="24"/>
          <w:szCs w:val="24"/>
        </w:rPr>
      </w:r>
      <w:r/>
    </w:p>
    <w:p>
      <w:pPr>
        <w:pStyle w:val="769"/>
        <w:ind w:firstLine="1285"/>
        <w:keepNext/>
        <w:rPr>
          <w:rFonts w:hint="eastAsia" w:ascii="Arial" w:hAnsi="Arial"/>
          <w:b/>
          <w:bCs/>
          <w:sz w:val="32"/>
          <w:szCs w:val="24"/>
        </w:rPr>
      </w:pPr>
      <w:r>
        <w:rPr>
          <w:rFonts w:hint="eastAsia" w:ascii="Arial" w:hAnsi="Arial"/>
          <w:b/>
          <w:bCs/>
          <w:sz w:val="32"/>
          <w:szCs w:val="24"/>
        </w:rPr>
        <w:t xml:space="preserve">采购代理机构：南京润捷工程项目管理有限公司</w:t>
      </w:r>
      <w:r/>
    </w:p>
    <w:p>
      <w:pPr>
        <w:pStyle w:val="769"/>
        <w:ind w:firstLine="1285"/>
        <w:keepNext/>
        <w:rPr>
          <w:rFonts w:hint="eastAsia" w:ascii="Arial" w:hAnsi="Arial"/>
          <w:b/>
          <w:bCs/>
          <w:sz w:val="32"/>
          <w:szCs w:val="24"/>
        </w:rPr>
      </w:pPr>
      <w:r>
        <w:rPr>
          <w:rFonts w:hint="eastAsia" w:ascii="Arial" w:hAnsi="Arial"/>
          <w:b/>
          <w:bCs/>
          <w:sz w:val="32"/>
          <w:szCs w:val="24"/>
        </w:rPr>
        <w:t xml:space="preserve">采购人：南京市六合区教育局</w:t>
      </w:r>
      <w:r/>
    </w:p>
    <w:p>
      <w:pPr>
        <w:pStyle w:val="769"/>
        <w:ind w:firstLine="2891"/>
        <w:keepNext/>
        <w:rPr>
          <w:rFonts w:hint="eastAsia" w:ascii="Arial" w:hAnsi="Arial"/>
          <w:b/>
          <w:bCs/>
          <w:sz w:val="32"/>
          <w:szCs w:val="24"/>
        </w:rPr>
      </w:pPr>
      <w:r>
        <w:rPr>
          <w:rFonts w:hint="eastAsia" w:ascii="Arial" w:hAnsi="Arial"/>
          <w:b/>
          <w:bCs/>
          <w:sz w:val="32"/>
          <w:szCs w:val="24"/>
        </w:rPr>
        <w:t xml:space="preserve">2026年</w:t>
      </w:r>
      <w:r>
        <w:rPr>
          <w:rFonts w:hint="eastAsia" w:ascii="Arial" w:hAnsi="Arial"/>
          <w:b/>
          <w:bCs/>
          <w:sz w:val="32"/>
          <w:szCs w:val="24"/>
        </w:rPr>
        <w:t xml:space="preserve">9</w:t>
      </w:r>
      <w:r>
        <w:rPr>
          <w:rFonts w:hint="eastAsia" w:ascii="Arial" w:hAnsi="Arial"/>
          <w:b/>
          <w:bCs/>
          <w:sz w:val="32"/>
          <w:szCs w:val="24"/>
        </w:rPr>
        <w:t xml:space="preserve">月</w:t>
      </w:r>
      <w:r/>
    </w:p>
    <w:p>
      <w:pPr>
        <w:pStyle w:val="769"/>
        <w:jc w:val="left"/>
        <w:keepNex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69"/>
        <w:keepNext/>
        <w:spacing w:line="480" w:lineRule="exact"/>
        <w:rPr>
          <w:rFonts w:hint="eastAsia" w:ascii="宋体" w:hAnsi="宋体" w:cs="宋体"/>
          <w:b/>
          <w:bCs/>
          <w:sz w:val="24"/>
          <w:szCs w:val="24"/>
        </w:rPr>
        <w:outlineLvl w:val="0"/>
      </w:pPr>
      <w:r>
        <w:rPr>
          <w:rFonts w:hint="eastAsia" w:ascii="宋体" w:hAnsi="宋体" w:cs="宋体"/>
          <w:b/>
          <w:bCs/>
          <w:sz w:val="24"/>
          <w:szCs w:val="24"/>
        </w:rPr>
      </w:r>
      <w:r/>
    </w:p>
    <w:p>
      <w:pPr>
        <w:pStyle w:val="769"/>
        <w:ind w:right="840"/>
        <w:jc w:val="center"/>
        <w:keepNext/>
        <w:rPr>
          <w:rFonts w:hint="eastAsia" w:ascii="方正小标宋简体" w:hAnsi="方正小标宋简体" w:eastAsia="方正小标宋简体" w:cs="方正小标宋简体"/>
          <w:sz w:val="36"/>
          <w:szCs w:val="36"/>
        </w:rPr>
      </w:pPr>
      <w:r>
        <w:rPr>
          <w:szCs w:val="21"/>
        </w:rPr>
        <w:br w:type="page" w:clear="all"/>
      </w:r>
      <w:bookmarkStart w:id="0" w:name="_Toc523127445"/>
      <w:r/>
      <w:bookmarkStart w:id="1" w:name="_Toc16938516"/>
      <w:r/>
      <w:bookmarkStart w:id="2" w:name="_Toc20823272"/>
      <w:r/>
      <w:bookmarkStart w:id="3" w:name="_Toc479757206"/>
      <w:r/>
      <w:bookmarkStart w:id="4" w:name="_Toc513029200"/>
      <w:r/>
      <w:bookmarkStart w:id="5" w:name="_Toc120614210"/>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sz w:val="36"/>
          <w:szCs w:val="36"/>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项目概况</w:t>
      </w:r>
      <w:r/>
    </w:p>
    <w:p>
      <w:pPr>
        <w:pStyle w:val="769"/>
        <w:ind w:firstLine="480"/>
        <w:keepNext/>
        <w:spacing w:line="360" w:lineRule="auto"/>
        <w:rPr>
          <w:rFonts w:hint="eastAsia" w:ascii="宋体" w:hAnsi="宋体"/>
          <w:sz w:val="24"/>
          <w:szCs w:val="24"/>
        </w:rPr>
      </w:pPr>
      <w:r>
        <w:rPr>
          <w:rFonts w:hint="eastAsia" w:ascii="宋体" w:hAnsi="宋体"/>
          <w:sz w:val="24"/>
          <w:szCs w:val="24"/>
          <w:u w:val="single"/>
        </w:rPr>
        <w:t xml:space="preserve">多校普通教室及功能室教学设备</w:t>
      </w:r>
      <w:r>
        <w:rPr>
          <w:rFonts w:hint="eastAsia" w:ascii="宋体" w:hAnsi="宋体"/>
          <w:sz w:val="24"/>
          <w:szCs w:val="24"/>
        </w:rPr>
        <w:t xml:space="preserve">的潜在供应商应在“江苏政府采购网”获取采购文件，并于</w:t>
      </w:r>
      <w:r>
        <w:rPr>
          <w:rFonts w:hint="eastAsia" w:ascii="宋体" w:hAnsi="宋体"/>
          <w:sz w:val="24"/>
          <w:szCs w:val="24"/>
          <w:u w:val="single"/>
        </w:rPr>
        <w:t xml:space="preserve">2026年</w:t>
      </w:r>
      <w:r>
        <w:rPr>
          <w:rFonts w:hint="eastAsia" w:ascii="宋体" w:hAnsi="宋体"/>
          <w:sz w:val="24"/>
          <w:szCs w:val="24"/>
          <w:u w:val="single"/>
        </w:rPr>
        <w:t xml:space="preserve">9</w:t>
      </w:r>
      <w:r>
        <w:rPr>
          <w:rFonts w:hint="eastAsia" w:ascii="宋体" w:hAnsi="宋体"/>
          <w:sz w:val="24"/>
          <w:szCs w:val="24"/>
          <w:u w:val="single"/>
        </w:rPr>
        <w:t xml:space="preserve">月</w:t>
      </w:r>
      <w:r>
        <w:rPr>
          <w:rFonts w:hint="eastAsia" w:ascii="宋体" w:hAnsi="宋体"/>
          <w:sz w:val="24"/>
          <w:szCs w:val="24"/>
          <w:u w:val="single"/>
        </w:rPr>
        <w:t xml:space="preserve">29</w:t>
      </w:r>
      <w:r>
        <w:rPr>
          <w:rFonts w:hint="eastAsia" w:ascii="宋体" w:hAnsi="宋体"/>
          <w:sz w:val="24"/>
          <w:szCs w:val="24"/>
          <w:u w:val="single"/>
        </w:rPr>
        <w:t xml:space="preserve">日上午9 点00分</w:t>
      </w:r>
      <w:r>
        <w:rPr>
          <w:rFonts w:hint="eastAsia" w:ascii="宋体" w:hAnsi="宋体"/>
          <w:sz w:val="24"/>
          <w:szCs w:val="24"/>
        </w:rPr>
        <w:t xml:space="preserve">（北京时间）前提交响应文件。</w:t>
      </w:r>
      <w:r/>
    </w:p>
    <w:p>
      <w:pPr>
        <w:pStyle w:val="769"/>
        <w:ind w:firstLine="482"/>
        <w:keepNext/>
        <w:spacing w:line="360" w:lineRule="auto"/>
        <w:rPr>
          <w:rFonts w:hint="eastAsia" w:ascii="宋体" w:hAnsi="宋体"/>
          <w:b/>
          <w:bCs/>
          <w:sz w:val="24"/>
          <w:szCs w:val="24"/>
        </w:rPr>
      </w:pPr>
      <w:r>
        <w:rPr>
          <w:rFonts w:hint="eastAsia" w:ascii="宋体" w:hAnsi="宋体"/>
          <w:b/>
          <w:bCs/>
          <w:sz w:val="24"/>
          <w:szCs w:val="24"/>
        </w:rPr>
        <w:t xml:space="preserve">一、项目基本情况</w:t>
      </w:r>
      <w:r/>
    </w:p>
    <w:p>
      <w:pPr>
        <w:pStyle w:val="769"/>
        <w:ind w:left="479"/>
        <w:jc w:val="left"/>
        <w:keepNext/>
        <w:spacing w:line="360" w:lineRule="auto"/>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JSZC-320116-R</w:t>
      </w:r>
      <w:r>
        <w:rPr>
          <w:rFonts w:ascii="宋体" w:hAnsi="宋体"/>
          <w:sz w:val="24"/>
          <w:szCs w:val="24"/>
        </w:rPr>
        <w:t xml:space="preserve">JGC-G2026-0007</w:t>
      </w:r>
      <w:r>
        <w:rPr>
          <w:rFonts w:hint="eastAsia" w:ascii="宋体" w:hAnsi="宋体"/>
          <w:sz w:val="24"/>
          <w:szCs w:val="24"/>
        </w:rPr>
        <w:t xml:space="preserve">                                                                 2.项目名称：多校普通教室及功能室教学设备</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3.</w:t>
      </w:r>
      <w:bookmarkStart w:id="6" w:name="OLE_LINK54"/>
      <w:r>
        <w:rPr>
          <w:rFonts w:hint="eastAsia" w:ascii="宋体" w:hAnsi="宋体"/>
          <w:sz w:val="24"/>
          <w:szCs w:val="24"/>
        </w:rPr>
        <w:t xml:space="preserve">预算金额：208万元</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4.最高限价：208万元</w:t>
      </w:r>
      <w:r/>
    </w:p>
    <w:p>
      <w:pPr>
        <w:pStyle w:val="769"/>
        <w:ind w:firstLine="480"/>
        <w:keepNext/>
        <w:spacing w:line="360" w:lineRule="auto"/>
        <w:rPr>
          <w:rFonts w:hint="eastAsia" w:ascii="宋体" w:hAnsi="宋体"/>
          <w:sz w:val="24"/>
          <w:szCs w:val="24"/>
        </w:rPr>
      </w:pPr>
      <w:r/>
      <w:bookmarkEnd w:id="6"/>
      <w:r>
        <w:rPr>
          <w:rFonts w:hint="eastAsia" w:ascii="宋体" w:hAnsi="宋体"/>
          <w:sz w:val="24"/>
          <w:szCs w:val="24"/>
        </w:rPr>
        <w:t xml:space="preserve">5.采购需求（简介）：</w:t>
      </w:r>
      <w:bookmarkStart w:id="7" w:name="OLE_LINK55"/>
      <w:r>
        <w:rPr>
          <w:rFonts w:hint="eastAsia" w:ascii="宋体" w:hAnsi="宋体"/>
          <w:sz w:val="24"/>
          <w:szCs w:val="24"/>
        </w:rPr>
        <w:t xml:space="preserve">区内多校课桌椅、功能室设备、体育仪器器材及木器设备的供货、安装。（详细内容见本招标文件第四章）</w:t>
      </w:r>
      <w:bookmarkEnd w:id="7"/>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6.合同履行期限：1140天（交付期45天、质保期1095天），合同签订后45日内交付并完成安装调试及验收等相关工作，自验收报告签字确认日起开始进入质保期。</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7.本项目不接受进口产品投标。</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8.本项目不接受联合体投标。</w:t>
      </w:r>
      <w:r/>
    </w:p>
    <w:p>
      <w:pPr>
        <w:pStyle w:val="769"/>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二、申请人的资格要求</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（一）通用资格要求</w:t>
      </w:r>
      <w:r/>
    </w:p>
    <w:p>
      <w:pPr>
        <w:pStyle w:val="769"/>
        <w:ind w:firstLine="480"/>
        <w:keepNext/>
        <w:spacing w:line="360" w:lineRule="auto"/>
        <w:tabs>
          <w:tab w:val="left" w:pos="900" w:leader="none"/>
        </w:tabs>
        <w:rPr>
          <w:rFonts w:hint="eastAsia" w:ascii="宋体" w:hAnsi="宋体" w:cs="宋体"/>
          <w:sz w:val="24"/>
          <w:szCs w:val="24"/>
          <w:lang w:val="zh-CN"/>
        </w:rPr>
      </w:pPr>
      <w:r/>
      <w:bookmarkStart w:id="8" w:name="OLE_LINK70"/>
      <w:r>
        <w:rPr>
          <w:rFonts w:hint="eastAsia" w:ascii="宋体" w:hAnsi="宋体" w:cs="宋体"/>
          <w:sz w:val="24"/>
          <w:szCs w:val="24"/>
          <w:lang w:val="zh-CN"/>
        </w:rPr>
        <w:t xml:space="preserve">1.满足《中华人民共和国政府采购法》第二十二条规定，并提供下列材料：</w:t>
      </w:r>
      <w:r/>
    </w:p>
    <w:p>
      <w:pPr>
        <w:pStyle w:val="769"/>
        <w:ind w:firstLine="480"/>
        <w:keepNext/>
        <w:spacing w:line="360" w:lineRule="auto"/>
        <w:tabs>
          <w:tab w:val="left" w:pos="900" w:leader="none"/>
        </w:tabs>
        <w:rPr>
          <w:rFonts w:hint="eastAsia" w:ascii="宋体" w:hAnsi="宋体" w:cs="宋体"/>
          <w:sz w:val="24"/>
          <w:szCs w:val="24"/>
          <w:lang w:val="zh-CN"/>
        </w:rPr>
      </w:pPr>
      <w:r>
        <w:rPr>
          <w:rFonts w:hint="eastAsia" w:ascii="宋体" w:hAnsi="宋体" w:cs="宋体"/>
          <w:sz w:val="24"/>
          <w:szCs w:val="24"/>
        </w:rPr>
        <w:t xml:space="preserve">1.1</w:t>
      </w:r>
      <w:bookmarkStart w:id="9" w:name="OLE_LINK69"/>
      <w:r>
        <w:rPr>
          <w:rFonts w:hint="eastAsia" w:ascii="宋体" w:hAnsi="宋体" w:cs="宋体"/>
          <w:sz w:val="24"/>
          <w:szCs w:val="24"/>
          <w:lang w:val="zh-CN"/>
        </w:rPr>
        <w:t xml:space="preserve">供应商信用承诺函（格式见第六章</w:t>
      </w:r>
      <w:r>
        <w:rPr>
          <w:rFonts w:hint="eastAsia" w:ascii="宋体" w:hAnsi="宋体" w:cs="宋体"/>
          <w:sz w:val="24"/>
          <w:szCs w:val="24"/>
          <w:lang w:val="zh-CN"/>
        </w:rPr>
        <w:t xml:space="preserve">）</w:t>
      </w:r>
      <w:bookmarkEnd w:id="9"/>
      <w:r>
        <w:rPr>
          <w:rFonts w:hint="eastAsia" w:ascii="宋体" w:hAnsi="宋体" w:cs="宋体"/>
          <w:sz w:val="24"/>
          <w:szCs w:val="24"/>
          <w:lang w:val="zh-CN"/>
        </w:rPr>
        <w:t xml:space="preserve">。</w:t>
      </w:r>
      <w:r/>
    </w:p>
    <w:p>
      <w:pPr>
        <w:pStyle w:val="769"/>
        <w:ind w:firstLine="480"/>
        <w:keepNext/>
        <w:spacing w:line="360" w:lineRule="auto"/>
        <w:tabs>
          <w:tab w:val="left" w:pos="900" w:leader="none"/>
        </w:tabs>
        <w:rPr>
          <w:rFonts w:hint="eastAsia" w:ascii="宋体" w:hAnsi="宋体" w:cs="宋体"/>
          <w:sz w:val="24"/>
          <w:szCs w:val="24"/>
          <w:lang w:val="zh-CN"/>
        </w:rPr>
      </w:pPr>
      <w:r/>
      <w:bookmarkEnd w:id="8"/>
      <w:r>
        <w:rPr>
          <w:rFonts w:hint="eastAsia" w:ascii="宋体" w:hAnsi="宋体" w:cs="宋体"/>
          <w:sz w:val="24"/>
          <w:szCs w:val="24"/>
          <w:lang w:val="zh-CN"/>
        </w:rPr>
        <w:t xml:space="preserve">2.落实政府采购政策需满足的资格要求：</w:t>
      </w:r>
      <w:r>
        <w:rPr>
          <w:rFonts w:hint="eastAsia" w:ascii="宋体" w:hAnsi="宋体" w:cs="宋体"/>
          <w:sz w:val="24"/>
          <w:szCs w:val="24"/>
        </w:rPr>
        <w:t xml:space="preserve">本项目为非预留份额的采购项目或采购包，执行价格扣除优惠政策（具体详见第五章评标办法与标准）。</w:t>
      </w:r>
      <w:r>
        <w:rPr>
          <w:rFonts w:hint="eastAsia" w:ascii="宋体" w:hAnsi="宋体" w:cs="宋体"/>
          <w:sz w:val="24"/>
          <w:szCs w:val="24"/>
          <w:lang w:val="zh-CN"/>
        </w:rPr>
        <w:t xml:space="preserve">提供《中小企业声明函》（格式见第六章）；</w:t>
      </w:r>
      <w:r>
        <w:rPr>
          <w:rFonts w:hint="eastAsia" w:ascii="宋体" w:hAnsi="宋体" w:cs="宋体"/>
          <w:sz w:val="24"/>
          <w:szCs w:val="24"/>
        </w:rPr>
        <w:t xml:space="preserve">监狱和戒毒企业视同小型、微型企业，提供由省级以上监狱管理局、戒毒管理局（含新疆生产建设兵团）出具的属于监狱企业的证明文件；残疾人福利性单</w:t>
      </w:r>
      <w:r>
        <w:rPr>
          <w:rFonts w:hint="eastAsia" w:ascii="宋体" w:hAnsi="宋体" w:cs="宋体"/>
          <w:sz w:val="24"/>
          <w:szCs w:val="24"/>
        </w:rPr>
        <w:t xml:space="preserve">位视同小型、微型企业，提供《残疾人福利性单位声明函》（格式见第六章）</w:t>
      </w:r>
      <w:r>
        <w:rPr>
          <w:rFonts w:hint="eastAsia" w:ascii="宋体" w:hAnsi="宋体" w:cs="宋体"/>
          <w:sz w:val="24"/>
          <w:szCs w:val="24"/>
          <w:lang w:val="zh-CN"/>
        </w:rPr>
        <w:t xml:space="preserve">。</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lang w:val="zh-CN"/>
        </w:rPr>
        <w:t xml:space="preserve">本项目采购标的对应的中小企业划分标准所属行业为：工业</w:t>
      </w:r>
      <w:r>
        <w:rPr>
          <w:rFonts w:hint="eastAsia" w:ascii="宋体" w:hAnsi="宋体" w:cs="宋体"/>
          <w:sz w:val="24"/>
          <w:szCs w:val="24"/>
        </w:rPr>
        <w:t xml:space="preserve">。</w:t>
      </w:r>
      <w:r>
        <w:rPr>
          <w:rFonts w:hint="eastAsia" w:ascii="宋体" w:hAnsi="宋体" w:cs="宋体"/>
          <w:sz w:val="24"/>
          <w:szCs w:val="24"/>
        </w:rPr>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（二）本项目的特定资格要求：无。</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（三）拒绝下述供应商参加本次采购活动</w:t>
      </w:r>
      <w:r/>
    </w:p>
    <w:p>
      <w:pPr>
        <w:pStyle w:val="769"/>
        <w:ind w:firstLine="480"/>
        <w:keepNext/>
        <w:spacing w:line="360" w:lineRule="auto"/>
        <w:tabs>
          <w:tab w:val="left" w:pos="900" w:leader="none"/>
        </w:tabs>
        <w:rPr>
          <w:rFonts w:hint="eastAsia" w:ascii="宋体" w:hAnsi="宋体" w:cs="宋体"/>
          <w:sz w:val="24"/>
          <w:szCs w:val="24"/>
        </w:rPr>
      </w:pPr>
      <w:r/>
      <w:bookmarkStart w:id="10" w:name="OLE_LINK68"/>
      <w:r>
        <w:rPr>
          <w:rFonts w:hint="eastAsia" w:ascii="宋体" w:hAnsi="宋体" w:cs="宋体"/>
          <w:sz w:val="24"/>
          <w:szCs w:val="24"/>
        </w:rPr>
        <w:t xml:space="preserve">1.单位负责人为同一人或者存在直接控股、管理关系的不同供应商，不得参加同一合同项下的政府采购活动。</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2.为采购项目提供整体设计、规范编制或者项目管理、监理、检测等服务的供应商，不得参加本项目的采购活动。</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3.供应商被“信用中国”网站（www.creditchina.gov.cn）、“中国政府采购网”(www.ccgp.gov.cn)列入失信被执行人、重大税收违法</w:t>
      </w:r>
      <w:r>
        <w:rPr>
          <w:rFonts w:hint="eastAsia" w:ascii="宋体" w:hAnsi="宋体" w:cs="宋体"/>
          <w:sz w:val="24"/>
          <w:szCs w:val="24"/>
        </w:rPr>
        <w:t xml:space="preserve">案件当事人名单、政府采购严重违法失信行为记录名单。</w:t>
      </w:r>
      <w:r/>
    </w:p>
    <w:p>
      <w:pPr>
        <w:pStyle w:val="769"/>
        <w:ind w:firstLine="482"/>
        <w:keepNext/>
        <w:spacing w:line="360" w:lineRule="auto"/>
        <w:tabs>
          <w:tab w:val="left" w:pos="900" w:leader="none"/>
        </w:tabs>
        <w:rPr>
          <w:rFonts w:hint="eastAsia" w:ascii="宋体" w:hAnsi="宋体" w:cs="宋体"/>
          <w:b/>
          <w:bCs/>
          <w:sz w:val="24"/>
          <w:szCs w:val="24"/>
        </w:rPr>
      </w:pPr>
      <w:r/>
      <w:bookmarkEnd w:id="10"/>
      <w:r>
        <w:rPr>
          <w:rFonts w:hint="eastAsia" w:ascii="宋体" w:hAnsi="宋体" w:cs="宋体"/>
          <w:b/>
          <w:bCs/>
          <w:sz w:val="24"/>
          <w:szCs w:val="24"/>
        </w:rPr>
        <w:t xml:space="preserve">三、获取招标文件</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769"/>
        <w:ind w:firstLine="482"/>
        <w:keepNext/>
        <w:spacing w:line="360" w:lineRule="auto"/>
        <w:tabs>
          <w:tab w:val="left" w:pos="900" w:leader="none"/>
        </w:tabs>
        <w:rPr>
          <w:rFonts w:ascii="宋体" w:hAnsi="宋体" w:cs="宋体"/>
          <w:b/>
          <w:bCs/>
          <w:sz w:val="24"/>
          <w:szCs w:val="24"/>
        </w:rPr>
      </w:pPr>
      <w:r>
        <w:rPr>
          <w:rFonts w:hint="eastAsia" w:ascii="宋体" w:hAnsi="宋体" w:cs="宋体"/>
          <w:b/>
          <w:bCs/>
          <w:sz w:val="24"/>
          <w:szCs w:val="24"/>
        </w:rPr>
        <w:t xml:space="preserve">四、提交投标文件截止时间、开标时间和地点</w:t>
      </w:r>
      <w:r>
        <w:rPr>
          <w:rFonts w:ascii="宋体" w:hAnsi="宋体" w:cs="宋体"/>
          <w:b/>
          <w:bCs/>
          <w:sz w:val="24"/>
          <w:szCs w:val="24"/>
        </w:rPr>
      </w:r>
      <w:r/>
    </w:p>
    <w:p>
      <w:pPr>
        <w:pStyle w:val="769"/>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   </w:t>
      </w:r>
      <w:r>
        <w:rPr>
          <w:rFonts w:hint="eastAsia" w:ascii="宋体" w:hAnsi="宋体" w:cs="宋体"/>
          <w:sz w:val="24"/>
          <w:szCs w:val="24"/>
        </w:rPr>
        <w:t xml:space="preserve"> 时间：</w:t>
      </w:r>
      <w:r>
        <w:rPr>
          <w:rFonts w:ascii="宋体" w:hAnsi="宋体" w:cs="宋体"/>
          <w:color w:val="000000"/>
          <w:sz w:val="24"/>
        </w:rPr>
        <w:t xml:space="preserve">202</w:t>
      </w:r>
      <w:r>
        <w:rPr>
          <w:rFonts w:hint="eastAsia" w:ascii="宋体" w:hAnsi="宋体" w:cs="宋体"/>
          <w:color w:val="000000"/>
          <w:sz w:val="24"/>
        </w:rPr>
        <w:t xml:space="preserve">6年</w:t>
      </w:r>
      <w:r>
        <w:rPr>
          <w:rFonts w:hint="eastAsia" w:ascii="宋体" w:hAnsi="宋体" w:cs="宋体"/>
          <w:color w:val="000000"/>
          <w:sz w:val="24"/>
        </w:rPr>
        <w:t xml:space="preserve">9</w:t>
      </w:r>
      <w:r>
        <w:rPr>
          <w:rFonts w:hint="eastAsia" w:ascii="宋体" w:hAnsi="宋体" w:cs="宋体"/>
          <w:color w:val="000000"/>
          <w:sz w:val="24"/>
        </w:rPr>
        <w:t xml:space="preserve">月</w:t>
      </w:r>
      <w:r>
        <w:rPr>
          <w:rFonts w:hint="eastAsia" w:ascii="宋体" w:hAnsi="宋体" w:cs="宋体"/>
          <w:color w:val="000000"/>
          <w:sz w:val="24"/>
        </w:rPr>
        <w:t xml:space="preserve">29</w:t>
      </w:r>
      <w:r>
        <w:rPr>
          <w:rFonts w:hint="eastAsia" w:ascii="宋体" w:hAnsi="宋体" w:cs="宋体"/>
          <w:color w:val="000000"/>
          <w:sz w:val="24"/>
        </w:rPr>
        <w:t xml:space="preserve">日</w:t>
      </w:r>
      <w:r>
        <w:rPr>
          <w:rFonts w:ascii="宋体" w:hAnsi="宋体" w:cs="宋体"/>
          <w:color w:val="000000"/>
          <w:sz w:val="24"/>
        </w:rPr>
        <w:t xml:space="preserve">上午9:</w:t>
      </w:r>
      <w:r>
        <w:rPr>
          <w:rFonts w:hint="eastAsia" w:ascii="宋体" w:hAnsi="宋体" w:cs="宋体"/>
          <w:color w:val="000000"/>
          <w:sz w:val="24"/>
        </w:rPr>
        <w:t xml:space="preserve">0</w:t>
      </w:r>
      <w:r>
        <w:rPr>
          <w:rFonts w:ascii="宋体" w:hAnsi="宋体" w:cs="宋体"/>
          <w:color w:val="000000"/>
          <w:sz w:val="24"/>
        </w:rPr>
        <w:t xml:space="preserve">0 （北京时间）</w:t>
      </w:r>
      <w:r>
        <w:rPr>
          <w:rFonts w:hint="eastAsia" w:ascii="宋体" w:hAnsi="宋体" w:cs="宋体"/>
          <w:b/>
          <w:bCs/>
          <w:sz w:val="24"/>
          <w:szCs w:val="24"/>
        </w:rPr>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地点：“苏采云”政府采购交易系统网上开标大厅</w:t>
      </w:r>
      <w:r/>
    </w:p>
    <w:p>
      <w:pPr>
        <w:pStyle w:val="769"/>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五、公告期限</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公告期限为自本公告发布之日起5个工作日。</w:t>
      </w:r>
      <w:r/>
    </w:p>
    <w:p>
      <w:pPr>
        <w:pStyle w:val="769"/>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六、其他事宜</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1.本次招标不收取投标保证金。</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2.本项目不组织集中勘察及答疑，供应商如</w:t>
      </w:r>
      <w:r>
        <w:rPr>
          <w:rFonts w:hint="eastAsia" w:ascii="宋体" w:hAnsi="宋体" w:cs="宋体"/>
          <w:sz w:val="24"/>
          <w:szCs w:val="24"/>
        </w:rPr>
        <w:t xml:space="preserve">对采购需求有疑问，请咨询采购单位联系人。</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Fonts w:hint="eastAsia" w:ascii="宋体" w:hAnsi="宋体" w:cs="宋体"/>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w:t>
      </w:r>
      <w:r>
        <w:rPr>
          <w:rFonts w:hint="eastAsia" w:ascii="宋体" w:hAnsi="宋体" w:cs="宋体"/>
          <w:sz w:val="24"/>
          <w:szCs w:val="24"/>
        </w:rPr>
        <w:t xml:space="preserve">鼠标左键）。</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pStyle w:val="769"/>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七、本次招标联系方式</w:t>
      </w:r>
      <w:r/>
    </w:p>
    <w:p>
      <w:pPr>
        <w:pStyle w:val="769"/>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1.采购人信息</w:t>
      </w:r>
      <w:r/>
    </w:p>
    <w:p>
      <w:pPr>
        <w:pStyle w:val="769"/>
        <w:ind w:firstLine="480"/>
        <w:keepNext/>
        <w:spacing w:line="360" w:lineRule="auto"/>
        <w:rPr>
          <w:rFonts w:hint="eastAsia" w:ascii="宋体" w:hAnsi="宋体"/>
          <w:sz w:val="24"/>
          <w:szCs w:val="24"/>
        </w:rPr>
      </w:pPr>
      <w:r>
        <w:rPr>
          <w:rFonts w:ascii="Arial" w:hAnsi="Arial" w:eastAsia="Arial" w:cs="Arial"/>
          <w:sz w:val="24"/>
          <w:szCs w:val="24"/>
          <w:shd w:val="clear" w:color="auto" w:fill="ffffff"/>
        </w:rPr>
        <w:t xml:space="preserve">单位名称：</w:t>
      </w:r>
      <w:r>
        <w:rPr>
          <w:rFonts w:hint="eastAsia" w:ascii="Arial" w:hAnsi="Arial" w:cs="Arial"/>
          <w:sz w:val="24"/>
          <w:szCs w:val="24"/>
          <w:shd w:val="clear" w:color="auto" w:fill="ffffff"/>
        </w:rPr>
        <w:t xml:space="preserve">南京市六合区教育局</w:t>
      </w:r>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cs="宋体"/>
          <w:sz w:val="24"/>
          <w:szCs w:val="24"/>
        </w:rPr>
        <w:t xml:space="preserve">单位地址：南京市六合区雄州南路268号</w:t>
      </w:r>
      <w:r>
        <w:rPr>
          <w:rFonts w:hint="eastAsia"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沈老师</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联系电话：</w:t>
      </w:r>
      <w:bookmarkStart w:id="11" w:name="_Toc28359009"/>
      <w:r/>
      <w:bookmarkStart w:id="12" w:name="_Toc28359086"/>
      <w:r>
        <w:rPr>
          <w:rFonts w:hint="eastAsia" w:ascii="宋体" w:hAnsi="宋体"/>
          <w:sz w:val="24"/>
          <w:szCs w:val="24"/>
        </w:rPr>
        <w:t xml:space="preserve">025-57156991</w:t>
      </w:r>
      <w:r>
        <w:rPr>
          <w:rFonts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2.</w:t>
      </w:r>
      <w:bookmarkEnd w:id="11"/>
      <w:r/>
      <w:bookmarkEnd w:id="12"/>
      <w:r>
        <w:rPr>
          <w:rFonts w:hint="eastAsia" w:ascii="宋体" w:hAnsi="宋体"/>
          <w:sz w:val="24"/>
          <w:szCs w:val="24"/>
        </w:rPr>
        <w:t xml:space="preserve">采购代理机构信息</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单位名称：</w:t>
      </w:r>
      <w:r>
        <w:rPr>
          <w:rFonts w:hint="eastAsia" w:ascii="宋体" w:hAnsi="宋体"/>
          <w:sz w:val="24"/>
        </w:rPr>
        <w:t xml:space="preserve">南京润捷工程项目管理有限公司</w:t>
      </w:r>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单位地址：</w:t>
      </w:r>
      <w:bookmarkStart w:id="13" w:name="OLE_LINK56"/>
      <w:r>
        <w:rPr>
          <w:rFonts w:hint="eastAsia" w:ascii="宋体" w:hAnsi="宋体"/>
          <w:sz w:val="24"/>
          <w:szCs w:val="24"/>
        </w:rPr>
        <w:t xml:space="preserve">南京市六合区马鞍街道极乐路268号棠嘉苑2栋一单元502室</w:t>
      </w:r>
      <w:bookmarkEnd w:id="13"/>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联系人：</w:t>
      </w:r>
      <w:bookmarkStart w:id="14" w:name="OLE_LINK9"/>
      <w:r>
        <w:rPr>
          <w:rFonts w:hint="eastAsia" w:ascii="宋体" w:hAnsi="宋体"/>
          <w:sz w:val="24"/>
          <w:szCs w:val="24"/>
        </w:rPr>
        <w:t xml:space="preserve">王工</w:t>
      </w:r>
      <w:bookmarkEnd w:id="14"/>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0"/>
        </w:rPr>
        <w:t xml:space="preserve">18</w:t>
      </w:r>
      <w:r>
        <w:rPr>
          <w:rFonts w:hint="eastAsia" w:ascii="宋体" w:hAnsi="宋体"/>
          <w:sz w:val="24"/>
          <w:szCs w:val="20"/>
        </w:rPr>
        <w:t xml:space="preserve">952045836</w:t>
      </w:r>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3.项目联系方式</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项目联系</w:t>
      </w:r>
      <w:r>
        <w:rPr>
          <w:rFonts w:hint="eastAsia" w:ascii="宋体" w:hAnsi="宋体"/>
          <w:sz w:val="24"/>
          <w:szCs w:val="24"/>
        </w:rPr>
        <w:t xml:space="preserve">：</w:t>
      </w:r>
      <w:r>
        <w:rPr>
          <w:rFonts w:hint="eastAsia" w:ascii="宋体" w:hAnsi="宋体"/>
          <w:sz w:val="24"/>
          <w:szCs w:val="24"/>
        </w:rPr>
        <w:t xml:space="preserve">沈老师</w:t>
      </w:r>
      <w:r>
        <w:rPr>
          <w:rFonts w:hint="eastAsia" w:ascii="宋体" w:hAnsi="宋体"/>
          <w:sz w:val="24"/>
          <w:szCs w:val="24"/>
        </w:rPr>
      </w:r>
      <w:r/>
    </w:p>
    <w:p>
      <w:pPr>
        <w:pStyle w:val="769"/>
        <w:ind w:firstLine="480"/>
        <w:keepNext/>
        <w:spacing w:line="360" w:lineRule="auto"/>
        <w:rPr>
          <w:rFonts w:hint="eastAsia" w:ascii="方正小标宋简体" w:hAnsi="方正小标宋简体" w:eastAsia="方正小标宋简体" w:cs="方正小标宋简体"/>
          <w:sz w:val="36"/>
          <w:szCs w:val="36"/>
        </w:rPr>
      </w:pPr>
      <w:r>
        <w:rPr>
          <w:rFonts w:hint="eastAsia" w:ascii="宋体" w:hAnsi="宋体"/>
          <w:sz w:val="24"/>
          <w:szCs w:val="24"/>
        </w:rPr>
        <w:t xml:space="preserve">电话：</w:t>
      </w:r>
      <w:r>
        <w:rPr>
          <w:rFonts w:hint="eastAsia" w:ascii="宋体" w:hAnsi="宋体"/>
          <w:sz w:val="24"/>
          <w:szCs w:val="24"/>
        </w:rPr>
        <w:t xml:space="preserve">025-57156991</w:t>
      </w:r>
      <w:r>
        <w:rPr>
          <w:rFonts w:hint="eastAsia" w:ascii="方正小标宋简体" w:hAnsi="方正小标宋简体" w:eastAsia="方正小标宋简体" w:cs="方正小标宋简体"/>
          <w:sz w:val="36"/>
          <w:szCs w:val="36"/>
        </w:rPr>
      </w:r>
      <w:r/>
    </w:p>
    <w:p>
      <w:pPr>
        <w:pStyle w:val="769"/>
        <w:keepNext/>
        <w:rPr>
          <w:rFonts w:hint="eastAsia"/>
        </w:rPr>
      </w:pPr>
      <w:r>
        <w:rPr>
          <w:rFonts w:hint="eastAsia"/>
        </w:rPr>
      </w:r>
      <w:r/>
    </w:p>
    <w:p>
      <w:pPr>
        <w:pStyle w:val="769"/>
        <w:ind w:right="840"/>
        <w:jc w:val="center"/>
        <w:keepNext/>
        <w:rPr>
          <w:rFonts w:hint="eastAsia" w:ascii="方正小标宋简体" w:hAnsi="方正小标宋简体" w:eastAsia="方正小标宋简体" w:cs="方正小标宋简体"/>
          <w:color w:val="000000"/>
          <w:sz w:val="36"/>
          <w:szCs w:val="36"/>
        </w:rPr>
      </w:pPr>
      <w:r/>
      <w:bookmarkStart w:id="15" w:name="_Toc120614211"/>
      <w:r>
        <w:rPr>
          <w:rFonts w:hint="eastAsia" w:ascii="方正小标宋简体" w:hAnsi="方正小标宋简体" w:eastAsia="方正小标宋简体" w:cs="方正小标宋简体"/>
          <w:color w:val="000000"/>
          <w:sz w:val="36"/>
          <w:szCs w:val="36"/>
        </w:rPr>
      </w:r>
      <w:r/>
    </w:p>
    <w:p>
      <w:pPr>
        <w:pStyle w:val="769"/>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9"/>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9"/>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9"/>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9"/>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9"/>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9"/>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9"/>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9"/>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9"/>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9"/>
        <w:ind w:right="840"/>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82"/>
        <w:rPr>
          <w:rFonts w:hint="eastAsia" w:eastAsia="等线"/>
          <w:lang w:val="en-US"/>
        </w:rPr>
      </w:pPr>
      <w:r>
        <w:rPr>
          <w:rFonts w:hint="eastAsia" w:eastAsia="等线"/>
          <w:lang w:val="en-US"/>
        </w:rPr>
      </w:r>
      <w:r/>
    </w:p>
    <w:p>
      <w:pPr>
        <w:pStyle w:val="769"/>
        <w:ind w:right="840"/>
        <w:jc w:val="center"/>
        <w:keepNex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color w:val="000000"/>
          <w:sz w:val="36"/>
          <w:szCs w:val="36"/>
        </w:rPr>
        <w:t xml:space="preserve">第二章  </w:t>
      </w:r>
      <w:bookmarkEnd w:id="15"/>
      <w:r/>
      <w:bookmarkStart w:id="16" w:name="_Toc16938518"/>
      <w:r/>
      <w:bookmarkStart w:id="17" w:name="_Toc513029202"/>
      <w:r/>
      <w:bookmarkStart w:id="18" w:name="_Toc20823274"/>
      <w:r/>
      <w:bookmarkStart w:id="19" w:name="_Toc120614213"/>
      <w:r>
        <w:rPr>
          <w:rFonts w:hint="eastAsia" w:ascii="方正小标宋简体" w:hAnsi="方正小标宋简体" w:eastAsia="方正小标宋简体" w:cs="方正小标宋简体"/>
          <w:color w:val="000000"/>
          <w:sz w:val="36"/>
          <w:szCs w:val="36"/>
        </w:rPr>
        <w:t xml:space="preserve">投标人须知</w:t>
      </w:r>
      <w:bookmarkEnd w:id="16"/>
      <w:r/>
      <w:bookmarkEnd w:id="17"/>
      <w:r/>
      <w:bookmarkEnd w:id="18"/>
      <w:r/>
      <w:bookmarkEnd w:id="19"/>
      <w:r>
        <w:rPr>
          <w:rFonts w:hint="eastAsia" w:ascii="方正小标宋简体" w:hAnsi="方正小标宋简体" w:eastAsia="方正小标宋简体" w:cs="方正小标宋简体"/>
          <w:sz w:val="36"/>
          <w:szCs w:val="36"/>
        </w:rPr>
      </w:r>
      <w:r/>
    </w:p>
    <w:p>
      <w:pPr>
        <w:pStyle w:val="769"/>
        <w:ind w:firstLine="482"/>
        <w:keepNext/>
        <w:spacing w:line="360" w:lineRule="auto"/>
        <w:rPr>
          <w:rFonts w:hint="eastAsia" w:ascii="宋体" w:hAnsi="宋体"/>
          <w:b/>
          <w:bCs/>
          <w:sz w:val="24"/>
          <w:szCs w:val="24"/>
        </w:rPr>
      </w:pPr>
      <w:r/>
      <w:bookmarkStart w:id="20" w:name="_Toc20823275"/>
      <w:r/>
      <w:bookmarkStart w:id="21" w:name="_Toc120614214"/>
      <w:r/>
      <w:bookmarkStart w:id="22" w:name="_Toc513029203"/>
      <w:r/>
      <w:bookmarkStart w:id="23" w:name="_Toc16938519"/>
      <w:r>
        <w:rPr>
          <w:rFonts w:hint="eastAsia" w:ascii="宋体" w:hAnsi="宋体"/>
          <w:b/>
          <w:bCs/>
          <w:sz w:val="24"/>
          <w:szCs w:val="24"/>
        </w:rPr>
        <w:t xml:space="preserve">一、总则</w:t>
      </w:r>
      <w:bookmarkEnd w:id="20"/>
      <w:r/>
      <w:bookmarkEnd w:id="21"/>
      <w:r/>
      <w:bookmarkEnd w:id="22"/>
      <w:r/>
      <w:bookmarkEnd w:id="23"/>
      <w:r>
        <w:rPr>
          <w:rFonts w:hint="eastAsia" w:ascii="宋体" w:hAnsi="宋体"/>
          <w:b/>
          <w:bCs/>
          <w:sz w:val="24"/>
          <w:szCs w:val="24"/>
        </w:rPr>
      </w:r>
      <w:r/>
    </w:p>
    <w:p>
      <w:pPr>
        <w:pStyle w:val="769"/>
        <w:ind w:firstLine="480"/>
        <w:keepNext/>
        <w:spacing w:line="360" w:lineRule="auto"/>
        <w:rPr>
          <w:rFonts w:hint="eastAsia" w:ascii="宋体" w:hAnsi="宋体"/>
          <w:sz w:val="24"/>
          <w:szCs w:val="24"/>
        </w:rPr>
      </w:pPr>
      <w:r/>
      <w:bookmarkStart w:id="24" w:name="_Hlt16619475"/>
      <w:r/>
      <w:bookmarkEnd w:id="24"/>
      <w:r/>
      <w:bookmarkStart w:id="25" w:name="_Toc458694821"/>
      <w:r/>
      <w:bookmarkStart w:id="26" w:name="_Toc513029204"/>
      <w:r/>
      <w:bookmarkStart w:id="27" w:name="_Toc16938520"/>
      <w:r/>
      <w:bookmarkStart w:id="28" w:name="_Toc20823276"/>
      <w:r>
        <w:rPr>
          <w:rFonts w:hint="eastAsia" w:ascii="宋体" w:hAnsi="宋体"/>
          <w:sz w:val="24"/>
          <w:szCs w:val="24"/>
        </w:rPr>
        <w:t xml:space="preserve">1</w:t>
      </w:r>
      <w:bookmarkEnd w:id="25"/>
      <w:r>
        <w:rPr>
          <w:rFonts w:hint="eastAsia" w:ascii="宋体" w:hAnsi="宋体"/>
          <w:sz w:val="24"/>
          <w:szCs w:val="24"/>
        </w:rPr>
        <w:t xml:space="preserve">.招标方式</w:t>
      </w:r>
      <w:bookmarkEnd w:id="26"/>
      <w:r/>
      <w:bookmarkEnd w:id="27"/>
      <w:r/>
      <w:bookmarkEnd w:id="28"/>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1.1 本次招标采取公开招标方式，本文件仅适用于招标公告中所述项目。</w:t>
      </w:r>
      <w:r/>
    </w:p>
    <w:p>
      <w:pPr>
        <w:pStyle w:val="769"/>
        <w:ind w:firstLine="480"/>
        <w:keepNext/>
        <w:spacing w:line="360" w:lineRule="auto"/>
        <w:rPr>
          <w:rFonts w:hint="eastAsia" w:ascii="宋体" w:hAnsi="宋体"/>
          <w:sz w:val="24"/>
          <w:szCs w:val="24"/>
        </w:rPr>
      </w:pPr>
      <w:r/>
      <w:bookmarkStart w:id="29" w:name="_Toc20823277"/>
      <w:r/>
      <w:bookmarkStart w:id="30" w:name="_Toc513029205"/>
      <w:r/>
      <w:bookmarkStart w:id="31" w:name="_Toc16938521"/>
      <w:r>
        <w:rPr>
          <w:rFonts w:hint="eastAsia" w:ascii="宋体" w:hAnsi="宋体"/>
          <w:sz w:val="24"/>
          <w:szCs w:val="24"/>
        </w:rPr>
        <w:t xml:space="preserve">2.合格的投标人</w:t>
      </w:r>
      <w:bookmarkEnd w:id="29"/>
      <w:r/>
      <w:bookmarkEnd w:id="30"/>
      <w:r/>
      <w:bookmarkEnd w:id="31"/>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2.1 </w:t>
      </w:r>
      <w:r>
        <w:rPr>
          <w:rFonts w:hint="eastAsia" w:ascii="宋体" w:hAnsi="宋体"/>
          <w:sz w:val="24"/>
        </w:rPr>
        <w:t xml:space="preserve">满足招标公告对投标人资格要求</w:t>
      </w:r>
      <w:r>
        <w:rPr>
          <w:rFonts w:hint="eastAsia" w:ascii="宋体" w:hAnsi="宋体"/>
          <w:sz w:val="24"/>
          <w:szCs w:val="24"/>
        </w:rPr>
        <w:t xml:space="preserve">。</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2.2 </w:t>
      </w:r>
      <w:r>
        <w:rPr>
          <w:rFonts w:hint="eastAsia" w:ascii="宋体" w:hAnsi="宋体"/>
          <w:sz w:val="24"/>
        </w:rPr>
        <w:t xml:space="preserve">满足招标文件规定的实质性要求</w:t>
      </w:r>
      <w:r>
        <w:rPr>
          <w:rFonts w:hint="eastAsia" w:ascii="宋体" w:hAnsi="宋体"/>
          <w:sz w:val="24"/>
          <w:szCs w:val="24"/>
        </w:rPr>
        <w:t xml:space="preserve">。</w:t>
      </w:r>
      <w:r/>
    </w:p>
    <w:p>
      <w:pPr>
        <w:pStyle w:val="769"/>
        <w:ind w:firstLine="480"/>
        <w:keepNext/>
        <w:spacing w:line="360" w:lineRule="auto"/>
        <w:rPr>
          <w:rFonts w:hint="eastAsia" w:ascii="宋体" w:hAnsi="宋体"/>
          <w:sz w:val="24"/>
          <w:szCs w:val="24"/>
        </w:rPr>
      </w:pPr>
      <w:r/>
      <w:bookmarkStart w:id="32" w:name="_Toc20823278"/>
      <w:r/>
      <w:bookmarkStart w:id="33" w:name="_Toc16938522"/>
      <w:r/>
      <w:bookmarkStart w:id="34" w:name="_Toc513029206"/>
      <w:r>
        <w:rPr>
          <w:rFonts w:hint="eastAsia" w:ascii="宋体" w:hAnsi="宋体"/>
          <w:sz w:val="24"/>
          <w:szCs w:val="24"/>
        </w:rPr>
        <w:t xml:space="preserve">3.适用法律</w:t>
      </w:r>
      <w:bookmarkEnd w:id="32"/>
      <w:r/>
      <w:bookmarkEnd w:id="33"/>
      <w:r/>
      <w:bookmarkEnd w:id="34"/>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pStyle w:val="769"/>
        <w:ind w:firstLine="480"/>
        <w:keepNext/>
        <w:spacing w:line="360" w:lineRule="auto"/>
        <w:rPr>
          <w:rFonts w:hint="eastAsia" w:ascii="宋体" w:hAnsi="宋体"/>
          <w:sz w:val="24"/>
          <w:szCs w:val="24"/>
        </w:rPr>
      </w:pPr>
      <w:r/>
      <w:bookmarkStart w:id="35" w:name="_Toc16938523"/>
      <w:r/>
      <w:bookmarkStart w:id="36" w:name="_Toc513029207"/>
      <w:r/>
      <w:bookmarkStart w:id="37" w:name="_Toc20823279"/>
      <w:r/>
      <w:bookmarkStart w:id="38" w:name="_Toc462564067"/>
      <w:r>
        <w:rPr>
          <w:rFonts w:hint="eastAsia" w:ascii="宋体" w:hAnsi="宋体"/>
          <w:sz w:val="24"/>
          <w:szCs w:val="24"/>
        </w:rPr>
        <w:t xml:space="preserve">4.投标费用</w:t>
      </w:r>
      <w:bookmarkEnd w:id="35"/>
      <w:r/>
      <w:bookmarkEnd w:id="36"/>
      <w:r/>
      <w:bookmarkEnd w:id="37"/>
      <w:r/>
      <w:bookmarkEnd w:id="38"/>
      <w:r>
        <w:rPr>
          <w:rFonts w:hint="eastAsia"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4.1 </w:t>
      </w:r>
      <w:r>
        <w:rPr>
          <w:rFonts w:hint="eastAsia" w:ascii="宋体" w:hAnsi="宋体"/>
          <w:sz w:val="24"/>
        </w:rPr>
        <w:t xml:space="preserve">投标人应自行承担所有与参加投标有关的费用，代理机构在任何情况下均无义务和责任承担这些费用。</w:t>
      </w:r>
      <w:r>
        <w:rPr>
          <w:rFonts w:hint="eastAsia" w:ascii="宋体" w:hAnsi="宋体"/>
          <w:sz w:val="24"/>
          <w:szCs w:val="24"/>
        </w:rPr>
        <w:t xml:space="preserve">。</w:t>
      </w:r>
      <w:r>
        <w:rPr>
          <w:rFonts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4.2 </w:t>
      </w:r>
      <w:r>
        <w:rPr>
          <w:rFonts w:ascii="宋体" w:hAnsi="宋体"/>
          <w:sz w:val="24"/>
          <w:szCs w:val="24"/>
        </w:rPr>
        <w:t xml:space="preserve">成交通知书发出后一周</w:t>
      </w:r>
      <w:r>
        <w:rPr>
          <w:rFonts w:ascii="宋体" w:hAnsi="宋体"/>
          <w:sz w:val="24"/>
          <w:szCs w:val="24"/>
        </w:rPr>
        <w:t xml:space="preserve">内</w:t>
      </w:r>
      <w:r>
        <w:rPr>
          <w:rFonts w:hint="eastAsia" w:ascii="宋体" w:hAnsi="宋体"/>
          <w:sz w:val="24"/>
          <w:szCs w:val="24"/>
        </w:rPr>
        <w:t xml:space="preserve">，代理费根据计价格（2002）1980号文件规定标准的80%由中标人支付，本项费用由投标人支付，需综合考虑到投标报价中，本项费用无需在投标报价表中单列。专家评审费由采购人支付。</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5.招标文件的约束力</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5.1 投标人一旦参加本项目采购活动，即被认为接受了本文件的规定和约束。</w:t>
      </w:r>
      <w:r/>
    </w:p>
    <w:p>
      <w:pPr>
        <w:pStyle w:val="769"/>
        <w:ind w:firstLine="482"/>
        <w:keepNext/>
        <w:spacing w:line="360" w:lineRule="auto"/>
        <w:rPr>
          <w:rFonts w:hint="eastAsia" w:ascii="宋体" w:hAnsi="宋体"/>
          <w:b/>
          <w:bCs/>
          <w:sz w:val="24"/>
          <w:szCs w:val="24"/>
        </w:rPr>
      </w:pPr>
      <w:r/>
      <w:bookmarkStart w:id="39" w:name="_Toc16938525"/>
      <w:r/>
      <w:bookmarkStart w:id="40" w:name="_Toc120614215"/>
      <w:r/>
      <w:bookmarkStart w:id="41" w:name="_Toc20823281"/>
      <w:r/>
      <w:bookmarkStart w:id="42" w:name="_Toc513029209"/>
      <w:r>
        <w:rPr>
          <w:rFonts w:hint="eastAsia" w:ascii="宋体" w:hAnsi="宋体"/>
          <w:b/>
          <w:bCs/>
          <w:sz w:val="24"/>
          <w:szCs w:val="24"/>
        </w:rPr>
        <w:t xml:space="preserve">二、招标文件</w:t>
      </w:r>
      <w:bookmarkEnd w:id="39"/>
      <w:r/>
      <w:bookmarkEnd w:id="40"/>
      <w:r/>
      <w:bookmarkEnd w:id="41"/>
      <w:r/>
      <w:bookmarkEnd w:id="42"/>
      <w:r>
        <w:rPr>
          <w:rFonts w:hint="eastAsia" w:ascii="宋体" w:hAnsi="宋体"/>
          <w:b/>
          <w:bCs/>
          <w:sz w:val="24"/>
          <w:szCs w:val="24"/>
        </w:rPr>
      </w:r>
      <w:r/>
    </w:p>
    <w:p>
      <w:pPr>
        <w:pStyle w:val="769"/>
        <w:ind w:firstLine="480"/>
        <w:keepNext/>
        <w:spacing w:line="360" w:lineRule="auto"/>
        <w:rPr>
          <w:rFonts w:hint="eastAsia" w:ascii="宋体" w:hAnsi="宋体"/>
          <w:sz w:val="24"/>
          <w:szCs w:val="24"/>
        </w:rPr>
      </w:pPr>
      <w:r/>
      <w:bookmarkStart w:id="43" w:name="_Toc513029210"/>
      <w:r/>
      <w:bookmarkStart w:id="44" w:name="_Toc16938526"/>
      <w:r/>
      <w:bookmarkStart w:id="45" w:name="_Toc20823282"/>
      <w:r>
        <w:rPr>
          <w:rFonts w:hint="eastAsia" w:ascii="宋体" w:hAnsi="宋体"/>
          <w:sz w:val="24"/>
          <w:szCs w:val="24"/>
        </w:rPr>
        <w:t xml:space="preserve">6.招标文件构</w:t>
      </w:r>
      <w:r>
        <w:rPr>
          <w:rFonts w:hint="eastAsia" w:ascii="宋体" w:hAnsi="宋体"/>
          <w:sz w:val="24"/>
          <w:szCs w:val="24"/>
        </w:rPr>
        <w:t xml:space="preserve">成</w:t>
      </w:r>
      <w:bookmarkEnd w:id="43"/>
      <w:r/>
      <w:bookmarkEnd w:id="44"/>
      <w:r/>
      <w:bookmarkEnd w:id="45"/>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6.1 招标文件由以下部分组成：</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（1）投标邀请</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（2）投标人须知</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（3）合同文本</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（4）采购需求</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（5）评标方法与评标标准</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（6）投标文件格式</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投标人应仔细检查招标文件是否齐全，如有缺漏请立即与代理机构联系。</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9"/>
        <w:ind w:firstLine="480"/>
        <w:keepNext/>
        <w:spacing w:line="360" w:lineRule="auto"/>
        <w:rPr>
          <w:rFonts w:hint="eastAsia" w:ascii="宋体" w:hAnsi="宋体"/>
          <w:sz w:val="24"/>
          <w:szCs w:val="24"/>
        </w:rPr>
      </w:pPr>
      <w:r/>
      <w:bookmarkStart w:id="46" w:name="_Toc20823284"/>
      <w:r/>
      <w:bookmarkStart w:id="47" w:name="_Toc462564071"/>
      <w:r/>
      <w:bookmarkStart w:id="48" w:name="_Toc16938528"/>
      <w:r/>
      <w:bookmarkStart w:id="49" w:name="_Toc513029212"/>
      <w:r>
        <w:rPr>
          <w:rFonts w:hint="eastAsia" w:ascii="宋体" w:hAnsi="宋体"/>
          <w:sz w:val="24"/>
          <w:szCs w:val="24"/>
        </w:rPr>
        <w:t xml:space="preserve">7</w:t>
      </w:r>
      <w:r>
        <w:rPr>
          <w:rFonts w:hint="eastAsia" w:ascii="宋体" w:hAnsi="宋体"/>
          <w:sz w:val="24"/>
          <w:szCs w:val="24"/>
        </w:rPr>
        <w:t xml:space="preserve">.招标文件</w:t>
      </w:r>
      <w:r>
        <w:rPr>
          <w:rFonts w:hint="eastAsia" w:ascii="宋体" w:hAnsi="宋体"/>
          <w:sz w:val="24"/>
          <w:szCs w:val="24"/>
        </w:rPr>
        <w:t xml:space="preserve">澄清或</w:t>
      </w:r>
      <w:r>
        <w:rPr>
          <w:rFonts w:hint="eastAsia" w:ascii="宋体" w:hAnsi="宋体"/>
          <w:sz w:val="24"/>
          <w:szCs w:val="24"/>
        </w:rPr>
        <w:t xml:space="preserve">修改</w:t>
      </w:r>
      <w:bookmarkEnd w:id="46"/>
      <w:r/>
      <w:bookmarkEnd w:id="47"/>
      <w:r/>
      <w:bookmarkEnd w:id="48"/>
      <w:r/>
      <w:bookmarkEnd w:id="49"/>
      <w:r>
        <w:rPr>
          <w:rFonts w:hint="eastAsia" w:ascii="宋体" w:hAnsi="宋体"/>
          <w:sz w:val="24"/>
          <w:szCs w:val="24"/>
        </w:rPr>
      </w:r>
      <w:r/>
    </w:p>
    <w:p>
      <w:pPr>
        <w:pStyle w:val="769"/>
        <w:ind w:firstLine="480"/>
        <w:keepNext/>
        <w:spacing w:line="360" w:lineRule="auto"/>
        <w:rPr>
          <w:rFonts w:hint="eastAsia" w:ascii="宋体" w:hAnsi="宋体"/>
          <w:sz w:val="24"/>
          <w:szCs w:val="24"/>
        </w:rPr>
      </w:pPr>
      <w:r/>
      <w:bookmarkStart w:id="50" w:name="_Toc120614216"/>
      <w:r/>
      <w:bookmarkStart w:id="51" w:name="_Toc20823285"/>
      <w:r/>
      <w:bookmarkStart w:id="52" w:name="_Toc16938529"/>
      <w:r/>
      <w:bookmarkStart w:id="53" w:name="_Toc462564072"/>
      <w:r/>
      <w:bookmarkStart w:id="54" w:name="_Toc513029213"/>
      <w:r>
        <w:rPr>
          <w:rFonts w:hint="eastAsia" w:ascii="宋体" w:hAnsi="宋体"/>
          <w:sz w:val="24"/>
          <w:szCs w:val="24"/>
        </w:rPr>
        <w:t xml:space="preserve">7</w:t>
      </w:r>
      <w:r>
        <w:rPr>
          <w:rFonts w:hint="eastAsia" w:ascii="宋体" w:hAnsi="宋体"/>
          <w:sz w:val="24"/>
          <w:szCs w:val="24"/>
        </w:rPr>
        <w:t xml:space="preserve">.1 </w:t>
      </w:r>
      <w:r>
        <w:rPr>
          <w:rFonts w:hint="eastAsia" w:ascii="宋体" w:hAnsi="宋体"/>
          <w:sz w:val="24"/>
        </w:rPr>
        <w:t xml:space="preserve">在投标截止时间前，代理机构可以对已发出的招标文件进行必要的澄清或者修改，并在原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rPr>
          <w:rFonts w:hint="eastAsia" w:ascii="宋体" w:hAnsi="宋体"/>
          <w:sz w:val="24"/>
          <w:szCs w:val="24"/>
        </w:rPr>
        <w:t xml:space="preserve">。</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.2 </w:t>
      </w:r>
      <w:r>
        <w:rPr>
          <w:rFonts w:hint="eastAsia" w:ascii="宋体" w:hAnsi="宋体"/>
          <w:sz w:val="24"/>
        </w:rPr>
        <w:t xml:space="preserve">投标人应在投标截止时间前，关注原公告发布媒体有关本项目的更正公告，根据更正公告内容自行决定是否需要重新制作和提交投标文件，并承担由此产生的相应责任</w:t>
      </w:r>
      <w:r>
        <w:rPr>
          <w:rFonts w:hint="eastAsia" w:ascii="宋体" w:hAnsi="宋体"/>
          <w:sz w:val="24"/>
          <w:szCs w:val="24"/>
        </w:rPr>
        <w:t xml:space="preserve">。</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t xml:space="preserve">.3 代理机构有权按照法定的要求推迟投标截止日期和开标日期，并在原公告媒体发布更正公告。</w:t>
      </w:r>
      <w:r/>
    </w:p>
    <w:p>
      <w:pPr>
        <w:pStyle w:val="769"/>
        <w:ind w:firstLine="482"/>
        <w:keepNext/>
        <w:spacing w:line="360" w:lineRule="auto"/>
        <w:rPr>
          <w:rFonts w:hint="eastAsia" w:ascii="宋体" w:hAnsi="宋体"/>
          <w:b/>
          <w:bCs/>
          <w:sz w:val="24"/>
          <w:szCs w:val="24"/>
        </w:rPr>
      </w:pPr>
      <w:r>
        <w:rPr>
          <w:rFonts w:hint="eastAsia" w:ascii="宋体" w:hAnsi="宋体"/>
          <w:b/>
          <w:bCs/>
          <w:sz w:val="24"/>
          <w:szCs w:val="24"/>
        </w:rPr>
        <w:t xml:space="preserve">三、投标文件的编制</w:t>
      </w:r>
      <w:bookmarkEnd w:id="50"/>
      <w:r/>
      <w:bookmarkEnd w:id="51"/>
      <w:r/>
      <w:bookmarkEnd w:id="52"/>
      <w:r/>
      <w:bookmarkEnd w:id="53"/>
      <w:r/>
      <w:bookmarkEnd w:id="54"/>
      <w:r>
        <w:rPr>
          <w:rFonts w:hint="eastAsia" w:ascii="宋体" w:hAnsi="宋体"/>
          <w:b/>
          <w:bCs/>
          <w:sz w:val="24"/>
          <w:szCs w:val="24"/>
        </w:rPr>
      </w:r>
      <w:r/>
    </w:p>
    <w:p>
      <w:pPr>
        <w:pStyle w:val="769"/>
        <w:ind w:firstLine="480"/>
        <w:keepNext/>
        <w:spacing w:line="360" w:lineRule="auto"/>
        <w:rPr>
          <w:rFonts w:hint="eastAsia" w:ascii="宋体" w:hAnsi="宋体"/>
          <w:sz w:val="24"/>
          <w:szCs w:val="24"/>
        </w:rPr>
      </w:pPr>
      <w:r/>
      <w:bookmarkStart w:id="55" w:name="_Toc513029214"/>
      <w:r/>
      <w:bookmarkStart w:id="56" w:name="_Toc20823286"/>
      <w:r/>
      <w:bookmarkStart w:id="57" w:name="_Toc462564073"/>
      <w:r/>
      <w:bookmarkStart w:id="58" w:name="_Toc16938530"/>
      <w:r>
        <w:rPr>
          <w:rFonts w:hint="eastAsia" w:ascii="宋体" w:hAnsi="宋体"/>
          <w:sz w:val="24"/>
          <w:szCs w:val="24"/>
        </w:rPr>
        <w:t xml:space="preserve">8</w:t>
      </w:r>
      <w:r>
        <w:rPr>
          <w:rFonts w:hint="eastAsia" w:ascii="宋体" w:hAnsi="宋体"/>
          <w:sz w:val="24"/>
          <w:szCs w:val="24"/>
        </w:rPr>
        <w:t xml:space="preserve">.投标文件的语言及度量衡单位</w:t>
      </w:r>
      <w:bookmarkEnd w:id="55"/>
      <w:r/>
      <w:bookmarkEnd w:id="56"/>
      <w:r/>
      <w:bookmarkEnd w:id="57"/>
      <w:r/>
      <w:bookmarkEnd w:id="58"/>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t xml:space="preserve">.1 </w:t>
      </w:r>
      <w:r>
        <w:rPr>
          <w:rFonts w:hint="eastAsia" w:ascii="宋体" w:hAnsi="宋体"/>
          <w:sz w:val="24"/>
        </w:rPr>
        <w:t xml:space="preserve">投标人提交的投标文件以及投标人与代理机构就有关投标的所有来往通知、函件和文件均应使用简体</w:t>
      </w:r>
      <w:r>
        <w:rPr>
          <w:rFonts w:hint="eastAsia" w:ascii="宋体" w:hAnsi="宋体"/>
          <w:sz w:val="24"/>
        </w:rPr>
        <w:t xml:space="preserve">中文</w:t>
      </w:r>
      <w:r>
        <w:rPr>
          <w:rFonts w:hint="eastAsia" w:ascii="宋体" w:hAnsi="宋体"/>
          <w:sz w:val="24"/>
          <w:szCs w:val="24"/>
        </w:rPr>
        <w:t xml:space="preserve">。</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t xml:space="preserve">.2 除技术性能另有规定外，投标文件所使用的度量衡单位，均须采用国家法定计量单位。</w:t>
      </w:r>
      <w:r/>
    </w:p>
    <w:p>
      <w:pPr>
        <w:pStyle w:val="769"/>
        <w:ind w:firstLine="480"/>
        <w:keepNext/>
        <w:spacing w:line="360" w:lineRule="auto"/>
        <w:rPr>
          <w:rFonts w:hint="eastAsia" w:ascii="宋体" w:hAnsi="宋体"/>
          <w:sz w:val="24"/>
          <w:szCs w:val="24"/>
        </w:rPr>
      </w:pPr>
      <w:r/>
      <w:bookmarkStart w:id="59" w:name="_Toc513029215"/>
      <w:r/>
      <w:bookmarkStart w:id="60" w:name="_Toc20823287"/>
      <w:r/>
      <w:bookmarkStart w:id="61" w:name="_Toc16938531"/>
      <w:r/>
      <w:bookmarkStart w:id="62" w:name="_Toc462564074"/>
      <w:r>
        <w:rPr>
          <w:rFonts w:hint="eastAsia" w:ascii="宋体" w:hAnsi="宋体"/>
          <w:sz w:val="24"/>
          <w:szCs w:val="24"/>
        </w:rPr>
        <w:t xml:space="preserve">9</w:t>
      </w:r>
      <w:r>
        <w:rPr>
          <w:rFonts w:hint="eastAsia" w:ascii="宋体" w:hAnsi="宋体"/>
          <w:sz w:val="24"/>
          <w:szCs w:val="24"/>
        </w:rPr>
        <w:t xml:space="preserve">.投标文件构成</w:t>
      </w:r>
      <w:bookmarkEnd w:id="59"/>
      <w:r/>
      <w:bookmarkEnd w:id="60"/>
      <w:r/>
      <w:bookmarkEnd w:id="61"/>
      <w:r/>
      <w:bookmarkEnd w:id="62"/>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t xml:space="preserve">.1 </w:t>
      </w:r>
      <w:r>
        <w:rPr>
          <w:rFonts w:hint="eastAsia" w:ascii="宋体" w:hAnsi="宋体"/>
          <w:sz w:val="24"/>
          <w:szCs w:val="21"/>
        </w:rPr>
        <w:t xml:space="preserve">投标文件应包括资格证明文件、符合性证明文件、开标一览表、投标分项报价表（如有）、响应及偏离表、投标函、法定代表人授权委托书</w:t>
      </w:r>
      <w:r>
        <w:rPr>
          <w:rFonts w:hint="eastAsia" w:ascii="宋体" w:hAnsi="宋体"/>
          <w:sz w:val="24"/>
          <w:szCs w:val="24"/>
        </w:rPr>
        <w:t xml:space="preserve">。</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t xml:space="preserve">.2 </w:t>
      </w:r>
      <w:r>
        <w:rPr>
          <w:rFonts w:hint="eastAsia" w:ascii="宋体" w:hAnsi="宋体"/>
          <w:b/>
          <w:bCs/>
          <w:sz w:val="24"/>
          <w:szCs w:val="21"/>
        </w:rPr>
        <w:t xml:space="preserve">如标书制作工具与“江苏政府采购网”发布的招标文件内容不一致，以“江苏政府采购</w:t>
      </w:r>
      <w:r>
        <w:rPr>
          <w:rFonts w:hint="eastAsia" w:ascii="宋体" w:hAnsi="宋体"/>
          <w:sz w:val="24"/>
          <w:szCs w:val="24"/>
        </w:rPr>
        <w:t xml:space="preserve">网”发布的招标文件内容为准</w:t>
      </w:r>
      <w:r>
        <w:rPr>
          <w:rFonts w:hint="eastAsia" w:ascii="宋体" w:hAnsi="宋体"/>
          <w:sz w:val="24"/>
          <w:szCs w:val="24"/>
        </w:rPr>
        <w:t xml:space="preserve">。</w:t>
      </w:r>
      <w:r/>
    </w:p>
    <w:p>
      <w:pPr>
        <w:pStyle w:val="769"/>
        <w:ind w:firstLine="480"/>
        <w:keepNext/>
        <w:spacing w:line="360" w:lineRule="auto"/>
        <w:rPr>
          <w:rFonts w:ascii="宋体" w:hAnsi="宋体"/>
          <w:sz w:val="24"/>
          <w:szCs w:val="24"/>
        </w:rPr>
      </w:pPr>
      <w:r/>
      <w:bookmarkStart w:id="63" w:name="_Hlt26954838"/>
      <w:r/>
      <w:bookmarkEnd w:id="63"/>
      <w:r/>
      <w:bookmarkStart w:id="64" w:name="_Hlt26670360"/>
      <w:r/>
      <w:bookmarkEnd w:id="64"/>
      <w:r/>
      <w:bookmarkStart w:id="65" w:name="_Hlt26668975"/>
      <w:r/>
      <w:bookmarkEnd w:id="65"/>
      <w:r>
        <w:rPr>
          <w:rFonts w:hint="eastAsia" w:ascii="宋体" w:hAnsi="宋体"/>
          <w:sz w:val="24"/>
          <w:szCs w:val="24"/>
        </w:rPr>
        <w:t xml:space="preserve">10.投标报价</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10.1 投标文件中的单价和总价无特殊规定的采用人民币报价，以元为单位标注。招标文件另有规定的按规定执行。</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10.2 投标人应按照招标文件规定完整、准确填报开标一览表和投标分项报价表（如有），否则作为无效投标。</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11.响应及偏离表</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11.1 投标人需对招标文件中的技术要求与商务要求逐项作出响应或偏离说明。</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11.2 投标人可以在投标文件中提供认为需要的其他技</w:t>
      </w:r>
      <w:r>
        <w:rPr>
          <w:rFonts w:hint="eastAsia" w:ascii="宋体" w:hAnsi="宋体"/>
          <w:sz w:val="24"/>
          <w:szCs w:val="24"/>
        </w:rPr>
        <w:t xml:space="preserve">术文件或说明。</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12.投标函和授权委托书</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12.1 投标人应按照招标文件规定完整、正确填报投标函和法定代表人授权委托书，否则作为无效投标。</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13.投标有效期</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13.1 投标有效期为招标公告规定的开标之日起六十天。投标有效期比规定短的将被视为未实质性响应招标文件，其投标将被拒绝。</w:t>
      </w:r>
      <w:r>
        <w:rPr>
          <w:rFonts w:ascii="宋体" w:hAnsi="宋体"/>
          <w:sz w:val="24"/>
          <w:szCs w:val="24"/>
        </w:rPr>
      </w:r>
      <w:r/>
    </w:p>
    <w:p>
      <w:pPr>
        <w:pStyle w:val="769"/>
        <w:ind w:firstLine="480"/>
        <w:keepNext/>
        <w:spacing w:line="360" w:lineRule="auto"/>
        <w:rPr>
          <w:rFonts w:ascii="宋体" w:hAnsi="宋体"/>
          <w:sz w:val="24"/>
          <w:szCs w:val="24"/>
        </w:rPr>
      </w:pPr>
      <w:r>
        <w:rPr>
          <w:rFonts w:hint="eastAsia" w:ascii="宋体" w:hAnsi="宋体"/>
          <w:sz w:val="24"/>
          <w:szCs w:val="24"/>
        </w:rPr>
        <w:t xml:space="preserve">14.投</w:t>
      </w:r>
      <w:r>
        <w:rPr>
          <w:rFonts w:hint="eastAsia" w:ascii="宋体" w:hAnsi="宋体"/>
          <w:sz w:val="24"/>
          <w:szCs w:val="24"/>
        </w:rPr>
        <w:t xml:space="preserve">标有效期的延长</w:t>
      </w:r>
      <w:r>
        <w:rPr>
          <w:rFonts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14.1 在特殊情况下，</w:t>
      </w:r>
      <w:r>
        <w:rPr>
          <w:rFonts w:hint="eastAsia" w:ascii="宋体" w:hAnsi="宋体"/>
          <w:sz w:val="24"/>
          <w:szCs w:val="24"/>
        </w:rPr>
        <w:t xml:space="preserve">代理机构</w:t>
      </w:r>
      <w:r>
        <w:rPr>
          <w:rFonts w:hint="eastAsia" w:ascii="宋体" w:hAnsi="宋体"/>
          <w:sz w:val="24"/>
          <w:szCs w:val="24"/>
        </w:rPr>
        <w:t xml:space="preserve">于原投标有效期满之前，可向投标人提出延长投标有效期的要求。这种要求与答复均应采用书面形式。投标人可以拒绝</w:t>
      </w:r>
      <w:r>
        <w:rPr>
          <w:rFonts w:hint="eastAsia" w:ascii="宋体" w:hAnsi="宋体"/>
          <w:sz w:val="24"/>
          <w:szCs w:val="24"/>
        </w:rPr>
        <w:t xml:space="preserve">代理机构</w:t>
      </w:r>
      <w:r>
        <w:rPr>
          <w:rFonts w:hint="eastAsia" w:ascii="宋体" w:hAnsi="宋体"/>
          <w:sz w:val="24"/>
          <w:szCs w:val="24"/>
        </w:rPr>
        <w:t xml:space="preserve">的这一要求而放弃投标。同意延长投标有效期的投标人既不能要求也不允许修改其投标</w:t>
      </w:r>
      <w:r>
        <w:rPr>
          <w:rFonts w:hint="eastAsia" w:ascii="宋体" w:hAnsi="宋体"/>
          <w:sz w:val="24"/>
          <w:szCs w:val="24"/>
        </w:rPr>
        <w:t xml:space="preserve">文件，同时受投标有效期约束的所有权利与义务均延长至新的有效期满。</w:t>
      </w:r>
      <w:r>
        <w:rPr>
          <w:rFonts w:hint="eastAsia" w:ascii="宋体" w:hAnsi="宋体"/>
          <w:sz w:val="24"/>
          <w:szCs w:val="24"/>
        </w:rPr>
      </w:r>
      <w:r/>
    </w:p>
    <w:p>
      <w:pPr>
        <w:pStyle w:val="769"/>
        <w:ind w:firstLine="480"/>
        <w:keepNext/>
        <w:spacing w:line="360" w:lineRule="auto"/>
        <w:rPr>
          <w:rFonts w:hint="eastAsia" w:ascii="宋体" w:hAnsi="宋体"/>
          <w:sz w:val="24"/>
          <w:szCs w:val="24"/>
        </w:rPr>
      </w:pPr>
      <w:r/>
      <w:bookmarkStart w:id="66" w:name="_Toc20823309"/>
      <w:r/>
      <w:bookmarkStart w:id="67" w:name="_Toc16938553"/>
      <w:r/>
      <w:bookmarkStart w:id="68" w:name="_Toc513029237"/>
      <w:r/>
      <w:bookmarkStart w:id="69" w:name="_Hlt26954739"/>
      <w:r/>
      <w:bookmarkEnd w:id="69"/>
      <w:r/>
      <w:bookmarkStart w:id="70" w:name="_Hlt26954852"/>
      <w:r/>
      <w:bookmarkEnd w:id="70"/>
      <w:r/>
      <w:bookmarkStart w:id="71" w:name="_Toc16938540"/>
      <w:r/>
      <w:bookmarkStart w:id="72" w:name="_Toc513029224"/>
      <w:r/>
      <w:bookmarkStart w:id="73" w:name="_Toc120614217"/>
      <w:r/>
      <w:bookmarkStart w:id="74" w:name="_Toc20823296"/>
      <w:r>
        <w:rPr>
          <w:rFonts w:hint="eastAsia" w:ascii="宋体" w:hAnsi="宋体"/>
          <w:sz w:val="24"/>
          <w:szCs w:val="24"/>
        </w:rPr>
        <w:t xml:space="preserve">四、投标文件的递交</w:t>
      </w:r>
      <w:bookmarkEnd w:id="71"/>
      <w:r/>
      <w:bookmarkEnd w:id="72"/>
      <w:r/>
      <w:bookmarkEnd w:id="73"/>
      <w:r/>
      <w:bookmarkEnd w:id="74"/>
      <w:r>
        <w:rPr>
          <w:rFonts w:hint="eastAsia" w:ascii="宋体" w:hAnsi="宋体"/>
          <w:sz w:val="24"/>
          <w:szCs w:val="24"/>
        </w:rPr>
        <w:t xml:space="preserve">、撤回和修改</w:t>
      </w:r>
      <w:r>
        <w:rPr>
          <w:rFonts w:hint="eastAsia" w:ascii="宋体" w:hAnsi="宋体"/>
          <w:sz w:val="24"/>
          <w:szCs w:val="24"/>
        </w:rPr>
      </w:r>
      <w:r/>
    </w:p>
    <w:p>
      <w:pPr>
        <w:pStyle w:val="769"/>
        <w:ind w:firstLine="480"/>
        <w:keepNext/>
        <w:spacing w:line="360" w:lineRule="auto"/>
        <w:rPr>
          <w:rFonts w:hint="eastAsia" w:ascii="宋体" w:hAnsi="宋体"/>
          <w:sz w:val="24"/>
          <w:szCs w:val="24"/>
          <w:lang w:val="zh-CN"/>
        </w:rPr>
      </w:pPr>
      <w:r/>
      <w:bookmarkStart w:id="75" w:name="_Toc462564084"/>
      <w:r/>
      <w:bookmarkStart w:id="76" w:name="_Toc513029225"/>
      <w:r/>
      <w:bookmarkStart w:id="77" w:name="_Toc20823297"/>
      <w:r/>
      <w:bookmarkStart w:id="78" w:name="_Toc16938541"/>
      <w:r>
        <w:rPr>
          <w:rFonts w:hint="eastAsia" w:ascii="宋体" w:hAnsi="宋体"/>
          <w:sz w:val="24"/>
          <w:szCs w:val="24"/>
          <w:lang w:val="zh-CN"/>
        </w:rPr>
        <w:t xml:space="preserve">1</w:t>
      </w:r>
      <w:r>
        <w:rPr>
          <w:rFonts w:hint="eastAsia" w:ascii="宋体" w:hAnsi="宋体"/>
          <w:sz w:val="24"/>
          <w:szCs w:val="24"/>
          <w:lang w:val="zh-CN"/>
        </w:rPr>
        <w:t xml:space="preserve">5</w:t>
      </w:r>
      <w:r>
        <w:rPr>
          <w:rFonts w:hint="eastAsia" w:ascii="宋体" w:hAnsi="宋体"/>
          <w:sz w:val="24"/>
          <w:szCs w:val="24"/>
        </w:rPr>
        <w:t xml:space="preserve">.</w:t>
      </w:r>
      <w:r>
        <w:rPr>
          <w:rFonts w:hint="eastAsia" w:ascii="宋体" w:hAnsi="宋体"/>
          <w:sz w:val="24"/>
          <w:szCs w:val="24"/>
          <w:lang w:val="zh-CN"/>
        </w:rPr>
        <w:t xml:space="preserve">投标文件</w:t>
      </w:r>
      <w:bookmarkEnd w:id="75"/>
      <w:r/>
      <w:bookmarkEnd w:id="76"/>
      <w:r/>
      <w:bookmarkEnd w:id="77"/>
      <w:r/>
      <w:bookmarkEnd w:id="78"/>
      <w:r>
        <w:rPr>
          <w:rFonts w:hint="eastAsia" w:ascii="宋体" w:hAnsi="宋体"/>
          <w:sz w:val="24"/>
          <w:szCs w:val="24"/>
          <w:lang w:val="zh-CN"/>
        </w:rPr>
        <w:t xml:space="preserve">的递交</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lang w:val="zh-CN"/>
        </w:rPr>
        <w:t xml:space="preserve">5</w:t>
      </w:r>
      <w:r>
        <w:rPr>
          <w:rFonts w:hint="eastAsia" w:ascii="宋体" w:hAnsi="宋体"/>
          <w:sz w:val="24"/>
          <w:szCs w:val="24"/>
          <w:lang w:val="zh-CN"/>
        </w:rPr>
        <w:t xml:space="preserve">.1 </w:t>
      </w:r>
      <w:r>
        <w:rPr>
          <w:rFonts w:hint="eastAsia" w:ascii="宋体" w:hAnsi="宋体"/>
          <w:sz w:val="24"/>
          <w:lang w:val="zh-CN"/>
        </w:rPr>
        <w:t xml:space="preserve">投标人应在招标公告规定的投标截止时间前制作并上传电子投标文件。投标截止时间后上传的投标文件将被拒绝</w:t>
      </w:r>
      <w:r>
        <w:rPr>
          <w:rFonts w:hint="eastAsia" w:ascii="宋体" w:hAnsi="宋体"/>
          <w:sz w:val="24"/>
          <w:szCs w:val="24"/>
          <w:lang w:val="zh-CN"/>
        </w:rPr>
        <w:t xml:space="preserve">。</w:t>
      </w:r>
      <w:bookmarkStart w:id="79" w:name="_Toc20823298"/>
      <w:r/>
      <w:bookmarkStart w:id="80" w:name="_Toc513029226"/>
      <w:r/>
      <w:bookmarkStart w:id="81" w:name="_Toc16938542"/>
      <w:r>
        <w:rPr>
          <w:rFonts w:hint="eastAsia" w:ascii="宋体" w:hAnsi="宋体"/>
          <w:sz w:val="24"/>
          <w:szCs w:val="24"/>
          <w:lang w:val="zh-CN"/>
        </w:rPr>
      </w:r>
      <w:r/>
    </w:p>
    <w:p>
      <w:pPr>
        <w:pStyle w:val="769"/>
        <w:ind w:firstLine="480"/>
        <w:keepNext/>
        <w:spacing w:line="360" w:lineRule="auto"/>
        <w:rPr>
          <w:rFonts w:hint="eastAsia" w:ascii="宋体" w:hAnsi="宋体"/>
          <w:sz w:val="24"/>
          <w:szCs w:val="24"/>
          <w:lang w:val="zh-CN"/>
        </w:rPr>
      </w:pPr>
      <w:r/>
      <w:bookmarkEnd w:id="79"/>
      <w:r/>
      <w:bookmarkEnd w:id="80"/>
      <w:r/>
      <w:bookmarkEnd w:id="81"/>
      <w:r>
        <w:rPr>
          <w:rFonts w:hint="eastAsia" w:ascii="宋体" w:hAnsi="宋体"/>
          <w:sz w:val="24"/>
          <w:szCs w:val="24"/>
          <w:lang w:val="zh-CN"/>
        </w:rPr>
        <w:t xml:space="preserve">1</w:t>
      </w:r>
      <w:r>
        <w:rPr>
          <w:rFonts w:hint="eastAsia" w:ascii="宋体" w:hAnsi="宋体"/>
          <w:sz w:val="24"/>
          <w:szCs w:val="24"/>
        </w:rPr>
        <w:t xml:space="preserve">5</w:t>
      </w:r>
      <w:r>
        <w:rPr>
          <w:rFonts w:hint="eastAsia" w:ascii="宋体" w:hAnsi="宋体"/>
          <w:sz w:val="24"/>
          <w:szCs w:val="24"/>
          <w:lang w:val="zh-CN"/>
        </w:rPr>
        <w:t xml:space="preserve">.</w:t>
      </w:r>
      <w:r>
        <w:rPr>
          <w:rFonts w:hint="eastAsia" w:ascii="宋体" w:hAnsi="宋体"/>
          <w:sz w:val="24"/>
          <w:szCs w:val="24"/>
        </w:rPr>
        <w:t xml:space="preserve">2</w:t>
      </w:r>
      <w:r>
        <w:rPr>
          <w:rFonts w:hint="eastAsia" w:ascii="宋体" w:hAnsi="宋体"/>
          <w:sz w:val="24"/>
          <w:szCs w:val="24"/>
          <w:lang w:val="zh-CN"/>
        </w:rPr>
        <w:t xml:space="preserve"> </w:t>
      </w:r>
      <w:r>
        <w:rPr>
          <w:rFonts w:hint="eastAsia" w:ascii="宋体" w:hAnsi="宋体"/>
          <w:sz w:val="24"/>
          <w:lang w:val="zh-CN"/>
        </w:rPr>
        <w:t xml:space="preserve">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w:t>
      </w:r>
      <w:r>
        <w:rPr>
          <w:rFonts w:hint="eastAsia" w:ascii="宋体" w:hAnsi="宋体"/>
          <w:sz w:val="24"/>
          <w:szCs w:val="24"/>
          <w:lang w:val="zh-CN"/>
        </w:rPr>
        <w:t xml:space="preserve">理</w:t>
      </w:r>
      <w:r>
        <w:rPr>
          <w:rFonts w:hint="eastAsia" w:ascii="宋体" w:hAnsi="宋体"/>
          <w:sz w:val="24"/>
          <w:szCs w:val="24"/>
          <w:lang w:val="zh-CN"/>
        </w:rPr>
        <w:t xml:space="preserve">。</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lang w:val="zh-CN"/>
        </w:rPr>
        <w:t xml:space="preserve">5</w:t>
      </w:r>
      <w:r>
        <w:rPr>
          <w:rFonts w:hint="eastAsia" w:ascii="宋体" w:hAnsi="宋体"/>
          <w:sz w:val="24"/>
          <w:szCs w:val="24"/>
          <w:lang w:val="zh-CN"/>
        </w:rPr>
        <w:t xml:space="preserve">.</w:t>
      </w:r>
      <w:r>
        <w:rPr>
          <w:rFonts w:hint="eastAsia" w:ascii="宋体" w:hAnsi="宋体"/>
          <w:sz w:val="24"/>
          <w:szCs w:val="24"/>
          <w:lang w:val="zh-CN"/>
        </w:rPr>
        <w:t xml:space="preserve">3</w:t>
      </w:r>
      <w:r>
        <w:rPr>
          <w:rFonts w:hint="eastAsia" w:ascii="宋体" w:hAnsi="宋体"/>
          <w:sz w:val="24"/>
          <w:szCs w:val="24"/>
          <w:lang w:val="zh-CN"/>
        </w:rPr>
        <w:t xml:space="preserve"> 代理机构</w:t>
      </w:r>
      <w:r>
        <w:rPr>
          <w:rFonts w:hint="eastAsia" w:ascii="宋体" w:hAnsi="宋体"/>
          <w:sz w:val="24"/>
          <w:szCs w:val="24"/>
          <w:lang w:val="zh-CN"/>
        </w:rPr>
        <w:t xml:space="preserve">可以按照规定，通过修改招标文件酌情延长投标截止时间，在此情况下，投标人的所有权利和义务均以延长后</w:t>
      </w:r>
      <w:r>
        <w:rPr>
          <w:rFonts w:hint="eastAsia" w:ascii="宋体" w:hAnsi="宋体"/>
          <w:sz w:val="24"/>
          <w:szCs w:val="24"/>
          <w:lang w:val="zh-CN"/>
        </w:rPr>
        <w:t xml:space="preserve">新的截止时间为准</w:t>
      </w:r>
      <w:r>
        <w:rPr>
          <w:rFonts w:hint="eastAsia" w:ascii="宋体" w:hAnsi="宋体"/>
          <w:sz w:val="24"/>
          <w:szCs w:val="24"/>
          <w:lang w:val="zh-CN"/>
        </w:rPr>
        <w:t xml:space="preserve">。</w:t>
      </w:r>
      <w:r/>
    </w:p>
    <w:p>
      <w:pPr>
        <w:pStyle w:val="769"/>
        <w:ind w:firstLine="480"/>
        <w:keepNext/>
        <w:spacing w:line="360" w:lineRule="auto"/>
        <w:rPr>
          <w:rFonts w:hint="eastAsia" w:ascii="宋体" w:hAnsi="宋体"/>
          <w:sz w:val="24"/>
          <w:szCs w:val="24"/>
          <w:lang w:val="zh-CN"/>
        </w:rPr>
      </w:pPr>
      <w:r/>
      <w:bookmarkStart w:id="82" w:name="_Toc513029227"/>
      <w:r/>
      <w:bookmarkStart w:id="83" w:name="_Toc16938543"/>
      <w:r/>
      <w:bookmarkStart w:id="84" w:name="_Toc20823299"/>
      <w:r>
        <w:rPr>
          <w:rFonts w:hint="eastAsia" w:ascii="宋体" w:hAnsi="宋体"/>
          <w:sz w:val="24"/>
          <w:szCs w:val="24"/>
          <w:lang w:val="zh-CN"/>
        </w:rPr>
        <w:t xml:space="preserve">1</w:t>
      </w:r>
      <w:r>
        <w:rPr>
          <w:rFonts w:hint="eastAsia" w:ascii="宋体" w:hAnsi="宋体"/>
          <w:sz w:val="24"/>
          <w:szCs w:val="24"/>
          <w:lang w:val="zh-CN"/>
        </w:rPr>
        <w:t xml:space="preserve">6</w:t>
      </w:r>
      <w:r>
        <w:rPr>
          <w:rFonts w:hint="eastAsia" w:ascii="宋体" w:hAnsi="宋体"/>
          <w:sz w:val="24"/>
          <w:szCs w:val="24"/>
          <w:lang w:val="zh-CN"/>
        </w:rPr>
        <w:t xml:space="preserve">.</w:t>
      </w:r>
      <w:bookmarkEnd w:id="82"/>
      <w:r/>
      <w:bookmarkEnd w:id="83"/>
      <w:r/>
      <w:bookmarkEnd w:id="84"/>
      <w:r>
        <w:rPr>
          <w:rFonts w:hint="eastAsia" w:ascii="宋体" w:hAnsi="宋体"/>
          <w:sz w:val="24"/>
          <w:szCs w:val="24"/>
          <w:lang w:val="zh-CN"/>
        </w:rPr>
        <w:t xml:space="preserve"> 投标文件的撤回和修改</w:t>
      </w:r>
      <w:r>
        <w:rPr>
          <w:rFonts w:hint="eastAsia"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16</w:t>
      </w:r>
      <w:r>
        <w:rPr>
          <w:rFonts w:hint="eastAsia" w:ascii="宋体" w:hAnsi="宋体"/>
          <w:sz w:val="24"/>
          <w:szCs w:val="24"/>
          <w:lang w:val="zh-CN"/>
        </w:rPr>
        <w:t xml:space="preserve">.1 投标文件的撤回</w:t>
      </w:r>
      <w:r/>
    </w:p>
    <w:p>
      <w:pPr>
        <w:pStyle w:val="769"/>
        <w:ind w:firstLine="420"/>
        <w:spacing w:line="360" w:lineRule="auto"/>
        <w:rPr>
          <w:rFonts w:hint="eastAsia" w:ascii="宋体" w:hAnsi="宋体"/>
          <w:sz w:val="24"/>
          <w:szCs w:val="24"/>
          <w:lang w:val="zh-CN"/>
        </w:rPr>
      </w:pPr>
      <w:r>
        <w:rPr>
          <w:rFonts w:hint="eastAsia" w:ascii="宋体" w:hAnsi="宋体"/>
          <w:sz w:val="24"/>
          <w:szCs w:val="24"/>
          <w:lang w:val="zh-CN"/>
        </w:rPr>
        <w:t xml:space="preserve">16.1.1 投标人可在投标截止时间前撤回其电子投标文件。</w:t>
      </w:r>
      <w:r/>
    </w:p>
    <w:p>
      <w:pPr>
        <w:pStyle w:val="769"/>
        <w:ind w:firstLine="420"/>
        <w:spacing w:line="360" w:lineRule="auto"/>
        <w:rPr>
          <w:rFonts w:hint="eastAsia" w:ascii="宋体" w:hAnsi="宋体"/>
          <w:sz w:val="24"/>
          <w:szCs w:val="24"/>
          <w:lang w:val="zh-CN"/>
        </w:rPr>
      </w:pPr>
      <w:r>
        <w:rPr>
          <w:rFonts w:hint="eastAsia" w:ascii="宋体" w:hAnsi="宋体"/>
          <w:sz w:val="24"/>
          <w:szCs w:val="24"/>
          <w:lang w:val="zh-CN"/>
        </w:rPr>
        <w:t xml:space="preserve">16.1.2 投标人撤回电子投标文件，则认为其不再参与本项目投标活动。</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16.1.3 在投标截止时间至招标文件中规定的投标有效期满</w:t>
      </w:r>
      <w:r>
        <w:rPr>
          <w:rFonts w:hint="eastAsia" w:ascii="宋体" w:hAnsi="宋体"/>
          <w:sz w:val="24"/>
          <w:szCs w:val="24"/>
          <w:lang w:val="zh-CN"/>
        </w:rPr>
        <w:t xml:space="preserve">之间的这段时间内，投标人不得撤回其投标</w:t>
      </w:r>
      <w:r>
        <w:rPr>
          <w:rFonts w:hint="eastAsia" w:ascii="宋体" w:hAnsi="宋体"/>
          <w:sz w:val="24"/>
          <w:szCs w:val="24"/>
          <w:lang w:val="zh-CN"/>
        </w:rPr>
        <w:t xml:space="preserve">。</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16</w:t>
      </w:r>
      <w:r>
        <w:rPr>
          <w:rFonts w:hint="eastAsia" w:ascii="宋体" w:hAnsi="宋体"/>
          <w:sz w:val="24"/>
          <w:lang w:val="zh-CN"/>
        </w:rPr>
        <w:t xml:space="preserve">.2 投标文件的修改</w:t>
      </w:r>
      <w:r/>
    </w:p>
    <w:p>
      <w:pPr>
        <w:pStyle w:val="769"/>
        <w:ind w:firstLine="480"/>
        <w:keepNext/>
        <w:spacing w:line="360" w:lineRule="auto"/>
        <w:rPr>
          <w:rFonts w:ascii="宋体" w:hAnsi="宋体"/>
          <w:sz w:val="24"/>
          <w:lang w:val="zh-CN"/>
        </w:rPr>
      </w:pPr>
      <w:r/>
      <w:bookmarkStart w:id="85" w:name="_Toc120614218"/>
      <w:r/>
      <w:bookmarkStart w:id="86" w:name="_Toc513029229"/>
      <w:r/>
      <w:bookmarkStart w:id="87" w:name="_Toc16938545"/>
      <w:r/>
      <w:bookmarkStart w:id="88" w:name="_Toc20823301"/>
      <w:r>
        <w:rPr>
          <w:rFonts w:hint="eastAsia" w:ascii="宋体" w:hAnsi="宋体"/>
          <w:sz w:val="24"/>
          <w:lang w:val="zh-CN"/>
        </w:rPr>
        <w:t xml:space="preserve">16</w:t>
      </w:r>
      <w:r>
        <w:rPr>
          <w:rFonts w:hint="eastAsia" w:ascii="宋体" w:hAnsi="宋体"/>
          <w:sz w:val="24"/>
          <w:lang w:val="zh-CN"/>
        </w:rPr>
        <w:t xml:space="preserve">.2.1</w:t>
      </w:r>
      <w:r>
        <w:rPr>
          <w:rFonts w:hint="eastAsia" w:ascii="宋体" w:hAnsi="宋体"/>
          <w:sz w:val="24"/>
          <w:lang w:val="zh-CN"/>
        </w:rPr>
        <w:t xml:space="preserve"> </w:t>
      </w:r>
      <w:r>
        <w:rPr>
          <w:rFonts w:hint="eastAsia" w:ascii="宋体" w:hAnsi="宋体"/>
          <w:sz w:val="24"/>
          <w:lang w:val="zh-CN"/>
        </w:rPr>
        <w:t xml:space="preserve">投标人可在投标截止时间前对其电子投标文件进行修改</w:t>
      </w:r>
      <w:r>
        <w:rPr>
          <w:rFonts w:hint="eastAsia" w:ascii="宋体" w:hAnsi="宋体"/>
          <w:sz w:val="24"/>
          <w:lang w:val="zh-CN"/>
        </w:rPr>
        <w:t xml:space="preserve">。</w:t>
      </w:r>
      <w:r>
        <w:rPr>
          <w:rFonts w:ascii="宋体" w:hAnsi="宋体"/>
          <w:sz w:val="24"/>
          <w:lang w:val="zh-CN"/>
        </w:rPr>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16.2.2 投标截止时间之后，投标人不得对其电子投标文件作任何修改</w:t>
      </w:r>
      <w:r>
        <w:rPr>
          <w:rFonts w:hint="eastAsia" w:ascii="宋体" w:hAnsi="宋体"/>
          <w:sz w:val="24"/>
          <w:lang w:val="zh-CN"/>
        </w:rPr>
      </w:r>
      <w:r/>
    </w:p>
    <w:p>
      <w:pPr>
        <w:pStyle w:val="769"/>
        <w:ind w:firstLine="482"/>
        <w:keepNext/>
        <w:spacing w:line="360" w:lineRule="auto"/>
        <w:rPr>
          <w:rFonts w:hint="eastAsia" w:ascii="宋体" w:hAnsi="宋体"/>
          <w:b/>
          <w:bCs/>
          <w:sz w:val="24"/>
          <w:szCs w:val="24"/>
        </w:rPr>
      </w:pPr>
      <w:r>
        <w:rPr>
          <w:rFonts w:hint="eastAsia" w:ascii="宋体" w:hAnsi="宋体"/>
          <w:b/>
          <w:bCs/>
          <w:sz w:val="24"/>
          <w:szCs w:val="24"/>
        </w:rPr>
        <w:t xml:space="preserve">五、开标与评标</w:t>
      </w:r>
      <w:bookmarkEnd w:id="85"/>
      <w:r/>
      <w:bookmarkEnd w:id="86"/>
      <w:r/>
      <w:bookmarkEnd w:id="87"/>
      <w:r/>
      <w:bookmarkEnd w:id="88"/>
      <w:r>
        <w:rPr>
          <w:rFonts w:hint="eastAsia" w:ascii="宋体" w:hAnsi="宋体"/>
          <w:b/>
          <w:bCs/>
          <w:sz w:val="24"/>
          <w:szCs w:val="24"/>
        </w:rPr>
      </w:r>
      <w:r/>
    </w:p>
    <w:p>
      <w:pPr>
        <w:pStyle w:val="769"/>
        <w:ind w:firstLine="480"/>
        <w:keepNext/>
        <w:spacing w:line="360" w:lineRule="auto"/>
        <w:rPr>
          <w:rFonts w:hint="eastAsia" w:ascii="宋体" w:hAnsi="宋体"/>
          <w:sz w:val="24"/>
          <w:lang w:val="zh-CN"/>
        </w:rPr>
      </w:pPr>
      <w:r/>
      <w:bookmarkStart w:id="89" w:name="_Toc513029230"/>
      <w:r/>
      <w:bookmarkStart w:id="90" w:name="_Toc20823302"/>
      <w:r/>
      <w:bookmarkStart w:id="91" w:name="_Toc16938546"/>
      <w:r>
        <w:rPr>
          <w:rFonts w:hint="eastAsia" w:ascii="宋体" w:hAnsi="宋体"/>
          <w:sz w:val="24"/>
          <w:lang w:val="zh-CN"/>
        </w:rPr>
        <w:t xml:space="preserve">17</w:t>
      </w:r>
      <w:r>
        <w:rPr>
          <w:rFonts w:hint="eastAsia" w:ascii="宋体" w:hAnsi="宋体"/>
          <w:sz w:val="24"/>
          <w:lang w:val="zh-CN"/>
        </w:rPr>
        <w:t xml:space="preserve">.开标</w:t>
      </w:r>
      <w:bookmarkEnd w:id="89"/>
      <w:r/>
      <w:bookmarkEnd w:id="90"/>
      <w:r/>
      <w:bookmarkEnd w:id="91"/>
      <w:r>
        <w:rPr>
          <w:rFonts w:hint="eastAsia" w:ascii="宋体" w:hAnsi="宋体"/>
          <w:sz w:val="24"/>
          <w:lang w:val="zh-CN"/>
        </w:rPr>
      </w:r>
      <w:r/>
    </w:p>
    <w:p>
      <w:pPr>
        <w:pStyle w:val="769"/>
        <w:ind w:firstLine="480"/>
        <w:keepNext/>
        <w:spacing w:line="360" w:lineRule="auto"/>
        <w:rPr>
          <w:rFonts w:hint="eastAsia" w:ascii="宋体" w:hAnsi="宋体"/>
          <w:sz w:val="24"/>
          <w:lang w:val="zh-CN"/>
        </w:rPr>
      </w:pPr>
      <w:r/>
      <w:bookmarkStart w:id="92" w:name="_Toc513029231"/>
      <w:r/>
      <w:bookmarkStart w:id="93" w:name="_Toc16938547"/>
      <w:r/>
      <w:bookmarkStart w:id="94" w:name="_Toc20823303"/>
      <w:r>
        <w:rPr>
          <w:rFonts w:hint="eastAsia" w:ascii="宋体" w:hAnsi="宋体"/>
          <w:sz w:val="24"/>
          <w:lang w:val="zh-CN"/>
        </w:rPr>
        <w:t xml:space="preserve">17</w:t>
      </w:r>
      <w:r>
        <w:rPr>
          <w:rFonts w:hint="eastAsia" w:ascii="宋体" w:hAnsi="宋体"/>
          <w:sz w:val="24"/>
          <w:lang w:val="zh-CN"/>
        </w:rPr>
        <w:t xml:space="preserve">.1 代理机构在招标公告中规定的时间和地点组织公开开标。投标人参加开标活动，并在苏采云系统规定的时间内对投标文件进行解密。苏采云系统公布各投标人名称和投标价格。</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17</w:t>
      </w:r>
      <w:r>
        <w:rPr>
          <w:rFonts w:hint="eastAsia" w:ascii="宋体" w:hAnsi="宋体"/>
          <w:sz w:val="24"/>
          <w:lang w:val="zh-CN"/>
        </w:rPr>
        <w:t xml:space="preserve">.</w:t>
      </w:r>
      <w:r>
        <w:rPr>
          <w:rFonts w:hint="eastAsia" w:ascii="宋体" w:hAnsi="宋体"/>
          <w:sz w:val="24"/>
          <w:lang w:val="zh-CN"/>
        </w:rPr>
        <w:t xml:space="preserve">2 </w:t>
      </w:r>
      <w:r>
        <w:rPr>
          <w:rFonts w:hint="eastAsia" w:ascii="宋体" w:hAnsi="宋体"/>
          <w:sz w:val="24"/>
          <w:lang w:val="zh-CN"/>
        </w:rPr>
        <w:t xml:space="preserve">投标人在开标过程中</w:t>
      </w:r>
      <w:r>
        <w:rPr>
          <w:rFonts w:hint="eastAsia" w:ascii="宋体" w:hAnsi="宋体"/>
          <w:sz w:val="24"/>
          <w:lang w:val="zh-CN"/>
        </w:rPr>
        <w:t xml:space="preserve">通过苏采云系统进行</w:t>
      </w:r>
      <w:r>
        <w:rPr>
          <w:rFonts w:hint="eastAsia" w:ascii="宋体" w:hAnsi="宋体"/>
          <w:sz w:val="24"/>
          <w:lang w:val="zh-CN"/>
        </w:rPr>
        <w:t xml:space="preserve">投标文件解密、开标结果确认等工作。</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17</w:t>
      </w:r>
      <w:r>
        <w:rPr>
          <w:rFonts w:hint="eastAsia" w:ascii="宋体" w:hAnsi="宋体"/>
          <w:sz w:val="24"/>
          <w:lang w:val="zh-CN"/>
        </w:rPr>
        <w:t xml:space="preserve">.</w:t>
      </w:r>
      <w:r>
        <w:rPr>
          <w:rFonts w:hint="eastAsia" w:ascii="宋体" w:hAnsi="宋体"/>
          <w:sz w:val="24"/>
          <w:lang w:val="zh-CN"/>
        </w:rPr>
        <w:t xml:space="preserve">3 </w:t>
      </w:r>
      <w:r>
        <w:rPr>
          <w:rFonts w:hint="eastAsia" w:ascii="宋体" w:hAnsi="宋体"/>
          <w:sz w:val="24"/>
          <w:lang w:val="zh-CN"/>
        </w:rPr>
        <w:t xml:space="preserve">投标人如果对开标过程和开标结果有疑义，应</w:t>
      </w:r>
      <w:r>
        <w:rPr>
          <w:rFonts w:hint="eastAsia" w:ascii="宋体" w:hAnsi="宋体"/>
          <w:sz w:val="24"/>
          <w:lang w:val="zh-CN"/>
        </w:rPr>
        <w:t xml:space="preserve">在</w:t>
      </w:r>
      <w:r>
        <w:rPr>
          <w:rFonts w:hint="eastAsia" w:ascii="宋体" w:hAnsi="宋体"/>
          <w:sz w:val="24"/>
          <w:lang w:val="zh-CN"/>
        </w:rPr>
        <w:t xml:space="preserve">苏采云系统提出，苏采云系统中《开标记录表》公布后5分钟内未提出的，视同认可开标结果。</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lang w:val="zh-CN"/>
        </w:rPr>
        <w:t xml:space="preserve">投标人</w:t>
      </w:r>
      <w:r>
        <w:rPr>
          <w:rFonts w:hint="eastAsia" w:ascii="宋体" w:hAnsi="宋体"/>
          <w:sz w:val="24"/>
          <w:lang w:val="zh-CN"/>
        </w:rPr>
        <w:t xml:space="preserve">不足三家的情况，按政府采购相关规定执行。</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18.评标</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18</w:t>
      </w:r>
      <w:r>
        <w:rPr>
          <w:rFonts w:hint="eastAsia" w:ascii="宋体" w:hAnsi="宋体"/>
          <w:sz w:val="24"/>
          <w:lang w:val="zh-CN"/>
        </w:rPr>
        <w:t xml:space="preserve">.2 评委会由采购人代表和有关方面专家组成，人员构成符合政府采购有关规定。</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18</w:t>
      </w:r>
      <w:r>
        <w:rPr>
          <w:rFonts w:hint="eastAsia" w:ascii="宋体" w:hAnsi="宋体"/>
          <w:sz w:val="24"/>
          <w:lang w:val="zh-CN"/>
        </w:rPr>
        <w:t xml:space="preserve">.3</w:t>
      </w:r>
      <w:r>
        <w:rPr>
          <w:rFonts w:hint="eastAsia" w:ascii="宋体" w:hAnsi="宋体"/>
          <w:sz w:val="24"/>
          <w:lang w:val="zh-CN"/>
        </w:rPr>
        <w:t xml:space="preserve"> </w:t>
      </w:r>
      <w:r>
        <w:rPr>
          <w:rFonts w:hint="eastAsia" w:ascii="宋体" w:hAnsi="宋体"/>
          <w:sz w:val="24"/>
          <w:lang w:val="zh-CN"/>
        </w:rPr>
        <w:t xml:space="preserve">评委会独立工作，负责评审所有投标文件并</w:t>
      </w:r>
      <w:r>
        <w:rPr>
          <w:rFonts w:hint="eastAsia" w:ascii="宋体" w:hAnsi="宋体"/>
          <w:sz w:val="24"/>
          <w:lang w:val="zh-CN"/>
        </w:rPr>
        <w:t xml:space="preserve">推荐</w:t>
      </w:r>
      <w:r>
        <w:rPr>
          <w:rFonts w:hint="eastAsia" w:ascii="宋体" w:hAnsi="宋体"/>
          <w:sz w:val="24"/>
          <w:lang w:val="zh-CN"/>
        </w:rPr>
        <w:t xml:space="preserve">中标候选人，</w:t>
      </w:r>
      <w:r>
        <w:rPr>
          <w:rFonts w:hint="eastAsia" w:ascii="宋体" w:hAnsi="宋体"/>
          <w:sz w:val="24"/>
          <w:lang w:val="zh-CN"/>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19</w:t>
      </w:r>
      <w:r>
        <w:rPr>
          <w:rFonts w:hint="eastAsia" w:ascii="宋体" w:hAnsi="宋体"/>
          <w:sz w:val="24"/>
          <w:lang w:val="zh-CN"/>
        </w:rPr>
        <w:t xml:space="preserve">.评标过程的保密与公正</w:t>
      </w:r>
      <w:r/>
    </w:p>
    <w:p>
      <w:pPr>
        <w:pStyle w:val="769"/>
        <w:ind w:firstLine="480"/>
        <w:keepNext/>
        <w:spacing w:line="360" w:lineRule="auto"/>
        <w:rPr>
          <w:rFonts w:hint="eastAsia" w:ascii="宋体" w:hAnsi="宋体"/>
          <w:sz w:val="24"/>
          <w:lang w:val="zh-CN"/>
        </w:rPr>
      </w:pPr>
      <w:r/>
      <w:bookmarkEnd w:id="92"/>
      <w:r/>
      <w:bookmarkEnd w:id="93"/>
      <w:r/>
      <w:bookmarkEnd w:id="94"/>
      <w:r>
        <w:rPr>
          <w:rFonts w:hint="eastAsia" w:ascii="宋体" w:hAnsi="宋体"/>
          <w:sz w:val="24"/>
          <w:lang w:val="zh-CN"/>
        </w:rPr>
        <w:t xml:space="preserve">19</w:t>
      </w:r>
      <w:r>
        <w:rPr>
          <w:rFonts w:hint="eastAsia" w:ascii="宋体" w:hAnsi="宋体"/>
          <w:sz w:val="24"/>
          <w:lang w:val="zh-CN"/>
        </w:rPr>
        <w:t xml:space="preserve">.1</w:t>
      </w:r>
      <w:r>
        <w:rPr>
          <w:rFonts w:hint="eastAsia" w:ascii="宋体" w:hAnsi="宋体"/>
          <w:sz w:val="24"/>
          <w:lang w:val="zh-CN"/>
        </w:rPr>
        <w:t xml:space="preserve"> </w:t>
      </w:r>
      <w:r>
        <w:rPr>
          <w:rFonts w:hint="eastAsia" w:ascii="宋体" w:hAnsi="宋体"/>
          <w:sz w:val="24"/>
          <w:lang w:val="zh-CN"/>
        </w:rPr>
        <w:t xml:space="preserve">凡是与审查、澄清、评价</w:t>
      </w:r>
      <w:r>
        <w:rPr>
          <w:rFonts w:hint="eastAsia" w:ascii="宋体" w:hAnsi="宋体"/>
          <w:sz w:val="24"/>
          <w:lang w:val="zh-CN"/>
        </w:rPr>
        <w:t xml:space="preserve">和比较投标的有关资料以及授标建议等，采购人、评委、</w:t>
      </w:r>
      <w:r>
        <w:rPr>
          <w:rFonts w:hint="eastAsia" w:ascii="宋体" w:hAnsi="宋体"/>
          <w:sz w:val="24"/>
          <w:lang w:val="zh-CN"/>
        </w:rPr>
        <w:t xml:space="preserve">代理机构</w:t>
      </w:r>
      <w:r>
        <w:rPr>
          <w:rFonts w:hint="eastAsia" w:ascii="宋体" w:hAnsi="宋体"/>
          <w:sz w:val="24"/>
          <w:lang w:val="zh-CN"/>
        </w:rPr>
        <w:t xml:space="preserve">均不得向投标人或与评标无关的其他人员透露。</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19</w:t>
      </w:r>
      <w:r>
        <w:rPr>
          <w:rFonts w:hint="eastAsia" w:ascii="宋体" w:hAnsi="宋体"/>
          <w:sz w:val="24"/>
          <w:lang w:val="zh-CN"/>
        </w:rPr>
        <w:t xml:space="preserve">.2</w:t>
      </w:r>
      <w:r>
        <w:rPr>
          <w:rFonts w:hint="eastAsia" w:ascii="宋体" w:hAnsi="宋体"/>
          <w:sz w:val="24"/>
          <w:lang w:val="zh-CN"/>
        </w:rPr>
        <w:t xml:space="preserve"> </w:t>
      </w:r>
      <w:r>
        <w:rPr>
          <w:rFonts w:hint="eastAsia" w:ascii="宋体" w:hAnsi="宋体"/>
          <w:sz w:val="24"/>
          <w:lang w:val="zh-CN"/>
        </w:rPr>
        <w:t xml:space="preserve">投标人不得以任何方式影响评标。</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19</w:t>
      </w:r>
      <w:r>
        <w:rPr>
          <w:rFonts w:hint="eastAsia" w:ascii="宋体" w:hAnsi="宋体"/>
          <w:sz w:val="24"/>
          <w:lang w:val="zh-CN"/>
        </w:rPr>
        <w:t xml:space="preserve">.3 代理机构和评委会不向未中标的投标人解释未中标原因，也不公布评标过程中的相关细节。</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t xml:space="preserve">。</w:t>
      </w:r>
      <w:r/>
    </w:p>
    <w:p>
      <w:pPr>
        <w:pStyle w:val="769"/>
        <w:ind w:firstLine="480"/>
        <w:keepNext/>
        <w:spacing w:line="360" w:lineRule="auto"/>
        <w:rPr>
          <w:rFonts w:hint="eastAsia" w:ascii="宋体" w:hAnsi="宋体"/>
          <w:sz w:val="24"/>
          <w:szCs w:val="24"/>
          <w:lang w:val="zh-CN"/>
        </w:rPr>
      </w:pPr>
      <w:r/>
      <w:bookmarkStart w:id="95" w:name="_Toc16938548"/>
      <w:r/>
      <w:bookmarkStart w:id="96" w:name="_Toc20823304"/>
      <w:r/>
      <w:bookmarkStart w:id="97" w:name="_Toc513029232"/>
      <w:r>
        <w:rPr>
          <w:rFonts w:hint="eastAsia" w:ascii="宋体" w:hAnsi="宋体"/>
          <w:sz w:val="24"/>
          <w:szCs w:val="24"/>
          <w:lang w:val="zh-CN"/>
        </w:rPr>
        <w:t xml:space="preserve">2</w:t>
      </w:r>
      <w:r>
        <w:rPr>
          <w:rFonts w:hint="eastAsia" w:ascii="宋体" w:hAnsi="宋体"/>
          <w:sz w:val="24"/>
          <w:szCs w:val="24"/>
          <w:lang w:val="zh-CN"/>
        </w:rPr>
        <w:t xml:space="preserve">0</w:t>
      </w:r>
      <w:r>
        <w:rPr>
          <w:rFonts w:hint="eastAsia" w:ascii="宋体" w:hAnsi="宋体"/>
          <w:sz w:val="24"/>
          <w:szCs w:val="24"/>
          <w:lang w:val="zh-CN"/>
        </w:rPr>
        <w:t xml:space="preserve">.</w:t>
      </w:r>
      <w:r>
        <w:rPr>
          <w:rFonts w:hint="eastAsia" w:ascii="宋体" w:hAnsi="宋体"/>
          <w:sz w:val="24"/>
          <w:szCs w:val="24"/>
          <w:lang w:val="zh-CN"/>
        </w:rPr>
        <w:t xml:space="preserve">投标文件的澄清</w:t>
      </w:r>
      <w:bookmarkEnd w:id="95"/>
      <w:r/>
      <w:bookmarkEnd w:id="96"/>
      <w:r/>
      <w:bookmarkEnd w:id="97"/>
      <w:r>
        <w:rPr>
          <w:rFonts w:hint="eastAsia"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20.1 评标期间，评委会对投标文件中含义不明确、同类问题表述不一致或者有明显文字和计算错误的内容，有权要求投标人作出必要的澄清、说明或者补正。</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投标人的澄清、说明或者补正不得超出投标文件的范围或者改变投标文件的实质性内容。</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评委会并非对每个投标人都做澄清要求。</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20.2 需要投标人进行澄清、说明和补正的，评委会将通过苏采云系统向投标人发出《澄清要求函》，接到《澄清要求函》的投标人应当按照</w:t>
      </w:r>
      <w:r>
        <w:rPr>
          <w:rFonts w:hint="eastAsia" w:ascii="宋体" w:hAnsi="宋体"/>
          <w:sz w:val="24"/>
          <w:szCs w:val="24"/>
          <w:lang w:val="zh-CN"/>
        </w:rPr>
        <w:t xml:space="preserve">要求在苏采云系统中提交《澄清响应函》并加盖电子公章。澄清、说明和补正的内容作为投标文件的补充部分。</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20.3 接到评委会澄清、说明和补正要求的，投标人如未按规定作出澄清、说明和补正，其风险由投标人自行承担</w:t>
      </w:r>
      <w:r>
        <w:rPr>
          <w:rFonts w:hint="eastAsia" w:ascii="宋体" w:hAnsi="宋体"/>
          <w:sz w:val="24"/>
          <w:szCs w:val="24"/>
          <w:lang w:val="zh-CN"/>
        </w:rPr>
        <w:t xml:space="preserve">。</w:t>
      </w:r>
      <w:r/>
    </w:p>
    <w:p>
      <w:pPr>
        <w:pStyle w:val="769"/>
        <w:ind w:firstLine="480"/>
        <w:keepNext/>
        <w:spacing w:line="360" w:lineRule="auto"/>
        <w:rPr>
          <w:rFonts w:hint="eastAsia" w:ascii="宋体" w:hAnsi="宋体"/>
          <w:sz w:val="24"/>
          <w:szCs w:val="24"/>
          <w:lang w:val="zh-CN"/>
        </w:rPr>
      </w:pPr>
      <w:r/>
      <w:bookmarkStart w:id="98" w:name="_Toc513029233"/>
      <w:r/>
      <w:bookmarkStart w:id="99" w:name="_Toc20823305"/>
      <w:r/>
      <w:bookmarkStart w:id="100" w:name="_Toc16938549"/>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.投标文件的</w:t>
      </w:r>
      <w:bookmarkEnd w:id="98"/>
      <w:r/>
      <w:bookmarkEnd w:id="99"/>
      <w:r/>
      <w:bookmarkEnd w:id="100"/>
      <w:r>
        <w:rPr>
          <w:rFonts w:hint="eastAsia" w:ascii="宋体" w:hAnsi="宋体"/>
          <w:sz w:val="24"/>
          <w:szCs w:val="24"/>
          <w:lang w:val="zh-CN"/>
        </w:rPr>
        <w:t xml:space="preserve">审查</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21</w:t>
      </w:r>
      <w:r>
        <w:rPr>
          <w:rFonts w:hint="eastAsia" w:ascii="宋体" w:hAnsi="宋体"/>
          <w:sz w:val="24"/>
          <w:szCs w:val="24"/>
          <w:lang w:val="zh-CN"/>
        </w:rPr>
        <w:t xml:space="preserve">.1 投标文件审</w:t>
      </w:r>
      <w:r>
        <w:rPr>
          <w:rFonts w:hint="eastAsia" w:ascii="宋体" w:hAnsi="宋体"/>
          <w:sz w:val="24"/>
          <w:szCs w:val="24"/>
          <w:lang w:val="zh-CN"/>
        </w:rPr>
        <w:t xml:space="preserve">查分为资格审查和符合性审查。</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.1.1 资格审查。</w:t>
      </w:r>
      <w:r>
        <w:rPr>
          <w:rFonts w:hint="eastAsia" w:ascii="宋体" w:hAnsi="宋体"/>
          <w:sz w:val="24"/>
          <w:szCs w:val="24"/>
          <w:lang w:val="zh-CN"/>
        </w:rPr>
        <w:t xml:space="preserve">依据法律法规和招标文件规定，由采购人对投标文件中的资格证明文件进行审查，并向评委会反馈审查结论。</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采购人进行资格审查时，将在“信用中国”网站查询投标人的信用记录，以确定投标人是</w:t>
      </w:r>
      <w:r>
        <w:rPr>
          <w:rFonts w:hint="eastAsia" w:ascii="宋体" w:hAnsi="宋体"/>
          <w:sz w:val="24"/>
          <w:lang w:val="zh-CN"/>
        </w:rPr>
        <w:t xml:space="preserve">否具备投标资格，查询结果留存并归档</w:t>
      </w:r>
      <w:r>
        <w:rPr>
          <w:rFonts w:hint="eastAsia" w:ascii="宋体" w:hAnsi="宋体"/>
          <w:sz w:val="24"/>
          <w:szCs w:val="24"/>
          <w:lang w:val="zh-CN"/>
        </w:rPr>
        <w:t xml:space="preserve">。</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接受联合体的项目，联合体成员存在不良信用记录的，视同联合体存在不良信用记录。</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.1.2 符合性审查。</w:t>
      </w:r>
      <w:r>
        <w:rPr>
          <w:rFonts w:hint="eastAsia" w:ascii="宋体" w:hAnsi="宋体"/>
          <w:sz w:val="24"/>
          <w:lang w:val="zh-CN"/>
        </w:rPr>
        <w:t xml:space="preserve">评委会</w:t>
      </w:r>
      <w:r>
        <w:rPr>
          <w:rFonts w:hint="eastAsia" w:ascii="宋体" w:hAnsi="宋体"/>
          <w:sz w:val="24"/>
          <w:szCs w:val="21"/>
          <w:lang w:val="zh-CN"/>
        </w:rPr>
        <w:t xml:space="preserve">对</w:t>
      </w:r>
      <w:r>
        <w:rPr>
          <w:rFonts w:hint="eastAsia" w:ascii="宋体" w:hAnsi="宋体"/>
          <w:sz w:val="24"/>
          <w:szCs w:val="21"/>
        </w:rPr>
        <w:t xml:space="preserve">通过</w:t>
      </w:r>
      <w:r>
        <w:rPr>
          <w:rFonts w:hint="eastAsia" w:ascii="宋体" w:hAnsi="宋体"/>
          <w:sz w:val="24"/>
          <w:szCs w:val="21"/>
          <w:lang w:val="zh-CN"/>
        </w:rPr>
        <w:t xml:space="preserve">资格</w:t>
      </w:r>
      <w:r>
        <w:rPr>
          <w:rFonts w:hint="eastAsia" w:ascii="宋体" w:hAnsi="宋体"/>
          <w:sz w:val="24"/>
          <w:szCs w:val="21"/>
        </w:rPr>
        <w:t xml:space="preserve">审查</w:t>
      </w:r>
      <w:r>
        <w:rPr>
          <w:rFonts w:hint="eastAsia" w:ascii="宋体" w:hAnsi="宋体"/>
          <w:sz w:val="24"/>
          <w:szCs w:val="21"/>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rPr>
          <w:rFonts w:hint="eastAsia" w:ascii="宋体" w:hAnsi="宋体"/>
          <w:sz w:val="24"/>
          <w:szCs w:val="24"/>
          <w:lang w:val="zh-CN"/>
        </w:rPr>
        <w:t xml:space="preserve">。</w:t>
      </w:r>
      <w:r/>
    </w:p>
    <w:p>
      <w:pPr>
        <w:pStyle w:val="769"/>
        <w:ind w:firstLine="480"/>
        <w:keepNext/>
        <w:spacing w:line="360" w:lineRule="auto"/>
        <w:rPr>
          <w:rFonts w:hint="eastAsia" w:ascii="宋体" w:hAnsi="宋体"/>
          <w:sz w:val="24"/>
          <w:lang w:val="zh-CN"/>
        </w:rPr>
      </w:pPr>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.1.3 </w:t>
      </w:r>
      <w:r>
        <w:rPr>
          <w:rFonts w:hint="eastAsia" w:ascii="宋体" w:hAnsi="宋体"/>
          <w:sz w:val="24"/>
          <w:lang w:val="zh-CN"/>
        </w:rPr>
        <w:t xml:space="preserve">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rPr>
          <w:rFonts w:hint="eastAsia" w:ascii="宋体" w:hAnsi="宋体"/>
          <w:sz w:val="24"/>
          <w:lang w:val="zh-CN"/>
        </w:rPr>
        <w:t xml:space="preserve">。</w:t>
      </w:r>
      <w:r/>
    </w:p>
    <w:p>
      <w:pPr>
        <w:pStyle w:val="769"/>
        <w:ind w:firstLine="480"/>
        <w:keepNext/>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1</w:t>
      </w:r>
      <w:r>
        <w:rPr>
          <w:rFonts w:hint="eastAsia" w:ascii="宋体" w:hAnsi="宋体"/>
          <w:sz w:val="24"/>
          <w:lang w:val="zh-CN"/>
        </w:rPr>
        <w:t xml:space="preserve">.2 </w:t>
      </w:r>
      <w:r>
        <w:rPr>
          <w:rFonts w:hint="eastAsia" w:ascii="宋体" w:hAnsi="宋体"/>
          <w:sz w:val="24"/>
          <w:lang w:val="zh-CN"/>
        </w:rPr>
        <w:t xml:space="preserve">评委会仅对实质性响应招标文件要求的投标文件进行详细评审。实质性响应的投标文件应该是与招标文件要求的全部条款、条件和规格相符，没有重大偏离或保留的文件。</w:t>
      </w:r>
      <w:r/>
    </w:p>
    <w:p>
      <w:pPr>
        <w:pStyle w:val="769"/>
        <w:ind w:firstLine="480"/>
        <w:keepNext/>
        <w:spacing w:line="360" w:lineRule="auto"/>
        <w:rPr>
          <w:rFonts w:hint="eastAsia" w:ascii="宋体" w:hAnsi="宋体"/>
          <w:sz w:val="24"/>
          <w:szCs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w:t>
      </w:r>
      <w:r>
        <w:rPr>
          <w:rFonts w:hint="eastAsia" w:ascii="宋体" w:hAnsi="宋体"/>
          <w:sz w:val="24"/>
          <w:lang w:val="zh-CN"/>
        </w:rPr>
        <w:t xml:space="preserve">出</w:t>
      </w:r>
      <w:r>
        <w:rPr>
          <w:rFonts w:hint="eastAsia" w:ascii="宋体" w:hAnsi="宋体"/>
          <w:sz w:val="24"/>
          <w:szCs w:val="24"/>
          <w:lang w:val="zh-CN"/>
        </w:rPr>
        <w:t xml:space="preserve">结论。评委会认定投标文件的响应性只根据投标文件本身的内容，而不寻求外部的证据</w:t>
      </w:r>
      <w:r>
        <w:rPr>
          <w:rFonts w:hint="eastAsia" w:ascii="宋体" w:hAnsi="宋体"/>
          <w:sz w:val="24"/>
          <w:szCs w:val="24"/>
          <w:lang w:val="zh-CN"/>
        </w:rPr>
        <w:t xml:space="preserve">。</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.3 如果投标文件实质上没有响应招标文件的要求，评委会将予以拒绝，投标人不得通过修改或撤销不合要求的偏离或保留而使其投标成为实质性响应的投标。</w:t>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.4 </w:t>
      </w:r>
      <w:r>
        <w:rPr>
          <w:rFonts w:hint="eastAsia" w:ascii="宋体" w:hAnsi="宋体"/>
          <w:sz w:val="24"/>
          <w:szCs w:val="24"/>
          <w:lang w:val="zh-CN"/>
        </w:rPr>
        <w:t xml:space="preserve">评委会将对确定为实质性响应的投标进行进一步审核，确定其是否有计算上或累加上的算术错误。投标文件报价出现前后不一致的，按照下列规定修正：</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（1）投标文件中开标一览表内容与投标文件中相应内容不一致的，以开标一览表为准；</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（2）大写金额和小写金额不一致的，以大写金额为准；</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（3）单价金额小数点或者百分比有明显错位的，以开标一览表的总价为准，并修改单价；</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（4）总价金额与按单价汇总金额不一致的，以单价金额计算结果为准。</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同时出现两种以上不一致的，按照前款规定的顺序修正。</w:t>
      </w:r>
      <w:r>
        <w:rPr>
          <w:rFonts w:ascii="宋体" w:hAnsi="宋体"/>
          <w:sz w:val="24"/>
          <w:szCs w:val="24"/>
          <w:lang w:val="zh-CN"/>
        </w:rPr>
      </w:r>
      <w:r/>
    </w:p>
    <w:p>
      <w:pPr>
        <w:pStyle w:val="769"/>
        <w:ind w:firstLine="482"/>
        <w:keepNext/>
        <w:spacing w:line="360" w:lineRule="auto"/>
        <w:rPr>
          <w:rFonts w:hint="eastAsia" w:ascii="宋体" w:hAnsi="宋体"/>
          <w:sz w:val="24"/>
          <w:szCs w:val="24"/>
          <w:lang w:val="zh-CN"/>
        </w:rPr>
      </w:pPr>
      <w:r>
        <w:rPr>
          <w:rFonts w:hint="eastAsia" w:ascii="宋体" w:hAnsi="宋体"/>
          <w:b/>
          <w:bCs/>
          <w:sz w:val="24"/>
          <w:szCs w:val="24"/>
          <w:lang w:val="zh-CN"/>
        </w:rPr>
        <w:t xml:space="preserve">评委</w:t>
      </w:r>
      <w:r>
        <w:rPr>
          <w:rFonts w:hint="eastAsia" w:ascii="宋体" w:hAnsi="宋体"/>
          <w:b/>
          <w:bCs/>
          <w:sz w:val="24"/>
          <w:szCs w:val="24"/>
          <w:lang w:val="zh-CN"/>
        </w:rPr>
        <w:t xml:space="preserve">会按上述规定修正投标文件报价的，应通过苏采云系统要求投标人确认，修正后的报价按照本章第20条规定经投标人确认后产生约束力，投标人不确认的，其投标无效</w:t>
      </w:r>
      <w:r>
        <w:rPr>
          <w:rFonts w:hint="eastAsia" w:ascii="宋体" w:hAnsi="宋体"/>
          <w:sz w:val="24"/>
          <w:szCs w:val="24"/>
          <w:lang w:val="zh-CN"/>
        </w:rPr>
        <w:t xml:space="preserve">。</w:t>
      </w:r>
      <w:r>
        <w:rPr>
          <w:rFonts w:hint="eastAsia" w:ascii="宋体" w:hAnsi="宋体"/>
          <w:sz w:val="24"/>
          <w:szCs w:val="24"/>
          <w:lang w:val="zh-CN"/>
        </w:rPr>
      </w:r>
      <w:r/>
    </w:p>
    <w:p>
      <w:pPr>
        <w:pStyle w:val="769"/>
        <w:ind w:firstLine="480"/>
        <w:keepNext/>
        <w:spacing w:line="360" w:lineRule="auto"/>
        <w:rPr>
          <w:rFonts w:hint="eastAsia" w:ascii="宋体" w:hAnsi="宋体"/>
          <w:sz w:val="24"/>
          <w:szCs w:val="24"/>
          <w:lang w:val="zh-CN"/>
        </w:rPr>
      </w:pPr>
      <w:r/>
      <w:bookmarkStart w:id="101" w:name="_Toc20823306"/>
      <w:r/>
      <w:bookmarkStart w:id="102" w:name="_Toc16938550"/>
      <w:r/>
      <w:bookmarkStart w:id="103" w:name="_Toc513029234"/>
      <w:r>
        <w:rPr>
          <w:rFonts w:hint="eastAsia" w:ascii="宋体" w:hAnsi="宋体"/>
          <w:sz w:val="24"/>
          <w:szCs w:val="24"/>
          <w:lang w:val="zh-CN"/>
        </w:rPr>
        <w:t xml:space="preserve">2</w:t>
      </w:r>
      <w:r>
        <w:rPr>
          <w:rFonts w:hint="eastAsia" w:ascii="宋体" w:hAnsi="宋体"/>
          <w:sz w:val="24"/>
          <w:szCs w:val="24"/>
          <w:lang w:val="zh-CN"/>
        </w:rPr>
        <w:t xml:space="preserve">1</w:t>
      </w:r>
      <w:r>
        <w:rPr>
          <w:rFonts w:hint="eastAsia" w:ascii="宋体" w:hAnsi="宋体"/>
          <w:sz w:val="24"/>
          <w:szCs w:val="24"/>
          <w:lang w:val="zh-CN"/>
        </w:rPr>
        <w:t xml:space="preserve">.</w:t>
      </w:r>
      <w:r>
        <w:rPr>
          <w:rFonts w:hint="eastAsia" w:ascii="宋体" w:hAnsi="宋体"/>
          <w:sz w:val="24"/>
          <w:szCs w:val="24"/>
          <w:lang w:val="zh-CN"/>
        </w:rPr>
        <w:t xml:space="preserve">5</w:t>
      </w:r>
      <w:r>
        <w:rPr>
          <w:rFonts w:hint="eastAsia" w:ascii="宋体" w:hAnsi="宋体"/>
          <w:sz w:val="24"/>
          <w:szCs w:val="24"/>
          <w:lang w:val="zh-CN"/>
        </w:rPr>
        <w:t xml:space="preserve"> </w:t>
      </w:r>
      <w:r>
        <w:rPr>
          <w:rFonts w:hint="eastAsia" w:ascii="宋体" w:hAnsi="宋体"/>
          <w:sz w:val="24"/>
          <w:szCs w:val="24"/>
          <w:lang w:val="zh-CN"/>
        </w:rPr>
        <w:t xml:space="preserve">投标人在开、评标全过程中应保持通讯畅通，及时登录苏采云系统查阅、答复相关信息。</w:t>
      </w:r>
      <w:r>
        <w:rPr>
          <w:rFonts w:hint="eastAsia"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21.6 异常低价审查</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21.6.1评标过程中出现下列情形之一的，评委</w:t>
      </w:r>
      <w:r>
        <w:rPr>
          <w:rFonts w:hint="eastAsia" w:ascii="宋体" w:hAnsi="宋体"/>
          <w:sz w:val="24"/>
          <w:szCs w:val="24"/>
          <w:lang w:val="zh-CN"/>
        </w:rPr>
        <w:t xml:space="preserve">会应当启动异常低价审查程序：</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（1）投标报价低于全部通过符合</w:t>
      </w:r>
      <w:r>
        <w:rPr>
          <w:rFonts w:hint="eastAsia" w:ascii="宋体" w:hAnsi="宋体"/>
          <w:sz w:val="24"/>
          <w:szCs w:val="24"/>
          <w:lang w:val="zh-CN"/>
        </w:rPr>
        <w:t xml:space="preserve">性审查投标人投标报价平均值</w:t>
      </w:r>
      <w:r>
        <w:rPr>
          <w:rFonts w:hint="eastAsia" w:ascii="宋体" w:hAnsi="宋体"/>
          <w:sz w:val="24"/>
          <w:szCs w:val="24"/>
          <w:u w:val="single"/>
          <w:lang w:val="zh-CN"/>
        </w:rPr>
        <w:t xml:space="preserve">50</w:t>
      </w:r>
      <w:r>
        <w:rPr>
          <w:rFonts w:hint="eastAsia" w:ascii="宋体" w:hAnsi="宋体"/>
          <w:sz w:val="24"/>
          <w:szCs w:val="24"/>
          <w:u w:val="single"/>
          <w:lang w:val="zh-CN"/>
        </w:rPr>
        <w:t xml:space="preserve">%</w:t>
      </w:r>
      <w:r>
        <w:rPr>
          <w:rFonts w:hint="eastAsia" w:ascii="宋体" w:hAnsi="宋体"/>
          <w:sz w:val="24"/>
          <w:szCs w:val="24"/>
          <w:lang w:val="zh-CN"/>
        </w:rPr>
        <w:t xml:space="preserve">的，即投标报价&lt;全部通过符合性审查投标人投标报价平均值×</w:t>
      </w:r>
      <w:r>
        <w:rPr>
          <w:rFonts w:hint="eastAsia" w:ascii="宋体" w:hAnsi="宋体"/>
          <w:sz w:val="24"/>
          <w:szCs w:val="24"/>
          <w:u w:val="single"/>
          <w:lang w:val="zh-CN"/>
        </w:rPr>
        <w:t xml:space="preserve">50</w:t>
      </w:r>
      <w:r>
        <w:rPr>
          <w:rFonts w:hint="eastAsia" w:ascii="宋体" w:hAnsi="宋体"/>
          <w:sz w:val="24"/>
          <w:szCs w:val="24"/>
          <w:u w:val="single"/>
          <w:lang w:val="zh-CN"/>
        </w:rPr>
        <w:t xml:space="preserve">%</w:t>
      </w:r>
      <w:r>
        <w:rPr>
          <w:rFonts w:hint="eastAsia" w:ascii="宋体" w:hAnsi="宋体"/>
          <w:sz w:val="24"/>
          <w:szCs w:val="24"/>
          <w:lang w:val="zh-CN"/>
        </w:rPr>
        <w:t xml:space="preserve">；</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（2）投标报价低于通过符合性审查的次低报价投标人投标报价</w:t>
      </w:r>
      <w:r>
        <w:rPr>
          <w:rFonts w:hint="eastAsia" w:ascii="宋体" w:hAnsi="宋体"/>
          <w:sz w:val="24"/>
          <w:szCs w:val="24"/>
          <w:u w:val="single"/>
          <w:lang w:val="zh-CN"/>
        </w:rPr>
        <w:t xml:space="preserve">50</w:t>
      </w:r>
      <w:r>
        <w:rPr>
          <w:rFonts w:hint="eastAsia" w:ascii="宋体" w:hAnsi="宋体"/>
          <w:sz w:val="24"/>
          <w:szCs w:val="24"/>
          <w:lang w:val="zh-CN"/>
        </w:rPr>
        <w:t xml:space="preserve">%的，即投标报价&lt;通过符合性审查的次低报价投标人投标报价×</w:t>
      </w:r>
      <w:r>
        <w:rPr>
          <w:rFonts w:hint="eastAsia" w:ascii="宋体" w:hAnsi="宋体"/>
          <w:sz w:val="24"/>
          <w:szCs w:val="24"/>
          <w:u w:val="single"/>
          <w:lang w:val="zh-CN"/>
        </w:rPr>
        <w:t xml:space="preserve">50</w:t>
      </w:r>
      <w:r>
        <w:rPr>
          <w:rFonts w:hint="eastAsia" w:ascii="宋体" w:hAnsi="宋体"/>
          <w:sz w:val="24"/>
          <w:szCs w:val="24"/>
          <w:lang w:val="zh-CN"/>
        </w:rPr>
        <w:t xml:space="preserve">%；</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（3）投标报价低于采购项目最高限价</w:t>
      </w:r>
      <w:r>
        <w:rPr>
          <w:rFonts w:hint="eastAsia" w:ascii="宋体" w:hAnsi="宋体"/>
          <w:sz w:val="24"/>
          <w:szCs w:val="24"/>
          <w:u w:val="single"/>
          <w:lang w:val="zh-CN"/>
        </w:rPr>
        <w:t xml:space="preserve">45</w:t>
      </w:r>
      <w:r>
        <w:rPr>
          <w:rFonts w:hint="eastAsia" w:ascii="宋体" w:hAnsi="宋体"/>
          <w:sz w:val="24"/>
          <w:szCs w:val="24"/>
          <w:u w:val="single"/>
          <w:lang w:val="zh-CN"/>
        </w:rPr>
        <w:t xml:space="preserve">%</w:t>
      </w:r>
      <w:r>
        <w:rPr>
          <w:rFonts w:hint="eastAsia" w:ascii="宋体" w:hAnsi="宋体"/>
          <w:sz w:val="24"/>
          <w:szCs w:val="24"/>
          <w:lang w:val="zh-CN"/>
        </w:rPr>
        <w:t xml:space="preserve">的，即投</w:t>
      </w:r>
      <w:r>
        <w:rPr>
          <w:rFonts w:hint="eastAsia" w:ascii="宋体" w:hAnsi="宋体"/>
          <w:sz w:val="24"/>
          <w:szCs w:val="24"/>
          <w:lang w:val="zh-CN"/>
        </w:rPr>
        <w:t xml:space="preserve">标报价&lt;采购项目最高限价×</w:t>
      </w:r>
      <w:r>
        <w:rPr>
          <w:rFonts w:hint="eastAsia" w:ascii="宋体" w:hAnsi="宋体"/>
          <w:sz w:val="24"/>
          <w:szCs w:val="24"/>
          <w:u w:val="single"/>
          <w:lang w:val="zh-CN"/>
        </w:rPr>
        <w:t xml:space="preserve">45</w:t>
      </w:r>
      <w:r>
        <w:rPr>
          <w:rFonts w:hint="eastAsia" w:ascii="宋体" w:hAnsi="宋体"/>
          <w:sz w:val="24"/>
          <w:szCs w:val="24"/>
          <w:u w:val="single"/>
          <w:lang w:val="zh-CN"/>
        </w:rPr>
        <w:t xml:space="preserve">%</w:t>
      </w:r>
      <w:r>
        <w:rPr>
          <w:rFonts w:hint="eastAsia" w:ascii="宋体" w:hAnsi="宋体"/>
          <w:sz w:val="24"/>
          <w:szCs w:val="24"/>
          <w:lang w:val="zh-CN"/>
        </w:rPr>
        <w:t xml:space="preserve">；</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（4）评委会基于专业判断，认为投标报价过低，有可能影响产品质量或者不能诚信履约的其他情形。</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21.6.2评委会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评委会依据专业经验，参考同类项目中标价格、类似产品市场价格水平、行业人工费用标准、国家有关部门指导行业协会发布的行业平均成本等情况，对报价合理性进行判断。投标</w:t>
      </w:r>
      <w:r>
        <w:rPr>
          <w:rFonts w:hint="eastAsia" w:ascii="宋体" w:hAnsi="宋体"/>
          <w:sz w:val="24"/>
          <w:szCs w:val="24"/>
          <w:lang w:val="zh-CN"/>
        </w:rPr>
        <w:t xml:space="preserve">人不能提供书面说明、证明材料，或者提供的书面说明、证明材料不能证明其报价合理性的，评委会应当将其作为无效投标处理</w:t>
      </w:r>
      <w:r>
        <w:rPr>
          <w:rFonts w:hint="eastAsia" w:ascii="宋体" w:hAnsi="宋体"/>
          <w:sz w:val="24"/>
          <w:szCs w:val="24"/>
          <w:lang w:val="zh-CN"/>
        </w:rPr>
        <w:t xml:space="preserve">。</w:t>
      </w:r>
      <w:r>
        <w:rPr>
          <w:rFonts w:ascii="宋体" w:hAnsi="宋体"/>
          <w:sz w:val="24"/>
          <w:szCs w:val="24"/>
          <w:lang w:val="zh-CN"/>
        </w:rPr>
      </w:r>
      <w:r/>
    </w:p>
    <w:p>
      <w:pPr>
        <w:pStyle w:val="769"/>
        <w:ind w:firstLine="482"/>
        <w:keepNext/>
        <w:spacing w:line="360" w:lineRule="auto"/>
        <w:rPr>
          <w:rFonts w:hint="eastAsia" w:ascii="宋体" w:hAnsi="宋体"/>
          <w:b/>
          <w:bCs/>
          <w:sz w:val="24"/>
          <w:szCs w:val="24"/>
          <w:lang w:val="zh-CN"/>
        </w:rPr>
      </w:pPr>
      <w:r>
        <w:rPr>
          <w:rFonts w:hint="eastAsia" w:ascii="宋体" w:hAnsi="宋体"/>
          <w:b/>
          <w:bCs/>
          <w:sz w:val="24"/>
          <w:szCs w:val="24"/>
          <w:lang w:val="zh-CN"/>
        </w:rPr>
        <w:t xml:space="preserve">2</w:t>
      </w:r>
      <w:bookmarkEnd w:id="101"/>
      <w:r/>
      <w:bookmarkEnd w:id="102"/>
      <w:r/>
      <w:bookmarkEnd w:id="103"/>
      <w:r>
        <w:rPr>
          <w:rFonts w:hint="eastAsia" w:ascii="宋体" w:hAnsi="宋体"/>
          <w:b/>
          <w:bCs/>
          <w:sz w:val="24"/>
          <w:szCs w:val="24"/>
          <w:lang w:val="zh-CN"/>
        </w:rPr>
        <w:t xml:space="preserve">2</w:t>
      </w:r>
      <w:r>
        <w:rPr>
          <w:rFonts w:hint="eastAsia" w:ascii="宋体" w:hAnsi="宋体"/>
          <w:b/>
          <w:bCs/>
          <w:sz w:val="24"/>
          <w:szCs w:val="24"/>
          <w:lang w:val="zh-CN"/>
        </w:rPr>
        <w:t xml:space="preserve">.无效投标和废标</w:t>
      </w:r>
      <w:r/>
    </w:p>
    <w:p>
      <w:pPr>
        <w:pStyle w:val="769"/>
        <w:ind w:firstLine="482"/>
        <w:keepNext/>
        <w:spacing w:line="360" w:lineRule="auto"/>
        <w:rPr>
          <w:rFonts w:ascii="宋体" w:hAnsi="宋体"/>
          <w:b/>
          <w:bCs/>
          <w:sz w:val="24"/>
          <w:szCs w:val="24"/>
          <w:lang w:val="zh-CN"/>
        </w:rPr>
      </w:pPr>
      <w:r/>
      <w:bookmarkEnd w:id="66"/>
      <w:r/>
      <w:bookmarkEnd w:id="67"/>
      <w:r/>
      <w:bookmarkEnd w:id="68"/>
      <w:r/>
      <w:bookmarkStart w:id="104" w:name="_Toc120614219"/>
      <w:r>
        <w:rPr>
          <w:rFonts w:hint="eastAsia" w:ascii="宋体" w:hAnsi="宋体"/>
          <w:b/>
          <w:bCs/>
          <w:sz w:val="24"/>
          <w:szCs w:val="24"/>
          <w:lang w:val="zh-CN"/>
        </w:rPr>
        <w:t xml:space="preserve">22.1 无效投标情形</w:t>
      </w:r>
      <w:r>
        <w:rPr>
          <w:rFonts w:ascii="宋体" w:hAnsi="宋体"/>
          <w:b/>
          <w:bCs/>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22.1.1 未在招标文件规定时间内上传电子投标文件。</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22.1.2 未在苏采云系统规定时间内成功解密电子投标文件。</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22.1.3 同一投标人提交两个（含两个）以上不同的投标报价（招标文件另有约定的除外）。</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22.1.4 投标人不具备招标文件中规定的资格要求。</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22.1.5 投标人的报价超过了采购预算或最高限价或单价上限。</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22.1.6 未通过符合性审查。</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22.1.7 投标文件含有采购人不能接受的附加条件。</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22.1.8 评委会按照本招标文件规定对投标人进行异常低价审查后，认为投标人不能证明其报价合理性的。</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22.1.9 投标文件未按照招标文件要求加盖电子公章。</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22.1.10 投标人串通投标。</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22.1.11 法律法规及本招标文件规定的其他无效投标情形。</w:t>
      </w:r>
      <w:r>
        <w:rPr>
          <w:rFonts w:ascii="宋体" w:hAnsi="宋体"/>
          <w:sz w:val="24"/>
          <w:szCs w:val="24"/>
          <w:lang w:val="zh-CN"/>
        </w:rPr>
      </w:r>
      <w:r/>
    </w:p>
    <w:p>
      <w:pPr>
        <w:pStyle w:val="769"/>
        <w:ind w:firstLine="482"/>
        <w:keepNext/>
        <w:spacing w:line="360" w:lineRule="auto"/>
        <w:rPr>
          <w:rFonts w:ascii="宋体" w:hAnsi="宋体"/>
          <w:b/>
          <w:bCs/>
          <w:sz w:val="24"/>
          <w:szCs w:val="24"/>
          <w:lang w:val="zh-CN"/>
        </w:rPr>
      </w:pPr>
      <w:r>
        <w:rPr>
          <w:rFonts w:hint="eastAsia" w:ascii="宋体" w:hAnsi="宋体"/>
          <w:b/>
          <w:bCs/>
          <w:sz w:val="24"/>
          <w:szCs w:val="24"/>
          <w:lang w:val="zh-CN"/>
        </w:rPr>
        <w:t xml:space="preserve">22.2 有下列情形之一的视为投标人串通投标：</w:t>
      </w:r>
      <w:r>
        <w:rPr>
          <w:rFonts w:ascii="宋体" w:hAnsi="宋体"/>
          <w:b/>
          <w:bCs/>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22.2.1 不同投标人的投标文件由同一单位或者个人编制。</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22.2.2 不同投标人委托同一单位或者个人办理投标事宜。</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22.2.3 不同投标人的</w:t>
      </w:r>
      <w:r>
        <w:rPr>
          <w:rFonts w:hint="eastAsia" w:ascii="宋体" w:hAnsi="宋体"/>
          <w:sz w:val="24"/>
          <w:szCs w:val="24"/>
          <w:lang w:val="zh-CN"/>
        </w:rPr>
        <w:t xml:space="preserve">投标文件载明的项目管理成员或者联系人员为同一人。</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22.2.4 不同投标人的投标文件异常一致或者投标报价呈规律性差异。</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22.2.5 不同投标人的投标文件相互混装。</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22.2.6 不同投标人的MAC地址或标书制作工具客户端标识码一</w:t>
      </w:r>
      <w:r>
        <w:rPr>
          <w:rFonts w:hint="eastAsia" w:ascii="宋体" w:hAnsi="宋体"/>
          <w:sz w:val="24"/>
          <w:szCs w:val="24"/>
          <w:lang w:val="zh-CN"/>
        </w:rPr>
        <w:t xml:space="preserve">致。</w:t>
      </w:r>
      <w:r>
        <w:rPr>
          <w:rFonts w:ascii="宋体" w:hAnsi="宋体"/>
          <w:sz w:val="24"/>
          <w:szCs w:val="24"/>
          <w:lang w:val="zh-CN"/>
        </w:rPr>
      </w:r>
      <w:r/>
    </w:p>
    <w:p>
      <w:pPr>
        <w:pStyle w:val="769"/>
        <w:ind w:firstLine="482"/>
        <w:keepNext/>
        <w:spacing w:line="360" w:lineRule="auto"/>
        <w:rPr>
          <w:rFonts w:ascii="宋体" w:hAnsi="宋体"/>
          <w:b/>
          <w:bCs/>
          <w:sz w:val="24"/>
          <w:szCs w:val="24"/>
          <w:lang w:val="zh-CN"/>
        </w:rPr>
      </w:pPr>
      <w:r>
        <w:rPr>
          <w:rFonts w:hint="eastAsia" w:ascii="宋体" w:hAnsi="宋体"/>
          <w:b/>
          <w:bCs/>
          <w:sz w:val="24"/>
          <w:szCs w:val="24"/>
          <w:lang w:val="zh-CN"/>
        </w:rPr>
        <w:t xml:space="preserve">22.3 废标情形</w:t>
      </w:r>
      <w:r>
        <w:rPr>
          <w:rFonts w:ascii="宋体" w:hAnsi="宋体"/>
          <w:b/>
          <w:bCs/>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22.3.1 符合专业条件的投标人或者对招标文件作实质响应的投标人不足三家。</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22.3.2 出现影响采购公正的违法、违规行为。</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22.3.3 投标人的报价均超过了采购预算或最高限价。</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22.3.4 因重大变故，采购任务取消。</w:t>
      </w:r>
      <w:r>
        <w:rPr>
          <w:rFonts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六、定标</w:t>
      </w:r>
      <w:bookmarkEnd w:id="104"/>
      <w:r>
        <w:rPr>
          <w:rFonts w:hint="eastAsia" w:ascii="宋体" w:hAnsi="宋体"/>
          <w:sz w:val="24"/>
          <w:szCs w:val="24"/>
          <w:lang w:val="zh-CN"/>
        </w:rPr>
      </w:r>
      <w:r/>
    </w:p>
    <w:p>
      <w:pPr>
        <w:pStyle w:val="769"/>
        <w:ind w:firstLine="480"/>
        <w:keepNext/>
        <w:spacing w:line="360" w:lineRule="auto"/>
        <w:rPr>
          <w:rFonts w:hint="eastAsia" w:ascii="宋体" w:hAnsi="宋体"/>
          <w:sz w:val="24"/>
          <w:szCs w:val="24"/>
          <w:lang w:val="zh-CN"/>
        </w:rPr>
      </w:pPr>
      <w:r/>
      <w:bookmarkStart w:id="105" w:name="_Toc513029238"/>
      <w:r/>
      <w:bookmarkStart w:id="106" w:name="_Toc16938554"/>
      <w:r/>
      <w:bookmarkStart w:id="107" w:name="_Toc20823310"/>
      <w:r>
        <w:rPr>
          <w:rFonts w:hint="eastAsia" w:ascii="宋体" w:hAnsi="宋体"/>
          <w:sz w:val="24"/>
          <w:szCs w:val="24"/>
          <w:lang w:val="zh-CN"/>
        </w:rPr>
        <w:t xml:space="preserve">2</w:t>
      </w:r>
      <w:bookmarkEnd w:id="105"/>
      <w:r>
        <w:rPr>
          <w:rFonts w:hint="eastAsia" w:ascii="宋体" w:hAnsi="宋体"/>
          <w:sz w:val="24"/>
          <w:szCs w:val="24"/>
          <w:lang w:val="zh-CN"/>
        </w:rPr>
        <w:t xml:space="preserve">3</w:t>
      </w:r>
      <w:r>
        <w:rPr>
          <w:rFonts w:hint="eastAsia" w:ascii="宋体" w:hAnsi="宋体"/>
          <w:sz w:val="24"/>
          <w:szCs w:val="24"/>
          <w:lang w:val="zh-CN"/>
        </w:rPr>
        <w:t xml:space="preserve">.</w:t>
      </w:r>
      <w:r>
        <w:rPr>
          <w:rFonts w:hint="eastAsia" w:ascii="宋体" w:hAnsi="宋体"/>
          <w:sz w:val="24"/>
          <w:szCs w:val="24"/>
          <w:lang w:val="zh-CN"/>
        </w:rPr>
        <w:t xml:space="preserve">确定</w:t>
      </w:r>
      <w:bookmarkEnd w:id="106"/>
      <w:r/>
      <w:bookmarkEnd w:id="107"/>
      <w:r>
        <w:rPr>
          <w:rFonts w:hint="eastAsia" w:ascii="宋体" w:hAnsi="宋体"/>
          <w:sz w:val="24"/>
          <w:szCs w:val="24"/>
          <w:lang w:val="zh-CN"/>
        </w:rPr>
        <w:t xml:space="preserve">中标单位</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3</w:t>
      </w:r>
      <w:r>
        <w:rPr>
          <w:rFonts w:hint="eastAsia" w:ascii="宋体" w:hAnsi="宋体"/>
          <w:sz w:val="24"/>
          <w:szCs w:val="24"/>
          <w:lang w:val="zh-CN"/>
        </w:rPr>
        <w:t xml:space="preserve">.1</w:t>
      </w:r>
      <w:r>
        <w:rPr>
          <w:rFonts w:hint="eastAsia" w:ascii="宋体" w:hAnsi="宋体"/>
          <w:sz w:val="24"/>
          <w:szCs w:val="24"/>
          <w:lang w:val="zh-CN"/>
        </w:rPr>
        <w:t xml:space="preserve"> </w:t>
      </w:r>
      <w:r>
        <w:rPr>
          <w:rFonts w:hint="eastAsia" w:ascii="宋体" w:hAnsi="宋体"/>
          <w:sz w:val="24"/>
          <w:szCs w:val="24"/>
          <w:lang w:val="zh-CN"/>
        </w:rPr>
        <w:t xml:space="preserve">中标候选人的</w:t>
      </w:r>
      <w:r>
        <w:rPr>
          <w:rFonts w:hint="eastAsia" w:ascii="宋体" w:hAnsi="宋体"/>
          <w:sz w:val="24"/>
          <w:szCs w:val="24"/>
          <w:lang w:val="zh-CN"/>
        </w:rPr>
        <w:t xml:space="preserve">确定</w:t>
      </w:r>
      <w:r>
        <w:rPr>
          <w:rFonts w:hint="eastAsia" w:ascii="宋体" w:hAnsi="宋体"/>
          <w:sz w:val="24"/>
          <w:szCs w:val="24"/>
          <w:lang w:val="zh-CN"/>
        </w:rPr>
        <w:t xml:space="preserve">原则和数量见招标文件第五章。 </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3</w:t>
      </w:r>
      <w:r>
        <w:rPr>
          <w:rFonts w:hint="eastAsia" w:ascii="宋体" w:hAnsi="宋体"/>
          <w:sz w:val="24"/>
          <w:szCs w:val="24"/>
          <w:lang w:val="zh-CN"/>
        </w:rPr>
        <w:t xml:space="preserve">.2 按以下第（</w:t>
      </w:r>
      <w:r>
        <w:rPr>
          <w:rFonts w:hint="eastAsia" w:ascii="宋体" w:hAnsi="宋体"/>
          <w:sz w:val="24"/>
          <w:szCs w:val="24"/>
          <w:lang w:val="zh-CN"/>
        </w:rPr>
        <w:t xml:space="preserve">2</w:t>
      </w:r>
      <w:r>
        <w:rPr>
          <w:rFonts w:hint="eastAsia" w:ascii="宋体" w:hAnsi="宋体"/>
          <w:sz w:val="24"/>
          <w:szCs w:val="24"/>
          <w:lang w:val="zh-CN"/>
        </w:rPr>
        <w:t xml:space="preserve">）种方式确定中标人：</w:t>
      </w:r>
      <w:r>
        <w:rPr>
          <w:rFonts w:hint="eastAsia"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（1）评委会直接确定排名第一的中标候选人为中标人；</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（2）采购人在评委会推荐的中标候选人中按顺序确定中标人。</w:t>
      </w:r>
      <w:r>
        <w:rPr>
          <w:rFonts w:hint="eastAsia"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按第二种方式确定中标人的，代理机构自评审结束之日起两个工作日内将评审报告送</w:t>
      </w:r>
      <w:r>
        <w:rPr>
          <w:rFonts w:hint="eastAsia" w:ascii="宋体" w:hAnsi="宋体"/>
          <w:sz w:val="24"/>
          <w:szCs w:val="24"/>
          <w:lang w:val="zh-CN"/>
        </w:rPr>
        <w:t xml:space="preserve">达</w:t>
      </w:r>
      <w:r>
        <w:rPr>
          <w:rFonts w:hint="eastAsia" w:ascii="宋体" w:hAnsi="宋体"/>
          <w:sz w:val="24"/>
          <w:szCs w:val="24"/>
          <w:lang w:val="zh-CN"/>
        </w:rPr>
        <w:t xml:space="preserve">采购人，采购人自收到评审报告之日起五个工作日内，在评审报告推荐的中标候选人中按顺序确定中标人。</w:t>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23.3 </w:t>
      </w:r>
      <w:r>
        <w:rPr>
          <w:rFonts w:hint="eastAsia" w:ascii="宋体" w:hAnsi="宋体"/>
          <w:sz w:val="24"/>
          <w:szCs w:val="24"/>
          <w:lang w:val="zh-CN"/>
        </w:rPr>
        <w:t xml:space="preserve">代理机构</w:t>
      </w:r>
      <w:r>
        <w:rPr>
          <w:rFonts w:hint="eastAsia" w:ascii="宋体" w:hAnsi="宋体"/>
          <w:sz w:val="24"/>
          <w:szCs w:val="24"/>
          <w:lang w:val="zh-CN"/>
        </w:rPr>
        <w:t xml:space="preserve">将在“江苏政府采购网”发布中标公告，公告期限为1个工作日。</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23.4 </w:t>
      </w:r>
      <w:r>
        <w:rPr>
          <w:rFonts w:hint="eastAsia" w:ascii="宋体" w:hAnsi="宋体"/>
          <w:b/>
          <w:bCs/>
          <w:sz w:val="24"/>
          <w:szCs w:val="24"/>
          <w:lang w:val="zh-CN"/>
        </w:rPr>
        <w:t xml:space="preserve">若有充分证据证明中标人有下列情况之一的，一经查实将被取消中标资格：</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23.4.1 提供虚假材料谋取中标。</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23.4.2 向评审专家、采购人或</w:t>
      </w:r>
      <w:r>
        <w:rPr>
          <w:rFonts w:hint="eastAsia" w:ascii="宋体" w:hAnsi="宋体"/>
          <w:sz w:val="24"/>
          <w:szCs w:val="24"/>
          <w:lang w:val="zh-CN"/>
        </w:rPr>
        <w:t xml:space="preserve">代理机构</w:t>
      </w:r>
      <w:r>
        <w:rPr>
          <w:rFonts w:hint="eastAsia" w:ascii="宋体" w:hAnsi="宋体"/>
          <w:sz w:val="24"/>
          <w:szCs w:val="24"/>
          <w:lang w:val="zh-CN"/>
        </w:rPr>
        <w:t xml:space="preserve">工作人员行贿或者提供其他不正当利益。</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23.4.3 与其他投标人、评审专家、采购人或</w:t>
      </w:r>
      <w:r>
        <w:rPr>
          <w:rFonts w:hint="eastAsia" w:ascii="宋体" w:hAnsi="宋体"/>
          <w:sz w:val="24"/>
          <w:szCs w:val="24"/>
          <w:lang w:val="zh-CN"/>
        </w:rPr>
        <w:t xml:space="preserve">代理机构</w:t>
      </w:r>
      <w:r>
        <w:rPr>
          <w:rFonts w:hint="eastAsia" w:ascii="宋体" w:hAnsi="宋体"/>
          <w:sz w:val="24"/>
          <w:szCs w:val="24"/>
          <w:lang w:val="zh-CN"/>
        </w:rPr>
        <w:t xml:space="preserve">工作人员恶意串通。</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23.4.4 属于本文件规定的无效投标情形，但在评标过程中未被评委会发现。</w:t>
      </w:r>
      <w:r>
        <w:rPr>
          <w:rFonts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23.4.5 采取不正当手段诋毁、排挤其他投标人</w:t>
      </w:r>
      <w:r>
        <w:rPr>
          <w:rFonts w:hint="eastAsia" w:ascii="宋体" w:hAnsi="宋体"/>
          <w:sz w:val="24"/>
          <w:szCs w:val="24"/>
          <w:lang w:val="zh-CN"/>
        </w:rPr>
        <w:t xml:space="preserve">。</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lang w:val="zh-CN"/>
        </w:rPr>
        <w:t xml:space="preserve">中标通知书</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.l 中标结果确定后，代理机构将向中标人发出《中标通知书》。中标人</w:t>
      </w:r>
      <w:r>
        <w:rPr>
          <w:rFonts w:hint="eastAsia" w:ascii="宋体" w:hAnsi="宋体"/>
          <w:sz w:val="24"/>
          <w:szCs w:val="24"/>
        </w:rPr>
        <w:t xml:space="preserve">可</w:t>
      </w:r>
      <w:r>
        <w:rPr>
          <w:rFonts w:hint="eastAsia" w:ascii="宋体" w:hAnsi="宋体"/>
          <w:sz w:val="24"/>
          <w:szCs w:val="24"/>
          <w:lang w:val="zh-CN"/>
        </w:rPr>
        <w:t xml:space="preserve">在中标结果公告届满之日起三十日内，登录苏采云系统下载。</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因系统存储空间有限，中标结果公告届满之日起三十日后，苏采云系统不再保证提供下载《中标通知书》服务，因未及时下载而造成的</w:t>
      </w:r>
      <w:r>
        <w:rPr>
          <w:rFonts w:hint="eastAsia" w:ascii="宋体" w:hAnsi="宋体"/>
          <w:sz w:val="24"/>
          <w:szCs w:val="24"/>
          <w:lang w:val="zh-CN"/>
        </w:rPr>
        <w:t xml:space="preserve">不利后果由中标人自行承担。</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.2</w:t>
      </w:r>
      <w:r>
        <w:rPr>
          <w:rFonts w:hint="eastAsia" w:ascii="宋体" w:hAnsi="宋体"/>
          <w:sz w:val="24"/>
          <w:szCs w:val="24"/>
        </w:rPr>
        <w:t xml:space="preserve"> 《</w:t>
      </w:r>
      <w:r>
        <w:rPr>
          <w:rFonts w:hint="eastAsia" w:ascii="宋体" w:hAnsi="宋体"/>
          <w:sz w:val="24"/>
          <w:szCs w:val="24"/>
          <w:lang w:val="zh-CN"/>
        </w:rPr>
        <w:t xml:space="preserve">中标通知书</w:t>
      </w:r>
      <w:r>
        <w:rPr>
          <w:rFonts w:hint="eastAsia" w:ascii="宋体" w:hAnsi="宋体"/>
          <w:sz w:val="24"/>
          <w:szCs w:val="24"/>
        </w:rPr>
        <w:t xml:space="preserve">》</w:t>
      </w:r>
      <w:r>
        <w:rPr>
          <w:rFonts w:hint="eastAsia" w:ascii="宋体" w:hAnsi="宋体"/>
          <w:sz w:val="24"/>
          <w:szCs w:val="24"/>
          <w:lang w:val="zh-CN"/>
        </w:rPr>
        <w:t xml:space="preserve">是合同的一个组成部分，对采购人和中标人均具有法律效力。《中标通知书》发出后，采购人改变中标结</w:t>
      </w:r>
      <w:r>
        <w:rPr>
          <w:rFonts w:hint="eastAsia" w:ascii="宋体" w:hAnsi="宋体"/>
          <w:sz w:val="24"/>
          <w:szCs w:val="24"/>
          <w:lang w:val="zh-CN"/>
        </w:rPr>
        <w:t xml:space="preserve">果或者中标人放弃中标项目的，应当依法承担法律责任。</w:t>
      </w:r>
      <w:r/>
    </w:p>
    <w:p>
      <w:pPr>
        <w:pStyle w:val="769"/>
        <w:ind w:firstLine="482"/>
        <w:keepNext/>
        <w:spacing w:line="360" w:lineRule="auto"/>
        <w:rPr>
          <w:rFonts w:hint="eastAsia" w:ascii="宋体" w:hAnsi="宋体"/>
          <w:b/>
          <w:bCs/>
          <w:sz w:val="24"/>
          <w:szCs w:val="24"/>
          <w:lang w:val="zh-CN"/>
        </w:rPr>
      </w:pPr>
      <w:r/>
      <w:bookmarkStart w:id="108" w:name="_Toc120614220"/>
      <w:r/>
      <w:bookmarkStart w:id="109" w:name="_Toc16938552"/>
      <w:r/>
      <w:bookmarkStart w:id="110" w:name="_Toc513029236"/>
      <w:r/>
      <w:bookmarkStart w:id="111" w:name="_Toc20823308"/>
      <w:r>
        <w:rPr>
          <w:rFonts w:hint="eastAsia" w:ascii="宋体" w:hAnsi="宋体"/>
          <w:b/>
          <w:bCs/>
          <w:sz w:val="24"/>
          <w:szCs w:val="24"/>
          <w:lang w:val="zh-CN"/>
        </w:rPr>
        <w:t xml:space="preserve">七、授予合同</w:t>
      </w:r>
      <w:bookmarkEnd w:id="108"/>
      <w:r>
        <w:rPr>
          <w:rFonts w:hint="eastAsia" w:ascii="宋体" w:hAnsi="宋体"/>
          <w:b/>
          <w:bCs/>
          <w:sz w:val="24"/>
          <w:szCs w:val="24"/>
          <w:lang w:val="zh-CN"/>
        </w:rPr>
      </w:r>
      <w:r/>
    </w:p>
    <w:p>
      <w:pPr>
        <w:pStyle w:val="769"/>
        <w:ind w:firstLine="480"/>
        <w:keepNext/>
        <w:spacing w:line="360" w:lineRule="auto"/>
        <w:rPr>
          <w:rFonts w:hint="eastAsia" w:ascii="宋体" w:hAnsi="宋体"/>
          <w:sz w:val="24"/>
          <w:szCs w:val="24"/>
          <w:lang w:val="zh-CN"/>
        </w:rPr>
      </w:pPr>
      <w:r/>
      <w:bookmarkEnd w:id="109"/>
      <w:r/>
      <w:bookmarkEnd w:id="110"/>
      <w:r/>
      <w:bookmarkEnd w:id="111"/>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lang w:val="zh-CN"/>
        </w:rPr>
        <w:t xml:space="preserve">签订合同</w:t>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5</w:t>
      </w:r>
      <w:r>
        <w:rPr>
          <w:rFonts w:hint="eastAsia" w:ascii="宋体" w:hAnsi="宋体"/>
          <w:sz w:val="24"/>
          <w:szCs w:val="24"/>
          <w:lang w:val="zh-CN"/>
        </w:rPr>
        <w:t xml:space="preserve">.l</w:t>
      </w:r>
      <w:r>
        <w:rPr>
          <w:rFonts w:hint="eastAsia" w:ascii="宋体" w:hAnsi="宋体"/>
          <w:sz w:val="24"/>
          <w:szCs w:val="24"/>
          <w:lang w:val="zh-CN"/>
        </w:rPr>
        <w:t xml:space="preserve"> </w:t>
      </w:r>
      <w:r>
        <w:rPr>
          <w:rFonts w:hint="eastAsia" w:ascii="宋体" w:hAnsi="宋体"/>
          <w:sz w:val="24"/>
          <w:szCs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25.2 招标文件、中标人的投标文件及招标过程中有关澄清、承诺文件均作为合同附件。</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w:t>
      </w:r>
      <w:r>
        <w:rPr>
          <w:rFonts w:hint="eastAsia" w:ascii="宋体" w:hAnsi="宋体"/>
          <w:sz w:val="24"/>
          <w:szCs w:val="24"/>
          <w:lang w:val="zh-CN"/>
        </w:rPr>
        <w:t xml:space="preserve">止合同。中标人存在上述情形造成采购人损失的，应承担相应赔偿责任。</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25.4中标人不得将合同标的进行转包，否则采购人有权取消其中标资格或终止合同。转包造成采购人损失的，中标人应承担相应赔偿责任。</w:t>
      </w:r>
      <w:r>
        <w:rPr>
          <w:rFonts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25.5 中标人因自身原因拒绝与采购人签订合同的，不得参加采购人重新组织的采购活</w:t>
      </w:r>
      <w:r>
        <w:rPr>
          <w:rFonts w:hint="eastAsia" w:ascii="宋体" w:hAnsi="宋体"/>
          <w:sz w:val="24"/>
          <w:szCs w:val="24"/>
          <w:lang w:val="zh-CN"/>
        </w:rPr>
        <w:t xml:space="preserve">动，且将可能被拒绝参加该采购人一年内的其他政府采购活动。</w:t>
      </w:r>
      <w:r>
        <w:rPr>
          <w:rFonts w:hint="eastAsia"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6</w:t>
      </w:r>
      <w:r>
        <w:rPr>
          <w:rFonts w:hint="eastAsia" w:ascii="宋体" w:hAnsi="宋体"/>
          <w:sz w:val="24"/>
          <w:szCs w:val="24"/>
          <w:lang w:val="zh-CN"/>
        </w:rPr>
        <w:t xml:space="preserve">.</w:t>
      </w:r>
      <w:r>
        <w:rPr>
          <w:rFonts w:hint="eastAsia" w:ascii="宋体" w:hAnsi="宋体"/>
          <w:sz w:val="24"/>
          <w:szCs w:val="24"/>
          <w:lang w:val="zh-CN"/>
        </w:rPr>
        <w:t xml:space="preserve">标的物的追加</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rPr>
        <w:t xml:space="preserve">2</w:t>
      </w:r>
      <w:r>
        <w:rPr>
          <w:rFonts w:hint="eastAsia" w:ascii="宋体" w:hAnsi="宋体"/>
          <w:sz w:val="24"/>
          <w:szCs w:val="24"/>
        </w:rPr>
        <w:t xml:space="preserve">6</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合同履行中，采购人需</w:t>
      </w:r>
      <w:r>
        <w:rPr>
          <w:rFonts w:hint="eastAsia" w:ascii="宋体" w:hAnsi="宋体"/>
          <w:sz w:val="24"/>
          <w:szCs w:val="24"/>
          <w:lang w:val="zh-CN"/>
        </w:rPr>
        <w:t xml:space="preserve">追加与合同标的相同的服务（包含与服务相关的货物），在不改变合同其他条款的前提下，可以与中标人协商签订补充合同，但所有补充合同的金额不超过原合同金额</w:t>
      </w:r>
      <w:r>
        <w:rPr>
          <w:rFonts w:hint="eastAsia" w:ascii="宋体" w:hAnsi="宋体"/>
          <w:sz w:val="24"/>
          <w:szCs w:val="24"/>
        </w:rPr>
        <w:t xml:space="preserve">的</w:t>
      </w:r>
      <w:r>
        <w:rPr>
          <w:rFonts w:hint="eastAsia" w:ascii="宋体" w:hAnsi="宋体"/>
          <w:sz w:val="24"/>
          <w:szCs w:val="24"/>
          <w:lang w:val="zh-CN"/>
        </w:rPr>
        <w:t xml:space="preserve">10%。</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27</w:t>
      </w:r>
      <w:r>
        <w:rPr>
          <w:rFonts w:hint="eastAsia" w:ascii="宋体" w:hAnsi="宋体"/>
          <w:sz w:val="24"/>
          <w:szCs w:val="24"/>
        </w:rPr>
        <w:t xml:space="preserve">.</w:t>
      </w:r>
      <w:r>
        <w:rPr>
          <w:rFonts w:hint="eastAsia" w:ascii="宋体" w:hAnsi="宋体"/>
          <w:sz w:val="24"/>
          <w:szCs w:val="24"/>
          <w:lang w:val="zh-CN"/>
        </w:rPr>
        <w:t xml:space="preserve">政府采购履约资金扶持政策</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3</w:t>
      </w:r>
      <w:r>
        <w:rPr>
          <w:rFonts w:hint="eastAsia" w:ascii="宋体" w:hAnsi="宋体"/>
          <w:sz w:val="24"/>
          <w:szCs w:val="24"/>
          <w:lang w:val="zh-CN"/>
        </w:rPr>
        <w:t xml:space="preserve">7</w:t>
      </w:r>
      <w:r>
        <w:rPr>
          <w:rFonts w:hint="eastAsia" w:ascii="宋体" w:hAnsi="宋体"/>
          <w:sz w:val="24"/>
          <w:szCs w:val="24"/>
          <w:lang w:val="zh-CN"/>
        </w:rPr>
        <w:t xml:space="preserve">.1 中标供应商可通过南京市公共资源交易平台网站“小企业融资平台”，选择相应的金融机构办理融资贷款。</w:t>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27</w:t>
      </w:r>
      <w:r>
        <w:rPr>
          <w:rFonts w:hint="eastAsia" w:ascii="宋体" w:hAnsi="宋体"/>
          <w:sz w:val="24"/>
          <w:szCs w:val="24"/>
          <w:lang w:val="zh-CN"/>
        </w:rPr>
        <w:t xml:space="preserve">.2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八、质疑</w:t>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28.提出质疑的投标人应当是参与所质疑项目采购活动的投标人，潜在投标人依法获取其可质疑的招标文件的，可以对招标文件提出质疑。</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29.投标人认为招标文件、采购过程和采购结果使自己的权益受到损害的，可以在知道或应知其权益受到损害之日起七个工作日内，按照第31条、第32条之规定以书面形式向采购人或</w:t>
      </w:r>
      <w:r>
        <w:rPr>
          <w:rFonts w:hint="eastAsia" w:ascii="宋体" w:hAnsi="宋体"/>
          <w:sz w:val="24"/>
          <w:szCs w:val="24"/>
          <w:lang w:val="zh-CN"/>
        </w:rPr>
        <w:t xml:space="preserve">代理机构</w:t>
      </w:r>
      <w:r>
        <w:rPr>
          <w:rFonts w:hint="eastAsia" w:ascii="宋体" w:hAnsi="宋体"/>
          <w:sz w:val="24"/>
          <w:szCs w:val="24"/>
          <w:lang w:val="zh-CN"/>
        </w:rPr>
        <w:t xml:space="preserve">提出质疑。</w:t>
      </w:r>
      <w:r>
        <w:rPr>
          <w:rFonts w:hint="eastAsia" w:ascii="宋体" w:hAnsi="宋体"/>
          <w:b/>
          <w:bCs/>
          <w:sz w:val="24"/>
          <w:szCs w:val="24"/>
          <w:lang w:val="zh-CN"/>
        </w:rPr>
        <w:t xml:space="preserve">上述应知其权益受到损害之日是指：</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29.1 对招标文件提出质疑的，为收到招</w:t>
      </w:r>
      <w:r>
        <w:rPr>
          <w:rFonts w:hint="eastAsia" w:ascii="宋体" w:hAnsi="宋体"/>
          <w:sz w:val="24"/>
          <w:szCs w:val="24"/>
          <w:lang w:val="zh-CN"/>
        </w:rPr>
        <w:t xml:space="preserve">标文件之日或者招标文件公告期限届满之日。</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29.2 对采购过程提出质疑的，为各采购程序环节结束之日。</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29.3 对中标或者成交结果提出质疑的，为中标或者成交结果公告期限届满之日。</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30.投标人应当在法定质疑期内一次性提出针对同一采购程序环节的质疑。投标人如在法定期限内对同一采购程序环节提出多次质疑的，</w:t>
      </w:r>
      <w:r>
        <w:rPr>
          <w:rFonts w:hint="eastAsia" w:ascii="宋体" w:hAnsi="宋体"/>
          <w:sz w:val="24"/>
          <w:szCs w:val="24"/>
          <w:lang w:val="zh-CN"/>
        </w:rPr>
        <w:t xml:space="preserve">代理机构</w:t>
      </w:r>
      <w:r>
        <w:rPr>
          <w:rFonts w:hint="eastAsia" w:ascii="宋体" w:hAnsi="宋体"/>
          <w:sz w:val="24"/>
          <w:szCs w:val="24"/>
          <w:lang w:val="zh-CN"/>
        </w:rPr>
        <w:t xml:space="preserve">或采购人将只对投标人第一次质疑作出答复。</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31.投标人提出质疑应提交《质疑函》原件，且尽可能通过邮寄方式送达，</w:t>
      </w:r>
      <w:r>
        <w:rPr>
          <w:rFonts w:hint="eastAsia" w:ascii="宋体" w:hAnsi="宋体"/>
          <w:sz w:val="24"/>
          <w:szCs w:val="24"/>
          <w:lang w:val="zh-CN"/>
        </w:rPr>
        <w:t xml:space="preserve">代理机构</w:t>
      </w:r>
      <w:r>
        <w:rPr>
          <w:rFonts w:hint="eastAsia" w:ascii="宋体" w:hAnsi="宋体"/>
          <w:sz w:val="24"/>
          <w:szCs w:val="24"/>
          <w:lang w:val="zh-CN"/>
        </w:rPr>
        <w:t xml:space="preserve">和采购人不接受无运单的快件。《质疑函》应按照本招标文件中《质疑函范本》的格式和内容填写。</w:t>
      </w:r>
      <w:r>
        <w:rPr>
          <w:rFonts w:hint="eastAsia" w:ascii="宋体" w:hAnsi="宋体"/>
          <w:b/>
          <w:bCs/>
          <w:sz w:val="24"/>
          <w:szCs w:val="24"/>
          <w:lang w:val="zh-CN"/>
        </w:rPr>
        <w:t xml:space="preserve">由授权代表负责质疑事宜的，《质疑函》附件中应提交由质疑投标人法定代表人或主要负责人签署的《授权委托书》。</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投标人如组成联合体参加采购活动，《质疑函范本》中要求加盖公章之处，联合体各方均须按要求加盖公章。</w:t>
      </w:r>
      <w:r>
        <w:rPr>
          <w:rFonts w:ascii="宋体" w:hAnsi="宋体"/>
          <w:sz w:val="24"/>
          <w:szCs w:val="24"/>
          <w:lang w:val="zh-CN"/>
        </w:rPr>
      </w:r>
      <w:r/>
    </w:p>
    <w:p>
      <w:pPr>
        <w:pStyle w:val="769"/>
        <w:ind w:firstLine="480"/>
        <w:keepNext/>
        <w:spacing w:line="360" w:lineRule="auto"/>
        <w:rPr>
          <w:rFonts w:ascii="宋体" w:hAnsi="宋体"/>
          <w:b/>
          <w:bCs/>
          <w:sz w:val="24"/>
          <w:szCs w:val="24"/>
          <w:lang w:val="zh-CN"/>
        </w:rPr>
      </w:pPr>
      <w:r>
        <w:rPr>
          <w:rFonts w:hint="eastAsia" w:ascii="宋体" w:hAnsi="宋体"/>
          <w:sz w:val="24"/>
          <w:szCs w:val="24"/>
          <w:lang w:val="zh-CN"/>
        </w:rPr>
        <w:t xml:space="preserve">32.</w:t>
      </w:r>
      <w:r>
        <w:rPr>
          <w:rFonts w:hint="eastAsia" w:ascii="宋体" w:hAnsi="宋体"/>
          <w:b/>
          <w:bCs/>
          <w:sz w:val="24"/>
          <w:szCs w:val="24"/>
          <w:lang w:val="zh-CN"/>
        </w:rPr>
        <w:t xml:space="preserve">投标人根据质疑事项向相应的质疑答复主体提出质疑，具体详见招标文件第一章。由采购人负责答复的质疑，采购人将《质疑函》《质疑答复函》抄送</w:t>
      </w:r>
      <w:r>
        <w:rPr>
          <w:rFonts w:hint="eastAsia" w:ascii="宋体" w:hAnsi="宋体"/>
          <w:b/>
          <w:bCs/>
          <w:sz w:val="24"/>
          <w:szCs w:val="24"/>
          <w:lang w:val="zh-CN"/>
        </w:rPr>
        <w:t xml:space="preserve">代理机构</w:t>
      </w:r>
      <w:r>
        <w:rPr>
          <w:rFonts w:hint="eastAsia" w:ascii="宋体" w:hAnsi="宋体"/>
          <w:b/>
          <w:bCs/>
          <w:sz w:val="24"/>
          <w:szCs w:val="24"/>
          <w:lang w:val="zh-CN"/>
        </w:rPr>
        <w:t xml:space="preserve">。</w:t>
      </w:r>
      <w:r>
        <w:rPr>
          <w:rFonts w:ascii="宋体" w:hAnsi="宋体"/>
          <w:b/>
          <w:bCs/>
          <w:sz w:val="24"/>
          <w:szCs w:val="24"/>
          <w:lang w:val="zh-CN"/>
        </w:rPr>
      </w:r>
      <w:r/>
    </w:p>
    <w:p>
      <w:pPr>
        <w:pStyle w:val="769"/>
        <w:ind w:firstLine="482"/>
        <w:keepNext/>
        <w:spacing w:line="360" w:lineRule="auto"/>
        <w:rPr>
          <w:rFonts w:ascii="宋体" w:hAnsi="宋体"/>
          <w:sz w:val="24"/>
          <w:szCs w:val="24"/>
          <w:lang w:val="zh-CN"/>
        </w:rPr>
      </w:pPr>
      <w:r>
        <w:rPr>
          <w:rFonts w:hint="eastAsia" w:ascii="宋体" w:hAnsi="宋体"/>
          <w:b/>
          <w:bCs/>
          <w:sz w:val="24"/>
          <w:szCs w:val="24"/>
          <w:lang w:val="zh-CN"/>
        </w:rPr>
        <w:t xml:space="preserve">投标人对采购人、</w:t>
      </w:r>
      <w:r>
        <w:rPr>
          <w:rFonts w:hint="eastAsia" w:ascii="宋体" w:hAnsi="宋体"/>
          <w:b/>
          <w:bCs/>
          <w:sz w:val="24"/>
          <w:szCs w:val="24"/>
          <w:lang w:val="zh-CN"/>
        </w:rPr>
        <w:t xml:space="preserve">代理机构</w:t>
      </w:r>
      <w:r>
        <w:rPr>
          <w:rFonts w:hint="eastAsia" w:ascii="宋体" w:hAnsi="宋体"/>
          <w:b/>
          <w:bCs/>
          <w:sz w:val="24"/>
          <w:szCs w:val="24"/>
          <w:lang w:val="zh-CN"/>
        </w:rPr>
        <w:t xml:space="preserve">的质疑答复不满意，或者采购人、</w:t>
      </w:r>
      <w:r>
        <w:rPr>
          <w:rFonts w:hint="eastAsia" w:ascii="宋体" w:hAnsi="宋体"/>
          <w:b/>
          <w:bCs/>
          <w:sz w:val="24"/>
          <w:szCs w:val="24"/>
          <w:lang w:val="zh-CN"/>
        </w:rPr>
        <w:t xml:space="preserve">代理机构</w:t>
      </w:r>
      <w:r>
        <w:rPr>
          <w:rFonts w:hint="eastAsia" w:ascii="宋体" w:hAnsi="宋体"/>
          <w:b/>
          <w:bCs/>
          <w:sz w:val="24"/>
          <w:szCs w:val="24"/>
          <w:lang w:val="zh-CN"/>
        </w:rPr>
        <w:t xml:space="preserve">未在规定时间内作出质疑答复的，可以在答复期满后15个工作日内向南京市六合区财政局提起投诉</w:t>
      </w:r>
      <w:r>
        <w:rPr>
          <w:rFonts w:hint="eastAsia" w:ascii="宋体" w:hAnsi="宋体"/>
          <w:sz w:val="24"/>
          <w:szCs w:val="24"/>
          <w:lang w:val="zh-CN"/>
        </w:rPr>
        <w:t xml:space="preserve">。</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33.以下情形的质疑不予受理：</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33.1 超出政府采购法定期限的质疑。</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33.2 属于第30条规定的对同一采购程序环节提出的</w:t>
      </w:r>
      <w:r>
        <w:rPr>
          <w:rFonts w:hint="eastAsia" w:ascii="宋体" w:hAnsi="宋体"/>
          <w:sz w:val="24"/>
          <w:szCs w:val="24"/>
          <w:lang w:val="zh-CN"/>
        </w:rPr>
        <w:t xml:space="preserve">多次质疑。</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33.3 法律法规规定的其他不予受理情形。</w:t>
      </w:r>
      <w:r>
        <w:rPr>
          <w:rFonts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34.投标人提出书面质疑必须有理、有据，不得捏造事实、提供虚假材料进行恶意质疑。否则，一经查实，</w:t>
      </w:r>
      <w:r>
        <w:rPr>
          <w:rFonts w:hint="eastAsia" w:ascii="宋体" w:hAnsi="宋体"/>
          <w:sz w:val="24"/>
          <w:szCs w:val="24"/>
          <w:lang w:val="zh-CN"/>
        </w:rPr>
        <w:t xml:space="preserve">代理机构</w:t>
      </w:r>
      <w:r>
        <w:rPr>
          <w:rFonts w:hint="eastAsia" w:ascii="宋体" w:hAnsi="宋体"/>
          <w:sz w:val="24"/>
          <w:szCs w:val="24"/>
          <w:lang w:val="zh-CN"/>
        </w:rPr>
        <w:t xml:space="preserve">或采购人有权依据政府采购的有关规定，报请政府采购监管部门对该投标人进行相应的行政处罚和记录该投标人的失信信息。</w:t>
      </w:r>
      <w:r>
        <w:rPr>
          <w:rFonts w:hint="eastAsia" w:ascii="宋体" w:hAnsi="宋体"/>
          <w:sz w:val="24"/>
          <w:szCs w:val="24"/>
          <w:lang w:val="zh-CN"/>
        </w:rPr>
      </w:r>
      <w:r/>
    </w:p>
    <w:p>
      <w:pPr>
        <w:pStyle w:val="769"/>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九、政策功能落实</w:t>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35.促进中小企业发展</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213号））确定的中型企业、小型企业和微型企业，但与大企业的负责人为同一人，或者与大企</w:t>
      </w:r>
      <w:r>
        <w:rPr>
          <w:rFonts w:hint="eastAsia" w:ascii="宋体" w:hAnsi="宋体"/>
          <w:sz w:val="24"/>
          <w:szCs w:val="24"/>
          <w:lang w:val="zh-CN"/>
        </w:rPr>
        <w:t xml:space="preserve">业存在直接控股、管理关系的除外。符合中小企业划分标准的个体工商户，在政府采购活动中视同中小企业。</w:t>
      </w:r>
      <w:r>
        <w:rPr>
          <w:rFonts w:ascii="宋体" w:hAnsi="宋体"/>
          <w:sz w:val="24"/>
          <w:szCs w:val="24"/>
          <w:lang w:val="zh-CN"/>
        </w:rPr>
      </w:r>
      <w:r/>
    </w:p>
    <w:p>
      <w:pPr>
        <w:pStyle w:val="769"/>
        <w:ind w:firstLine="480"/>
        <w:keepNext/>
        <w:spacing w:line="360" w:lineRule="auto"/>
        <w:rPr>
          <w:rFonts w:ascii="宋体" w:hAnsi="宋体"/>
          <w:b/>
          <w:bCs/>
          <w:sz w:val="24"/>
          <w:szCs w:val="24"/>
          <w:lang w:val="zh-CN"/>
        </w:rPr>
      </w:pPr>
      <w:r>
        <w:rPr>
          <w:rFonts w:hint="eastAsia" w:ascii="宋体" w:hAnsi="宋体"/>
          <w:sz w:val="24"/>
          <w:szCs w:val="24"/>
          <w:lang w:val="zh-CN"/>
        </w:rPr>
        <w:t xml:space="preserve">35.2 中小企业参加政府采购活动，应当</w:t>
      </w:r>
      <w:r>
        <w:rPr>
          <w:rFonts w:ascii="宋体" w:hAnsi="宋体"/>
          <w:sz w:val="24"/>
          <w:szCs w:val="24"/>
          <w:lang w:val="zh-CN"/>
        </w:rPr>
        <w:t xml:space="preserve">出具</w:t>
      </w:r>
      <w:r>
        <w:rPr>
          <w:rFonts w:hint="eastAsia" w:ascii="宋体" w:hAnsi="宋体"/>
          <w:sz w:val="24"/>
          <w:szCs w:val="24"/>
          <w:lang w:val="zh-CN"/>
        </w:rPr>
        <w:t xml:space="preserve">《中小企业声明函》，否则不享受相关中小企业支持政策。</w:t>
      </w:r>
      <w:r>
        <w:rPr>
          <w:rFonts w:hint="eastAsia" w:ascii="宋体" w:hAnsi="宋体"/>
          <w:b/>
          <w:bCs/>
          <w:sz w:val="24"/>
          <w:szCs w:val="24"/>
          <w:lang w:val="zh-CN"/>
        </w:rPr>
        <w:t xml:space="preserve">中标人享受中小企业扶持政策的，其《中小企业声明函</w:t>
      </w:r>
      <w:r>
        <w:rPr>
          <w:rFonts w:hint="eastAsia" w:ascii="宋体" w:hAnsi="宋体"/>
          <w:b/>
          <w:bCs/>
          <w:sz w:val="24"/>
          <w:szCs w:val="24"/>
          <w:lang w:val="zh-CN"/>
        </w:rPr>
        <w:t xml:space="preserve">》将随中标结果公开。</w:t>
      </w:r>
      <w:r>
        <w:rPr>
          <w:rFonts w:ascii="宋体" w:hAnsi="宋体"/>
          <w:b/>
          <w:bCs/>
          <w:sz w:val="24"/>
          <w:szCs w:val="24"/>
          <w:lang w:val="zh-CN"/>
        </w:rPr>
      </w:r>
      <w:r/>
    </w:p>
    <w:p>
      <w:pPr>
        <w:pStyle w:val="769"/>
        <w:ind w:firstLine="482"/>
        <w:keepNext/>
        <w:spacing w:line="360" w:lineRule="auto"/>
        <w:rPr>
          <w:rFonts w:ascii="宋体" w:hAnsi="宋体"/>
          <w:b/>
          <w:bCs/>
          <w:sz w:val="24"/>
          <w:szCs w:val="24"/>
          <w:lang w:val="zh-CN"/>
        </w:rPr>
      </w:pPr>
      <w:r>
        <w:rPr>
          <w:rFonts w:hint="eastAsia" w:ascii="宋体" w:hAnsi="宋体"/>
          <w:b/>
          <w:bCs/>
          <w:sz w:val="24"/>
          <w:szCs w:val="24"/>
          <w:lang w:val="zh-CN"/>
        </w:rPr>
        <w:t xml:space="preserve">35.3 在货物采购项目中，投标人提供的货物全部由符合政策要求的中小企业制造（不对项目涉及的服务的承接商、工程的承建商作出要求），即货物由中小企业生产且</w:t>
      </w:r>
      <w:r>
        <w:rPr>
          <w:rFonts w:hint="eastAsia" w:ascii="宋体" w:hAnsi="宋体"/>
          <w:b/>
          <w:bCs/>
          <w:sz w:val="24"/>
          <w:szCs w:val="24"/>
          <w:lang w:val="zh-CN"/>
        </w:rPr>
        <w:t xml:space="preserve">使用该中小企业商号或者注册商标，享受相应的中小企业扶持政策。</w:t>
      </w:r>
      <w:r>
        <w:rPr>
          <w:rFonts w:ascii="宋体" w:hAnsi="宋体"/>
          <w:b/>
          <w:bCs/>
          <w:sz w:val="24"/>
          <w:szCs w:val="24"/>
          <w:lang w:val="zh-CN"/>
        </w:rPr>
      </w:r>
      <w:r/>
    </w:p>
    <w:p>
      <w:pPr>
        <w:pStyle w:val="769"/>
        <w:ind w:firstLine="482"/>
        <w:keepNext/>
        <w:spacing w:line="360" w:lineRule="auto"/>
        <w:rPr>
          <w:rFonts w:ascii="宋体" w:hAnsi="宋体"/>
          <w:sz w:val="24"/>
          <w:szCs w:val="24"/>
          <w:lang w:val="zh-CN"/>
        </w:rPr>
      </w:pPr>
      <w:r>
        <w:rPr>
          <w:rFonts w:hint="eastAsia" w:ascii="宋体" w:hAnsi="宋体"/>
          <w:b/>
          <w:bCs/>
          <w:sz w:val="24"/>
          <w:szCs w:val="24"/>
          <w:lang w:val="zh-CN"/>
        </w:rPr>
        <w:t xml:space="preserve">35.4 评委会评审中发现投标人提供的《中小企业声明函》内容含义不明确、同类事项表述不一致或者有明显文字错误等情况的，应当以书面形式要求投标人作出必要的澄清、说明或者补正。</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35.5 以联合体形式参加政府采购活动，联合体各方均为中小企业的，联合体视同中小企业。其中，联合体各方均为小微企业的，联合体视同小微企业。</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35.6 监狱和戒毒企业（统称监狱企业）视同小型、微型企业。按照《关于政府采购支持监狱企业发展有关问题的通知》（财库〔2</w:t>
      </w:r>
      <w:r>
        <w:rPr>
          <w:rFonts w:hint="eastAsia" w:ascii="宋体" w:hAnsi="宋体"/>
          <w:sz w:val="24"/>
          <w:szCs w:val="24"/>
          <w:lang w:val="zh-CN"/>
        </w:rPr>
        <w:t xml:space="preserve">014〕68号）规定，监狱企业需提供由省级以上监狱管理局、戒毒管理局（含新疆生产建设兵团）出具的属于监狱企业的证明文件。</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35.7 残疾人福利性单位视同小型、微型企业。按照《关于促进残疾人就业政府采购政策的通知》（财库〔2017〕141号）规定，残疾人福利性单位需提供《残疾人福利性单位声明函》。</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36.节能产品和环境标志产品</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36.1 执行节能环保产品</w:t>
      </w:r>
      <w:r>
        <w:rPr>
          <w:rFonts w:hint="eastAsia" w:ascii="宋体" w:hAnsi="宋体"/>
          <w:sz w:val="24"/>
          <w:szCs w:val="24"/>
          <w:lang w:val="zh-CN"/>
        </w:rPr>
        <w:t xml:space="preserve">优先采购和强制采购制度。节能产品是指列入财政部、国家发展和改革委员会制定的《节能产品政府采购品目清单》（财库〔2019〕19号），且依据国家相关标准的最新版本、国家能效标准中二级能效（水效）指标认</w:t>
      </w:r>
      <w:r>
        <w:rPr>
          <w:rFonts w:hint="eastAsia" w:ascii="宋体" w:hAnsi="宋体"/>
          <w:sz w:val="24"/>
          <w:szCs w:val="24"/>
          <w:lang w:val="zh-CN"/>
        </w:rPr>
        <w:t xml:space="preserve">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36.2 采购产品属于政府强制采购节能产品的，投标人应当选择依据国家能效标准中二级能效（水效）指标认证的节能产品投标，签订合同时提供国家确定的认证机构出具的、处于有效期之内的节能产品认证证书。 </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36.3 采购产品属于政府优先采购节能产品和环境标志产品的，对投标人提供的国家确定的认证机构出具的、处于有效期之内的节能产品或环境标志产品认证证书，评审时给予加分（详见第五章）。</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37.绿色采购</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37.1 采购产品中涉及商品包装、快递包装要求的，应按照《关于印发&lt;商品包装政府采购需求标准（试行）&gt;、&lt;快递包装政府采购需求标准（试行）&gt;的通知》（财办库〔2020〕123号）、《江苏省财政厅关于加强政府绿色采购有关事项</w:t>
      </w:r>
      <w:r>
        <w:rPr>
          <w:rFonts w:hint="eastAsia" w:ascii="宋体" w:hAnsi="宋体"/>
          <w:sz w:val="24"/>
          <w:szCs w:val="24"/>
          <w:lang w:val="zh-CN"/>
        </w:rPr>
        <w:t xml:space="preserve">的通知》（苏财购〔2023〕65号）文件执行。招标文件对商品包装和快递包装有具体要求的，政府采购合同中应当载明对投标人提供产品及相关快递服务的具体包装要求和履约验收相关条款，投标人须严格执行，必要</w:t>
      </w:r>
      <w:r>
        <w:rPr>
          <w:rFonts w:hint="eastAsia" w:ascii="宋体" w:hAnsi="宋体"/>
          <w:sz w:val="24"/>
          <w:szCs w:val="24"/>
          <w:lang w:val="zh-CN"/>
        </w:rPr>
        <w:t xml:space="preserve">时应按照要求在履约验收环节出具检测报告。</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37.2 采购产品中涉及数据中心相关设备、运维服务的，应按照《关于印发&lt;绿色数据中心政府采购需求标准（试行）&gt;的通知》（财办库〔2023〕7号）、《江苏省财政厅关于加强政府绿色采购有关事项的通知》（苏财购〔2023〕65号）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37.4 采购产品中涉及数</w:t>
      </w:r>
      <w:r>
        <w:rPr>
          <w:rFonts w:hint="eastAsia" w:ascii="宋体" w:hAnsi="宋体"/>
          <w:sz w:val="24"/>
          <w:szCs w:val="24"/>
          <w:lang w:val="zh-CN"/>
        </w:rPr>
        <w:t xml:space="preserve">据库、操作系统、通用服务器、工作站、一体式计算机、便携式计算机、台式计算机的，投标人所投产品不得违反财政部、工业和信息化部印发的《需求标准》（详见财库〔2023〕29号、30号、31号、32号、3</w:t>
      </w:r>
      <w:r>
        <w:rPr>
          <w:rFonts w:hint="eastAsia" w:ascii="宋体" w:hAnsi="宋体"/>
          <w:sz w:val="24"/>
          <w:szCs w:val="24"/>
          <w:lang w:val="zh-CN"/>
        </w:rPr>
        <w:t xml:space="preserve">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38.创新产品采购</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38.1 优先采购各级政府部门公开发布的有效期内的创新产品、首台套等《目录》内的创新产品。创新产品自进入《目录》起2年内视同具备相应销售业绩。</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39.网络产品、市场准入类产</w:t>
      </w:r>
      <w:r>
        <w:rPr>
          <w:rFonts w:hint="eastAsia" w:ascii="宋体" w:hAnsi="宋体"/>
          <w:sz w:val="24"/>
          <w:szCs w:val="24"/>
          <w:lang w:val="zh-CN"/>
        </w:rPr>
        <w:t xml:space="preserve">品采购</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39.1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w:t>
      </w:r>
      <w:r>
        <w:rPr>
          <w:rFonts w:hint="eastAsia" w:ascii="宋体" w:hAnsi="宋体"/>
          <w:sz w:val="24"/>
          <w:szCs w:val="24"/>
          <w:lang w:val="zh-CN"/>
        </w:rPr>
        <w:t xml:space="preserve">获得《计算机信息系统安全专用产品销售许可证》，且在有效期内。采购人、中标人双方签订合同及验收环节，应包含上述网络安全要求的条款。</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39.2 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40.实施本国产品标准及相关政策</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40.1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40.2本国产品应当符合以下条件：</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（1）在中国境内生产</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4"/>
          <w:lang w:val="zh-CN"/>
        </w:rPr>
        <w:t xml:space="preserve">。</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w:t>
      </w:r>
      <w:r>
        <w:rPr>
          <w:rFonts w:hint="eastAsia" w:ascii="宋体" w:hAnsi="宋体"/>
          <w:sz w:val="24"/>
          <w:szCs w:val="24"/>
          <w:lang w:val="zh-CN"/>
        </w:rPr>
        <w:t xml:space="preserve">他产品，根据实际情况判断是否在中国境内生产。</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（2）在中国境内生产的组件成本占比达到规定比例</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（3）特定产品的关键组件、关键工序符合相关要求</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对特定产品，在符合本通知第一条第（一）项和第（二）项条件的基础上，应当符合财政部会同有关行业主管部门确定的其关键组件、关键工序在中国境内生产、完成等要求。</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40.3本国产品标准的适用范围</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w:t>
      </w:r>
      <w:r>
        <w:rPr>
          <w:rFonts w:hint="eastAsia" w:ascii="宋体" w:hAnsi="宋体"/>
          <w:sz w:val="24"/>
          <w:szCs w:val="24"/>
          <w:lang w:val="zh-CN"/>
        </w:rPr>
        <w:t xml:space="preserve">陈列品，图书和档案，特种动植物，农林牧渔业产品，矿与矿物，电力、城市燃气、蒸汽和热水、水，食品、饮料和烟草原料，无形资产。</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40.4对本国产品的支持政策</w:t>
      </w:r>
      <w:r>
        <w:rPr>
          <w:rFonts w:ascii="宋体" w:hAnsi="宋体"/>
          <w:sz w:val="24"/>
          <w:szCs w:val="24"/>
          <w:lang w:val="zh-CN"/>
        </w:rPr>
      </w:r>
      <w:r/>
    </w:p>
    <w:p>
      <w:pPr>
        <w:pStyle w:val="769"/>
        <w:ind w:firstLine="482"/>
        <w:keepNext/>
        <w:spacing w:line="360" w:lineRule="auto"/>
        <w:rPr>
          <w:rFonts w:ascii="宋体" w:hAnsi="宋体"/>
          <w:b/>
          <w:bCs/>
          <w:sz w:val="24"/>
          <w:szCs w:val="24"/>
          <w:lang w:val="zh-CN"/>
        </w:rPr>
      </w:pPr>
      <w:r>
        <w:rPr>
          <w:rFonts w:hint="eastAsia" w:ascii="宋体" w:hAnsi="宋体"/>
          <w:b/>
          <w:bCs/>
          <w:sz w:val="24"/>
          <w:szCs w:val="24"/>
          <w:lang w:val="zh-CN"/>
        </w:rPr>
        <w:t xml:space="preserve">本项目如既有本国产品又有非本国产品参与竞争，依法对本国产品给予价格评审优惠，具体详见第五章。</w:t>
      </w:r>
      <w:r>
        <w:rPr>
          <w:rFonts w:ascii="宋体" w:hAnsi="宋体"/>
          <w:b/>
          <w:bCs/>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40.5政策执行要求</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（2）有关证明文件。</w:t>
      </w:r>
      <w:r>
        <w:rPr>
          <w:rFonts w:hint="eastAsia" w:ascii="宋体" w:hAnsi="宋体"/>
          <w:b/>
          <w:bCs/>
          <w:sz w:val="24"/>
          <w:szCs w:val="24"/>
          <w:lang w:val="zh-CN"/>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w:t>
      </w:r>
      <w:r>
        <w:rPr>
          <w:rFonts w:hint="eastAsia" w:ascii="宋体" w:hAnsi="宋体"/>
          <w:b/>
          <w:bCs/>
          <w:sz w:val="24"/>
          <w:szCs w:val="24"/>
          <w:lang w:val="zh-CN"/>
        </w:rPr>
        <w:t xml:space="preserve">本国产品，不再要求投标人提供其他证明材料。投标人提供虚假《关于符合本国产品标准的声明函》、虚假证明文件谋取中标的，依照《中华人民共和国政府采购法》等法律法规规定追究相应责任。</w:t>
      </w:r>
      <w:r>
        <w:rPr>
          <w:rFonts w:ascii="宋体" w:hAnsi="宋体"/>
          <w:sz w:val="24"/>
          <w:szCs w:val="24"/>
          <w:lang w:val="zh-CN"/>
        </w:rPr>
      </w:r>
      <w:r/>
    </w:p>
    <w:p>
      <w:pPr>
        <w:pStyle w:val="769"/>
        <w:ind w:firstLine="480"/>
        <w:keepNext/>
        <w:spacing w:line="360" w:lineRule="auto"/>
        <w:rPr>
          <w:rFonts w:ascii="宋体" w:hAnsi="宋体"/>
          <w:sz w:val="24"/>
          <w:szCs w:val="24"/>
          <w:lang w:val="zh-CN"/>
        </w:rPr>
      </w:pPr>
      <w:r>
        <w:rPr>
          <w:rFonts w:hint="eastAsia" w:ascii="宋体" w:hAnsi="宋体"/>
          <w:sz w:val="24"/>
          <w:szCs w:val="24"/>
          <w:lang w:val="zh-CN"/>
        </w:rPr>
        <w:t xml:space="preserve">评审委员会评审中发现投标人提供的《关于符合本国产品标准的声明函》内容含义不明确、同类事项与投标文件表述不一致或者有明显文字错误等情况的，应当以书</w:t>
      </w:r>
      <w:r>
        <w:rPr>
          <w:rFonts w:hint="eastAsia" w:ascii="宋体" w:hAnsi="宋体"/>
          <w:sz w:val="24"/>
          <w:szCs w:val="24"/>
          <w:lang w:val="zh-CN"/>
        </w:rPr>
        <w:t xml:space="preserve">面形式要求投标人作出必要的澄清、说明或者补正。经澄清、说明或者补正的《关于符合本国产品标准的声明函》仍然不符合在政府采购中实施本国产品标准及相关政策规定要求的，投标人提供的相关产品视为不符合本国产</w:t>
      </w:r>
      <w:r>
        <w:rPr>
          <w:rFonts w:hint="eastAsia" w:ascii="宋体" w:hAnsi="宋体"/>
          <w:sz w:val="24"/>
          <w:szCs w:val="24"/>
          <w:lang w:val="zh-CN"/>
        </w:rPr>
        <w:t xml:space="preserve">品标准。</w:t>
      </w:r>
      <w:r>
        <w:rPr>
          <w:rFonts w:ascii="宋体" w:hAnsi="宋体"/>
          <w:sz w:val="24"/>
          <w:szCs w:val="24"/>
          <w:lang w:val="zh-CN"/>
        </w:rPr>
      </w:r>
      <w:r/>
    </w:p>
    <w:p>
      <w:pPr>
        <w:pStyle w:val="769"/>
        <w:ind w:right="840"/>
        <w:jc w:val="center"/>
        <w:keepNext/>
        <w:rPr>
          <w:rFonts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r>
      <w:r/>
    </w:p>
    <w:p>
      <w:pPr>
        <w:pStyle w:val="782"/>
        <w:rPr>
          <w:rFonts w:hint="eastAsia" w:eastAsia="等线"/>
          <w:lang w:val="en-US"/>
        </w:rPr>
      </w:pPr>
      <w:r>
        <w:rPr>
          <w:rFonts w:hint="eastAsia" w:eastAsia="等线"/>
          <w:lang w:val="en-US"/>
        </w:rPr>
      </w:r>
      <w:r/>
    </w:p>
    <w:p>
      <w:pPr>
        <w:pStyle w:val="769"/>
        <w:ind w:right="840"/>
        <w:jc w:val="center"/>
        <w:keepNex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第三章  </w:t>
      </w:r>
      <w:r>
        <w:rPr>
          <w:rFonts w:hint="eastAsia" w:ascii="方正小标宋简体" w:hAnsi="方正小标宋简体" w:eastAsia="方正小标宋简体" w:cs="方正小标宋简体"/>
          <w:color w:val="000000"/>
          <w:sz w:val="36"/>
          <w:szCs w:val="36"/>
        </w:rPr>
        <w:t xml:space="preserve">合同文本</w:t>
      </w:r>
      <w:r>
        <w:rPr>
          <w:rFonts w:hint="eastAsia" w:ascii="方正小标宋简体" w:hAnsi="方正小标宋简体" w:eastAsia="方正小标宋简体" w:cs="方正小标宋简体"/>
          <w:sz w:val="36"/>
          <w:szCs w:val="36"/>
        </w:rPr>
      </w:r>
      <w:r/>
    </w:p>
    <w:p>
      <w:pPr>
        <w:pStyle w:val="769"/>
        <w:keepNext/>
        <w:spacing w:line="253" w:lineRule="auto"/>
        <w:widowControl/>
        <w:rPr>
          <w:rFonts w:hint="eastAsia" w:ascii="仿宋_GB2312" w:hAnsi="仿宋_GB2312" w:eastAsia="仿宋_GB2312" w:cs="仿宋_GB2312"/>
        </w:rPr>
      </w:pPr>
      <w:r>
        <w:rPr>
          <w:rFonts w:hint="eastAsia" w:ascii="仿宋_GB2312" w:hAnsi="仿宋_GB2312" w:eastAsia="仿宋_GB2312" w:cs="仿宋_GB2312"/>
        </w:rPr>
      </w:r>
      <w:r/>
    </w:p>
    <w:p>
      <w:pPr>
        <w:pStyle w:val="769"/>
        <w:ind w:firstLine="480"/>
        <w:keepNext/>
        <w:spacing w:line="264" w:lineRule="auto"/>
        <w:rPr>
          <w:rFonts w:hint="eastAsia" w:ascii="宋体" w:hAnsi="宋体"/>
          <w:b/>
          <w:color w:val="000000"/>
          <w:sz w:val="30"/>
          <w:szCs w:val="21"/>
        </w:rPr>
      </w:pPr>
      <w:r/>
      <w:bookmarkStart w:id="112" w:name="_Toc20823315"/>
      <w:r/>
      <w:bookmarkStart w:id="113" w:name="_Toc513029243"/>
      <w:r/>
      <w:bookmarkStart w:id="114" w:name="_Toc16938559"/>
      <w:r>
        <w:rPr>
          <w:rFonts w:hint="eastAsia" w:ascii="宋体" w:hAnsi="宋体"/>
          <w:bCs/>
          <w:color w:val="000000"/>
          <w:sz w:val="24"/>
          <w:szCs w:val="21"/>
        </w:rPr>
        <w:t xml:space="preserve">以下为本项目的合同条款，合同双方不得对招标、投标文件内容作实质性修改。</w:t>
      </w:r>
      <w:r>
        <w:rPr>
          <w:rFonts w:hint="eastAsia" w:ascii="宋体" w:hAnsi="宋体"/>
          <w:b/>
          <w:color w:val="000000"/>
          <w:sz w:val="30"/>
          <w:szCs w:val="21"/>
        </w:rPr>
      </w:r>
      <w:r/>
    </w:p>
    <w:p>
      <w:pPr>
        <w:pStyle w:val="769"/>
        <w:jc w:val="center"/>
        <w:keepNext/>
        <w:spacing w:before="145" w:after="145" w:line="264" w:lineRule="auto"/>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政府采购合同（货物）</w:t>
      </w:r>
      <w:r/>
    </w:p>
    <w:p>
      <w:pPr>
        <w:pStyle w:val="769"/>
        <w:jc w:val="left"/>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p>
    <w:p>
      <w:pPr>
        <w:pStyle w:val="769"/>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pStyle w:val="769"/>
        <w:jc w:val="left"/>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p>
    <w:p>
      <w:pPr>
        <w:pStyle w:val="769"/>
        <w:jc w:val="left"/>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p>
    <w:p>
      <w:pPr>
        <w:pStyle w:val="769"/>
        <w:keepNext/>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   有限公司组织的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 履行时间（期限）：按招标文件及投标文件执行。</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 履行地点：采购人指定地点。</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 履行方式：按招标文件及投标文件执行。</w:t>
      </w:r>
      <w:r/>
    </w:p>
    <w:p>
      <w:pPr>
        <w:pStyle w:val="769"/>
        <w:keepNext/>
        <w:spacing w:line="264" w:lineRule="auto"/>
        <w:rPr>
          <w:rFonts w:ascii="宋体" w:hAnsi="宋体" w:cs="Courier New"/>
          <w:color w:val="000000"/>
          <w:sz w:val="24"/>
          <w:szCs w:val="24"/>
        </w:rPr>
      </w:pPr>
      <w:r>
        <w:rPr>
          <w:rFonts w:hint="eastAsia" w:ascii="宋体" w:hAnsi="宋体" w:cs="Courier New"/>
          <w:color w:val="000000"/>
          <w:sz w:val="24"/>
          <w:szCs w:val="24"/>
        </w:rPr>
        <w:t xml:space="preserve">1.7 包装方式：按招标文件及投标文件执行。</w:t>
      </w:r>
      <w:r>
        <w:rPr>
          <w:rFonts w:ascii="宋体" w:hAnsi="宋体" w:cs="Courier New"/>
          <w:color w:val="000000"/>
          <w:sz w:val="24"/>
          <w:szCs w:val="24"/>
        </w:rPr>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814"/>
        <w:keepNext/>
        <w:spacing w:line="264" w:lineRule="auto"/>
        <w:rPr>
          <w:rFonts w:hAnsi="宋体" w:cs="Courier New"/>
          <w:color w:val="000000"/>
          <w:sz w:val="24"/>
          <w:szCs w:val="24"/>
        </w:rPr>
      </w:pPr>
      <w:r>
        <w:rPr>
          <w:rFonts w:hAnsi="宋体" w:cs="Courier New"/>
          <w:color w:val="000000"/>
          <w:sz w:val="24"/>
          <w:szCs w:val="24"/>
        </w:rPr>
        <w:t xml:space="preserve">2.1 </w:t>
      </w:r>
      <w:r>
        <w:rPr>
          <w:rFonts w:hint="eastAsia" w:hAnsi="宋体" w:cs="Courier New"/>
          <w:sz w:val="24"/>
          <w:szCs w:val="24"/>
        </w:rPr>
        <w:t xml:space="preserve">本合同金额为（大写）：____________________圆（____________________元）人民币。</w:t>
      </w:r>
      <w:r>
        <w:rPr>
          <w:rFonts w:hAnsi="宋体" w:cs="Courier New"/>
          <w:color w:val="000000"/>
          <w:sz w:val="24"/>
          <w:szCs w:val="24"/>
        </w:rPr>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w:t>
      </w:r>
      <w:r>
        <w:rPr>
          <w:rFonts w:hint="eastAsia" w:ascii="方正黑体_GBK" w:hAnsi="方正黑体_GBK" w:eastAsia="方正黑体_GBK" w:cs="方正黑体_GBK"/>
          <w:bCs/>
          <w:color w:val="000000"/>
          <w:sz w:val="24"/>
          <w:szCs w:val="24"/>
        </w:rPr>
        <w:t xml:space="preserve">资料</w:t>
      </w:r>
      <w:r/>
    </w:p>
    <w:p>
      <w:pPr>
        <w:pStyle w:val="769"/>
        <w:keepNext/>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p>
    <w:p>
      <w:pPr>
        <w:pStyle w:val="769"/>
        <w:keepNext/>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p>
    <w:p>
      <w:pPr>
        <w:pStyle w:val="769"/>
        <w:keepNext/>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769"/>
        <w:keepNext/>
        <w:spacing w:line="264" w:lineRule="auto"/>
        <w:rPr>
          <w:rFonts w:hint="eastAsia" w:ascii="宋体" w:hAnsi="宋体" w:cs="Courier New"/>
          <w:sz w:val="24"/>
          <w:szCs w:val="24"/>
        </w:rPr>
      </w:pPr>
      <w:r>
        <w:rPr>
          <w:rFonts w:hint="eastAsia" w:ascii="宋体" w:hAnsi="宋体" w:cs="Courier New"/>
          <w:sz w:val="24"/>
          <w:szCs w:val="24"/>
        </w:rPr>
        <w:t xml:space="preserve">6.1 本项目乙方无需缴纳履约保证金。</w:t>
      </w:r>
      <w:r/>
    </w:p>
    <w:p>
      <w:pPr>
        <w:pStyle w:val="769"/>
        <w:keepNext/>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769"/>
        <w:keepNext/>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p>
    <w:p>
      <w:pPr>
        <w:pStyle w:val="769"/>
        <w:keepNext/>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p>
    <w:p>
      <w:pPr>
        <w:pStyle w:val="769"/>
        <w:keepNext/>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w:t>
      </w:r>
      <w:r>
        <w:rPr>
          <w:rFonts w:hint="eastAsia" w:ascii="宋体" w:hAnsi="宋体" w:cs="Courier New"/>
          <w:sz w:val="24"/>
          <w:szCs w:val="24"/>
        </w:rPr>
        <w:t xml:space="preserve">有权终止合同。</w:t>
      </w:r>
      <w:r/>
    </w:p>
    <w:p>
      <w:pPr>
        <w:pStyle w:val="769"/>
        <w:keepNext/>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814"/>
        <w:keepNext/>
        <w:spacing w:line="264" w:lineRule="auto"/>
        <w:rPr>
          <w:rFonts w:hint="eastAsia" w:hAnsi="宋体" w:cs="Courier New"/>
          <w:sz w:val="24"/>
          <w:szCs w:val="24"/>
        </w:rPr>
      </w:pPr>
      <w:r>
        <w:rPr>
          <w:rFonts w:hint="eastAsia" w:hAnsi="宋体" w:cs="Courier New"/>
          <w:sz w:val="24"/>
          <w:szCs w:val="24"/>
        </w:rPr>
        <w:t xml:space="preserve">8.1 合同款项的支付方式及时间</w:t>
      </w:r>
      <w:r/>
    </w:p>
    <w:p>
      <w:pPr>
        <w:pStyle w:val="814"/>
        <w:keepNext/>
        <w:spacing w:line="264" w:lineRule="auto"/>
        <w:rPr>
          <w:rFonts w:hint="eastAsia" w:hAnsi="宋体" w:cs="Courier New"/>
          <w:b/>
          <w:bCs/>
          <w:sz w:val="24"/>
          <w:szCs w:val="24"/>
        </w:rPr>
      </w:pPr>
      <w:r>
        <w:rPr>
          <w:rFonts w:hint="eastAsia" w:hAnsi="宋体" w:cs="Courier New"/>
          <w:sz w:val="24"/>
          <w:szCs w:val="24"/>
        </w:rPr>
        <w:t xml:space="preserve">8.1.1 </w:t>
      </w:r>
      <w:r>
        <w:rPr>
          <w:rFonts w:hint="eastAsia" w:hAnsi="宋体" w:cs="Courier New"/>
          <w:b/>
          <w:bCs/>
          <w:sz w:val="24"/>
          <w:szCs w:val="24"/>
        </w:rPr>
        <w:t xml:space="preserve">中标供应商完成合同项下全部设备的供货</w:t>
      </w:r>
      <w:r>
        <w:rPr>
          <w:rFonts w:hint="eastAsia" w:hAnsi="宋体" w:cs="Courier New"/>
          <w:b/>
          <w:bCs/>
          <w:sz w:val="24"/>
          <w:szCs w:val="24"/>
        </w:rPr>
        <w:t xml:space="preserve">安装、系统调试及联合测试，使用方接收系统并连续无故障运行满7个自然日后，由采购人组织验收，验收合格后办理付款手续，一次性支付合同总款的95%，5%的余款在正常使用一年后一个月内付清(无息)。</w:t>
      </w:r>
      <w:r/>
    </w:p>
    <w:p>
      <w:pPr>
        <w:pStyle w:val="814"/>
        <w:keepNext/>
        <w:spacing w:line="264" w:lineRule="auto"/>
        <w:rPr>
          <w:rFonts w:hint="eastAsia" w:hAnsi="宋体" w:cs="Courier New"/>
          <w:sz w:val="24"/>
          <w:szCs w:val="24"/>
        </w:rPr>
      </w:pPr>
      <w:r>
        <w:rPr>
          <w:rFonts w:hint="eastAsia" w:hAnsi="宋体" w:cs="Courier New"/>
          <w:sz w:val="24"/>
          <w:szCs w:val="24"/>
        </w:rPr>
        <w:t xml:space="preserve">8.1.2满足合同约定支付条件的，甲方收到乙方发票后10个工作日内，将资金支付到合同约定的乙方账户。 </w:t>
      </w:r>
      <w:r/>
    </w:p>
    <w:p>
      <w:pPr>
        <w:pStyle w:val="814"/>
        <w:keepNext/>
        <w:spacing w:line="264" w:lineRule="auto"/>
        <w:rPr>
          <w:rFonts w:hint="eastAsia" w:hAnsi="宋体" w:cs="Courier New"/>
          <w:sz w:val="24"/>
          <w:szCs w:val="24"/>
        </w:rPr>
      </w:pPr>
      <w:r>
        <w:rPr>
          <w:rFonts w:hint="eastAsia" w:hAnsi="宋体" w:cs="Courier New"/>
          <w:sz w:val="24"/>
          <w:szCs w:val="24"/>
        </w:rPr>
        <w:t xml:space="preserve">8.2 当采购数量与实际使用数量不一致时，乙方应根据实际使用量供货，合同的最终结算金额按实际使用量乘以成交单价进行计算。</w:t>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w:t>
      </w:r>
      <w:r>
        <w:rPr>
          <w:rFonts w:hint="eastAsia" w:ascii="宋体" w:hAnsi="宋体" w:cs="Courier New"/>
          <w:color w:val="000000"/>
          <w:sz w:val="24"/>
          <w:szCs w:val="24"/>
        </w:rPr>
        <w:t xml:space="preserve">该货物的直接费用（运输、保险、检验、货款利息及银行手续费等）。</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w:t>
      </w:r>
      <w:r>
        <w:rPr>
          <w:rFonts w:hint="eastAsia" w:ascii="宋体" w:hAnsi="宋体" w:cs="Courier New"/>
          <w:color w:val="000000"/>
          <w:sz w:val="24"/>
          <w:szCs w:val="24"/>
        </w:rPr>
        <w:t xml:space="preserve">验收小组出具验收书，列明各项标准的验收情况及项目总体评价，由验收双方共同签署。验收结果与采购合同约定的资金支付及履约保证金退还挂钩。履约验收的各项资料存档备查。</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p>
    <w:p>
      <w:pPr>
        <w:pStyle w:val="769"/>
        <w:keepNext/>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w:t>
      </w:r>
      <w:r>
        <w:rPr>
          <w:rFonts w:hint="eastAsia" w:ascii="方正黑体_GBK" w:hAnsi="方正黑体_GBK" w:eastAsia="方正黑体_GBK" w:cs="方正黑体_GBK"/>
          <w:bCs/>
          <w:color w:val="000000"/>
          <w:sz w:val="24"/>
          <w:szCs w:val="24"/>
        </w:rPr>
        <w:t xml:space="preserve">责任</w:t>
      </w:r>
      <w:r/>
    </w:p>
    <w:p>
      <w:pPr>
        <w:pStyle w:val="769"/>
        <w:keepNext/>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pStyle w:val="769"/>
        <w:keepNext/>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p>
    <w:p>
      <w:pPr>
        <w:pStyle w:val="769"/>
        <w:keepNext/>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69"/>
        <w:keepNext/>
        <w:spacing w:line="264" w:lineRule="auto"/>
        <w:rPr>
          <w:rFonts w:hint="eastAsia"/>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w:t>
      </w:r>
      <w:r>
        <w:rPr>
          <w:rFonts w:hint="eastAsia" w:ascii="宋体" w:hAnsi="宋体" w:cs="Courier New"/>
          <w:color w:val="000000"/>
          <w:sz w:val="24"/>
          <w:szCs w:val="24"/>
        </w:rPr>
        <w:t xml:space="preserve">，其延长期与不可抗力影响期相同。</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p>
    <w:p>
      <w:pPr>
        <w:pStyle w:val="769"/>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p>
    <w:p>
      <w:pPr>
        <w:pStyle w:val="769"/>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p>
    <w:p>
      <w:pPr>
        <w:pStyle w:val="814"/>
        <w:keepNext/>
        <w:spacing w:before="120" w:after="120" w:line="264" w:lineRule="auto"/>
        <w:rPr>
          <w:rFonts w:hint="eastAsia" w:hAnsi="宋体" w:cs="Courier New"/>
          <w:sz w:val="24"/>
          <w:szCs w:val="24"/>
        </w:rPr>
      </w:pPr>
      <w:r/>
      <w:bookmarkEnd w:id="112"/>
      <w:r/>
      <w:bookmarkEnd w:id="113"/>
      <w:r/>
      <w:bookmarkEnd w:id="114"/>
      <w:r/>
      <w:bookmarkStart w:id="115" w:name="_Hlt16619369"/>
      <w:r/>
      <w:bookmarkEnd w:id="115"/>
      <w:r>
        <w:rPr>
          <w:rFonts w:hint="eastAsia" w:hAnsi="宋体" w:cs="Courier New"/>
          <w:sz w:val="24"/>
          <w:szCs w:val="24"/>
        </w:rPr>
        <w:t xml:space="preserve">  </w:t>
      </w:r>
      <w:r/>
    </w:p>
    <w:p>
      <w:pPr>
        <w:pStyle w:val="814"/>
        <w:keepNext/>
        <w:spacing w:before="120" w:after="120" w:line="264" w:lineRule="auto"/>
        <w:rPr>
          <w:rFonts w:hint="eastAsia" w:hAnsi="宋体" w:cs="Courier New"/>
          <w:sz w:val="24"/>
          <w:szCs w:val="24"/>
        </w:rPr>
      </w:pPr>
      <w:r>
        <w:rPr>
          <w:rFonts w:hint="eastAsia" w:hAnsi="宋体" w:cs="Courier New"/>
          <w:sz w:val="24"/>
          <w:szCs w:val="24"/>
        </w:rPr>
        <w:t xml:space="preserve">甲  方：（公章）                       乙  方：（公章） </w:t>
      </w:r>
      <w:r/>
    </w:p>
    <w:p>
      <w:pPr>
        <w:pStyle w:val="814"/>
        <w:keepNext/>
        <w:spacing w:before="120" w:after="120" w:line="264" w:lineRule="auto"/>
        <w:rPr>
          <w:rFonts w:hint="eastAsia" w:hAnsi="宋体" w:cs="Courier New"/>
          <w:sz w:val="24"/>
          <w:szCs w:val="24"/>
        </w:rPr>
      </w:pPr>
      <w:r>
        <w:rPr>
          <w:rFonts w:hint="eastAsia" w:hAnsi="宋体" w:cs="Courier New"/>
          <w:sz w:val="24"/>
          <w:szCs w:val="24"/>
        </w:rPr>
        <w:t xml:space="preserve">地  址：                               地  址： </w:t>
      </w:r>
      <w:r/>
    </w:p>
    <w:p>
      <w:pPr>
        <w:pStyle w:val="814"/>
        <w:keepNext/>
        <w:spacing w:before="120" w:after="120" w:line="264" w:lineRule="auto"/>
        <w:rPr>
          <w:rFonts w:hint="eastAsia" w:hAnsi="宋体" w:cs="Courier New"/>
          <w:sz w:val="24"/>
          <w:szCs w:val="24"/>
        </w:rPr>
      </w:pPr>
      <w:r>
        <w:rPr>
          <w:rFonts w:hint="eastAsia" w:hAnsi="宋体" w:cs="Courier New"/>
          <w:sz w:val="24"/>
          <w:szCs w:val="24"/>
        </w:rPr>
        <w:t xml:space="preserve">法定代表人或授权代表：                 法定代表人或授权代表：</w:t>
      </w:r>
      <w:r/>
    </w:p>
    <w:p>
      <w:pPr>
        <w:pStyle w:val="814"/>
        <w:keepNext/>
        <w:spacing w:before="120" w:after="120" w:line="264" w:lineRule="auto"/>
        <w:rPr>
          <w:rFonts w:hint="eastAsia" w:hAnsi="宋体" w:cs="Courier New"/>
          <w:sz w:val="24"/>
          <w:szCs w:val="24"/>
        </w:rPr>
      </w:pPr>
      <w:r>
        <w:rPr>
          <w:rFonts w:hint="eastAsia" w:hAnsi="宋体" w:cs="Courier New"/>
          <w:sz w:val="24"/>
          <w:szCs w:val="24"/>
        </w:rPr>
        <w:t xml:space="preserve">联系电话：                             联系电话：          </w:t>
      </w:r>
      <w:r/>
    </w:p>
    <w:p>
      <w:pPr>
        <w:pStyle w:val="814"/>
        <w:keepNext/>
        <w:spacing w:before="120" w:after="120" w:line="264" w:lineRule="auto"/>
        <w:rPr>
          <w:rFonts w:hint="eastAsia" w:hAnsi="宋体" w:cs="Courier New"/>
          <w:sz w:val="24"/>
          <w:szCs w:val="24"/>
        </w:rPr>
      </w:pPr>
      <w:r>
        <w:rPr>
          <w:rFonts w:hint="eastAsia" w:hAnsi="宋体" w:cs="Courier New"/>
          <w:sz w:val="24"/>
          <w:szCs w:val="24"/>
        </w:rPr>
        <w:t xml:space="preserve">                                          </w:t>
      </w:r>
      <w:r/>
    </w:p>
    <w:p>
      <w:pPr>
        <w:pStyle w:val="769"/>
        <w:ind w:firstLine="480"/>
        <w:keepNext/>
        <w:spacing w:line="360" w:lineRule="auto"/>
        <w:rPr>
          <w:rFonts w:hint="eastAsia" w:ascii="宋体" w:hAnsi="宋体"/>
          <w:sz w:val="24"/>
          <w:szCs w:val="24"/>
        </w:rPr>
      </w:pPr>
      <w:r>
        <w:rPr>
          <w:rFonts w:hint="eastAsia" w:hAnsi="宋体" w:cs="Courier New"/>
          <w:sz w:val="24"/>
          <w:szCs w:val="24"/>
        </w:rPr>
        <w:t xml:space="preserve">签订日期：     </w:t>
      </w:r>
      <w:r>
        <w:rPr>
          <w:rFonts w:hint="eastAsia" w:ascii="宋体" w:hAnsi="宋体"/>
          <w:sz w:val="24"/>
          <w:szCs w:val="24"/>
        </w:rPr>
        <w:t xml:space="preserve">。</w:t>
      </w:r>
      <w:r>
        <w:rPr>
          <w:rFonts w:hint="eastAsia" w:ascii="宋体" w:hAnsi="宋体"/>
          <w:sz w:val="24"/>
          <w:szCs w:val="24"/>
        </w:rPr>
      </w:r>
      <w:r/>
    </w:p>
    <w:p>
      <w:pPr>
        <w:pStyle w:val="769"/>
        <w:ind w:firstLine="482"/>
        <w:jc w:val="center"/>
        <w:keepNext/>
        <w:spacing w:line="360" w:lineRule="auto"/>
        <w:rPr>
          <w:rFonts w:ascii="宋体" w:hAnsi="宋体"/>
          <w:b/>
          <w:bCs/>
          <w:sz w:val="24"/>
          <w:szCs w:val="24"/>
        </w:rPr>
      </w:pPr>
      <w:r>
        <w:rPr>
          <w:rFonts w:ascii="宋体" w:hAnsi="宋体"/>
          <w:b/>
          <w:bCs/>
          <w:sz w:val="24"/>
          <w:szCs w:val="24"/>
        </w:rPr>
      </w:r>
      <w:r/>
    </w:p>
    <w:p>
      <w:pPr>
        <w:pStyle w:val="769"/>
        <w:ind w:firstLine="482"/>
        <w:jc w:val="center"/>
        <w:keepNext/>
        <w:spacing w:line="360" w:lineRule="auto"/>
        <w:rPr>
          <w:rFonts w:ascii="宋体" w:hAnsi="宋体"/>
          <w:b/>
          <w:bCs/>
          <w:sz w:val="24"/>
          <w:szCs w:val="24"/>
        </w:rPr>
      </w:pPr>
      <w:r>
        <w:rPr>
          <w:rFonts w:ascii="宋体" w:hAnsi="宋体"/>
          <w:b/>
          <w:bCs/>
          <w:sz w:val="24"/>
          <w:szCs w:val="24"/>
        </w:rPr>
      </w:r>
      <w:r/>
    </w:p>
    <w:p>
      <w:pPr>
        <w:pStyle w:val="769"/>
        <w:ind w:firstLine="482"/>
        <w:jc w:val="center"/>
        <w:keepNext/>
        <w:spacing w:line="360" w:lineRule="auto"/>
        <w:rPr>
          <w:rFonts w:hint="eastAsia" w:ascii="宋体" w:hAnsi="宋体"/>
          <w:b/>
          <w:bCs/>
          <w:sz w:val="24"/>
          <w:szCs w:val="24"/>
        </w:rPr>
      </w:pPr>
      <w:r>
        <w:rPr>
          <w:rFonts w:hint="eastAsia" w:ascii="宋体" w:hAnsi="宋体"/>
          <w:b/>
          <w:bCs/>
          <w:sz w:val="24"/>
          <w:szCs w:val="24"/>
        </w:rPr>
        <w:t xml:space="preserve">《*******合同》补充协议（合同附件）</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    如遇招标文件及合同未约定事项，双方可友好协商签订补充协议。</w:t>
      </w:r>
      <w:r/>
    </w:p>
    <w:p>
      <w:pPr>
        <w:pStyle w:val="769"/>
        <w:keepNext/>
        <w:spacing w:line="360" w:lineRule="auto"/>
        <w:shd w:val="clear" w:color="auto" w:fill="ffffff"/>
        <w:widowControl/>
        <w:rPr>
          <w:rFonts w:hint="eastAsia" w:ascii="宋体" w:hAnsi="宋体"/>
          <w:b/>
          <w:sz w:val="52"/>
          <w:szCs w:val="52"/>
        </w:rPr>
      </w:pPr>
      <w:r/>
      <w:bookmarkEnd w:id="0"/>
      <w:r/>
      <w:bookmarkEnd w:id="1"/>
      <w:r/>
      <w:bookmarkEnd w:id="2"/>
      <w:r/>
      <w:bookmarkEnd w:id="3"/>
      <w:r/>
      <w:bookmarkEnd w:id="4"/>
      <w:r/>
      <w:bookmarkEnd w:id="5"/>
      <w:r/>
      <w:bookmarkStart w:id="116" w:name="_Toc20823346"/>
      <w:r/>
      <w:bookmarkStart w:id="117" w:name="_Hlt16619350"/>
      <w:r/>
      <w:bookmarkStart w:id="118" w:name="_Toc16938590"/>
      <w:r/>
      <w:bookmarkStart w:id="119" w:name="_Toc120614244"/>
      <w:r/>
      <w:bookmarkStart w:id="120" w:name="_Toc479757211"/>
      <w:r/>
      <w:bookmarkStart w:id="121" w:name="_Toc462564139"/>
      <w:r>
        <w:rPr>
          <w:rFonts w:hint="eastAsia" w:ascii="宋体" w:hAnsi="宋体"/>
          <w:b/>
          <w:sz w:val="52"/>
          <w:szCs w:val="52"/>
        </w:rPr>
      </w:r>
      <w:r/>
    </w:p>
    <w:p>
      <w:pPr>
        <w:pStyle w:val="890"/>
        <w:jc w:val="center"/>
        <w:keepNext/>
        <w:spacing w:before="120" w:after="120" w:line="0" w:lineRule="atLeast"/>
        <w:rPr>
          <w:rFonts w:hint="eastAsia" w:ascii="方正小标宋简体" w:hAnsi="方正小标宋简体" w:eastAsia="方正小标宋简体" w:cs="方正小标宋简体"/>
          <w:sz w:val="36"/>
          <w:szCs w:val="36"/>
        </w:rPr>
      </w:pPr>
      <w:r/>
      <w:bookmarkEnd w:id="116"/>
      <w:r/>
      <w:bookmarkEnd w:id="117"/>
      <w:r/>
      <w:bookmarkEnd w:id="118"/>
      <w:r/>
      <w:bookmarkEnd w:id="119"/>
      <w:r/>
      <w:bookmarkStart w:id="122" w:name="_Toc26554093"/>
      <w:r/>
      <w:bookmarkStart w:id="123" w:name="_Toc49090575"/>
      <w:r>
        <w:rPr>
          <w:rFonts w:hint="eastAsia" w:ascii="方正小标宋简体" w:hAnsi="方正小标宋简体" w:eastAsia="方正小标宋简体" w:cs="方正小标宋简体"/>
          <w:sz w:val="36"/>
          <w:szCs w:val="36"/>
        </w:rPr>
      </w:r>
      <w:r/>
    </w:p>
    <w:p>
      <w:pPr>
        <w:pStyle w:val="890"/>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90"/>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90"/>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90"/>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90"/>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t xml:space="preserve">第四章  采购需求</w:t>
      </w:r>
      <w:r/>
    </w:p>
    <w:p>
      <w:pPr>
        <w:pStyle w:val="769"/>
        <w:ind w:firstLine="480"/>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769"/>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769"/>
        <w:ind w:firstLine="480"/>
        <w:rPr>
          <w:rFonts w:hint="eastAsia" w:ascii="宋体" w:hAnsi="宋体" w:cs="宋体"/>
          <w:bCs/>
          <w:sz w:val="24"/>
          <w:szCs w:val="24"/>
        </w:rPr>
      </w:pPr>
      <w:r>
        <w:rPr>
          <w:rFonts w:hint="eastAsia" w:ascii="宋体" w:hAnsi="宋体" w:cs="宋体"/>
          <w:bCs/>
          <w:sz w:val="24"/>
          <w:szCs w:val="24"/>
        </w:rPr>
        <w:t xml:space="preserve">（一）项目背景</w:t>
      </w:r>
      <w:r/>
    </w:p>
    <w:p>
      <w:pPr>
        <w:pStyle w:val="769"/>
        <w:ind w:firstLine="480"/>
        <w:rPr>
          <w:rFonts w:hint="eastAsia" w:ascii="宋体" w:hAnsi="宋体"/>
          <w:sz w:val="24"/>
          <w:szCs w:val="24"/>
        </w:rPr>
      </w:pPr>
      <w:r>
        <w:rPr>
          <w:rFonts w:hint="eastAsia" w:ascii="宋体" w:hAnsi="宋体"/>
          <w:sz w:val="24"/>
          <w:szCs w:val="24"/>
          <w:lang w:val="zh-CN"/>
        </w:rPr>
        <w:t xml:space="preserve">本项目是根据六合区多所学校实际需求，配置</w:t>
      </w:r>
      <w:r>
        <w:rPr>
          <w:rFonts w:hint="eastAsia" w:ascii="宋体" w:hAnsi="宋体"/>
          <w:sz w:val="24"/>
          <w:szCs w:val="24"/>
        </w:rPr>
        <w:t xml:space="preserve">课桌椅、功能室设备、体育仪器器材及木器设备</w:t>
      </w:r>
      <w:r>
        <w:rPr>
          <w:rFonts w:hint="eastAsia" w:ascii="宋体" w:hAnsi="宋体"/>
          <w:sz w:val="24"/>
          <w:szCs w:val="24"/>
          <w:lang w:val="zh-CN"/>
        </w:rPr>
        <w:t xml:space="preserve">，满足学校的教育教学需要。</w:t>
      </w:r>
      <w:r>
        <w:rPr>
          <w:rFonts w:hint="eastAsia" w:ascii="宋体" w:hAnsi="宋体"/>
          <w:sz w:val="24"/>
          <w:szCs w:val="24"/>
        </w:rPr>
      </w:r>
      <w:r/>
    </w:p>
    <w:p>
      <w:pPr>
        <w:pStyle w:val="769"/>
        <w:ind w:firstLine="480"/>
        <w:rPr>
          <w:rFonts w:hint="eastAsia" w:ascii="宋体" w:hAnsi="宋体" w:cs="宋体"/>
          <w:bCs/>
          <w:sz w:val="24"/>
          <w:szCs w:val="24"/>
        </w:rPr>
      </w:pPr>
      <w:r>
        <w:rPr>
          <w:rFonts w:hint="eastAsia" w:ascii="宋体" w:hAnsi="宋体" w:cs="宋体"/>
          <w:bCs/>
          <w:sz w:val="24"/>
          <w:szCs w:val="24"/>
        </w:rPr>
        <w:t xml:space="preserve">（二）项目建设遵循标准</w:t>
      </w:r>
      <w:r/>
    </w:p>
    <w:p>
      <w:pPr>
        <w:pStyle w:val="769"/>
        <w:ind w:firstLine="480"/>
        <w:rPr>
          <w:rFonts w:hint="eastAsia" w:ascii="宋体" w:hAnsi="宋体" w:cs="宋体"/>
          <w:sz w:val="24"/>
          <w:szCs w:val="24"/>
        </w:rPr>
      </w:pPr>
      <w:r>
        <w:rPr>
          <w:rFonts w:hint="eastAsia"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cs="宋体"/>
          <w:sz w:val="24"/>
          <w:szCs w:val="24"/>
        </w:rPr>
      </w:r>
      <w:r/>
    </w:p>
    <w:p>
      <w:pPr>
        <w:pStyle w:val="769"/>
        <w:ind w:firstLine="480"/>
        <w:rPr>
          <w:rFonts w:hint="eastAsia" w:ascii="宋体" w:hAnsi="宋体" w:cs="宋体"/>
          <w:bCs/>
          <w:sz w:val="24"/>
          <w:szCs w:val="24"/>
        </w:rPr>
      </w:pPr>
      <w:r>
        <w:rPr>
          <w:rFonts w:hint="eastAsia" w:ascii="宋体" w:hAnsi="宋体" w:cs="宋体"/>
          <w:bCs/>
          <w:sz w:val="24"/>
          <w:szCs w:val="24"/>
        </w:rPr>
        <w:t xml:space="preserve">（三）资产配置标准</w:t>
      </w:r>
      <w:r/>
    </w:p>
    <w:p>
      <w:pPr>
        <w:pStyle w:val="769"/>
        <w:ind w:firstLine="480"/>
        <w:rPr>
          <w:rFonts w:hint="eastAsia" w:ascii="黑体" w:hAnsi="黑体" w:eastAsia="黑体" w:cs="黑体"/>
          <w:sz w:val="24"/>
          <w:szCs w:val="24"/>
        </w:rPr>
      </w:pPr>
      <w:r>
        <w:rPr>
          <w:rFonts w:hint="eastAsia" w:cs="宋体"/>
          <w:bCs/>
          <w:sz w:val="24"/>
          <w:szCs w:val="24"/>
        </w:rPr>
        <w:t xml:space="preserve">符合《市政府办公厅关于印发&lt;南京市市级行政事业单位资产配置标准&gt;、&lt;南京市市级行政事业单位资产使用年限标准&gt;（2016年修订版）的通知》及《关于印发南京市中小学通用资产配置标准的通</w:t>
      </w:r>
      <w:r>
        <w:rPr>
          <w:rFonts w:hint="eastAsia" w:cs="宋体"/>
          <w:bCs/>
          <w:sz w:val="24"/>
          <w:szCs w:val="24"/>
        </w:rPr>
        <w:t xml:space="preserve">知》（2</w:t>
      </w:r>
      <w:r>
        <w:rPr>
          <w:rFonts w:cs="宋体"/>
          <w:bCs/>
          <w:sz w:val="24"/>
          <w:szCs w:val="24"/>
        </w:rPr>
        <w:t xml:space="preserve">023</w:t>
      </w:r>
      <w:r>
        <w:rPr>
          <w:rFonts w:hint="eastAsia" w:cs="宋体"/>
          <w:bCs/>
          <w:sz w:val="24"/>
          <w:szCs w:val="24"/>
        </w:rPr>
        <w:t xml:space="preserve">年）。</w:t>
      </w:r>
      <w:r>
        <w:rPr>
          <w:rFonts w:hint="eastAsia" w:ascii="黑体" w:hAnsi="黑体" w:eastAsia="黑体" w:cs="黑体"/>
          <w:sz w:val="24"/>
          <w:szCs w:val="24"/>
        </w:rPr>
      </w:r>
      <w:r/>
    </w:p>
    <w:p>
      <w:pPr>
        <w:pStyle w:val="769"/>
        <w:ind w:firstLine="480"/>
        <w:keepNext/>
        <w:spacing w:line="264" w:lineRule="auto"/>
        <w:rPr>
          <w:rFonts w:hint="eastAsia" w:ascii="黑体" w:hAnsi="黑体" w:eastAsia="黑体" w:cs="黑体"/>
          <w:sz w:val="24"/>
          <w:szCs w:val="24"/>
        </w:rPr>
      </w:pPr>
      <w:r>
        <w:rPr>
          <w:rFonts w:hint="eastAsia" w:ascii="黑体" w:hAnsi="黑体" w:eastAsia="黑体" w:cs="黑体"/>
          <w:sz w:val="24"/>
          <w:szCs w:val="24"/>
        </w:rPr>
        <w:t xml:space="preserve">三、项目清单</w:t>
      </w:r>
      <w:r/>
    </w:p>
    <w:tbl>
      <w:tblPr>
        <w:tblW w:w="944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98"/>
        <w:gridCol w:w="1816"/>
        <w:gridCol w:w="698"/>
        <w:gridCol w:w="698"/>
        <w:gridCol w:w="1198"/>
        <w:gridCol w:w="1134"/>
        <w:gridCol w:w="1134"/>
        <w:gridCol w:w="850"/>
        <w:gridCol w:w="1220"/>
      </w:tblGrid>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序号</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货物名称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数量</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单位</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单价报价上限（元）</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产品类型</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所属行业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属性</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eastAsia="等线"/>
                <w:lang w:val="en-US"/>
              </w:rPr>
              <w:t xml:space="preserve">政府强制采购节能产品</w:t>
            </w:r>
            <w:r>
              <w:rPr>
                <w:rFonts w:hint="eastAsia" w:eastAsia="等线"/>
                <w:highlight w:val="yellow"/>
                <w:lang w:val="en-US"/>
              </w:rPr>
            </w:r>
            <w:r/>
          </w:p>
        </w:tc>
      </w:tr>
      <w:tr>
        <w:trPr>
          <w:trHeight w:val="275"/>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摆位椅小号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摆位椅大号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990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摆位椅加大号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eastAsia="等线"/>
                <w:lang w:val="en-US"/>
              </w:rPr>
            </w:pPr>
            <w:r>
              <w:rPr>
                <w:rFonts w:hint="eastAsia" w:eastAsia="等线"/>
                <w:lang w:val="en-US"/>
              </w:rPr>
              <w:t xml:space="preserve">1150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壁挂式磁吸白板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后墙绿板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篮球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足球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排球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100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羽毛球拍</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170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羽毛球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打</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乒乓球拍</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170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45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乒乓球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78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盒</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平衡木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840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匹克球拍</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45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匹克球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100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跨栏架-1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25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韵律操踏板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毽子</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瑜伽砖</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软式垒球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100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竞速跳绳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操作台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eastAsia="等线"/>
                <w:lang w:val="en-US"/>
              </w:rPr>
            </w:pPr>
            <w:r>
              <w:rPr>
                <w:rFonts w:hint="eastAsia" w:eastAsia="等线"/>
                <w:lang w:val="en-US"/>
              </w:rPr>
              <w:t xml:space="preserve">3700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美术桌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桌垫</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圆凳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全板式静物台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全板式拷贝台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作品晾晒架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水柜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990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陶瓷水盆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单口龙头</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是</w:t>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室内水管对接及改造</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室</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其他服务业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服务</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边柜1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19</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软木展板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59</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准备台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器材柜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190</w:t>
            </w:r>
            <w:r>
              <w:rPr>
                <w:rFonts w:hint="eastAsia" w:eastAsia="等线"/>
                <w:lang w:val="en-US"/>
              </w:rPr>
              <w:t xml:space="preserve">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储物展示柜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画室卡纸置物架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黑板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82"/>
              <w:ind w:left="0"/>
              <w:jc w:val="center"/>
              <w:spacing w:line="280" w:lineRule="exact"/>
              <w:rPr>
                <w:rFonts w:hint="eastAsia" w:eastAsia="等线"/>
                <w:lang w:val="en-US"/>
              </w:rPr>
            </w:pPr>
            <w:r>
              <w:rPr>
                <w:rFonts w:hint="eastAsia" w:ascii="宋体" w:hAnsi="宋体" w:eastAsia="宋体"/>
              </w:rPr>
              <w:t xml:space="preserve">其他服务业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tcPr>
          <w:p>
            <w:pPr>
              <w:pStyle w:val="782"/>
              <w:ind w:left="0"/>
              <w:jc w:val="center"/>
              <w:spacing w:line="280" w:lineRule="exact"/>
              <w:rPr>
                <w:rFonts w:hint="eastAsia" w:eastAsia="等线"/>
                <w:lang w:val="en-US"/>
              </w:rPr>
            </w:pPr>
            <w:r>
              <w:rPr>
                <w:rFonts w:hint="eastAsia" w:ascii="宋体" w:hAnsi="宋体" w:eastAsia="宋体"/>
              </w:rPr>
              <w:t xml:space="preserve">服务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讲台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组合桌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木工桌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储物矮柜1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展示高柜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储物矮柜2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洞洞板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7</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定制室内标识标牌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办公椅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行政柜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短跳绳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气排球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55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实心球-1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跨栏架-2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足球门1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7200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足球门2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5400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货物架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1080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足球网-1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480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足球网-2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320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礼堂椅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152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主要产品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折叠条桌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55寸液晶拼接显示单元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16 </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单元</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拼接屏拼接支架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16 </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拼接屏辅材</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 </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16000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外置拼接处理器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 </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拼接屏控制专用主机</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 </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center"/>
            <w:textDirection w:val="lrTb"/>
            <w:noWrap w:val="false"/>
          </w:tcPr>
          <w:p>
            <w:pPr>
              <w:pStyle w:val="782"/>
              <w:ind w:left="0"/>
              <w:jc w:val="center"/>
              <w:spacing w:line="280" w:lineRule="exact"/>
              <w:rPr>
                <w:rFonts w:hint="eastAsia" w:eastAsia="等线"/>
                <w:highlight w:val="yellow"/>
                <w:lang w:val="en-US"/>
              </w:rPr>
            </w:pPr>
            <w:r>
              <w:rPr>
                <w:rFonts w:hint="eastAsia" w:eastAsia="等线"/>
                <w:lang w:val="en-US"/>
              </w:rPr>
              <w:t xml:space="preserve">是</w:t>
            </w: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65寸壁挂广告机</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 </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手持无线话筒（一拖四）</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无线话筒（一拖二）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1850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天线分配放大器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3960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天线支架及延长线缆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470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12路带编组调音台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数字话筒处理器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3630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专业功率放大器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专业音柱音箱</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3630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音箱壁挂支架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8路电源时序器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b/>
                <w:bCs/>
                <w:lang w:val="en-US"/>
              </w:rPr>
            </w:pPr>
            <w:r>
              <w:rPr>
                <w:rFonts w:hint="eastAsia" w:eastAsia="等线"/>
                <w:b/>
                <w:bCs/>
                <w:lang w:val="en-US"/>
              </w:rPr>
              <w:t xml:space="preserve">舞台灯</w:t>
            </w:r>
            <w:r>
              <w:rPr>
                <w:rFonts w:hint="eastAsia" w:eastAsia="等线"/>
                <w:b/>
                <w:bCs/>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2100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中号灯钩</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保险绳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12路电源直通箱</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2640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专业机柜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0</wp:posOffset>
                      </wp:positionH>
                      <wp:positionV relativeFrom="paragraph">
                        <wp:posOffset>0</wp:posOffset>
                      </wp:positionV>
                      <wp:extent cx="9525" cy="1206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58;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12" o:title=""/>
                    </v:shape>
                  </w:pict>
                </mc:Fallback>
              </mc:AlternateContent>
            </w: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0</wp:posOffset>
                      </wp:positionH>
                      <wp:positionV relativeFrom="paragraph">
                        <wp:posOffset>0</wp:posOffset>
                      </wp:positionV>
                      <wp:extent cx="9525" cy="1206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9;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13" o:title=""/>
                    </v:shape>
                  </w:pict>
                </mc:Fallback>
              </mc:AlternateContent>
            </w: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1155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音频线材</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灯光线材</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2475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灯光杆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音箱线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米</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辅材</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操作台2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0</wp:posOffset>
                      </wp:positionH>
                      <wp:positionV relativeFrom="paragraph">
                        <wp:posOffset>0</wp:posOffset>
                      </wp:positionV>
                      <wp:extent cx="9525" cy="1079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 o:title=""/>
                    </v:shape>
                  </w:pict>
                </mc:Fallback>
              </mc:AlternateContent>
            </w: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3900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牛角椅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学生书法桌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实木凳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室内水管改造及地面处理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室</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82"/>
              <w:ind w:left="0"/>
              <w:jc w:val="center"/>
              <w:spacing w:line="280" w:lineRule="exact"/>
              <w:rPr>
                <w:rFonts w:hint="eastAsia" w:eastAsia="等线"/>
                <w:lang w:val="en-US"/>
              </w:rPr>
            </w:pPr>
            <w:r>
              <w:rPr>
                <w:rFonts w:hint="eastAsia" w:eastAsia="等线"/>
                <w:lang w:val="en-US"/>
              </w:rPr>
              <w:t xml:space="preserve">其他服务业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tcPr>
          <w:p>
            <w:pPr>
              <w:pStyle w:val="782"/>
              <w:ind w:left="0"/>
              <w:jc w:val="center"/>
              <w:spacing w:line="280" w:lineRule="exact"/>
              <w:rPr>
                <w:rFonts w:hint="eastAsia" w:eastAsia="等线"/>
                <w:lang w:val="en-US"/>
              </w:rPr>
            </w:pPr>
            <w:r>
              <w:rPr>
                <w:rFonts w:hint="eastAsia" w:eastAsia="等线"/>
                <w:lang w:val="en-US"/>
              </w:rPr>
              <w:t xml:space="preserve">服务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墙面处理</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82"/>
              <w:ind w:left="0"/>
              <w:jc w:val="center"/>
              <w:spacing w:line="280" w:lineRule="exact"/>
              <w:rPr>
                <w:rFonts w:hint="eastAsia" w:eastAsia="等线"/>
                <w:lang w:val="en-US"/>
              </w:rPr>
            </w:pPr>
            <w:r>
              <w:rPr>
                <w:rFonts w:hint="eastAsia" w:eastAsia="等线"/>
                <w:lang w:val="en-US"/>
              </w:rPr>
              <w:t xml:space="preserve">其他服务业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tcPr>
          <w:p>
            <w:pPr>
              <w:pStyle w:val="782"/>
              <w:ind w:left="0"/>
              <w:jc w:val="center"/>
              <w:spacing w:line="280" w:lineRule="exact"/>
              <w:rPr>
                <w:rFonts w:hint="eastAsia" w:eastAsia="等线"/>
                <w:lang w:val="en-US"/>
              </w:rPr>
            </w:pPr>
            <w:r>
              <w:rPr>
                <w:rFonts w:hint="eastAsia" w:eastAsia="等线"/>
                <w:lang w:val="en-US"/>
              </w:rPr>
              <w:t xml:space="preserve">服务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墙面乳胶漆出新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eastAsia="等线"/>
                <w:lang w:val="en-US"/>
              </w:rPr>
            </w:pPr>
            <w:r>
              <w:rPr>
                <w:rFonts w:hint="eastAsia" w:eastAsia="等线"/>
                <w:lang w:val="en-US"/>
              </w:rPr>
              <w:t xml:space="preserve">45</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82"/>
              <w:ind w:left="0"/>
              <w:jc w:val="center"/>
              <w:spacing w:line="280" w:lineRule="exact"/>
              <w:rPr>
                <w:rFonts w:hint="eastAsia" w:eastAsia="等线"/>
                <w:lang w:val="en-US"/>
              </w:rPr>
            </w:pPr>
            <w:r>
              <w:rPr>
                <w:rFonts w:hint="eastAsia" w:eastAsia="等线"/>
                <w:lang w:val="en-US"/>
              </w:rPr>
              <w:t xml:space="preserve">其他服务业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tcPr>
          <w:p>
            <w:pPr>
              <w:pStyle w:val="782"/>
              <w:ind w:left="0"/>
              <w:jc w:val="center"/>
              <w:spacing w:line="280" w:lineRule="exact"/>
              <w:rPr>
                <w:rFonts w:hint="eastAsia" w:eastAsia="等线"/>
                <w:lang w:val="en-US"/>
              </w:rPr>
            </w:pPr>
            <w:r>
              <w:rPr>
                <w:rFonts w:hint="eastAsia" w:eastAsia="等线"/>
                <w:lang w:val="en-US"/>
              </w:rPr>
              <w:t xml:space="preserve">服务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室内物品搬迁</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82"/>
              <w:ind w:left="0"/>
              <w:jc w:val="center"/>
              <w:spacing w:line="280" w:lineRule="exact"/>
              <w:rPr>
                <w:rFonts w:hint="eastAsia" w:eastAsia="等线"/>
                <w:lang w:val="en-US"/>
              </w:rPr>
            </w:pPr>
            <w:r>
              <w:rPr>
                <w:rFonts w:hint="eastAsia" w:eastAsia="等线"/>
                <w:lang w:val="en-US"/>
              </w:rPr>
              <w:t xml:space="preserve">其他服务业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tcPr>
          <w:p>
            <w:pPr>
              <w:pStyle w:val="782"/>
              <w:ind w:left="0"/>
              <w:jc w:val="center"/>
              <w:spacing w:line="280" w:lineRule="exact"/>
              <w:rPr>
                <w:rFonts w:hint="eastAsia" w:eastAsia="等线"/>
                <w:lang w:val="en-US"/>
              </w:rPr>
            </w:pPr>
            <w:r>
              <w:rPr>
                <w:rFonts w:hint="eastAsia" w:eastAsia="等线"/>
                <w:lang w:val="en-US"/>
              </w:rPr>
              <w:t xml:space="preserve">服务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劳技桌2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3980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室内电位改造对接</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tcPr>
          <w:p>
            <w:pPr>
              <w:pStyle w:val="782"/>
              <w:ind w:left="0"/>
              <w:jc w:val="center"/>
              <w:spacing w:line="280" w:lineRule="exact"/>
              <w:rPr>
                <w:rFonts w:hint="eastAsia" w:eastAsia="等线"/>
                <w:lang w:val="en-US"/>
              </w:rPr>
            </w:pPr>
            <w:r>
              <w:rPr>
                <w:rFonts w:hint="eastAsia" w:eastAsia="等线"/>
                <w:lang w:val="en-US"/>
              </w:rPr>
              <w:t xml:space="preserve">其他服务业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850" w:type="dxa"/>
            <w:vAlign w:val="top"/>
            <w:textDirection w:val="lrTb"/>
            <w:noWrap/>
          </w:tcPr>
          <w:p>
            <w:pPr>
              <w:pStyle w:val="782"/>
              <w:ind w:left="0"/>
              <w:jc w:val="center"/>
              <w:spacing w:line="280" w:lineRule="exact"/>
              <w:rPr>
                <w:rFonts w:hint="eastAsia" w:eastAsia="等线"/>
                <w:lang w:val="en-US"/>
              </w:rPr>
            </w:pPr>
            <w:r>
              <w:rPr>
                <w:rFonts w:hint="eastAsia" w:eastAsia="等线"/>
                <w:lang w:val="en-US"/>
              </w:rPr>
              <w:t xml:space="preserve">服务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边柜2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窗帘</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米</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eastAsia="等线"/>
                <w:lang w:val="en-US"/>
              </w:rPr>
            </w:pPr>
            <w:r>
              <w:rPr>
                <w:rFonts w:hint="eastAsia" w:eastAsia="等线"/>
                <w:lang w:val="en-US"/>
              </w:rPr>
              <w:t xml:space="preserve">100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LED护眼教室灯</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盏</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综合布线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木工工具箱</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五金工具箱</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木工工具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木工开孔器套装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90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操作台1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3900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劳技桌1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教师椅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储物柜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储物柜2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乒乓球台（室内）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0</wp:posOffset>
                      </wp:positionH>
                      <wp:positionV relativeFrom="paragraph">
                        <wp:posOffset>0</wp:posOffset>
                      </wp:positionV>
                      <wp:extent cx="53340" cy="35369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3340" cy="35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61;o:allowoverlap:true;o:allowincell:true;mso-position-horizontal-relative:text;margin-left:0.0pt;mso-position-horizontal:absolute;mso-position-vertical-relative:text;margin-top:0.0pt;mso-position-vertical:absolute;width:4.2pt;height:27.8pt;mso-wrap-distance-left:9.0pt;mso-wrap-distance-top:0.0pt;mso-wrap-distance-right:9.0pt;mso-wrap-distance-bottom:0.0pt;" stroked="f">
                      <v:path textboxrect="0,0,0,0"/>
                      <v:imagedata r:id="rId15" o:title=""/>
                    </v:shape>
                  </w:pict>
                </mc:Fallback>
              </mc:AlternateContent>
            </w:r>
            <w:r>
              <w:rPr>
                <w:rFonts w:hint="eastAsia" w:eastAsia="等线"/>
                <w:lang w:val="en-US"/>
              </w:rPr>
              <w:t xml:space="preserve">1800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0</wp:posOffset>
                      </wp:positionH>
                      <wp:positionV relativeFrom="paragraph">
                        <wp:posOffset>0</wp:posOffset>
                      </wp:positionV>
                      <wp:extent cx="53340" cy="35369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3340" cy="35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62;o:allowoverlap:true;o:allowincell:true;mso-position-horizontal-relative:text;margin-left:0.0pt;mso-position-horizontal:absolute;mso-position-vertical-relative:text;margin-top:0.0pt;mso-position-vertical:absolute;width:4.2pt;height:27.8pt;mso-wrap-distance-left:9.0pt;mso-wrap-distance-top:0.0pt;mso-wrap-distance-right:9.0pt;mso-wrap-distance-bottom:0.0pt;" stroked="f">
                      <v:path textboxrect="0,0,0,0"/>
                      <v:imagedata r:id="rId16" o:title=""/>
                    </v:shape>
                  </w:pict>
                </mc:Fallback>
              </mc:AlternateConten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乒乓球地面围挡</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面</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羽毛球架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720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羽毛球网</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小足球门（含网）</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360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小沙包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垒球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50米卷尺</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20米卷尺</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119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花球</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t xml:space="preserve">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实心球-2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发令枪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绳梯</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弹力带-1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条</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跳皮筋</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7</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山羊台</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跳箱</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付</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900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助跳板</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420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肋木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间</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1440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平梯</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架</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2520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t xml:space="preserve">30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身高体重测量仪</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350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画线小推车</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辆</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240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软式跨栏架组合</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弹力带-2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条</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乒乓球发球机</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1440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垒球1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0</wp:posOffset>
                      </wp:positionH>
                      <wp:positionV relativeFrom="paragraph">
                        <wp:posOffset>0</wp:posOffset>
                      </wp:positionV>
                      <wp:extent cx="53340" cy="35433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3340" cy="354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63;o:allowoverlap:true;o:allowincell:true;mso-position-horizontal-relative:text;margin-left:0.0pt;mso-position-horizontal:absolute;mso-position-vertical-relative:text;margin-top:0.0pt;mso-position-vertical:absolute;width:4.2pt;height:27.9pt;mso-wrap-distance-left:9.0pt;mso-wrap-distance-top:0.0pt;mso-wrap-distance-right:9.0pt;mso-wrap-distance-bottom:0.0pt;" stroked="f">
                      <v:path textboxrect="0,0,0,0"/>
                      <v:imagedata r:id="rId17" o:title=""/>
                    </v:shape>
                  </w:pict>
                </mc:Fallback>
              </mc:AlternateContent>
            </w: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垒球2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小篮球5号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小足球4号</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139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排球5号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90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74"/>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小足球门（3人制）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360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可升降移动小篮球架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竹节绳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3.6米竹节绳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4.2米竹节绳</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35</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跳高架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副</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1000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计时秒表</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小跨栏架</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30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乒乓球</w:t>
            </w:r>
            <w:r>
              <w:rPr>
                <w:rFonts w:hint="eastAsia" w:eastAsia="等线"/>
                <w:lang w:val="en-US"/>
              </w:rPr>
              <w:t xml:space="preserve">网</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149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篮球网</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40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足球网-3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240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接力棒（比赛型）</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12 </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足球标志盘</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50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打印机</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台</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是</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定制书柜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2700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定制班级边柜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课桌椅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1455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核心产品</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档案柜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t xml:space="preserve">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异形阅览桌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159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阅览椅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软体组合</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布帘</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平方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260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书包柜-1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图书柜-1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教师办公桌-1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定制储物柜-1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活动柜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行政办公桌-1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eastAsia="等线"/>
                <w:lang w:val="en-US"/>
              </w:rPr>
            </w:pPr>
            <w:r>
              <w:rPr>
                <w:rFonts w:hint="eastAsia" w:eastAsia="等线"/>
                <w:lang w:val="en-US"/>
              </w:rPr>
              <w:t xml:space="preserve">1800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教师办公桌-2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169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定制储物柜-2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1300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屏风-1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eastAsia="等线"/>
                <w:lang w:val="en-US"/>
              </w:rPr>
            </w:pPr>
            <w:r>
              <w:rPr>
                <w:rFonts w:hint="eastAsia" w:eastAsia="等线"/>
                <w:lang w:val="en-US"/>
              </w:rPr>
              <w:t xml:space="preserve">43</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平方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移动桌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1100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校长办公桌-1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校长储物柜-1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书包柜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270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异形办公桌</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t xml:space="preserve">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后墙软木板-1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图书柜-2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1700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教师办公桌-3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179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组合书柜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教师椅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350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定制钢制卷帘门柜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30</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eastAsia="等线"/>
                <w:lang w:val="en-US"/>
              </w:rPr>
            </w:pPr>
            <w:r>
              <w:rPr>
                <w:rFonts w:hint="eastAsia" w:eastAsia="等线"/>
                <w:lang w:val="en-US"/>
              </w:rPr>
              <w:t xml:space="preserve">1900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教师办公桌-4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矮柜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880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校长办公桌-2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校长储物柜-2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校长办公椅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接待椅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三门文件柜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189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双门文件柜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茶水柜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沙发</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2400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长茶几</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钢制文件柜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书包柜-2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2800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书包柜-3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1900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图书柜-3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197</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教师办公桌-5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600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198</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定制储物柜-3</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199</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屏风-2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eastAsia="等线"/>
                <w:lang w:val="en-US"/>
              </w:rPr>
            </w:pPr>
            <w:r>
              <w:rPr>
                <w:rFonts w:hint="eastAsia" w:eastAsia="等线"/>
                <w:lang w:val="en-US"/>
              </w:rPr>
              <w:t xml:space="preserve">35</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平方</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200</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午休椅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16</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201</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行政办公桌-2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202</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储物柜-4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1000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203</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行政办公椅</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4</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张</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204</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储物柜-5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5</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个</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205</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作业柜</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12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组</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700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206</w:t>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后墙软木板-2</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8</w:t>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套</w:t>
            </w:r>
            <w:r/>
          </w:p>
        </w:tc>
        <w:tc>
          <w:tcPr>
            <w:tcBorders>
              <w:top w:val="single" w:color="000000" w:sz="4" w:space="0"/>
              <w:left w:val="single" w:color="000000" w:sz="4" w:space="0"/>
              <w:bottom w:val="single" w:color="000000" w:sz="4" w:space="0"/>
              <w:right w:val="single" w:color="000000" w:sz="4" w:space="0"/>
            </w:tcBorders>
            <w:tcW w:w="1198"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2100</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82"/>
              <w:ind w:left="0"/>
              <w:jc w:val="center"/>
              <w:spacing w:line="280" w:lineRule="exact"/>
              <w:rPr>
                <w:rFonts w:hint="eastAsia" w:eastAsia="等线"/>
                <w:lang w:val="en-US"/>
              </w:rPr>
            </w:pPr>
            <w:r>
              <w:rPr>
                <w:rFonts w:hint="eastAsia" w:eastAsia="等线"/>
                <w:lang w:val="en-US"/>
              </w:rPr>
              <w:t xml:space="preserve">工业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2"/>
              <w:ind w:left="0"/>
              <w:jc w:val="center"/>
              <w:spacing w:line="280" w:lineRule="exact"/>
              <w:rPr>
                <w:rFonts w:hint="eastAsia" w:eastAsia="等线"/>
                <w:lang w:val="en-US"/>
              </w:rPr>
            </w:pPr>
            <w:r>
              <w:rPr>
                <w:rFonts w:hint="eastAsia" w:eastAsia="等线"/>
                <w:lang w:val="en-US"/>
              </w:rPr>
              <w:t xml:space="preserve">货物</w:t>
            </w:r>
            <w:r/>
          </w:p>
        </w:tc>
        <w:tc>
          <w:tcPr>
            <w:tcBorders>
              <w:top w:val="single" w:color="000000" w:sz="4" w:space="0"/>
              <w:left w:val="single" w:color="000000" w:sz="4" w:space="0"/>
              <w:bottom w:val="single" w:color="000000" w:sz="4" w:space="0"/>
              <w:right w:val="single" w:color="000000" w:sz="4" w:space="0"/>
            </w:tcBorders>
            <w:tcW w:w="1220" w:type="dxa"/>
            <w:vAlign w:val="top"/>
            <w:textDirection w:val="lrTb"/>
            <w:noWrap w:val="false"/>
          </w:tcPr>
          <w:p>
            <w:pPr>
              <w:pStyle w:val="782"/>
              <w:ind w:left="0"/>
              <w:jc w:val="center"/>
              <w:spacing w:line="280" w:lineRule="exact"/>
              <w:rPr>
                <w:rFonts w:hint="eastAsia" w:eastAsia="等线"/>
                <w:highlight w:val="yellow"/>
                <w:lang w:val="en-US"/>
              </w:rPr>
            </w:pPr>
            <w:r>
              <w:rPr>
                <w:rFonts w:hint="eastAsia" w:eastAsia="等线"/>
                <w:highlight w:val="yellow"/>
                <w:lang w:val="en-US"/>
              </w:rPr>
            </w:r>
            <w:r/>
          </w:p>
        </w:tc>
      </w:tr>
    </w:tbl>
    <w:p>
      <w:pPr>
        <w:pStyle w:val="782"/>
        <w:ind w:left="0"/>
        <w:jc w:val="center"/>
        <w:spacing w:line="280" w:lineRule="exact"/>
        <w:rPr>
          <w:rFonts w:eastAsia="等线"/>
          <w:lang w:val="en-US"/>
        </w:rPr>
      </w:pPr>
      <w:r>
        <w:rPr>
          <w:rFonts w:eastAsia="等线"/>
          <w:lang w:val="en-US"/>
        </w:rPr>
      </w:r>
      <w:r/>
    </w:p>
    <w:p>
      <w:pPr>
        <w:pStyle w:val="769"/>
        <w:rPr>
          <w:rFonts w:hint="eastAsia" w:ascii="黑体" w:hAnsi="黑体" w:eastAsia="黑体"/>
          <w:sz w:val="24"/>
          <w:szCs w:val="24"/>
        </w:rPr>
      </w:pPr>
      <w:r>
        <w:rPr>
          <w:rFonts w:hint="eastAsia" w:ascii="黑体" w:hAnsi="黑体" w:eastAsia="黑体"/>
          <w:sz w:val="24"/>
          <w:szCs w:val="24"/>
        </w:rPr>
        <w:t xml:space="preserve">四、拟采购标的需要满足的技术、商务要求</w:t>
      </w:r>
      <w:r/>
    </w:p>
    <w:p>
      <w:pPr>
        <w:pStyle w:val="769"/>
        <w:spacing w:line="360" w:lineRule="exact"/>
        <w:rPr>
          <w:rFonts w:hint="eastAsia"/>
          <w:bCs/>
          <w:sz w:val="24"/>
          <w:szCs w:val="24"/>
        </w:rPr>
      </w:pPr>
      <w:r>
        <w:rPr>
          <w:rFonts w:hint="eastAsia"/>
          <w:bCs/>
          <w:sz w:val="24"/>
          <w:szCs w:val="24"/>
        </w:rPr>
        <w:t xml:space="preserve">（一）技术要求</w:t>
      </w:r>
      <w:r/>
    </w:p>
    <w:p>
      <w:pPr>
        <w:pStyle w:val="769"/>
        <w:spacing w:line="360" w:lineRule="exact"/>
        <w:rPr>
          <w:sz w:val="24"/>
          <w:szCs w:val="24"/>
        </w:rPr>
      </w:pPr>
      <w:r>
        <w:rPr>
          <w:rFonts w:hint="eastAsia"/>
          <w:bCs/>
          <w:sz w:val="24"/>
          <w:szCs w:val="24"/>
        </w:rPr>
        <w:t xml:space="preserve">1.产品技术指标</w:t>
      </w:r>
      <w:r>
        <w:rPr>
          <w:sz w:val="24"/>
          <w:szCs w:val="24"/>
        </w:rPr>
      </w:r>
      <w:r/>
    </w:p>
    <w:tbl>
      <w:tblPr>
        <w:tblW w:w="10490"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727"/>
        <w:gridCol w:w="7053"/>
      </w:tblGrid>
      <w:tr>
        <w:trPr>
          <w:trHeight w:val="90"/>
        </w:trPr>
        <w:tc>
          <w:tcPr>
            <w:shd w:val="clear" w:color="auto" w:fill="8db3e2"/>
            <w:tcW w:w="710" w:type="dxa"/>
            <w:vAlign w:val="center"/>
            <w:textDirection w:val="lrTb"/>
            <w:noWrap w:val="false"/>
          </w:tcPr>
          <w:p>
            <w:pPr>
              <w:pStyle w:val="769"/>
              <w:jc w:val="center"/>
              <w:widowControl/>
              <w:rPr>
                <w:rFonts w:hint="eastAsia" w:ascii="宋体" w:hAnsi="宋体" w:cs="宋体"/>
                <w:b/>
                <w:bCs/>
                <w:szCs w:val="21"/>
                <w:lang w:val="zh-CN" w:bidi="zh-CN"/>
              </w:rPr>
            </w:pPr>
            <w:r>
              <w:rPr>
                <w:rFonts w:hint="eastAsia" w:ascii="宋体" w:hAnsi="宋体" w:cs="宋体"/>
                <w:b/>
                <w:bCs/>
                <w:szCs w:val="21"/>
                <w:lang w:val="zh-CN" w:bidi="zh-CN"/>
              </w:rPr>
              <w:t xml:space="preserve">序号</w:t>
            </w:r>
            <w:r/>
          </w:p>
        </w:tc>
        <w:tc>
          <w:tcPr>
            <w:shd w:val="clear" w:color="auto" w:fill="8db3e2"/>
            <w:tcW w:w="2727" w:type="dxa"/>
            <w:vAlign w:val="center"/>
            <w:textDirection w:val="lrTb"/>
            <w:noWrap w:val="false"/>
          </w:tcPr>
          <w:p>
            <w:pPr>
              <w:pStyle w:val="769"/>
              <w:jc w:val="center"/>
              <w:widowControl/>
              <w:rPr>
                <w:rFonts w:hint="eastAsia" w:ascii="宋体" w:hAnsi="宋体" w:cs="宋体"/>
                <w:b/>
                <w:bCs/>
                <w:szCs w:val="21"/>
                <w:lang w:val="zh-CN" w:bidi="zh-CN"/>
              </w:rPr>
            </w:pPr>
            <w:r>
              <w:rPr>
                <w:rFonts w:hint="eastAsia" w:ascii="宋体" w:hAnsi="宋体" w:cs="宋体"/>
                <w:b/>
                <w:bCs/>
                <w:szCs w:val="21"/>
                <w:lang w:val="zh-CN" w:bidi="zh-CN"/>
              </w:rPr>
              <w:t xml:space="preserve">名称</w:t>
            </w:r>
            <w:r/>
          </w:p>
        </w:tc>
        <w:tc>
          <w:tcPr>
            <w:shd w:val="clear" w:color="auto" w:fill="8db3e2"/>
            <w:tcW w:w="7053" w:type="dxa"/>
            <w:vAlign w:val="center"/>
            <w:textDirection w:val="lrTb"/>
            <w:noWrap w:val="false"/>
          </w:tcPr>
          <w:p>
            <w:pPr>
              <w:pStyle w:val="769"/>
              <w:jc w:val="center"/>
              <w:widowControl/>
              <w:rPr>
                <w:rFonts w:hint="eastAsia" w:ascii="宋体" w:hAnsi="宋体" w:cs="宋体"/>
                <w:b/>
                <w:bCs/>
                <w:szCs w:val="21"/>
                <w:lang w:val="zh-CN" w:bidi="zh-CN"/>
              </w:rPr>
            </w:pPr>
            <w:r>
              <w:rPr>
                <w:rFonts w:hint="eastAsia" w:ascii="宋体" w:hAnsi="宋体" w:cs="宋体"/>
                <w:b/>
                <w:bCs/>
                <w:szCs w:val="21"/>
                <w:lang w:val="zh-CN" w:bidi="zh-CN"/>
              </w:rPr>
              <w:t xml:space="preserve">技术参数不低于以下要求</w:t>
            </w:r>
            <w:r/>
          </w:p>
        </w:tc>
      </w:tr>
      <w:tr>
        <w:trPr>
          <w:trHeight w:val="1408"/>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摆位椅小号</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w:t>
              <w:br w:type="textWrapping" w:clear="all"/>
              <w:t xml:space="preserve">1、规格：620*300*660mm；                        </w:t>
              <w:br w:type="textWrapping" w:clear="all"/>
              <w:t xml:space="preserve">2、材质：采用松木材质，环保水性漆，无毛刺，拆装结构；</w:t>
              <w:br w:type="textWrapping" w:clear="all"/>
              <w:t xml:space="preserve">3、功能：具有辅助儿童坐姿，增强儿童骨骼伸长等功能，特别适合：多动症儿童、肌张力高儿童、脑瘫儿童、自闭症儿童使用。</w:t>
            </w:r>
            <w:r>
              <w:rPr>
                <w:rFonts w:hint="eastAsia" w:ascii="宋体" w:hAnsi="宋体" w:cs="宋体"/>
                <w:szCs w:val="21"/>
                <w:lang w:bidi="zh-CN"/>
              </w:rPr>
            </w:r>
            <w:r/>
          </w:p>
        </w:tc>
      </w:tr>
      <w:tr>
        <w:trPr>
          <w:trHeight w:val="1382"/>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2</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摆位椅大号</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1、规格：800*380*800mm；                        </w:t>
              <w:br w:type="textWrapping" w:clear="all"/>
              <w:t xml:space="preserve">2、材质：采用松木材质，环保水性漆，无毛刺，拆装结构；</w:t>
              <w:br w:type="textWrapping" w:clear="all"/>
              <w:t xml:space="preserve">3、功能：具有辅助儿童坐姿，增强儿童骨骼伸长等功能，特别适合:多动症儿童、肌张力高儿童、脑瘫儿童、自闭症儿童使用。</w:t>
            </w:r>
            <w:r>
              <w:rPr>
                <w:rFonts w:hint="eastAsia" w:ascii="宋体" w:hAnsi="宋体" w:cs="宋体"/>
                <w:szCs w:val="21"/>
                <w:lang w:bidi="zh-CN"/>
              </w:rPr>
            </w:r>
            <w:r/>
          </w:p>
        </w:tc>
      </w:tr>
      <w:tr>
        <w:trPr>
          <w:trHeight w:val="1658"/>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3</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摆位椅加大号</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1、规格：850*460*960mm；          </w:t>
            </w:r>
            <w:r>
              <w:rPr>
                <w:rFonts w:hint="eastAsia" w:ascii="宋体" w:hAnsi="宋体" w:cs="宋体"/>
                <w:color w:val="000000"/>
                <w:sz w:val="20"/>
                <w:szCs w:val="20"/>
                <w:lang w:bidi="ar"/>
              </w:rPr>
              <w:t xml:space="preserve">              </w:t>
              <w:br w:type="textWrapping" w:clear="all"/>
              <w:t xml:space="preserve">2、材质：采用松木材质，环保水性漆，无毛刺，拆装结构；</w:t>
              <w:br w:type="textWrapping" w:clear="all"/>
              <w:t xml:space="preserve">3、功能：具有辅助儿童坐姿，增强儿童骨骼伸长等功能，特别适合:多动症儿童、肌张力高儿童、脑瘫儿童、自闭症儿童使用。</w:t>
            </w:r>
            <w:r>
              <w:rPr>
                <w:rFonts w:hint="eastAsia" w:ascii="宋体" w:hAnsi="宋体" w:cs="宋体"/>
                <w:szCs w:val="21"/>
                <w:lang w:bidi="zh-CN"/>
              </w:rPr>
            </w:r>
            <w:r/>
          </w:p>
        </w:tc>
      </w:tr>
      <w:tr>
        <w:trPr>
          <w:trHeight w:val="2249"/>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4</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壁挂式磁吸白板</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1、规格：3680*1220mm；                          </w:t>
              <w:br w:type="textWrapping" w:clear="all"/>
              <w:t xml:space="preserve">2、背板：采用冷轧工艺镀锌板，具有硬度高防潮防锈的作用，耐碰撞、不易折断、寿命长；</w:t>
              <w:br w:type="textWrapping" w:clear="all"/>
              <w:t xml:space="preserve">3、面板：环保树脂烤漆镀锌板，水性笔书写流畅，擦拭容易，耐磨寿命长、可吸磁；</w:t>
              <w:br w:type="textWrapping" w:clear="all"/>
              <w:t xml:space="preserve">4、边框：采用加厚铝合金边框，硬度高抗击力强防折弯；</w:t>
              <w:br w:type="textWrapping" w:clear="all"/>
              <w:t xml:space="preserve">5、角：采用ABS弧形护角，防撞击护孩子周全。</w:t>
            </w:r>
            <w:r>
              <w:rPr>
                <w:rFonts w:hint="eastAsia" w:ascii="宋体" w:hAnsi="宋体" w:cs="宋体"/>
                <w:szCs w:val="21"/>
                <w:lang w:bidi="zh-CN"/>
              </w:rPr>
            </w:r>
            <w:r/>
          </w:p>
        </w:tc>
      </w:tr>
      <w:tr>
        <w:trPr>
          <w:trHeight w:val="1974"/>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5</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后墙绿板</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1、规格：3680*1220mm；                          </w:t>
              <w:br w:type="textWrapping" w:clear="all"/>
              <w:t xml:space="preserve">2、背板：采用冷轧工艺镀锌板，具有硬度高防潮防锈的作用，耐碰撞、不易折断、寿命长；</w:t>
              <w:br w:type="textWrapping" w:clear="all"/>
              <w:t xml:space="preserve">3、面板：采用树脂磨砂颗粒涂层耐写耐磨，书写流畅不打滑；</w:t>
              <w:br w:type="textWrapping" w:clear="all"/>
              <w:t xml:space="preserve">4、边框：采用加厚铝合金边框，硬度高抗击力强防折弯；</w:t>
              <w:br w:type="textWrapping" w:clear="all"/>
              <w:t xml:space="preserve">5、角：采用ABS弧形护角，防撞击护孩子周全。</w:t>
            </w:r>
            <w:r>
              <w:rPr>
                <w:rFonts w:hint="eastAsia" w:ascii="宋体" w:hAnsi="宋体" w:cs="宋体"/>
                <w:szCs w:val="21"/>
                <w:lang w:bidi="zh-CN"/>
              </w:rPr>
            </w:r>
            <w:r/>
          </w:p>
        </w:tc>
      </w:tr>
      <w:tr>
        <w:trPr>
          <w:trHeight w:val="757"/>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6</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篮球</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w:t>
            </w:r>
            <w:r>
              <w:rPr>
                <w:rFonts w:hint="eastAsia" w:ascii="宋体" w:hAnsi="宋体" w:cs="宋体"/>
                <w:color w:val="000000"/>
                <w:sz w:val="20"/>
                <w:szCs w:val="20"/>
                <w:lang w:bidi="ar"/>
              </w:rPr>
              <w:t xml:space="preserve">                                  1、规格：球周745-760mm，重量567-650g；</w:t>
              <w:br w:type="textWrapping" w:clear="all"/>
              <w:t xml:space="preserve">2、材质</w:t>
            </w:r>
            <w:r>
              <w:rPr>
                <w:rFonts w:hint="eastAsia" w:ascii="宋体" w:hAnsi="宋体" w:cs="宋体"/>
                <w:color w:val="000000"/>
                <w:sz w:val="18"/>
                <w:szCs w:val="18"/>
                <w:lang w:bidi="ar"/>
              </w:rPr>
              <w:t xml:space="preserve">：</w:t>
            </w:r>
            <w:r>
              <w:rPr>
                <w:rFonts w:hint="eastAsia" w:ascii="宋体" w:hAnsi="宋体"/>
                <w:color w:val="000000"/>
                <w:sz w:val="18"/>
                <w:szCs w:val="18"/>
              </w:rPr>
              <w:t xml:space="preserve">均衡颗粒PU表皮，醒目图案，耐磨防滑，室内外通用，</w:t>
            </w:r>
            <w:r>
              <w:rPr>
                <w:rFonts w:hint="eastAsia" w:ascii="宋体" w:hAnsi="宋体" w:cs="宋体"/>
                <w:color w:val="000000"/>
                <w:sz w:val="18"/>
                <w:szCs w:val="18"/>
                <w:lang w:bidi="ar"/>
              </w:rPr>
              <w:t xml:space="preserve">丁基内</w:t>
            </w:r>
            <w:r>
              <w:rPr>
                <w:rFonts w:hint="eastAsia" w:ascii="宋体" w:hAnsi="宋体" w:cs="宋体"/>
                <w:color w:val="000000"/>
                <w:sz w:val="20"/>
                <w:szCs w:val="20"/>
                <w:lang w:bidi="ar"/>
              </w:rPr>
              <w:t xml:space="preserve">胆。</w:t>
            </w:r>
            <w:r>
              <w:rPr>
                <w:rFonts w:hint="eastAsia" w:ascii="宋体" w:hAnsi="宋体" w:cs="宋体"/>
                <w:szCs w:val="21"/>
                <w:lang w:bidi="zh-CN"/>
              </w:rPr>
            </w:r>
            <w:r/>
          </w:p>
        </w:tc>
      </w:tr>
      <w:tr>
        <w:trPr>
          <w:trHeight w:val="715"/>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7</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足球</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1、规格：周长680mm - 710mm，重量410克 - 450克；          </w:t>
              <w:br w:type="textWrapping" w:clear="all"/>
              <w:t xml:space="preserve">2、材料：采用PU（聚氨酯）材料；内胆则采用丁基或乳胶等材料。</w:t>
            </w:r>
            <w:r>
              <w:rPr>
                <w:rFonts w:hint="eastAsia" w:ascii="宋体" w:hAnsi="宋体" w:cs="宋体"/>
                <w:szCs w:val="21"/>
                <w:lang w:bidi="zh-CN"/>
              </w:rPr>
            </w:r>
            <w:r/>
          </w:p>
        </w:tc>
      </w:tr>
      <w:tr>
        <w:trPr>
          <w:trHeight w:val="371"/>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8</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排球</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rPr>
                <w:rFonts w:hint="eastAsia" w:ascii="宋体" w:hAnsi="宋体" w:cs="宋体"/>
                <w:color w:val="000000"/>
                <w:sz w:val="20"/>
                <w:szCs w:val="20"/>
                <w:lang w:bidi="ar"/>
              </w:rPr>
              <w:t xml:space="preserve">                                              1、规格：周长：650-670mm，重量：260-280；</w:t>
            </w:r>
            <w:r>
              <w:rPr>
                <w:rFonts w:ascii="宋体" w:hAnsi="宋体" w:cs="宋体"/>
                <w:color w:val="000000"/>
                <w:sz w:val="20"/>
                <w:szCs w:val="20"/>
                <w:lang w:bidi="ar"/>
              </w:rPr>
            </w:r>
            <w:r/>
          </w:p>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2、材质：生胶。</w:t>
            </w:r>
            <w:r>
              <w:rPr>
                <w:rFonts w:hint="eastAsia" w:ascii="宋体" w:hAnsi="宋体" w:cs="宋体"/>
                <w:szCs w:val="21"/>
                <w:lang w:bidi="zh-CN"/>
              </w:rPr>
            </w:r>
            <w:r/>
          </w:p>
        </w:tc>
      </w:tr>
      <w:tr>
        <w:trPr>
          <w:trHeight w:val="381"/>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9</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羽毛球拍</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1、材质：铝合金；重量：85-89g/支。</w:t>
            </w:r>
            <w:r>
              <w:rPr>
                <w:rFonts w:hint="eastAsia" w:ascii="宋体" w:hAnsi="宋体" w:cs="宋体"/>
                <w:szCs w:val="21"/>
                <w:lang w:bidi="zh-CN"/>
              </w:rPr>
            </w:r>
            <w:r/>
          </w:p>
        </w:tc>
      </w:tr>
      <w:tr>
        <w:trPr>
          <w:trHeight w:val="622"/>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10</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羽毛球</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1、规格：1打含12只，球重4克</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6克；                             </w:t>
              <w:br w:type="textWrapping" w:clear="all"/>
              <w:t xml:space="preserve">2、材质：鹅弯</w:t>
            </w:r>
            <w:r>
              <w:rPr>
                <w:rFonts w:hint="eastAsia" w:ascii="宋体" w:hAnsi="宋体" w:cs="宋体"/>
                <w:color w:val="000000"/>
                <w:sz w:val="20"/>
                <w:szCs w:val="20"/>
                <w:lang w:bidi="ar"/>
              </w:rPr>
              <w:t xml:space="preserve">毛， 泡沫球头。</w:t>
            </w:r>
            <w:r>
              <w:rPr>
                <w:rFonts w:hint="eastAsia" w:ascii="宋体" w:hAnsi="宋体" w:cs="宋体"/>
                <w:szCs w:val="21"/>
                <w:lang w:bidi="zh-CN"/>
              </w:rPr>
            </w:r>
            <w:r/>
          </w:p>
        </w:tc>
      </w:tr>
      <w:tr>
        <w:trPr>
          <w:trHeight w:val="90"/>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11</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乒乓球拍</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规格：装箱尺寸：420x350x320(mm)；</w:t>
            </w:r>
            <w:r/>
          </w:p>
          <w:p>
            <w:pPr>
              <w:pStyle w:val="769"/>
              <w:numPr>
                <w:ilvl w:val="0"/>
                <w:numId w:val="5"/>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材质/结构 ：拍面材质：纯木底板，胶皮类型：双面反胶。</w:t>
            </w:r>
            <w:r>
              <w:rPr>
                <w:rFonts w:hint="eastAsia" w:ascii="宋体" w:hAnsi="宋体" w:cs="宋体"/>
                <w:szCs w:val="21"/>
                <w:lang w:bidi="zh-CN"/>
              </w:rPr>
            </w:r>
            <w:r/>
          </w:p>
        </w:tc>
      </w:tr>
      <w:tr>
        <w:trPr>
          <w:trHeight w:val="850"/>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12</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乒乓球</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1、规格：10只装，直径39-41mm；                    </w:t>
              <w:br w:type="textWrapping" w:clear="all"/>
              <w:t xml:space="preserve">2、材质：硝化纤维塑料。</w:t>
            </w:r>
            <w:r>
              <w:rPr>
                <w:rFonts w:hint="eastAsia" w:ascii="宋体" w:hAnsi="宋体" w:cs="宋体"/>
                <w:szCs w:val="21"/>
                <w:lang w:bidi="zh-CN"/>
              </w:rPr>
            </w:r>
            <w:r/>
          </w:p>
        </w:tc>
      </w:tr>
      <w:tr>
        <w:trPr>
          <w:trHeight w:val="983"/>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13</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平衡木</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6"/>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规格：长度：300 cm，面宽：8 cm，主体高度：30 cm，加厚：6 cm；</w:t>
            </w:r>
            <w:r/>
          </w:p>
          <w:p>
            <w:pPr>
              <w:pStyle w:val="769"/>
              <w:numPr>
                <w:ilvl w:val="0"/>
                <w:numId w:val="6"/>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材质：实木（如松木、橡木）、多层胶合板、塑料等；</w:t>
            </w:r>
            <w:r>
              <w:rPr>
                <w:rFonts w:hint="eastAsia" w:ascii="宋体" w:hAnsi="宋体" w:cs="宋体"/>
                <w:szCs w:val="21"/>
                <w:lang w:bidi="zh-CN"/>
              </w:rPr>
            </w:r>
            <w:r/>
          </w:p>
          <w:p>
            <w:pPr>
              <w:pStyle w:val="769"/>
              <w:numPr>
                <w:ilvl w:val="0"/>
                <w:numId w:val="6"/>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表面：PU皮革、PVC、EVA泡棉、防滑橡胶等；承重：100公斤左右。</w:t>
            </w:r>
            <w:r>
              <w:rPr>
                <w:rFonts w:hint="eastAsia" w:ascii="宋体" w:hAnsi="宋体" w:cs="宋体"/>
                <w:szCs w:val="21"/>
                <w:lang w:bidi="zh-CN"/>
              </w:rPr>
            </w:r>
            <w:r/>
          </w:p>
        </w:tc>
      </w:tr>
      <w:tr>
        <w:trPr>
          <w:trHeight w:val="1233"/>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14</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匹克球拍</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1、球拍材质:杨木手柄材质；</w:t>
              <w:br w:type="textWrapping" w:clear="all"/>
              <w:t xml:space="preserve">2、PP球的材质:PVC直径60左右；</w:t>
              <w:br w:type="textWrapping" w:clear="all"/>
              <w:t xml:space="preserve">3、球拍尺寸:395*195mm；</w:t>
              <w:br w:type="textWrapping" w:clear="all"/>
              <w:t xml:space="preserve">4、球拍厚度:0.8cm。</w:t>
            </w:r>
            <w:r>
              <w:rPr>
                <w:rFonts w:hint="eastAsia" w:ascii="宋体" w:hAnsi="宋体" w:cs="宋体"/>
                <w:szCs w:val="21"/>
                <w:lang w:bidi="zh-CN"/>
              </w:rPr>
            </w:r>
            <w:r/>
          </w:p>
        </w:tc>
      </w:tr>
      <w:tr>
        <w:trPr>
          <w:trHeight w:val="539"/>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匹克球</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7"/>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规格：直径:约7mm，重量:约26g；</w:t>
            </w:r>
            <w:r>
              <w:rPr>
                <w:rFonts w:hint="eastAsia" w:ascii="宋体" w:hAnsi="宋体" w:cs="宋体"/>
                <w:szCs w:val="21"/>
                <w:lang w:bidi="zh-CN"/>
              </w:rPr>
            </w:r>
            <w:r/>
          </w:p>
          <w:p>
            <w:pPr>
              <w:pStyle w:val="769"/>
              <w:numPr>
                <w:ilvl w:val="0"/>
                <w:numId w:val="7"/>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材质: 硬质镂空塑料，40孔。</w:t>
            </w:r>
            <w:r>
              <w:rPr>
                <w:rFonts w:hint="eastAsia" w:ascii="宋体" w:hAnsi="宋体" w:cs="宋体"/>
                <w:szCs w:val="21"/>
                <w:lang w:bidi="zh-CN"/>
              </w:rPr>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跨栏架-1</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 30cm/40cm/50cm ；</w:t>
            </w:r>
            <w:r/>
          </w:p>
          <w:p>
            <w:pPr>
              <w:pStyle w:val="769"/>
              <w:numPr>
                <w:ilvl w:val="0"/>
                <w:numId w:val="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材质：ABS材质。</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韵律操踏板</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1、规格：68*29*10/15 ；</w:t>
              <w:br w:type="textWrapping" w:clear="all"/>
              <w:t xml:space="preserve">2、材质：PP。</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毽子</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1、座子直径：25mm,；</w:t>
              <w:br w:type="textWrapping" w:clear="all"/>
              <w:t xml:space="preserve">2、羽毛高：60～70mm。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瑜伽砖</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1、材质：环保EVA，无异味。</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软式垒球</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br w:type="textWrapping" w:clear="all"/>
              <w:t xml:space="preserve">2、材质:PVC；</w:t>
              <w:br w:type="textWrapping" w:clear="all"/>
              <w:t xml:space="preserve">3、直径:约10寸；</w:t>
              <w:br w:type="textWrapping" w:clear="all"/>
              <w:t xml:space="preserve">4、场地:室内室外。</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竞速跳绳</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9"/>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规格：250cm；</w:t>
            </w:r>
            <w:r/>
          </w:p>
          <w:p>
            <w:pPr>
              <w:pStyle w:val="769"/>
              <w:numPr>
                <w:ilvl w:val="0"/>
                <w:numId w:val="9"/>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材质：全胶。</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操作台</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1、规格：2400*700*850mm；                                     </w:t>
              <w:br w:type="textWrapping" w:clear="all"/>
              <w:t xml:space="preserve">2、结构：铝木结构；    </w:t>
              <w:br w:type="textWrapping" w:clear="all"/>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3、台面：采用12mm厚抗倍特板边缘加厚至24mm，抗倍特板满足总挥发性有机化合物（TVOC）：依据GB/T7911-2024《热固性树脂浸渍纸高压装饰层积板(HPL)》标准，检测结果≤200μg/m³。防霉性能检测：依据JC/T2039-2010《抗菌防霉木质装饰板》标准，至少包含：黑曲霉、土曲霉、球</w:t>
            </w:r>
            <w:r>
              <w:rPr>
                <w:rFonts w:hint="eastAsia" w:ascii="宋体" w:hAnsi="宋体" w:cs="宋体"/>
                <w:color w:val="000000"/>
                <w:sz w:val="20"/>
                <w:szCs w:val="20"/>
                <w:lang w:bidi="ar"/>
              </w:rPr>
              <w:t xml:space="preserve">毛壳霉、宛氏拟青霉、绳状青霉、出芽短梗霉等常见的霉菌检测，且防霉等级为0级或1级</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投标文件中</w:t>
            </w:r>
            <w:r>
              <w:rPr>
                <w:rFonts w:hint="eastAsia" w:ascii="宋体" w:hAnsi="宋体" w:cs="宋体"/>
                <w:color w:val="000000"/>
                <w:sz w:val="20"/>
                <w:szCs w:val="20"/>
                <w:lang w:bidi="ar"/>
              </w:rPr>
              <w:t xml:space="preserve">提供</w:t>
            </w:r>
            <w:r>
              <w:rPr>
                <w:rFonts w:hint="eastAsia" w:ascii="宋体" w:hAnsi="宋体" w:cs="宋体"/>
                <w:color w:val="000000"/>
                <w:sz w:val="20"/>
                <w:szCs w:val="20"/>
                <w:lang w:bidi="ar"/>
              </w:rPr>
              <w:t xml:space="preserve">有效</w:t>
            </w:r>
            <w:r>
              <w:rPr>
                <w:rFonts w:hint="eastAsia" w:ascii="宋体" w:hAnsi="宋体" w:cs="宋体"/>
                <w:color w:val="000000"/>
                <w:sz w:val="20"/>
                <w:szCs w:val="20"/>
                <w:lang w:bidi="ar"/>
              </w:rPr>
              <w:t xml:space="preserve">的第三方检测报告</w:t>
            </w:r>
            <w:r>
              <w:rPr>
                <w:rFonts w:hint="eastAsia" w:ascii="宋体" w:hAnsi="宋体" w:cs="宋体"/>
                <w:color w:val="000000"/>
                <w:sz w:val="20"/>
                <w:szCs w:val="20"/>
                <w:lang w:bidi="ar"/>
              </w:rPr>
              <w:t xml:space="preserve">或</w:t>
            </w:r>
            <w:r>
              <w:rPr>
                <w:rFonts w:ascii="宋体" w:hAnsi="宋体" w:cs="宋体"/>
                <w:color w:val="000000"/>
                <w:sz w:val="20"/>
                <w:szCs w:val="20"/>
                <w:lang w:bidi="ar"/>
              </w:rPr>
              <w:t xml:space="preserve">板材</w:t>
            </w:r>
            <w:r>
              <w:rPr>
                <w:rFonts w:hint="eastAsia" w:ascii="宋体" w:hAnsi="宋体" w:cs="宋体"/>
                <w:color w:val="000000"/>
                <w:sz w:val="20"/>
                <w:szCs w:val="20"/>
                <w:lang w:bidi="ar"/>
              </w:rPr>
              <w:t xml:space="preserve">生产商的包括相关指标的</w:t>
            </w:r>
            <w:r>
              <w:rPr>
                <w:rFonts w:ascii="宋体" w:hAnsi="宋体" w:cs="宋体"/>
                <w:color w:val="000000"/>
                <w:sz w:val="20"/>
                <w:szCs w:val="20"/>
                <w:lang w:bidi="ar"/>
              </w:rPr>
              <w:t xml:space="preserve">产品质量证明书</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4、主体框架：采用30*40mm工业级卡锁式铝型材，横拉30*38mm,壁厚≥1.5mm</w:t>
            </w:r>
            <w:r>
              <w:rPr>
                <w:rFonts w:hint="eastAsia" w:ascii="宋体" w:hAnsi="宋体" w:cs="宋体"/>
                <w:color w:val="000000"/>
                <w:sz w:val="20"/>
                <w:szCs w:val="20"/>
                <w:lang w:bidi="ar"/>
              </w:rPr>
              <w:t xml:space="preserve">方形铝合金框架，表面用环氧树脂粉末喷涂，并作高温固化,环氧树脂喷涂理处理，ABS连接件、调节脚； </w:t>
              <w:br w:type="textWrapping" w:clear="all"/>
              <w:t xml:space="preserve">5、柜体：旁板、背板采用16mm厚实木颗粒板，其它采用18mm厚实木颗粒板，所有截面采用PVC机械热熔封边，专用连接件；                          </w:t>
              <w:br w:type="textWrapping" w:clear="all"/>
              <w:t xml:space="preserve">6、铰链：阻尼铰链。</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美术桌</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10"/>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规格：1800*1100*760mm；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2、钢木结构，桌面采用18mm厚橡胶木，边缘加厚至36m</w:t>
            </w:r>
            <w:r>
              <w:rPr>
                <w:rFonts w:hint="eastAsia" w:ascii="宋体" w:hAnsi="宋体" w:cs="宋体"/>
                <w:color w:val="000000"/>
                <w:sz w:val="20"/>
                <w:szCs w:val="20"/>
                <w:lang w:bidi="ar"/>
              </w:rPr>
              <w:t xml:space="preserve">m；</w:t>
              <w:br w:type="textWrapping" w:clear="all"/>
              <w:t xml:space="preserve">3、桌腿采用30*50钢管，台身金属支撑架经酸洗磷化抛光等处理后，采用环氧树脂塑粉喷涂处理，电镀钢脚，钢管壁厚1.2mm厚，带可调节底脚；</w:t>
              <w:br w:type="textWrapping" w:clear="all"/>
              <w:t xml:space="preserve">4、桌面下部设有横撑隔板储物。</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桌垫</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11"/>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规格：1800*1100*2mm；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2、PVC材质，无味抗菌，斜磨边磨砂材质；</w:t>
              <w:br w:type="textWrapping" w:clear="all"/>
              <w:t xml:space="preserve">3、2mm厚度，长度宽度依据学生桌定制。</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圆凳</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凳面：直径300mm×30mm 采用环保型PP改性塑料一次性注塑成型 ，表面细纹咬花，防滑不</w:t>
            </w:r>
            <w:r>
              <w:rPr>
                <w:rFonts w:hint="eastAsia" w:ascii="宋体" w:hAnsi="宋体" w:cs="宋体"/>
                <w:color w:val="000000"/>
                <w:sz w:val="20"/>
                <w:szCs w:val="20"/>
                <w:lang w:bidi="ar"/>
              </w:rPr>
              <w:t xml:space="preserve">发光；</w:t>
              <w:br w:type="textWrapping" w:clear="all"/>
              <w:t xml:space="preserve">2、凳架：采用20×40×1.2mm椭圆形无缝钢管成型制作，全圆满焊接完成，结构牢固，经高温粉体烤漆处理；</w:t>
              <w:br w:type="textWrapping" w:clear="all"/>
              <w:t xml:space="preserve">3、升降螺杆：采用内置螺杆式螺旋升降，凳面升高后看不到螺杆,高度范围430-490mm；</w:t>
              <w:br w:type="textWrapping" w:clear="all"/>
              <w:t xml:space="preserve">4、托盘采用165*165*1.8mm钢板冲压而成，托盘与螺杆之间设有一个锥形盘加固；</w:t>
              <w:br w:type="textWrapping" w:clear="all"/>
              <w:t xml:space="preserve">5、脚垫：采用PP纤维质塑料注塑成型。</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全板式静物台</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1、尺寸：600mm*600mm*600mm/1220mmH，产品各项规格尺寸误差不超过3mm；</w:t>
              <w:br w:type="textWrapping" w:clear="all"/>
              <w:t xml:space="preserve">2、柜体采用18mm厚彩色实木颗粒板，专用连接件，2mmPVC封边条机械封边，台面设计</w:t>
            </w:r>
            <w:r>
              <w:rPr>
                <w:rFonts w:hint="eastAsia" w:ascii="宋体" w:hAnsi="宋体" w:cs="宋体"/>
                <w:color w:val="000000"/>
                <w:sz w:val="20"/>
                <w:szCs w:val="20"/>
                <w:lang w:bidi="ar"/>
              </w:rPr>
              <w:t xml:space="preserve">双层合开板。</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全板式拷贝台</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1、尺寸：800mm*600mm*850mm，产品各项规格尺寸误差不超过3mm；</w:t>
              <w:br w:type="textWrapping" w:clear="all"/>
              <w:t xml:space="preserve">2、柜体采用≥18mm实木颗粒板，台面嵌5mm厚钢化玻璃，两侧20W日光灯，2㎜PVC封边条机器封边；阻尼铰链或液压阻尼铰链，铝合金一字型长条拉手。</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作品晾晒架</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1、全钢结构，主体采用30*30钢管，台身金属支撑</w:t>
            </w:r>
            <w:r>
              <w:rPr>
                <w:rFonts w:hint="eastAsia" w:ascii="宋体" w:hAnsi="宋体" w:cs="宋体"/>
                <w:color w:val="000000"/>
                <w:sz w:val="20"/>
                <w:szCs w:val="20"/>
                <w:lang w:bidi="ar"/>
              </w:rPr>
              <w:t xml:space="preserve">架经酸洗磷化抛光等处理后，采用环氧树脂塑粉喷涂处理，电镀钢脚，钢管壁厚1.2mm厚，带4个万</w:t>
            </w:r>
            <w:r>
              <w:rPr>
                <w:rFonts w:hint="eastAsia" w:ascii="宋体" w:hAnsi="宋体" w:cs="宋体"/>
                <w:color w:val="000000"/>
                <w:sz w:val="20"/>
                <w:szCs w:val="20"/>
                <w:lang w:bidi="ar"/>
              </w:rPr>
              <w:t xml:space="preserve">向轮，可移动；</w:t>
              <w:br w:type="textWrapping" w:clear="all"/>
              <w:t xml:space="preserve">2、支持A2，4K画纸晾晒，内含20个63X45CM金属网片，每层可抽拉，层距35mm。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水柜</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1、尺寸：800*550*800mm±3mm；</w:t>
              <w:br w:type="textWrapping" w:clear="all"/>
              <w:t xml:space="preserve">2、柜体采用≥18mm实木颗粒板，2mm厚同色封边条，专用连接件，铝合金一字型拉手，阻尼铰链，对开门设计，石英石台面。</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陶瓷水盆</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12"/>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规格：600*400mm；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2、材质：陶瓷，台下式。</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单口龙头</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1、规格：龙头高度：180 - 265 mm；                       </w:t>
              <w:br w:type="textWrapping" w:clear="all"/>
              <w:t xml:space="preserve">2、材质：全铜主体搭配陶瓷阀芯，表面经过电镀或喷涂处理；款式：单把单孔；固定底座、垫片、接头，含下水套件。</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室内水管对接及改造</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1、室内有水点，含少量点位位置调整，改造至指定位置。给水采用专用铝塑管软连接,排水采用PVC曲型管软连接，含所有改造所需材料、人工及垃圾清运，含水柜上下点位对接。</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33</w:t>
            </w:r>
            <w:r>
              <w:rPr>
                <w:rFonts w:hint="eastAsia" w:ascii="宋体" w:hAnsi="宋体" w:cs="宋体"/>
                <w:color w:val="000000"/>
                <w:sz w:val="20"/>
                <w:szCs w:val="20"/>
                <w:lang w:bidi="ar"/>
              </w:rPr>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边柜1</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1、尺寸：950*550*800Hm</w:t>
            </w:r>
            <w:r>
              <w:rPr>
                <w:rFonts w:hint="eastAsia" w:ascii="宋体" w:hAnsi="宋体" w:cs="宋体"/>
                <w:color w:val="000000"/>
                <w:sz w:val="20"/>
                <w:szCs w:val="20"/>
                <w:lang w:bidi="ar"/>
              </w:rPr>
              <w:t xml:space="preserve">m，产品各项规格尺寸误差不超过3mm；</w:t>
              <w:br w:type="textWrapping" w:clear="all"/>
              <w:t xml:space="preserve">2、柜体采用18mm厚实木颗粒板，2mm同色封边条，专用连接件，对开门设计，板门内设一块横隔板，中标方需与校方确认生产。</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软木展板</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1、规格：8300*1900H/mm；                                   </w:t>
              <w:br w:type="textWrapping" w:clear="all"/>
              <w:t xml:space="preserve">2、采用聚酯纤维制成，厚度≥0.6mm,具有还具有阻燃、防潮、隔热、保温性能，安全无毒，不会散发有毒物质，展板基底采用9厘米木工板制成，外加木质装饰边框，边框宽度50mm。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准备台</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1、尺寸：3000*700*850mm，产品各项规格尺寸误差不超过3mm；</w:t>
              <w:br w:type="textWrapping" w:clear="all"/>
              <w:t xml:space="preserve">2、铝木结构，主体立柱采用工业级卡锁式铝型材，矩形铝合金型材规格≥34*37mm，主框架壁厚≥1.5mm，横梁规格≥30*28mm,壁厚≥1.5mm,表面用环氧树脂粉末喷涂，并作高温固化处理或电泳、氧化处理，采用热铝拉制，热塑成型，并做加强筋和表面装饰处理；调节脚为尼龙螺栓注塑而成；</w:t>
              <w:br w:type="textWrapping" w:clear="all"/>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3、台面：采用12.7mm厚实芯理化板边缘加厚至25.4mm，实芯理化板满足烟气</w:t>
            </w:r>
            <w:r>
              <w:rPr>
                <w:rFonts w:hint="eastAsia" w:ascii="宋体" w:hAnsi="宋体" w:cs="宋体"/>
                <w:color w:val="000000"/>
                <w:sz w:val="20"/>
                <w:szCs w:val="20"/>
                <w:lang w:bidi="ar"/>
              </w:rPr>
              <w:t xml:space="preserve">毒性检测：台面依据GB 8624-2012《建筑材料及制品燃烧性能分级》标准，产烟毒性危险等</w:t>
            </w:r>
            <w:r>
              <w:rPr>
                <w:rFonts w:hint="eastAsia" w:ascii="宋体" w:hAnsi="宋体" w:cs="宋体"/>
                <w:color w:val="000000"/>
                <w:sz w:val="20"/>
                <w:szCs w:val="20"/>
                <w:lang w:bidi="ar"/>
              </w:rPr>
              <w:t xml:space="preserve">级达到准安</w:t>
            </w:r>
            <w:r>
              <w:rPr>
                <w:rFonts w:hint="eastAsia" w:ascii="宋体" w:hAnsi="宋体" w:cs="宋体"/>
                <w:color w:val="000000"/>
                <w:sz w:val="20"/>
                <w:szCs w:val="20"/>
                <w:lang w:bidi="ar"/>
              </w:rPr>
              <w:t xml:space="preserve">全三级ZA3</w:t>
            </w:r>
            <w:r>
              <w:rPr>
                <w:rFonts w:ascii="宋体" w:hAnsi="宋体" w:cs="宋体"/>
                <w:color w:val="000000"/>
                <w:sz w:val="20"/>
                <w:szCs w:val="20"/>
                <w:lang w:bidi="ar"/>
              </w:rPr>
              <w:t xml:space="preserve">（投标文件中提供有效的第三方检测报告或板材生产商的包括相关指标的产品质量证明书）</w:t>
            </w:r>
            <w:r>
              <w:rPr>
                <w:rFonts w:hint="eastAsia" w:ascii="宋体" w:hAnsi="宋体" w:cs="宋体"/>
                <w:color w:val="000000"/>
                <w:sz w:val="20"/>
                <w:szCs w:val="20"/>
                <w:lang w:bidi="ar"/>
              </w:rPr>
              <w:t xml:space="preserve">；</w:t>
              <w:br w:type="textWrapping" w:clear="all"/>
              <w:t xml:space="preserve">4、柜体为18mm厚实木多层板,专用连接件,1.5mm厚封</w:t>
            </w:r>
            <w:r>
              <w:rPr>
                <w:rFonts w:hint="eastAsia" w:ascii="宋体" w:hAnsi="宋体" w:cs="宋体"/>
                <w:color w:val="000000"/>
                <w:sz w:val="20"/>
                <w:szCs w:val="20"/>
                <w:lang w:bidi="ar"/>
              </w:rPr>
              <w:t xml:space="preserve">边条；所有板材加工截面必须封边，避免甲醛随意释放，确保达到环保标准。D阻尼铰链三节静音滑轨；拉手采用铝合金一字型拉手。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器材柜</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1、尺寸：1000mm*500mm*2000mm，产品各项规格尺寸误差不超过3mm；</w:t>
              <w:br w:type="textWrapping" w:clear="all"/>
              <w:t xml:space="preserve">2、铝木结构，主体采用34*37mm铝合金框架壁厚≥1.2mm，表面用环氧树脂粉末喷涂，并作高温固化处理或电泳、氧化处理，采用热铝拉制，热塑成型，锌铝挤压，并做加强筋和表面装饰处理。连接件为工程塑料，模具注</w:t>
            </w:r>
            <w:r>
              <w:rPr>
                <w:rFonts w:hint="eastAsia" w:ascii="宋体" w:hAnsi="宋体" w:cs="宋体"/>
                <w:color w:val="000000"/>
                <w:sz w:val="20"/>
                <w:szCs w:val="20"/>
                <w:lang w:bidi="ar"/>
              </w:rPr>
              <w:t xml:space="preserve">塑而成，接头与型材紧密结合；调节脚为尼龙螺栓注塑而成；</w:t>
              <w:br w:type="textWrapping" w:clear="all"/>
              <w:t xml:space="preserve">3、柜体采用18mm厚实木多层板，2mm厚同色封边条，专用连接件，阻尼铰链，上门为木制边框玻璃对开门，下柜为板式对开门，铝合金一字型拉手。上部设二层活动层板，板前沿口加装“U”型钢槽，下门为板门内设一层隔板，主隔板需用钢管加强增加板承重率牢固不变形。</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储物展示柜</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1、柜体长度1米，深度400mm，总高度</w:t>
            </w:r>
            <w:r>
              <w:rPr>
                <w:rFonts w:hint="eastAsia" w:ascii="宋体" w:hAnsi="宋体" w:cs="宋体"/>
                <w:color w:val="000000"/>
                <w:sz w:val="20"/>
                <w:szCs w:val="20"/>
                <w:lang w:bidi="ar"/>
              </w:rPr>
              <w:t xml:space="preserve">2200mm；</w:t>
              <w:br w:type="textWrapping" w:clear="all"/>
              <w:t xml:space="preserve">2、柜体采用18mm厚实木颗粒板，2mm同色封边条，专用连接件，对开门设计，板门内设多块横隔板，中标方需与校方确认生产。</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画室卡纸置物架</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w:t>
            </w:r>
            <w:r>
              <w:rPr>
                <w:rFonts w:hint="eastAsia" w:ascii="宋体" w:hAnsi="宋体" w:cs="宋体"/>
                <w:color w:val="000000"/>
                <w:sz w:val="20"/>
                <w:szCs w:val="20"/>
                <w:lang w:bidi="ar"/>
              </w:rPr>
              <w:t xml:space="preserve">800*500*2000mm；                                   </w:t>
              <w:br w:type="textWrapping" w:clear="all"/>
              <w:t xml:space="preserve">2、框架结构，柱子为60mm*40mm.横梁为30mm*40mm方钢，钢板1.0mm厚，表面经酸洗磷化静电喷涂处理。货架除顶底钢板之外，有八块钢层板，层板两头带有挂钩，可根据实际需求调节层板间距。层板钢板厚度1.0mm厚，下部设有横梁支撑。</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黑板</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1、校方原有绿板利旧，协助拆装至新教室，包含所需人工及材料费用。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讲台</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1、规格：2400*700*850m</w:t>
            </w:r>
            <w:r>
              <w:rPr>
                <w:rFonts w:hint="eastAsia" w:ascii="宋体" w:hAnsi="宋体" w:cs="宋体"/>
                <w:color w:val="000000"/>
                <w:sz w:val="20"/>
                <w:szCs w:val="20"/>
                <w:lang w:bidi="ar"/>
              </w:rPr>
              <w:t xml:space="preserve">m；                                   </w:t>
              <w:br/>
              <w:t xml:space="preserve">2、结构：铝木结构；    </w:t>
              <w:br/>
              <w:t xml:space="preserve">3、台面：采用12mm厚抗倍特板，边缘加厚至24mm；</w:t>
              <w:br/>
              <w:t xml:space="preserve">4、主体框架：采用34*37mm卡锁式铝型材，横拉30*28mm,壁厚≥1.2mm方形铝合金框架，表面用环氧树脂粉末喷涂，并作高温固化,环氧树脂喷涂理处理，采用热铝拉制，热塑成型，锌铝挤压，并做加强筋和表面装饰处理，ABS连接件、调节脚； </w:t>
              <w:br/>
              <w:t xml:space="preserve">5、柜体：旁板、背板采用16mm厚实木颗粒板，其它采用18mm厚实木颗粒板，所有截面采用PVC机械热熔封边，</w:t>
            </w:r>
            <w:r>
              <w:rPr>
                <w:rFonts w:hint="eastAsia" w:ascii="宋体" w:hAnsi="宋体" w:cs="宋体"/>
                <w:color w:val="000000"/>
                <w:sz w:val="20"/>
                <w:szCs w:val="20"/>
                <w:lang w:bidi="ar"/>
              </w:rPr>
              <w:t xml:space="preserve">专用连接件；                          </w:t>
              <w:br w:type="textWrapping" w:clear="all"/>
              <w:t xml:space="preserve">6、铰链：阻尼铰链。</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组合桌</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1、六张外围组合，组合后规格800*1600*750mm,桌面：25mm厚E1级三聚氰胺防火板，耐磨、防静电、防火、抗污染；</w:t>
              <w:br w:type="textWrapping" w:clear="all"/>
              <w:t xml:space="preserve">2、桌兜：注塑书包兜；</w:t>
              <w:br w:type="textWrapping" w:clear="all"/>
              <w:t xml:space="preserve">3、台身结构：金属钢制框架结构，框架三角形 ，桌腿为50圆管，横管为32×28±1. 2mm方管，钢制框架的壁厚不小于1.2mm(±0.2 mm)。钢制框架表面静电喷塑；</w:t>
              <w:br w:type="textWrapping" w:clear="all"/>
              <w:t xml:space="preserve">4、桌架整体耐腐蚀、防火、防潮；所有板</w:t>
            </w:r>
            <w:r>
              <w:rPr>
                <w:rFonts w:hint="eastAsia" w:ascii="宋体" w:hAnsi="宋体" w:cs="宋体"/>
                <w:color w:val="000000"/>
                <w:sz w:val="20"/>
                <w:szCs w:val="20"/>
                <w:lang w:bidi="ar"/>
              </w:rPr>
              <w:t xml:space="preserve">材外露端面采用高质量PVC封边条，利用机械封边机配以热溶胶高温封边，高密封性不吸水、不膨；</w:t>
              <w:br w:type="textWrapping" w:clear="all"/>
              <w:t xml:space="preserve">5、脚垫：ABS耐蚀注塑专用垫，可隐蔽固定，有效防潮。</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木工桌</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1、尺寸：W1800*D1200*H1125/750mm(±5mm)；</w:t>
              <w:br w:type="textWrapping" w:clear="all"/>
              <w:t xml:space="preserve">2、材质：橡胶木指接板+钢架；</w:t>
              <w:br w:type="textWrapping" w:clear="all"/>
              <w:t xml:space="preserve">3、工艺：桌面采用25mm(±0.3mm)厚橡胶木指接板，面对人侧转角倒圆；木蜡油处理。整桌中间横向安装工具墙，双面挂件洞洞板采用壁厚1.2mm(±0.5mm)钢板，经冲压、折边成型。桌主体框架采</w:t>
            </w:r>
            <w:r>
              <w:rPr>
                <w:rFonts w:hint="eastAsia" w:ascii="宋体" w:hAnsi="宋体" w:cs="宋体"/>
                <w:color w:val="000000"/>
                <w:sz w:val="20"/>
                <w:szCs w:val="20"/>
                <w:lang w:bidi="ar"/>
              </w:rPr>
              <w:t xml:space="preserve">用34*37mm工业级卡锁式铝型材，横拉30*28mm,壁厚</w:t>
            </w:r>
            <w:r>
              <w:rPr>
                <w:rFonts w:hint="eastAsia" w:ascii="宋体" w:hAnsi="宋体" w:cs="宋体"/>
                <w:color w:val="000000"/>
                <w:sz w:val="20"/>
                <w:szCs w:val="20"/>
                <w:lang w:bidi="ar"/>
              </w:rPr>
              <w:t xml:space="preserve">≥1.2mm方形铝合金框架，表面用环氧树脂粉末喷涂，并作高温固化,环氧树脂喷涂理处理，采用热铝拉制，热塑成型，锌铝挤压，并做加强筋和表面装饰处理，ABS连接件、调节脚； </w:t>
              <w:br w:type="textWrapping" w:clear="all"/>
              <w:t xml:space="preserve">4、柜体：旁板、背板采用16mm厚实木颗粒板，其它采用18mm厚实木颗粒板，所有截面采用PVC机械热熔封边，专用连接件；                          </w:t>
              <w:br w:type="textWrapping" w:clear="all"/>
              <w:t xml:space="preserve">5、铰链：阻尼铰链。</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储物矮柜1</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1、尺寸：950*400*900Hmm，产品各项规格尺寸误差不超过3mm；</w:t>
              <w:br w:type="textWrapping" w:clear="all"/>
              <w:t xml:space="preserve">2、柜体采用18mm厚实木颗粒板，2mm同色封边条，专用连接件，上部设抽屉，下部对开门设计，中标方需与校方确认生产。</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展示高柜</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1、尺寸1000*400*2200Hmm，产品各项规格尺寸误差不超过3mm；</w:t>
              <w:br w:type="textWrapping" w:clear="all"/>
              <w:t xml:space="preserve">2、柜体采用18mm厚彩色实木颗粒板，专用连接件，2mmPVC封边条机械封边；</w:t>
              <w:br w:type="textWrapping" w:clear="all"/>
              <w:t xml:space="preserve">3、柜体上部用于组合展示，下部带门可储物，配C型拉手。</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储物矮柜2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1、尺寸：950*400*900Hmm，产品各项规格尺寸误差不超过3mm；</w:t>
              <w:br w:type="textWrapping" w:clear="all"/>
              <w:t xml:space="preserve">2、柜体采用18mm厚实木颗粒板，2mm同色封边条，专用连接</w:t>
            </w:r>
            <w:r>
              <w:rPr>
                <w:rFonts w:hint="eastAsia" w:ascii="宋体" w:hAnsi="宋体" w:cs="宋体"/>
                <w:color w:val="000000"/>
                <w:sz w:val="20"/>
                <w:szCs w:val="20"/>
                <w:lang w:bidi="ar"/>
              </w:rPr>
              <w:t xml:space="preserve">件，上部设抽屉，下部对开门设计，中标方需与校方确认生产。</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洞洞板</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1、尺寸：5700*200*1200mm±10mm；</w:t>
              <w:br w:type="textWrapping" w:clear="all"/>
              <w:t xml:space="preserve">2、材质：实木多层板+冷轧钢板；</w:t>
              <w:br w:type="textWrapping" w:clear="all"/>
              <w:t xml:space="preserve">3、工艺：储物格板材厚度≥18mm,基材采用实木多层板，PVC直封边制作。工具墙采用1.5mm厚冷轧钢板，表面采用高温粉体烤漆，耐腐蚀，不易生锈；</w:t>
              <w:br w:type="textWrapping" w:clear="all"/>
              <w:t xml:space="preserve">4、功能：模块化集成工具墙，储物格安全环保不易变形，可收纳工具及展示作品。</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定制室内标识标牌</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1、规格：5900*2300mm；                                      </w:t>
              <w:br w:type="textWrapping" w:clear="all"/>
              <w:t xml:space="preserve">2、小学教室字（善恩多问勤学共进博学笃志养行正德）PVC+亚克力UV安装；</w:t>
              <w:br w:type="textWrapping" w:clear="all"/>
              <w:t xml:space="preserve">3、班牌、课程表、卫生、劳动等表格；</w:t>
              <w:br w:type="textWrapping" w:clear="all"/>
              <w:t xml:space="preserve">4、5mm亚克力四角镜钉安装，八礼四仪等；</w:t>
              <w:br w:type="textWrapping" w:clear="all"/>
              <w:t xml:space="preserve">5、A4插卡；                                                          6、PVC+亚克力uv安装。</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办公椅</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1、参考尺寸：580*650*990mm±10mm；</w:t>
              <w:br w:type="textWrapping" w:clear="all"/>
              <w:t xml:space="preserve">2、材质：仿皮/电镀钢架；</w:t>
              <w:br w:type="textWrapping" w:clear="all"/>
              <w:t xml:space="preserve">3、工艺：采用直径≥25mm，</w:t>
            </w:r>
            <w:r>
              <w:rPr>
                <w:rFonts w:hint="eastAsia" w:ascii="宋体" w:hAnsi="宋体" w:cs="宋体"/>
                <w:color w:val="000000"/>
                <w:sz w:val="20"/>
                <w:szCs w:val="20"/>
                <w:lang w:bidi="ar"/>
              </w:rPr>
              <w:t xml:space="preserve">管厚≥1.5mm电镀弓形脚，配塑料脚垫；坐垫采用40#高密海绵，厚度≥40mm，面层为仿皮材质。</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行政柜</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1、参考尺寸：长900mm*深400mm*高2000mm±10mm；</w:t>
              <w:br w:type="textWrapping" w:clear="all"/>
              <w:t xml:space="preserve">2、材质工艺：基材采用≥18mm厚E0级实木多层板，采用优质高温热熔胶封边，优质三合一连接件；优质五金铰链，达国家标准。</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短跳绳</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1、规格：绳子长240cm~280cm；                               </w:t>
              <w:br w:type="textWrapping" w:clear="all"/>
              <w:t xml:space="preserve">2、材质;钢丝绳，可调节。</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气排球</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1、气排球重量：120-130g圆周：720-740mm；</w:t>
              <w:br w:type="textWrapping" w:clear="all"/>
              <w:t xml:space="preserve">2、材质: EVA材质；</w:t>
              <w:br w:type="textWrapping" w:clear="all"/>
              <w:t xml:space="preserve">3、包 装：一箱12个。</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实心球-1</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13"/>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规格:2kg；</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2、材质：橡胶。</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跨栏架-2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14"/>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规格：50cm；</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材质： ABS。</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足球门1</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1、规格：7.26*3.0M 移动式钢制.直径75mm钢管主材；</w:t>
              <w:br w:type="textWrapping" w:clear="all"/>
              <w:t xml:space="preserve">2、喷塑；网另配。所有表面经抛光、酸洗、磷化等初级处理后在自动喷涂线上采用纯聚酯粉末喷涂完成最后表面处理，涂层厚度70—80um,硬度</w:t>
            </w:r>
            <w:r>
              <w:rPr>
                <w:rFonts w:hint="eastAsia" w:ascii="宋体" w:hAnsi="宋体" w:cs="宋体"/>
                <w:color w:val="000000"/>
                <w:sz w:val="20"/>
                <w:szCs w:val="20"/>
                <w:lang w:bidi="ar"/>
              </w:rPr>
              <w:t xml:space="preserve">达铅笔3H+能适合能适合潮湿和酸雨环境方不含毒元素；                                                   3、产品材料规格均为裸钢（管）厚度。</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足球门2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1、规格：5.0*3.0M 移动式钢制.直径75mm钢管主材；</w:t>
              <w:br w:type="textWrapping" w:clear="all"/>
              <w:t xml:space="preserve">2、喷塑；网另配。所有表面经抛光、酸洗、磷化等初级处理后在自动喷涂线上采用纯聚酯粉末</w:t>
            </w:r>
            <w:r>
              <w:rPr>
                <w:rFonts w:hint="eastAsia" w:ascii="宋体" w:hAnsi="宋体" w:cs="宋体"/>
                <w:color w:val="000000"/>
                <w:sz w:val="20"/>
                <w:szCs w:val="20"/>
                <w:lang w:bidi="ar"/>
              </w:rPr>
              <w:t xml:space="preserve">喷涂完成最后表面处理，涂层厚度70—80um,硬度达铅笔3H+，能适合能适合潮湿和酸雨环境方不含毒元素；</w:t>
              <w:br w:type="textWrapping" w:clear="all"/>
              <w:t xml:space="preserve">3、产品材料规格均为裸钢（管）厚度。</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货物架</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1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规格：长200mm*宽40mm*高200mm；</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2、材质：立柱材质 冷轧钢板（1.5mm厚），层板材质 0.8mm厚钢板，单层承重 100 - 200 kg。</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足球网-1</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16"/>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规格：十一人制；</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2、材质：腊线。</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足球网-2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w:t>
            </w:r>
            <w:r>
              <w:rPr>
                <w:rFonts w:hint="eastAsia" w:ascii="宋体" w:hAnsi="宋体" w:cs="宋体"/>
                <w:color w:val="000000"/>
                <w:sz w:val="20"/>
                <w:szCs w:val="20"/>
                <w:lang w:bidi="ar"/>
              </w:rPr>
              <w:t xml:space="preserve">求：</w:t>
            </w:r>
            <w:r/>
          </w:p>
          <w:p>
            <w:pPr>
              <w:pStyle w:val="769"/>
              <w:numPr>
                <w:ilvl w:val="0"/>
                <w:numId w:val="17"/>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规格：七人制；</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2、材质：腊线。</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礼堂椅</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1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规格尺寸：550W*660D*950H，标准中心距550mm，可定制范围540mm-580mm，背高950mm，座高450mm，座</w:t>
            </w:r>
            <w:r>
              <w:rPr>
                <w:rFonts w:hint="eastAsia" w:ascii="宋体" w:hAnsi="宋体" w:cs="宋体"/>
                <w:color w:val="000000"/>
                <w:sz w:val="20"/>
                <w:szCs w:val="20"/>
                <w:lang w:bidi="ar"/>
              </w:rPr>
              <w:t xml:space="preserve">椅深度不大于480mm，总深度不大于620mm；</w:t>
              <w:br w:type="textWrapping" w:clear="all"/>
              <w:t xml:space="preserve">2、背外板：基材采用木皮贴面，背外板规格：</w:t>
            </w:r>
            <w:r>
              <w:rPr>
                <w:rFonts w:hint="eastAsia" w:ascii="宋体" w:hAnsi="宋体" w:cs="宋体"/>
                <w:color w:val="000000"/>
                <w:sz w:val="20"/>
                <w:szCs w:val="20"/>
                <w:lang w:bidi="ar"/>
              </w:rPr>
              <w:t xml:space="preserve">高690mm × 宽490mm × 厚15mm，瓦型弧度R1200mm；</w:t>
              <w:br/>
              <w:t xml:space="preserve">3、背海绵：外形根据人机工程学人体曲线设计，采用高密度聚氨脂定型海棉，外覆麻绒面料，表观密度为40±5Kg/m³，背海棉尺寸规格：背海棉尺寸为590mm*490mm*110mm。座海绵底部应有与座板匹配的凹槽或定位凸台，边缘厚度≥30mm，避免应力集中；        </w:t>
              <w:br/>
              <w:t xml:space="preserve">4、扶手盖：木实木扶手盖，经数控锣机锣型，表面采用五底三面工艺，喷环保聚氨酯油漆，尺寸为370mm*50mm*30mm；</w:t>
              <w:br/>
              <w:t xml:space="preserve">5、座海绵：外形根据人体工程学人体曲线设计，</w:t>
            </w:r>
            <w:r>
              <w:rPr>
                <w:rFonts w:hint="eastAsia" w:ascii="宋体" w:hAnsi="宋体" w:cs="宋体"/>
                <w:color w:val="000000"/>
                <w:sz w:val="20"/>
                <w:szCs w:val="20"/>
                <w:lang w:bidi="ar"/>
              </w:rPr>
              <w:t xml:space="preserve">采用高密度聚氨脂定型海棉，外覆麻绒面料，使坐感更加舒适，表观密度为55±5Kg /m³，座海棉尺寸规格：海棉长度为470mm*460mm*100mm；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6、阻燃性：所有海绵、织物、木皮材料均需符合GB 20286-2006中‘阻燃1级’要求，并</w:t>
            </w:r>
            <w:r>
              <w:rPr>
                <w:rFonts w:hint="eastAsia" w:ascii="宋体" w:hAnsi="宋体" w:cs="宋体"/>
                <w:color w:val="000000"/>
                <w:sz w:val="20"/>
                <w:szCs w:val="20"/>
                <w:lang w:bidi="ar"/>
              </w:rPr>
              <w:t xml:space="preserve">提供第三方检测报告；</w:t>
              <w:br w:type="textWrapping" w:clear="all"/>
              <w:t xml:space="preserve">7、回复装置：座椅的回复采用弹簧加阻尼自动回位系统，回复装置应置于坚固的金属座框内，座框尺寸需与座椅整体结构匹配，保证动作顺畅。回复装置经≥1</w:t>
            </w:r>
            <w:r>
              <w:rPr>
                <w:rFonts w:hint="eastAsia" w:ascii="宋体" w:hAnsi="宋体" w:cs="宋体"/>
                <w:color w:val="000000"/>
                <w:sz w:val="20"/>
                <w:szCs w:val="20"/>
                <w:lang w:bidi="ar"/>
              </w:rPr>
              <w:t xml:space="preserve">0万次疲劳测试后，回位时间≤3秒，回位撞击声压级≤35dB(A)，无永久变形；       </w:t>
            </w:r>
            <w:r>
              <w:rPr>
                <w:rFonts w:hint="eastAsia" w:ascii="宋体" w:hAnsi="宋体" w:cs="宋体"/>
                <w:color w:val="000000"/>
                <w:sz w:val="20"/>
                <w:szCs w:val="20"/>
                <w:lang w:bidi="ar"/>
              </w:rPr>
              <w:t xml:space="preserve">            </w:t>
              <w:br/>
              <w:t xml:space="preserve">8、座外板：基材采用木皮贴面，座板规格：尺寸为430 mm*430mm*15mm，座板上需留吸音孔；</w:t>
              <w:br/>
              <w:t xml:space="preserve">9、扶手架：主体采用铝锭压铸铝经模具一体压铸成型，站脚底部设计为宝塔状态，接触面大，往上依次递减，规格尺寸599mm*370mm65mm。壁厚为4mm，脚底板尺寸为299mm*65mm，扶手架高600mm，前后固定孔距260mm。铝合金主体站脚净重2.19kg，内部使用多条加强筋稳定整体结构，分体式设计，厚度为4mm，每椅固定螺栓不少于4颗（M8膨胀螺栓）。所有五金件表面经除锈、酸</w:t>
            </w:r>
            <w:r>
              <w:rPr>
                <w:rFonts w:hint="eastAsia" w:ascii="宋体" w:hAnsi="宋体" w:cs="宋体"/>
                <w:color w:val="000000"/>
                <w:sz w:val="20"/>
                <w:szCs w:val="20"/>
                <w:lang w:bidi="ar"/>
              </w:rPr>
              <w:t xml:space="preserve">洗、磷化、静电喷涂处理。</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折叠条桌</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1、材质：台面板采用MFC 环保双面板饰面，甲醛释放量符合国家E1级（或ENF级）标准，具有防火、防刮、耐磨等特点的，厚度 25mm，封边采用≤2.0mm 厚 Pvc 封边。台面板颜色、规格可以根据实际需要多选定做；</w:t>
              <w:br w:type="textWrapping" w:clear="all"/>
              <w:t xml:space="preserve">2、.钢制脚架：采用冷轧钢管，厚度 1.5MM，表面处理，进行磷化处理，防腐，</w:t>
            </w:r>
            <w:r>
              <w:rPr>
                <w:rFonts w:hint="eastAsia" w:ascii="宋体" w:hAnsi="宋体" w:cs="宋体"/>
                <w:color w:val="000000"/>
                <w:sz w:val="20"/>
                <w:szCs w:val="20"/>
                <w:lang w:bidi="ar"/>
              </w:rPr>
              <w:t xml:space="preserve"> 防锈处理，最后再经 220 度高温静电喷涂处理；</w:t>
              <w:br w:type="textWrapping" w:clear="all"/>
              <w:t xml:space="preserve">3、连接杆</w:t>
            </w:r>
            <w:r>
              <w:rPr>
                <w:rFonts w:hint="eastAsia" w:ascii="宋体" w:hAnsi="宋体" w:cs="宋体"/>
                <w:color w:val="000000"/>
                <w:sz w:val="20"/>
                <w:szCs w:val="20"/>
                <w:lang w:bidi="ar"/>
              </w:rPr>
              <w:t xml:space="preserve">：采用圆形冷轧钢管，厚度 1.2mm。表面处理，进行磷化处理，防腐，防锈处理，最后再经 220 度高温静电喷涂处理，有足够承受力；</w:t>
              <w:br w:type="textWrapping" w:clear="all"/>
              <w:t xml:space="preserve">4、二层书网管：使用 0.8MM 圆管冷轧管，方便盛放书本，表面采用高温防锈静电喷涂处理；</w:t>
              <w:br w:type="textWrapping" w:clear="all"/>
              <w:t xml:space="preserve">5、脚轮：采用 2.5 英寸 PU 材质，耐磨性好，静音效果好，带刹车装置；</w:t>
              <w:br w:type="textWrapping" w:clear="all"/>
              <w:t xml:space="preserve">6、外观设计:采用人体工程理念及个性化需求，整件产品拼接好，接缝整齐。桌子两侧设置旋钮开关，任何一侧均可扭动折叠，大方实用，节约空间结构稳定，根据实际需要，可拼接长方形、正方形等各种各样的形状。</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55寸液晶拼接显示单元</w:t>
            </w:r>
            <w:r/>
          </w:p>
        </w:tc>
        <w:tc>
          <w:tcPr>
            <w:tcW w:w="7053" w:type="dxa"/>
            <w:vAlign w:val="top"/>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1、采用面板物理拼缝3.5mm，单屏清晰度1080P。亮度500cd/㎡，高亮度,对比度3500：1，2K分辨率，支持7x24x365天开机；</w:t>
              <w:br w:type="textWrapping" w:clear="all"/>
              <w:t xml:space="preserve">2、单屏外观尺寸：1214mm*684mm*71mm,画面比率16：9，共16块，竖向4块×屏横向4块拼接，整体净画面尺寸高度2737mm×宽度4854mm；</w:t>
              <w:br w:type="textWrapping" w:clear="all"/>
              <w:t xml:space="preserve">3、全嵌入式数字处理单元，只作为显示单元，由外置处理器处理；</w:t>
              <w:br w:type="textWrapping" w:clear="all"/>
              <w:t xml:space="preserve">4、单屏重量≤30kg；</w:t>
              <w:br w:type="textWrapping" w:clear="all"/>
              <w:t xml:space="preserve">5、智能温控散热系统，支持温度监测与风扇自动调速；</w:t>
              <w:br w:type="textWrapping" w:clear="all"/>
              <w:t xml:space="preserve">6、LED直下式背光源，典型功耗</w:t>
            </w:r>
            <w:r>
              <w:rPr>
                <w:rFonts w:hint="eastAsia" w:ascii="宋体" w:hAnsi="宋体" w:cs="宋体"/>
                <w:color w:val="000000"/>
                <w:sz w:val="20"/>
                <w:szCs w:val="20"/>
                <w:lang w:bidi="ar"/>
              </w:rPr>
              <w:t xml:space="preserve">≤170W，平均无故障时间（MTBF）≥60000小时。</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拼接屏拼接支架</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1、拼接屏支架：采用 ≥40×40×2.5mm 热镀锌方管焊接成整体框架，表面防锈处理。安装方式为液压前维护式，单个屏体可独立推出，方便维护。支架整体承重不低于 500kg，并提供结构计算书；</w:t>
              <w:br w:type="textWrapping" w:clear="all"/>
              <w:t xml:space="preserve">2、65寸壁挂广告机吊架：承重≥65kg，伸缩范围 1.5m</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2.75m（水平伸出墙面距离），可多角度调节。需提供安装位置图，确保与拼接屏无空间冲突。</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拼接屏辅材</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19"/>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包含全部所需电源线（RVV 3×1.5mm²）、高品质HDMI 2.0线缆（长度根据实际布局）、控制网线、接线端子、知名品牌（不低于施耐德、正泰同档次品牌） 空气开关等；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2、（仅在超长距离传输时需要） 配置16套HDMI网线延长器，支持4K@30Hz，传输距离≥30米；</w:t>
              <w:br w:type="textWrapping" w:clear="all"/>
              <w:t xml:space="preserve">3、墙面收边：采用 1.0mm厚拉丝黑钛不锈钢，宽度根据整体装饰效果定制（建议10cm左右），用于覆盖拼接屏四周与墙体的缝隙。</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外置拼接处理器</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1、输入：≥4路（包含2路DP/HDMI 4K@60Hz，2</w:t>
            </w:r>
            <w:r>
              <w:rPr>
                <w:rFonts w:hint="eastAsia" w:ascii="宋体" w:hAnsi="宋体" w:cs="宋体"/>
                <w:color w:val="000000"/>
                <w:sz w:val="20"/>
                <w:szCs w:val="20"/>
                <w:lang w:bidi="ar"/>
              </w:rPr>
              <w:t xml:space="preserve">路HDMI 1080P@60Hz）；</w:t>
              <w:br w:type="textWrapping" w:clear="all"/>
              <w:t xml:space="preserve">2、输出：16路HDMI 1080P@60Hz，直接驱动16块拼接屏。</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拼接屏控制专用主机</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1、CPU</w:t>
            </w:r>
            <w:r>
              <w:rPr>
                <w:rFonts w:hint="eastAsia" w:ascii="宋体" w:hAnsi="宋体" w:cs="宋体"/>
                <w:color w:val="000000"/>
                <w:sz w:val="20"/>
                <w:szCs w:val="20"/>
                <w:lang w:bidi="ar"/>
              </w:rPr>
              <w:t xml:space="preserve">≥8核心16线程，缓存≥16MB，</w:t>
            </w:r>
            <w:r>
              <w:rPr>
                <w:rFonts w:ascii="宋体" w:hAnsi="宋体" w:cs="宋体"/>
                <w:color w:val="000000"/>
                <w:sz w:val="20"/>
                <w:szCs w:val="20"/>
                <w:lang w:bidi="ar"/>
              </w:rPr>
              <w:t xml:space="preserve">基础功耗</w:t>
            </w:r>
            <w:r>
              <w:rPr>
                <w:rFonts w:hint="eastAsia" w:ascii="宋体" w:hAnsi="宋体" w:cs="宋体"/>
                <w:color w:val="000000"/>
                <w:sz w:val="20"/>
                <w:szCs w:val="20"/>
                <w:lang w:bidi="ar"/>
              </w:rPr>
              <w:t xml:space="preserve">≥</w:t>
            </w:r>
            <w:r>
              <w:rPr>
                <w:rFonts w:ascii="宋体" w:hAnsi="宋体" w:cs="宋体"/>
                <w:color w:val="000000"/>
                <w:sz w:val="20"/>
                <w:szCs w:val="20"/>
                <w:lang w:bidi="ar"/>
              </w:rPr>
              <w:t xml:space="preserve">65W</w:t>
            </w:r>
            <w:r>
              <w:rPr>
                <w:rFonts w:hint="eastAsia" w:ascii="宋体" w:hAnsi="宋体" w:cs="宋体"/>
                <w:color w:val="000000"/>
                <w:sz w:val="20"/>
                <w:szCs w:val="20"/>
                <w:lang w:bidi="ar"/>
              </w:rPr>
              <w:t xml:space="preserve">；</w:t>
              <w:br w:type="textWrapping" w:clear="all"/>
              <w:t xml:space="preserve">2、内存</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16GB DDR4；</w:t>
              <w:br w:type="textWrapping" w:clear="all"/>
              <w:t xml:space="preserve">3、硬盘</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512GB NVMe SSD；</w:t>
              <w:br w:type="textWrapping" w:clear="all"/>
              <w:t xml:space="preserve">4、显卡</w:t>
            </w:r>
            <w:r>
              <w:rPr>
                <w:rFonts w:ascii="宋体" w:hAnsi="宋体" w:cs="宋体"/>
                <w:color w:val="000000"/>
                <w:sz w:val="20"/>
                <w:szCs w:val="20"/>
                <w:lang w:bidi="ar"/>
              </w:rPr>
              <w:t xml:space="preserve">CUDA 核心</w:t>
            </w:r>
            <w:r>
              <w:rPr>
                <w:rFonts w:hint="eastAsia" w:ascii="宋体" w:hAnsi="宋体" w:cs="宋体"/>
                <w:color w:val="000000"/>
                <w:sz w:val="20"/>
                <w:szCs w:val="20"/>
                <w:lang w:bidi="ar"/>
              </w:rPr>
              <w:t xml:space="preserve">≥</w:t>
            </w:r>
            <w:r>
              <w:rPr>
                <w:rFonts w:ascii="宋体" w:hAnsi="宋体" w:cs="宋体"/>
                <w:color w:val="000000"/>
                <w:sz w:val="20"/>
                <w:szCs w:val="20"/>
                <w:lang w:bidi="ar"/>
              </w:rPr>
              <w:t xml:space="preserve">3</w:t>
            </w:r>
            <w:r>
              <w:rPr>
                <w:rFonts w:hint="eastAsia" w:ascii="宋体" w:hAnsi="宋体" w:cs="宋体"/>
                <w:color w:val="000000"/>
                <w:sz w:val="20"/>
                <w:szCs w:val="20"/>
                <w:lang w:bidi="ar"/>
              </w:rPr>
              <w:t xml:space="preserve">200</w:t>
            </w:r>
            <w:r>
              <w:rPr>
                <w:rFonts w:ascii="宋体" w:hAnsi="宋体" w:cs="宋体"/>
                <w:color w:val="000000"/>
                <w:sz w:val="20"/>
                <w:szCs w:val="20"/>
                <w:lang w:bidi="ar"/>
              </w:rPr>
              <w:t xml:space="preserve">个，</w:t>
            </w:r>
            <w:r>
              <w:rPr>
                <w:rFonts w:hint="eastAsia" w:ascii="宋体" w:hAnsi="宋体" w:cs="宋体"/>
                <w:color w:val="000000"/>
                <w:sz w:val="20"/>
                <w:szCs w:val="20"/>
                <w:lang w:bidi="ar"/>
              </w:rPr>
              <w:t xml:space="preserve">显存≥</w:t>
            </w:r>
            <w:r>
              <w:rPr>
                <w:rFonts w:hint="eastAsia" w:ascii="宋体" w:hAnsi="宋体" w:cs="宋体"/>
                <w:color w:val="000000"/>
                <w:sz w:val="20"/>
                <w:szCs w:val="20"/>
                <w:lang w:bidi="ar"/>
              </w:rPr>
              <w:t xml:space="preserve">12GB，</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4个输出口；</w:t>
              <w:br w:type="textWrapping" w:clear="all"/>
              <w:t xml:space="preserve">5、电源</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额定500W；</w:t>
              <w:br w:type="textWrapping" w:clear="all"/>
              <w:t xml:space="preserve">6、显示器</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21.5英寸；</w:t>
              <w:br w:type="textWrapping" w:clear="all"/>
              <w:t xml:space="preserve">7、</w:t>
            </w:r>
            <w:r>
              <w:rPr>
                <w:rFonts w:hint="eastAsia" w:ascii="宋体" w:hAnsi="宋体" w:cs="宋体"/>
                <w:color w:val="000000"/>
                <w:sz w:val="20"/>
                <w:szCs w:val="20"/>
                <w:lang w:bidi="ar"/>
              </w:rPr>
              <w:t xml:space="preserve">配套正版操作系统和键鼠</w:t>
            </w:r>
            <w:r>
              <w:rPr>
                <w:rFonts w:hint="eastAsia" w:ascii="宋体" w:hAnsi="宋体" w:cs="宋体"/>
                <w:color w:val="000000"/>
                <w:sz w:val="20"/>
                <w:szCs w:val="20"/>
                <w:lang w:bidi="ar"/>
              </w:rPr>
              <w:t xml:space="preserve">。</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65寸壁挂广告机</w:t>
            </w:r>
            <w:r/>
          </w:p>
        </w:tc>
        <w:tc>
          <w:tcPr>
            <w:tcW w:w="7053" w:type="dxa"/>
            <w:vAlign w:val="top"/>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1、屏体：65英寸，4K (3840×2160)，≥350cd/m²；</w:t>
              <w:br w:type="textWrapping" w:clear="all"/>
              <w:t xml:space="preserve">2、配置：CPU瑞芯微RK3288或性能相当，内存2GB，存储1</w:t>
            </w:r>
            <w:r>
              <w:rPr>
                <w:rFonts w:hint="eastAsia" w:ascii="宋体" w:hAnsi="宋体" w:cs="宋体"/>
                <w:color w:val="000000"/>
                <w:sz w:val="20"/>
                <w:szCs w:val="20"/>
                <w:lang w:bidi="ar"/>
              </w:rPr>
              <w:t xml:space="preserve">6GB；</w:t>
              <w:br/>
              <w:t xml:space="preserve">3、内置存储器：16G。最大EMMC32G(可选)；</w:t>
              <w:br/>
              <w:t xml:space="preserve">4、内置：ROM 2KB EEPROM；</w:t>
              <w:br/>
              <w:t xml:space="preserve">5、解码分辨率：最高支持 3840*2160；</w:t>
              <w:br/>
              <w:t xml:space="preserve">6、操作系统：Android 11 或更高版本；</w:t>
              <w:br/>
              <w:t xml:space="preserve">7、播放模式： 支持循环、定时、插播等多种播放模式；</w:t>
              <w:br/>
              <w:t xml:space="preserve">8、网络支持： 4G、以太网、支持 WiFi/蓝牙 4.0、无线外设展；</w:t>
              <w:br/>
              <w:t xml:space="preserve">9、视频播放： 支持 AVI（H.264、DIVX、DIVX、XVID）, rm，rmvb， MKV（H.264、DIVX、视频播放DIVX、XVID），WMV，MOV，MP4（.</w:t>
            </w:r>
            <w:r>
              <w:rPr>
                <w:rFonts w:hint="eastAsia" w:ascii="宋体" w:hAnsi="宋体" w:cs="宋体"/>
                <w:color w:val="000000"/>
                <w:sz w:val="20"/>
                <w:szCs w:val="20"/>
                <w:lang w:bidi="ar"/>
              </w:rPr>
              <w:t xml:space="preserve">H.264、MPEG、DIVX、XVID），DAT（VCD格式），VOB（DVD 格式），PMP,MPEG，.MPG,， FLV（H.263，H.264），ASF ，TS， TP，3GP，MPG 等 30 种格式以上。</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手持无线话筒（一拖四）</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1、音频通信方式：超高频无线电波；</w:t>
              <w:br w:type="textWrapping" w:clear="all"/>
              <w:t xml:space="preserve">2、音频频率范围：610M</w:t>
            </w:r>
            <w:r>
              <w:rPr>
                <w:rFonts w:hint="eastAsia" w:ascii="宋体" w:hAnsi="宋体" w:cs="宋体"/>
                <w:color w:val="000000"/>
                <w:sz w:val="20"/>
                <w:szCs w:val="20"/>
                <w:lang w:bidi="ar"/>
              </w:rPr>
              <w:t xml:space="preserve">Hz</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664.75MHz；</w:t>
              <w:br w:type="textWrapping" w:clear="all"/>
              <w:t xml:space="preserve">3、音频信道数：≥32路；</w:t>
              <w:br w:type="textWrapping" w:clear="all"/>
              <w:t xml:space="preserve">4、控制通信方式：无线433MHz频段；</w:t>
              <w:br w:type="textWrapping" w:clear="all"/>
              <w:t xml:space="preserve">5、 控制频率范围：422.4MHz - 439.4MHz；</w:t>
              <w:br w:type="textWrapping" w:clear="all"/>
              <w:t xml:space="preserve">6、 控制信道数：16路；</w:t>
              <w:br w:type="textWrapping" w:clear="all"/>
              <w:t xml:space="preserve">7、 接收灵敏度：-100dBm；</w:t>
              <w:br w:type="textWrapping" w:clear="all"/>
              <w:t xml:space="preserve">8、信号覆盖范围：理想环境半径60米；</w:t>
              <w:br w:type="textWrapping" w:clear="all"/>
              <w:t xml:space="preserve">9、音频频率响应：50Hz-15KHz；</w:t>
              <w:br w:type="textWrapping" w:clear="all"/>
              <w:t xml:space="preserve">10、 音频总增益：最大输出电平 +10dBu；</w:t>
              <w:br w:type="textWrapping" w:clear="all"/>
              <w:t xml:space="preserve">11、 信噪比：&gt;85dB；</w:t>
              <w:br w:type="textWrapping" w:clear="all"/>
              <w:t xml:space="preserve">12、音频总谐波失真：≦0.8%；</w:t>
              <w:br w:type="textWrapping" w:clear="all"/>
              <w:t xml:space="preserve">13、消耗功率：</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5W；</w:t>
              <w:br w:type="textWrapping" w:clear="all"/>
              <w:t xml:space="preserve">14、 电源输入：DC12V-15V，≧1A；</w:t>
              <w:br w:type="textWrapping" w:clear="all"/>
              <w:t xml:space="preserve">15、主控机尺寸（W×H×D）：485×100。</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无线话筒（一拖二）</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1、指示灯：绿色LED开启话筒咪管灯环显示；</w:t>
              <w:br w:type="textWrapping" w:clear="all"/>
              <w:t xml:space="preserve">2、供电：直流3.7V-4.5V；</w:t>
              <w:br w:type="textWrapping" w:clear="all"/>
              <w:t xml:space="preserve">3、消耗功率：开启话筒状态≦630mW；</w:t>
              <w:br w:type="textWrapping" w:clear="all"/>
              <w:t xml:space="preserve">4、麦克风类型：超心形指向性驻极体；</w:t>
              <w:br w:type="textWrapping" w:clear="all"/>
              <w:t xml:space="preserve">5、开关：电子轻触开关；</w:t>
              <w:br w:type="textWrapping" w:clear="all"/>
              <w:t xml:space="preserve">6、音频通信方式：超高频无线电波；</w:t>
              <w:br w:type="textWrapping" w:clear="all"/>
              <w:t xml:space="preserve">7、音频频率范围：610MHz - 664.75MHz，音频信道数：≥32信道，控制通信方式：无线433MHz频段；</w:t>
              <w:br w:type="textWrapping" w:clear="all"/>
              <w:t xml:space="preserve">8、控制频率范围：422.4MHz - 439.4MHz，控制信道数：16路；</w:t>
              <w:br w:type="textWrapping" w:clear="all"/>
              <w:t xml:space="preserve">9、接收灵</w:t>
            </w:r>
            <w:r>
              <w:rPr>
                <w:rFonts w:hint="eastAsia" w:ascii="宋体" w:hAnsi="宋体" w:cs="宋体"/>
                <w:color w:val="000000"/>
                <w:sz w:val="20"/>
                <w:szCs w:val="20"/>
                <w:lang w:bidi="ar"/>
              </w:rPr>
              <w:t xml:space="preserve">敏度：-100dBm；</w:t>
              <w:br w:type="textWrapping" w:clear="all"/>
              <w:t xml:space="preserve">10、咪管长度：245mm；</w:t>
              <w:br w:type="textWrapping" w:clear="all"/>
              <w:t xml:space="preserve">11、底座规格（宽×深×高）：155mm×105mm×60mm。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天线分配放大器</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1、天线分配系统由一台天线分配器、2个天线组成，可供多台接收机使用，让接收信号获得默较佳的噪讯比，增加接收距离及稳定性，提供4组电源输入给接收机使用，方便安装工程；</w:t>
              <w:br w:type="textWrapping" w:clear="all"/>
              <w:t xml:space="preserve">2、适用频带范围：500-900MHz；</w:t>
              <w:br w:type="textWrapping" w:clear="all"/>
              <w:t xml:space="preserve">3、输出/入增益： 0dB(频段中心）；</w:t>
              <w:br w:type="textWrapping" w:clear="all"/>
              <w:t xml:space="preserve">4、输出端绝缘度：20dB；</w:t>
              <w:br w:type="textWrapping" w:clear="all"/>
              <w:t xml:space="preserve">5、输出/入阻抗： 50欧姆；</w:t>
              <w:br w:type="textWrapping" w:clear="all"/>
              <w:t xml:space="preserve">6、增益：≥13dB；</w:t>
              <w:br w:type="textWrapping" w:clear="all"/>
              <w:t xml:space="preserve">7、频宽：400MHz；</w:t>
              <w:br w:type="textWrapping" w:clear="all"/>
              <w:t xml:space="preserve">8、接头：BNC插座；</w:t>
              <w:br w:type="textWrapping" w:clear="all"/>
              <w:t xml:space="preserve">9、电源供应：DC12-1</w:t>
            </w:r>
            <w:r>
              <w:rPr>
                <w:rFonts w:hint="eastAsia" w:ascii="宋体" w:hAnsi="宋体" w:cs="宋体"/>
                <w:color w:val="000000"/>
                <w:sz w:val="20"/>
                <w:szCs w:val="20"/>
                <w:lang w:bidi="ar"/>
              </w:rPr>
              <w:t xml:space="preserve">8V；</w:t>
              <w:br w:type="textWrapping" w:clear="all"/>
              <w:t xml:space="preserve">10、消耗电流：170mA。</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天线支架及延长线缆</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1、专用天线支架、信号延长线缆及配套固定接线配件，信号稳定、抗干扰强，适配无线话筒系统使用。</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12路带编组调音台</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1、8路话筒/线路两用输入，4路立体声输入；</w:t>
              <w:br w:type="textWrapping" w:clear="all"/>
              <w:t xml:space="preserve">2、高品质.低噪音的平衡式话筒输入；</w:t>
              <w:br w:type="textWrapping" w:clear="all"/>
              <w:t xml:space="preserve">3、内置USB，可连接电脑进行播放；</w:t>
              <w:br w:type="textWrapping" w:clear="all"/>
              <w:t xml:space="preserve">4、支持USB输入，可连接U盘播放音频文件</w:t>
            </w:r>
            <w:r>
              <w:rPr>
                <w:rFonts w:hint="eastAsia" w:ascii="宋体" w:hAnsi="宋体" w:cs="宋体"/>
                <w:color w:val="000000"/>
                <w:sz w:val="20"/>
                <w:szCs w:val="20"/>
                <w:lang w:bidi="ar"/>
              </w:rPr>
              <w:t xml:space="preserve">；</w:t>
              <w:br w:type="textWrapping" w:clear="all"/>
              <w:t xml:space="preserve">5、支持蓝牙无线连接，可播放手机音频文件；</w:t>
              <w:br w:type="textWrapping" w:clear="all"/>
              <w:t xml:space="preserve">6、内置专业D</w:t>
            </w:r>
            <w:r>
              <w:rPr>
                <w:rFonts w:hint="eastAsia" w:ascii="宋体" w:hAnsi="宋体" w:cs="宋体"/>
                <w:color w:val="000000"/>
                <w:sz w:val="20"/>
                <w:szCs w:val="20"/>
                <w:lang w:bidi="ar"/>
              </w:rPr>
              <w:t xml:space="preserve">SP数字效果器，具有双99种DSP效果；</w:t>
              <w:br w:type="textWrapping" w:clear="all"/>
              <w:t xml:space="preserve">7、2路主输出，4路编组输出，4路AUX输出；</w:t>
              <w:br w:type="textWrapping" w:clear="all"/>
              <w:t xml:space="preserve">8、输入通道个有四段均衡且带扫频功能；</w:t>
              <w:br w:type="textWrapping" w:clear="all"/>
              <w:t xml:space="preserve">9、分路带指示灯通道开关；</w:t>
              <w:br w:type="textWrapping" w:clear="all"/>
              <w:t xml:space="preserve">10、支持48V幻像供电；</w:t>
              <w:br w:type="textWrapping" w:clear="all"/>
              <w:t xml:space="preserve">11、主输出具有双七段图示均衡；</w:t>
              <w:br w:type="textWrapping" w:clear="all"/>
              <w:t xml:space="preserve">12、电路板采用双面SMT贴片技术，使性能稳定可靠；</w:t>
              <w:br w:type="textWrapping" w:clear="all"/>
              <w:t xml:space="preserve">13、高精度三色精确电平柱，准确显示输出电平；</w:t>
              <w:br w:type="textWrapping" w:clear="all"/>
              <w:t xml:space="preserve">14、60MM行程高精度推子。</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数字话筒处理</w:t>
            </w:r>
            <w:r>
              <w:rPr>
                <w:rFonts w:hint="eastAsia" w:ascii="宋体" w:hAnsi="宋体" w:cs="宋体"/>
                <w:color w:val="000000"/>
                <w:sz w:val="20"/>
                <w:szCs w:val="20"/>
                <w:lang w:bidi="ar"/>
              </w:rPr>
              <w:t xml:space="preserve">器</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1、2.0寸IPS显示屏，配合设置旋钮可设置抑制器各项参数功能 ；                         </w:t>
            </w:r>
            <w:r>
              <w:rPr>
                <w:rFonts w:hint="eastAsia" w:ascii="宋体" w:hAnsi="宋体" w:cs="宋体"/>
                <w:color w:val="000000"/>
                <w:sz w:val="20"/>
                <w:szCs w:val="20"/>
                <w:lang w:bidi="ar"/>
              </w:rPr>
              <w:t xml:space="preserve">                                                                                                                                       </w:t>
              <w:br/>
              <w:t xml:space="preserve">2、两路卡龙与6.35两用话筒输入接口，卡龙可选48V幻象供电开关；</w:t>
              <w:br/>
              <w:t xml:space="preserve">3、线路输入阻抗：20kΩ；</w:t>
              <w:br/>
              <w:t xml:space="preserve">4、两路卡龙、6.35mm输出接口，两路莲花输出接口；</w:t>
              <w:br/>
              <w:t xml:space="preserve">5、混音模式与立体声模式切换开关；</w:t>
              <w:br/>
              <w:t xml:space="preserve">6、线路输出阻抗：200Ω；</w:t>
              <w:br/>
              <w:t xml:space="preserve">7、抑制啸叫方式：</w:t>
            </w:r>
            <w:r>
              <w:rPr>
                <w:rFonts w:hint="eastAsia" w:ascii="宋体" w:hAnsi="宋体" w:cs="宋体"/>
                <w:color w:val="000000"/>
                <w:sz w:val="20"/>
                <w:szCs w:val="20"/>
                <w:lang w:bidi="ar"/>
              </w:rPr>
              <w:t xml:space="preserve">移频+自适应反馈抑制；</w:t>
              <w:br w:type="textWrapping" w:clear="all"/>
              <w:t xml:space="preserve">8、双通道，每通道可设1-50个频率自动搜寻反馈抑制点；</w:t>
              <w:br w:type="textWrapping" w:clear="all"/>
              <w:t xml:space="preserve">9、反馈抑制时间：≤0.4s @ 1KHz；</w:t>
              <w:br w:type="textWrapping" w:clear="all"/>
              <w:t xml:space="preserve">10、抑制深度：-10dB；</w:t>
              <w:br w:type="textWrapping" w:clear="all"/>
              <w:t xml:space="preserve">11、移频量：0-7Hz可设；</w:t>
              <w:br w:type="textWrapping" w:clear="all"/>
              <w:t xml:space="preserve">12、失真：&lt;0.1%@ 1KHz；</w:t>
              <w:br w:type="textWrapping" w:clear="all"/>
              <w:t xml:space="preserve">13、信噪比：&gt;90dB；</w:t>
              <w:br w:type="textWrapping" w:clear="all"/>
              <w:t xml:space="preserve">14、信号延迟：7ms；</w:t>
              <w:br w:type="textWrapping" w:clear="all"/>
              <w:t xml:space="preserve">15、采样率：48kHz；</w:t>
              <w:br w:type="textWrapping" w:clear="all"/>
              <w:t xml:space="preserve">16、 数字处理：采用32bit 450MHZ高速DSP；</w:t>
              <w:br w:type="textWrapping" w:clear="all"/>
              <w:t xml:space="preserve">17、 频率响应：20Hz-20kHz，可在此范围内设置高通、低通频率。</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专业功率放大器</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1、采用Class-D（D</w:t>
            </w:r>
            <w:r>
              <w:rPr>
                <w:rFonts w:hint="eastAsia" w:ascii="宋体" w:hAnsi="宋体" w:cs="宋体"/>
                <w:color w:val="000000"/>
                <w:sz w:val="20"/>
                <w:szCs w:val="20"/>
                <w:lang w:bidi="ar"/>
              </w:rPr>
              <w:t xml:space="preserve">类）数字功放技术，效率≥90%；</w:t>
              <w:br/>
              <w:t xml:space="preserve">2、输出功率（8Ω立体声）：≥400W × 2 （为音箱额定功率220W的1.5-2倍，确保驱动余量）；</w:t>
              <w:br/>
              <w:t xml:space="preserve">3、输出功率（4Ω立体声）：≥600W × 2；</w:t>
              <w:br/>
              <w:t xml:space="preserve">4、桥接功率（8Ω）：≥1200W ；                                                                                                                                              </w:t>
            </w:r>
            <w:r>
              <w:rPr>
                <w:rFonts w:hint="eastAsia" w:ascii="宋体" w:hAnsi="宋体" w:cs="宋体"/>
                <w:color w:val="000000"/>
                <w:sz w:val="20"/>
                <w:szCs w:val="20"/>
                <w:lang w:bidi="ar"/>
              </w:rPr>
              <w:t xml:space="preserve">              </w:t>
              <w:br w:type="textWrapping" w:clear="all"/>
              <w:t xml:space="preserve">5、1U机身高度，全铝合金面板，体积小，重量轻；</w:t>
              <w:br w:type="textWrapping" w:clear="all"/>
              <w:t xml:space="preserve">6、具有超强的抗干扰能力，声音解晰力高，还原能力强；</w:t>
              <w:br w:type="textWrapping" w:clear="all"/>
              <w:t xml:space="preserve">7、采用计算机模拟仿真设计，通道输入输出之间零干</w:t>
            </w:r>
            <w:r>
              <w:rPr>
                <w:rFonts w:hint="eastAsia" w:ascii="宋体" w:hAnsi="宋体" w:cs="宋体"/>
                <w:color w:val="000000"/>
                <w:sz w:val="20"/>
                <w:szCs w:val="20"/>
                <w:lang w:bidi="ar"/>
              </w:rPr>
              <w:t xml:space="preserve">扰；</w:t>
              <w:br/>
              <w:t xml:space="preserve">8、电源采用独立屏蔽方式，对信号的干扰减到最低，有更高的用电安全性；</w:t>
              <w:br/>
              <w:t xml:space="preserve">9、独特的在线负载阻值检测，支持检测分析系统温度以调整输出累积功率；.提供立体声、桥接、并联三种工作模式可选；</w:t>
              <w:br/>
              <w:t xml:space="preserve">10、前面板带有精确的音量旋钮控制，并具有保护、削峰、信号和电源指示灯；</w:t>
              <w:br/>
              <w:t xml:space="preserve">11配备延时启动系统，有效避免开机浪涌，保护音箱不受冲击而损坏；</w:t>
              <w:br/>
              <w:t xml:space="preserve">12、第五代散热架构，机器内部拥有从前到后的导风系统，风机会随机内的温度自动升高而加速排热；</w:t>
              <w:br/>
              <w:t xml:space="preserve">13、提供全功能保护，包括直流保护、过载保护、短路保护、过热保护、软启动、失真限幅输出等。</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专业音柱音箱</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1、低音单元：76mm（3"）圆锥外型喇叭8只；</w:t>
              <w:br w:type="textWrapping" w:clear="all"/>
              <w:t xml:space="preserve">2、高音单元：25mm（1"）丝膜喇叭*2；</w:t>
              <w:br w:type="textWrapping" w:clear="all"/>
              <w:t xml:space="preserve">3、频率响应：130Hz-20kHz；</w:t>
              <w:br w:type="textWrapping" w:clear="all"/>
              <w:t xml:space="preserve">4、额定功率：220W；</w:t>
              <w:br w:type="textWrapping" w:clear="all"/>
              <w:t xml:space="preserve">5、灵敏度：90dB（1W/m）；</w:t>
              <w:br w:type="textWrapping" w:clear="all"/>
              <w:t xml:space="preserve">6、声压级：113dB。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音箱壁挂支架</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1、音箱万向壁挂支架；</w:t>
            </w:r>
            <w:r>
              <w:rPr>
                <w:rFonts w:hint="eastAsia" w:ascii="宋体" w:hAnsi="宋体" w:cs="宋体"/>
                <w:color w:val="000000"/>
                <w:sz w:val="20"/>
                <w:szCs w:val="20"/>
                <w:lang w:bidi="ar"/>
              </w:rPr>
              <w:br w:type="textWrapping" w:clear="all"/>
              <w:t xml:space="preserve">2、承重:25kg；</w:t>
              <w:br w:type="textWrapping" w:clear="all"/>
              <w:t xml:space="preserve">3、水平调节范围180°；</w:t>
              <w:br w:type="textWrapping" w:clear="all"/>
              <w:t xml:space="preserve">4、垂直倾斜角度30°。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8路电源时序器</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1、最大总输出电流：16A，最大总功率：3500W（阻性负载）；</w:t>
              <w:br w:type="textWrapping" w:clear="all"/>
              <w:t xml:space="preserve">2、每路插座最大输出电流：10A；</w:t>
              <w:br w:type="textWrapping" w:clear="all"/>
              <w:t xml:space="preserve">3、输入电压：220V 50Hz，配置3×2.5mm²国标电源线；</w:t>
              <w:br w:type="textWrapping" w:clear="all"/>
              <w:t xml:space="preserve">4、控制方式：前面板启动/钥匙锁/RS232/DC24V触发；</w:t>
              <w:br w:type="textWrapping" w:clear="all"/>
              <w:t xml:space="preserve">5、每路接通/关闭延时时间：1.5秒。</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77</w:t>
            </w:r>
            <w:r/>
          </w:p>
        </w:tc>
        <w:tc>
          <w:tcPr>
            <w:tcW w:w="2727" w:type="dxa"/>
            <w:vAlign w:val="center"/>
            <w:textDirection w:val="lrTb"/>
            <w:noWrap w:val="false"/>
          </w:tcPr>
          <w:p>
            <w:pPr>
              <w:pStyle w:val="769"/>
              <w:jc w:val="center"/>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舞台灯</w:t>
            </w:r>
            <w:r>
              <w:rPr>
                <w:rFonts w:hint="eastAsia" w:ascii="宋体" w:hAnsi="宋体" w:cs="宋体"/>
                <w:b/>
                <w:bCs/>
                <w:color w:val="000000"/>
                <w:sz w:val="20"/>
                <w:szCs w:val="20"/>
                <w:lang w:bidi="ar"/>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1、输入电压：AC100-240V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2、额定功率：200W； 灯珠功率：数量432颗，色温系统：3200K/4000K/5600K可选；</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3、显色指数：Ra≥95；</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4、光源寿命：5万小时（每天使用10小时，可使用13年）；</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5、光学系统：100%线性调光绝无频闪无噪音；</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6、出光角度：35°/40°/60°可选；</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7、冷却系统：自然风冷散热；</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8、操作方式：数码显示管控制地址码；</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9、LED会议灯蓝光危害等级为RG0无危险,依据GB/T 20145-2006《灯和</w:t>
            </w:r>
            <w:r>
              <w:rPr>
                <w:rFonts w:hint="eastAsia" w:ascii="宋体" w:hAnsi="宋体" w:cs="宋体"/>
                <w:color w:val="000000"/>
                <w:sz w:val="20"/>
                <w:szCs w:val="20"/>
                <w:lang w:bidi="ar"/>
              </w:rPr>
              <w:t xml:space="preserve">灯系统的光生物安全性》及GB/Z 39942-2021进行评价，检测到的蓝光危害辐亮度≤2 W/(㎡ •sr) ，蓝光危害辐照度≤2 W/㎡ </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（投标文件中提供有效的第三方检测报告或</w:t>
            </w:r>
            <w:r>
              <w:rPr>
                <w:rFonts w:hint="eastAsia" w:ascii="宋体" w:hAnsi="宋体" w:cs="宋体"/>
                <w:color w:val="000000"/>
                <w:sz w:val="20"/>
                <w:szCs w:val="20"/>
                <w:lang w:bidi="ar"/>
              </w:rPr>
              <w:t xml:space="preserve">灯具</w:t>
            </w:r>
            <w:r>
              <w:rPr>
                <w:rFonts w:hint="eastAsia" w:ascii="宋体" w:hAnsi="宋体" w:cs="宋体"/>
                <w:color w:val="000000"/>
                <w:sz w:val="20"/>
                <w:szCs w:val="20"/>
                <w:lang w:bidi="ar"/>
              </w:rPr>
              <w:t xml:space="preserve">生产商的包括相关指标的</w:t>
            </w:r>
            <w:r>
              <w:rPr>
                <w:rFonts w:ascii="宋体" w:hAnsi="宋体" w:cs="宋体"/>
                <w:color w:val="000000"/>
                <w:sz w:val="20"/>
                <w:szCs w:val="20"/>
                <w:lang w:bidi="ar"/>
              </w:rPr>
              <w:t xml:space="preserve">产品质量证明书</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中号灯钩</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1、中号灯钩，材质为铝材或铝合金材料做成；</w:t>
              <w:br w:type="textWrapping" w:clear="all"/>
              <w:t xml:space="preserve">2、抗拉力强度≥ 260N/mm，适合管径28-62mm，承载重量50KG。</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保险绳</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1、规格：4*85CM；</w:t>
              <w:br w:type="textWrapping" w:clear="all"/>
              <w:t xml:space="preserve">2、采用材质为铝材或铝合金材料做成，抗拉力强度≥ 260N/mm。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12路电源直通箱</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1、输入电压：三相五线制AC380±10%，频率50HZ/60HZ±5%；</w:t>
              <w:br w:type="textWrapping" w:clear="all"/>
              <w:t xml:space="preserve">2、输入电流：150A犀牛插/压线端子式；两者可选；</w:t>
              <w:br w:type="textWrapping" w:clear="all"/>
              <w:t xml:space="preserve">3、显示系统：具备三相A.B.C直读式独立电压表显示，无需切换即可实时监测各项数据；</w:t>
              <w:br w:type="textWrapping" w:clear="all"/>
              <w:t xml:space="preserve">4、额定功率：12路×4KW;可适用于任何负载。输出接口：12路40A胶木插（2芯）；</w:t>
              <w:br w:type="textWrapping" w:clear="all"/>
              <w:t xml:space="preserve">5、可选配10A或32A（接地）；</w:t>
              <w:br w:type="textWrapping" w:clear="all"/>
              <w:t xml:space="preserve">6、单路控制：每路独立分空开C20A，具备过载，短路双重保护。</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专业机柜</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w:t>
            </w:r>
            <w:r>
              <w:rPr>
                <w:rFonts w:hint="eastAsia" w:ascii="宋体" w:hAnsi="宋体" w:cs="宋体"/>
                <w:color w:val="000000"/>
                <w:sz w:val="20"/>
                <w:szCs w:val="20"/>
                <w:lang w:bidi="ar"/>
              </w:rPr>
              <w:t xml:space="preserve">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1、标准机柜，600*600*2000mm；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音频线材</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1、含音频连接线、HDMI线、国标电源线、国标电源线及各类接线端子、连接件。</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灯光线材</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1、含灯光信号线、DMX控制线、电源线、接插件。</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84</w:t>
            </w:r>
            <w:r>
              <w:rPr>
                <w:rFonts w:hint="eastAsia" w:ascii="宋体" w:hAnsi="宋体" w:cs="宋体"/>
                <w:color w:val="000000"/>
                <w:sz w:val="20"/>
                <w:szCs w:val="20"/>
                <w:lang w:bidi="ar"/>
              </w:rPr>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灯光杆</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1、钢制定制灯光杆，现场焊接制作、防腐处理，含全套安装固定辅材。</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音箱线</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1、高纯度无氧铜芯，双股音响专用线，耐磨外皮，抗氧化，传输损耗低，适配专业音箱、功放连接使用。</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辅材</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w:t>
            </w:r>
            <w:r>
              <w:rPr>
                <w:rFonts w:hint="eastAsia" w:ascii="宋体" w:hAnsi="宋体" w:cs="宋体"/>
                <w:color w:val="000000"/>
                <w:sz w:val="20"/>
                <w:szCs w:val="20"/>
                <w:lang w:bidi="ar"/>
              </w:rPr>
              <w:t xml:space="preserve">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1、含25mmPVC管、卡侬头、大杆、3.5转双莲花线、铜地插*2只、各类安装固定配件；</w:t>
              <w:br w:type="textWrapping" w:clear="all"/>
              <w:t xml:space="preserve">2、含整套音响、灯光、线材、设备搬运、布线、安装、调试、开孔、焊接、现场施工、系统调试验收全部人工费用。</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操作台2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1、尺寸：1800*700*850mm，产品各项规格尺寸误差不超过3mm；</w:t>
              <w:br w:type="textWrapping" w:clear="all"/>
              <w:t xml:space="preserve">2、全实木结构，该讲台需要具备容纳电脑、中控等日常教学必须的功能；</w:t>
              <w:br w:type="textWrapping" w:clear="all"/>
              <w:t xml:space="preserve">3、桌面采用18mm厚橡胶木，加厚至36mm；柜体采用18mm厚橡胶木，内设一层隔板，暗拉手，阻尼铰链；讲台背面设计造型，四遍底漆，三遍面漆。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牛角椅</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1、尺寸：640W*540D*450H/760H±3mm；</w:t>
              <w:br w:type="textWrapping" w:clear="all"/>
              <w:t xml:space="preserve">2、全橡胶木实木结构，榫头连接，表面光滑，无毛刺四遍底漆，三遍面漆。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学生书法桌</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w:t>
            </w:r>
            <w:r>
              <w:rPr>
                <w:rFonts w:hint="eastAsia" w:ascii="宋体" w:hAnsi="宋体" w:cs="宋体"/>
                <w:color w:val="000000"/>
                <w:sz w:val="20"/>
                <w:szCs w:val="20"/>
                <w:lang w:bidi="ar"/>
              </w:rPr>
              <w:t xml:space="preserve">下要求：</w:t>
            </w:r>
            <w:r/>
          </w:p>
          <w:p>
            <w:pPr>
              <w:pStyle w:val="769"/>
              <w:numPr>
                <w:ilvl w:val="0"/>
                <w:numId w:val="20"/>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规格：1800mm*1100mm*720mm；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2、全实木结构，桌面采用18mm厚橡胶木，加厚至36mm，桌腿镂空造型，聚酯木器漆（清水漆、五底三面），四遍底漆，三遍面漆。</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实木凳</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21"/>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规格：330*330*420mm；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2、产品各项规格尺寸误差不超过3mm，采用橡胶木实木，四周倒R15圆角，清水漆。</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室内水管改造及地面处理</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1、室内无水点，需根据需求开槽布置，改造至指定位置。给水采用专用铝塑管软连接,排水采用PVC曲型管软连接，含所有改造所需材料、人工项目及垃圾清运。</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墙面处理</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1、规格：7600*4750H/mm；                             </w:t>
            </w:r>
            <w:r>
              <w:rPr>
                <w:rFonts w:hint="eastAsia" w:ascii="宋体" w:hAnsi="宋体" w:cs="宋体"/>
                <w:color w:val="000000"/>
                <w:sz w:val="20"/>
                <w:szCs w:val="20"/>
                <w:lang w:bidi="ar"/>
              </w:rPr>
              <w:t xml:space="preserve">                 2、前后墙原有白色瓷砖墙裙拆除，找平后做木纹饰面背景，含所需材料及人工费用。</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墙面乳胶漆出新</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人工油漆面层材料费用不含基层等费用施工工艺：面层平整干燥，无油污无浮尘；满批腻子两道砂纸磨平后，上乳胶漆两道；验收标准：无刷纹无流坠，手感平整光滑，无明显颗粒感。无掉粉，无起皮，无裂缝；无透底，无咬色，色泽一致，净味乳胶漆。</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室内物品搬迁</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1、室内原有物品搬迁，含拆除所需人工及垃</w:t>
            </w:r>
            <w:r>
              <w:rPr>
                <w:rFonts w:hint="eastAsia" w:ascii="宋体" w:hAnsi="宋体" w:cs="宋体"/>
                <w:color w:val="000000"/>
                <w:sz w:val="20"/>
                <w:szCs w:val="20"/>
                <w:lang w:bidi="ar"/>
              </w:rPr>
              <w:t xml:space="preserve">圾清运，按校方需求将需保留物品送至指定地点。</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劳技桌2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尺寸：长2400mm宽1000mm高760mm，结构：钢木结构，成型钢架；</w:t>
              <w:br/>
              <w:t xml:space="preserve">2、台面:采用12mm厚品牌抗倍特板，台面四周复边12mm厚，达24mm厚，四周倒R15圆角；</w:t>
              <w:br/>
              <w:t xml:space="preserve">3、主体：主框架采用30*60方管，壁厚≥1.2mm，经酸洗磷化处理，表面喷塑；</w:t>
              <w:br/>
              <w:t xml:space="preserve">4、柜体：采用18mmE1级环保实木颗粒板加工制作，1.5mm厚封边条机械封边；</w:t>
              <w:br/>
              <w:t xml:space="preserve">5、五金：采用三节静音滑轨、阻尼铰链；</w:t>
              <w:br/>
              <w:t xml:space="preserve">6、拉手：采用铝合金一字型拉手两端带防刮伤塑料堵头；</w:t>
              <w:br/>
              <w:t xml:space="preserve">7、安全参数：台面立面倒角、打磨，各处光滑。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室内电位改造对接</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1、室内原有电位改造至指定位置，包含改造所需人工及地板、面板、电线等材料费用。</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边柜2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1、尺寸：950*400*800Hmm，产品各项规格尺寸误差不超过3mm；</w:t>
              <w:br w:type="textWrapping" w:clear="all"/>
              <w:t xml:space="preserve">2、柜体8mm厚实木颗粒板，2mm同色封边条，专用连接件，对开门设计，板门内设一块横隔板，中标方需与校方确认生产。</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窗帘</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1、窗帘高度2米，宽度以实际为准进行分割；</w:t>
            </w:r>
            <w:r>
              <w:rPr>
                <w:rFonts w:hint="eastAsia" w:ascii="宋体" w:hAnsi="宋体" w:cs="宋体"/>
                <w:color w:val="000000"/>
                <w:sz w:val="20"/>
                <w:szCs w:val="20"/>
                <w:lang w:bidi="ar"/>
              </w:rPr>
              <w:br w:type="textWrapping" w:clear="all"/>
              <w:t xml:space="preserve">2、布料采用1:1.8加厚遮光纤维</w:t>
            </w:r>
            <w:r>
              <w:rPr>
                <w:rFonts w:hint="eastAsia" w:ascii="宋体" w:hAnsi="宋体" w:cs="宋体"/>
                <w:color w:val="000000"/>
                <w:sz w:val="20"/>
                <w:szCs w:val="20"/>
                <w:lang w:bidi="ar"/>
              </w:rPr>
              <w:t xml:space="preserve">布</w:t>
            </w:r>
            <w:r>
              <w:rPr>
                <w:rFonts w:hint="eastAsia" w:ascii="宋体" w:hAnsi="宋体" w:cs="宋体"/>
                <w:b/>
                <w:bCs/>
                <w:color w:val="000000"/>
                <w:sz w:val="20"/>
                <w:szCs w:val="20"/>
                <w:lang w:bidi="ar"/>
              </w:rPr>
              <w:t xml:space="preserve">，</w:t>
            </w:r>
            <w:r>
              <w:rPr>
                <w:rFonts w:hint="eastAsia" w:ascii="宋体" w:hAnsi="宋体" w:cs="宋体"/>
                <w:b/>
                <w:bCs/>
                <w:color w:val="000000"/>
                <w:sz w:val="20"/>
                <w:szCs w:val="20"/>
                <w:lang w:bidi="ar"/>
              </w:rPr>
              <w:t xml:space="preserve">厚度0.25 mm；</w:t>
            </w:r>
            <w:r>
              <w:rPr>
                <w:rFonts w:hint="eastAsia" w:ascii="宋体" w:hAnsi="宋体" w:cs="宋体"/>
                <w:color w:val="000000"/>
                <w:sz w:val="20"/>
                <w:szCs w:val="20"/>
                <w:lang w:bidi="ar"/>
              </w:rPr>
              <w:br w:type="textWrapping" w:clear="all"/>
              <w:t xml:space="preserve">3、布料为遮光纤维布，环保耐用，具有很好遮光隔热作用；</w:t>
              <w:br w:type="textWrapping" w:clear="all"/>
              <w:t xml:space="preserve">4、含罗马杆或铝合金加厚轨道，所有辅材，加工安装到位。</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LED护眼教室灯</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1、结构材质：一体式灯具，灯具长度≥595mm；</w:t>
              <w:br w:type="textWrapping" w:clear="all"/>
              <w:t xml:space="preserve">2、LED教室灯</w:t>
            </w:r>
            <w:r>
              <w:rPr>
                <w:rFonts w:hint="eastAsia" w:ascii="宋体" w:hAnsi="宋体" w:cs="宋体"/>
                <w:color w:val="000000"/>
                <w:sz w:val="20"/>
                <w:szCs w:val="20"/>
                <w:lang w:bidi="ar"/>
              </w:rPr>
              <w:t xml:space="preserve">符合</w:t>
            </w:r>
            <w:r>
              <w:rPr>
                <w:rFonts w:hint="eastAsia" w:ascii="宋体" w:hAnsi="宋体" w:cs="宋体"/>
                <w:color w:val="000000"/>
                <w:sz w:val="20"/>
                <w:szCs w:val="20"/>
                <w:lang w:bidi="ar"/>
              </w:rPr>
              <w:t xml:space="preserve">电器电子产品有害物质</w:t>
            </w:r>
            <w:r>
              <w:rPr>
                <w:rFonts w:hint="eastAsia" w:ascii="宋体" w:hAnsi="宋体" w:cs="宋体"/>
                <w:color w:val="000000"/>
                <w:sz w:val="20"/>
                <w:szCs w:val="20"/>
                <w:lang w:bidi="ar"/>
              </w:rPr>
              <w:t xml:space="preserve">限量要求</w:t>
            </w:r>
            <w:r>
              <w:rPr>
                <w:rFonts w:hint="eastAsia" w:ascii="宋体" w:hAnsi="宋体" w:cs="宋体"/>
                <w:color w:val="000000"/>
                <w:sz w:val="20"/>
                <w:szCs w:val="20"/>
                <w:lang w:bidi="ar"/>
              </w:rPr>
              <w:t xml:space="preserve">；</w:t>
              <w:br w:type="textWrapping" w:clear="all"/>
              <w:t xml:space="preserve">3、LED教室灯功率35±5W，功率因数≥0.95，光通量≥3000LM，光效≥85LM/W，色温在5000±300K区间，色容差＜5，显色指数≥95，特殊显色指数R9≥70。照明功率密度： 控标值≤9 W/m²，按300 LX维持照度计算；</w:t>
              <w:br w:type="textWrapping" w:clear="all"/>
              <w:t xml:space="preserve">4、蓝光危害等级为RG0无危险，符合GB 40070—2021要求；</w:t>
              <w:br w:type="textWrapping" w:clear="all"/>
              <w:t xml:space="preserve">5、当90Hz ＜ 光输出波形频率 ≤ 3125Hz时，波动深度 ≤ 频率</w:t>
            </w:r>
            <w:r>
              <w:rPr>
                <w:rFonts w:hint="eastAsia" w:ascii="宋体" w:hAnsi="宋体" w:cs="宋体"/>
                <w:color w:val="000000"/>
                <w:sz w:val="20"/>
                <w:szCs w:val="20"/>
                <w:lang w:bidi="ar"/>
              </w:rPr>
              <w:t xml:space="preserve">（Hz）× 0.032；当光输出波形频率 ＞ 3125Hz时，免于考核波动深度。短期闪烁指数（P_st</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LM）按照IEC TR 61547-1：2020的规定进行测量，要求P_st</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LM ≤ 1.0。频闪效应可见度（SVM）按照IEC TR 63158的规定进行测量，要求SVM ≤ 1.0。</w:t>
              <w:br w:type="textWrapping" w:clear="all"/>
              <w:t xml:space="preserve">6、为使课桌面达到最佳照度均匀度与防眩效果，LED教室灯半峰边角（50%）或1/2</w:t>
            </w:r>
            <w:r>
              <w:rPr>
                <w:rFonts w:hint="eastAsia" w:ascii="宋体" w:hAnsi="宋体" w:cs="宋体"/>
                <w:color w:val="000000"/>
                <w:sz w:val="20"/>
                <w:szCs w:val="20"/>
                <w:lang w:bidi="ar"/>
              </w:rPr>
              <w:t xml:space="preserve">峰值光强夹角在C0-180面：85°±5°；C90-270面：80°±5°；</w:t>
              <w:br w:type="textWrapping" w:clear="all"/>
              <w:t xml:space="preserve">7、为保证LED教室灯的使用寿命，防止灰尘、蚊虫等进入，灯具防护等级需达到IP20及以上；</w:t>
              <w:br w:type="textWrapping" w:clear="all"/>
              <w:t xml:space="preserve">8、教室光环境课桌面维持平均照度值（LX)≥300、桌面照度照度均匀度＞0.7、统一眩光值（UGR）≤16；                   </w:t>
              <w:br w:type="textWrapping" w:clear="all"/>
              <w:t xml:space="preserve">9、整灯额定寿命： L70/B50≥50000小时</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                 </w:t>
              <w:br w:type="textWrapping" w:clear="all"/>
            </w:r>
            <w:r>
              <w:rPr>
                <w:rFonts w:hint="eastAsia" w:ascii="宋体" w:hAnsi="宋体" w:cs="宋体"/>
                <w:color w:val="000000"/>
                <w:sz w:val="20"/>
                <w:szCs w:val="20"/>
                <w:lang w:bidi="ar"/>
              </w:rPr>
              <w:t xml:space="preserve">                                </w:t>
              <w:br w:type="textWrapping" w:clear="all"/>
              <w:t xml:space="preserve">▲注：3</w:t>
            </w:r>
            <w:r>
              <w:rPr>
                <w:rFonts w:hint="eastAsia" w:ascii="宋体" w:hAnsi="宋体" w:cs="宋体"/>
                <w:color w:val="000000"/>
                <w:sz w:val="20"/>
                <w:szCs w:val="20"/>
                <w:lang w:bidi="ar"/>
              </w:rPr>
              <w:t xml:space="preserve">至</w:t>
            </w:r>
            <w:r>
              <w:rPr>
                <w:rFonts w:hint="eastAsia" w:ascii="宋体" w:hAnsi="宋体" w:cs="宋体"/>
                <w:color w:val="000000"/>
                <w:sz w:val="20"/>
                <w:szCs w:val="20"/>
                <w:lang w:bidi="ar"/>
              </w:rPr>
              <w:t xml:space="preserve">8项指</w:t>
            </w:r>
            <w:r>
              <w:rPr>
                <w:rFonts w:hint="eastAsia" w:ascii="宋体" w:hAnsi="宋体" w:cs="宋体"/>
                <w:color w:val="000000"/>
                <w:sz w:val="20"/>
                <w:szCs w:val="20"/>
                <w:lang w:bidi="ar"/>
              </w:rPr>
              <w:t xml:space="preserve">标</w:t>
            </w:r>
            <w:r>
              <w:rPr>
                <w:rFonts w:hint="eastAsia" w:ascii="宋体" w:hAnsi="宋体" w:cs="宋体"/>
                <w:color w:val="000000"/>
                <w:sz w:val="20"/>
                <w:szCs w:val="20"/>
                <w:lang w:bidi="ar"/>
              </w:rPr>
              <w:t xml:space="preserve">须在</w:t>
            </w:r>
            <w:r>
              <w:rPr>
                <w:rFonts w:hint="eastAsia" w:ascii="宋体" w:hAnsi="宋体" w:cs="宋体"/>
                <w:color w:val="000000"/>
                <w:sz w:val="20"/>
                <w:szCs w:val="20"/>
                <w:lang w:bidi="ar"/>
              </w:rPr>
              <w:t xml:space="preserve">投标文件中提供有效的第三方检测报告或</w:t>
            </w:r>
            <w:r>
              <w:rPr>
                <w:rFonts w:hint="eastAsia" w:ascii="宋体" w:hAnsi="宋体" w:cs="宋体"/>
                <w:color w:val="000000"/>
                <w:sz w:val="20"/>
                <w:szCs w:val="20"/>
                <w:lang w:bidi="ar"/>
              </w:rPr>
              <w:t xml:space="preserve">灯具</w:t>
            </w:r>
            <w:r>
              <w:rPr>
                <w:rFonts w:hint="eastAsia" w:ascii="宋体" w:hAnsi="宋体" w:cs="宋体"/>
                <w:color w:val="000000"/>
                <w:sz w:val="20"/>
                <w:szCs w:val="20"/>
                <w:lang w:bidi="ar"/>
              </w:rPr>
              <w:t xml:space="preserve">生产商的包括相关指标的</w:t>
            </w:r>
            <w:r>
              <w:rPr>
                <w:rFonts w:ascii="宋体" w:hAnsi="宋体" w:cs="宋体"/>
                <w:color w:val="000000"/>
                <w:sz w:val="20"/>
                <w:szCs w:val="20"/>
                <w:lang w:bidi="ar"/>
              </w:rPr>
              <w:t xml:space="preserve">产品质量证明书</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综合布线</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22"/>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顶部现有灯具拆除，搬至校方指定地点；</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2、含室内灯具重新布线改造，灯具安装到位。</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木工工具箱</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1、规格：450mm*360mm*110mm，注塑箱体，珍珠棉定位；</w:t>
              <w:br w:type="textWrapping" w:clear="all"/>
              <w:t xml:space="preserve">2、含18种必备常用工具。工具包括：木工凿子，3/4” ，1把；美工刀，包胶，1把；木工锉，8"半圆，1把；多用剪刀，1把；羊角锤，0.5KG铁柄，1把；鸟刨，1把；手推刨，1把；钢角尺300mm，1把，；螺丝刀，6*100+-铬钒钢，按摩柄，1把；老虎钳，6"黄黑双色柄，1把；卷尺，5m，1把；G形夹，3"，1把；有机玻璃钩刀，钩刀带两把刀片，1把；磨齿锯（锰钢三面齿），1把；木工</w:t>
            </w:r>
            <w:r>
              <w:rPr>
                <w:rFonts w:hint="eastAsia" w:ascii="宋体" w:hAnsi="宋体" w:cs="宋体"/>
                <w:color w:val="000000"/>
                <w:sz w:val="20"/>
                <w:szCs w:val="20"/>
                <w:lang w:bidi="ar"/>
              </w:rPr>
              <w:t xml:space="preserve">铅笔，1支；小水平尺，S93型，塑料，三水泡，45°、90°、180°，1把；墨斗，新型迷你墨斗，1个；磨刀石1块。</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五金工具箱</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1、规格：≥18寸，≥410*215*185mm；</w:t>
              <w:br w:type="textWrapping" w:clear="all"/>
              <w:t xml:space="preserve">2、材质：双层加强款塑料。</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木工工具</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1、含平口钳，细</w:t>
            </w:r>
            <w:r>
              <w:rPr>
                <w:rFonts w:hint="eastAsia" w:ascii="宋体" w:hAnsi="宋体" w:cs="宋体"/>
                <w:color w:val="000000"/>
                <w:sz w:val="20"/>
                <w:szCs w:val="20"/>
                <w:lang w:bidi="ar"/>
              </w:rPr>
              <w:t xml:space="preserve">扁锉，大半圆锉，四方锉，圆锉，</w:t>
              <w:br w:type="textWrapping" w:clear="all"/>
              <w:t xml:space="preserve">三角锉，什锦锉，木工锯，U型拉花锯，手板锯，螺丝刀，F夹，双把拉铆枪（含铆钉），手</w:t>
            </w:r>
            <w:r>
              <w:rPr>
                <w:rFonts w:hint="eastAsia" w:ascii="宋体" w:hAnsi="宋体" w:cs="宋体"/>
                <w:color w:val="000000"/>
                <w:sz w:val="20"/>
                <w:szCs w:val="20"/>
                <w:lang w:bidi="ar"/>
              </w:rPr>
              <w:t xml:space="preserve">摇钻，木雕刻刀套装，木工平凿，木工半圆凿，木锤，橡胶锤，迷你短柄羊角锤，木工锯练习辅助器，手钳，尖嘴钳，木工锯，练习辅助器，手钳；</w:t>
              <w:br w:type="textWrapping" w:clear="all"/>
              <w:t xml:space="preserve">2、尖嘴钳各6套，红木短刨：1只，红木中刨：1只，木工斧：1只。</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木工开孔器套装</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1、规格：15mm/20mm/25mm/30mm/35mm各一支，木盒包装，尺寸163*107*40mm；</w:t>
              <w:br w:type="textWrapping" w:clear="all"/>
              <w:t xml:space="preserve">2、材质：合金钢。</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操作台1</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1、规格：2400*700*850mm；结构：铝木结</w:t>
            </w:r>
            <w:r>
              <w:rPr>
                <w:rFonts w:hint="eastAsia" w:ascii="宋体" w:hAnsi="宋体" w:cs="宋体"/>
                <w:color w:val="000000"/>
                <w:sz w:val="20"/>
                <w:szCs w:val="20"/>
                <w:lang w:bidi="ar"/>
              </w:rPr>
              <w:t xml:space="preserve">构；    </w:t>
              <w:br/>
              <w:t xml:space="preserve">2、台面：采用12mm厚抗倍特板，边缘加厚至24mm；</w:t>
              <w:br/>
              <w:t xml:space="preserve">3、主体框架：采用34*37mm工业级卡锁式铝型材，横拉30*28mm,壁厚≥1.2mm方形铝合金框架，表面用环氧树脂粉末喷涂，并作高温固化,环氧树脂喷涂理处理，采用热铝拉制，热塑成型，锌铝挤压，并做加强筋和表面装饰处理，ABS连接件、调节脚； </w:t>
              <w:br/>
              <w:t xml:space="preserve">4、柜体：旁板、背板采用16mm厚实木颗粒板，其它采用18mm厚实木颗粒板，所有截面采用PVC机械热熔封边，专用连接件；                          </w:t>
              <w:br/>
              <w:t xml:space="preserve">5、铰链：阻尼铰链。</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劳技桌1</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w:t>
            </w:r>
            <w:r>
              <w:rPr>
                <w:rFonts w:hint="eastAsia" w:ascii="宋体" w:hAnsi="宋体" w:cs="宋体"/>
                <w:color w:val="000000"/>
                <w:sz w:val="20"/>
                <w:szCs w:val="20"/>
                <w:lang w:bidi="ar"/>
              </w:rPr>
              <w:t xml:space="preserve">200*1200*750mm±10mm；</w:t>
              <w:br w:type="textWrapping" w:clear="all"/>
              <w:t xml:space="preserve">2、材质：抗倍特板+钢架；</w:t>
              <w:br w:type="textWrapping" w:clear="all"/>
              <w:t xml:space="preserve">3、工艺：材质采用抗倍特一体成型。耐80度以上高温。防水：浸水24小时后的膨胀指数不多于0.1mm，面板四周采CNC修边，四周倒角，圆润光滑无任何毛边；桌架采用钢架，满焊焊接而成，表面采用高温粉体烤漆，耐腐蚀，不易生锈；</w:t>
              <w:br w:type="textWrapping" w:clear="all"/>
              <w:t xml:space="preserve">4、功能：桌面设有防罩边角，悬挂抽屉储物功能，可收纳放置工具材料，钢制框架，结构牢固，具有超强承载能力。</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教师椅</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1、参考尺寸：480*450*840mm±10mm；</w:t>
              <w:br w:type="textWrapping" w:clear="all"/>
              <w:t xml:space="preserve">2、材质：pp塑料；</w:t>
              <w:br w:type="textWrapping" w:clear="all"/>
              <w:t xml:space="preserve">3、工艺要求：靠背一体注塑成型；座板扪布艺或皮艺软包；铁管≥19*1.2mm厚；表面静电喷涂，不掉漆不剥落，中标方需与校方确认生产。</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储物柜</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1、尺寸：板式：W1340*D450*H900mm±10mm；                                           2、材质：实木多层板；</w:t>
              <w:br w:type="textWrapping" w:clear="all"/>
              <w:t xml:space="preserve">3、工艺：厚度≥18mm,基材采用实木多层板，PVC直封边制作。导轨尺寸：300*18*25mm，材质：ABS，螺丝孔位间距198mm ，收纳盒尺寸：430*305*100</w:t>
            </w:r>
            <w:r>
              <w:rPr>
                <w:rFonts w:hint="eastAsia" w:ascii="宋体" w:hAnsi="宋体" w:cs="宋体"/>
                <w:color w:val="000000"/>
                <w:sz w:val="20"/>
                <w:szCs w:val="20"/>
                <w:lang w:bidi="ar"/>
              </w:rPr>
              <w:t xml:space="preserve">mm ，材质：PP新料，五金件采用液压铰链；</w:t>
              <w:br w:type="textWrapping" w:clear="all"/>
              <w:t xml:space="preserve">4、功能：配置PP收纳盒，可收纳各种教学用具。</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储物柜2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1、尺寸：950*450*800Hmm，产品各项规格尺寸误差不超过3mm；</w:t>
              <w:br w:type="textWrapping" w:clear="all"/>
              <w:t xml:space="preserve">2、柜体采用18mm厚实木颗粒板，2mm同色封边条，专用连接件，对开门设计，板门内设一块横隔板，中标方需与校方确认生产。</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乒乓球台（室内）</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1、规格：2740*1525</w:t>
            </w:r>
            <w:r>
              <w:rPr>
                <w:rFonts w:hint="eastAsia" w:ascii="宋体" w:hAnsi="宋体" w:cs="宋体"/>
                <w:color w:val="000000"/>
                <w:sz w:val="20"/>
                <w:szCs w:val="20"/>
                <w:lang w:bidi="ar"/>
              </w:rPr>
              <w:t xml:space="preserve">*760mm；</w:t>
              <w:br w:type="textWrapping" w:clear="all"/>
              <w:t xml:space="preserve">2、弹性:220-250mm；</w:t>
              <w:br w:type="textWrapping" w:clear="all"/>
              <w:t xml:space="preserve">3、性均匀度:≤5mm；</w:t>
              <w:br w:type="textWrapping" w:clear="all"/>
              <w:t xml:space="preserve">4、面光泽度:≤4度；</w:t>
              <w:br w:type="textWrapping" w:clear="all"/>
              <w:t xml:space="preserve">5、面摩擦系数:≤0.3；</w:t>
              <w:br w:type="textWrapping" w:clear="all"/>
              <w:t xml:space="preserve">6、台稳定性:≤7mm，1.5mm金属方管台脚，表面喷塑，内脚装直径100mm带刹车脚轮，外脚带高度微调装置单只台面两次折叠完成，配备脚轮制动装置;</w:t>
              <w:br w:type="textWrapping" w:clear="all"/>
              <w:t xml:space="preserve">7、采用特别研制的"新蓝"色,减少台面材料颜色对运动员的"视觉干扰"。</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乒乓球地面围挡</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1、规格：1400*750（mm）；</w:t>
              <w:br w:type="textWrapping" w:clear="all"/>
              <w:t xml:space="preserve">2、装箱数量10(块)；</w:t>
              <w:br w:type="textWrapping" w:clear="all"/>
              <w:t xml:space="preserve">3、装箱重量20(kg) ；</w:t>
              <w:br w:type="textWrapping" w:clear="all"/>
              <w:t xml:space="preserve">4、装箱尺寸1440*820*230(mm)。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羽毛球架</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1、高 度:</w:t>
            </w:r>
            <w:r>
              <w:rPr>
                <w:rFonts w:hint="eastAsia" w:ascii="宋体" w:hAnsi="宋体" w:cs="宋体"/>
                <w:sz w:val="20"/>
                <w:szCs w:val="20"/>
                <w:lang w:bidi="ar"/>
              </w:rPr>
              <w:t xml:space="preserve">1550mm；</w:t>
              <w:br w:type="textWrapping" w:clear="all"/>
              <w:t xml:space="preserve">2、规 格 :590</w:t>
            </w:r>
            <w:r>
              <w:rPr>
                <w:rFonts w:hint="eastAsia" w:ascii="宋体" w:hAnsi="宋体" w:cs="宋体"/>
                <w:sz w:val="20"/>
                <w:szCs w:val="20"/>
                <w:lang w:bidi="ar"/>
              </w:rPr>
              <w:t xml:space="preserve">*330*100mm ；</w:t>
              <w:br w:type="textWrapping" w:clear="all"/>
            </w:r>
            <w:r>
              <w:rPr>
                <w:rFonts w:hint="eastAsia" w:ascii="宋体" w:hAnsi="宋体" w:cs="宋体"/>
                <w:color w:val="000000"/>
                <w:sz w:val="20"/>
                <w:szCs w:val="20"/>
                <w:lang w:bidi="ar"/>
              </w:rPr>
              <w:t xml:space="preserve">3、材质:ABS塑料/标准直径40钢管,；</w:t>
              <w:br w:type="textWrapping" w:clear="all"/>
              <w:t xml:space="preserve">4、重量:70公斤，水泥配重底座，静电喷塑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羽毛球网</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1、材质：丙纶/涤纶，产品颜色红色；</w:t>
              <w:br w:type="textWrapping" w:clear="all"/>
              <w:t xml:space="preserve">2、尺寸：6100*760mm；</w:t>
              <w:br w:type="textWrapping" w:clear="all"/>
              <w:t xml:space="preserve">3、产品重量：700G；</w:t>
              <w:br w:type="textWrapping" w:clear="all"/>
              <w:t xml:space="preserve">4、球网孔径2CM。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小足球门（含网）</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1、规格：1200*800*600mm。</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2、材质：低密度聚乙烯；</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小沙包</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1、产品面料：加厚帆布面料做工细致，柔软耐磨边缘加厚，缝纫密实，不易破，不易漏；</w:t>
              <w:br w:type="textWrapping" w:clear="all"/>
              <w:t xml:space="preserve">2、填充材料：天然稻壳，每只重量约65g。</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垒球</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br w:type="textWrapping" w:clear="all"/>
              <w:t xml:space="preserve">2、材质:聚录乙烯；</w:t>
              <w:br w:type="textWrapping" w:clear="all"/>
              <w:t xml:space="preserve">3、直径:约12寸；</w:t>
              <w:br w:type="textWrapping" w:clear="all"/>
              <w:t xml:space="preserve">4、场地:室内室外；</w:t>
              <w:br w:type="textWrapping" w:clear="all"/>
              <w:t xml:space="preserve">5、用途:中小学生考试训练。</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50米卷尺</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1、50m 钢。</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20米卷尺</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1、20m 钢。</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花球</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1、环保PES，色彩饱满不易掉色安全无异味。</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20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实心球-2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1、1kg，橡胶。</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发令枪</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1、双发，金属。</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绳</w:t>
            </w:r>
            <w:r>
              <w:rPr>
                <w:rFonts w:hint="eastAsia" w:ascii="宋体" w:hAnsi="宋体" w:cs="宋体"/>
                <w:color w:val="000000"/>
                <w:sz w:val="20"/>
                <w:szCs w:val="20"/>
                <w:lang w:bidi="ar"/>
              </w:rPr>
              <w:t xml:space="preserve">梯</w:t>
            </w:r>
            <w:r/>
          </w:p>
        </w:tc>
        <w:tc>
          <w:tcPr>
            <w:tcW w:w="7053" w:type="dxa"/>
            <w:vAlign w:val="center"/>
            <w:textDirection w:val="lrTb"/>
            <w:noWrap w:val="false"/>
          </w:tcPr>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p>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1、材质：环保PP ；</w:t>
              <w:br w:type="textWrapping" w:clear="all"/>
              <w:t xml:space="preserve">2、长4200mm10节；</w:t>
              <w:br w:type="textWrapping" w:clear="all"/>
              <w:t xml:space="preserve">3、带包。</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弹力带-1</w:t>
            </w:r>
            <w:r/>
          </w:p>
        </w:tc>
        <w:tc>
          <w:tcPr>
            <w:tcW w:w="7053" w:type="dxa"/>
            <w:vAlign w:val="center"/>
            <w:textDirection w:val="lrTb"/>
            <w:noWrap w:val="false"/>
          </w:tcPr>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p>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1、宽度64mm~83mm ，20P。</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跳皮筋</w:t>
            </w:r>
            <w:r/>
          </w:p>
        </w:tc>
        <w:tc>
          <w:tcPr>
            <w:tcW w:w="7053" w:type="dxa"/>
            <w:vAlign w:val="center"/>
            <w:textDirection w:val="lrTb"/>
            <w:noWrap w:val="false"/>
          </w:tcPr>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p>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1、4m，PVC。</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山羊台</w:t>
            </w:r>
            <w:r/>
          </w:p>
        </w:tc>
        <w:tc>
          <w:tcPr>
            <w:tcW w:w="7053" w:type="dxa"/>
            <w:vAlign w:val="center"/>
            <w:textDirection w:val="lrTb"/>
            <w:noWrap w:val="false"/>
          </w:tcPr>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p>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1、材质：皮革+钢材；</w:t>
              <w:br w:type="textWrapping" w:clear="all"/>
              <w:t xml:space="preserve">2、尺寸：500*220*230mm。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跳箱</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1、材质：实木 ；</w:t>
              <w:br w:type="textWrapping" w:clear="all"/>
              <w:t xml:space="preserve">2、规格：七节。</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助跳板</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1、60*120cm四簧版 加粗弹簧高强度压缩木板,，防止弹簧生锈弹力大，不变形， 防止螺丝掉色，生锈提高产品安全稳固性，加厚木板支撑稳固安全。</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肋木</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1、镀锌管，76mm壁厚3.25mm,总高3500mm,宽为3000mm,横33mm,埋800mm,地埋固定铁为40mm*40mm角铁，长600mm；</w:t>
              <w:br w:type="textWrapping" w:clear="all"/>
              <w:t xml:space="preserve">2、产品材料规格均为裸钢（管）厚度； </w:t>
              <w:br w:type="textWrapping" w:clear="all"/>
              <w:t xml:space="preserve">3、所有表面经抛光、酸洗、磷化等初级处理后在自动喷涂线上采用纯聚酯粉末喷涂完成最后表面处理，涂层厚度70—80um,硬度达铅笔3H+。</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平梯</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1、采用镀锌管，国标76mm壁厚3.25mm；</w:t>
              <w:br w:type="textWrapping" w:clear="all"/>
              <w:t xml:space="preserve">2、</w:t>
            </w:r>
            <w:r>
              <w:rPr>
                <w:rFonts w:hint="eastAsia" w:ascii="宋体" w:hAnsi="宋体" w:cs="宋体"/>
                <w:color w:val="000000"/>
                <w:sz w:val="20"/>
                <w:szCs w:val="20"/>
                <w:lang w:bidi="ar"/>
              </w:rPr>
              <w:t xml:space="preserve">规格：4400*1100*2360mm 立柱管径为（φ114×3）mm标准焊管 产品材料规格均为裸钢（管）厚度,；</w:t>
              <w:br w:type="textWrapping" w:clear="all"/>
              <w:t xml:space="preserve">3、所有表面经抛光、酸洗、磷化等初级处理后在自动喷涂线上采用纯聚酯粉末喷涂完成最后表面处理，涂层厚度70—80um,硬度达铅笔3H+。</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身高体重测量仪</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1、简易型量程：90～210CM；</w:t>
              <w:br w:type="textWrapping" w:clear="all"/>
              <w:t xml:space="preserve">2、分度值： 0.1CM误差：±0.2%；</w:t>
              <w:br w:type="textWrapping" w:clear="all"/>
              <w:t xml:space="preserve">3、手动水平压板，人工读取数字，人工记录。</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画线小推车</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23"/>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规格：线宽4cm，可装15升，可画300米，自重3.2公斤；</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2、材质：铁。</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软式跨栏架组合</w:t>
            </w:r>
            <w:r/>
          </w:p>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7053" w:type="dxa"/>
            <w:vAlign w:val="center"/>
            <w:textDirection w:val="lrTb"/>
            <w:noWrap w:val="false"/>
          </w:tcPr>
          <w:p>
            <w:pPr>
              <w:pStyle w:val="769"/>
              <w:jc w:val="left"/>
              <w:widowControl/>
            </w:pPr>
            <w:r>
              <w:rPr>
                <w:rFonts w:hint="eastAsia" w:ascii="宋体" w:hAnsi="宋体" w:cs="宋体"/>
                <w:color w:val="000000"/>
                <w:sz w:val="20"/>
                <w:szCs w:val="20"/>
                <w:lang w:bidi="ar"/>
              </w:rPr>
              <w:t xml:space="preserve">不低于以下要求：</w:t>
            </w:r>
            <w:r/>
          </w:p>
          <w:p>
            <w:pPr>
              <w:pStyle w:val="769"/>
              <w:numPr>
                <w:ilvl w:val="0"/>
                <w:numId w:val="24"/>
              </w:numPr>
              <w:ind w:left="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材质：PE塑料；                                                            2、规格：底板和侧板构成，侧板与横板之间以及侧板与底座之间均为榫卯连接，横板长700mm，宽90mm；底板长700mm，宽220mm；侧板下底长220mm，高560mm；高度可三档调节：300mm、500mm、600mm，所有板的厚度18mm。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弹力带-2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1、材质：乳胶；</w:t>
              <w:br w:type="textWrapping" w:clear="all"/>
              <w:t xml:space="preserve">2、长度：3M。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乒乓球发球机</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1、净重量:6kg ；</w:t>
              <w:br w:type="textWrapping" w:clear="all"/>
              <w:t xml:space="preserve">2、出球频率:30-90球/分钟出球速度:4-45米/秒。</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垒球1</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br w:type="textWrapping" w:clear="all"/>
              <w:t xml:space="preserve">2、材质:PVC；</w:t>
              <w:br w:type="textWrapping" w:clear="all"/>
              <w:t xml:space="preserve">3、直径:约10寸；</w:t>
              <w:br w:type="textWrapping" w:clear="all"/>
              <w:t xml:space="preserve">4、场地:室内室外；</w:t>
              <w:br w:type="textWrapping" w:clear="all"/>
              <w:t xml:space="preserve">5、用途:中小学生考试训练。</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垒球2</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br w:type="textWrapping" w:clear="all"/>
              <w:t xml:space="preserve">2、材质:PVC；</w:t>
              <w:br w:type="textWrapping" w:clear="all"/>
              <w:t xml:space="preserve">3、直径:约12寸；</w:t>
              <w:br w:type="textWrapping" w:clear="all"/>
              <w:t xml:space="preserve">4、场地:室内室外；</w:t>
              <w:br w:type="textWrapping" w:clear="all"/>
              <w:t xml:space="preserve">5、用途:中小学生考试训练。</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小篮球5号</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1、规格：圆周69 - 71 厘米，重量：470 - 500 克，直径：21.5 - 22.0cm；</w:t>
              <w:br w:type="textWrapping" w:clear="all"/>
              <w:t xml:space="preserve">2</w:t>
            </w:r>
            <w:r>
              <w:rPr>
                <w:rFonts w:hint="eastAsia" w:ascii="宋体" w:hAnsi="宋体" w:cs="宋体"/>
                <w:color w:val="000000"/>
                <w:sz w:val="20"/>
                <w:szCs w:val="20"/>
                <w:lang w:bidi="ar"/>
              </w:rPr>
              <w:t xml:space="preserve">、材质：合成皮革(室内外 ）内胆：采用专用生胶制成，通过专利工艺加工，弹性柔和稳定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小足球4号</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1、规格：420x350x320(mm)；</w:t>
              <w:br w:type="textWrapping" w:clear="all"/>
              <w:t xml:space="preserve">2、材质合成皮革，高弹力加强材料，双面反胶。</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排球5号</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1、采用高密度EVA/高强度EPMD材料缝制而成，外形采用18片设计。</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小足球门（3人制）</w:t>
            </w:r>
            <w:r/>
          </w:p>
        </w:tc>
        <w:tc>
          <w:tcPr>
            <w:tcW w:w="7053" w:type="dxa"/>
            <w:vAlign w:val="center"/>
            <w:textDirection w:val="lrTb"/>
            <w:noWrap w:val="false"/>
          </w:tcPr>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p>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1、材质：LDPE；</w:t>
              <w:br w:type="textWrapping" w:clear="all"/>
              <w:t xml:space="preserve">2、规格：1200*800*600mm。</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141</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可升降移动小篮球架</w:t>
            </w:r>
            <w:r/>
          </w:p>
        </w:tc>
        <w:tc>
          <w:tcPr>
            <w:tcW w:w="7053" w:type="dxa"/>
            <w:vAlign w:val="center"/>
            <w:textDirection w:val="lrTb"/>
            <w:noWrap w:val="false"/>
          </w:tcPr>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p>
          <w:p>
            <w:pPr>
              <w:pStyle w:val="769"/>
              <w:jc w:val="left"/>
              <w:widowControl/>
              <w:rPr>
                <w:rFonts w:hint="eastAsia" w:ascii="宋体" w:hAnsi="宋体" w:cs="宋体"/>
                <w:sz w:val="20"/>
                <w:szCs w:val="20"/>
                <w:lang w:bidi="ar"/>
              </w:rPr>
            </w:pPr>
            <w:r>
              <w:rPr>
                <w:rFonts w:hint="eastAsia" w:ascii="宋体" w:hAnsi="宋体" w:cs="宋体"/>
                <w:sz w:val="20"/>
                <w:szCs w:val="20"/>
                <w:lang w:bidi="ar"/>
              </w:rPr>
              <w:t xml:space="preserve">1、篮球架伸臂长750m</w:t>
            </w:r>
            <w:r>
              <w:rPr>
                <w:rFonts w:hint="eastAsia" w:ascii="宋体" w:hAnsi="宋体" w:cs="宋体"/>
                <w:sz w:val="20"/>
                <w:szCs w:val="20"/>
                <w:lang w:bidi="ar"/>
              </w:rPr>
              <w:t xml:space="preserve">m，小篮球架篮圈上沿离地面高度可调节，调节范围：1800-3050mm，球架上下支撑采用20x40x1.2mm方管焊合，立柱采用100x100x1.5mm方管焊接成型；篮架后拉杆采用Ø32x2.0圆管焊接。篮架箱体采用2.0mm铁板与方管焊接成型；</w:t>
              <w:br/>
              <w:t xml:space="preserve">2、尺寸：长X宽=1.1x0.8（m），篮架单只配重不少于120kg（儿童练习使用）。箱体后面配有定向轮，前面配有万向轮，移动轮单只承重300kg。篮架前立柱配有专用防护措施护套30mm厚,避免使用者撞伤。篮架总体重量（单只：90KG含保护套、篮板、篮筐、护套。</w:t>
            </w:r>
            <w:r>
              <w:rPr>
                <w:rFonts w:hint="eastAsia" w:ascii="宋体" w:hAnsi="宋体" w:cs="宋体"/>
                <w:sz w:val="20"/>
                <w:szCs w:val="20"/>
                <w:lang w:bidi="ar"/>
              </w:rPr>
              <w:t xml:space="preserve">）；</w:t>
              <w:br w:type="textWrapping" w:clear="all"/>
              <w:t xml:space="preserve">3、篮面为2.5mmPC板，规格900x1200x2.5（mm）；</w:t>
              <w:br w:type="textWrapping" w:clear="all"/>
              <w:t xml:space="preserve">4、适以人群：7岁以上。</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142</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竹节绳</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1、绳长：250cm ；</w:t>
              <w:br w:type="textWrapping" w:clear="all"/>
              <w:t xml:space="preserve">2、材质：PVC DTY；</w:t>
              <w:br w:type="textWrapping" w:clear="all"/>
              <w:t xml:space="preserve">3、 重量：118g。</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3.6米竹节绳</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1、绳长：420cm ；</w:t>
              <w:br w:type="textWrapping" w:clear="all"/>
              <w:t xml:space="preserve">2、材质：PVC DTY；</w:t>
              <w:br w:type="textWrapping" w:clear="all"/>
              <w:t xml:space="preserve">3、重量：189g。</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4.2米竹节绳</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1、绳长：420cm ；</w:t>
              <w:br w:type="textWrapping" w:clear="all"/>
              <w:t xml:space="preserve">2、材质：PVC DTY ；</w:t>
              <w:br w:type="textWrapping" w:clear="all"/>
              <w:t xml:space="preserve">3、重量：189g。</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跳高架</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2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规格：2000mm,50mm×50mm；产品高度可调节，产品重量约7kg刻度清晰精准测量无误差；</w:t>
            </w:r>
            <w:r/>
          </w:p>
          <w:p>
            <w:pPr>
              <w:pStyle w:val="769"/>
              <w:numPr>
                <w:ilvl w:val="0"/>
                <w:numId w:val="2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加宽横杠摆放台底部加固支撑，台面防滑设计。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146</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计时秒表</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1、电子式60道电子- 0.5 ~ +0.5s/d。</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147</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小跨栏架</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26"/>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材质：塑料；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2、规格30cm.40cm.50cm 。</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148</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乒乓球网</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1、装箱尺寸：600x340x500(mm)；</w:t>
              <w:br w:type="textWrapping" w:clear="all"/>
              <w:t xml:space="preserve">2、长度：1730mm 涤纶机织。</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w:t>
            </w:r>
            <w:r>
              <w:rPr>
                <w:rFonts w:hint="eastAsia" w:ascii="宋体" w:hAnsi="宋体" w:cs="宋体"/>
                <w:color w:val="000000"/>
                <w:sz w:val="20"/>
                <w:szCs w:val="20"/>
                <w:lang w:bidi="ar"/>
              </w:rPr>
              <w:t xml:space="preserve">49</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篮球网</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27"/>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材质：尼龙；                                         </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2、规格:重量：约 180g - 220g，线径：4mm，多股编织。</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150</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足球网-3</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numPr>
                <w:ilvl w:val="0"/>
                <w:numId w:val="2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规格：五人制；</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2、材质：腊线。</w:t>
            </w:r>
            <w:r/>
          </w:p>
        </w:tc>
      </w:tr>
      <w:tr>
        <w:trPr>
          <w:trHeight w:val="539"/>
        </w:trPr>
        <w:tc>
          <w:tcPr>
            <w:tcW w:w="710" w:type="dxa"/>
            <w:vAlign w:val="center"/>
            <w:textDirection w:val="lrTb"/>
            <w:noWrap w:val="false"/>
          </w:tcPr>
          <w:p>
            <w:pPr>
              <w:pStyle w:val="769"/>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151</w:t>
            </w:r>
            <w:r>
              <w:rPr>
                <w:rFonts w:hint="eastAsia" w:ascii="宋体" w:hAnsi="宋体" w:cs="宋体"/>
                <w:b/>
                <w:bCs/>
                <w:sz w:val="20"/>
                <w:szCs w:val="20"/>
                <w:lang w:bidi="ar"/>
              </w:rPr>
            </w:r>
            <w:r/>
          </w:p>
        </w:tc>
        <w:tc>
          <w:tcPr>
            <w:tcW w:w="2727" w:type="dxa"/>
            <w:vAlign w:val="center"/>
            <w:textDirection w:val="lrTb"/>
            <w:noWrap w:val="false"/>
          </w:tcPr>
          <w:p>
            <w:pPr>
              <w:pStyle w:val="769"/>
              <w:jc w:val="center"/>
              <w:widowControl/>
              <w:rPr>
                <w:rFonts w:hint="eastAsia" w:ascii="宋体" w:hAnsi="宋体" w:cs="宋体"/>
                <w:b/>
                <w:bCs/>
                <w:sz w:val="20"/>
                <w:szCs w:val="20"/>
                <w:lang w:bidi="ar"/>
              </w:rPr>
            </w:pPr>
            <w:r>
              <w:rPr>
                <w:rFonts w:hint="eastAsia" w:eastAsia="等线"/>
                <w:b/>
                <w:bCs/>
              </w:rPr>
              <w:t xml:space="preserve">接力棒（比赛型）</w:t>
            </w:r>
            <w:r>
              <w:rPr>
                <w:rFonts w:hint="eastAsia" w:ascii="宋体" w:hAnsi="宋体" w:cs="宋体"/>
                <w:b/>
                <w:bCs/>
                <w:sz w:val="20"/>
                <w:szCs w:val="20"/>
                <w:lang w:bidi="ar"/>
              </w:rPr>
            </w:r>
            <w:r/>
          </w:p>
        </w:tc>
        <w:tc>
          <w:tcPr>
            <w:tcW w:w="7053" w:type="dxa"/>
            <w:vAlign w:val="center"/>
            <w:textDirection w:val="lrTb"/>
            <w:noWrap w:val="false"/>
          </w:tcPr>
          <w:p>
            <w:pPr>
              <w:pStyle w:val="769"/>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不低于以下要求：</w:t>
            </w:r>
            <w:r/>
          </w:p>
          <w:p>
            <w:pPr>
              <w:pStyle w:val="769"/>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铝合金L=30cm，直径38mm。</w:t>
            </w:r>
            <w:r>
              <w:rPr>
                <w:rFonts w:hint="eastAsia" w:ascii="宋体" w:hAnsi="宋体" w:cs="宋体"/>
                <w:b/>
                <w:bCs/>
                <w:sz w:val="20"/>
                <w:szCs w:val="20"/>
                <w:lang w:bidi="ar"/>
              </w:rPr>
            </w:r>
            <w:r/>
          </w:p>
        </w:tc>
      </w:tr>
      <w:tr>
        <w:trPr>
          <w:trHeight w:val="539"/>
        </w:trPr>
        <w:tc>
          <w:tcPr>
            <w:tcW w:w="710" w:type="dxa"/>
            <w:vAlign w:val="center"/>
            <w:textDirection w:val="lrTb"/>
            <w:noWrap w:val="false"/>
          </w:tcPr>
          <w:p>
            <w:pPr>
              <w:pStyle w:val="769"/>
              <w:jc w:val="center"/>
              <w:widowControl/>
              <w:rPr>
                <w:rFonts w:hint="eastAsia" w:ascii="宋体" w:hAnsi="宋体" w:cs="宋体"/>
                <w:b/>
                <w:bCs/>
                <w:sz w:val="20"/>
                <w:szCs w:val="20"/>
                <w:lang w:bidi="ar"/>
              </w:rPr>
            </w:pPr>
            <w:r>
              <w:rPr>
                <w:rFonts w:hint="eastAsia" w:ascii="宋体" w:hAnsi="宋体" w:cs="宋体"/>
                <w:b/>
                <w:bCs/>
                <w:sz w:val="20"/>
                <w:szCs w:val="20"/>
                <w:lang w:bidi="ar"/>
              </w:rPr>
              <w:t xml:space="preserve">152</w:t>
            </w:r>
            <w:r>
              <w:rPr>
                <w:rFonts w:hint="eastAsia" w:ascii="宋体" w:hAnsi="宋体" w:cs="宋体"/>
                <w:b/>
                <w:bCs/>
                <w:sz w:val="20"/>
                <w:szCs w:val="20"/>
                <w:lang w:bidi="ar"/>
              </w:rPr>
            </w:r>
            <w:r/>
          </w:p>
        </w:tc>
        <w:tc>
          <w:tcPr>
            <w:tcW w:w="2727" w:type="dxa"/>
            <w:vAlign w:val="center"/>
            <w:textDirection w:val="lrTb"/>
            <w:noWrap w:val="false"/>
          </w:tcPr>
          <w:p>
            <w:pPr>
              <w:pStyle w:val="769"/>
              <w:jc w:val="center"/>
              <w:widowControl/>
              <w:rPr>
                <w:rFonts w:hint="eastAsia" w:ascii="宋体" w:hAnsi="宋体" w:cs="宋体"/>
                <w:b/>
                <w:bCs/>
                <w:sz w:val="20"/>
                <w:szCs w:val="20"/>
                <w:lang w:bidi="ar"/>
              </w:rPr>
            </w:pPr>
            <w:r>
              <w:rPr>
                <w:rFonts w:hint="eastAsia" w:eastAsia="等线"/>
                <w:b/>
                <w:bCs/>
              </w:rPr>
              <w:t xml:space="preserve">足球标志盘</w:t>
            </w:r>
            <w:r>
              <w:rPr>
                <w:rFonts w:hint="eastAsia" w:ascii="宋体" w:hAnsi="宋体" w:cs="宋体"/>
                <w:b/>
                <w:bCs/>
                <w:sz w:val="20"/>
                <w:szCs w:val="20"/>
                <w:lang w:bidi="ar"/>
              </w:rPr>
            </w:r>
            <w:r/>
          </w:p>
        </w:tc>
        <w:tc>
          <w:tcPr>
            <w:tcW w:w="7053" w:type="dxa"/>
            <w:vAlign w:val="center"/>
            <w:textDirection w:val="lrTb"/>
            <w:noWrap w:val="false"/>
          </w:tcPr>
          <w:p>
            <w:pPr>
              <w:pStyle w:val="769"/>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不低于以下要求：</w:t>
            </w:r>
            <w:r/>
          </w:p>
          <w:p>
            <w:pPr>
              <w:pStyle w:val="769"/>
              <w:jc w:val="left"/>
              <w:widowControl/>
              <w:rPr>
                <w:rFonts w:hint="eastAsia" w:ascii="宋体" w:hAnsi="宋体" w:cs="宋体"/>
                <w:b/>
                <w:bCs/>
                <w:sz w:val="20"/>
                <w:szCs w:val="20"/>
                <w:lang w:bidi="ar"/>
              </w:rPr>
            </w:pPr>
            <w:r>
              <w:rPr>
                <w:rFonts w:hint="eastAsia" w:ascii="宋体" w:hAnsi="宋体" w:cs="宋体"/>
                <w:b/>
                <w:bCs/>
                <w:sz w:val="20"/>
                <w:szCs w:val="20"/>
                <w:lang w:bidi="ar"/>
              </w:rPr>
              <w:t xml:space="preserve">材质：环保PE 。</w:t>
            </w:r>
            <w:r>
              <w:rPr>
                <w:rFonts w:hint="eastAsia" w:ascii="宋体" w:hAnsi="宋体" w:cs="宋体"/>
                <w:b/>
                <w:bCs/>
                <w:sz w:val="20"/>
                <w:szCs w:val="20"/>
                <w:lang w:bidi="ar"/>
              </w:rPr>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153</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打印机</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1、支持纸张尺寸A4；                                                                                                                                                  2、支持自动双面；                                                                        </w:t>
            </w:r>
            <w:r>
              <w:rPr>
                <w:rFonts w:hint="eastAsia" w:ascii="宋体" w:hAnsi="宋体" w:cs="宋体"/>
                <w:color w:val="000000"/>
                <w:sz w:val="20"/>
                <w:szCs w:val="20"/>
                <w:lang w:bidi="ar"/>
              </w:rPr>
              <w:t xml:space="preserve">                                                                          3、黑白激光打印；                                                                                                                                                  4、打印速度25-34页/分；</w:t>
              <w:br/>
              <w:t xml:space="preserve">5、打印方式：无线网络</w:t>
            </w:r>
            <w:r>
              <w:rPr>
                <w:rFonts w:hint="eastAsia" w:ascii="宋体" w:hAnsi="宋体" w:cs="宋体"/>
                <w:color w:val="000000"/>
                <w:sz w:val="20"/>
                <w:szCs w:val="20"/>
                <w:lang w:bidi="ar"/>
              </w:rPr>
              <w:t xml:space="preserve">打印，有线网络打印，USB线直连打印；</w:t>
              <w:br w:type="textWrapping" w:clear="all"/>
              <w:t xml:space="preserve">6、具有打印、复印、扫描功能。</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154</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定制书柜</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1、规格：1000*400*2200mm；                                                2、材质：采用橡胶木，层板厚度≥25mm,顶板、立板厚度≥18mm。所有接触面均采用打磨光滑无毛刺处理；                   </w:t>
            </w:r>
            <w:r>
              <w:rPr>
                <w:rFonts w:hint="eastAsia" w:ascii="宋体" w:hAnsi="宋体" w:cs="宋体"/>
                <w:color w:val="000000"/>
                <w:sz w:val="20"/>
                <w:szCs w:val="20"/>
                <w:lang w:bidi="ar"/>
              </w:rPr>
              <w:t xml:space="preserve">                                                                             </w:t>
              <w:br/>
              <w:t xml:space="preserve">3、油漆：采用环保水性油漆，经二底三面喷漆，颜色为清水本色；                                                  </w:t>
              <w:br/>
              <w:t xml:space="preserve">4、五金件：采用五金配件，经防锈处理，达国家标准；</w:t>
              <w:br/>
              <w:t xml:space="preserve">5、其他：上下平均分体对开门，踢脚线高度≥50mm，上门内两块隔板，上下门为木门，下门内一块隔板。踢脚线高度≥50mm。颜色由校方确认后制作。</w:t>
            </w:r>
            <w:r/>
          </w:p>
        </w:tc>
      </w:tr>
      <w:tr>
        <w:trPr>
          <w:trHeight w:val="539"/>
        </w:trPr>
        <w:tc>
          <w:tcPr>
            <w:tcW w:w="710"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155</w:t>
            </w:r>
            <w:r/>
          </w:p>
        </w:tc>
        <w:tc>
          <w:tcPr>
            <w:tcW w:w="2727" w:type="dxa"/>
            <w:vAlign w:val="center"/>
            <w:textDirection w:val="lrTb"/>
            <w:noWrap w:val="false"/>
          </w:tcPr>
          <w:p>
            <w:pPr>
              <w:pStyle w:val="769"/>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定制班级边柜</w:t>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1、规格：2000*350*800mm；                   </w:t>
            </w:r>
            <w:r>
              <w:rPr>
                <w:rFonts w:hint="eastAsia" w:ascii="宋体" w:hAnsi="宋体" w:cs="宋体"/>
                <w:color w:val="000000"/>
                <w:sz w:val="20"/>
                <w:szCs w:val="20"/>
                <w:lang w:bidi="ar"/>
              </w:rPr>
              <w:t xml:space="preserve">                            2、材质：采用橡胶木，厚度≥18mm。所有接触面均采用打磨光滑无毛刺处理；                                                                   </w:t>
            </w:r>
            <w:r>
              <w:rPr>
                <w:rFonts w:hint="eastAsia" w:ascii="宋体" w:hAnsi="宋体" w:cs="宋体"/>
                <w:color w:val="000000"/>
                <w:sz w:val="20"/>
                <w:szCs w:val="20"/>
                <w:lang w:bidi="ar"/>
              </w:rPr>
              <w:t xml:space="preserve">                                                                                                            3、油漆：采用环保水性油漆，经二底三面喷漆，颜色为清水本色；                             4、五金件：采用五金配件，经防锈处理，达国家标准；                                  5、底部配橡胶软垫；其他：无柜门，踢脚线高60mm。    </w:t>
            </w:r>
            <w:r/>
          </w:p>
        </w:tc>
      </w:tr>
      <w:tr>
        <w:trPr>
          <w:trHeight w:val="2843"/>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156</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课桌椅</w:t>
            </w:r>
            <w:r>
              <w:rPr>
                <w:rFonts w:hint="eastAsia" w:ascii="宋体" w:hAnsi="宋体" w:cs="宋体"/>
                <w:szCs w:val="21"/>
                <w:lang w:bidi="zh-CN"/>
              </w:rPr>
            </w:r>
            <w:r/>
          </w:p>
        </w:tc>
        <w:tc>
          <w:tcPr>
            <w:tcW w:w="7053" w:type="dxa"/>
            <w:vAlign w:val="top"/>
            <w:textDirection w:val="lrTb"/>
            <w:noWrap w:val="false"/>
          </w:tcPr>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w:t>
              <w:br w:type="textWrapping" w:clear="all"/>
              <w:t xml:space="preserve">1、规格：桌面尺寸：长 618（±5）mm×宽 425（±5）mm×H（高度）mm；椅面尺寸：长400（±5）mm×宽 370（±5）mm×H（高度）mm；靠背尺寸：400（±5）mm×350（±5）mm；</w:t>
              <w:br w:type="textWrapping" w:clear="all"/>
              <w:t xml:space="preserve">2</w:t>
            </w:r>
            <w:r>
              <w:rPr>
                <w:rFonts w:hint="eastAsia" w:ascii="宋体" w:hAnsi="宋体" w:cs="宋体"/>
                <w:color w:val="000000"/>
                <w:sz w:val="20"/>
                <w:szCs w:val="20"/>
                <w:lang w:bidi="ar"/>
              </w:rPr>
              <w:t xml:space="preserve">、桌面、桌斗均采用聚乙烯或聚丙烯等环保耐冲击塑料一体注塑成型，桌面厚度 22（±2）mm，桌面底部设有承重钢管，规格不小于 30mm×15mm×壁厚 1.2mm 并与桌面底部平齐，由螺丝锁付于面板底部，桌面靠胸部位置为内弧形造型，表面无反光现象，面板前端设置一冂字型防滑落凸条并与笔槽连成一体，笔槽设有排水孔，四周及底部完全不得有毛边、倒圆角、不刮手；</w:t>
              <w:br w:type="textWrapping" w:clear="all"/>
              <w:t xml:space="preserve">3、靠背与钢管结合方式，采用直插式，靠背设计有曲线弧度；座板前端有下凹设计，座板设计有通气缝，坐垫中间有内凹设计，座板设计有通气缝，座面板后倾0-2度。功能：</w:t>
            </w:r>
            <w:r>
              <w:rPr>
                <w:rFonts w:hint="eastAsia" w:ascii="宋体" w:hAnsi="宋体" w:cs="宋体"/>
                <w:color w:val="000000"/>
                <w:sz w:val="20"/>
                <w:szCs w:val="20"/>
                <w:lang w:bidi="ar"/>
              </w:rPr>
              <w:t xml:space="preserve">书箱底部有排水槽缝之设计；</w:t>
              <w:br/>
              <w:t xml:space="preserve">4、桌体、椅体钢架：采用椭圆形冷轧钢管、方管亮光钢管组合焊接而成，管材要求壁厚不小于 1.2mm，管材焊接采用二氧化碳保护焊，并采用满焊工艺，桌腿之间采用椭圆形钢管加焊横档成外弧形，以保证其横向稳定。桌椅钢架：着地管30mm×50mm×壁厚1.2mm椭圆管、立管30mm×60mm× 壁厚1.2mm椭圆管、Y型支架20mm×40mm×壁厚1.5mm椭圆管、横拉管为20mm×40mm×壁厚1.2mm椭圆管，横拉管焊接工艺制作。调节管20mm×50mm×壁厚1.2mm椭圆管；座板下加焊</w:t>
            </w:r>
            <w:r>
              <w:rPr>
                <w:rFonts w:hint="eastAsia" w:ascii="宋体" w:hAnsi="宋体" w:cs="宋体"/>
                <w:color w:val="000000"/>
                <w:sz w:val="20"/>
                <w:szCs w:val="20"/>
                <w:lang w:bidi="ar"/>
              </w:rPr>
              <w:t xml:space="preserve">两根16mm×34mm×壁厚1.5mm承重管，椅背管为20mm×40mm×壁厚1.5mm椭圆管； </w:t>
              <w:br w:type="textWrapping" w:clear="all"/>
              <w:t xml:space="preserve">5、桌椅课桌椅高度均可调节，调节方式为螺丝调节，桌椅两侧各两颗调节螺丝。可调高度范围需符合国标要求，可覆盖 0-5 号、4-9 号两种</w:t>
            </w:r>
            <w:r>
              <w:rPr>
                <w:rFonts w:hint="eastAsia" w:ascii="宋体" w:hAnsi="宋体" w:cs="宋体"/>
                <w:color w:val="000000"/>
                <w:sz w:val="20"/>
                <w:szCs w:val="20"/>
                <w:lang w:bidi="ar"/>
              </w:rPr>
              <w:t xml:space="preserve">（具体高度待中标后由学校提供），调节管外侧根据实际高度印刷升降刻度，可实时观测升降高度情况；</w:t>
              <w:br/>
              <w:t xml:space="preserve">6、课桌为单斗结构。桌斗高度（桌面至桌底高度）：0-3号桌为130mm；4-10号桌为120mm； </w:t>
              <w:br/>
              <w:t xml:space="preserve">7、金属桌腿的脚套须使用聚乙烯或聚丙烯材料等环保塑料，厚度不小于3mm； </w:t>
              <w:br/>
              <w:t xml:space="preserve">8、左右两侧各配有与书箱一体成型同色的挂钩，挂钩挂重物的垂直静承载力不小于 500N，钩端不超过桌侧缘之外； </w:t>
              <w:br/>
              <w:t xml:space="preserve">9、桌椅的所有结构不得留有棱角和锋利边缝及不合规的洞孔；</w:t>
              <w:br/>
              <w:t xml:space="preserve">10、产品涉及的各类辅材和配件，必须是合格正品。颜色由校方确认后制作。</w:t>
            </w:r>
            <w:r>
              <w:rPr>
                <w:rFonts w:hint="eastAsia" w:ascii="宋体" w:hAnsi="宋体" w:cs="宋体"/>
                <w:szCs w:val="21"/>
                <w:lang w:bidi="zh-CN"/>
              </w:rPr>
            </w:r>
            <w:r/>
          </w:p>
        </w:tc>
      </w:tr>
      <w:tr>
        <w:trPr>
          <w:trHeight w:val="70"/>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157</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档案柜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1、规格：800*400*2000mm；</w:t>
              <w:br w:type="textWrapping" w:clear="all"/>
              <w:t xml:space="preserve">2、结构：上下分体对开门，上门占柜体2/3，下门占柜体1/3，上门为玻璃门，玻璃厚度4mm，上门内两块隔板，下门为木门，下门内一块隔板，踢脚线高度50mm，颜色由校方确认后制作；</w:t>
              <w:br w:type="textWrapping" w:clear="all"/>
              <w:t xml:space="preserve">3、材质：采用橡胶</w:t>
            </w:r>
            <w:r>
              <w:rPr>
                <w:rFonts w:hint="eastAsia" w:ascii="宋体" w:hAnsi="宋体" w:cs="宋体"/>
                <w:color w:val="000000"/>
                <w:sz w:val="20"/>
                <w:szCs w:val="20"/>
                <w:lang w:bidi="ar"/>
              </w:rPr>
              <w:t xml:space="preserve">木，层板厚度≥25mm,顶板</w:t>
            </w:r>
            <w:r>
              <w:rPr>
                <w:rFonts w:hint="eastAsia" w:ascii="宋体" w:hAnsi="宋体" w:cs="宋体"/>
                <w:color w:val="000000"/>
                <w:sz w:val="20"/>
                <w:szCs w:val="20"/>
                <w:lang w:bidi="ar"/>
              </w:rPr>
              <w:t xml:space="preserve">、立板厚度≥18mm，所有接触面均采用打磨光滑无毛刺处理；                                                                                                </w:t>
              <w:br/>
              <w:t xml:space="preserve">4、油漆：采用清水聚酯漆涂装（亚光清水漆），五底三面喷漆，颜色为清水本色；                                                  </w:t>
              <w:br/>
              <w:t xml:space="preserve">5、五金配件：采用锌合金三合一连接件、镀锌阻尼缓冲铰链、固定螺并经过防锈处理后安装。</w:t>
            </w:r>
            <w:r>
              <w:rPr>
                <w:rFonts w:hint="eastAsia" w:ascii="宋体" w:hAnsi="宋体" w:cs="宋体"/>
                <w:szCs w:val="21"/>
                <w:lang w:bidi="zh-CN"/>
              </w:rPr>
            </w:r>
            <w:r/>
          </w:p>
        </w:tc>
      </w:tr>
      <w:tr>
        <w:trPr>
          <w:trHeight w:val="70"/>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158</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异形阅览桌</w:t>
            </w:r>
            <w:r>
              <w:rPr>
                <w:rFonts w:hint="eastAsia" w:ascii="宋体" w:hAnsi="宋体" w:cs="宋体"/>
                <w:szCs w:val="21"/>
                <w:lang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1、规格：直径1800*700mm；                                             2、材质：采用橡胶木，桌面厚度≥18mm。所有接触面均采用打磨光滑无毛刺处理；                                                                                3、工艺：采用传统卯榫结构和现代加工工艺相结合，卯榫紧配合不允许1mm间隙； </w:t>
            </w:r>
            <w:r>
              <w:rPr>
                <w:rFonts w:hint="eastAsia" w:ascii="宋体" w:hAnsi="宋体" w:cs="宋体"/>
                <w:color w:val="000000"/>
                <w:sz w:val="20"/>
                <w:szCs w:val="20"/>
                <w:lang w:bidi="ar"/>
              </w:rPr>
              <w:t xml:space="preserve">                                                               4、油漆：采用清水聚酯漆涂装（亚光清水漆），经二底三面喷漆，颜色为白色烤漆。</w:t>
            </w:r>
            <w:r>
              <w:rPr>
                <w:rFonts w:hint="eastAsia" w:ascii="宋体" w:hAnsi="宋体" w:cs="宋体"/>
                <w:szCs w:val="21"/>
                <w:lang w:bidi="zh-CN"/>
              </w:rPr>
            </w:r>
            <w:r/>
          </w:p>
        </w:tc>
      </w:tr>
      <w:tr>
        <w:trPr>
          <w:trHeight w:val="90"/>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159</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阅览椅</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1、规格：370*380*500mm；                                                 2、材质：高密度聚乙烯（HDPE）；                                          3、颜色由校方确认后制作。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hint="eastAsia" w:ascii="宋体" w:hAnsi="宋体" w:cs="宋体"/>
                <w:szCs w:val="21"/>
                <w:lang w:bidi="zh-CN"/>
              </w:rPr>
            </w:pPr>
            <w:r>
              <w:rPr>
                <w:rFonts w:hint="eastAsia" w:ascii="宋体" w:hAnsi="宋体" w:cs="宋体"/>
                <w:color w:val="000000"/>
                <w:sz w:val="20"/>
                <w:szCs w:val="20"/>
                <w:lang w:bidi="ar"/>
              </w:rPr>
              <w:t xml:space="preserve">160</w:t>
            </w:r>
            <w:r>
              <w:rPr>
                <w:rFonts w:hint="eastAsia" w:ascii="宋体" w:hAnsi="宋体" w:cs="宋体"/>
                <w:szCs w:val="21"/>
                <w:lang w:bidi="zh-CN"/>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软体组合</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1、规格：小象、小羊：700*670mm    沙发：630*450*660mm；                  2、框架：烘干松木骨架；</w:t>
              <w:br w:type="textWrapping" w:clear="all"/>
              <w:t xml:space="preserve">3、填充：高密度回弹海绵（密度≥45kg/㎡）+丝绵包裹；</w:t>
              <w:br w:type="textWrapping" w:clear="all"/>
              <w:t xml:space="preserve">4、面料：泰迪布；</w:t>
              <w:br w:type="textWrapping" w:clear="all"/>
              <w:t xml:space="preserve">5、底脚：橡木脚垫。</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hint="eastAsia" w:ascii="宋体" w:hAnsi="宋体"/>
                <w:szCs w:val="21"/>
              </w:rPr>
            </w:pPr>
            <w:r>
              <w:rPr>
                <w:rFonts w:hint="eastAsia" w:ascii="宋体" w:hAnsi="宋体" w:cs="宋体"/>
                <w:color w:val="000000"/>
                <w:sz w:val="20"/>
                <w:szCs w:val="20"/>
                <w:lang w:bidi="ar"/>
              </w:rPr>
              <w:t xml:space="preserve">161</w:t>
            </w:r>
            <w:r>
              <w:rPr>
                <w:rFonts w:hint="eastAsia"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布帘</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1、规格：2000*2800mm；                                                    2、面料：采用双面棉麻；          </w:t>
            </w:r>
            <w:r>
              <w:rPr>
                <w:rFonts w:hint="eastAsia" w:ascii="宋体" w:hAnsi="宋体" w:cs="宋体"/>
                <w:color w:val="000000"/>
                <w:sz w:val="20"/>
                <w:szCs w:val="20"/>
                <w:lang w:bidi="ar"/>
              </w:rPr>
              <w:t xml:space="preserve">                                               3、克重：1274g/m加厚双面棉麻；                                                      4、遮光力度：98%加厚物理高遮光；                                            5、抗菌水平：7A级抗菌。颜色由校方确认后制作。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hint="eastAsia" w:ascii="宋体" w:hAnsi="宋体"/>
                <w:szCs w:val="21"/>
              </w:rPr>
            </w:pPr>
            <w:r>
              <w:rPr>
                <w:rFonts w:hint="eastAsia" w:ascii="宋体" w:hAnsi="宋体" w:cs="宋体"/>
                <w:color w:val="000000"/>
                <w:sz w:val="20"/>
                <w:szCs w:val="20"/>
                <w:lang w:bidi="ar"/>
              </w:rPr>
              <w:t xml:space="preserve">162</w:t>
            </w:r>
            <w:r>
              <w:rPr>
                <w:rFonts w:hint="eastAsia"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书包柜-1</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1、规格：1800*400*1000mm；        </w:t>
            </w:r>
            <w:r>
              <w:rPr>
                <w:rFonts w:hint="eastAsia" w:ascii="宋体" w:hAnsi="宋体" w:cs="宋体"/>
                <w:color w:val="000000"/>
                <w:sz w:val="20"/>
                <w:szCs w:val="20"/>
                <w:lang w:bidi="ar"/>
              </w:rPr>
              <w:t xml:space="preserve">                                         2、材质：所有板材均采用AA级橡胶木指接板制作，顶板厚度 25mm，其他板材厚度≥18mm，背板采用≥9mm厚实木多层板，表面贴0.6mm厚橡胶木皮，踢脚线 50mm，所有板边倒圆边；</w:t>
              <w:br/>
              <w:t xml:space="preserve">3、油漆：采用清水聚酯漆涂装（亚光清水漆），并保证三底三面；</w:t>
              <w:br/>
              <w:t xml:space="preserve">4、五金配件：采用锌合金三合一连接件、固定螺并经过防锈处理后安装；</w:t>
              <w:br/>
              <w:t xml:space="preserve">5、外表面和内表面以及手指可触及的隐蔽处，无锐利的棱角、毛刺以及小五金部件露出的锐利尖锐；</w:t>
              <w:br/>
              <w:t xml:space="preserve">6、保证45个书包格；</w:t>
            </w:r>
            <w:r>
              <w:rPr>
                <w:rFonts w:hint="eastAsia" w:ascii="宋体" w:hAnsi="宋体" w:cs="宋体"/>
                <w:color w:val="000000"/>
                <w:sz w:val="20"/>
                <w:szCs w:val="20"/>
                <w:lang w:bidi="ar"/>
              </w:rPr>
              <w:t xml:space="preserve">按现场实际尺寸微调。</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hint="eastAsia" w:ascii="宋体" w:hAnsi="宋体"/>
                <w:szCs w:val="21"/>
              </w:rPr>
            </w:pPr>
            <w:r>
              <w:rPr>
                <w:rFonts w:hint="eastAsia" w:ascii="宋体" w:hAnsi="宋体" w:cs="宋体"/>
                <w:color w:val="000000"/>
                <w:sz w:val="20"/>
                <w:szCs w:val="20"/>
                <w:lang w:bidi="ar"/>
              </w:rPr>
              <w:t xml:space="preserve">163</w:t>
            </w:r>
            <w:r>
              <w:rPr>
                <w:rFonts w:hint="eastAsia"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图书柜-1</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1、规格：1000*300*1340m</w:t>
            </w:r>
            <w:r>
              <w:rPr>
                <w:rFonts w:hint="eastAsia" w:ascii="宋体" w:hAnsi="宋体" w:cs="宋体"/>
                <w:color w:val="000000"/>
                <w:sz w:val="20"/>
                <w:szCs w:val="20"/>
                <w:lang w:bidi="ar"/>
              </w:rPr>
              <w:t xml:space="preserve">m；                                                2、材质：所有板材均采用≥18mm厚AA级橡胶木指接板制作，背板采用≥9mm厚实木多层板，表面贴0.6mm厚橡胶木皮；所有材料达到环保E1级要求，所有板边倒圆边，板面光滑，无毛刺，格造型；</w:t>
              <w:br/>
              <w:t xml:space="preserve">3、油漆：采用清水聚酯漆涂装（亚光清水漆），并保证三底三面； </w:t>
              <w:br/>
              <w:t xml:space="preserve">4、五金配件：采用锌合金三合一连接件、固定螺并经过防锈处理后安装；</w:t>
              <w:br/>
              <w:t xml:space="preserve">5、外表面和内表面以及手指可触及的隐蔽处，无锐利的棱角、毛刺以及小五金部件露出的锐利尖锐。</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hint="eastAsia" w:ascii="宋体" w:hAnsi="宋体"/>
                <w:szCs w:val="21"/>
              </w:rPr>
            </w:pPr>
            <w:r>
              <w:rPr>
                <w:rFonts w:hint="eastAsia" w:ascii="宋体" w:hAnsi="宋体" w:cs="宋体"/>
                <w:color w:val="000000"/>
                <w:sz w:val="20"/>
                <w:szCs w:val="20"/>
                <w:lang w:bidi="ar"/>
              </w:rPr>
              <w:t xml:space="preserve">164</w:t>
            </w:r>
            <w:r>
              <w:rPr>
                <w:rFonts w:hint="eastAsia"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教师办公桌-1</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1、规格：1200*600*760mm；                                                   2、材质：采用厚度≥25mm实木多层板；</w:t>
              <w:br w:type="textWrapping" w:clear="all"/>
              <w:t xml:space="preserve">3、PVC封边：采用厚PVC封边带，厚度≥2mm；</w:t>
              <w:br w:type="textWrapping" w:clear="all"/>
              <w:t xml:space="preserve">4、胶水：热熔胶；</w:t>
              <w:br w:type="textWrapping" w:clear="all"/>
              <w:t xml:space="preserve">5、五金配件：采用锌合金三合一连接件、固定螺并经过防锈处理后安装；</w:t>
              <w:br w:type="textWrapping" w:clear="all"/>
              <w:t xml:space="preserve">6、结构：桌面开φ60mm走线孔，带键盘抽</w:t>
            </w:r>
            <w:r>
              <w:rPr>
                <w:rFonts w:hint="eastAsia" w:ascii="宋体" w:hAnsi="宋体" w:cs="宋体"/>
                <w:color w:val="000000"/>
                <w:sz w:val="20"/>
                <w:szCs w:val="20"/>
                <w:lang w:bidi="ar"/>
              </w:rPr>
              <w:t xml:space="preserve">。颜色由校方确认后制作。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165</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定制储物柜-1</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1、规格：1400*400*1800mm；                                                2、材质：实木多层板，层板≥25mm，立板≥18mm。安装挂衣钩，高度尺寸为1000mm，下方离地高度为500mm，柜顶上方为50mm高度造型档条；</w:t>
              <w:br w:type="textWrapping" w:clear="all"/>
              <w:t xml:space="preserve">3、PVC封边：采用厚PVC封边带，厚度≥2mm；</w:t>
              <w:br w:type="textWrapping" w:clear="all"/>
              <w:t xml:space="preserve">4、胶水：热熔胶；</w:t>
              <w:br w:type="textWrapping" w:clear="all"/>
              <w:t xml:space="preserve">5、五金配件：采用锌合金三合一连接件、固定螺并经过防锈处理后安装；</w:t>
              <w:br w:type="textWrapping" w:clear="all"/>
              <w:t xml:space="preserve">6、结构：两扇柜门，带锁，带拉手，颜色由校方确认后制作。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166</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活动柜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1、规格：400*480*630mm；                                                2、材质：实木多层板，厚度≥18mm；</w:t>
              <w:br w:type="textWrapping" w:clear="all"/>
              <w:t xml:space="preserve">3、PVC封边：采用厚PVC封边带，厚度≥2mm；</w:t>
              <w:br w:type="textWrapping" w:clear="all"/>
              <w:t xml:space="preserve">4、胶水：热熔胶；</w:t>
              <w:br w:type="textWrapping" w:clear="all"/>
              <w:t xml:space="preserve">5、五金配件：采用锌合金三合一连接件、固定螺并经过防锈处理后安装；</w:t>
              <w:br w:type="textWrapping" w:clear="all"/>
              <w:t xml:space="preserve">6、结构：二小一大抽屉，带锁，带拉手，五金配件三节静音导轨和耐磨万向轮。颜色由校方确认后制作。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167</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行政办公桌-</w:t>
            </w:r>
            <w:r>
              <w:rPr>
                <w:rFonts w:hint="eastAsia" w:ascii="宋体" w:hAnsi="宋体" w:cs="宋体"/>
                <w:color w:val="000000"/>
                <w:sz w:val="20"/>
                <w:szCs w:val="20"/>
                <w:lang w:bidi="ar"/>
              </w:rPr>
              <w:t xml:space="preserve">1</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1、规格：1800*1600*750mm；                                                  2、材质：厚度≥25mm实木多层板；</w:t>
              <w:br w:type="textWrapping" w:clear="all"/>
              <w:t xml:space="preserve">3、PVC封边：采用厚PVC封边带，厚度≥2mm；</w:t>
              <w:br w:type="textWrapping" w:clear="all"/>
              <w:t xml:space="preserve">4、胶水：热熔胶；</w:t>
              <w:br w:type="textWrapping" w:clear="all"/>
              <w:t xml:space="preserve">5、五</w:t>
            </w:r>
            <w:r>
              <w:rPr>
                <w:rFonts w:hint="eastAsia" w:ascii="宋体" w:hAnsi="宋体" w:cs="宋体"/>
                <w:color w:val="000000"/>
                <w:sz w:val="20"/>
                <w:szCs w:val="20"/>
                <w:lang w:bidi="ar"/>
              </w:rPr>
              <w:t xml:space="preserve">金配件：采用锌合金三合一连接件、固定螺并经过防锈处理后安装；                                                                                                                                                                6、结构：附柜采用45度拼接结构，拉米诺连接方式，预留主机位，线缆等收纳空间，配铝合金翻转线盖，配机械密码锁。颜色由校方确认后制作。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168</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教师办公桌-2</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1、规格：1200*600*760mm；                                                      2、材质：实木多层板；        </w:t>
            </w:r>
            <w:r>
              <w:rPr>
                <w:rFonts w:hint="eastAsia" w:ascii="宋体" w:hAnsi="宋体" w:cs="宋体"/>
                <w:color w:val="000000"/>
                <w:sz w:val="20"/>
                <w:szCs w:val="20"/>
                <w:lang w:bidi="ar"/>
              </w:rPr>
              <w:t xml:space="preserve">                     </w:t>
            </w:r>
            <w:r>
              <w:rPr>
                <w:rFonts w:hint="eastAsia" w:ascii="宋体" w:hAnsi="宋体" w:cs="宋体"/>
                <w:color w:val="000000"/>
                <w:sz w:val="20"/>
                <w:szCs w:val="20"/>
                <w:lang w:bidi="ar"/>
              </w:rPr>
              <w:t xml:space="preserve">                         3、产品结构：钢木结构；</w:t>
              <w:br/>
              <w:t xml:space="preserve">4、台面：采用≥25mm实木多层板，≥2.0mm厚封边条机械封边.台面开孔，预留盖线盒，键盘抽采用PP成型材质，台身采用≥60mm*30mm金属支撑架,扁管经酸洗磷化抛光等处理后，采用环氧树脂塑粉喷涂处理；钢管壁厚≥1.5mm厚，钢架模具成型；活动柜及主机托采用18mm实木多层板，≥2.0mm厚封边条机械封边。(含一个活动柜尺寸：400mm*400mm*600mm，主机托：450mm*268mm*150mm)；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169</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定制储物柜-2</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1、规格：1500*400*1200mm；                                                   2、材质：实木多层板；</w:t>
              <w:br w:type="textWrapping" w:clear="all"/>
              <w:t xml:space="preserve">3、产品结构：板式结构；</w:t>
              <w:br w:type="textWrapping" w:clear="all"/>
              <w:t xml:space="preserve">4、工艺要求：柜身板材采用厚度≥18mm实木多层板,≥2mm厚同色封边条，专用连接件；柜体分为三张竖版，右侧上下为开门设计，下门可收纳杂物，上门柜内设置挂衣杆可挂置衣物；左侧为敞开式设计，离地750mm处设置25mm实木多层横隔板</w:t>
            </w:r>
            <w:r>
              <w:rPr>
                <w:rFonts w:hint="eastAsia" w:ascii="宋体" w:hAnsi="宋体" w:cs="宋体"/>
                <w:color w:val="000000"/>
                <w:sz w:val="20"/>
                <w:szCs w:val="20"/>
                <w:lang w:bidi="ar"/>
              </w:rPr>
              <w:t xml:space="preserve">，以保证底部空间足以满足放置尺寸较大物品，上方为三层不规则层板设计，可放置书籍。颜色由校方确认后制作。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170</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屏风-1</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1、规格：600*40*1200/1200*40*1200mm；                                      2、材质：铝型材,厚度为4公分。壁厚为1.2mm。双面板，经过成型工艺制作而成；          </w:t>
              <w:br w:type="textWrapping" w:clear="all"/>
              <w:t xml:space="preserve">3、ABS封边胶条或PVC封边胶条，厚度为2MM。</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171</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移动桌</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1、规格：1600*600*750mm；</w:t>
            </w:r>
            <w:r>
              <w:rPr>
                <w:rFonts w:hint="eastAsia" w:ascii="宋体" w:hAnsi="宋体" w:cs="宋体"/>
                <w:color w:val="000000"/>
                <w:sz w:val="20"/>
                <w:szCs w:val="20"/>
                <w:lang w:bidi="ar"/>
              </w:rPr>
              <w:t xml:space="preserve">                                               2、材质：厚度≥25mm实木多层板；</w:t>
              <w:br/>
              <w:t xml:space="preserve">3、PVC封边：采用厚PVC封边带，厚度≥2mm；</w:t>
              <w:br/>
              <w:t xml:space="preserve">4、胶水：热熔胶；</w:t>
              <w:br/>
              <w:t xml:space="preserve">5、五金配件：采用锌合金三合一连接件、固定螺并经过防锈处理后安装；                                                                                                                         </w:t>
            </w:r>
            <w:r>
              <w:rPr>
                <w:rFonts w:hint="eastAsia" w:ascii="宋体" w:hAnsi="宋体" w:cs="宋体"/>
                <w:color w:val="000000"/>
                <w:sz w:val="20"/>
                <w:szCs w:val="20"/>
                <w:lang w:bidi="ar"/>
              </w:rPr>
              <w:t xml:space="preserve">                                       6、结构：预留主机位，线缆等收纳空间，桌面开φ60mm走线孔，桌一侧为三抽结构，带通锁，另一侧为一抽加开放格，中间加抽屉带锁。颜色由校方确认后制作。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172</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校长办公桌-1</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1、规格：1800*700*760mm；                                                  2、材质：实木多层板；</w:t>
              <w:br w:type="textWrapping" w:clear="all"/>
              <w:t xml:space="preserve">3、PVC封边：采用厚PVC封边带，厚度≥2mm；</w:t>
              <w:br w:type="textWrapping" w:clear="all"/>
              <w:t xml:space="preserve">4、胶水：热熔胶；</w:t>
              <w:br w:type="textWrapping" w:clear="all"/>
              <w:t xml:space="preserve">5、五金配件：采用锌合金三合一连接件、固定螺并经过防锈处理后安装；</w:t>
              <w:br w:type="textWrapping" w:clear="all"/>
              <w:t xml:space="preserve">6、钢架桌脚：采用品牌钢管，颜色由校方确认后制作。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173</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校长储物柜-1</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1、规格：1600*450*650mm；                                                2、材质工艺：基材采用≥18mm厚实木多层板；                             3、封边：采用高温热熔胶封边；                                         </w:t>
            </w:r>
            <w:r>
              <w:rPr>
                <w:rFonts w:hint="eastAsia" w:ascii="宋体" w:hAnsi="宋体" w:cs="宋体"/>
                <w:color w:val="000000"/>
                <w:sz w:val="20"/>
                <w:szCs w:val="20"/>
                <w:lang w:bidi="ar"/>
              </w:rPr>
              <w:t xml:space="preserve">4、配件：采用三合一连接件，五金铰链；                                                           </w:t>
              <w:br w:type="textWrapping" w:clear="all"/>
              <w:t xml:space="preserve">5、颜色可选，颜色由校方确认后制作。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174</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1、规格：326*508*465mm；                                                 2、材质：柜门为A级ABS原料，（聚苯乙烯树脂）工程塑料一体成型；柜体采用高强度HIPS工程塑料制成，柜体统一灰白色；柜门上下硅胶防撞软护角材质</w:t>
            </w:r>
            <w:r>
              <w:rPr>
                <w:rFonts w:hint="eastAsia" w:ascii="宋体" w:hAnsi="宋体" w:cs="宋体"/>
                <w:color w:val="000000"/>
                <w:sz w:val="20"/>
                <w:szCs w:val="20"/>
                <w:lang w:bidi="ar"/>
              </w:rPr>
              <w:t xml:space="preserve">；</w:t>
              <w:br/>
              <w:t xml:space="preserve">3、副门内设计超大储物盒＋挂钩，置物盒内径尺寸：长298*深86*高60mm±2mm；可放直径80mm的物品；门副板与门板四周12个卡扣固定，采用四方环绕方形加固柱对卡结构，副门凸起外高7mm*门框宽14mm±2mm加强筋；</w:t>
              <w:br/>
              <w:t xml:space="preserve">4、门板、单侧板厚度尺寸：板材正视立面边框厚度尺寸:单侧板厚度≥21mm，双侧板厚度≥42mm，门侧板≥25mm、顶板≥30mm、底板≥30mm；门板≥36mm、底座≥30mm±2mm；</w:t>
              <w:br/>
              <w:t xml:space="preserve">5、铰链孔加强筋：铰链孔孔边缘设凸点加强筋骨；加强因门转动带出的力度，防止铰链孔断裂；</w:t>
              <w:br/>
              <w:t xml:space="preserve">6、高</w:t>
            </w:r>
            <w:r>
              <w:rPr>
                <w:rFonts w:hint="eastAsia" w:ascii="宋体" w:hAnsi="宋体" w:cs="宋体"/>
                <w:color w:val="000000"/>
                <w:sz w:val="20"/>
                <w:szCs w:val="20"/>
                <w:lang w:bidi="ar"/>
              </w:rPr>
              <w:t xml:space="preserve">强度尼龙料铰链U型开口设计+360度L型门轴，为确保摩擦环节年限15年以上不松动，特设计双门，12个卡扣以上二次固定。柜门与柜体连接采用高强度尼龙铰链连接设计；铰链由柜门U型铰链、U型插销、L销、固定块3个部件组成，两端采用弹性卡钩固定在门端、柜体端，轻按卡勾即可拆下，每门一套，不需要任何辅助螺丝连接，易拆易装；尼龙料360度门轴转动次数无上限；</w:t>
              <w:br w:type="textWrapping" w:clear="all"/>
              <w:t xml:space="preserve">7、其他：颜色由校方确认后制作。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175</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异形办公桌</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1、规格：1400*600/700*760mm；                          </w:t>
              <w:br w:type="textWrapping" w:clear="all"/>
              <w:t xml:space="preserve">2、材质：桌面采用18mm厚橡胶木机拼板，桌面开φ60mm走线孔，桌下一侧为柜门结构，侧板厚度18mm，桌下带背板，背板落地；</w:t>
              <w:br w:type="textWrapping" w:clear="all"/>
              <w:t xml:space="preserve">3、油漆：采用清水聚酯漆涂装（亚光清水漆），并保证三底三面；</w:t>
              <w:br w:type="textWrapping" w:clear="all"/>
              <w:t xml:space="preserve">4、五金配件：采用锌合金三合一连接件、固定螺并经过防锈处理后安装。</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176</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后墙软木板-1</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1、规格：4000*1200mm；                                                 2、材质：作品展部分采用5mm厚软木板；内层10mm厚聚苯乙烯泡</w:t>
            </w:r>
            <w:r>
              <w:rPr>
                <w:rFonts w:hint="eastAsia" w:ascii="宋体" w:hAnsi="宋体" w:cs="宋体"/>
                <w:color w:val="000000"/>
                <w:sz w:val="20"/>
                <w:szCs w:val="20"/>
                <w:lang w:bidi="ar"/>
              </w:rPr>
              <w:t xml:space="preserve">沫板材；背板采用防锈热镀锌钢板，厚度≥0.27mm；板面与衬板粘贴采用环保多元醇胶，机械化制作，高温一次成型；</w:t>
              <w:br w:type="textWrapping" w:clear="all"/>
              <w:t xml:space="preserve">3、工艺要求：隐形安装、没有外露的挂接件；                              4、其他：颜色由校方确认后制作。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177</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图书柜-2</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1、规格：1000*400*2000mm；                                               2、材质：采用冷轧钢板，壁厚0.8材质。塑通锁具，柜体经酸洗，磷化等工艺处理；</w:t>
              <w:br w:type="textWrapping" w:clear="all"/>
              <w:t xml:space="preserve">3、高压环保型静电喷塑，所用塑粉均符合国家环保要求，柜门带锁。</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178</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教师办公桌-3</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1、规格：1600*700*760mm；                              </w:t>
              <w:br w:type="textWrapping" w:clear="all"/>
              <w:t xml:space="preserve">2、材质：：桌面采用18mm厚AA级橡胶木机拼板，四周挂边至36mm，桌面开φ60mm走线孔，桌下一侧为三抽结构，中间带抽屉，带通锁，侧板厚度18mm，桌下带背板，背板高度400mm；</w:t>
              <w:br w:type="textWrapping" w:clear="all"/>
              <w:t xml:space="preserve">3、油漆：采用清水聚酯漆涂装（亚光清水漆），并保证三底三面；</w:t>
              <w:br w:type="textWrapping" w:clear="all"/>
              <w:t xml:space="preserve">4、五金配件：采用锌合金三合一连接件、固定螺并经过防锈处理后安</w:t>
            </w:r>
            <w:r>
              <w:rPr>
                <w:rFonts w:hint="eastAsia" w:ascii="宋体" w:hAnsi="宋体" w:cs="宋体"/>
                <w:color w:val="000000"/>
                <w:sz w:val="20"/>
                <w:szCs w:val="20"/>
                <w:lang w:bidi="ar"/>
              </w:rPr>
              <w:t xml:space="preserve">装，带锁。</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179</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组合书柜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1、规格：1600*400*1550mm；                                                 2、材质：采用18mm厚AA级橡胶木指接板制作，背板采用9mm厚实木多层板，表面贴0.6mm厚橡胶木皮；带门处为挂衣区，安装挂衣钩，高度尺寸为1000mm，下方离地高度为500mm，柜顶上方为50mm高度造型档条；</w:t>
              <w:br w:type="textWrapping" w:clear="all"/>
              <w:t xml:space="preserve">3、油漆：采用清水聚酯漆涂装（亚光清水漆），并保证三底三面；</w:t>
              <w:br w:type="textWrapping" w:clear="all"/>
              <w:t xml:space="preserve">4、五金配件：采用锌合金三合一连接件、固定螺并经过防锈处理后安装，带锁。</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180</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教师椅</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1、规格：500*480*850mm；                                                   </w:t>
              <w:br w:type="textWrapping" w:clear="all"/>
              <w:t xml:space="preserve">2、材质：采用橡胶木，凳面厚度20mm，框架厚度30mm，所有接触面均采用打磨光滑无毛刺处理；</w:t>
              <w:br w:type="textWrapping" w:clear="all"/>
              <w:t xml:space="preserve">3、油漆：采用清水聚酯漆涂装（亚光清水漆），并保证三底三面。              </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181</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定制钢制卷帘门柜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1、规格：900*400*2200mm；                </w:t>
            </w:r>
            <w:r>
              <w:rPr>
                <w:rFonts w:hint="eastAsia" w:ascii="宋体" w:hAnsi="宋体" w:cs="宋体"/>
                <w:color w:val="000000"/>
                <w:sz w:val="20"/>
                <w:szCs w:val="20"/>
                <w:lang w:bidi="ar"/>
              </w:rPr>
              <w:t xml:space="preserve">                                 2、柜体：采用spcc0.7mm 冷轧钢板，卷帘门板：0.5~0.6m；</w:t>
              <w:br w:type="textWrapping" w:clear="all"/>
              <w:t xml:space="preserve">3、卷帘结构：铝合金导轨+PVC/钢制帘片；</w:t>
              <w:br w:type="textWrapping" w:clear="all"/>
              <w:t xml:space="preserve">4、承重：每层搁板 ≥60kg；</w:t>
              <w:br w:type="textWrapping" w:clear="all"/>
              <w:t xml:space="preserve">5、 表面处理：静电喷塑、酸洗磷化防锈；</w:t>
              <w:br w:type="textWrapping" w:clear="all"/>
              <w:t xml:space="preserve">6、 配置：可调节层板4块，静音卷帘，带锁。</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182</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教师办公桌-4</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1、规格：1400*700*750mm；                                 </w:t>
              <w:br w:type="textWrapping" w:clear="all"/>
              <w:t xml:space="preserve">2、材质：桌面采用18mm厚橡胶木机拼板，四周挂边至36mm，桌面开φ60mm走线孔，侧板和背板厚度20mm；</w:t>
              <w:br w:type="textWrapping" w:clear="all"/>
              <w:t xml:space="preserve">3、油漆：采用清水聚酯漆涂装（亚光清水漆），并保证三底三面；4、五金配件：采用锌合金三合一连接件、固定螺并经过防锈处理后安装。</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183</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矮柜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1、规格：800*450*650mm；                                                  2、材质：采用18mm厚橡胶木机拼板，柜一侧为三抽结构，带通锁，另一侧为开放格，带一层板；</w:t>
              <w:br w:type="textWrapping" w:clear="all"/>
              <w:t xml:space="preserve">3、油漆：采用清水聚酯漆涂装（亚光清水漆），并保证三底三面；</w:t>
            </w:r>
            <w:r>
              <w:rPr>
                <w:rFonts w:hint="eastAsia" w:ascii="宋体" w:hAnsi="宋体" w:cs="宋体"/>
                <w:color w:val="000000"/>
                <w:sz w:val="20"/>
                <w:szCs w:val="20"/>
                <w:lang w:bidi="ar"/>
              </w:rPr>
              <w:br w:type="textWrapping" w:clear="all"/>
              <w:t xml:space="preserve">4、五金配件：采用锌合金三合一连接件、固定螺并经过防锈处理后安装，带锁。</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184</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校长办公桌-2</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1、规格：1800*800*760mm；</w:t>
              <w:br w:type="textWrapping" w:clear="all"/>
              <w:t xml:space="preserve">2、结构：桌面四周挂边至36mm，桌面开孔60mm，边角倒圆处理；</w:t>
              <w:br w:type="textWrapping" w:clear="all"/>
              <w:t xml:space="preserve">3、材质：侧板和背板厚度18mm，桌面及站板厚度25mm；                                                                        </w:t>
            </w:r>
            <w:r>
              <w:rPr>
                <w:rFonts w:hint="eastAsia" w:ascii="宋体" w:hAnsi="宋体" w:cs="宋体"/>
                <w:color w:val="000000"/>
                <w:sz w:val="20"/>
                <w:szCs w:val="20"/>
                <w:lang w:bidi="ar"/>
              </w:rPr>
              <w:t xml:space="preserve">          </w:t>
              <w:br/>
              <w:t xml:space="preserve">4、面材：采用胡桃木皮贴面,厚度0.6mm,经过涂研工艺处理，实木封边；                                                                  </w:t>
              <w:br/>
              <w:t xml:space="preserve">5、油漆：采用水性漆，五底三面喷漆，所有接触面均要求打磨光滑无毛刺；                                                                          </w:t>
              <w:br/>
              <w:t xml:space="preserve">6、五金配件：采用锌合金三合一连接件、固定螺并经过防锈处理后安装。</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185</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校长储物柜-2</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1、规格：1200*450*660</w:t>
            </w:r>
            <w:r>
              <w:rPr>
                <w:rFonts w:hint="eastAsia" w:ascii="宋体" w:hAnsi="宋体" w:cs="宋体"/>
                <w:color w:val="000000"/>
                <w:sz w:val="20"/>
                <w:szCs w:val="20"/>
                <w:lang w:bidi="ar"/>
              </w:rPr>
              <w:t xml:space="preserve">mm；</w:t>
              <w:br w:type="textWrapping" w:clear="all"/>
              <w:t xml:space="preserve">2、结构：柜体一侧为三抽结构，带通锁，另一侧为开放格，带一层板，边角倒圆处理；</w:t>
              <w:br w:type="textWrapping" w:clear="all"/>
              <w:t xml:space="preserve">3、材质：柜体顶板、层板厚度25mm，面材采用胡桃木皮贴面,厚度0.6mm,经过涂研工艺处理，实木封边；                                          </w:t>
            </w:r>
            <w:r>
              <w:rPr>
                <w:rFonts w:hint="eastAsia" w:ascii="宋体" w:hAnsi="宋体" w:cs="宋体"/>
                <w:color w:val="000000"/>
                <w:sz w:val="20"/>
                <w:szCs w:val="20"/>
                <w:lang w:bidi="ar"/>
              </w:rPr>
              <w:t xml:space="preserve">                                                                                                      </w:t>
              <w:br/>
              <w:t xml:space="preserve">4、油漆：采用水性漆，五底三面喷漆，所有接触面均采用打磨光滑无毛刺处理；                                                                          </w:t>
              <w:br/>
              <w:t xml:space="preserve">5、五金配件：采用锌合金三合一连接件、抽屉道轨、不锈钢螺丝等经过防锈防腐处理后安装。</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186</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校长办公椅</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1、规格：520*490*1255mm；</w:t>
              <w:br w:type="textWrapping" w:clear="all"/>
              <w:t xml:space="preserve">2、材质：采用透气1.5mm西皮，35n/mm、断裂伸长率80%；</w:t>
              <w:br w:type="textWrapping" w:clear="all"/>
              <w:t xml:space="preserve">3、海绵：采用无氟定型发泡海绵；                          </w:t>
            </w:r>
            <w:r>
              <w:rPr>
                <w:rFonts w:hint="eastAsia" w:ascii="宋体" w:hAnsi="宋体" w:cs="宋体"/>
                <w:color w:val="000000"/>
                <w:sz w:val="20"/>
                <w:szCs w:val="20"/>
                <w:lang w:bidi="ar"/>
              </w:rPr>
              <w:t xml:space="preserve">                          </w:t>
              <w:br w:type="textWrapping" w:clear="all"/>
              <w:t xml:space="preserve">4、基架：采用橡木四脚，曲木板材厚12mm，并经过防潮、防腐、防虫处理后安装。</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187</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接待椅</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1、规格：570*660*900mm；</w:t>
              <w:br w:type="textWrapping" w:clear="all"/>
              <w:t xml:space="preserve">2、材质：采用透气1.5mm西皮，35n/mm、断裂伸长率80%；</w:t>
              <w:br w:type="textWrapping" w:clear="all"/>
              <w:t xml:space="preserve">3、海绵：采用无氟定型发泡海绵；                                                    </w:t>
              <w:br w:type="textWrapping" w:clear="all"/>
              <w:t xml:space="preserve">4、基架：采用橡木四脚，曲木板材厚12mm，并经过防潮、防腐、防虫处理后安装。</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188</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三门文件柜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1、规格：1200*420*2000mm；</w:t>
              <w:br w:type="textWrapping" w:clear="all"/>
              <w:t xml:space="preserve">2、结构：柜体下半部为木门，内设一块活动层板，上半部一扇木门内设挂衣杆，两扇玻璃门，内设两块活动层板，木质边框，玻璃厚度为4mm；</w:t>
              <w:br w:type="textWrapping" w:clear="all"/>
              <w:t xml:space="preserve">3、材质：柜体顶板、层板厚度25mm，其余厚度均使用18mm；                                                                                 </w:t>
              <w:br w:type="textWrapping" w:clear="all"/>
              <w:t xml:space="preserve">4、面材：采用胡桃木皮贴面,厚度0.6mm,经过涂研工艺处理，实木封边；       </w:t>
            </w:r>
            <w:r>
              <w:rPr>
                <w:rFonts w:hint="eastAsia" w:ascii="宋体" w:hAnsi="宋体" w:cs="宋体"/>
                <w:color w:val="000000"/>
                <w:sz w:val="20"/>
                <w:szCs w:val="20"/>
                <w:lang w:bidi="ar"/>
              </w:rPr>
              <w:t xml:space="preserve">                                                           </w:t>
              <w:br w:type="textWrapping" w:clear="all"/>
              <w:t xml:space="preserve">5、油漆：采用水性漆，五底三面喷漆，所有接触面均采用打磨光滑无毛刺处理；</w:t>
              <w:br w:type="textWrapping" w:clear="all"/>
              <w:t xml:space="preserve">6、五金配件：采用锌合金三合一连接件、镀锌阻尼缓冲铰链、太空铝拉手、固定螺经过防锈处理后安装。</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189</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双门文件柜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1、规格：800*420*2000mm；</w:t>
              <w:br w:type="textWrapping" w:clear="all"/>
              <w:t xml:space="preserve">2、结构：柜体下半部为木门，内设一块活动层板，上半部为玻璃门，内设两块活动层板，木质边框，玻璃厚度为4mm；                </w:t>
            </w:r>
            <w:r>
              <w:rPr>
                <w:rFonts w:hint="eastAsia" w:ascii="宋体" w:hAnsi="宋体" w:cs="宋体"/>
                <w:color w:val="000000"/>
                <w:sz w:val="20"/>
                <w:szCs w:val="20"/>
                <w:lang w:bidi="ar"/>
              </w:rPr>
              <w:t xml:space="preserve">                                       </w:t>
              <w:br/>
              <w:t xml:space="preserve">3、材质：柜体顶板、层板采用厚度25mm，其余厚度均使用18mm；                                                                               </w:t>
              <w:br/>
              <w:t xml:space="preserve">4、面材：采用胡桃木皮贴面,厚度0.6mm,经过涂研工艺处理，实木封边；                                                                  </w:t>
              <w:br/>
            </w:r>
            <w:r>
              <w:rPr>
                <w:rFonts w:hint="eastAsia" w:ascii="宋体" w:hAnsi="宋体" w:cs="宋体"/>
                <w:color w:val="000000"/>
                <w:sz w:val="20"/>
                <w:szCs w:val="20"/>
                <w:lang w:bidi="ar"/>
              </w:rPr>
              <w:t xml:space="preserve">5、油漆：采用水性漆，五底三面喷漆，所有接触面均要求打磨光滑无毛刺；                                                                          </w:t>
              <w:br w:type="textWrapping" w:clear="all"/>
              <w:t xml:space="preserve">6、五金配件:采用锌合金三合一连接件、镀锌阻尼缓冲铰链、太空铝拉手、固定螺经过防锈处理后安装。</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190</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茶水柜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1、规格：1200*420*830mm；</w:t>
              <w:br w:type="textWrapping" w:clear="all"/>
              <w:t xml:space="preserve">2、结构：两抽两门设计，三边围挡设计；</w:t>
              <w:br w:type="textWrapping" w:clear="all"/>
              <w:t xml:space="preserve">3、材质：柜体顶板、层板厚度采用25mm，其余厚度均使用18mm；       </w:t>
            </w:r>
            <w:r>
              <w:rPr>
                <w:rFonts w:hint="eastAsia" w:ascii="宋体" w:hAnsi="宋体" w:cs="宋体"/>
                <w:color w:val="000000"/>
                <w:sz w:val="20"/>
                <w:szCs w:val="20"/>
                <w:lang w:bidi="ar"/>
              </w:rPr>
              <w:t xml:space="preserve">                                                                          </w:t>
              <w:br/>
              <w:t xml:space="preserve">4、面材：采用胡桃木皮贴面,厚度0.6mm,经过涂研工艺处理，实木封边；                                                                  </w:t>
              <w:br/>
              <w:t xml:space="preserve">5、油漆采用水性漆，五底三面喷漆，所有接触面均要求打磨光滑无毛刺；                                             </w:t>
            </w:r>
            <w:r>
              <w:rPr>
                <w:rFonts w:hint="eastAsia" w:ascii="宋体" w:hAnsi="宋体" w:cs="宋体"/>
                <w:color w:val="000000"/>
                <w:sz w:val="20"/>
                <w:szCs w:val="20"/>
                <w:lang w:bidi="ar"/>
              </w:rPr>
              <w:t xml:space="preserve">                             </w:t>
              <w:br w:type="textWrapping" w:clear="all"/>
              <w:t xml:space="preserve">6、五金配件：采用锌合金三合一连接件、镀锌阻尼缓冲铰链、抽屉道轨、太空铝拉手、固定螺经过防锈处理后安装。</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191</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沙发</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1、规格：三人位；             </w:t>
            </w:r>
            <w:r>
              <w:rPr>
                <w:rFonts w:hint="eastAsia" w:ascii="宋体" w:hAnsi="宋体" w:cs="宋体"/>
                <w:color w:val="000000"/>
                <w:sz w:val="20"/>
                <w:szCs w:val="20"/>
                <w:lang w:bidi="ar"/>
              </w:rPr>
              <w:t xml:space="preserve">                                                    </w:t>
              <w:br/>
              <w:t xml:space="preserve">2、材质：采用1.5mm西皮，撕裂强求度35n/mm、断裂伸长率80%；                                                         3、海绵：采用无氟定型发泡海绵；                                                       </w:t>
              <w:br/>
              <w:t xml:space="preserve">4、基架：采用橡木实木，曲木板材厚12mm，并经防潮、防腐、防虫处理后组装。</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192</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长茶几</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1、规格：1200*600*450mm；                                                        </w:t>
              <w:br w:type="textWrapping" w:clear="all"/>
              <w:t xml:space="preserve">2、材质：台面及边站板板材厚度采用25mm，其余厚度板材均使用18mm；  </w:t>
            </w:r>
            <w:r>
              <w:rPr>
                <w:rFonts w:hint="eastAsia" w:ascii="宋体" w:hAnsi="宋体" w:cs="宋体"/>
                <w:color w:val="000000"/>
                <w:sz w:val="20"/>
                <w:szCs w:val="20"/>
                <w:lang w:bidi="ar"/>
              </w:rPr>
              <w:t xml:space="preserve">                                                                                </w:t>
              <w:br w:type="textWrapping" w:clear="all"/>
              <w:t xml:space="preserve">3、面材：采用胡桃木皮贴面,厚度0.6mm,经过涂研工艺处理，实木封边；                                                                  </w:t>
              <w:br w:type="textWrapping" w:clear="all"/>
              <w:t xml:space="preserve">4、油漆：采用水性漆，五底三面喷漆，所有接触面均采用打磨光滑无毛刺处理。 </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193</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钢制文件柜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1、规格：900*400*1850mm；</w:t>
              <w:br w:type="textWrapping" w:clear="all"/>
              <w:t xml:space="preserve">2、结构：上下共四层层板，中间带两个抽屉；</w:t>
              <w:br w:type="textWrapping" w:clear="all"/>
              <w:t xml:space="preserve">3、材质：厚度采用0.8mm冷轧钢板，侧板经过折弯成形，铁门采用双层内封，锁叉杆全部封置于内部，隔板经轧压成型，每面采用三个90°轧压弯边。 </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194</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书包柜-2</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1、规格：2320*400*1000mm；                                              2、结构：三层格挡设计，每层格挡设置6个，边角倒圆处理；                                        </w:t>
            </w:r>
            <w:r>
              <w:rPr>
                <w:rFonts w:hint="eastAsia" w:ascii="宋体" w:hAnsi="宋体" w:cs="宋体"/>
                <w:color w:val="000000"/>
                <w:sz w:val="20"/>
                <w:szCs w:val="20"/>
                <w:lang w:bidi="ar"/>
              </w:rPr>
              <w:t xml:space="preserve">                        3、基材：采用橡胶木制作，柜面及站板厚度≥25（mm），其余板材厚度要求≥18（mm）。具有不变形，不开裂木质硬等特点，木材纹理清晰，颜色无差异，所有接触面均要求打磨光滑无</w:t>
            </w:r>
            <w:r>
              <w:rPr>
                <w:rFonts w:hint="eastAsia" w:ascii="宋体" w:hAnsi="宋体" w:cs="宋体"/>
                <w:color w:val="000000"/>
                <w:sz w:val="20"/>
                <w:szCs w:val="20"/>
                <w:lang w:bidi="ar"/>
              </w:rPr>
              <w:t xml:space="preserve">毛刺；</w:t>
              <w:br/>
              <w:t xml:space="preserve">4、油漆：采用清水聚酯漆涂装（亚光清水漆），经二底三面喷漆，颜色为清水本色；                                                                                                    5、五金件：采用锌合金三合一连接件、固定螺并经过防锈处理后安装；                                                       6、底部配橡胶软垫；其他：无柜门，踢脚线高60mm。 </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195</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书包柜-3</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1、规格：1550*400*1000mm；                                            2、结构：三层格挡设计，每层格挡设置3个，边角倒圆处理；                                </w:t>
            </w:r>
            <w:r>
              <w:rPr>
                <w:rFonts w:hint="eastAsia" w:ascii="宋体" w:hAnsi="宋体" w:cs="宋体"/>
                <w:color w:val="000000"/>
                <w:sz w:val="20"/>
                <w:szCs w:val="20"/>
                <w:lang w:bidi="ar"/>
              </w:rPr>
              <w:t xml:space="preserve">                                3、基材：采用橡胶木制作，柜面及站板厚度≥25（mm），其余板材厚度要求≥18（mm），所有接触面均要求打磨光滑无</w:t>
            </w:r>
            <w:r>
              <w:rPr>
                <w:rFonts w:hint="eastAsia" w:ascii="宋体" w:hAnsi="宋体" w:cs="宋体"/>
                <w:color w:val="000000"/>
                <w:sz w:val="20"/>
                <w:szCs w:val="20"/>
                <w:lang w:bidi="ar"/>
              </w:rPr>
              <w:t xml:space="preserve">毛刺；</w:t>
              <w:br/>
              <w:t xml:space="preserve">4、油漆：采用清水聚酯漆涂装（亚光清水漆），经二底三面喷漆，颜色为清水本色；                                                                                                    5、五金件：采用锌合金三合一连接件、固定螺并经过防锈处理后安装；                                                       6、底部配橡胶软垫；其他：无柜门，踢脚线高60mm。 </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196</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图书柜-3</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1、规格：750*400*1000mm；</w:t>
              <w:br w:type="textWrapping" w:clear="all"/>
              <w:t xml:space="preserve">2、结构：采用三层格挡设计，无柜门，踢脚线高60mm，边角倒圆处理，底部配橡胶软垫；     </w:t>
              <w:br w:type="textWrapping" w:clear="all"/>
              <w:t xml:space="preserve">3、材质：采用橡胶木制作，板材厚度≥18mm，所有接触面均采用打磨光滑无毛刺处理；                                    </w:t>
            </w:r>
            <w:r>
              <w:rPr>
                <w:rFonts w:hint="eastAsia" w:ascii="宋体" w:hAnsi="宋体" w:cs="宋体"/>
                <w:color w:val="000000"/>
                <w:sz w:val="20"/>
                <w:szCs w:val="20"/>
                <w:lang w:bidi="ar"/>
              </w:rPr>
              <w:t xml:space="preserve">                                                                                                                                              4、油漆：采用清水聚酯漆涂装（亚光清水漆），五底三面喷漆，颜色为清水本色；</w:t>
              <w:br w:type="textWrapping" w:clear="all"/>
              <w:t xml:space="preserve">5、五金配件：采用锌合金三合一连接件、固定螺并经过防锈处理后安装。   </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197</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教师办公桌-5</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1、规格：1200*800*760</w:t>
            </w:r>
            <w:r>
              <w:rPr>
                <w:rFonts w:hint="eastAsia" w:ascii="宋体" w:hAnsi="宋体" w:cs="宋体"/>
                <w:color w:val="000000"/>
                <w:sz w:val="20"/>
                <w:szCs w:val="20"/>
                <w:lang w:bidi="ar"/>
              </w:rPr>
              <w:t xml:space="preserve">mm；                                              2、材质：采用≥25mm厚实木多层板；</w:t>
              <w:br/>
              <w:t xml:space="preserve">3、PVC封边：采用厚PVC封边带，厚度≥2mm；</w:t>
              <w:br/>
              <w:t xml:space="preserve">5、胶水：热熔胶；</w:t>
              <w:br/>
              <w:t xml:space="preserve">6、五金配件：采用锌合金三合一连接件、固定螺并经过防锈处理后安装。                                                                                                                      </w:t>
            </w:r>
            <w:r>
              <w:rPr>
                <w:rFonts w:hint="eastAsia" w:ascii="宋体" w:hAnsi="宋体" w:cs="宋体"/>
                <w:color w:val="000000"/>
                <w:sz w:val="20"/>
                <w:szCs w:val="20"/>
                <w:lang w:bidi="ar"/>
              </w:rPr>
              <w:t xml:space="preserve">                                          </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198</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定制储物柜-3</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1、规格：1600*400*1100mm；                                       </w:t>
            </w:r>
            <w:r>
              <w:rPr>
                <w:rFonts w:hint="eastAsia" w:ascii="宋体" w:hAnsi="宋体" w:cs="宋体"/>
                <w:color w:val="000000"/>
                <w:sz w:val="20"/>
                <w:szCs w:val="20"/>
                <w:lang w:bidi="ar"/>
              </w:rPr>
              <w:t xml:space="preserve">       2、材质：采用≥18mm厚实木多层板；</w:t>
              <w:br/>
              <w:t xml:space="preserve">3、PVC封边：采用厚PVC封边带，厚度≥2mm；</w:t>
              <w:br/>
              <w:t xml:space="preserve">4、胶水：热熔胶；</w:t>
              <w:br/>
              <w:t xml:space="preserve">5、五金配件：采用锌合金三合一连接件、固定螺并经过防锈处理后安装。                                                                                                                                                                </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199</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屏风-2</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1、规格：800*40*1100/1200*40*1100mm；                                  2、材质：厚度为4公分。壁厚为1.2mm。双面板；</w:t>
              <w:br w:type="textWrapping" w:clear="all"/>
              <w:t xml:space="preserve">3、工艺：ABS封边胶条或PVC封边胶</w:t>
            </w:r>
            <w:r>
              <w:rPr>
                <w:rFonts w:hint="eastAsia" w:ascii="宋体" w:hAnsi="宋体" w:cs="宋体"/>
                <w:color w:val="000000"/>
                <w:sz w:val="20"/>
                <w:szCs w:val="20"/>
                <w:lang w:bidi="ar"/>
              </w:rPr>
              <w:t xml:space="preserve">条，厚度为2MM。</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200</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午休椅</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1、规格：590*1000*790/1250mm；                                                 2、材质：采用尼龙3D立体头枕，尼龙脚轮。五星铝合金脚；                                                           3、背框塑料，腰托采用软尼龙18根超大龙骨腰托 ， 多功能钢制厚底盘，全镂空尼龙坐垫，高密度一体海绵，三级气压棒。</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201</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行政办公桌-2</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1、规格：1600*800*760mm；                                               2、材质：采用≥25mm厚实木多层板；</w:t>
              <w:br w:type="textWrapping" w:clear="all"/>
              <w:t xml:space="preserve">3、、PVC封边：采用厚PVC封边带，厚度≥2mm；</w:t>
              <w:br w:type="textWrapping" w:clear="all"/>
              <w:t xml:space="preserve">4、胶水：热熔胶；</w:t>
              <w:br w:type="textWrapping" w:clear="all"/>
              <w:t xml:space="preserve">5、五金配件：采用锌合金三合一连接件、固定螺并经过防锈处理后安装。                                                                                      </w:t>
            </w:r>
            <w:r>
              <w:rPr>
                <w:rFonts w:hint="eastAsia" w:ascii="宋体" w:hAnsi="宋体" w:cs="宋体"/>
                <w:color w:val="000000"/>
                <w:sz w:val="20"/>
                <w:szCs w:val="20"/>
                <w:lang w:bidi="ar"/>
              </w:rPr>
              <w:t xml:space="preserve">                                                                          </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202</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储物柜-4</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1、规格：1600*450*650mm；                                                      2、材质：采用≥18mm厚实木多层板；</w:t>
              <w:br w:type="textWrapping" w:clear="all"/>
              <w:t xml:space="preserve">3、PVC封边：采用厚PVC封边带，厚度≥2mm；</w:t>
              <w:br w:type="textWrapping" w:clear="all"/>
            </w:r>
            <w:r>
              <w:rPr>
                <w:rFonts w:hint="eastAsia" w:ascii="宋体" w:hAnsi="宋体" w:cs="宋体"/>
                <w:color w:val="000000"/>
                <w:sz w:val="20"/>
                <w:szCs w:val="20"/>
                <w:lang w:bidi="ar"/>
              </w:rPr>
              <w:t xml:space="preserve">4、胶水：热熔胶；</w:t>
              <w:br/>
              <w:t xml:space="preserve">5、五金配件：采用锌合金三合一连接件、固定螺并经过防锈处理后安装；                                                                                                                                                                6、结构：采用45度拼接结构，拉米诺连接方式，预留主机位，线缆等收纳空间，配铝合金翻转线盖，配机械密码锁。</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203</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行政办公椅</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1、规格：620*620*1250-13</w:t>
            </w:r>
            <w:r>
              <w:rPr>
                <w:rFonts w:hint="eastAsia" w:ascii="宋体" w:hAnsi="宋体" w:cs="宋体"/>
                <w:color w:val="000000"/>
                <w:sz w:val="20"/>
                <w:szCs w:val="20"/>
                <w:lang w:bidi="ar"/>
              </w:rPr>
              <w:t xml:space="preserve">30mm；                                        2、面料:选用西皮；                                                                                                              3、辅料:采用PU成型发泡高密度海绵,表面有一层保护面,可防氧化,防碎,经过HD测试永不变形；                                            </w:t>
            </w:r>
            <w:r>
              <w:rPr>
                <w:rFonts w:hint="eastAsia" w:ascii="宋体" w:hAnsi="宋体" w:cs="宋体"/>
                <w:color w:val="000000"/>
                <w:sz w:val="20"/>
                <w:szCs w:val="20"/>
                <w:lang w:bidi="ar"/>
              </w:rPr>
              <w:t xml:space="preserve">                                                 4、配件：气压棒（受力250kg）；伸缩30万次不漏气；                                                                                                                         5、脚架：铝合金五星脚；                                              </w:t>
            </w:r>
            <w:r>
              <w:rPr>
                <w:rFonts w:hint="eastAsia" w:ascii="宋体" w:hAnsi="宋体" w:cs="宋体"/>
                <w:color w:val="000000"/>
                <w:sz w:val="20"/>
                <w:szCs w:val="20"/>
                <w:lang w:bidi="ar"/>
              </w:rPr>
              <w:t xml:space="preserve">                                                                                                             6、功能：具备升降、倾仰、多段式锁定功能；</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204</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储物柜-5</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1、规格：800*400*2000mm；                                                    2、材质：采用≥18mm厚实木多层板；</w:t>
              <w:br w:type="textWrapping" w:clear="all"/>
              <w:t xml:space="preserve">3、PVC封边：采用厚PV</w:t>
            </w:r>
            <w:r>
              <w:rPr>
                <w:rFonts w:hint="eastAsia" w:ascii="宋体" w:hAnsi="宋体" w:cs="宋体"/>
                <w:color w:val="000000"/>
                <w:sz w:val="20"/>
                <w:szCs w:val="20"/>
                <w:lang w:bidi="ar"/>
              </w:rPr>
              <w:t xml:space="preserve">C封边带，厚度≥2mm；</w:t>
              <w:br/>
              <w:t xml:space="preserve">4、胶水：热熔胶；</w:t>
              <w:br/>
              <w:t xml:space="preserve">5、五金配件：采用锌合金三合一连接件、固定螺并经过防锈处理后安装；                                                                                                                                                                6、结构：上下分体对开门，上门占柜体2/3，下门占柜体1/3，踢脚线高度≥50m</w:t>
            </w:r>
            <w:r>
              <w:rPr>
                <w:rFonts w:hint="eastAsia" w:ascii="宋体" w:hAnsi="宋体" w:cs="宋体"/>
                <w:color w:val="000000"/>
                <w:sz w:val="20"/>
                <w:szCs w:val="20"/>
                <w:lang w:bidi="ar"/>
              </w:rPr>
              <w:t xml:space="preserve">m，上门内两块隔板，上下门为木门，下门内一块隔板。踢脚线高度≥50mm。颜色由校方确认后制作。</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205</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作业柜</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1、规格：800*400*1000mm；                                             2、材质：采用≥18mm厚E实木多层板；</w:t>
              <w:br w:type="textWrapping" w:clear="all"/>
              <w:t xml:space="preserve">3、PVC封边：采用厚PVC封边带，厚度≥2mm；</w:t>
              <w:br w:type="textWrapping" w:clear="all"/>
              <w:t xml:space="preserve">4、胶水：热熔胶；</w:t>
              <w:br w:type="textWrapping" w:clear="all"/>
              <w:t xml:space="preserve">5、五金配件：采用锌合金三合一连接件、固定螺并经过防锈处理后安装；                                                       6、结构：三层层板。</w:t>
            </w:r>
            <w:r>
              <w:rPr>
                <w:rFonts w:ascii="宋体" w:hAnsi="宋体"/>
                <w:szCs w:val="21"/>
              </w:rPr>
            </w:r>
            <w:r/>
          </w:p>
        </w:tc>
      </w:tr>
      <w:tr>
        <w:trPr>
          <w:trHeight w:val="70"/>
        </w:trPr>
        <w:tc>
          <w:tcPr>
            <w:tcW w:w="710" w:type="dxa"/>
            <w:vAlign w:val="center"/>
            <w:textDirection w:val="lrTb"/>
            <w:noWrap w:val="false"/>
          </w:tcPr>
          <w:p>
            <w:pPr>
              <w:pStyle w:val="769"/>
              <w:jc w:val="center"/>
              <w:widowControl/>
              <w:rPr>
                <w:rFonts w:ascii="宋体" w:hAnsi="宋体"/>
                <w:szCs w:val="21"/>
              </w:rPr>
            </w:pPr>
            <w:r>
              <w:rPr>
                <w:rFonts w:hint="eastAsia" w:ascii="宋体" w:hAnsi="宋体" w:cs="宋体"/>
                <w:color w:val="000000"/>
                <w:sz w:val="20"/>
                <w:szCs w:val="20"/>
                <w:lang w:bidi="ar"/>
              </w:rPr>
              <w:t xml:space="preserve">206</w:t>
            </w:r>
            <w:r>
              <w:rPr>
                <w:rFonts w:ascii="宋体" w:hAnsi="宋体"/>
                <w:szCs w:val="21"/>
              </w:rPr>
            </w:r>
            <w:r/>
          </w:p>
        </w:tc>
        <w:tc>
          <w:tcPr>
            <w:tcW w:w="2727" w:type="dxa"/>
            <w:vAlign w:val="center"/>
            <w:textDirection w:val="lrTb"/>
            <w:noWrap w:val="false"/>
          </w:tcPr>
          <w:p>
            <w:pPr>
              <w:pStyle w:val="769"/>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后墙软木板-2</w:t>
            </w:r>
            <w:r>
              <w:rPr>
                <w:rFonts w:hint="eastAsia" w:ascii="宋体" w:hAnsi="宋体" w:cs="宋体"/>
                <w:szCs w:val="21"/>
                <w:lang w:val="zh-CN" w:bidi="zh-CN"/>
              </w:rPr>
            </w:r>
            <w:r/>
          </w:p>
        </w:tc>
        <w:tc>
          <w:tcPr>
            <w:tcW w:w="7053" w:type="dxa"/>
            <w:vAlign w:val="center"/>
            <w:textDirection w:val="lrTb"/>
            <w:noWrap w:val="false"/>
          </w:tcPr>
          <w:p>
            <w:pPr>
              <w:pStyle w:val="769"/>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p>
          <w:p>
            <w:pPr>
              <w:pStyle w:val="769"/>
              <w:jc w:val="left"/>
              <w:widowControl/>
              <w:rPr>
                <w:rFonts w:ascii="宋体" w:hAnsi="宋体"/>
                <w:szCs w:val="21"/>
              </w:rPr>
            </w:pPr>
            <w:r>
              <w:rPr>
                <w:rFonts w:hint="eastAsia" w:ascii="宋体" w:hAnsi="宋体" w:cs="宋体"/>
                <w:color w:val="000000"/>
                <w:sz w:val="20"/>
                <w:szCs w:val="20"/>
                <w:lang w:bidi="ar"/>
              </w:rPr>
              <w:t xml:space="preserve">1、规格：5600*1000mm；                                                     2、基材：厚度≥8mm软木板；</w:t>
              <w:br w:type="textWrapping" w:clear="all"/>
              <w:t xml:space="preserve">3、边框：采用厚度≥16mm橡胶木；</w:t>
              <w:br w:type="textWrapping" w:clear="all"/>
              <w:t xml:space="preserve">4、底层：阻燃板厚度≥9mm，板材圆角圆边；</w:t>
              <w:br w:type="textWrapping" w:clear="all"/>
              <w:t xml:space="preserve">5、油漆：木器漆，三底两面工艺。   </w:t>
            </w:r>
            <w:r>
              <w:rPr>
                <w:rFonts w:ascii="宋体" w:hAnsi="宋体"/>
                <w:szCs w:val="21"/>
              </w:rPr>
            </w:r>
            <w:r/>
          </w:p>
        </w:tc>
      </w:tr>
    </w:tbl>
    <w:p>
      <w:pPr>
        <w:pStyle w:val="769"/>
      </w:pPr>
      <w:r/>
      <w:r/>
    </w:p>
    <w:p>
      <w:pPr>
        <w:pStyle w:val="782"/>
        <w:rPr>
          <w:rFonts w:eastAsia="等线"/>
          <w:lang w:val="en-US"/>
        </w:rPr>
      </w:pPr>
      <w:r>
        <w:rPr>
          <w:rFonts w:eastAsia="等线"/>
          <w:lang w:val="en-US"/>
        </w:rPr>
      </w:r>
      <w:r/>
    </w:p>
    <w:p>
      <w:pPr>
        <w:pStyle w:val="769"/>
        <w:ind w:firstLine="480"/>
        <w:rPr>
          <w:rFonts w:hint="eastAsia" w:ascii="宋体" w:hAnsi="宋体" w:cs="宋体"/>
          <w:color w:val="000000"/>
          <w:sz w:val="24"/>
          <w:szCs w:val="24"/>
        </w:rPr>
      </w:pPr>
      <w:r>
        <w:rPr>
          <w:rFonts w:hint="eastAsia" w:ascii="宋体" w:hAnsi="宋体" w:cs="宋体"/>
          <w:color w:val="000000"/>
          <w:sz w:val="24"/>
          <w:szCs w:val="24"/>
        </w:rPr>
        <w:t xml:space="preserve">★2.其他技术要求 </w:t>
      </w:r>
      <w:r/>
    </w:p>
    <w:p>
      <w:pPr>
        <w:pStyle w:val="769"/>
        <w:ind w:firstLine="480"/>
        <w:rPr>
          <w:rFonts w:ascii="宋体" w:hAnsi="宋体" w:cs="宋体"/>
          <w:color w:val="000000"/>
          <w:sz w:val="24"/>
          <w:szCs w:val="24"/>
        </w:rPr>
      </w:pPr>
      <w:r>
        <w:rPr>
          <w:rFonts w:hint="eastAsia" w:ascii="宋体" w:hAnsi="宋体" w:cs="宋体"/>
          <w:color w:val="000000"/>
          <w:sz w:val="24"/>
          <w:szCs w:val="24"/>
        </w:rPr>
        <w:t xml:space="preserve">（1）投标供应商须在投标文件中提供所投“序号61-55寸液晶拼接显示单元”、“序号66-65寸壁挂广告机”、“序号65-</w:t>
      </w:r>
      <w:bookmarkStart w:id="124" w:name="OLE_LINK2"/>
      <w:r>
        <w:rPr>
          <w:rFonts w:hint="eastAsia" w:ascii="宋体" w:hAnsi="宋体" w:cs="宋体"/>
          <w:color w:val="000000"/>
          <w:sz w:val="24"/>
          <w:szCs w:val="24"/>
        </w:rPr>
        <w:t xml:space="preserve">拼接屏控制专用主机</w:t>
      </w:r>
      <w:bookmarkEnd w:id="124"/>
      <w:r>
        <w:rPr>
          <w:rFonts w:hint="eastAsia" w:ascii="宋体" w:hAnsi="宋体" w:cs="宋体"/>
          <w:color w:val="000000"/>
          <w:sz w:val="24"/>
          <w:szCs w:val="24"/>
        </w:rPr>
        <w:t xml:space="preserve">”</w:t>
      </w:r>
      <w:r>
        <w:rPr>
          <w:rFonts w:hint="eastAsia" w:ascii="宋体" w:hAnsi="宋体" w:cs="宋体"/>
          <w:color w:val="000000"/>
          <w:sz w:val="24"/>
          <w:szCs w:val="24"/>
        </w:rPr>
        <w:t xml:space="preserve">、“序号99-LED护眼教室灯”、“序号153-</w:t>
      </w:r>
      <w:bookmarkStart w:id="125" w:name="OLE_LINK1"/>
      <w:r>
        <w:rPr>
          <w:rFonts w:hint="eastAsia" w:ascii="宋体" w:hAnsi="宋体" w:cs="宋体"/>
          <w:color w:val="000000"/>
          <w:sz w:val="24"/>
          <w:szCs w:val="24"/>
        </w:rPr>
        <w:t xml:space="preserve">打印机</w:t>
      </w:r>
      <w:bookmarkEnd w:id="125"/>
      <w:r>
        <w:rPr>
          <w:rFonts w:hint="eastAsia" w:ascii="宋体" w:hAnsi="宋体" w:cs="宋体"/>
          <w:color w:val="000000"/>
          <w:sz w:val="24"/>
          <w:szCs w:val="24"/>
        </w:rPr>
        <w:t xml:space="preserve">”的有效的3C强制认证证书；</w:t>
      </w:r>
      <w:r>
        <w:rPr>
          <w:rFonts w:hint="eastAsia" w:ascii="宋体" w:hAnsi="宋体" w:cs="宋体"/>
          <w:color w:val="000000"/>
          <w:sz w:val="24"/>
          <w:szCs w:val="24"/>
        </w:rPr>
        <w:t xml:space="preserve">“序号</w:t>
      </w:r>
      <w:r>
        <w:rPr>
          <w:rFonts w:ascii="宋体" w:hAnsi="宋体" w:cs="宋体"/>
          <w:color w:val="000000"/>
          <w:sz w:val="24"/>
          <w:szCs w:val="24"/>
        </w:rPr>
        <w:t xml:space="preserve">31</w:t>
      </w:r>
      <w:r>
        <w:rPr>
          <w:rFonts w:hint="eastAsia" w:ascii="宋体" w:hAnsi="宋体" w:cs="宋体"/>
          <w:color w:val="000000"/>
          <w:sz w:val="24"/>
          <w:szCs w:val="24"/>
        </w:rPr>
        <w:t xml:space="preserve">-</w:t>
      </w:r>
      <w:r>
        <w:rPr>
          <w:rFonts w:ascii="宋体" w:hAnsi="宋体" w:cs="宋体"/>
          <w:color w:val="000000"/>
          <w:sz w:val="24"/>
          <w:szCs w:val="24"/>
        </w:rPr>
        <w:t xml:space="preserve">单口龙头</w:t>
      </w:r>
      <w:r>
        <w:rPr>
          <w:rFonts w:hint="eastAsia" w:ascii="宋体" w:hAnsi="宋体" w:cs="宋体"/>
          <w:color w:val="000000"/>
          <w:sz w:val="24"/>
          <w:szCs w:val="24"/>
        </w:rPr>
        <w:t xml:space="preserve">”、“序号65-拼接屏控制专用主机”、“序号153-打印机”是</w:t>
      </w:r>
      <w:r>
        <w:rPr>
          <w:rFonts w:ascii="宋体" w:hAnsi="宋体" w:cs="宋体"/>
          <w:color w:val="000000"/>
          <w:sz w:val="24"/>
          <w:szCs w:val="24"/>
        </w:rPr>
        <w:t xml:space="preserve">政府强制采购节能产品</w:t>
      </w:r>
      <w:r>
        <w:rPr>
          <w:rFonts w:hint="eastAsia" w:ascii="宋体" w:hAnsi="宋体" w:cs="宋体"/>
          <w:color w:val="000000"/>
          <w:sz w:val="24"/>
          <w:szCs w:val="24"/>
        </w:rPr>
        <w:t xml:space="preserve">，投标供应商须在投标文件中提供所投产品有效的节能证书</w:t>
      </w:r>
      <w:r>
        <w:rPr>
          <w:rFonts w:hint="eastAsia" w:ascii="宋体" w:hAnsi="宋体" w:cs="宋体"/>
          <w:color w:val="000000"/>
          <w:sz w:val="24"/>
          <w:szCs w:val="24"/>
        </w:rPr>
        <w:t xml:space="preserve">。</w:t>
      </w:r>
      <w:r>
        <w:rPr>
          <w:rFonts w:ascii="宋体" w:hAnsi="宋体" w:cs="宋体"/>
          <w:color w:val="000000"/>
          <w:sz w:val="24"/>
          <w:szCs w:val="24"/>
        </w:rPr>
      </w:r>
      <w:r/>
    </w:p>
    <w:p>
      <w:pPr>
        <w:pStyle w:val="769"/>
        <w:ind w:firstLine="480"/>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2</w:t>
      </w:r>
      <w:r>
        <w:rPr>
          <w:rFonts w:hint="eastAsia" w:ascii="宋体" w:hAnsi="宋体" w:cs="宋体"/>
          <w:color w:val="000000"/>
          <w:sz w:val="24"/>
          <w:szCs w:val="24"/>
        </w:rPr>
        <w:t xml:space="preserve">）供应商中标后，应提供家具材质清单、原材料产地证明，须就拟投入本项目生产的原材料和主要辅材进行送检，送检内容和受检机构需经采购人认可。</w:t>
      </w:r>
      <w:r/>
    </w:p>
    <w:p>
      <w:pPr>
        <w:pStyle w:val="769"/>
        <w:ind w:firstLine="480"/>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t xml:space="preserve">3</w:t>
      </w:r>
      <w:r>
        <w:rPr>
          <w:rFonts w:hint="eastAsia" w:ascii="宋体" w:hAnsi="宋体" w:cs="宋体"/>
          <w:color w:val="000000"/>
          <w:sz w:val="24"/>
          <w:szCs w:val="24"/>
        </w:rPr>
        <w:t xml:space="preserve">）原材料及辅材应符合国家规定的强制性环保指标。</w:t>
      </w:r>
      <w:r/>
    </w:p>
    <w:p>
      <w:pPr>
        <w:pStyle w:val="769"/>
        <w:ind w:firstLine="480"/>
        <w:rPr>
          <w:rFonts w:hint="eastAsia" w:ascii="宋体" w:hAnsi="宋体" w:cs="宋体"/>
          <w:color w:val="000000"/>
          <w:sz w:val="24"/>
          <w:szCs w:val="24"/>
        </w:rPr>
      </w:pPr>
      <w:r>
        <w:rPr>
          <w:rFonts w:hint="eastAsia" w:ascii="宋体" w:hAnsi="宋体" w:cs="宋体"/>
          <w:color w:val="000000"/>
          <w:sz w:val="24"/>
          <w:szCs w:val="24"/>
        </w:rPr>
        <w:t xml:space="preserve">★（二）商务要求</w:t>
      </w:r>
      <w:r/>
    </w:p>
    <w:p>
      <w:pPr>
        <w:pStyle w:val="769"/>
        <w:ind w:firstLine="480"/>
        <w:spacing w:line="360" w:lineRule="auto"/>
        <w:rPr>
          <w:rFonts w:hint="eastAsia" w:ascii="宋体" w:hAnsi="宋体" w:cs="宋体"/>
          <w:b/>
          <w:sz w:val="24"/>
          <w:szCs w:val="24"/>
        </w:rPr>
      </w:pPr>
      <w:r/>
      <w:bookmarkStart w:id="126" w:name="_Toc120614281"/>
      <w:r>
        <w:rPr>
          <w:rFonts w:hint="eastAsia" w:ascii="宋体" w:hAnsi="宋体" w:cs="宋体"/>
          <w:b/>
          <w:sz w:val="24"/>
          <w:szCs w:val="24"/>
        </w:rPr>
        <w:t xml:space="preserve">1.报价要求</w:t>
      </w:r>
      <w:r/>
    </w:p>
    <w:p>
      <w:pPr>
        <w:pStyle w:val="769"/>
        <w:ind w:firstLine="480"/>
        <w:spacing w:line="360" w:lineRule="auto"/>
        <w:rPr>
          <w:rFonts w:ascii="宋体" w:hAnsi="宋体" w:cs="宋体"/>
          <w:bCs/>
          <w:sz w:val="24"/>
          <w:szCs w:val="24"/>
        </w:rPr>
      </w:pPr>
      <w:r>
        <w:rPr>
          <w:rFonts w:hint="eastAsia" w:ascii="宋体" w:hAnsi="宋体" w:cs="宋体"/>
          <w:bCs/>
          <w:sz w:val="24"/>
          <w:szCs w:val="24"/>
        </w:rPr>
        <w:t xml:space="preserve">（1）投标供应商报价应包含与本次采购项目有关的所有费用，包含但不限于人员、设备、安装、调试、验收、售后服务、伴随配套服务等所有含税费用。同时，还应包含支付给员工的工资和国家强制缴纳的各种社会保障资金，以及投标供应商认为需要的其他费用等。2、代理费。</w:t>
      </w:r>
      <w:r>
        <w:rPr>
          <w:rFonts w:ascii="宋体" w:hAnsi="宋体" w:cs="宋体"/>
          <w:bCs/>
          <w:sz w:val="24"/>
          <w:szCs w:val="24"/>
        </w:rPr>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（2）投标供应商的任何错漏、优惠、竞争性报价不得作为减轻责任、减少服务、增加收费、降低服务质量的理由。</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（3）投标供应商报价除包含招标文件中列明的项目外还应包括保障项目正常实施应当具有的物资和服务，对项目正常实施应当具有的物资和服务理解不一致的以采购单位理解为准。</w:t>
      </w:r>
      <w:r/>
    </w:p>
    <w:p>
      <w:pPr>
        <w:pStyle w:val="769"/>
        <w:ind w:firstLine="480"/>
        <w:spacing w:line="360" w:lineRule="auto"/>
        <w:rPr>
          <w:rFonts w:hint="eastAsia" w:ascii="宋体" w:hAnsi="宋体" w:cs="宋体"/>
          <w:b/>
          <w:sz w:val="24"/>
          <w:szCs w:val="24"/>
        </w:rPr>
      </w:pPr>
      <w:r>
        <w:rPr>
          <w:rFonts w:hint="eastAsia" w:ascii="宋体" w:hAnsi="宋体" w:cs="宋体"/>
          <w:b/>
          <w:sz w:val="24"/>
          <w:szCs w:val="24"/>
        </w:rPr>
        <w:t xml:space="preserve">2.实施要求</w:t>
      </w:r>
      <w:r/>
    </w:p>
    <w:p>
      <w:pPr>
        <w:pStyle w:val="769"/>
        <w:ind w:firstLine="480"/>
        <w:spacing w:line="360" w:lineRule="auto"/>
        <w:rPr>
          <w:rFonts w:hint="eastAsia" w:ascii="宋体" w:hAnsi="宋体" w:cs="宋体"/>
          <w:sz w:val="24"/>
          <w:szCs w:val="24"/>
        </w:rPr>
      </w:pPr>
      <w:r>
        <w:rPr>
          <w:rFonts w:hint="eastAsia" w:ascii="宋体" w:hAnsi="宋体" w:cs="宋体"/>
          <w:sz w:val="24"/>
          <w:szCs w:val="24"/>
        </w:rPr>
        <w:t xml:space="preserve">（1）总体要求</w:t>
      </w:r>
      <w:r/>
    </w:p>
    <w:p>
      <w:pPr>
        <w:pStyle w:val="769"/>
        <w:ind w:firstLine="480"/>
        <w:spacing w:line="360" w:lineRule="auto"/>
        <w:rPr>
          <w:rFonts w:hint="eastAsia" w:ascii="宋体" w:hAnsi="宋体" w:cs="宋体"/>
          <w:sz w:val="24"/>
          <w:szCs w:val="24"/>
        </w:rPr>
      </w:pPr>
      <w:r>
        <w:rPr>
          <w:rFonts w:hint="eastAsia" w:ascii="宋体" w:hAnsi="宋体" w:cs="宋体"/>
          <w:sz w:val="24"/>
          <w:szCs w:val="24"/>
        </w:rPr>
        <w:t xml:space="preserve">中标供应商提供设备供货、安装与调试日程计划，</w:t>
      </w:r>
      <w:r>
        <w:rPr>
          <w:rFonts w:hint="eastAsia" w:ascii="宋体" w:hAnsi="宋体" w:cs="宋体"/>
          <w:color w:val="000000"/>
          <w:sz w:val="24"/>
          <w:szCs w:val="24"/>
        </w:rPr>
        <w:t xml:space="preserve">严格依据招标文件及合同条款，完成包括产品供货、安装调试、培训交付、质保服务及项目全过程管理在内的所有履约内容。</w:t>
      </w:r>
      <w:r>
        <w:rPr>
          <w:rFonts w:hint="eastAsia" w:ascii="宋体" w:hAnsi="宋体" w:cs="宋体"/>
          <w:sz w:val="24"/>
          <w:szCs w:val="24"/>
        </w:rPr>
      </w:r>
      <w:r/>
    </w:p>
    <w:p>
      <w:pPr>
        <w:pStyle w:val="769"/>
        <w:ind w:firstLine="480"/>
        <w:spacing w:line="360" w:lineRule="auto"/>
        <w:rPr>
          <w:rFonts w:hint="eastAsia" w:ascii="宋体" w:hAnsi="宋体" w:cs="宋体"/>
          <w:sz w:val="24"/>
          <w:szCs w:val="24"/>
        </w:rPr>
      </w:pPr>
      <w:r>
        <w:rPr>
          <w:rFonts w:hint="eastAsia" w:ascii="宋体" w:hAnsi="宋体" w:cs="宋体"/>
          <w:sz w:val="24"/>
          <w:szCs w:val="24"/>
        </w:rPr>
        <w:t xml:space="preserve">中标供应商应及时与采购人联系，对本项目所有产品的规格尺寸、款式、颜色等要求进一步确认，得到采购人</w:t>
      </w:r>
      <w:r>
        <w:rPr>
          <w:rFonts w:hint="eastAsia" w:ascii="宋体" w:hAnsi="宋体" w:cs="宋体"/>
          <w:sz w:val="24"/>
          <w:szCs w:val="24"/>
        </w:rPr>
        <w:t xml:space="preserve">的签字盖章认可后方可提供，并确保产品质量。</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（2）安全施工要求</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pStyle w:val="769"/>
        <w:ind w:firstLine="480"/>
        <w:spacing w:line="360" w:lineRule="auto"/>
        <w:rPr>
          <w:rFonts w:hint="eastAsia" w:ascii="宋体" w:hAnsi="宋体" w:cs="宋体"/>
          <w:bCs/>
          <w:sz w:val="24"/>
          <w:szCs w:val="24"/>
        </w:rPr>
      </w:pPr>
      <w:r>
        <w:rPr>
          <w:rFonts w:hint="eastAsia" w:ascii="宋体" w:hAnsi="宋体" w:cs="宋体"/>
          <w:sz w:val="24"/>
          <w:szCs w:val="24"/>
        </w:rPr>
        <w:t xml:space="preserve">（3）</w:t>
      </w:r>
      <w:r>
        <w:rPr>
          <w:rFonts w:hint="eastAsia" w:ascii="宋体" w:hAnsi="宋体" w:cs="宋体"/>
          <w:bCs/>
          <w:sz w:val="24"/>
          <w:szCs w:val="24"/>
        </w:rPr>
        <w:t xml:space="preserve">验收要求</w:t>
      </w:r>
      <w:r/>
    </w:p>
    <w:p>
      <w:pPr>
        <w:pStyle w:val="769"/>
        <w:ind w:firstLine="480"/>
        <w:spacing w:line="360" w:lineRule="auto"/>
        <w:rPr>
          <w:rFonts w:hint="eastAsia" w:ascii="宋体" w:hAnsi="宋体" w:cs="宋体"/>
          <w:bCs/>
          <w:color w:val="ff0000"/>
          <w:sz w:val="24"/>
          <w:szCs w:val="24"/>
        </w:rPr>
      </w:pPr>
      <w:r>
        <w:rPr>
          <w:rFonts w:hint="eastAsia" w:ascii="宋体" w:hAnsi="宋体" w:cs="宋体"/>
          <w:bCs/>
          <w:sz w:val="24"/>
          <w:szCs w:val="24"/>
        </w:rPr>
        <w:t xml:space="preserve">项目实施完成，中标供应商完成文档整理并按采购人要求提供全过程资料。采购人根据《江苏省政府采购履约验收管理办法》（苏财规〔2024〕7号）要求进行验收。</w:t>
      </w:r>
      <w:r>
        <w:rPr>
          <w:rFonts w:hint="eastAsia" w:ascii="宋体" w:hAnsi="宋体" w:cs="宋体"/>
          <w:bCs/>
          <w:color w:val="ff0000"/>
          <w:sz w:val="24"/>
          <w:szCs w:val="24"/>
        </w:rPr>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（4）质保及售后要求</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中标供应商提供项目整体上门质保三年（含）以上（自验收报告签字确认日起开始进入质保期）。</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在质保期内，因</w:t>
      </w:r>
      <w:r>
        <w:rPr>
          <w:rFonts w:hint="eastAsia" w:ascii="宋体" w:hAnsi="宋体" w:cs="宋体"/>
          <w:sz w:val="24"/>
          <w:szCs w:val="24"/>
        </w:rPr>
        <w:t xml:space="preserve">中标</w:t>
      </w:r>
      <w:r>
        <w:rPr>
          <w:rFonts w:hint="eastAsia" w:ascii="宋体" w:hAnsi="宋体" w:cs="宋体"/>
          <w:bCs/>
          <w:sz w:val="24"/>
          <w:szCs w:val="24"/>
        </w:rPr>
        <w:t xml:space="preserve">供应商原因出现设备、材料或安装调试的质量故障，必须2小时以内响应，4小时内维修人员到达现场，8小时以内免费予以排除、修复或更换零部件直至恢复使用，必要时向采购人提供应急备用设备。</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质保期内中标供应商应每年暑期到现场进行设备的维护保养，使设备处于最佳使用效果。</w:t>
      </w:r>
      <w:r/>
    </w:p>
    <w:p>
      <w:pPr>
        <w:pStyle w:val="769"/>
        <w:ind w:firstLine="480"/>
        <w:spacing w:line="360" w:lineRule="auto"/>
        <w:rPr>
          <w:rFonts w:hint="eastAsia" w:ascii="宋体" w:hAnsi="宋体" w:cs="宋体"/>
          <w:bCs/>
          <w:sz w:val="24"/>
          <w:szCs w:val="24"/>
        </w:rPr>
      </w:pPr>
      <w:r>
        <w:rPr>
          <w:rFonts w:hint="eastAsia" w:ascii="宋体" w:hAnsi="宋体" w:cs="宋体"/>
          <w:sz w:val="24"/>
          <w:szCs w:val="24"/>
        </w:rPr>
        <w:t xml:space="preserve">在</w:t>
      </w:r>
      <w:r>
        <w:rPr>
          <w:rFonts w:hint="eastAsia" w:ascii="宋体" w:hAnsi="宋体" w:cs="宋体"/>
          <w:bCs/>
          <w:sz w:val="24"/>
          <w:szCs w:val="24"/>
        </w:rPr>
        <w:t xml:space="preserve">质保期满后提供不低于十年零配件的供给和技术支持，如发生故障，</w:t>
      </w:r>
      <w:r>
        <w:rPr>
          <w:rFonts w:hint="eastAsia" w:ascii="宋体" w:hAnsi="宋体" w:cs="宋体"/>
          <w:sz w:val="24"/>
          <w:szCs w:val="24"/>
        </w:rPr>
        <w:t xml:space="preserve">中标</w:t>
      </w:r>
      <w:r>
        <w:rPr>
          <w:rFonts w:hint="eastAsia" w:ascii="宋体" w:hAnsi="宋体" w:cs="宋体"/>
          <w:bCs/>
          <w:sz w:val="24"/>
          <w:szCs w:val="24"/>
        </w:rPr>
        <w:t xml:space="preserve">供应商在接采购人通知后，应按质保期内售后服务要求</w:t>
      </w:r>
      <w:r>
        <w:rPr>
          <w:rFonts w:hint="eastAsia" w:ascii="宋体" w:hAnsi="宋体" w:cs="宋体"/>
          <w:bCs/>
          <w:sz w:val="24"/>
          <w:szCs w:val="24"/>
        </w:rPr>
        <w:t xml:space="preserve">排除故障，需更换零部件时，酌情收取成本费。</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（5）平台监管</w:t>
      </w:r>
      <w:r/>
    </w:p>
    <w:p>
      <w:pPr>
        <w:pStyle w:val="769"/>
        <w:ind w:firstLine="480"/>
        <w:spacing w:line="360" w:lineRule="auto"/>
        <w:rPr>
          <w:rFonts w:hint="eastAsia" w:ascii="宋体" w:hAnsi="宋体" w:cs="宋体"/>
          <w:sz w:val="24"/>
          <w:szCs w:val="24"/>
        </w:rPr>
      </w:pPr>
      <w:r>
        <w:rPr>
          <w:rFonts w:hint="eastAsia" w:ascii="宋体" w:hAnsi="宋体" w:cs="宋体"/>
          <w:spacing w:val="-12"/>
          <w:sz w:val="24"/>
          <w:szCs w:val="24"/>
        </w:rPr>
        <w:t xml:space="preserve">中标</w:t>
      </w:r>
      <w:r>
        <w:rPr>
          <w:rFonts w:hint="eastAsia" w:ascii="宋体" w:hAnsi="宋体" w:cs="宋体"/>
          <w:bCs/>
          <w:spacing w:val="-12"/>
          <w:sz w:val="24"/>
          <w:szCs w:val="24"/>
        </w:rPr>
        <w:t xml:space="preserve">供应商必须接受“南京市教育装备项目管理平台”（平台网址</w:t>
      </w:r>
      <w:r>
        <w:rPr>
          <w:rFonts w:hint="eastAsia"/>
          <w:szCs w:val="21"/>
        </w:rPr>
        <w:fldChar w:fldCharType="begin"/>
      </w:r>
      <w:r>
        <w:instrText xml:space="preserve"> HYPERLINK "http://nj.cneefix.com" </w:instrText>
      </w:r>
      <w:r>
        <w:rPr>
          <w:rFonts w:hint="eastAsia"/>
          <w:szCs w:val="21"/>
        </w:rPr>
        <w:fldChar w:fldCharType="separate"/>
      </w:r>
      <w:r>
        <w:rPr>
          <w:rFonts w:hint="eastAsia" w:ascii="宋体" w:hAnsi="宋体" w:cs="宋体"/>
          <w:bCs/>
          <w:color w:val="0563c1"/>
          <w:spacing w:val="-12"/>
          <w:sz w:val="24"/>
          <w:szCs w:val="24"/>
          <w:u w:val="single"/>
        </w:rPr>
        <w:t xml:space="preserve">http://nj.cneefix.com</w:t>
      </w:r>
      <w:r>
        <w:rPr>
          <w:rFonts w:hint="eastAsia" w:ascii="宋体" w:hAnsi="宋体" w:cs="宋体"/>
          <w:bCs/>
          <w:color w:val="0563c1"/>
          <w:spacing w:val="-12"/>
          <w:sz w:val="24"/>
          <w:szCs w:val="24"/>
          <w:u w:val="single"/>
        </w:rPr>
        <w:fldChar w:fldCharType="end"/>
      </w:r>
      <w:r>
        <w:rPr>
          <w:rFonts w:hint="eastAsia" w:ascii="宋体" w:hAnsi="宋体" w:cs="宋体"/>
          <w:bCs/>
          <w:spacing w:val="-12"/>
          <w:sz w:val="24"/>
          <w:szCs w:val="24"/>
        </w:rPr>
        <w:t xml:space="preserve">)</w:t>
      </w:r>
      <w:r>
        <w:rPr>
          <w:rFonts w:hint="eastAsia" w:ascii="宋体" w:hAnsi="宋体" w:cs="宋体"/>
          <w:bCs/>
          <w:sz w:val="24"/>
          <w:szCs w:val="24"/>
        </w:rPr>
        <w:t xml:space="preserve">的全过程信息化管理，包括公开投标文件、合同与合同清单，在规定的时间节点，提供相应的合同履约过程资料与照片，项目实施结束申请验收等；</w:t>
      </w:r>
      <w:r>
        <w:rPr>
          <w:rFonts w:hint="eastAsia" w:ascii="宋体" w:hAnsi="宋体" w:cs="宋体"/>
          <w:sz w:val="24"/>
          <w:szCs w:val="24"/>
        </w:rPr>
        <w:t xml:space="preserve">中标</w:t>
      </w:r>
      <w:r>
        <w:rPr>
          <w:rFonts w:hint="eastAsia" w:ascii="宋体" w:hAnsi="宋体" w:cs="宋体"/>
          <w:bCs/>
          <w:sz w:val="24"/>
          <w:szCs w:val="24"/>
        </w:rPr>
        <w:t xml:space="preserve">供应商必须对属于固定资产的设备，通过平台制作二维码标签，并张贴到对应设备上。</w:t>
      </w:r>
      <w:r>
        <w:rPr>
          <w:rFonts w:hint="eastAsia" w:ascii="宋体" w:hAnsi="宋体" w:cs="宋体"/>
          <w:sz w:val="24"/>
          <w:szCs w:val="24"/>
        </w:rPr>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（6）培训要求</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须按投标文件对使用人进行培训，培训的内容包括设备软硬件的功能原理、技术参数及安全操作规范、软件系统安装调试、数据配置、权限管理及版本升级说明、硬件日常维护（如清洁、校准、耗材更换）与故障应急处理流程等。培训对象为使用单位指定的设备管理人员，人数不得少于3人，每人接受集中面授培训时长不低于6课时（每课时45分钟）。</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（7）其他要求</w:t>
      </w:r>
      <w:r/>
    </w:p>
    <w:p>
      <w:pPr>
        <w:pStyle w:val="769"/>
        <w:ind w:firstLine="480"/>
        <w:spacing w:line="360" w:lineRule="auto"/>
        <w:rPr>
          <w:rFonts w:hint="eastAsia" w:ascii="宋体" w:hAnsi="宋体" w:cs="宋体"/>
          <w:sz w:val="24"/>
          <w:szCs w:val="24"/>
        </w:rPr>
      </w:pPr>
      <w:r>
        <w:rPr>
          <w:rFonts w:hint="eastAsia" w:ascii="宋体" w:hAnsi="宋体" w:cs="宋体"/>
          <w:spacing w:val="-12"/>
          <w:sz w:val="24"/>
          <w:szCs w:val="24"/>
        </w:rPr>
        <w:t xml:space="preserve">中标</w:t>
      </w:r>
      <w:r>
        <w:rPr>
          <w:rFonts w:hint="eastAsia" w:ascii="宋体" w:hAnsi="宋体" w:cs="宋体"/>
          <w:sz w:val="24"/>
          <w:szCs w:val="24"/>
        </w:rPr>
        <w:t xml:space="preserve">供应商提供的货物（含配件）为全新的、未使用过的原装合格正品，并保证所提供货物的开箱合格率为100%，外观和内在质量都不得有任何问题。符合合同规定的质量、规格和性能要求；在规定的质保期内，中标供应商应对由于安装、工</w:t>
      </w:r>
      <w:r>
        <w:rPr>
          <w:rFonts w:hint="eastAsia" w:ascii="宋体" w:hAnsi="宋体" w:cs="宋体"/>
          <w:sz w:val="24"/>
          <w:szCs w:val="24"/>
        </w:rPr>
        <w:t xml:space="preserve">艺或材料的缺陷或故障负责；在未验收前，货物保管、安全均由中标供应商负责。</w:t>
      </w:r>
      <w:r/>
    </w:p>
    <w:p>
      <w:pPr>
        <w:pStyle w:val="769"/>
        <w:ind w:firstLine="480"/>
        <w:spacing w:line="360" w:lineRule="auto"/>
        <w:rPr>
          <w:rFonts w:hint="eastAsia" w:ascii="宋体" w:hAnsi="宋体" w:cs="宋体"/>
          <w:sz w:val="24"/>
          <w:szCs w:val="24"/>
        </w:rPr>
      </w:pPr>
      <w:r>
        <w:rPr>
          <w:rFonts w:hint="eastAsia" w:ascii="宋体" w:hAnsi="宋体" w:cs="宋体"/>
          <w:sz w:val="24"/>
          <w:szCs w:val="24"/>
        </w:rPr>
        <w:t xml:space="preserve">中标供应商须保证所提供的技术资料（含软件源代码、操作手册及相关电子文件）完整、规范、准确，符合本项目技术标准和行业规范要求。所提供的技术参数、性能指标、安装调试说明等数据须真实有效且与投标文件及合同条款完全一致，能够满足设备按设计规范安装、系统化调试及验收的技术支撑需求；同时须包含设备全生命周期内必要的运维保障资料（含维修手册、零部件清单及安全操作指南），确保设备投用后具备可持续运行及标准化维护的技术条件。</w:t>
      </w:r>
      <w:r/>
    </w:p>
    <w:p>
      <w:pPr>
        <w:pStyle w:val="769"/>
        <w:ind w:firstLine="480"/>
        <w:spacing w:line="360" w:lineRule="auto"/>
        <w:rPr>
          <w:rFonts w:hint="eastAsia"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t xml:space="preserve">.</w:t>
      </w:r>
      <w:r>
        <w:rPr>
          <w:rFonts w:hint="eastAsia" w:ascii="宋体" w:hAnsi="宋体" w:cs="宋体"/>
          <w:b/>
          <w:sz w:val="24"/>
          <w:szCs w:val="24"/>
        </w:rPr>
        <w:t xml:space="preserve">付款条件</w:t>
      </w:r>
      <w:r/>
    </w:p>
    <w:p>
      <w:pPr>
        <w:pStyle w:val="769"/>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中标供应商完成合同项下全部设备的供货安装、系统调试及联合测试，使用方接收系统并连续无故障运行满7个自然日后，由采购人组织验收，验收合格后办理付款手续，一次性支付合同总款的95%，5%的余款在正常使用一年后一个月内付清(无息)。</w:t>
      </w:r>
      <w:r/>
    </w:p>
    <w:p>
      <w:pPr>
        <w:pStyle w:val="769"/>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具体</w:t>
      </w:r>
      <w:r>
        <w:rPr>
          <w:rFonts w:ascii="宋体" w:hAnsi="宋体" w:cs="宋体"/>
          <w:sz w:val="24"/>
          <w:szCs w:val="24"/>
          <w:u w:val="single"/>
        </w:rPr>
        <w:t xml:space="preserve">以第三章合同文本</w:t>
      </w:r>
      <w:r>
        <w:rPr>
          <w:rFonts w:hint="eastAsia" w:ascii="宋体" w:hAnsi="宋体" w:cs="宋体"/>
          <w:sz w:val="24"/>
          <w:szCs w:val="24"/>
          <w:u w:val="single"/>
        </w:rPr>
        <w:t xml:space="preserve">内容</w:t>
      </w:r>
      <w:r>
        <w:rPr>
          <w:rFonts w:ascii="宋体" w:hAnsi="宋体" w:cs="宋体"/>
          <w:sz w:val="24"/>
          <w:szCs w:val="24"/>
          <w:u w:val="single"/>
        </w:rPr>
        <w:t xml:space="preserve">为准。</w:t>
      </w:r>
      <w:r>
        <w:rPr>
          <w:rFonts w:hint="eastAsia" w:ascii="宋体" w:hAnsi="宋体" w:cs="宋体"/>
          <w:sz w:val="24"/>
          <w:szCs w:val="24"/>
          <w:u w:val="single"/>
        </w:rPr>
      </w:r>
      <w:r/>
    </w:p>
    <w:p>
      <w:pPr>
        <w:pStyle w:val="769"/>
        <w:ind w:firstLine="480"/>
        <w:spacing w:line="360" w:lineRule="auto"/>
        <w:rPr>
          <w:rFonts w:hint="eastAsia" w:ascii="宋体" w:hAnsi="宋体" w:cs="宋体"/>
          <w:b/>
          <w:bCs/>
          <w:sz w:val="24"/>
          <w:szCs w:val="24"/>
        </w:rPr>
      </w:pPr>
      <w:r>
        <w:rPr>
          <w:rFonts w:hint="eastAsia" w:ascii="宋体" w:hAnsi="宋体" w:cs="宋体"/>
          <w:b/>
          <w:bCs/>
          <w:sz w:val="24"/>
          <w:szCs w:val="24"/>
        </w:rPr>
        <w:t xml:space="preserve">4</w:t>
      </w:r>
      <w:r>
        <w:rPr>
          <w:rFonts w:ascii="宋体" w:hAnsi="宋体" w:cs="宋体"/>
          <w:b/>
          <w:bCs/>
          <w:sz w:val="24"/>
          <w:szCs w:val="24"/>
        </w:rPr>
        <w:t xml:space="preserve">.</w:t>
      </w:r>
      <w:r>
        <w:rPr>
          <w:rFonts w:hint="eastAsia" w:ascii="宋体" w:hAnsi="宋体" w:cs="宋体"/>
          <w:b/>
          <w:bCs/>
          <w:sz w:val="24"/>
          <w:szCs w:val="24"/>
        </w:rPr>
        <w:t xml:space="preserve">交付时间及地点</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合同签订后，中标供应商</w:t>
      </w:r>
      <w:r>
        <w:rPr>
          <w:rFonts w:hint="eastAsia" w:ascii="宋体" w:hAnsi="宋体" w:cs="宋体"/>
          <w:b/>
          <w:sz w:val="24"/>
          <w:szCs w:val="24"/>
        </w:rPr>
        <w:t xml:space="preserve">45天</w:t>
      </w:r>
      <w:r>
        <w:rPr>
          <w:rFonts w:hint="eastAsia" w:ascii="宋体" w:hAnsi="宋体" w:cs="宋体"/>
          <w:bCs/>
          <w:sz w:val="24"/>
          <w:szCs w:val="24"/>
        </w:rPr>
        <w:t xml:space="preserve">内交付并完成安装调试及验收等相关工作。</w:t>
      </w:r>
      <w:r/>
    </w:p>
    <w:p>
      <w:pPr>
        <w:pStyle w:val="769"/>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中标供应商负责将货物运到采购人指定地点，由中标供应商负责办理运输和装卸、拆箱安装到桌面等，费用由中标供应商负责，由采购人组织验收，检验不合格或不符合质量要求，中标供应商除无条件</w:t>
      </w:r>
      <w:r>
        <w:rPr>
          <w:rFonts w:hint="eastAsia" w:ascii="宋体" w:hAnsi="宋体" w:cs="宋体"/>
          <w:bCs/>
          <w:sz w:val="24"/>
          <w:szCs w:val="24"/>
        </w:rPr>
        <w:t xml:space="preserve">退货、返工外，还应承担采购人的一切损失。详见“分校清单”。</w:t>
      </w:r>
      <w:r/>
    </w:p>
    <w:p>
      <w:pPr>
        <w:pStyle w:val="782"/>
        <w:ind w:left="0"/>
        <w:jc w:val="center"/>
        <w:rPr>
          <w:rFonts w:hint="eastAsia" w:ascii="宋体" w:hAnsi="宋体" w:eastAsia="宋体"/>
          <w:b/>
          <w:sz w:val="18"/>
          <w:szCs w:val="18"/>
        </w:rPr>
      </w:pPr>
      <w:r>
        <w:rPr>
          <w:rFonts w:hint="eastAsia" w:ascii="宋体" w:hAnsi="宋体" w:eastAsia="宋体"/>
          <w:b/>
          <w:sz w:val="18"/>
          <w:szCs w:val="18"/>
        </w:rPr>
        <w:t xml:space="preserve">分校清单</w:t>
      </w:r>
      <w:r/>
    </w:p>
    <w:tbl>
      <w:tblPr>
        <w:tblW w:w="10065" w:type="dxa"/>
        <w:tblInd w:w="98" w:type="dxa"/>
        <w:tblLayout w:type="fixed"/>
        <w:tblCellMar>
          <w:left w:w="108" w:type="dxa"/>
          <w:top w:w="0" w:type="dxa"/>
          <w:right w:w="108" w:type="dxa"/>
          <w:bottom w:w="0" w:type="dxa"/>
        </w:tblCellMar>
        <w:tblLook w:val="04A0" w:firstRow="1" w:lastRow="0" w:firstColumn="1" w:lastColumn="0" w:noHBand="0" w:noVBand="1"/>
      </w:tblPr>
      <w:tblGrid>
        <w:gridCol w:w="511"/>
        <w:gridCol w:w="690"/>
        <w:gridCol w:w="585"/>
        <w:gridCol w:w="555"/>
        <w:gridCol w:w="525"/>
        <w:gridCol w:w="600"/>
        <w:gridCol w:w="630"/>
        <w:gridCol w:w="510"/>
        <w:gridCol w:w="495"/>
        <w:gridCol w:w="485"/>
        <w:gridCol w:w="527"/>
        <w:gridCol w:w="293"/>
        <w:gridCol w:w="345"/>
        <w:gridCol w:w="345"/>
        <w:gridCol w:w="405"/>
        <w:gridCol w:w="375"/>
        <w:gridCol w:w="450"/>
        <w:gridCol w:w="450"/>
        <w:gridCol w:w="405"/>
        <w:gridCol w:w="435"/>
        <w:gridCol w:w="449"/>
      </w:tblGrid>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序号</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货物名称</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合计数量</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单位</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金陵中学龙湖分校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金陵中学龙湖小学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特殊教育学校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双语小学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龙池初级中学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南京师范大学附属六合实验中学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南京师范大学附属六合实验小学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蒋湾小学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教师发展中心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北京东路小学棠城分校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复兴路初级中学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雄州中心小学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城西学校小学部</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竹镇民族初级中学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马鞍中心小学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方州小学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冶山中心小学</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摆位椅小号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摆位椅大号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摆位椅加大号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壁挂式磁吸白板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后墙绿板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篮球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打</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盒</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平衡木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匹克球拍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匹克球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跨栏架-1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韵律操踏板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毽子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瑜伽砖</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软式垒球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竞速跳绳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操作台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美术桌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桌垫</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圆凳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561340</wp:posOffset>
                      </wp:positionH>
                      <wp:positionV relativeFrom="paragraph">
                        <wp:posOffset>0</wp:posOffset>
                      </wp:positionV>
                      <wp:extent cx="964565" cy="1206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64564"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524288;o:allowoverlap:true;o:allowincell:true;mso-position-horizontal-relative:text;margin-left:44.2pt;mso-position-horizontal:absolute;mso-position-vertical-relative:text;margin-top:0.0pt;mso-position-vertical:absolute;width:76.0pt;height:0.9pt;mso-wrap-distance-left:9.0pt;mso-wrap-distance-top:0.0pt;mso-wrap-distance-right:9.0pt;mso-wrap-distance-bottom:0.0pt;" stroked="f">
                      <v:path textboxrect="0,0,0,0"/>
                      <v:imagedata r:id="rId18"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600710</wp:posOffset>
                      </wp:positionH>
                      <wp:positionV relativeFrom="paragraph">
                        <wp:posOffset>0</wp:posOffset>
                      </wp:positionV>
                      <wp:extent cx="961390" cy="1206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6139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1;o:allowoverlap:true;o:allowincell:true;mso-position-horizontal-relative:text;margin-left:47.3pt;mso-position-horizontal:absolute;mso-position-vertical-relative:text;margin-top:0.0pt;mso-position-vertical:absolute;width:75.7pt;height:0.9pt;mso-wrap-distance-left:9.0pt;mso-wrap-distance-top:0.0pt;mso-wrap-distance-right:9.0pt;mso-wrap-distance-bottom:0.0pt;" stroked="f">
                      <v:path textboxrect="0,0,0,0"/>
                      <v:imagedata r:id="rId19"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686435</wp:posOffset>
                      </wp:positionH>
                      <wp:positionV relativeFrom="paragraph">
                        <wp:posOffset>0</wp:posOffset>
                      </wp:positionV>
                      <wp:extent cx="617855" cy="1206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1785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2;o:allowoverlap:true;o:allowincell:true;mso-position-horizontal-relative:text;margin-left:54.0pt;mso-position-horizontal:absolute;mso-position-vertical-relative:text;margin-top:0.0pt;mso-position-vertical:absolute;width:48.6pt;height:0.9pt;mso-wrap-distance-left:9.0pt;mso-wrap-distance-top:0.0pt;mso-wrap-distance-right:9.0pt;mso-wrap-distance-bottom:0.0pt;" stroked="f">
                      <v:path textboxrect="0,0,0,0"/>
                      <v:imagedata r:id="rId20"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686435</wp:posOffset>
                      </wp:positionH>
                      <wp:positionV relativeFrom="paragraph">
                        <wp:posOffset>0</wp:posOffset>
                      </wp:positionV>
                      <wp:extent cx="599440" cy="1206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9944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43;o:allowoverlap:true;o:allowincell:true;mso-position-horizontal-relative:text;margin-left:54.0pt;mso-position-horizontal:absolute;mso-position-vertical-relative:text;margin-top:0.0pt;mso-position-vertical:absolute;width:47.2pt;height:0.9pt;mso-wrap-distance-left:9.0pt;mso-wrap-distance-top:0.0pt;mso-wrap-distance-right:9.0pt;mso-wrap-distance-bottom:0.0pt;" stroked="f">
                      <v:path textboxrect="0,0,0,0"/>
                      <v:imagedata r:id="rId21" o:title=""/>
                    </v:shape>
                  </w:pict>
                </mc:Fallback>
              </mc:AlternateContent>
            </w:r>
            <w:r>
              <w:rPr>
                <w:rFonts w:hint="eastAsia" w:ascii="宋体" w:hAnsi="宋体" w:cs="宋体"/>
                <w:color w:val="000000"/>
                <w:sz w:val="18"/>
                <w:szCs w:val="18"/>
                <w:lang w:bidi="ar"/>
              </w:rPr>
              <w:t xml:space="preserve">全</w:t>
            </w:r>
            <w:r>
              <w:rPr>
                <w:rFonts w:hint="eastAsia" w:ascii="宋体" w:hAnsi="宋体" w:cs="宋体"/>
                <w:color w:val="000000"/>
                <w:sz w:val="18"/>
                <w:szCs w:val="18"/>
                <w:lang w:bidi="ar"/>
              </w:rPr>
              <w:t xml:space="preserve">板式静物台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349250</wp:posOffset>
                      </wp:positionH>
                      <wp:positionV relativeFrom="paragraph">
                        <wp:posOffset>0</wp:posOffset>
                      </wp:positionV>
                      <wp:extent cx="961390" cy="1206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6139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44;o:allowoverlap:true;o:allowincell:true;mso-position-horizontal-relative:text;margin-left:27.5pt;mso-position-horizontal:absolute;mso-position-vertical-relative:text;margin-top:0.0pt;mso-position-vertical:absolute;width:75.7pt;height:0.9pt;mso-wrap-distance-left:9.0pt;mso-wrap-distance-top:0.0pt;mso-wrap-distance-right:9.0pt;mso-wrap-distance-bottom:0.0pt;" stroked="f">
                      <v:path textboxrect="0,0,0,0"/>
                      <v:imagedata r:id="rId22" o:title=""/>
                    </v:shape>
                  </w:pict>
                </mc:Fallback>
              </mc:AlternateContent>
            </w: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349250</wp:posOffset>
                      </wp:positionH>
                      <wp:positionV relativeFrom="paragraph">
                        <wp:posOffset>0</wp:posOffset>
                      </wp:positionV>
                      <wp:extent cx="964565" cy="1206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64564"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45;o:allowoverlap:true;o:allowincell:true;mso-position-horizontal-relative:text;margin-left:27.5pt;mso-position-horizontal:absolute;mso-position-vertical-relative:text;margin-top:0.0pt;mso-position-vertical:absolute;width:76.0pt;height:0.9pt;mso-wrap-distance-left:9.0pt;mso-wrap-distance-top:0.0pt;mso-wrap-distance-right:9.0pt;mso-wrap-distance-bottom:0.0pt;" stroked="f">
                      <v:path textboxrect="0,0,0,0"/>
                      <v:imagedata r:id="rId23" o:title=""/>
                    </v:shape>
                  </w:pict>
                </mc:Fallback>
              </mc:AlternateContent>
            </w: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349250</wp:posOffset>
                      </wp:positionH>
                      <wp:positionV relativeFrom="paragraph">
                        <wp:posOffset>0</wp:posOffset>
                      </wp:positionV>
                      <wp:extent cx="617855" cy="1206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1785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46;o:allowoverlap:true;o:allowincell:true;mso-position-horizontal-relative:text;margin-left:27.5pt;mso-position-horizontal:absolute;mso-position-vertical-relative:text;margin-top:0.0pt;mso-position-vertical:absolute;width:48.6pt;height:0.9pt;mso-wrap-distance-left:9.0pt;mso-wrap-distance-top:0.0pt;mso-wrap-distance-right:9.0pt;mso-wrap-distance-bottom:0.0pt;" stroked="f">
                      <v:path textboxrect="0,0,0,0"/>
                      <v:imagedata r:id="rId24" o:title=""/>
                    </v:shape>
                  </w:pict>
                </mc:Fallback>
              </mc:AlternateContent>
            </w: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349250</wp:posOffset>
                      </wp:positionH>
                      <wp:positionV relativeFrom="paragraph">
                        <wp:posOffset>0</wp:posOffset>
                      </wp:positionV>
                      <wp:extent cx="599440" cy="1206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9944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47;o:allowoverlap:true;o:allowincell:true;mso-position-horizontal-relative:text;margin-left:27.5pt;mso-position-horizontal:absolute;mso-position-vertical-relative:text;margin-top:0.0pt;mso-position-vertical:absolute;width:47.2pt;height:0.9pt;mso-wrap-distance-left:9.0pt;mso-wrap-distance-top:0.0pt;mso-wrap-distance-right:9.0pt;mso-wrap-distance-bottom:0.0pt;" stroked="f">
                      <v:path textboxrect="0,0,0,0"/>
                      <v:imagedata r:id="rId25" o:title=""/>
                    </v:shape>
                  </w:pict>
                </mc:Fallback>
              </mc:AlternateConten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全板式拷贝台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作品晾晒架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水柜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陶瓷水盆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单口龙头</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室内水管对接及改造</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边柜1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软木展板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准备台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器材柜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储物展示柜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画室卡纸置物架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黑板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讲台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组合桌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储物矮柜1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0</wp:posOffset>
                      </wp:positionH>
                      <wp:positionV relativeFrom="paragraph">
                        <wp:posOffset>0</wp:posOffset>
                      </wp:positionV>
                      <wp:extent cx="9525" cy="47180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52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48;o:allowoverlap:true;o:allowincell:true;mso-position-horizontal-relative:text;margin-left:0.0pt;mso-position-horizontal:absolute;mso-position-vertical-relative:text;margin-top:0.0pt;mso-position-vertical:absolute;width:0.8pt;height:37.1pt;mso-wrap-distance-left:9.0pt;mso-wrap-distance-top:0.0pt;mso-wrap-distance-right:9.0pt;mso-wrap-distance-bottom:0.0pt;" stroked="f">
                      <v:path textboxrect="0,0,0,0"/>
                      <v:imagedata r:id="rId26"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0</wp:posOffset>
                      </wp:positionH>
                      <wp:positionV relativeFrom="paragraph">
                        <wp:posOffset>0</wp:posOffset>
                      </wp:positionV>
                      <wp:extent cx="9525" cy="41465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525" cy="414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49;o:allowoverlap:true;o:allowincell:true;mso-position-horizontal-relative:text;margin-left:0.0pt;mso-position-horizontal:absolute;mso-position-vertical-relative:text;margin-top:0.0pt;mso-position-vertical:absolute;width:0.8pt;height:32.6pt;mso-wrap-distance-left:9.0pt;mso-wrap-distance-top:0.0pt;mso-wrap-distance-right:9.0pt;mso-wrap-distance-bottom:0.0pt;" stroked="f">
                      <v:path textboxrect="0,0,0,0"/>
                      <v:imagedata r:id="rId27" o:title=""/>
                    </v:shape>
                  </w:pict>
                </mc:Fallback>
              </mc:AlternateContent>
            </w: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展示高柜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储物矮柜2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洞洞板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定制室内标识标牌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办公椅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短跳绳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气排球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实心球-1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跨栏架-2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足球门1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足球门2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货物架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足球网-1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足球网-2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礼堂椅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折叠条桌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55寸液晶拼接显示单元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单元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拼接屏拼接支架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拼接屏辅材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外置拼接处理器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拼接屏控制专用主机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65寸壁挂广告机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手持无线话筒（一拖四）</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无线话筒（一拖二）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只</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天线分配放大器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天线支架及延长线缆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12路带编组调音台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数字话筒处理器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专业功率放大器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专业音柱音箱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音箱壁挂支架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8路电源时序器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LED会议灯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中号灯钩</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保险绳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12路电源直通箱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专业机柜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0</wp:posOffset>
                      </wp:positionH>
                      <wp:positionV relativeFrom="paragraph">
                        <wp:posOffset>0</wp:posOffset>
                      </wp:positionV>
                      <wp:extent cx="9525" cy="1206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0;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0</wp:posOffset>
                      </wp:positionH>
                      <wp:positionV relativeFrom="paragraph">
                        <wp:posOffset>0</wp:posOffset>
                      </wp:positionV>
                      <wp:extent cx="9525" cy="1206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1;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29"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0</wp:posOffset>
                      </wp:positionH>
                      <wp:positionV relativeFrom="paragraph">
                        <wp:posOffset>0</wp:posOffset>
                      </wp:positionV>
                      <wp:extent cx="9525" cy="1206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2;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0</wp:posOffset>
                      </wp:positionH>
                      <wp:positionV relativeFrom="paragraph">
                        <wp:posOffset>0</wp:posOffset>
                      </wp:positionV>
                      <wp:extent cx="9525" cy="1206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53;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31"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音频线材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灯光线材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灯光杆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音箱线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米</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辅材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操作台2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0</wp:posOffset>
                      </wp:positionH>
                      <wp:positionV relativeFrom="paragraph">
                        <wp:posOffset>0</wp:posOffset>
                      </wp:positionV>
                      <wp:extent cx="9525" cy="1079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54;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0</wp:posOffset>
                      </wp:positionH>
                      <wp:positionV relativeFrom="paragraph">
                        <wp:posOffset>0</wp:posOffset>
                      </wp:positionV>
                      <wp:extent cx="9525" cy="47117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525"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55;o:allowoverlap:true;o:allowincell:true;mso-position-horizontal-relative:text;margin-left:0.0pt;mso-position-horizontal:absolute;mso-position-vertical-relative:text;margin-top:0.0pt;mso-position-vertical:absolute;width:0.8pt;height:37.1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0</wp:posOffset>
                      </wp:positionH>
                      <wp:positionV relativeFrom="paragraph">
                        <wp:posOffset>0</wp:posOffset>
                      </wp:positionV>
                      <wp:extent cx="9525" cy="1079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5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4"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牛角椅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学生书法桌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实木凳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室内水管改造及地面处理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righ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righ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墙面处理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墙面乳胶漆出新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室内物品搬迁</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劳技桌2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室内电位改造对接</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边柜2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窗帘</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米</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LED护眼教室灯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盏</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综合布线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木工工具箱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五金工具箱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木工工具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木工开孔器套装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操作台1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劳技桌1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教师椅-1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0</wp:posOffset>
                      </wp:positionH>
                      <wp:positionV relativeFrom="paragraph">
                        <wp:posOffset>0</wp:posOffset>
                      </wp:positionV>
                      <wp:extent cx="9525" cy="41910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9525" cy="419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57;o:allowoverlap:true;o:allowincell:true;mso-position-horizontal-relative:text;margin-left:0.0pt;mso-position-horizontal:absolute;mso-position-vertical-relative:text;margin-top:0.0pt;mso-position-vertical:absolute;width:0.8pt;height:33.0pt;mso-wrap-distance-left:9.0pt;mso-wrap-distance-top:0.0pt;mso-wrap-distance-right:9.0pt;mso-wrap-distance-bottom:0.0pt;" stroked="f">
                      <v:path textboxrect="0,0,0,0"/>
                      <v:imagedata r:id="rId35" o:title=""/>
                    </v:shape>
                  </w:pict>
                </mc:Fallback>
              </mc:AlternateContent>
            </w: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乒乓球台(室内）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乒乓球地面围挡</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面</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小足球门（含网）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小沙包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50米卷尺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20米卷尺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花球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实心球-2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发令枪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绳梯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弹力带-1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跳皮筋</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山羊台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跳箱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付</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助跳板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肋木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架</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身高体重测量仪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画线小推车</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1245"/>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rPr>
              <w:t xml:space="preserve">软式跨栏架组合</w:t>
            </w:r>
            <w:r/>
          </w:p>
          <w:p>
            <w:pPr>
              <w:pStyle w:val="769"/>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弹力带-2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乒乓球发球机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垒球1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垒球2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小篮球5号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小足球4号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排球5号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小足球门（3人制）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可升降移动小篮球架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竹节绳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3.6米竹节绳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4.2米竹节绳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跳高架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计时秒表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小跨栏架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篮球网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足球网-3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接力棒（比赛型）</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足球标志盘</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打印机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定制书柜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定制班级边柜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课桌椅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1455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495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档案柜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异形阅览桌</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阅览椅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软体组合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布帘</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图书柜-1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定制储物柜-1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活动柜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行政办公桌-1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定制储物柜-2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屏风-1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ascii="宋体" w:hAnsi="宋体" w:cs="宋体"/>
                <w:color w:val="000000"/>
                <w:sz w:val="18"/>
                <w:szCs w:val="18"/>
              </w:rPr>
            </w:pPr>
            <w:r>
              <w:rPr>
                <w:rFonts w:hint="eastAsia" w:ascii="宋体" w:hAnsi="宋体" w:cs="宋体"/>
                <w:color w:val="000000"/>
                <w:sz w:val="18"/>
                <w:szCs w:val="18"/>
              </w:rPr>
              <w:t xml:space="preserve">43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ascii="宋体" w:hAnsi="宋体" w:cs="宋体"/>
                <w:color w:val="000000"/>
                <w:sz w:val="18"/>
                <w:szCs w:val="18"/>
              </w:rPr>
            </w:pPr>
            <w:r>
              <w:rPr>
                <w:rFonts w:hint="eastAsia" w:ascii="宋体" w:hAnsi="宋体" w:cs="宋体"/>
                <w:color w:val="000000"/>
                <w:sz w:val="18"/>
                <w:szCs w:val="18"/>
              </w:rPr>
              <w:t xml:space="preserve">43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移动桌</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校长办公桌-1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校长储物柜-1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270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270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异形办公桌</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后墙软木板-1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图书柜-2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w:t>
            </w: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组合书柜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教师椅-2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定制钢制卷帘门柜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矮柜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校长办公桌-2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校长储物柜-2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校长办公椅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接待椅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三门文件柜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双门文件柜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茶水柜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沙发</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长茶几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钢制文件柜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图书柜-3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定制储物柜-3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屏风-2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ascii="宋体" w:hAnsi="宋体" w:cs="宋体"/>
                <w:color w:val="000000"/>
                <w:sz w:val="18"/>
                <w:szCs w:val="18"/>
              </w:rPr>
            </w:pPr>
            <w:r>
              <w:rPr>
                <w:rFonts w:hint="eastAsia" w:ascii="宋体" w:hAnsi="宋体" w:cs="宋体"/>
                <w:color w:val="000000"/>
                <w:sz w:val="18"/>
                <w:szCs w:val="18"/>
              </w:rPr>
              <w:t xml:space="preserve">35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ascii="宋体" w:hAnsi="宋体" w:cs="宋体"/>
                <w:color w:val="000000"/>
                <w:sz w:val="18"/>
                <w:szCs w:val="18"/>
              </w:rPr>
            </w:pPr>
            <w:r>
              <w:rPr>
                <w:rFonts w:hint="eastAsia" w:ascii="宋体" w:hAnsi="宋体" w:cs="宋体"/>
                <w:color w:val="000000"/>
                <w:sz w:val="18"/>
                <w:szCs w:val="18"/>
              </w:rPr>
              <w:t xml:space="preserve">35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午休椅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行政办公桌-2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行政办公椅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作业柜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后墙软木板-2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9"/>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9"/>
              <w:rPr>
                <w:rFonts w:hint="eastAsia" w:ascii="宋体" w:hAnsi="宋体" w:cs="宋体"/>
                <w:color w:val="000000"/>
                <w:sz w:val="18"/>
                <w:szCs w:val="18"/>
              </w:rPr>
            </w:pPr>
            <w:r>
              <w:rPr>
                <w:rFonts w:hint="eastAsia" w:ascii="宋体" w:hAnsi="宋体" w:cs="宋体"/>
                <w:color w:val="000000"/>
                <w:sz w:val="18"/>
                <w:szCs w:val="18"/>
              </w:rPr>
            </w:r>
            <w:r/>
          </w:p>
        </w:tc>
      </w:tr>
    </w:tbl>
    <w:p>
      <w:pPr>
        <w:pStyle w:val="769"/>
      </w:pPr>
      <w:r/>
      <w:r/>
    </w:p>
    <w:p>
      <w:pPr>
        <w:pStyle w:val="782"/>
        <w:rPr>
          <w:rFonts w:hint="eastAsia" w:ascii="宋体" w:hAnsi="宋体"/>
          <w:bCs/>
          <w:sz w:val="24"/>
          <w:szCs w:val="24"/>
        </w:rPr>
      </w:pPr>
      <w:r>
        <w:rPr>
          <w:rFonts w:hint="eastAsia" w:ascii="宋体" w:hAnsi="宋体"/>
          <w:bCs/>
          <w:sz w:val="24"/>
          <w:szCs w:val="24"/>
        </w:rPr>
      </w:r>
      <w:r/>
    </w:p>
    <w:p>
      <w:pPr>
        <w:pStyle w:val="769"/>
        <w:rPr>
          <w:rFonts w:hint="eastAsia"/>
        </w:rPr>
        <w:sectPr>
          <w:headerReference w:type="default" r:id="rId9"/>
          <w:footerReference w:type="default" r:id="rId10"/>
          <w:footerReference w:type="first" r:id="rId11"/>
          <w:footnotePr/>
          <w:endnotePr/>
          <w:type w:val="nextPage"/>
          <w:pgSz w:w="11906" w:h="16838" w:orient="portrait"/>
          <w:pgMar w:top="1440" w:right="1080" w:bottom="1440" w:left="1080" w:header="851" w:footer="907" w:gutter="0"/>
          <w:pgBorders w:display="allPages" w:offsetFrom="page" w:zOrder="front">
            <w:top w:color="000000" w:space="24" w:sz="4" w:val="single"/>
          </w:pgBorders>
          <w:cols w:num="1" w:sep="0" w:space="720" w:equalWidth="1"/>
          <w:docGrid w:linePitch="360"/>
          <w:titlePg/>
        </w:sectPr>
      </w:pPr>
      <w:r>
        <w:rPr>
          <w:rFonts w:hint="eastAsia"/>
        </w:rPr>
      </w:r>
      <w:r/>
    </w:p>
    <w:p>
      <w:pPr>
        <w:pStyle w:val="769"/>
        <w:jc w:val="center"/>
        <w:keepNext/>
        <w:rPr>
          <w:rFonts w:hint="eastAsia" w:ascii="黑体" w:eastAsia="黑体"/>
          <w:bCs/>
          <w:sz w:val="44"/>
          <w:szCs w:val="28"/>
        </w:rPr>
        <w:outlineLvl w:val="0"/>
      </w:pPr>
      <w:r>
        <w:rPr>
          <w:rFonts w:hint="eastAsia" w:ascii="黑体" w:eastAsia="黑体"/>
          <w:sz w:val="44"/>
          <w:szCs w:val="44"/>
        </w:rPr>
        <w:t xml:space="preserve">第五章  评标方法与评标标准</w:t>
      </w:r>
      <w:r>
        <w:rPr>
          <w:rFonts w:hint="eastAsia" w:ascii="黑体" w:eastAsia="黑体"/>
          <w:bCs/>
          <w:sz w:val="44"/>
          <w:szCs w:val="28"/>
        </w:rPr>
      </w:r>
      <w:r/>
    </w:p>
    <w:p>
      <w:pPr>
        <w:pStyle w:val="769"/>
        <w:ind w:firstLine="482"/>
        <w:keepNext/>
        <w:spacing w:line="264" w:lineRule="auto"/>
        <w:rPr>
          <w:rFonts w:hint="eastAsia" w:ascii="宋体" w:hAnsi="宋体" w:cs="宋体"/>
          <w:b/>
          <w:bCs/>
          <w:sz w:val="24"/>
          <w:szCs w:val="24"/>
        </w:rPr>
      </w:pPr>
      <w:r>
        <w:rPr>
          <w:rFonts w:hint="eastAsia" w:ascii="宋体" w:hAnsi="宋体" w:cs="宋体"/>
          <w:b/>
          <w:bCs/>
          <w:sz w:val="24"/>
          <w:szCs w:val="24"/>
        </w:rPr>
        <w:t xml:space="preserve">一、评审方法</w:t>
      </w:r>
      <w:r/>
    </w:p>
    <w:p>
      <w:pPr>
        <w:pStyle w:val="769"/>
        <w:ind w:firstLine="480"/>
        <w:keepNext/>
        <w:spacing w:line="264" w:lineRule="auto"/>
        <w:rPr>
          <w:rFonts w:hint="eastAsia" w:ascii="宋体" w:hAnsi="宋体" w:cs="宋体"/>
          <w:sz w:val="24"/>
          <w:szCs w:val="24"/>
        </w:rPr>
      </w:pPr>
      <w:r>
        <w:rPr>
          <w:rFonts w:hint="eastAsia" w:ascii="宋体" w:hAnsi="宋体" w:cs="宋体"/>
          <w:sz w:val="24"/>
          <w:szCs w:val="24"/>
        </w:rPr>
        <w:t xml:space="preserve">1.采用综合评分法的，评标结果按评审后得分由高到低顺序排列。</w:t>
      </w:r>
      <w:r>
        <w:rPr>
          <w:rFonts w:hint="eastAsia" w:ascii="宋体" w:hAnsi="宋体" w:cs="宋体"/>
          <w:sz w:val="24"/>
          <w:szCs w:val="24"/>
        </w:rPr>
        <w:t xml:space="preserve">得分相同的，按投标报价由低到高顺序排列。得分且投标报价相同的，按“三、评标标准中2.2-2.6项”得分由高到低顺序排列。在投标文件满足招标文件全部实质性要求的供应商中，按照评审得分由高到低推荐3名中标候选人。</w:t>
      </w:r>
      <w:r/>
    </w:p>
    <w:p>
      <w:pPr>
        <w:pStyle w:val="769"/>
        <w:ind w:firstLine="480"/>
        <w:keepNext/>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pStyle w:val="769"/>
        <w:ind w:firstLine="482"/>
        <w:keepNext/>
        <w:spacing w:line="264" w:lineRule="auto"/>
        <w:rPr>
          <w:rFonts w:hint="eastAsia" w:ascii="宋体" w:hAnsi="宋体" w:cs="宋体"/>
          <w:b/>
          <w:bCs/>
          <w:sz w:val="24"/>
          <w:szCs w:val="24"/>
        </w:rPr>
      </w:pPr>
      <w:r>
        <w:rPr>
          <w:rFonts w:hint="eastAsia" w:ascii="宋体" w:hAnsi="宋体" w:cs="宋体"/>
          <w:b/>
          <w:bCs/>
          <w:sz w:val="24"/>
          <w:szCs w:val="24"/>
        </w:rPr>
        <w:t xml:space="preserve">二、本国产品价格扣除</w:t>
      </w:r>
      <w:r/>
    </w:p>
    <w:p>
      <w:pPr>
        <w:pStyle w:val="769"/>
        <w:ind w:firstLine="480"/>
        <w:keepNext/>
        <w:spacing w:line="264" w:lineRule="auto"/>
        <w:rPr>
          <w:rFonts w:hint="eastAsia" w:ascii="宋体" w:hAnsi="宋体" w:cs="宋体"/>
          <w:sz w:val="24"/>
          <w:szCs w:val="24"/>
        </w:rPr>
      </w:pPr>
      <w:r>
        <w:rPr>
          <w:rFonts w:hint="eastAsia" w:ascii="宋体" w:hAnsi="宋体" w:cs="宋体"/>
          <w:sz w:val="24"/>
          <w:szCs w:val="24"/>
        </w:rPr>
        <w:t xml:space="preserve">1.本项目如既有本国产品又有非本国产品参与竞争，依法对本国产品给予价格评审优惠，对本国产品的报价给予20%的价格扣除，用扣除后的价格参与评审。</w:t>
      </w:r>
      <w:r/>
    </w:p>
    <w:p>
      <w:pPr>
        <w:pStyle w:val="769"/>
        <w:ind w:firstLine="480"/>
        <w:keepNext/>
        <w:spacing w:line="264" w:lineRule="auto"/>
        <w:rPr>
          <w:rFonts w:hint="eastAsia" w:ascii="宋体" w:hAnsi="宋体" w:cs="宋体"/>
          <w:sz w:val="24"/>
          <w:szCs w:val="24"/>
        </w:rPr>
      </w:pPr>
      <w:r>
        <w:rPr>
          <w:rFonts w:hint="eastAsia" w:ascii="宋体" w:hAnsi="宋体" w:cs="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pStyle w:val="769"/>
        <w:ind w:firstLine="480"/>
        <w:keepNext/>
        <w:spacing w:line="264" w:lineRule="auto"/>
        <w:rPr>
          <w:rFonts w:hint="eastAsia" w:ascii="宋体" w:hAnsi="宋体" w:cs="宋体"/>
          <w:sz w:val="24"/>
          <w:szCs w:val="24"/>
        </w:rPr>
      </w:pPr>
      <w:r>
        <w:rPr>
          <w:rFonts w:hint="eastAsia" w:ascii="宋体" w:hAnsi="宋体" w:cs="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按照采购文件要求在《投标分项报价表》中作出承诺），则依法对该供应商提供的全部产品给予价格评审优惠，即对该供应商提供的全部产品的总报价给予20%的价格扣除，用扣除后的价格参与评审。全部产品是指货物或服务采购项目或采购包中包含的全部货物、服务产品。</w:t>
      </w:r>
      <w:r/>
    </w:p>
    <w:p>
      <w:pPr>
        <w:pStyle w:val="769"/>
        <w:ind w:firstLine="480"/>
        <w:keepNext/>
        <w:spacing w:line="264" w:lineRule="auto"/>
        <w:rPr>
          <w:rFonts w:hint="eastAsia" w:ascii="宋体" w:hAnsi="宋体" w:cs="宋体"/>
          <w:sz w:val="24"/>
          <w:szCs w:val="24"/>
        </w:rPr>
      </w:pPr>
      <w:r>
        <w:rPr>
          <w:rFonts w:hint="eastAsia" w:ascii="宋体" w:hAnsi="宋体" w:cs="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w:t>
      </w:r>
      <w:r>
        <w:rPr>
          <w:rFonts w:hint="eastAsia" w:ascii="宋体" w:hAnsi="宋体" w:cs="宋体"/>
          <w:sz w:val="24"/>
          <w:szCs w:val="24"/>
        </w:rPr>
        <w:t xml:space="preserve">任意一项未填写的视为该项产品不符合本国产品标准，不享受本国产品价格评审优惠。</w:t>
      </w:r>
      <w:r/>
    </w:p>
    <w:p>
      <w:pPr>
        <w:pStyle w:val="769"/>
        <w:ind w:firstLine="480"/>
        <w:keepNext/>
        <w:spacing w:line="264" w:lineRule="auto"/>
        <w:rPr>
          <w:rFonts w:hint="eastAsia" w:ascii="宋体" w:hAnsi="宋体" w:cs="宋体"/>
          <w:sz w:val="24"/>
          <w:szCs w:val="24"/>
        </w:rPr>
      </w:pPr>
      <w:r>
        <w:rPr>
          <w:rFonts w:hint="eastAsia" w:ascii="宋体" w:hAnsi="宋体" w:cs="宋体"/>
          <w:sz w:val="24"/>
          <w:szCs w:val="24"/>
        </w:rPr>
        <w:t xml:space="preserve">4.对本国产品的支持政策与政府采购支持中小企业、节能环保等优惠政策叠加适用，对应执行价格扣除政策的项目，统一在原报价的基础上给予价格扣除。</w:t>
      </w:r>
      <w:r/>
    </w:p>
    <w:p>
      <w:pPr>
        <w:pStyle w:val="769"/>
        <w:ind w:firstLine="482"/>
        <w:keepNext/>
        <w:spacing w:line="264" w:lineRule="auto"/>
        <w:rPr>
          <w:rFonts w:hint="eastAsia" w:ascii="宋体" w:hAnsi="宋体" w:cs="宋体"/>
          <w:b/>
          <w:bCs/>
          <w:sz w:val="24"/>
          <w:szCs w:val="24"/>
        </w:rPr>
      </w:pPr>
      <w:r>
        <w:rPr>
          <w:rFonts w:hint="eastAsia" w:ascii="宋体" w:hAnsi="宋体" w:cs="宋体"/>
          <w:b/>
          <w:bCs/>
          <w:sz w:val="24"/>
          <w:szCs w:val="24"/>
        </w:rPr>
        <w:t xml:space="preserve">三、小微企业价格扣除</w:t>
      </w:r>
      <w:r/>
    </w:p>
    <w:p>
      <w:pPr>
        <w:pStyle w:val="769"/>
        <w:ind w:firstLine="480"/>
        <w:keepNext/>
        <w:spacing w:line="264" w:lineRule="auto"/>
        <w:rPr>
          <w:rFonts w:hint="eastAsia" w:ascii="宋体" w:hAnsi="宋体" w:cs="宋体"/>
          <w:sz w:val="24"/>
          <w:szCs w:val="24"/>
        </w:rPr>
      </w:pPr>
      <w:r>
        <w:rPr>
          <w:rFonts w:hint="eastAsia" w:ascii="宋体" w:hAnsi="宋体" w:cs="宋体"/>
          <w:sz w:val="24"/>
          <w:szCs w:val="24"/>
        </w:rPr>
        <w:t xml:space="preserve">1.本项目全部货物制造商为小微企业的，对报价给予15%的扣除，用扣除后的价格参与评审。</w:t>
      </w:r>
      <w:r/>
    </w:p>
    <w:p>
      <w:pPr>
        <w:pStyle w:val="769"/>
        <w:ind w:firstLine="480"/>
        <w:keepNext/>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ascii="宋体" w:hAnsi="宋体" w:cs="宋体"/>
          <w:sz w:val="24"/>
          <w:szCs w:val="24"/>
        </w:rPr>
      </w:r>
      <w:r/>
    </w:p>
    <w:p>
      <w:pPr>
        <w:pStyle w:val="769"/>
        <w:ind w:firstLine="480"/>
        <w:keepNext/>
        <w:spacing w:line="264" w:lineRule="auto"/>
        <w:rPr>
          <w:rFonts w:ascii="黑体" w:hAnsi="黑体" w:eastAsia="黑体" w:cs="黑体"/>
          <w:sz w:val="24"/>
          <w:szCs w:val="24"/>
        </w:rPr>
      </w:pPr>
      <w:r>
        <w:rPr>
          <w:rFonts w:hint="eastAsia" w:ascii="黑体" w:hAnsi="黑体" w:eastAsia="黑体" w:cs="黑体"/>
          <w:sz w:val="24"/>
          <w:szCs w:val="24"/>
        </w:rPr>
        <w:t xml:space="preserve">四</w:t>
      </w:r>
      <w:r>
        <w:rPr>
          <w:rFonts w:hint="eastAsia" w:ascii="黑体" w:hAnsi="黑体" w:eastAsia="黑体" w:cs="黑体"/>
          <w:sz w:val="24"/>
          <w:szCs w:val="24"/>
        </w:rPr>
        <w:t xml:space="preserve">、评</w:t>
      </w:r>
      <w:r>
        <w:rPr>
          <w:rFonts w:hint="eastAsia" w:ascii="黑体" w:hAnsi="黑体" w:eastAsia="黑体" w:cs="黑体"/>
          <w:sz w:val="24"/>
          <w:szCs w:val="24"/>
        </w:rPr>
        <w:t xml:space="preserve">标</w:t>
      </w:r>
      <w:r>
        <w:rPr>
          <w:rFonts w:hint="eastAsia" w:ascii="黑体" w:hAnsi="黑体" w:eastAsia="黑体" w:cs="黑体"/>
          <w:sz w:val="24"/>
          <w:szCs w:val="24"/>
        </w:rPr>
        <w:t xml:space="preserve">标准</w:t>
      </w:r>
      <w:r>
        <w:rPr>
          <w:rFonts w:ascii="黑体" w:hAnsi="黑体" w:eastAsia="黑体" w:cs="黑体"/>
          <w:sz w:val="24"/>
          <w:szCs w:val="24"/>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12"/>
        <w:gridCol w:w="6397"/>
        <w:gridCol w:w="647"/>
        <w:gridCol w:w="900"/>
      </w:tblGrid>
      <w:tr>
        <w:trPr>
          <w:trHeight w:val="793"/>
          <w:tblHeader/>
        </w:trPr>
        <w:tc>
          <w:tcPr>
            <w:tcBorders>
              <w:top w:val="single" w:color="000000" w:sz="2" w:space="0"/>
              <w:bottom w:val="single" w:color="000000" w:sz="2" w:space="0"/>
            </w:tcBorders>
            <w:tcW w:w="519" w:type="dxa"/>
            <w:vAlign w:val="top"/>
            <w:textDirection w:val="lrTb"/>
            <w:noWrap w:val="false"/>
          </w:tcPr>
          <w:p>
            <w:pPr>
              <w:pStyle w:val="769"/>
              <w:jc w:val="center"/>
              <w:spacing w:before="264"/>
              <w:rPr>
                <w:rFonts w:hint="eastAsia" w:ascii="宋体" w:hAnsi="宋体" w:cs="宋体"/>
                <w:b/>
                <w:bCs/>
                <w:spacing w:val="-2"/>
              </w:rPr>
            </w:pPr>
            <w:r>
              <w:rPr>
                <w:rFonts w:ascii="宋体" w:hAnsi="宋体" w:cs="宋体"/>
                <w:b/>
                <w:bCs/>
                <w:spacing w:val="-2"/>
              </w:rPr>
              <w:t xml:space="preserve">序号</w:t>
            </w:r>
            <w:r>
              <w:rPr>
                <w:rFonts w:hint="eastAsia" w:ascii="宋体" w:hAnsi="宋体" w:cs="宋体"/>
                <w:b/>
                <w:bCs/>
                <w:spacing w:val="-2"/>
              </w:rPr>
            </w:r>
            <w:r/>
          </w:p>
        </w:tc>
        <w:tc>
          <w:tcPr>
            <w:tcBorders>
              <w:top w:val="single" w:color="000000" w:sz="2" w:space="0"/>
              <w:bottom w:val="single" w:color="000000" w:sz="2" w:space="0"/>
            </w:tcBorders>
            <w:tcW w:w="1112" w:type="dxa"/>
            <w:vAlign w:val="top"/>
            <w:textDirection w:val="lrTb"/>
            <w:noWrap w:val="false"/>
          </w:tcPr>
          <w:p>
            <w:pPr>
              <w:pStyle w:val="769"/>
              <w:jc w:val="center"/>
              <w:spacing w:before="264"/>
              <w:rPr>
                <w:rFonts w:hint="eastAsia" w:ascii="宋体" w:hAnsi="宋体" w:cs="宋体"/>
                <w:b/>
                <w:bCs/>
                <w:spacing w:val="-2"/>
              </w:rPr>
            </w:pPr>
            <w:r>
              <w:rPr>
                <w:rFonts w:ascii="宋体" w:hAnsi="宋体" w:cs="宋体"/>
                <w:b/>
                <w:bCs/>
                <w:spacing w:val="-2"/>
              </w:rPr>
              <w:t xml:space="preserve">评审因素</w:t>
            </w:r>
            <w:r>
              <w:rPr>
                <w:rFonts w:hint="eastAsia" w:ascii="宋体" w:hAnsi="宋体" w:cs="宋体"/>
                <w:b/>
                <w:bCs/>
                <w:spacing w:val="-2"/>
              </w:rPr>
            </w:r>
            <w:r/>
          </w:p>
        </w:tc>
        <w:tc>
          <w:tcPr>
            <w:tcBorders>
              <w:top w:val="single" w:color="000000" w:sz="2" w:space="0"/>
              <w:bottom w:val="single" w:color="000000" w:sz="2" w:space="0"/>
            </w:tcBorders>
            <w:tcW w:w="6397" w:type="dxa"/>
            <w:vAlign w:val="top"/>
            <w:textDirection w:val="lrTb"/>
            <w:noWrap w:val="false"/>
          </w:tcPr>
          <w:p>
            <w:pPr>
              <w:pStyle w:val="769"/>
              <w:jc w:val="center"/>
              <w:spacing w:before="264"/>
              <w:rPr>
                <w:rFonts w:hint="eastAsia" w:ascii="宋体" w:hAnsi="宋体" w:cs="宋体"/>
                <w:b/>
                <w:bCs/>
                <w:spacing w:val="-2"/>
              </w:rPr>
            </w:pPr>
            <w:r>
              <w:rPr>
                <w:rFonts w:ascii="宋体" w:hAnsi="宋体" w:cs="宋体"/>
                <w:b/>
                <w:bCs/>
                <w:spacing w:val="-2"/>
              </w:rPr>
              <w:t xml:space="preserve">评审细则</w:t>
            </w:r>
            <w:r>
              <w:rPr>
                <w:rFonts w:hint="eastAsia" w:ascii="宋体" w:hAnsi="宋体" w:cs="宋体"/>
                <w:b/>
                <w:bCs/>
                <w:spacing w:val="-2"/>
              </w:rPr>
            </w:r>
            <w:r/>
          </w:p>
        </w:tc>
        <w:tc>
          <w:tcPr>
            <w:tcBorders>
              <w:top w:val="single" w:color="000000" w:sz="2" w:space="0"/>
              <w:bottom w:val="single" w:color="000000" w:sz="2" w:space="0"/>
            </w:tcBorders>
            <w:tcW w:w="647" w:type="dxa"/>
            <w:vAlign w:val="top"/>
            <w:textDirection w:val="lrTb"/>
            <w:noWrap w:val="false"/>
          </w:tcPr>
          <w:p>
            <w:pPr>
              <w:pStyle w:val="769"/>
              <w:jc w:val="center"/>
              <w:spacing w:before="264"/>
              <w:rPr>
                <w:rFonts w:hint="eastAsia" w:ascii="宋体" w:hAnsi="宋体" w:cs="宋体"/>
                <w:b/>
                <w:bCs/>
                <w:spacing w:val="-2"/>
              </w:rPr>
            </w:pPr>
            <w:r>
              <w:rPr>
                <w:rFonts w:ascii="宋体" w:hAnsi="宋体" w:cs="宋体"/>
                <w:b/>
                <w:bCs/>
                <w:spacing w:val="-2"/>
              </w:rPr>
              <w:t xml:space="preserve">分值</w:t>
            </w:r>
            <w:r>
              <w:rPr>
                <w:rFonts w:hint="eastAsia" w:ascii="宋体" w:hAnsi="宋体" w:cs="宋体"/>
                <w:b/>
                <w:bCs/>
                <w:spacing w:val="-2"/>
              </w:rPr>
            </w:r>
            <w:r/>
          </w:p>
        </w:tc>
        <w:tc>
          <w:tcPr>
            <w:tcBorders>
              <w:top w:val="single" w:color="000000" w:sz="2" w:space="0"/>
              <w:bottom w:val="single" w:color="000000" w:sz="2" w:space="0"/>
            </w:tcBorders>
            <w:tcW w:w="900" w:type="dxa"/>
            <w:vAlign w:val="top"/>
            <w:textDirection w:val="lrTb"/>
            <w:noWrap w:val="false"/>
          </w:tcPr>
          <w:p>
            <w:pPr>
              <w:pStyle w:val="769"/>
              <w:jc w:val="center"/>
              <w:spacing w:before="264"/>
              <w:rPr>
                <w:rFonts w:hint="eastAsia" w:ascii="宋体" w:hAnsi="宋体" w:cs="宋体"/>
                <w:b/>
                <w:bCs/>
                <w:spacing w:val="-2"/>
              </w:rPr>
            </w:pPr>
            <w:r>
              <w:rPr>
                <w:rFonts w:ascii="宋体" w:hAnsi="宋体" w:cs="宋体"/>
                <w:b/>
                <w:bCs/>
                <w:spacing w:val="-2"/>
              </w:rPr>
              <w:t xml:space="preserve">类型</w:t>
            </w:r>
            <w:r>
              <w:rPr>
                <w:rFonts w:hint="eastAsia" w:ascii="宋体" w:hAnsi="宋体" w:cs="宋体"/>
                <w:b/>
                <w:bCs/>
                <w:spacing w:val="-2"/>
              </w:rPr>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769"/>
              <w:ind w:left="114"/>
              <w:spacing w:before="122"/>
              <w:rPr>
                <w:rFonts w:hint="eastAsia"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rPr>
            </w:pPr>
            <w:r/>
            <w:bookmarkStart w:id="127" w:name="OLE_LINK57"/>
            <w:r/>
            <w:bookmarkStart w:id="128" w:name="OLE_LINK58"/>
            <w:r/>
            <w:bookmarkStart w:id="129" w:name="_Hlk230521580"/>
            <w:r>
              <w:rPr>
                <w:rFonts w:ascii="宋体" w:hAnsi="宋体" w:cs="宋体"/>
                <w:spacing w:val="-6"/>
              </w:rPr>
              <w:t xml:space="preserve">1</w:t>
            </w:r>
            <w:r>
              <w:rPr>
                <w:rFonts w:ascii="宋体" w:hAnsi="宋体" w:cs="宋体"/>
                <w:spacing w:val="-5"/>
              </w:rPr>
              <w:t xml:space="preserve">.1</w:t>
            </w:r>
            <w:r>
              <w:rPr>
                <w:rFonts w:hint="eastAsia" w:ascii="宋体" w:hAnsi="宋体" w:cs="宋体"/>
              </w:rPr>
            </w:r>
            <w:r/>
          </w:p>
        </w:tc>
        <w:tc>
          <w:tcPr>
            <w:tcBorders>
              <w:top w:val="single" w:color="000000" w:sz="2" w:space="0"/>
              <w:bottom w:val="single" w:color="000000" w:sz="2" w:space="0"/>
            </w:tcBorders>
            <w:tcW w:w="1112" w:type="dxa"/>
            <w:vAlign w:val="center"/>
            <w:textDirection w:val="lrTb"/>
            <w:noWrap w:val="false"/>
          </w:tcPr>
          <w:p>
            <w:pPr>
              <w:pStyle w:val="769"/>
              <w:jc w:val="left"/>
              <w:spacing w:before="68"/>
              <w:rPr>
                <w:rFonts w:hint="eastAsia" w:ascii="宋体" w:hAnsi="宋体" w:cs="宋体"/>
              </w:rPr>
            </w:pPr>
            <w:r>
              <w:rPr>
                <w:rFonts w:ascii="宋体" w:hAnsi="宋体" w:cs="宋体"/>
                <w:spacing w:val="-2"/>
              </w:rPr>
              <w:t xml:space="preserve">价格分</w:t>
            </w:r>
            <w:r>
              <w:rPr>
                <w:rFonts w:hint="eastAsia" w:ascii="宋体" w:hAnsi="宋体" w:cs="宋体"/>
              </w:rPr>
            </w:r>
            <w:r/>
          </w:p>
        </w:tc>
        <w:tc>
          <w:tcPr>
            <w:tcBorders>
              <w:top w:val="single" w:color="000000" w:sz="2" w:space="0"/>
              <w:bottom w:val="single" w:color="000000" w:sz="2" w:space="0"/>
            </w:tcBorders>
            <w:tcW w:w="6397" w:type="dxa"/>
            <w:vAlign w:val="center"/>
            <w:textDirection w:val="lrTb"/>
            <w:noWrap w:val="false"/>
          </w:tcPr>
          <w:p>
            <w:pPr>
              <w:pStyle w:val="769"/>
              <w:jc w:val="left"/>
              <w:rPr>
                <w:rFonts w:hint="eastAsia"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式计算：投标报价得分=(评标基准价/投标报价)×30（小数点保留两位）</w:t>
            </w:r>
            <w:r/>
          </w:p>
        </w:tc>
        <w:tc>
          <w:tcPr>
            <w:tcBorders>
              <w:top w:val="single" w:color="000000" w:sz="2" w:space="0"/>
              <w:bottom w:val="single" w:color="000000" w:sz="2" w:space="0"/>
            </w:tcBorders>
            <w:tcW w:w="647" w:type="dxa"/>
            <w:vAlign w:val="center"/>
            <w:textDirection w:val="lrTb"/>
            <w:noWrap w:val="false"/>
          </w:tcPr>
          <w:p>
            <w:pPr>
              <w:pStyle w:val="769"/>
              <w:jc w:val="center"/>
              <w:spacing w:before="68"/>
              <w:rPr>
                <w:rFonts w:hint="eastAsia"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rPr>
            </w:pPr>
            <w:r>
              <w:rPr>
                <w:rFonts w:ascii="宋体" w:hAnsi="宋体" w:cs="宋体"/>
              </w:rPr>
              <w:t xml:space="preserve">价格分</w:t>
            </w:r>
            <w:r>
              <w:rPr>
                <w:rFonts w:hint="eastAsia" w:ascii="宋体" w:hAnsi="宋体" w:cs="宋体"/>
              </w:rPr>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769"/>
              <w:ind w:left="114"/>
              <w:spacing w:before="123"/>
              <w:rPr>
                <w:rFonts w:hint="eastAsia" w:ascii="宋体" w:hAnsi="宋体" w:cs="宋体"/>
              </w:rPr>
            </w:pPr>
            <w:r/>
            <w:bookmarkEnd w:id="127"/>
            <w:r/>
            <w:bookmarkEnd w:id="128"/>
            <w:r/>
            <w:bookmarkEnd w:id="129"/>
            <w:r>
              <w:rPr>
                <w:rFonts w:hint="eastAsia" w:ascii="宋体" w:hAnsi="宋体" w:cs="宋体"/>
                <w:b/>
                <w:bCs/>
                <w:spacing w:val="-3"/>
              </w:rPr>
              <w:t xml:space="preserve">2.技术</w:t>
            </w:r>
            <w:r>
              <w:rPr>
                <w:rFonts w:hint="eastAsia" w:ascii="宋体" w:hAnsi="宋体" w:cs="宋体"/>
              </w:rPr>
            </w:r>
            <w:r/>
          </w:p>
        </w:tc>
      </w:tr>
      <w:tr>
        <w:trPr>
          <w:trHeight w:val="891"/>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rPr>
                <w:rFonts w:ascii="宋体" w:hAnsi="宋体" w:cs="宋体"/>
                <w:spacing w:val="-2"/>
              </w:rPr>
              <w:t xml:space="preserve">2.1</w:t>
            </w:r>
            <w:r>
              <w:rPr>
                <w:rFonts w:hint="eastAsia" w:ascii="宋体" w:hAnsi="宋体" w:cs="宋体"/>
                <w:spacing w:val="-2"/>
              </w:rPr>
            </w:r>
            <w:r/>
          </w:p>
        </w:tc>
        <w:tc>
          <w:tcPr>
            <w:tcBorders>
              <w:top w:val="single" w:color="000000" w:sz="2" w:space="0"/>
              <w:bottom w:val="single" w:color="000000" w:sz="2" w:space="0"/>
            </w:tcBorders>
            <w:tcW w:w="1112" w:type="dxa"/>
            <w:vAlign w:val="center"/>
            <w:textDirection w:val="lrTb"/>
            <w:noWrap w:val="false"/>
          </w:tcPr>
          <w:p>
            <w:pPr>
              <w:pStyle w:val="769"/>
              <w:jc w:val="left"/>
              <w:spacing w:before="68"/>
              <w:rPr>
                <w:rFonts w:hint="eastAsia" w:ascii="宋体" w:hAnsi="宋体" w:cs="宋体"/>
                <w:color w:val="0000ff"/>
                <w:spacing w:val="-2"/>
              </w:rPr>
            </w:pPr>
            <w:r>
              <w:rPr>
                <w:rFonts w:ascii="宋体" w:hAnsi="宋体" w:cs="宋体"/>
                <w:spacing w:val="-2"/>
              </w:rPr>
              <w:t xml:space="preserve">产品技术参数</w:t>
            </w:r>
            <w:r>
              <w:rPr>
                <w:rFonts w:hint="eastAsia" w:ascii="宋体" w:hAnsi="宋体" w:cs="宋体"/>
                <w:color w:val="0000ff"/>
                <w:spacing w:val="-2"/>
              </w:rPr>
            </w:r>
            <w:r/>
          </w:p>
        </w:tc>
        <w:tc>
          <w:tcPr>
            <w:tcBorders>
              <w:top w:val="single" w:color="000000" w:sz="2" w:space="0"/>
              <w:bottom w:val="single" w:color="000000" w:sz="2" w:space="0"/>
            </w:tcBorders>
            <w:tcW w:w="6397" w:type="dxa"/>
            <w:vAlign w:val="center"/>
            <w:textDirection w:val="lrTb"/>
            <w:noWrap w:val="false"/>
          </w:tcPr>
          <w:p>
            <w:pPr>
              <w:pStyle w:val="769"/>
              <w:rPr>
                <w:rFonts w:hint="eastAsia" w:ascii="宋体" w:hAnsi="宋体" w:cs="宋体"/>
                <w:spacing w:val="1"/>
              </w:rPr>
            </w:pPr>
            <w:r/>
            <w:bookmarkStart w:id="130" w:name="OLE_LINK65"/>
            <w:r>
              <w:rPr>
                <w:rFonts w:hint="eastAsia" w:ascii="宋体" w:hAnsi="宋体" w:cs="宋体"/>
                <w:spacing w:val="1"/>
              </w:rPr>
              <w:t xml:space="preserve">设备技术参数全部满足招标要求的得满分22分，打▲号指标为重要指标，有一项负偏</w:t>
            </w:r>
            <w:r>
              <w:rPr>
                <w:rFonts w:hint="eastAsia" w:ascii="宋体" w:hAnsi="宋体" w:cs="宋体"/>
                <w:spacing w:val="1"/>
              </w:rPr>
              <w:t xml:space="preserve">离</w:t>
            </w:r>
            <w:r>
              <w:rPr>
                <w:rFonts w:hint="eastAsia" w:ascii="宋体" w:hAnsi="宋体" w:cs="宋体"/>
                <w:spacing w:val="1"/>
              </w:rPr>
              <w:t xml:space="preserve">扣</w:t>
            </w:r>
            <w:r>
              <w:rPr>
                <w:rFonts w:hint="eastAsia" w:ascii="宋体" w:hAnsi="宋体" w:cs="宋体"/>
                <w:spacing w:val="1"/>
              </w:rPr>
              <w:t xml:space="preserve">1</w:t>
            </w:r>
            <w:r>
              <w:rPr>
                <w:rFonts w:hint="eastAsia" w:ascii="宋体" w:hAnsi="宋体" w:cs="宋体"/>
                <w:spacing w:val="1"/>
              </w:rPr>
              <w:t xml:space="preserve">分</w:t>
            </w:r>
            <w:r>
              <w:rPr>
                <w:rFonts w:hint="eastAsia" w:ascii="宋体" w:hAnsi="宋体" w:cs="宋体"/>
                <w:spacing w:val="1"/>
              </w:rPr>
              <w:t xml:space="preserve">；其他指标，有一项负偏离扣</w:t>
            </w:r>
            <w:r>
              <w:rPr>
                <w:rFonts w:hint="eastAsia" w:ascii="宋体" w:hAnsi="宋体" w:cs="宋体"/>
                <w:spacing w:val="1"/>
              </w:rPr>
              <w:t xml:space="preserve">0.5</w:t>
            </w:r>
            <w:r>
              <w:rPr>
                <w:rFonts w:hint="eastAsia" w:ascii="宋体" w:hAnsi="宋体" w:cs="宋体"/>
                <w:spacing w:val="1"/>
              </w:rPr>
              <w:t xml:space="preserve">分</w:t>
            </w:r>
            <w:r>
              <w:rPr>
                <w:rFonts w:hint="eastAsia" w:ascii="宋体" w:hAnsi="宋体" w:cs="宋体"/>
                <w:spacing w:val="1"/>
              </w:rPr>
              <w:t xml:space="preserve">，扣完为止。指标中要求提供佐证材料的必须提供，否则视为该条指标未响应。严重负偏离影响设备性能的经半数以上评委认定，本项得零分。</w:t>
            </w:r>
            <w:bookmarkEnd w:id="130"/>
            <w:r>
              <w:rPr>
                <w:rFonts w:hint="eastAsia" w:ascii="宋体" w:hAnsi="宋体" w:cs="宋体"/>
                <w:spacing w:val="1"/>
              </w:rPr>
            </w:r>
            <w:r/>
          </w:p>
        </w:tc>
        <w:tc>
          <w:tcPr>
            <w:tcBorders>
              <w:top w:val="single" w:color="000000" w:sz="2" w:space="0"/>
              <w:bottom w:val="single" w:color="000000" w:sz="2" w:space="0"/>
            </w:tcBorders>
            <w:tcW w:w="647" w:type="dxa"/>
            <w:vAlign w:val="center"/>
            <w:textDirection w:val="lrTb"/>
            <w:noWrap w:val="false"/>
          </w:tcPr>
          <w:p>
            <w:pPr>
              <w:pStyle w:val="769"/>
              <w:jc w:val="center"/>
              <w:spacing w:before="68"/>
              <w:rPr>
                <w:rFonts w:ascii="宋体" w:hAnsi="宋体" w:cs="宋体"/>
              </w:rPr>
            </w:pPr>
            <w:r>
              <w:rPr>
                <w:rFonts w:hint="eastAsia" w:ascii="宋体" w:hAnsi="宋体" w:cs="宋体"/>
              </w:rPr>
              <w:t xml:space="preserve">22</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393"/>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bookmarkStart w:id="131" w:name="_Hlk230521947"/>
            <w:r/>
            <w:bookmarkStart w:id="132" w:name="OLE_LINK61"/>
            <w:r/>
            <w:bookmarkStart w:id="133" w:name="OLE_LINK60"/>
            <w:r>
              <w:rPr>
                <w:rFonts w:hint="eastAsia" w:ascii="宋体" w:hAnsi="宋体" w:cs="宋体"/>
                <w:spacing w:val="-2"/>
              </w:rPr>
              <w:t xml:space="preserve">2</w:t>
            </w:r>
            <w:r>
              <w:rPr>
                <w:rFonts w:ascii="宋体" w:hAnsi="宋体" w:cs="宋体"/>
                <w:spacing w:val="-2"/>
              </w:rPr>
              <w:t xml:space="preserve">.2</w:t>
            </w:r>
            <w:r>
              <w:rPr>
                <w:rFonts w:hint="eastAsia" w:ascii="宋体" w:hAnsi="宋体" w:cs="宋体"/>
                <w:spacing w:val="-2"/>
              </w:rPr>
            </w:r>
            <w:r/>
          </w:p>
        </w:tc>
        <w:tc>
          <w:tcPr>
            <w:tcBorders>
              <w:top w:val="single" w:color="000000" w:sz="2" w:space="0"/>
              <w:bottom w:val="single" w:color="000000" w:sz="2" w:space="0"/>
            </w:tcBorders>
            <w:tcW w:w="1112" w:type="dxa"/>
            <w:vAlign w:val="center"/>
            <w:textDirection w:val="lrTb"/>
            <w:noWrap w:val="false"/>
          </w:tcPr>
          <w:p>
            <w:pPr>
              <w:pStyle w:val="769"/>
              <w:jc w:val="left"/>
              <w:spacing w:before="68"/>
              <w:rPr>
                <w:rFonts w:hint="eastAsia" w:ascii="宋体" w:hAnsi="宋体" w:cs="宋体"/>
                <w:spacing w:val="-2"/>
              </w:rPr>
            </w:pPr>
            <w:r/>
            <w:bookmarkStart w:id="134" w:name="OLE_LINK59"/>
            <w:r>
              <w:rPr>
                <w:rFonts w:ascii="宋体" w:hAnsi="宋体" w:cs="宋体"/>
                <w:spacing w:val="-2"/>
              </w:rPr>
              <w:t xml:space="preserve">原材料检测报告</w:t>
            </w:r>
            <w:r>
              <w:rPr>
                <w:rFonts w:hint="eastAsia" w:ascii="宋体" w:hAnsi="宋体" w:cs="宋体"/>
                <w:spacing w:val="-2"/>
              </w:rPr>
            </w:r>
            <w:r/>
          </w:p>
          <w:p>
            <w:pPr>
              <w:pStyle w:val="769"/>
              <w:jc w:val="left"/>
              <w:spacing w:before="68"/>
              <w:rPr>
                <w:rFonts w:hint="eastAsia" w:ascii="宋体" w:hAnsi="宋体" w:cs="宋体"/>
                <w:color w:val="0000ff"/>
                <w:spacing w:val="-2"/>
              </w:rPr>
            </w:pPr>
            <w:r/>
            <w:bookmarkEnd w:id="134"/>
            <w:r>
              <w:rPr>
                <w:rFonts w:hint="eastAsia" w:ascii="宋体" w:hAnsi="宋体" w:cs="宋体"/>
                <w:color w:val="0000ff"/>
                <w:spacing w:val="-2"/>
              </w:rPr>
            </w:r>
            <w:r/>
          </w:p>
        </w:tc>
        <w:tc>
          <w:tcPr>
            <w:tcBorders>
              <w:top w:val="single" w:color="000000" w:sz="2" w:space="0"/>
              <w:bottom w:val="single" w:color="000000" w:sz="2" w:space="0"/>
            </w:tcBorders>
            <w:tcW w:w="6397" w:type="dxa"/>
            <w:vAlign w:val="center"/>
            <w:textDirection w:val="lrTb"/>
            <w:noWrap w:val="false"/>
          </w:tcPr>
          <w:p>
            <w:pPr>
              <w:pStyle w:val="769"/>
              <w:rPr>
                <w:rFonts w:hint="eastAsia" w:ascii="宋体" w:hAnsi="宋体" w:cs="宋体"/>
                <w:spacing w:val="1"/>
              </w:rPr>
            </w:pPr>
            <w:r>
              <w:rPr>
                <w:rFonts w:hint="eastAsia" w:ascii="宋体" w:hAnsi="宋体" w:cs="宋体"/>
                <w:spacing w:val="1"/>
              </w:rPr>
              <w:t xml:space="preserve">投标人或所投产品制造商在投标截止时间前已取得且在有效期内的具有CMA标识的原材料检测报告：</w:t>
            </w:r>
            <w:r/>
          </w:p>
          <w:p>
            <w:pPr>
              <w:pStyle w:val="769"/>
              <w:rPr>
                <w:rFonts w:hint="eastAsia" w:ascii="宋体" w:hAnsi="宋体" w:cs="宋体"/>
                <w:spacing w:val="1"/>
              </w:rPr>
            </w:pPr>
            <w:r>
              <w:rPr>
                <w:rFonts w:hint="eastAsia" w:ascii="宋体" w:hAnsi="宋体" w:cs="宋体"/>
                <w:spacing w:val="1"/>
              </w:rPr>
              <w:t xml:space="preserve">1、所投“办公桌”产品原材料实木多层板的抽样检测报告，检测项至少包含：(1)依据GB/T35601-2024，苯、甲苯、二甲苯、TVOC、甲醛释放量检测结果为合格或符合；(2)依据LY/T2230-2013，防霉菌性能检测结果为合格或符合。提供符合要求的报告得2分，不提供不得分。</w:t>
            </w:r>
            <w:r/>
          </w:p>
          <w:p>
            <w:pPr>
              <w:pStyle w:val="769"/>
              <w:rPr>
                <w:rFonts w:hint="eastAsia" w:ascii="宋体" w:hAnsi="宋体" w:cs="宋体"/>
                <w:spacing w:val="1"/>
              </w:rPr>
            </w:pPr>
            <w:r>
              <w:rPr>
                <w:rFonts w:hint="eastAsia" w:ascii="宋体" w:hAnsi="宋体" w:cs="宋体"/>
                <w:spacing w:val="1"/>
              </w:rPr>
              <w:t xml:space="preserve">2、所投“课桌椅”产品原材料ABS塑料的抽样检测报告，检测项至少包含：（1）依据 GB/T32487-2016，冲击强度保持率不小于80%，冲击强度不小于15J/㎡；（2）依据QB/T4371-2012，抗菌性能检测结果为合格或符合；(3)依据GB/T24128-2018，耐霉菌性能检测结果为合格或符合。提供符合要求的报告得2分，不提供不得分。</w:t>
            </w:r>
            <w:r/>
          </w:p>
          <w:p>
            <w:pPr>
              <w:pStyle w:val="769"/>
              <w:rPr>
                <w:rFonts w:hint="eastAsia" w:ascii="宋体" w:hAnsi="宋体" w:cs="宋体"/>
              </w:rPr>
            </w:pPr>
            <w:r>
              <w:rPr>
                <w:rFonts w:hint="eastAsia" w:ascii="宋体" w:hAnsi="宋体" w:cs="宋体"/>
                <w:spacing w:val="1"/>
              </w:rPr>
              <w:t xml:space="preserve">备注：上述标准以招标文件发布之日现行有效的标准版本为准；所提供检测报告中“产品名称和检测内容”与评分细则规定不同时，应提供符合上述要</w:t>
            </w:r>
            <w:r>
              <w:rPr>
                <w:rFonts w:hint="eastAsia" w:ascii="宋体" w:hAnsi="宋体" w:cs="宋体"/>
                <w:spacing w:val="1"/>
              </w:rPr>
              <w:t xml:space="preserve">求的内容（功能）说明及关键信息，否则不予认可。为方便评委评审，功能参数可用箭头、标红或下划线等进行明显标注</w:t>
            </w:r>
            <w:r>
              <w:rPr>
                <w:rFonts w:hint="eastAsia" w:ascii="宋体" w:hAnsi="宋体" w:cs="宋体"/>
                <w:szCs w:val="21"/>
                <w:lang w:bidi="ar"/>
              </w:rPr>
              <w:t xml:space="preserve">。</w:t>
            </w:r>
            <w:r>
              <w:rPr>
                <w:rFonts w:hint="eastAsia" w:ascii="宋体" w:hAnsi="宋体" w:cs="宋体"/>
              </w:rPr>
            </w:r>
            <w:r/>
          </w:p>
        </w:tc>
        <w:tc>
          <w:tcPr>
            <w:tcBorders>
              <w:top w:val="single" w:color="000000" w:sz="2" w:space="0"/>
              <w:bottom w:val="single" w:color="000000" w:sz="2" w:space="0"/>
            </w:tcBorders>
            <w:tcW w:w="647" w:type="dxa"/>
            <w:vAlign w:val="center"/>
            <w:textDirection w:val="lrTb"/>
            <w:noWrap w:val="false"/>
          </w:tcPr>
          <w:p>
            <w:pPr>
              <w:pStyle w:val="769"/>
              <w:jc w:val="center"/>
              <w:spacing w:before="68"/>
              <w:rPr>
                <w:rFonts w:hint="eastAsia"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bookmarkEnd w:id="131"/>
            <w:r/>
            <w:bookmarkEnd w:id="132"/>
            <w:r/>
            <w:bookmarkEnd w:id="133"/>
            <w:r/>
            <w:bookmarkStart w:id="135" w:name="OLE_LINK63"/>
            <w:r/>
            <w:bookmarkStart w:id="136" w:name="OLE_LINK64"/>
            <w:r/>
            <w:bookmarkStart w:id="137" w:name="_Hlk230522072"/>
            <w:r>
              <w:rPr>
                <w:rFonts w:hint="eastAsia" w:ascii="宋体" w:hAnsi="宋体" w:cs="宋体"/>
                <w:spacing w:val="-2"/>
              </w:rPr>
              <w:t xml:space="preserve">2.3</w:t>
            </w:r>
            <w:r/>
          </w:p>
        </w:tc>
        <w:tc>
          <w:tcPr>
            <w:tcBorders>
              <w:top w:val="single" w:color="000000" w:sz="2" w:space="0"/>
              <w:bottom w:val="single" w:color="000000" w:sz="2" w:space="0"/>
            </w:tcBorders>
            <w:tcW w:w="1112" w:type="dxa"/>
            <w:vAlign w:val="center"/>
            <w:textDirection w:val="lrTb"/>
            <w:noWrap w:val="false"/>
          </w:tcPr>
          <w:p>
            <w:pPr>
              <w:pStyle w:val="769"/>
              <w:jc w:val="left"/>
              <w:spacing w:before="68"/>
              <w:rPr>
                <w:rFonts w:hint="eastAsia" w:ascii="宋体" w:hAnsi="宋体" w:cs="宋体"/>
                <w:spacing w:val="-2"/>
              </w:rPr>
            </w:pPr>
            <w:r/>
            <w:bookmarkStart w:id="138" w:name="OLE_LINK62"/>
            <w:r>
              <w:rPr>
                <w:rFonts w:ascii="宋体" w:hAnsi="宋体" w:cs="宋体"/>
                <w:spacing w:val="-2"/>
              </w:rPr>
              <w:t xml:space="preserve">成品检测报告</w:t>
            </w:r>
            <w:r>
              <w:rPr>
                <w:rFonts w:hint="eastAsia" w:ascii="宋体" w:hAnsi="宋体" w:cs="宋体"/>
                <w:spacing w:val="-2"/>
              </w:rPr>
            </w:r>
            <w:r/>
          </w:p>
          <w:p>
            <w:pPr>
              <w:pStyle w:val="769"/>
              <w:jc w:val="left"/>
              <w:spacing w:before="68"/>
              <w:rPr>
                <w:rFonts w:hint="eastAsia" w:ascii="宋体" w:hAnsi="宋体" w:cs="宋体"/>
                <w:color w:val="0000ff"/>
                <w:spacing w:val="-2"/>
              </w:rPr>
            </w:pPr>
            <w:r/>
            <w:bookmarkEnd w:id="138"/>
            <w:r>
              <w:rPr>
                <w:rFonts w:hint="eastAsia" w:ascii="宋体" w:hAnsi="宋体" w:cs="宋体"/>
                <w:color w:val="0000ff"/>
                <w:spacing w:val="-2"/>
              </w:rPr>
            </w:r>
            <w:r/>
          </w:p>
        </w:tc>
        <w:tc>
          <w:tcPr>
            <w:tcBorders>
              <w:top w:val="single" w:color="000000" w:sz="2" w:space="0"/>
              <w:bottom w:val="single" w:color="000000" w:sz="2" w:space="0"/>
            </w:tcBorders>
            <w:tcW w:w="6397" w:type="dxa"/>
            <w:vAlign w:val="center"/>
            <w:textDirection w:val="lrTb"/>
            <w:noWrap w:val="false"/>
          </w:tcPr>
          <w:p>
            <w:pPr>
              <w:pStyle w:val="769"/>
              <w:spacing w:line="240" w:lineRule="atLeast"/>
              <w:rPr>
                <w:rFonts w:hint="eastAsia" w:ascii="宋体" w:hAnsi="宋体" w:cs="宋体"/>
                <w:spacing w:val="1"/>
              </w:rPr>
            </w:pPr>
            <w:r>
              <w:rPr>
                <w:rFonts w:hint="eastAsia" w:ascii="宋体" w:hAnsi="宋体" w:cs="宋体"/>
                <w:spacing w:val="1"/>
              </w:rPr>
              <w:t xml:space="preserve">投标人或所投产品制造商在投标截止时间前已取得且在有效期内的具有CMA标识</w:t>
            </w:r>
            <w:r>
              <w:rPr>
                <w:rFonts w:hint="eastAsia" w:ascii="宋体" w:hAnsi="宋体" w:cs="宋体"/>
                <w:spacing w:val="1"/>
              </w:rPr>
              <w:t xml:space="preserve">的</w:t>
            </w:r>
            <w:r>
              <w:rPr>
                <w:rFonts w:hint="eastAsia" w:ascii="宋体" w:hAnsi="宋体" w:cs="宋体"/>
                <w:b/>
                <w:bCs/>
                <w:spacing w:val="1"/>
              </w:rPr>
              <w:t xml:space="preserve">成品</w:t>
            </w:r>
            <w:r>
              <w:rPr>
                <w:rFonts w:hint="eastAsia" w:ascii="宋体" w:hAnsi="宋体" w:cs="宋体"/>
                <w:spacing w:val="1"/>
              </w:rPr>
              <w:t xml:space="preserve">检测报告</w:t>
            </w:r>
            <w:r>
              <w:rPr>
                <w:rFonts w:hint="eastAsia" w:ascii="宋体" w:hAnsi="宋体" w:cs="宋体"/>
                <w:spacing w:val="1"/>
              </w:rPr>
              <w:t xml:space="preserve">：</w:t>
            </w:r>
            <w:r/>
          </w:p>
          <w:p>
            <w:pPr>
              <w:pStyle w:val="769"/>
              <w:jc w:val="left"/>
              <w:spacing w:line="264" w:lineRule="auto"/>
              <w:rPr>
                <w:rFonts w:hint="eastAsia" w:ascii="宋体" w:hAnsi="宋体" w:cs="宋体"/>
                <w:spacing w:val="1"/>
              </w:rPr>
            </w:pPr>
            <w:r>
              <w:rPr>
                <w:rFonts w:hint="eastAsia" w:ascii="宋体" w:hAnsi="宋体" w:cs="宋体"/>
                <w:spacing w:val="1"/>
              </w:rPr>
              <w:t xml:space="preserve">1、所投“课桌椅”的检测报告，检测项至少包含：（1）依据QB/T4071-2021，课椅力学性能、课桌力学性能检测结果为符合或合格；（2）依据GB/T9343-2008，燃烧性、闪燃温度、自燃温度检测结果为符合或合格；（3）依据QB/T4371-2012，抗菌性能≥99.9%；（4）依据GB/T24128-2018，耐霉菌性能0级。符合检测要求项数对应的评审分值如下：全部4项检测均符合要求的，得2分；符合其中任意3项要求的，得1分；符合不足3项或不符合要求的</w:t>
            </w:r>
            <w:r>
              <w:rPr>
                <w:rFonts w:hint="eastAsia" w:ascii="宋体" w:hAnsi="宋体" w:cs="宋体"/>
                <w:spacing w:val="1"/>
              </w:rPr>
              <w:t xml:space="preserve">，不得分。本项得分合计不超过2分；                                             2、所投“礼堂椅”的检测报告，检测项至少包含：（1）依据QB/T 2602-2013，结构要求、消音装置、用料、理化性能、力学性能、有害物质检测结果为符合或合格；（2）依据GB/T 35607-2024，产品寿命检测结果为符合或合格。符合检测要求项数对应的评审分值如下： 全部2项检测均符合要求的，得2分；符合其中任意1项要求的，得1分；不符合或未提供的，不得分。本项得分合计不超过2分。</w:t>
            </w:r>
            <w:r/>
          </w:p>
          <w:p>
            <w:pPr>
              <w:pStyle w:val="769"/>
              <w:jc w:val="left"/>
              <w:spacing w:line="264" w:lineRule="auto"/>
              <w:rPr>
                <w:rFonts w:hint="eastAsia" w:ascii="宋体" w:hAnsi="宋体" w:cs="宋体"/>
                <w:spacing w:val="1"/>
              </w:rPr>
            </w:pPr>
            <w:r>
              <w:rPr>
                <w:rFonts w:hint="eastAsia" w:ascii="宋体" w:hAnsi="宋体" w:cs="宋体"/>
                <w:spacing w:val="1"/>
              </w:rPr>
              <w:t xml:space="preserve">备注：上述标准以招标文件发布之日现行有效的标</w:t>
            </w:r>
            <w:r>
              <w:rPr>
                <w:rFonts w:hint="eastAsia" w:ascii="宋体" w:hAnsi="宋体" w:cs="宋体"/>
                <w:spacing w:val="1"/>
              </w:rPr>
              <w:t xml:space="preserve">准版本为准；所提供检测报告中“产品名称和检测内容”与评分细则规定不同时，应提供符合上述要求的内容（功能）说明及关键信息，否则不予认可。为方便评委评审，功能参数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pStyle w:val="769"/>
              <w:jc w:val="center"/>
              <w:spacing w:before="68"/>
              <w:rPr>
                <w:rFonts w:hint="eastAsia" w:ascii="宋体" w:hAnsi="宋体" w:cs="宋体"/>
              </w:rPr>
            </w:pPr>
            <w:r>
              <w:rPr>
                <w:rFonts w:hint="eastAsia" w:ascii="宋体" w:hAnsi="宋体" w:cs="宋体"/>
              </w:rPr>
              <w:t xml:space="preserve">4</w:t>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6270"/>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bookmarkEnd w:id="135"/>
            <w:r/>
            <w:bookmarkEnd w:id="136"/>
            <w:r/>
            <w:bookmarkEnd w:id="137"/>
            <w:r>
              <w:rPr>
                <w:rFonts w:hint="eastAsia" w:ascii="宋体" w:hAnsi="宋体" w:cs="宋体"/>
                <w:spacing w:val="-2"/>
              </w:rPr>
              <w:t xml:space="preserve">2.4</w:t>
            </w:r>
            <w:r/>
          </w:p>
        </w:tc>
        <w:tc>
          <w:tcPr>
            <w:tcBorders>
              <w:top w:val="single" w:color="000000" w:sz="2" w:space="0"/>
              <w:bottom w:val="single" w:color="000000" w:sz="2" w:space="0"/>
            </w:tcBorders>
            <w:tcW w:w="1112" w:type="dxa"/>
            <w:vAlign w:val="center"/>
            <w:textDirection w:val="lrTb"/>
            <w:noWrap w:val="false"/>
          </w:tcPr>
          <w:p>
            <w:pPr>
              <w:pStyle w:val="769"/>
              <w:jc w:val="left"/>
              <w:spacing w:before="68"/>
              <w:rPr>
                <w:rFonts w:hint="eastAsia" w:ascii="宋体" w:hAnsi="宋体" w:cs="宋体"/>
                <w:color w:val="0000ff"/>
                <w:spacing w:val="-2"/>
              </w:rPr>
            </w:pPr>
            <w:r>
              <w:rPr>
                <w:rFonts w:hint="eastAsia" w:ascii="宋体" w:hAnsi="宋体" w:cs="宋体"/>
              </w:rPr>
              <w:t xml:space="preserve">深化设计方案</w:t>
            </w:r>
            <w:r>
              <w:rPr>
                <w:rFonts w:hint="eastAsia" w:ascii="宋体" w:hAnsi="宋体" w:cs="宋体"/>
                <w:color w:val="0000ff"/>
                <w:spacing w:val="-2"/>
              </w:rPr>
            </w:r>
            <w:r/>
          </w:p>
        </w:tc>
        <w:tc>
          <w:tcPr>
            <w:tcBorders>
              <w:top w:val="single" w:color="000000" w:sz="2" w:space="0"/>
              <w:bottom w:val="single" w:color="000000" w:sz="2" w:space="0"/>
            </w:tcBorders>
            <w:tcW w:w="6397" w:type="dxa"/>
            <w:vAlign w:val="center"/>
            <w:textDirection w:val="lrTb"/>
            <w:noWrap w:val="false"/>
          </w:tcPr>
          <w:p>
            <w:pPr>
              <w:pStyle w:val="769"/>
              <w:jc w:val="left"/>
              <w:spacing w:line="264" w:lineRule="auto"/>
              <w:rPr>
                <w:rFonts w:hint="eastAsia" w:ascii="宋体" w:hAnsi="宋体" w:cs="宋体"/>
                <w:spacing w:val="1"/>
              </w:rPr>
            </w:pPr>
            <w:r>
              <w:rPr>
                <w:rFonts w:hint="eastAsia" w:ascii="宋体" w:hAnsi="宋体" w:cs="宋体"/>
                <w:spacing w:val="1"/>
              </w:rPr>
              <w:t xml:space="preserve">投标人根据招标文件，结合学校现场情况进行深化设计。提供本项目的南师大附属实验学校小学劳技教室、龙池初级中学美术教室、雄州中心小学报告厅、城西学校小学部书法教室、竹镇民族中学劳技室、马鞍中心小学劳技教室共6间功能室，深化设计方案与图纸，包含但不限于平面布局图、效果图（效果图需包含3个角度：前视图、后视图、俯视图）。评委根据图纸规范性、完整性、准确性、系统结构合理性进行综合评分：</w:t>
            </w:r>
            <w:r/>
          </w:p>
          <w:p>
            <w:pPr>
              <w:pStyle w:val="769"/>
              <w:jc w:val="left"/>
              <w:spacing w:line="264" w:lineRule="auto"/>
              <w:rPr>
                <w:rFonts w:hint="eastAsia" w:ascii="宋体" w:hAnsi="宋体" w:cs="宋体"/>
                <w:spacing w:val="1"/>
              </w:rPr>
            </w:pPr>
            <w:r>
              <w:rPr>
                <w:rFonts w:hint="eastAsia" w:ascii="宋体" w:hAnsi="宋体" w:cs="宋体"/>
                <w:spacing w:val="1"/>
              </w:rPr>
              <w:t xml:space="preserve">1、每间功能室图纸完整齐全、符合规范、尺寸精确、流线合理 ，得1分；</w:t>
            </w:r>
            <w:r/>
          </w:p>
          <w:p>
            <w:pPr>
              <w:pStyle w:val="769"/>
              <w:jc w:val="left"/>
              <w:spacing w:line="264" w:lineRule="auto"/>
              <w:rPr>
                <w:rFonts w:hint="eastAsia" w:ascii="宋体" w:hAnsi="宋体" w:cs="宋体"/>
                <w:spacing w:val="1"/>
              </w:rPr>
            </w:pPr>
            <w:r>
              <w:rPr>
                <w:rFonts w:hint="eastAsia" w:ascii="宋体" w:hAnsi="宋体" w:cs="宋体"/>
                <w:spacing w:val="1"/>
              </w:rPr>
              <w:t xml:space="preserve">2、每间功能室图纸基本齐全，有少量缺漏或标注不准确 ，得0.5分；</w:t>
            </w:r>
            <w:r/>
          </w:p>
          <w:p>
            <w:pPr>
              <w:pStyle w:val="769"/>
              <w:jc w:val="left"/>
              <w:spacing w:line="264" w:lineRule="auto"/>
              <w:rPr>
                <w:rFonts w:hint="eastAsia" w:ascii="宋体" w:hAnsi="宋体" w:cs="宋体"/>
                <w:spacing w:val="1"/>
              </w:rPr>
            </w:pPr>
            <w:r>
              <w:rPr>
                <w:rFonts w:hint="eastAsia" w:ascii="宋体" w:hAnsi="宋体" w:cs="宋体"/>
                <w:spacing w:val="1"/>
              </w:rPr>
              <w:t xml:space="preserve">3、每间功能室图纸不齐全，但方案思路基本明确 ，得0.2分；</w:t>
            </w:r>
            <w:r/>
          </w:p>
          <w:p>
            <w:pPr>
              <w:pStyle w:val="769"/>
              <w:jc w:val="left"/>
              <w:spacing w:line="264" w:lineRule="auto"/>
              <w:rPr>
                <w:rFonts w:hint="eastAsia" w:ascii="宋体" w:hAnsi="宋体" w:cs="宋体"/>
                <w:spacing w:val="1"/>
              </w:rPr>
            </w:pPr>
            <w:r>
              <w:rPr>
                <w:rFonts w:hint="eastAsia" w:ascii="宋体" w:hAnsi="宋体" w:cs="宋体"/>
                <w:spacing w:val="1"/>
              </w:rPr>
              <w:t xml:space="preserve">4、提供或完全不符合，得0分。</w:t>
            </w:r>
            <w:r/>
          </w:p>
          <w:p>
            <w:pPr>
              <w:pStyle w:val="769"/>
              <w:jc w:val="left"/>
              <w:spacing w:line="264" w:lineRule="auto"/>
              <w:rPr>
                <w:rFonts w:ascii="宋体" w:hAnsi="宋体" w:cs="宋体"/>
                <w:spacing w:val="1"/>
              </w:rPr>
            </w:pPr>
            <w:r>
              <w:rPr>
                <w:rFonts w:hint="eastAsia" w:ascii="宋体" w:hAnsi="宋体" w:cs="宋体"/>
                <w:spacing w:val="1"/>
              </w:rPr>
              <w:t xml:space="preserve">备注：</w:t>
            </w:r>
            <w:r>
              <w:rPr>
                <w:rFonts w:ascii="宋体" w:hAnsi="宋体" w:cs="宋体"/>
                <w:spacing w:val="1"/>
              </w:rPr>
            </w:r>
            <w:r/>
          </w:p>
          <w:p>
            <w:pPr>
              <w:pStyle w:val="769"/>
              <w:jc w:val="left"/>
              <w:spacing w:line="264" w:lineRule="auto"/>
              <w:rPr>
                <w:rFonts w:hint="eastAsia" w:ascii="宋体" w:hAnsi="宋体" w:cs="宋体"/>
                <w:spacing w:val="1"/>
              </w:rPr>
            </w:pPr>
            <w:r>
              <w:rPr>
                <w:rFonts w:hint="eastAsia" w:ascii="宋体" w:hAnsi="宋体" w:cs="宋体"/>
                <w:spacing w:val="1"/>
              </w:rPr>
              <w:t xml:space="preserve">1、每个功能室的平面布局图与效果图应合并为一个PDF文件或文件夹，文件命名规则为‘学校名称+功能室名称’，以便评委对应评分；</w:t>
            </w:r>
            <w:r/>
          </w:p>
          <w:p>
            <w:pPr>
              <w:pStyle w:val="769"/>
              <w:jc w:val="left"/>
              <w:spacing w:line="264" w:lineRule="auto"/>
              <w:rPr>
                <w:rFonts w:hint="eastAsia" w:ascii="宋体" w:hAnsi="宋体" w:cs="宋体"/>
                <w:spacing w:val="1"/>
              </w:rPr>
            </w:pPr>
            <w:r>
              <w:rPr>
                <w:rFonts w:hint="eastAsia" w:ascii="宋体" w:hAnsi="宋体" w:cs="宋体"/>
                <w:spacing w:val="1"/>
              </w:rPr>
              <w:t xml:space="preserve">2、效果图的具体要求：若需要三维立体效果，可</w:t>
            </w:r>
            <w:r>
              <w:rPr>
                <w:rFonts w:hint="eastAsia" w:ascii="宋体" w:hAnsi="宋体" w:cs="宋体"/>
                <w:spacing w:val="1"/>
              </w:rPr>
              <w:t xml:space="preserve">以要求“效果图应为彩色渲染图，能够清晰展示功能室内家具、设备、墙面、地面、顶面的材质与色彩关系”。也可以接受黑白线框图，需提前写明。</w:t>
            </w:r>
            <w:r/>
          </w:p>
          <w:p>
            <w:pPr>
              <w:pStyle w:val="769"/>
              <w:jc w:val="left"/>
              <w:spacing w:line="264" w:lineRule="auto"/>
              <w:rPr>
                <w:rFonts w:hint="eastAsia" w:ascii="宋体" w:hAnsi="宋体" w:cs="宋体"/>
                <w:spacing w:val="1"/>
              </w:rPr>
            </w:pPr>
            <w:r>
              <w:rPr>
                <w:rFonts w:hint="eastAsia" w:ascii="宋体" w:hAnsi="宋体" w:cs="宋体"/>
                <w:spacing w:val="1"/>
              </w:rPr>
              <w:t xml:space="preserve">3、相关建筑图纸见附件，投标人须依据附件中的原始建筑平面图进行深化设计，不得擅自改变建筑主体结构。</w:t>
            </w:r>
            <w:r/>
          </w:p>
        </w:tc>
        <w:tc>
          <w:tcPr>
            <w:tcBorders>
              <w:top w:val="single" w:color="000000" w:sz="2" w:space="0"/>
              <w:bottom w:val="single" w:color="000000" w:sz="2" w:space="0"/>
            </w:tcBorders>
            <w:tcW w:w="647" w:type="dxa"/>
            <w:vAlign w:val="center"/>
            <w:textDirection w:val="lrTb"/>
            <w:noWrap w:val="false"/>
          </w:tcPr>
          <w:p>
            <w:pPr>
              <w:pStyle w:val="769"/>
              <w:jc w:val="center"/>
              <w:spacing w:before="68"/>
              <w:rPr>
                <w:rFonts w:ascii="宋体" w:hAnsi="宋体" w:cs="宋体"/>
              </w:rPr>
            </w:pPr>
            <w:r>
              <w:rPr>
                <w:rFonts w:hint="eastAsia" w:ascii="宋体" w:hAnsi="宋体" w:cs="宋体"/>
              </w:rPr>
              <w:t xml:space="preserve">6</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spacing w:val="-6"/>
              </w:rPr>
            </w:pPr>
            <w:r>
              <w:rPr>
                <w:rFonts w:hint="eastAsia" w:ascii="宋体" w:hAnsi="宋体" w:cs="宋体"/>
                <w:spacing w:val="-6"/>
              </w:rPr>
              <w:t xml:space="preserve">主观分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rPr>
                <w:rFonts w:hint="eastAsia" w:ascii="宋体" w:hAnsi="宋体" w:cs="宋体"/>
                <w:spacing w:val="-2"/>
              </w:rPr>
              <w:t xml:space="preserve">2.5</w:t>
            </w:r>
            <w:r/>
          </w:p>
        </w:tc>
        <w:tc>
          <w:tcPr>
            <w:tcBorders>
              <w:top w:val="single" w:color="000000" w:sz="2" w:space="0"/>
              <w:bottom w:val="single" w:color="000000" w:sz="2" w:space="0"/>
            </w:tcBorders>
            <w:tcW w:w="1112" w:type="dxa"/>
            <w:vAlign w:val="center"/>
            <w:textDirection w:val="lrTb"/>
            <w:noWrap w:val="false"/>
          </w:tcPr>
          <w:p>
            <w:pPr>
              <w:pStyle w:val="769"/>
              <w:jc w:val="left"/>
              <w:spacing w:before="68"/>
              <w:rPr>
                <w:rFonts w:hint="eastAsia" w:ascii="宋体" w:hAnsi="宋体" w:cs="宋体"/>
                <w:color w:val="0000ff"/>
                <w:spacing w:val="-2"/>
              </w:rPr>
            </w:pPr>
            <w:r/>
            <w:bookmarkStart w:id="139" w:name="OLE_LINK66"/>
            <w:r>
              <w:rPr>
                <w:rFonts w:hint="eastAsia" w:ascii="宋体" w:hAnsi="宋体" w:cs="宋体"/>
              </w:rPr>
              <w:t xml:space="preserve">视频演示</w:t>
            </w:r>
            <w:bookmarkEnd w:id="139"/>
            <w:r>
              <w:rPr>
                <w:rFonts w:hint="eastAsia" w:ascii="宋体" w:hAnsi="宋体" w:cs="宋体"/>
                <w:color w:val="0000ff"/>
                <w:spacing w:val="-2"/>
              </w:rPr>
            </w:r>
            <w:r/>
          </w:p>
        </w:tc>
        <w:tc>
          <w:tcPr>
            <w:tcBorders>
              <w:top w:val="single" w:color="000000" w:sz="2" w:space="0"/>
              <w:bottom w:val="single" w:color="000000" w:sz="2" w:space="0"/>
            </w:tcBorders>
            <w:tcW w:w="6397" w:type="dxa"/>
            <w:vAlign w:val="center"/>
            <w:textDirection w:val="lrTb"/>
            <w:noWrap w:val="false"/>
          </w:tcPr>
          <w:p>
            <w:pPr>
              <w:pStyle w:val="769"/>
              <w:jc w:val="left"/>
              <w:spacing w:line="264" w:lineRule="auto"/>
              <w:rPr>
                <w:rFonts w:hint="eastAsia" w:ascii="宋体" w:hAnsi="宋体" w:cs="宋体"/>
                <w:spacing w:val="1"/>
              </w:rPr>
            </w:pPr>
            <w:r>
              <w:rPr>
                <w:rFonts w:hint="eastAsia" w:ascii="宋体" w:hAnsi="宋体" w:cs="宋体"/>
                <w:spacing w:val="1"/>
              </w:rPr>
              <w:t xml:space="preserve">评委根据投标人提供的“课桌椅”产品视频演示（演示总时长≤5分钟，演示人员可非真人）。评委根据以下客观演示内容评分：</w:t>
            </w:r>
            <w:r/>
          </w:p>
          <w:p>
            <w:pPr>
              <w:pStyle w:val="769"/>
              <w:jc w:val="left"/>
              <w:spacing w:line="264" w:lineRule="auto"/>
              <w:rPr>
                <w:rFonts w:hint="eastAsia" w:ascii="宋体" w:hAnsi="宋体" w:cs="宋体"/>
                <w:spacing w:val="1"/>
              </w:rPr>
            </w:pPr>
            <w:r>
              <w:rPr>
                <w:rFonts w:hint="eastAsia" w:ascii="宋体" w:hAnsi="宋体" w:cs="宋体"/>
                <w:spacing w:val="1"/>
              </w:rPr>
              <w:t xml:space="preserve">1、整体结构展示：展示产品全景（正面、侧面、背面各1个角度），至少拍摄3个以上角度，色彩、整体比例协调。演示内容指标：展示3个角度及以上，评分标准：满足所有角度展示要求，得2分；不满足或缺少任一角度展示不得分；</w:t>
            </w:r>
            <w:r/>
          </w:p>
          <w:p>
            <w:pPr>
              <w:pStyle w:val="769"/>
              <w:jc w:val="left"/>
              <w:spacing w:line="264" w:lineRule="auto"/>
              <w:rPr>
                <w:rFonts w:hint="eastAsia" w:ascii="宋体" w:hAnsi="宋体" w:cs="宋体"/>
                <w:spacing w:val="1"/>
              </w:rPr>
            </w:pPr>
            <w:r>
              <w:rPr>
                <w:rFonts w:hint="eastAsia" w:ascii="宋体" w:hAnsi="宋体" w:cs="宋体"/>
                <w:spacing w:val="1"/>
              </w:rPr>
              <w:t xml:space="preserve">2、力学性能演示：视频中清晰展示（1）人工水平推拉课桌桌面，左右各3次，桌面无明显侧向位移；（2）人工垂直按压椅面3次（可负载成年男性或注明等重砝码），椅架无可见变形；（3）空载状态下，桌椅四脚同时平稳接触地面。三项清晰、完整展示且动作符合描述的，得3分；缺一项或某项演示不清晰，得1分；缺两项及以上不得分</w:t>
            </w:r>
            <w:r>
              <w:rPr>
                <w:rFonts w:hint="eastAsia" w:ascii="宋体" w:hAnsi="宋体" w:cs="宋体"/>
                <w:spacing w:val="1"/>
              </w:rPr>
              <w:t xml:space="preserve">;</w:t>
            </w:r>
            <w:r>
              <w:rPr>
                <w:rFonts w:hint="eastAsia" w:ascii="宋体" w:hAnsi="宋体" w:cs="宋体"/>
                <w:spacing w:val="1"/>
              </w:rPr>
            </w:r>
            <w:r/>
          </w:p>
          <w:p>
            <w:pPr>
              <w:pStyle w:val="769"/>
              <w:jc w:val="left"/>
              <w:spacing w:line="264" w:lineRule="auto"/>
              <w:rPr>
                <w:rFonts w:hint="eastAsia" w:ascii="宋体" w:hAnsi="宋体" w:cs="宋体"/>
                <w:spacing w:val="1"/>
              </w:rPr>
            </w:pPr>
            <w:r>
              <w:rPr>
                <w:rFonts w:hint="eastAsia" w:ascii="宋体" w:hAnsi="宋体" w:cs="宋体"/>
                <w:spacing w:val="1"/>
              </w:rPr>
              <w:t xml:space="preserve">3、主要尺寸符合性： 视频中清晰展示一名身高150cm-175cm间的演示人员就坐后：（1）大腿上表面与桌面下沿之间有明</w:t>
            </w:r>
            <w:r>
              <w:rPr>
                <w:rFonts w:hint="eastAsia" w:ascii="宋体" w:hAnsi="宋体" w:cs="宋体"/>
                <w:spacing w:val="1"/>
              </w:rPr>
              <w:t xml:space="preserve">显可见的垂直间隙（≥2cm）；（2）椅面前端与膝盖后侧之间有明显可见的水平间隙（≥2cm）。两项均清晰展示且有明显间隙得2分，仅展示一项得1分，均未展示不得分。</w:t>
            </w:r>
            <w:r/>
          </w:p>
          <w:p>
            <w:pPr>
              <w:pStyle w:val="769"/>
              <w:jc w:val="left"/>
              <w:spacing w:line="264" w:lineRule="auto"/>
              <w:rPr>
                <w:rFonts w:hint="eastAsia" w:ascii="宋体" w:hAnsi="宋体" w:cs="宋体"/>
                <w:spacing w:val="1"/>
              </w:rPr>
            </w:pPr>
            <w:r>
              <w:rPr>
                <w:rFonts w:hint="eastAsia" w:ascii="宋体" w:hAnsi="宋体" w:cs="宋体"/>
                <w:spacing w:val="1"/>
              </w:rPr>
              <w:t xml:space="preserve">4、细节与工艺： 视频中使用测量工具（如钢直尺） 清晰展示：（1）桌面至少三处不同方向的边角圆角半径≥15mm；（2）钢管焊接处无裂缝、无贯穿性气孔；（3）桌斗、座/靠板边缘无肉眼可见的毛刺或锐边。三项均清晰、完整展示且满足要求得3分；满足两项得2分；满足一项得1分；均不满足或无法测量判定不得分。</w:t>
            </w:r>
            <w:r/>
          </w:p>
          <w:p>
            <w:pPr>
              <w:pStyle w:val="769"/>
              <w:jc w:val="left"/>
              <w:spacing w:line="264" w:lineRule="auto"/>
              <w:rPr>
                <w:rFonts w:hint="eastAsia" w:ascii="宋体" w:hAnsi="宋体" w:cs="宋体"/>
              </w:rPr>
            </w:pPr>
            <w:r>
              <w:rPr>
                <w:rFonts w:hint="eastAsia" w:ascii="宋体" w:hAnsi="宋体" w:cs="宋体"/>
              </w:rPr>
              <w:t xml:space="preserve">备注：1、推荐使用H.264编码的MP4文件，分辨率1920x1080，总大小不超过500MB，并提供测试链接或告知代理机构提前测试上传；        2、若因电子交易平台系统故障、普遍性的视频编码兼容问题导致2家及以上投标人视频无法正常播放，评标委员会应中止对此项的评审，并全部按‘得满分’或‘不扣分’处理，或组织现场重新播放。</w:t>
            </w:r>
            <w:r/>
          </w:p>
        </w:tc>
        <w:tc>
          <w:tcPr>
            <w:tcBorders>
              <w:top w:val="single" w:color="000000" w:sz="2" w:space="0"/>
              <w:bottom w:val="single" w:color="000000" w:sz="2" w:space="0"/>
            </w:tcBorders>
            <w:tcW w:w="647" w:type="dxa"/>
            <w:vAlign w:val="center"/>
            <w:textDirection w:val="lrTb"/>
            <w:noWrap w:val="false"/>
          </w:tcPr>
          <w:p>
            <w:pPr>
              <w:pStyle w:val="769"/>
              <w:jc w:val="center"/>
              <w:spacing w:before="68"/>
              <w:rPr>
                <w:rFonts w:ascii="宋体" w:hAnsi="宋体" w:cs="宋体"/>
              </w:rPr>
            </w:pPr>
            <w:r>
              <w:rPr>
                <w:rFonts w:hint="eastAsia" w:ascii="宋体" w:hAnsi="宋体" w:cs="宋体"/>
              </w:rPr>
              <w:t xml:space="preserve">10</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spacing w:val="-6"/>
              </w:rPr>
            </w:pPr>
            <w:r>
              <w:rPr>
                <w:rFonts w:hint="eastAsia" w:ascii="宋体" w:hAnsi="宋体" w:cs="宋体"/>
                <w:spacing w:val="-6"/>
              </w:rPr>
              <w:t xml:space="preserve">主观分</w:t>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769"/>
              <w:spacing w:before="68"/>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90"/>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112" w:type="dxa"/>
            <w:vAlign w:val="center"/>
            <w:textDirection w:val="lrTb"/>
            <w:noWrap w:val="false"/>
          </w:tcPr>
          <w:p>
            <w:pPr>
              <w:pStyle w:val="769"/>
              <w:jc w:val="left"/>
              <w:spacing w:before="68"/>
              <w:rPr>
                <w:rFonts w:hint="eastAsia" w:ascii="宋体" w:hAnsi="宋体" w:cs="宋体"/>
                <w:spacing w:val="-2"/>
              </w:rPr>
            </w:pPr>
            <w:r>
              <w:rPr>
                <w:rFonts w:ascii="宋体" w:hAnsi="宋体" w:cs="宋体"/>
                <w:spacing w:val="-2"/>
              </w:rPr>
              <w:t xml:space="preserve">实施方案</w:t>
            </w:r>
            <w:r>
              <w:rPr>
                <w:rFonts w:hint="eastAsia" w:ascii="宋体" w:hAnsi="宋体" w:cs="宋体"/>
                <w:spacing w:val="-2"/>
              </w:rPr>
            </w:r>
            <w:r/>
          </w:p>
        </w:tc>
        <w:tc>
          <w:tcPr>
            <w:tcBorders>
              <w:top w:val="single" w:color="000000" w:sz="2" w:space="0"/>
              <w:bottom w:val="single" w:color="000000" w:sz="2" w:space="0"/>
            </w:tcBorders>
            <w:tcW w:w="6397" w:type="dxa"/>
            <w:vAlign w:val="center"/>
            <w:textDirection w:val="lrTb"/>
            <w:noWrap w:val="false"/>
          </w:tcPr>
          <w:p>
            <w:pPr>
              <w:pStyle w:val="769"/>
              <w:jc w:val="left"/>
              <w:spacing w:line="264" w:lineRule="auto"/>
              <w:rPr>
                <w:rFonts w:hint="eastAsia" w:ascii="宋体" w:hAnsi="宋体" w:cs="宋体"/>
                <w:spacing w:val="1"/>
              </w:rPr>
            </w:pPr>
            <w:r>
              <w:rPr>
                <w:rFonts w:hint="eastAsia" w:ascii="宋体" w:hAnsi="宋体" w:cs="宋体"/>
                <w:spacing w:val="1"/>
              </w:rPr>
              <w:t xml:space="preserve">评委根据投标人提供的项目实施方案（包括实施目标与组织架构、供货与进度保障措施、质量保证措施、包装、运输与交付方案、应急保障措施）综合评分： </w:t>
            </w:r>
            <w:r/>
          </w:p>
          <w:p>
            <w:pPr>
              <w:pStyle w:val="769"/>
              <w:jc w:val="left"/>
              <w:spacing w:line="264" w:lineRule="auto"/>
              <w:rPr>
                <w:rFonts w:hint="eastAsia" w:ascii="宋体" w:hAnsi="宋体" w:cs="宋体"/>
                <w:spacing w:val="1"/>
              </w:rPr>
            </w:pPr>
            <w:r>
              <w:rPr>
                <w:rFonts w:hint="eastAsia" w:ascii="宋体" w:hAnsi="宋体" w:cs="宋体"/>
                <w:spacing w:val="1"/>
              </w:rPr>
              <w:t xml:space="preserve">（1）实施目标与组织架构：明确项目总体目</w:t>
            </w:r>
            <w:r>
              <w:rPr>
                <w:rFonts w:hint="eastAsia" w:ascii="宋体" w:hAnsi="宋体" w:cs="宋体"/>
                <w:spacing w:val="1"/>
              </w:rPr>
              <w:t xml:space="preserve">标（如：交付时间、验收标准、服务水平）。建立针对本项目的专门实施团队，包括项目经理、技术对接、物流交付、售后服务等角色的具体职责分工与沟通机制； </w:t>
            </w:r>
            <w:r/>
          </w:p>
          <w:p>
            <w:pPr>
              <w:pStyle w:val="769"/>
              <w:jc w:val="left"/>
              <w:spacing w:line="264" w:lineRule="auto"/>
              <w:rPr>
                <w:rFonts w:hint="eastAsia" w:ascii="宋体" w:hAnsi="宋体" w:cs="宋体"/>
                <w:spacing w:val="1"/>
              </w:rPr>
            </w:pPr>
            <w:r>
              <w:rPr>
                <w:rFonts w:hint="eastAsia" w:ascii="宋体" w:hAnsi="宋体" w:cs="宋体"/>
                <w:spacing w:val="1"/>
              </w:rPr>
              <w:t xml:space="preserve">（2）供货与进度保障措施：实施方案中供货计划与进度较详细，基本保障学校开学使用，供货质量标准较明确，质量检验流程与方法基本科学，项目实施流程图较清晰，人员职责较明确，应急预案制定与演练有可操作性的；</w:t>
            </w:r>
            <w:r/>
          </w:p>
          <w:p>
            <w:pPr>
              <w:pStyle w:val="769"/>
              <w:jc w:val="left"/>
              <w:spacing w:line="264" w:lineRule="auto"/>
              <w:rPr>
                <w:rFonts w:ascii="宋体" w:hAnsi="宋体" w:cs="宋体"/>
                <w:spacing w:val="1"/>
              </w:rPr>
            </w:pPr>
            <w:r>
              <w:rPr>
                <w:rFonts w:hint="eastAsia" w:ascii="宋体" w:hAnsi="宋体" w:cs="宋体"/>
                <w:spacing w:val="1"/>
              </w:rPr>
              <w:t xml:space="preserve">（3）质量保证措施：</w:t>
            </w:r>
            <w:r>
              <w:rPr>
                <w:rFonts w:ascii="宋体" w:hAnsi="宋体" w:cs="宋体"/>
                <w:spacing w:val="1"/>
              </w:rPr>
              <w:t xml:space="preserve">详细阐述产品从来源（如出厂检验、第三方检测报告）到交付（到货开箱验收）全过程的质量控制流程。提供不合格品的退换承诺及处理流程</w:t>
            </w:r>
            <w:r>
              <w:rPr>
                <w:rFonts w:hint="eastAsia" w:ascii="宋体" w:hAnsi="宋体" w:cs="宋体"/>
                <w:spacing w:val="1"/>
              </w:rPr>
              <w:t xml:space="preserve">；                            </w:t>
            </w:r>
            <w:r>
              <w:rPr>
                <w:rFonts w:ascii="宋体" w:hAnsi="宋体" w:cs="宋体"/>
                <w:spacing w:val="1"/>
              </w:rPr>
            </w:r>
            <w:r/>
          </w:p>
          <w:p>
            <w:pPr>
              <w:pStyle w:val="769"/>
              <w:jc w:val="left"/>
              <w:spacing w:line="264" w:lineRule="auto"/>
              <w:rPr>
                <w:rFonts w:hint="eastAsia" w:ascii="宋体" w:hAnsi="宋体" w:cs="宋体"/>
                <w:spacing w:val="1"/>
              </w:rPr>
            </w:pPr>
            <w:r>
              <w:rPr>
                <w:rFonts w:hint="eastAsia" w:ascii="宋体" w:hAnsi="宋体" w:cs="宋体"/>
                <w:spacing w:val="1"/>
              </w:rPr>
              <w:t xml:space="preserve">（4）运输与交付方案： 提供符合产品特性的包装方案（防潮、防震、防锈等）。规划最优运输路线与方式。明确交付现场的接收、清点、签收流程，以及必要的开箱检验和初步安装（如有）的规范操作说明。（5）应急保障措施：针对可能出现的突发状况（如运输事故、产品大面积瑕疵、交货延期、关键人员变动等），制定具体的应急预案。每项预案需包含：触发条件、处理流程、责任人、备选方案及补救时限（如：承诺在接到货物破损报告后24小时内完成补发）。                     (1) 上</w:t>
            </w:r>
            <w:r>
              <w:rPr>
                <w:rFonts w:hint="eastAsia" w:ascii="宋体" w:hAnsi="宋体" w:cs="宋体"/>
                <w:spacing w:val="1"/>
              </w:rPr>
              <w:t xml:space="preserve">述每项内容完整、科学性、合理性、操作性强的，得1分；</w:t>
            </w:r>
            <w:r/>
          </w:p>
          <w:p>
            <w:pPr>
              <w:pStyle w:val="769"/>
              <w:jc w:val="left"/>
              <w:spacing w:line="264" w:lineRule="auto"/>
              <w:rPr>
                <w:rFonts w:hint="eastAsia" w:ascii="宋体" w:hAnsi="宋体" w:cs="宋体"/>
                <w:spacing w:val="1"/>
              </w:rPr>
            </w:pPr>
            <w:r>
              <w:rPr>
                <w:rFonts w:hint="eastAsia" w:ascii="宋体" w:hAnsi="宋体" w:cs="宋体"/>
                <w:spacing w:val="1"/>
              </w:rPr>
              <w:t xml:space="preserve">(2) 上述每项内容基本完整、基本科学合理，有可操作性的，得0.5分；</w:t>
            </w:r>
            <w:r/>
          </w:p>
          <w:p>
            <w:pPr>
              <w:pStyle w:val="769"/>
              <w:jc w:val="left"/>
              <w:spacing w:line="264" w:lineRule="auto"/>
              <w:rPr>
                <w:rFonts w:hint="eastAsia"/>
              </w:rPr>
            </w:pPr>
            <w:r>
              <w:rPr>
                <w:rFonts w:hint="eastAsia" w:ascii="宋体" w:hAnsi="宋体" w:cs="宋体"/>
                <w:spacing w:val="1"/>
              </w:rPr>
              <w:t xml:space="preserve">(3) 上述每项内容不完整、不科学合理、不具可操作性或未提供的不得分。                </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769"/>
              <w:jc w:val="center"/>
              <w:spacing w:before="68"/>
              <w:rPr>
                <w:rFonts w:hint="eastAsia" w:ascii="宋体" w:hAnsi="宋体" w:cs="宋体"/>
              </w:rPr>
            </w:pPr>
            <w:r>
              <w:rPr>
                <w:rFonts w:hint="eastAsia" w:ascii="宋体" w:hAnsi="宋体" w:cs="宋体"/>
              </w:rPr>
              <w:t xml:space="preserve">5</w:t>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4330"/>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112" w:type="dxa"/>
            <w:vAlign w:val="center"/>
            <w:textDirection w:val="lrTb"/>
            <w:noWrap w:val="false"/>
          </w:tcPr>
          <w:p>
            <w:pPr>
              <w:pStyle w:val="769"/>
              <w:jc w:val="left"/>
              <w:spacing w:before="68"/>
              <w:rPr>
                <w:rFonts w:hint="eastAsia" w:ascii="宋体" w:hAnsi="宋体" w:cs="宋体"/>
                <w:spacing w:val="-2"/>
              </w:rPr>
            </w:pPr>
            <w:r>
              <w:rPr>
                <w:rFonts w:ascii="宋体" w:hAnsi="宋体" w:cs="宋体"/>
                <w:spacing w:val="-2"/>
              </w:rPr>
              <w:t xml:space="preserve">售后服务方案</w:t>
            </w:r>
            <w:r>
              <w:rPr>
                <w:rFonts w:hint="eastAsia" w:ascii="宋体" w:hAnsi="宋体" w:cs="宋体"/>
                <w:spacing w:val="-2"/>
              </w:rPr>
            </w:r>
            <w:r/>
          </w:p>
        </w:tc>
        <w:tc>
          <w:tcPr>
            <w:tcBorders>
              <w:top w:val="single" w:color="000000" w:sz="2" w:space="0"/>
              <w:bottom w:val="single" w:color="000000" w:sz="2" w:space="0"/>
            </w:tcBorders>
            <w:tcW w:w="6397" w:type="dxa"/>
            <w:vAlign w:val="center"/>
            <w:textDirection w:val="lrTb"/>
            <w:noWrap w:val="false"/>
          </w:tcPr>
          <w:p>
            <w:pPr>
              <w:pStyle w:val="895"/>
              <w:rPr>
                <w:rFonts w:hint="eastAsia"/>
                <w:spacing w:val="1"/>
                <w:lang w:val="en-US" w:bidi="ar-SA"/>
              </w:rPr>
            </w:pPr>
            <w:r>
              <w:rPr>
                <w:rFonts w:hint="eastAsia"/>
                <w:spacing w:val="1"/>
                <w:lang w:val="en-US" w:bidi="ar-SA"/>
              </w:rPr>
              <w:t xml:space="preserve">评委根据投标人提供的项目售后服务方案（包括服务内容承诺、故障解决方案、响应时效承诺、服务团队保障、培训方案）综合评分：</w:t>
            </w:r>
            <w:r/>
          </w:p>
          <w:p>
            <w:pPr>
              <w:pStyle w:val="895"/>
              <w:rPr>
                <w:spacing w:val="1"/>
                <w:lang w:val="en-US" w:bidi="ar-SA"/>
              </w:rPr>
            </w:pPr>
            <w:r>
              <w:rPr>
                <w:rFonts w:hint="eastAsia"/>
                <w:spacing w:val="1"/>
                <w:lang w:val="en-US" w:bidi="ar-SA"/>
              </w:rPr>
              <w:t xml:space="preserve">（1）服务内容承诺：</w:t>
            </w:r>
            <w:r>
              <w:rPr>
                <w:spacing w:val="1"/>
                <w:lang w:val="en-US" w:bidi="ar-SA"/>
              </w:rPr>
              <w:t xml:space="preserve">明确质保期限、质保范围（整机/主要部件/易耗品）、服务方式（远程/现场/送修）。承诺质保期内外的具体服务标准，如：是否提供上门服务</w:t>
            </w:r>
            <w:r>
              <w:rPr>
                <w:rFonts w:hint="eastAsia"/>
                <w:spacing w:val="1"/>
                <w:lang w:val="en-US" w:bidi="ar-SA"/>
              </w:rPr>
              <w:t xml:space="preserve">，</w:t>
            </w:r>
            <w:r>
              <w:rPr>
                <w:spacing w:val="1"/>
                <w:lang w:val="en-US" w:bidi="ar-SA"/>
              </w:rPr>
              <w:t xml:space="preserve">是否提供7×24小时技术支持</w:t>
            </w:r>
            <w:r>
              <w:rPr>
                <w:rFonts w:hint="eastAsia"/>
                <w:spacing w:val="1"/>
                <w:lang w:val="en-US" w:bidi="ar-SA"/>
              </w:rPr>
              <w:t xml:space="preserve">，</w:t>
            </w:r>
            <w:r>
              <w:rPr>
                <w:spacing w:val="1"/>
                <w:lang w:val="en-US" w:bidi="ar-SA"/>
              </w:rPr>
              <w:t xml:space="preserve">是否提供备机服务</w:t>
            </w:r>
            <w:r>
              <w:rPr>
                <w:rFonts w:hint="eastAsia"/>
                <w:spacing w:val="1"/>
                <w:lang w:val="en-US" w:bidi="ar-SA"/>
              </w:rPr>
              <w:t xml:space="preserve">，</w:t>
            </w:r>
            <w:r>
              <w:rPr>
                <w:spacing w:val="1"/>
                <w:lang w:val="en-US" w:bidi="ar-SA"/>
              </w:rPr>
              <w:t xml:space="preserve">质保期后维修如何收费</w:t>
            </w:r>
            <w:r>
              <w:rPr>
                <w:rFonts w:hint="eastAsia"/>
                <w:spacing w:val="1"/>
                <w:lang w:val="en-US" w:bidi="ar-SA"/>
              </w:rPr>
              <w:t xml:space="preserve">；                        </w:t>
            </w:r>
            <w:r>
              <w:rPr>
                <w:spacing w:val="1"/>
                <w:lang w:val="en-US" w:bidi="ar-SA"/>
              </w:rPr>
            </w:r>
            <w:r/>
          </w:p>
          <w:p>
            <w:pPr>
              <w:pStyle w:val="895"/>
              <w:rPr>
                <w:spacing w:val="1"/>
                <w:lang w:val="en-US" w:bidi="ar-SA"/>
              </w:rPr>
            </w:pPr>
            <w:r>
              <w:rPr>
                <w:rFonts w:hint="eastAsia"/>
                <w:spacing w:val="1"/>
                <w:lang w:val="en-US" w:bidi="ar-SA"/>
              </w:rPr>
              <w:t xml:space="preserve">（2）故障解决方案：详细描述从接到报修到故障关闭的全流程：故障报修渠道、故障初步诊断、远程指导解决、现场维修或更换部件、维修后测试、客户确认。明确各级故障（如严重/一般）的处理流程及升级机制；</w:t>
            </w:r>
            <w:r>
              <w:rPr>
                <w:spacing w:val="1"/>
                <w:lang w:val="en-US" w:bidi="ar-SA"/>
              </w:rPr>
            </w:r>
            <w:r/>
          </w:p>
          <w:p>
            <w:pPr>
              <w:pStyle w:val="895"/>
              <w:jc w:val="left"/>
              <w:rPr>
                <w:rFonts w:hint="eastAsia"/>
                <w:spacing w:val="1"/>
                <w:lang w:val="en-US" w:bidi="ar-SA"/>
              </w:rPr>
            </w:pPr>
            <w:r>
              <w:rPr>
                <w:rFonts w:hint="eastAsia"/>
                <w:spacing w:val="1"/>
                <w:lang w:val="en-US" w:bidi="ar-SA"/>
              </w:rPr>
              <w:t xml:space="preserve">（3）响应时效承诺：响应时间，接到报修后与客户联系时间；到达现场时间；故障解决时限；延迟处罚：明确未达时限的补救或补偿措施；</w:t>
            </w:r>
            <w:r/>
          </w:p>
          <w:p>
            <w:pPr>
              <w:pStyle w:val="895"/>
              <w:jc w:val="left"/>
              <w:rPr>
                <w:spacing w:val="1"/>
                <w:lang w:val="en-US" w:bidi="ar-SA"/>
              </w:rPr>
            </w:pPr>
            <w:r>
              <w:rPr>
                <w:rFonts w:hint="eastAsia"/>
                <w:spacing w:val="1"/>
                <w:lang w:val="en-US" w:bidi="ar-SA"/>
              </w:rPr>
              <w:t xml:space="preserve">（4）服务团队保障：服务团队结构：团队人数、技</w:t>
            </w:r>
            <w:r>
              <w:rPr>
                <w:rFonts w:hint="eastAsia"/>
                <w:spacing w:val="1"/>
                <w:lang w:val="en-US" w:bidi="ar-SA"/>
              </w:rPr>
              <w:t xml:space="preserve">术资质（认证证书）、分工（客户经理/技术工程师/备件管理员）。提供7×24小时服务热线和在线报修平台/邮箱等多种联系渠道。说明备件库情况（如有），确保快速维修；</w:t>
            </w:r>
            <w:r>
              <w:rPr>
                <w:spacing w:val="1"/>
                <w:lang w:val="en-US" w:bidi="ar-SA"/>
              </w:rPr>
            </w:r>
            <w:r/>
          </w:p>
          <w:p>
            <w:pPr>
              <w:pStyle w:val="895"/>
              <w:jc w:val="left"/>
              <w:rPr>
                <w:rFonts w:hint="eastAsia"/>
                <w:spacing w:val="1"/>
                <w:lang w:val="en-US" w:bidi="ar-SA"/>
              </w:rPr>
            </w:pPr>
            <w:r>
              <w:rPr>
                <w:rFonts w:hint="eastAsia"/>
                <w:spacing w:val="1"/>
                <w:lang w:val="en-US" w:bidi="ar-SA"/>
              </w:rPr>
              <w:t xml:space="preserve">（5)培训方案 : 培训对象、培训内容、培训教材、培训时长、培训方式（现场/远程/视频）、考核方式、培训人员资质。                 (1) 上述每项内容完整、科学性、合理性、操作性强的，得1分；</w:t>
            </w:r>
            <w:r/>
          </w:p>
          <w:p>
            <w:pPr>
              <w:pStyle w:val="895"/>
              <w:jc w:val="left"/>
              <w:rPr>
                <w:rFonts w:hint="eastAsia"/>
                <w:spacing w:val="1"/>
                <w:lang w:val="en-US" w:bidi="ar-SA"/>
              </w:rPr>
            </w:pPr>
            <w:r>
              <w:rPr>
                <w:rFonts w:hint="eastAsia"/>
                <w:spacing w:val="1"/>
                <w:lang w:val="en-US" w:bidi="ar-SA"/>
              </w:rPr>
              <w:t xml:space="preserve">(2) 上述每项内容基本完整、基本科学合理，有可操作性的，得0.5分；</w:t>
            </w:r>
            <w:r/>
          </w:p>
          <w:p>
            <w:pPr>
              <w:pStyle w:val="895"/>
              <w:jc w:val="left"/>
              <w:rPr>
                <w:rFonts w:hint="eastAsia"/>
                <w:lang w:val="en-US" w:bidi="ar-SA"/>
              </w:rPr>
            </w:pPr>
            <w:r>
              <w:rPr>
                <w:rFonts w:hint="eastAsia"/>
                <w:spacing w:val="1"/>
                <w:lang w:val="en-US" w:bidi="ar-SA"/>
              </w:rPr>
              <w:t xml:space="preserve">(3) 上述每项内容不完整、不科学合理、不具可操作性或未提供的不得分。                  </w:t>
            </w:r>
            <w:r>
              <w:rPr>
                <w:rFonts w:hint="eastAsia"/>
                <w:lang w:val="en-US" w:bidi="ar-SA"/>
              </w:rPr>
              <w:t xml:space="preserve">                        </w:t>
            </w:r>
            <w:r/>
          </w:p>
        </w:tc>
        <w:tc>
          <w:tcPr>
            <w:tcBorders>
              <w:top w:val="single" w:color="000000" w:sz="2" w:space="0"/>
              <w:bottom w:val="single" w:color="000000" w:sz="2" w:space="0"/>
            </w:tcBorders>
            <w:tcW w:w="647" w:type="dxa"/>
            <w:vAlign w:val="center"/>
            <w:textDirection w:val="lrTb"/>
            <w:noWrap w:val="false"/>
          </w:tcPr>
          <w:p>
            <w:pPr>
              <w:pStyle w:val="769"/>
              <w:jc w:val="center"/>
              <w:spacing w:before="68"/>
              <w:rPr>
                <w:rFonts w:hint="eastAsia" w:ascii="宋体" w:hAnsi="宋体" w:cs="宋体"/>
              </w:rPr>
            </w:pPr>
            <w:r>
              <w:rPr>
                <w:rFonts w:hint="eastAsia" w:ascii="宋体" w:hAnsi="宋体" w:cs="宋体"/>
              </w:rPr>
              <w:t xml:space="preserve">5</w:t>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753"/>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rPr>
                <w:rFonts w:hint="eastAsia" w:ascii="宋体" w:hAnsi="宋体" w:cs="宋体"/>
                <w:spacing w:val="-2"/>
              </w:rPr>
              <w:t xml:space="preserve">3.3</w:t>
            </w:r>
            <w:r/>
          </w:p>
        </w:tc>
        <w:tc>
          <w:tcPr>
            <w:tcBorders>
              <w:top w:val="single" w:color="000000" w:sz="2" w:space="0"/>
              <w:bottom w:val="single" w:color="000000" w:sz="2" w:space="0"/>
            </w:tcBorders>
            <w:tcW w:w="1112" w:type="dxa"/>
            <w:vAlign w:val="center"/>
            <w:textDirection w:val="lrTb"/>
            <w:noWrap w:val="false"/>
          </w:tcPr>
          <w:p>
            <w:pPr>
              <w:pStyle w:val="769"/>
              <w:jc w:val="left"/>
              <w:spacing w:before="68"/>
              <w:rPr>
                <w:rFonts w:hint="eastAsia" w:ascii="宋体" w:hAnsi="宋体" w:cs="宋体"/>
                <w:spacing w:val="-2"/>
              </w:rPr>
            </w:pPr>
            <w:r>
              <w:rPr>
                <w:rFonts w:hint="eastAsia" w:ascii="宋体" w:hAnsi="宋体"/>
                <w:szCs w:val="21"/>
              </w:rPr>
              <w:t xml:space="preserve">质保期承诺</w:t>
            </w:r>
            <w:r>
              <w:rPr>
                <w:rFonts w:hint="eastAsia" w:ascii="宋体" w:hAnsi="宋体" w:cs="宋体"/>
                <w:spacing w:val="-2"/>
              </w:rPr>
            </w:r>
            <w:r/>
          </w:p>
        </w:tc>
        <w:tc>
          <w:tcPr>
            <w:tcBorders>
              <w:top w:val="single" w:color="000000" w:sz="2" w:space="0"/>
              <w:bottom w:val="single" w:color="000000" w:sz="2" w:space="0"/>
            </w:tcBorders>
            <w:tcW w:w="6397" w:type="dxa"/>
            <w:vAlign w:val="center"/>
            <w:textDirection w:val="lrTb"/>
            <w:noWrap w:val="false"/>
          </w:tcPr>
          <w:p>
            <w:pPr>
              <w:pStyle w:val="895"/>
              <w:jc w:val="left"/>
              <w:rPr>
                <w:rFonts w:hint="eastAsia"/>
                <w:lang w:val="en-US" w:bidi="ar-SA"/>
              </w:rPr>
            </w:pPr>
            <w:r/>
            <w:bookmarkStart w:id="140" w:name="OLE_LINK71"/>
            <w:r>
              <w:rPr>
                <w:rFonts w:hint="eastAsia"/>
                <w:spacing w:val="1"/>
                <w:lang w:val="en-US" w:bidi="ar-SA"/>
              </w:rPr>
              <w:t xml:space="preserve">投标人提供质保期限承诺，在满足基本质保期要求的基础上，每增加1年得1分，此项最高得3分。（质保期从项目验收合格签字确认之日开始算）。</w:t>
            </w:r>
            <w:bookmarkEnd w:id="140"/>
            <w:r>
              <w:rPr>
                <w:rFonts w:hint="eastAsia"/>
                <w:lang w:val="en-US" w:bidi="ar-SA"/>
              </w:rPr>
            </w:r>
            <w:r/>
          </w:p>
        </w:tc>
        <w:tc>
          <w:tcPr>
            <w:tcBorders>
              <w:top w:val="single" w:color="000000" w:sz="2" w:space="0"/>
              <w:bottom w:val="single" w:color="000000" w:sz="2" w:space="0"/>
            </w:tcBorders>
            <w:tcW w:w="647" w:type="dxa"/>
            <w:vAlign w:val="center"/>
            <w:textDirection w:val="lrTb"/>
            <w:noWrap w:val="false"/>
          </w:tcPr>
          <w:p>
            <w:pPr>
              <w:pStyle w:val="769"/>
              <w:jc w:val="center"/>
              <w:spacing w:before="68"/>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769"/>
              <w:rPr>
                <w:rFonts w:hint="eastAsia" w:ascii="宋体" w:hAnsi="宋体" w:cs="宋体"/>
              </w:rPr>
            </w:pPr>
            <w:r>
              <w:rPr>
                <w:rFonts w:hint="eastAsia" w:ascii="宋体" w:hAnsi="宋体" w:cs="宋体"/>
                <w:b/>
                <w:bCs/>
                <w:spacing w:val="-3"/>
              </w:rPr>
              <w:t xml:space="preserve">4.业绩</w:t>
            </w:r>
            <w:r>
              <w:rPr>
                <w:rFonts w:hint="eastAsia" w:ascii="宋体" w:hAnsi="宋体" w:cs="宋体"/>
              </w:rPr>
            </w:r>
            <w:r/>
          </w:p>
        </w:tc>
      </w:tr>
      <w:tr>
        <w:trPr>
          <w:trHeight w:val="1209"/>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hint="eastAsia" w:ascii="宋体" w:hAnsi="宋体" w:cs="宋体"/>
                <w:spacing w:val="-2"/>
              </w:rPr>
            </w:r>
            <w:r/>
          </w:p>
        </w:tc>
        <w:tc>
          <w:tcPr>
            <w:tcBorders>
              <w:top w:val="single" w:color="000000" w:sz="2" w:space="0"/>
              <w:bottom w:val="single" w:color="000000" w:sz="2" w:space="0"/>
            </w:tcBorders>
            <w:tcW w:w="1112" w:type="dxa"/>
            <w:vAlign w:val="center"/>
            <w:textDirection w:val="lrTb"/>
            <w:noWrap w:val="false"/>
          </w:tcPr>
          <w:p>
            <w:pPr>
              <w:pStyle w:val="895"/>
              <w:jc w:val="left"/>
              <w:rPr>
                <w:rFonts w:hint="eastAsia"/>
                <w:spacing w:val="1"/>
                <w:lang w:val="en-US" w:bidi="ar-SA"/>
              </w:rPr>
            </w:pPr>
            <w:r>
              <w:rPr>
                <w:spacing w:val="1"/>
                <w:lang w:val="en-US" w:bidi="ar-SA"/>
              </w:rPr>
              <w:t xml:space="preserve">投标人业绩</w:t>
            </w:r>
            <w:r>
              <w:rPr>
                <w:rFonts w:hint="eastAsia"/>
                <w:spacing w:val="1"/>
                <w:lang w:val="en-US" w:bidi="ar-SA"/>
              </w:rPr>
            </w:r>
            <w:r/>
          </w:p>
        </w:tc>
        <w:tc>
          <w:tcPr>
            <w:tcBorders>
              <w:top w:val="single" w:color="000000" w:sz="2" w:space="0"/>
              <w:bottom w:val="single" w:color="000000" w:sz="2" w:space="0"/>
            </w:tcBorders>
            <w:tcW w:w="6397" w:type="dxa"/>
            <w:vAlign w:val="center"/>
            <w:textDirection w:val="lrTb"/>
            <w:noWrap w:val="false"/>
          </w:tcPr>
          <w:p>
            <w:pPr>
              <w:pStyle w:val="895"/>
              <w:jc w:val="left"/>
              <w:rPr>
                <w:rFonts w:hint="eastAsia"/>
                <w:spacing w:val="1"/>
                <w:lang w:val="en-US" w:bidi="ar-SA"/>
              </w:rPr>
            </w:pPr>
            <w:r>
              <w:rPr>
                <w:rFonts w:hint="eastAsia"/>
                <w:spacing w:val="1"/>
                <w:lang w:val="en-US" w:bidi="ar-SA"/>
              </w:rPr>
              <w:t xml:space="preserve">投标人提供自2022年1月1日（含）以来类似项目业绩（至少包含核心产品或主要产品），每提供1个得2分，最多得6分（时间以合同签订时间为准，提供合同、验收材料及至少一项能够佐证履约完成的材料（如发票、银行收款凭</w:t>
            </w:r>
            <w:r>
              <w:rPr>
                <w:rFonts w:hint="eastAsia"/>
                <w:spacing w:val="1"/>
                <w:lang w:val="en-US" w:bidi="ar-SA"/>
              </w:rPr>
              <w:t xml:space="preserve">证等）。</w:t>
            </w:r>
            <w:r/>
          </w:p>
        </w:tc>
        <w:tc>
          <w:tcPr>
            <w:tcBorders>
              <w:top w:val="single" w:color="000000" w:sz="2" w:space="0"/>
              <w:bottom w:val="single" w:color="000000" w:sz="2" w:space="0"/>
            </w:tcBorders>
            <w:tcW w:w="647" w:type="dxa"/>
            <w:vAlign w:val="center"/>
            <w:textDirection w:val="lrTb"/>
            <w:noWrap w:val="false"/>
          </w:tcPr>
          <w:p>
            <w:pPr>
              <w:pStyle w:val="769"/>
              <w:jc w:val="center"/>
              <w:rPr>
                <w:rFonts w:hint="eastAsia"/>
                <w:szCs w:val="21"/>
              </w:rPr>
            </w:pPr>
            <w:r>
              <w:rPr>
                <w:rFonts w:hint="eastAsia" w:ascii="宋体" w:hAnsi="宋体" w:cs="宋体"/>
              </w:rPr>
              <w:t xml:space="preserve">6</w:t>
            </w:r>
            <w:r>
              <w:rPr>
                <w:rFonts w:hint="eastAsia"/>
                <w:szCs w:val="21"/>
              </w:rPr>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48"/>
        </w:trPr>
        <w:tc>
          <w:tcPr>
            <w:gridSpan w:val="5"/>
            <w:tcBorders>
              <w:top w:val="single" w:color="000000" w:sz="2" w:space="0"/>
              <w:bottom w:val="single" w:color="000000" w:sz="2" w:space="0"/>
            </w:tcBorders>
            <w:tcW w:w="9575" w:type="dxa"/>
            <w:vAlign w:val="top"/>
            <w:textDirection w:val="lrTb"/>
            <w:noWrap w:val="false"/>
          </w:tcPr>
          <w:p>
            <w:pPr>
              <w:pStyle w:val="769"/>
              <w:spacing w:before="123"/>
              <w:rPr>
                <w:rFonts w:hint="eastAsia" w:ascii="宋体" w:hAnsi="宋体" w:cs="宋体"/>
              </w:rPr>
            </w:pPr>
            <w:r>
              <w:rPr>
                <w:rFonts w:hint="eastAsia" w:ascii="宋体" w:hAnsi="宋体" w:cs="宋体"/>
                <w:b/>
                <w:bCs/>
                <w:spacing w:val="-3"/>
              </w:rPr>
              <w:t xml:space="preserve">5.履约能力</w:t>
            </w:r>
            <w:r>
              <w:rPr>
                <w:rFonts w:hint="eastAsia" w:ascii="宋体" w:hAnsi="宋体" w:cs="宋体"/>
              </w:rPr>
            </w:r>
            <w:r/>
          </w:p>
        </w:tc>
      </w:tr>
      <w:tr>
        <w:trPr>
          <w:trHeight w:val="1852"/>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rPr>
                <w:rFonts w:hint="eastAsia" w:ascii="宋体" w:hAnsi="宋体" w:cs="宋体"/>
                <w:spacing w:val="-2"/>
              </w:rPr>
              <w:t xml:space="preserve">5.1</w:t>
            </w:r>
            <w:r/>
          </w:p>
        </w:tc>
        <w:tc>
          <w:tcPr>
            <w:tcBorders>
              <w:top w:val="single" w:color="000000" w:sz="2" w:space="0"/>
              <w:bottom w:val="single" w:color="000000" w:sz="2" w:space="0"/>
            </w:tcBorders>
            <w:tcW w:w="1112" w:type="dxa"/>
            <w:vAlign w:val="center"/>
            <w:textDirection w:val="lrTb"/>
            <w:noWrap w:val="false"/>
          </w:tcPr>
          <w:p>
            <w:pPr>
              <w:pStyle w:val="895"/>
              <w:jc w:val="left"/>
              <w:rPr>
                <w:rFonts w:hint="eastAsia"/>
                <w:spacing w:val="1"/>
                <w:lang w:val="en-US" w:bidi="ar-SA"/>
              </w:rPr>
            </w:pPr>
            <w:r>
              <w:rPr>
                <w:rFonts w:hint="eastAsia"/>
                <w:spacing w:val="1"/>
                <w:lang w:val="en-US" w:bidi="ar-SA"/>
              </w:rPr>
              <w:t xml:space="preserve">履约能力</w:t>
            </w:r>
            <w:r/>
          </w:p>
        </w:tc>
        <w:tc>
          <w:tcPr>
            <w:tcBorders>
              <w:top w:val="single" w:color="000000" w:sz="2" w:space="0"/>
              <w:bottom w:val="single" w:color="000000" w:sz="2" w:space="0"/>
            </w:tcBorders>
            <w:tcW w:w="6397" w:type="dxa"/>
            <w:vAlign w:val="center"/>
            <w:textDirection w:val="lrTb"/>
            <w:noWrap w:val="false"/>
          </w:tcPr>
          <w:p>
            <w:pPr>
              <w:pStyle w:val="895"/>
              <w:jc w:val="left"/>
              <w:rPr>
                <w:rFonts w:hint="eastAsia"/>
                <w:spacing w:val="1"/>
                <w:lang w:val="en-US" w:bidi="ar-SA"/>
              </w:rPr>
            </w:pPr>
            <w:r>
              <w:rPr>
                <w:rFonts w:hint="eastAsia"/>
                <w:spacing w:val="1"/>
                <w:lang w:val="en-US" w:bidi="ar-SA"/>
              </w:rPr>
              <w:t xml:space="preserve">投标人或所投产品生产商提供有效期内</w:t>
            </w:r>
            <w:r>
              <w:rPr>
                <w:rFonts w:hint="eastAsia"/>
                <w:spacing w:val="1"/>
                <w:lang w:val="en-US" w:bidi="ar-SA"/>
              </w:rPr>
              <w:t xml:space="preserve">的</w:t>
            </w:r>
            <w:r>
              <w:rPr>
                <w:spacing w:val="1"/>
                <w:lang w:val="en-US" w:bidi="ar-SA"/>
              </w:rPr>
              <w:t xml:space="preserve">家具产品总挥发性有机化合物限量产品认证证书、绿色供应链认证证书</w:t>
            </w:r>
            <w:r>
              <w:rPr>
                <w:rFonts w:hint="eastAsia"/>
                <w:spacing w:val="1"/>
                <w:lang w:val="en-US" w:bidi="ar-SA"/>
              </w:rPr>
              <w:t xml:space="preserve">、</w:t>
            </w:r>
            <w:r>
              <w:rPr>
                <w:rFonts w:hint="eastAsia"/>
                <w:spacing w:val="1"/>
                <w:lang w:val="en-US" w:bidi="ar-SA"/>
              </w:rPr>
              <w:t xml:space="preserve">中国绿色产品认证证书，每提供1个得1分，最多得3分。</w:t>
            </w:r>
            <w:r/>
          </w:p>
          <w:p>
            <w:pPr>
              <w:pStyle w:val="895"/>
              <w:jc w:val="left"/>
              <w:rPr>
                <w:spacing w:val="1"/>
                <w:lang w:val="en-US" w:bidi="ar-SA"/>
              </w:rPr>
            </w:pPr>
            <w:r>
              <w:rPr>
                <w:rFonts w:hint="eastAsia"/>
                <w:spacing w:val="1"/>
                <w:lang w:val="en-US" w:bidi="ar-SA"/>
              </w:rPr>
              <w:t xml:space="preserve">注：</w:t>
            </w:r>
            <w:r>
              <w:rPr>
                <w:spacing w:val="1"/>
                <w:lang w:val="en-US" w:bidi="ar-SA"/>
              </w:rPr>
            </w:r>
            <w:r/>
          </w:p>
          <w:p>
            <w:pPr>
              <w:pStyle w:val="895"/>
              <w:jc w:val="left"/>
              <w:rPr>
                <w:spacing w:val="1"/>
                <w:lang w:val="en-US" w:bidi="ar-SA"/>
              </w:rPr>
            </w:pPr>
            <w:r>
              <w:rPr>
                <w:rFonts w:hint="eastAsia"/>
                <w:spacing w:val="1"/>
                <w:lang w:val="en-US" w:bidi="ar-SA"/>
              </w:rPr>
              <w:t xml:space="preserve">1、以上认证证书认证范围须至少包含本次产品采购类别（课桌椅、办公桌、办公椅、礼堂椅）任意一类或多类产品，且与所投产品类别相符。</w:t>
            </w:r>
            <w:r>
              <w:rPr>
                <w:spacing w:val="1"/>
                <w:lang w:val="en-US" w:bidi="ar-SA"/>
              </w:rPr>
            </w:r>
            <w:r/>
          </w:p>
          <w:p>
            <w:pPr>
              <w:pStyle w:val="895"/>
              <w:jc w:val="left"/>
              <w:rPr>
                <w:rFonts w:hint="eastAsia"/>
                <w:spacing w:val="1"/>
                <w:lang w:val="en-US" w:bidi="ar-SA"/>
              </w:rPr>
            </w:pPr>
            <w:r>
              <w:rPr>
                <w:rFonts w:hint="eastAsia"/>
                <w:spacing w:val="1"/>
                <w:lang w:val="en-US" w:bidi="ar-SA"/>
              </w:rPr>
              <w:t xml:space="preserve">2、所提供证书认证范围“产品名称”与评标标准给定名称不同时(如“课桌椅”与“课桌和课椅”），应提供符合要求的内容（功能）说明及关键信息，否则不予认可。为方便评委评审，相关信息可用箭头、标红或下划线等进行明显标注。</w:t>
            </w:r>
            <w:r/>
          </w:p>
        </w:tc>
        <w:tc>
          <w:tcPr>
            <w:tcBorders>
              <w:top w:val="single" w:color="000000" w:sz="2" w:space="0"/>
              <w:bottom w:val="single" w:color="000000" w:sz="2" w:space="0"/>
            </w:tcBorders>
            <w:tcW w:w="647" w:type="dxa"/>
            <w:vAlign w:val="center"/>
            <w:textDirection w:val="lrTb"/>
            <w:noWrap w:val="false"/>
          </w:tcPr>
          <w:p>
            <w:pPr>
              <w:pStyle w:val="769"/>
              <w:jc w:val="center"/>
              <w:spacing w:before="68"/>
              <w:rPr>
                <w:rFonts w:hint="eastAsia" w:ascii="宋体" w:hAnsi="宋体" w:cs="宋体"/>
              </w:rPr>
            </w:pPr>
            <w:r>
              <w:rPr>
                <w:rFonts w:hint="eastAsia" w:ascii="宋体" w:hAnsi="宋体" w:cs="宋体"/>
              </w:rPr>
              <w:t xml:space="preserve">3</w:t>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433"/>
        </w:trPr>
        <w:tc>
          <w:tcPr>
            <w:gridSpan w:val="5"/>
            <w:tcBorders>
              <w:top w:val="single" w:color="000000" w:sz="2" w:space="0"/>
              <w:bottom w:val="single" w:color="000000" w:sz="2" w:space="0"/>
            </w:tcBorders>
            <w:tcW w:w="9575" w:type="dxa"/>
            <w:vAlign w:val="center"/>
            <w:textDirection w:val="lrTb"/>
            <w:noWrap w:val="false"/>
          </w:tcPr>
          <w:p>
            <w:pPr>
              <w:pStyle w:val="769"/>
              <w:spacing w:before="68"/>
              <w:rPr>
                <w:rFonts w:hint="eastAsia" w:ascii="宋体" w:hAnsi="宋体" w:cs="宋体"/>
                <w:spacing w:val="-6"/>
              </w:rPr>
            </w:pPr>
            <w:r>
              <w:rPr>
                <w:rFonts w:hint="eastAsia" w:ascii="宋体" w:hAnsi="宋体" w:cs="宋体"/>
                <w:b/>
                <w:bCs/>
                <w:spacing w:val="-3"/>
              </w:rPr>
              <w:t xml:space="preserve">6.节能环保</w:t>
            </w:r>
            <w:r>
              <w:rPr>
                <w:rFonts w:hint="eastAsia" w:ascii="宋体" w:hAnsi="宋体" w:cs="宋体"/>
                <w:spacing w:val="-6"/>
              </w:rPr>
            </w:r>
            <w:r/>
          </w:p>
        </w:tc>
      </w:tr>
      <w:tr>
        <w:trPr>
          <w:trHeight w:val="134"/>
        </w:trPr>
        <w:tc>
          <w:tcPr>
            <w:tcBorders>
              <w:top w:val="single" w:color="000000" w:sz="2" w:space="0"/>
              <w:bottom w:val="single" w:color="000000" w:sz="2" w:space="0"/>
            </w:tcBorders>
            <w:tcW w:w="519" w:type="dxa"/>
            <w:vAlign w:val="center"/>
            <w:textDirection w:val="lrTb"/>
            <w:noWrap w:val="false"/>
          </w:tcPr>
          <w:p>
            <w:pPr>
              <w:pStyle w:val="769"/>
              <w:jc w:val="center"/>
              <w:spacing w:before="68"/>
              <w:rPr>
                <w:rFonts w:hint="eastAsia" w:ascii="宋体" w:hAnsi="宋体" w:cs="宋体"/>
                <w:spacing w:val="-2"/>
              </w:rPr>
            </w:pPr>
            <w:r>
              <w:rPr>
                <w:rFonts w:hint="eastAsia" w:ascii="宋体" w:hAnsi="宋体" w:cs="宋体"/>
                <w:spacing w:val="-2"/>
              </w:rPr>
              <w:t xml:space="preserve">6.1</w:t>
            </w:r>
            <w:r/>
          </w:p>
        </w:tc>
        <w:tc>
          <w:tcPr>
            <w:tcBorders>
              <w:top w:val="single" w:color="000000" w:sz="2" w:space="0"/>
              <w:bottom w:val="single" w:color="000000" w:sz="2" w:space="0"/>
            </w:tcBorders>
            <w:tcW w:w="1112" w:type="dxa"/>
            <w:vAlign w:val="center"/>
            <w:textDirection w:val="lrTb"/>
            <w:noWrap w:val="false"/>
          </w:tcPr>
          <w:p>
            <w:pPr>
              <w:pStyle w:val="769"/>
              <w:spacing w:before="69"/>
              <w:rPr>
                <w:rFonts w:hint="eastAsia" w:ascii="宋体" w:hAnsi="宋体" w:cs="宋体"/>
                <w:spacing w:val="1"/>
              </w:rPr>
            </w:pPr>
            <w:r/>
            <w:bookmarkStart w:id="141" w:name="OLE_LINK67"/>
            <w:r>
              <w:rPr>
                <w:rFonts w:hint="eastAsia" w:ascii="宋体" w:hAnsi="宋体" w:cs="宋体"/>
                <w:spacing w:val="1"/>
              </w:rPr>
              <w:t xml:space="preserve">节能环保</w:t>
            </w:r>
            <w:bookmarkEnd w:id="141"/>
            <w:r>
              <w:rPr>
                <w:rFonts w:hint="eastAsia" w:ascii="宋体" w:hAnsi="宋体" w:cs="宋体"/>
                <w:spacing w:val="1"/>
              </w:rPr>
            </w:r>
            <w:r/>
          </w:p>
        </w:tc>
        <w:tc>
          <w:tcPr>
            <w:tcBorders>
              <w:top w:val="single" w:color="000000" w:sz="2" w:space="0"/>
              <w:bottom w:val="single" w:color="000000" w:sz="2" w:space="0"/>
            </w:tcBorders>
            <w:tcW w:w="6397" w:type="dxa"/>
            <w:vAlign w:val="center"/>
            <w:textDirection w:val="lrTb"/>
            <w:noWrap w:val="false"/>
          </w:tcPr>
          <w:p>
            <w:pPr>
              <w:pStyle w:val="769"/>
              <w:spacing w:line="264" w:lineRule="auto"/>
              <w:rPr>
                <w:rFonts w:hint="eastAsia" w:ascii="宋体" w:hAnsi="宋体" w:cs="宋体"/>
                <w:spacing w:val="1"/>
              </w:rPr>
            </w:pPr>
            <w:r>
              <w:rPr>
                <w:rFonts w:hint="eastAsia" w:ascii="宋体" w:hAnsi="宋体" w:cs="宋体"/>
                <w:spacing w:val="1"/>
              </w:rPr>
              <w:t xml:space="preserve">1.投标产品属于财政部、国家发改委公布的《节能产品政府采购品目清单》（财库〔2019〕19号）范围内的，投标人提供国家确定的认证机构出具的、处于有效期之内的该节能产品认证证书的，有1个得0.5分，最多得1分。</w:t>
            </w:r>
            <w:r/>
          </w:p>
          <w:p>
            <w:pPr>
              <w:pStyle w:val="769"/>
              <w:spacing w:line="264" w:lineRule="auto"/>
              <w:rPr>
                <w:rFonts w:hint="eastAsia" w:ascii="宋体" w:hAnsi="宋体" w:cs="宋体"/>
                <w:spacing w:val="1"/>
              </w:rPr>
            </w:pPr>
            <w:r>
              <w:rPr>
                <w:rFonts w:hint="eastAsia" w:ascii="宋体" w:hAnsi="宋体" w:cs="宋体"/>
                <w:spacing w:val="1"/>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p>
        </w:tc>
        <w:tc>
          <w:tcPr>
            <w:tcBorders>
              <w:top w:val="single" w:color="000000" w:sz="2" w:space="0"/>
              <w:bottom w:val="single" w:color="000000" w:sz="2" w:space="0"/>
            </w:tcBorders>
            <w:tcW w:w="647" w:type="dxa"/>
            <w:vAlign w:val="center"/>
            <w:textDirection w:val="lrTb"/>
            <w:noWrap w:val="false"/>
          </w:tcPr>
          <w:p>
            <w:pPr>
              <w:pStyle w:val="769"/>
              <w:jc w:val="center"/>
              <w:rPr>
                <w:rFonts w:hint="eastAsia" w:ascii="宋体" w:hAnsi="宋体" w:cs="宋体"/>
              </w:rPr>
            </w:pPr>
            <w:r>
              <w:rPr>
                <w:rFonts w:hint="eastAsia" w:ascii="宋体" w:hAnsi="宋体" w:cs="宋体"/>
              </w:rPr>
              <w:t xml:space="preserve">2</w:t>
            </w:r>
            <w:r/>
          </w:p>
        </w:tc>
        <w:tc>
          <w:tcPr>
            <w:tcBorders>
              <w:top w:val="single" w:color="000000" w:sz="2" w:space="0"/>
              <w:bottom w:val="single" w:color="000000" w:sz="2" w:space="0"/>
            </w:tcBorders>
            <w:tcW w:w="900" w:type="dxa"/>
            <w:vAlign w:val="center"/>
            <w:textDirection w:val="lrTb"/>
            <w:noWrap w:val="false"/>
          </w:tcPr>
          <w:p>
            <w:pPr>
              <w:pStyle w:val="769"/>
              <w:jc w:val="center"/>
              <w:spacing w:before="68"/>
              <w:rPr>
                <w:rFonts w:hint="eastAsia" w:ascii="宋体" w:hAnsi="宋体" w:cs="宋体"/>
                <w:spacing w:val="-6"/>
              </w:rPr>
            </w:pPr>
            <w:r>
              <w:rPr>
                <w:rFonts w:hint="eastAsia" w:ascii="宋体" w:hAnsi="宋体" w:cs="宋体"/>
                <w:spacing w:val="-6"/>
              </w:rPr>
              <w:t xml:space="preserve">客观分</w:t>
            </w:r>
            <w:r/>
          </w:p>
        </w:tc>
      </w:tr>
      <w:tr>
        <w:trPr>
          <w:trHeight w:val="584"/>
        </w:trPr>
        <w:tc>
          <w:tcPr>
            <w:tcBorders>
              <w:top w:val="single" w:color="000000" w:sz="2" w:space="0"/>
              <w:left w:val="single" w:color="000000" w:sz="2" w:space="0"/>
              <w:bottom w:val="single" w:color="000000" w:sz="2" w:space="0"/>
              <w:right w:val="single" w:color="000000" w:sz="2" w:space="0"/>
            </w:tcBorders>
            <w:tcW w:w="519" w:type="dxa"/>
            <w:vAlign w:val="center"/>
            <w:textDirection w:val="lrTb"/>
            <w:noWrap w:val="false"/>
          </w:tcPr>
          <w:p>
            <w:pPr>
              <w:pStyle w:val="769"/>
              <w:jc w:val="center"/>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Borders>
              <w:top w:val="single" w:color="000000" w:sz="2" w:space="0"/>
              <w:left w:val="single" w:color="000000" w:sz="2" w:space="0"/>
              <w:bottom w:val="single" w:color="000000" w:sz="2" w:space="0"/>
              <w:right w:val="single" w:color="000000" w:sz="2" w:space="0"/>
            </w:tcBorders>
            <w:tcW w:w="7509" w:type="dxa"/>
            <w:vAlign w:val="center"/>
            <w:textDirection w:val="lrTb"/>
            <w:noWrap w:val="false"/>
          </w:tcPr>
          <w:p>
            <w:pPr>
              <w:pStyle w:val="769"/>
              <w:ind w:left="172"/>
              <w:jc w:val="center"/>
              <w:spacing w:before="123"/>
              <w:rPr>
                <w:rFonts w:hint="eastAsia" w:ascii="宋体" w:hAnsi="宋体" w:cs="宋体"/>
                <w:color w:val="ff0000"/>
                <w:spacing w:val="-2"/>
              </w:rPr>
            </w:pPr>
            <w:r>
              <w:rPr>
                <w:rFonts w:hint="eastAsia" w:ascii="宋体" w:hAnsi="宋体" w:cs="宋体"/>
                <w:color w:val="ff0000"/>
                <w:spacing w:val="-2"/>
              </w:rPr>
            </w:r>
            <w:r/>
          </w:p>
        </w:tc>
        <w:tc>
          <w:tcPr>
            <w:gridSpan w:val="2"/>
            <w:tcBorders>
              <w:top w:val="single" w:color="000000" w:sz="2" w:space="0"/>
              <w:left w:val="single" w:color="000000" w:sz="2" w:space="0"/>
              <w:bottom w:val="single" w:color="000000" w:sz="2" w:space="0"/>
              <w:right w:val="single" w:color="000000" w:sz="2" w:space="0"/>
            </w:tcBorders>
            <w:tcW w:w="1547" w:type="dxa"/>
            <w:vAlign w:val="center"/>
            <w:textDirection w:val="lrTb"/>
            <w:noWrap w:val="false"/>
          </w:tcPr>
          <w:p>
            <w:pPr>
              <w:pStyle w:val="769"/>
              <w:jc w:val="center"/>
            </w:pPr>
            <w:r>
              <w:rPr>
                <w:rFonts w:ascii="宋体" w:hAnsi="宋体" w:cs="宋体"/>
                <w:spacing w:val="-11"/>
              </w:rPr>
              <w:t xml:space="preserve">1</w:t>
            </w:r>
            <w:r>
              <w:rPr>
                <w:rFonts w:hint="eastAsia" w:ascii="宋体" w:hAnsi="宋体" w:cs="宋体"/>
                <w:spacing w:val="-11"/>
              </w:rPr>
              <w:t xml:space="preserve">00</w:t>
            </w:r>
            <w:r>
              <w:rPr>
                <w:rFonts w:ascii="宋体" w:hAnsi="宋体" w:cs="宋体"/>
                <w:spacing w:val="-11"/>
              </w:rPr>
              <w:t xml:space="preserve">分</w:t>
            </w:r>
            <w:r/>
          </w:p>
        </w:tc>
      </w:tr>
    </w:tbl>
    <w:p>
      <w:pPr>
        <w:pStyle w:val="769"/>
        <w:jc w:val="left"/>
        <w:rPr>
          <w:rFonts w:hint="eastAsia" w:ascii="宋体" w:hAnsi="宋体" w:cs="宋体"/>
          <w:b/>
          <w:bCs/>
          <w:spacing w:val="-11"/>
        </w:rPr>
      </w:pPr>
      <w:r>
        <w:rPr>
          <w:rFonts w:hint="eastAsia" w:ascii="黑体" w:hAnsi="黑体" w:eastAsia="黑体" w:cs="黑体"/>
          <w:sz w:val="24"/>
          <w:szCs w:val="24"/>
        </w:rPr>
        <w:t xml:space="preserve"> 附 </w:t>
      </w:r>
      <w:r>
        <w:rPr>
          <w:rFonts w:hint="eastAsia" w:ascii="宋体" w:hAnsi="宋体" w:cs="宋体"/>
          <w:b/>
          <w:bCs/>
          <w:spacing w:val="-11"/>
        </w:rPr>
        <w:t xml:space="preserve">件：产品设计图纸、参考图片等（参考图片款式仅作参考，供应商应按照产品技术要求中的规格、材质和工艺生产，定制家具需按照</w:t>
      </w:r>
      <w:r>
        <w:rPr>
          <w:rFonts w:hint="eastAsia" w:ascii="宋体" w:hAnsi="宋体" w:cs="宋体"/>
          <w:b/>
          <w:bCs/>
          <w:spacing w:val="-11"/>
        </w:rPr>
        <w:t xml:space="preserve">采购人实际场地尺寸或确定的方案进行加工，供应商在投标时要考虑这一因素）</w:t>
      </w:r>
      <w:r/>
    </w:p>
    <w:p>
      <w:pPr>
        <w:pStyle w:val="769"/>
        <w:rPr>
          <w:rFonts w:hint="eastAsia"/>
          <w:color w:val="ffffff"/>
        </w:rPr>
      </w:pPr>
      <w:r>
        <w:rPr>
          <w:rFonts w:hint="eastAsia"/>
          <w:color w:val="ffffff"/>
        </w:rPr>
        <mc:AlternateContent>
          <mc:Choice Requires="wpg">
            <w:drawing>
              <wp:inline xmlns:wp="http://schemas.openxmlformats.org/drawingml/2006/wordprocessingDrawing" distT="0" distB="0" distL="0" distR="0">
                <wp:extent cx="6182487" cy="5755577"/>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6182487" cy="57555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86.8pt;height:453.2pt;mso-wrap-distance-left:0.0pt;mso-wrap-distance-top:0.0pt;mso-wrap-distance-right:0.0pt;mso-wrap-distance-bottom:0.0pt;" stroked="f">
                <v:path textboxrect="0,0,0,0"/>
                <v:imagedata r:id="rId36" o:title=""/>
              </v:shape>
            </w:pict>
          </mc:Fallback>
        </mc:AlternateContent>
      </w:r>
      <w:r>
        <w:rPr>
          <w:rFonts w:hint="eastAsia"/>
          <w:color w:val="ffffff"/>
        </w:rPr>
        <mc:AlternateContent>
          <mc:Choice Requires="wpg">
            <w:drawing>
              <wp:inline xmlns:wp="http://schemas.openxmlformats.org/drawingml/2006/wordprocessingDrawing" distT="0" distB="0" distL="0" distR="0">
                <wp:extent cx="6182297" cy="2952801"/>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6182297" cy="29528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86.8pt;height:232.5pt;mso-wrap-distance-left:0.0pt;mso-wrap-distance-top:0.0pt;mso-wrap-distance-right:0.0pt;mso-wrap-distance-bottom:0.0pt;" stroked="f">
                <v:path textboxrect="0,0,0,0"/>
                <v:imagedata r:id="rId37" o:title=""/>
              </v:shape>
            </w:pict>
          </mc:Fallback>
        </mc:AlternateContent>
      </w:r>
      <w:r>
        <w:rPr>
          <w:rFonts w:hint="eastAsia"/>
          <w:color w:val="ffffff"/>
        </w:rPr>
        <mc:AlternateContent>
          <mc:Choice Requires="wpg">
            <w:drawing>
              <wp:inline xmlns:wp="http://schemas.openxmlformats.org/drawingml/2006/wordprocessingDrawing" distT="0" distB="0" distL="0" distR="0">
                <wp:extent cx="6184290" cy="373758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184290" cy="3737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87.0pt;height:294.3pt;mso-wrap-distance-left:0.0pt;mso-wrap-distance-top:0.0pt;mso-wrap-distance-right:0.0pt;mso-wrap-distance-bottom:0.0pt;" stroked="f">
                <v:path textboxrect="0,0,0,0"/>
                <v:imagedata r:id="rId38" o:title=""/>
              </v:shape>
            </w:pict>
          </mc:Fallback>
        </mc:AlternateContent>
      </w:r>
      <w:r>
        <w:rPr>
          <w:rFonts w:hint="eastAsia"/>
          <w:color w:val="ffffff"/>
        </w:rPr>
        <mc:AlternateContent>
          <mc:Choice Requires="wpg">
            <w:drawing>
              <wp:inline xmlns:wp="http://schemas.openxmlformats.org/drawingml/2006/wordprocessingDrawing" distT="0" distB="0" distL="0" distR="0">
                <wp:extent cx="6184240" cy="7516559"/>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184240" cy="7516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86.9pt;height:591.9pt;mso-wrap-distance-left:0.0pt;mso-wrap-distance-top:0.0pt;mso-wrap-distance-right:0.0pt;mso-wrap-distance-bottom:0.0pt;" stroked="f">
                <v:path textboxrect="0,0,0,0"/>
                <v:imagedata r:id="rId39" o:title=""/>
              </v:shape>
            </w:pict>
          </mc:Fallback>
        </mc:AlternateContent>
      </w:r>
      <w:r>
        <w:rPr>
          <w:rFonts w:hint="eastAsia"/>
          <w:color w:val="ffffff"/>
        </w:rPr>
        <mc:AlternateContent>
          <mc:Choice Requires="wpg">
            <w:drawing>
              <wp:inline xmlns:wp="http://schemas.openxmlformats.org/drawingml/2006/wordprocessingDrawing" distT="0" distB="0" distL="0" distR="0">
                <wp:extent cx="6177255" cy="4165587"/>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177255" cy="41655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86.4pt;height:328.0pt;mso-wrap-distance-left:0.0pt;mso-wrap-distance-top:0.0pt;mso-wrap-distance-right:0.0pt;mso-wrap-distance-bottom:0.0pt;" stroked="f">
                <v:path textboxrect="0,0,0,0"/>
                <v:imagedata r:id="rId40" o:title=""/>
              </v:shape>
            </w:pict>
          </mc:Fallback>
        </mc:AlternateContent>
      </w:r>
      <w:r>
        <w:rPr>
          <w:rFonts w:hint="eastAsia"/>
          <w:color w:val="ffffff"/>
        </w:rPr>
        <mc:AlternateContent>
          <mc:Choice Requires="wpg">
            <w:drawing>
              <wp:inline xmlns:wp="http://schemas.openxmlformats.org/drawingml/2006/wordprocessingDrawing" distT="0" distB="0" distL="0" distR="0">
                <wp:extent cx="6186805" cy="505333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186805" cy="5053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87.1pt;height:397.9pt;mso-wrap-distance-left:0.0pt;mso-wrap-distance-top:0.0pt;mso-wrap-distance-right:0.0pt;mso-wrap-distance-bottom:0.0pt;" stroked="f">
                <v:path textboxrect="0,0,0,0"/>
                <v:imagedata r:id="rId41" o:title=""/>
              </v:shape>
            </w:pict>
          </mc:Fallback>
        </mc:AlternateContent>
      </w:r>
      <w:r>
        <w:rPr>
          <w:rFonts w:hint="eastAsia"/>
          <w:color w:val="ffffff"/>
        </w:rPr>
      </w:r>
      <w:r/>
    </w:p>
    <w:p>
      <w:pPr>
        <w:pStyle w:val="769"/>
        <w:keepNext/>
        <w:spacing w:line="264" w:lineRule="auto"/>
        <w:rPr>
          <w:rFonts w:ascii="黑体" w:hAnsi="黑体" w:eastAsia="黑体" w:cs="黑体"/>
          <w:sz w:val="24"/>
          <w:szCs w:val="24"/>
        </w:rPr>
      </w:pPr>
      <w:r>
        <w:rPr>
          <w:rFonts w:ascii="黑体" w:hAnsi="黑体" w:eastAsia="黑体" w:cs="黑体"/>
          <w:sz w:val="24"/>
          <w:szCs w:val="24"/>
        </w:rPr>
      </w:r>
      <w:r/>
    </w:p>
    <w:p>
      <w:pPr>
        <w:pStyle w:val="769"/>
        <w:jc w:val="center"/>
        <w:keepNext/>
        <w:rPr>
          <w:rFonts w:hint="eastAsia"/>
        </w:rPr>
        <w:outlineLvl w:val="0"/>
      </w:pPr>
      <w:r>
        <w:rPr>
          <w:rFonts w:hint="eastAsia"/>
        </w:rPr>
      </w:r>
      <w:r/>
    </w:p>
    <w:p>
      <w:pPr>
        <w:pStyle w:val="769"/>
        <w:jc w:val="center"/>
        <w:keepNext/>
        <w:rPr>
          <w:rFonts w:hint="eastAsia" w:ascii="黑体" w:eastAsia="黑体"/>
          <w:bCs/>
          <w:sz w:val="44"/>
          <w:szCs w:val="28"/>
        </w:rPr>
        <w:outlineLvl w:val="0"/>
      </w:pPr>
      <w:r>
        <w:rPr>
          <w:rFonts w:hint="eastAsia" w:ascii="黑体" w:eastAsia="黑体"/>
          <w:sz w:val="44"/>
          <w:szCs w:val="44"/>
        </w:rPr>
        <w:t xml:space="preserve">第六章  </w:t>
      </w:r>
      <w:bookmarkEnd w:id="122"/>
      <w:r/>
      <w:bookmarkEnd w:id="123"/>
      <w:r/>
      <w:bookmarkEnd w:id="126"/>
      <w:r>
        <w:rPr>
          <w:rFonts w:hint="eastAsia" w:ascii="黑体" w:eastAsia="黑体"/>
          <w:sz w:val="44"/>
          <w:szCs w:val="44"/>
        </w:rPr>
        <w:t xml:space="preserve">投标文件格式 </w:t>
      </w:r>
      <w:r>
        <w:rPr>
          <w:rFonts w:hint="eastAsia" w:ascii="黑体" w:eastAsia="黑体"/>
          <w:bCs/>
          <w:sz w:val="44"/>
          <w:szCs w:val="28"/>
        </w:rPr>
      </w:r>
      <w:r/>
    </w:p>
    <w:p>
      <w:pPr>
        <w:pStyle w:val="769"/>
        <w:jc w:val="center"/>
        <w:keepNext/>
        <w:rPr>
          <w:rFonts w:hint="eastAsia" w:ascii="宋体" w:hAnsi="宋体"/>
          <w:b/>
          <w:sz w:val="72"/>
          <w:szCs w:val="21"/>
        </w:rPr>
      </w:pPr>
      <w:r/>
      <w:bookmarkStart w:id="142" w:name="_Hlt26955039"/>
      <w:r/>
      <w:bookmarkEnd w:id="142"/>
      <w:r/>
      <w:bookmarkStart w:id="143" w:name="_Hlt26671244"/>
      <w:r/>
      <w:bookmarkEnd w:id="143"/>
      <w:r/>
      <w:bookmarkStart w:id="144" w:name="_Toc120614282"/>
      <w:r/>
      <w:bookmarkStart w:id="145" w:name="_Toc26554094"/>
      <w:r/>
      <w:bookmarkStart w:id="146" w:name="_Toc49090576"/>
      <w:r>
        <w:rPr>
          <w:rFonts w:hint="eastAsia" w:ascii="宋体" w:hAnsi="宋体"/>
          <w:b/>
          <w:sz w:val="72"/>
          <w:szCs w:val="21"/>
        </w:rPr>
      </w:r>
      <w:r/>
    </w:p>
    <w:p>
      <w:pPr>
        <w:pStyle w:val="769"/>
        <w:jc w:val="center"/>
        <w:keepNext/>
        <w:rPr>
          <w:rFonts w:hint="eastAsia" w:ascii="宋体" w:hAnsi="宋体"/>
          <w:b/>
          <w:sz w:val="72"/>
          <w:szCs w:val="21"/>
        </w:rPr>
      </w:pPr>
      <w:r>
        <w:rPr>
          <w:rFonts w:hint="eastAsia" w:ascii="宋体" w:hAnsi="宋体"/>
          <w:b/>
          <w:sz w:val="72"/>
        </w:rPr>
        <w:t xml:space="preserve">投  标  文  件</w:t>
      </w:r>
      <w:r>
        <w:rPr>
          <w:rFonts w:hint="eastAsia" w:ascii="宋体" w:hAnsi="宋体"/>
          <w:b/>
          <w:sz w:val="72"/>
          <w:szCs w:val="21"/>
        </w:rPr>
      </w:r>
      <w:r/>
    </w:p>
    <w:p>
      <w:pPr>
        <w:pStyle w:val="769"/>
        <w:jc w:val="center"/>
        <w:keepNext/>
        <w:rPr>
          <w:rFonts w:hint="eastAsia" w:ascii="宋体" w:hAnsi="宋体"/>
          <w:b/>
          <w:sz w:val="72"/>
          <w:szCs w:val="21"/>
        </w:rPr>
      </w:pPr>
      <w:r>
        <w:rPr>
          <w:rFonts w:hint="eastAsia" w:ascii="宋体" w:hAnsi="宋体"/>
          <w:b/>
          <w:sz w:val="72"/>
          <w:szCs w:val="21"/>
        </w:rPr>
      </w:r>
      <w:r/>
    </w:p>
    <w:p>
      <w:pPr>
        <w:pStyle w:val="769"/>
        <w:jc w:val="center"/>
        <w:keepNext/>
        <w:rPr>
          <w:rFonts w:hint="eastAsia" w:ascii="宋体" w:hAnsi="宋体"/>
          <w:b/>
          <w:sz w:val="72"/>
          <w:szCs w:val="21"/>
        </w:rPr>
      </w:pPr>
      <w:r>
        <w:rPr>
          <w:rFonts w:hint="eastAsia" w:ascii="宋体" w:hAnsi="宋体"/>
          <w:b/>
          <w:sz w:val="72"/>
          <w:szCs w:val="21"/>
        </w:rPr>
      </w:r>
      <w:r/>
    </w:p>
    <w:p>
      <w:pPr>
        <w:pStyle w:val="769"/>
        <w:jc w:val="center"/>
        <w:keepNext/>
        <w:rPr>
          <w:rFonts w:hint="eastAsia" w:ascii="宋体" w:hAnsi="宋体"/>
          <w:b/>
          <w:sz w:val="36"/>
          <w:szCs w:val="21"/>
        </w:rPr>
      </w:pPr>
      <w:r>
        <w:rPr>
          <w:rFonts w:hint="eastAsia" w:ascii="宋体" w:hAnsi="宋体"/>
          <w:b/>
          <w:sz w:val="36"/>
          <w:szCs w:val="21"/>
        </w:rPr>
      </w:r>
      <w:r/>
    </w:p>
    <w:p>
      <w:pPr>
        <w:pStyle w:val="769"/>
        <w:jc w:val="center"/>
        <w:keepNext/>
        <w:rPr>
          <w:rFonts w:hint="eastAsia" w:ascii="宋体" w:hAnsi="宋体"/>
          <w:b/>
          <w:sz w:val="36"/>
          <w:szCs w:val="21"/>
        </w:rPr>
      </w:pPr>
      <w:r>
        <w:rPr>
          <w:rFonts w:hint="eastAsia" w:ascii="宋体" w:hAnsi="宋体"/>
          <w:b/>
          <w:sz w:val="36"/>
          <w:szCs w:val="21"/>
        </w:rPr>
      </w:r>
      <w:r/>
    </w:p>
    <w:p>
      <w:pPr>
        <w:pStyle w:val="769"/>
        <w:jc w:val="center"/>
        <w:keepNext/>
        <w:rPr>
          <w:rFonts w:hint="eastAsia" w:ascii="宋体" w:hAnsi="宋体"/>
          <w:b/>
          <w:sz w:val="36"/>
          <w:szCs w:val="21"/>
        </w:rPr>
      </w:pPr>
      <w:r>
        <w:rPr>
          <w:rFonts w:hint="eastAsia" w:ascii="宋体" w:hAnsi="宋体"/>
          <w:b/>
          <w:sz w:val="36"/>
          <w:szCs w:val="21"/>
        </w:rPr>
      </w:r>
      <w:r/>
    </w:p>
    <w:p>
      <w:pPr>
        <w:pStyle w:val="769"/>
        <w:ind w:firstLine="1084"/>
        <w:keepNext/>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769"/>
        <w:ind w:firstLine="1084"/>
        <w:keepNext/>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769"/>
        <w:keepNext/>
        <w:rPr>
          <w:rFonts w:ascii="宋体" w:hAnsi="宋体"/>
          <w:b/>
          <w:sz w:val="36"/>
          <w:szCs w:val="21"/>
          <w:u w:val="single"/>
        </w:rPr>
      </w:pPr>
      <w:r>
        <w:rPr>
          <w:rFonts w:hint="eastAsia" w:ascii="宋体" w:hAnsi="宋体"/>
          <w:b/>
          <w:sz w:val="36"/>
          <w:szCs w:val="21"/>
        </w:rPr>
        <w:t xml:space="preserve">      </w:t>
      </w:r>
      <w:r>
        <w:rPr>
          <w:rFonts w:hint="eastAsia" w:ascii="宋体" w:hAnsi="宋体"/>
          <w:b/>
          <w:sz w:val="36"/>
        </w:rPr>
        <w:t xml:space="preserve">投标人名称</w:t>
      </w:r>
      <w:r>
        <w:rPr>
          <w:rFonts w:hint="eastAsia" w:ascii="宋体" w:hAnsi="宋体"/>
          <w:b/>
          <w:sz w:val="36"/>
          <w:szCs w:val="21"/>
        </w:rPr>
        <w:t xml:space="preserve"> ：</w:t>
      </w:r>
      <w:r>
        <w:rPr>
          <w:rFonts w:hint="eastAsia" w:ascii="宋体" w:hAnsi="宋体"/>
          <w:b/>
          <w:sz w:val="36"/>
          <w:szCs w:val="21"/>
          <w:u w:val="single"/>
        </w:rPr>
        <w:t xml:space="preserve">（加盖电子公章）   </w:t>
      </w:r>
      <w:r>
        <w:rPr>
          <w:rFonts w:ascii="宋体" w:hAnsi="宋体"/>
          <w:b/>
          <w:sz w:val="36"/>
          <w:szCs w:val="21"/>
          <w:u w:val="single"/>
        </w:rPr>
      </w:r>
      <w:r/>
    </w:p>
    <w:p>
      <w:pPr>
        <w:pStyle w:val="769"/>
        <w:keepNext/>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769"/>
        <w:jc w:val="center"/>
        <w:keepNext/>
        <w:spacing w:line="440" w:lineRule="exact"/>
        <w:rPr>
          <w:rFonts w:hint="eastAsia" w:ascii="宋体" w:hAnsi="宋体"/>
          <w:b/>
          <w:bCs/>
          <w:sz w:val="32"/>
          <w:szCs w:val="32"/>
        </w:rPr>
      </w:pPr>
      <w:r>
        <w:rPr>
          <w:rFonts w:hint="eastAsia" w:ascii="宋体" w:hAnsi="宋体"/>
          <w:b/>
          <w:bCs/>
          <w:sz w:val="32"/>
          <w:szCs w:val="32"/>
        </w:rPr>
      </w:r>
      <w:r/>
    </w:p>
    <w:p>
      <w:pPr>
        <w:pStyle w:val="769"/>
        <w:keepNext/>
        <w:spacing w:line="440" w:lineRule="exact"/>
        <w:rPr>
          <w:rFonts w:ascii="宋体" w:hAnsi="宋体"/>
          <w:szCs w:val="21"/>
        </w:rPr>
      </w:pPr>
      <w:r>
        <w:rPr>
          <w:rFonts w:ascii="宋体" w:hAnsi="宋体"/>
          <w:szCs w:val="21"/>
        </w:rPr>
      </w:r>
      <w:r/>
    </w:p>
    <w:p>
      <w:pPr>
        <w:pStyle w:val="769"/>
        <w:jc w:val="center"/>
        <w:keepNext/>
        <w:rPr>
          <w:rFonts w:hint="eastAsia" w:ascii="宋体" w:hAnsi="宋体"/>
          <w:b/>
          <w:bCs/>
          <w:sz w:val="32"/>
          <w:szCs w:val="32"/>
        </w:rPr>
      </w:pPr>
      <w:r>
        <w:rPr>
          <w:rFonts w:ascii="宋体" w:hAnsi="宋体"/>
          <w:b/>
          <w:sz w:val="36"/>
          <w:szCs w:val="21"/>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宋体" w:hAnsi="宋体"/>
          <w:b/>
          <w:bCs/>
          <w:sz w:val="32"/>
          <w:szCs w:val="32"/>
        </w:rPr>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六、投标分项报价表</w:t>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pStyle w:val="769"/>
        <w:ind w:firstLine="560"/>
        <w:keepNext/>
        <w:spacing w:line="600" w:lineRule="exact"/>
        <w:rPr>
          <w:rFonts w:ascii="宋体" w:hAnsi="宋体" w:cs="宋体"/>
          <w:sz w:val="28"/>
          <w:szCs w:val="28"/>
        </w:rPr>
      </w:pPr>
      <w:r>
        <w:rPr>
          <w:rFonts w:hint="eastAsia" w:ascii="宋体" w:hAnsi="宋体" w:cs="宋体"/>
          <w:sz w:val="28"/>
          <w:szCs w:val="28"/>
        </w:rPr>
        <w:t xml:space="preserve">十一、联合体协议（如有）</w:t>
      </w:r>
      <w:r>
        <w:rPr>
          <w:rFonts w:ascii="宋体" w:hAnsi="宋体" w:cs="宋体"/>
          <w:sz w:val="28"/>
          <w:szCs w:val="28"/>
        </w:rPr>
      </w:r>
      <w:r/>
    </w:p>
    <w:p>
      <w:pPr>
        <w:pStyle w:val="769"/>
        <w:ind w:firstLine="560"/>
        <w:keepNext/>
        <w:spacing w:line="600" w:lineRule="exact"/>
        <w:rPr>
          <w:rFonts w:ascii="宋体" w:hAnsi="宋体" w:cs="宋体"/>
          <w:sz w:val="28"/>
          <w:szCs w:val="28"/>
        </w:rPr>
      </w:pPr>
      <w:r>
        <w:rPr>
          <w:rFonts w:hint="eastAsia" w:ascii="宋体" w:hAnsi="宋体" w:cs="宋体"/>
          <w:sz w:val="28"/>
          <w:szCs w:val="28"/>
        </w:rPr>
        <w:t xml:space="preserve">十二、关于符合本国产品标准的声明函</w:t>
      </w:r>
      <w:r>
        <w:rPr>
          <w:rFonts w:ascii="宋体" w:hAnsi="宋体" w:cs="宋体"/>
          <w:sz w:val="28"/>
          <w:szCs w:val="28"/>
        </w:rPr>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t xml:space="preserve">十三、分包情况说明及分包意向协议</w:t>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r>
      <w:r/>
    </w:p>
    <w:p>
      <w:pPr>
        <w:pStyle w:val="769"/>
        <w:ind w:firstLine="560"/>
        <w:keepNext/>
        <w:spacing w:line="600" w:lineRule="exact"/>
        <w:rPr>
          <w:rFonts w:hint="eastAsia" w:ascii="宋体" w:hAnsi="宋体" w:cs="宋体"/>
          <w:sz w:val="28"/>
          <w:szCs w:val="28"/>
        </w:rPr>
      </w:pPr>
      <w:r>
        <w:rPr>
          <w:rFonts w:hint="eastAsia" w:ascii="宋体" w:hAnsi="宋体" w:cs="宋体"/>
          <w:sz w:val="28"/>
          <w:szCs w:val="28"/>
        </w:rPr>
      </w:r>
      <w:r/>
    </w:p>
    <w:p>
      <w:pPr>
        <w:pStyle w:val="769"/>
        <w:ind w:firstLine="480"/>
        <w:keepNext/>
        <w:spacing w:line="440" w:lineRule="exact"/>
        <w:rPr>
          <w:rFonts w:ascii="宋体" w:hAnsi="宋体"/>
          <w:sz w:val="24"/>
          <w:szCs w:val="21"/>
        </w:rPr>
      </w:pPr>
      <w:r>
        <w:rPr>
          <w:rFonts w:ascii="宋体" w:hAnsi="宋体"/>
          <w:sz w:val="24"/>
          <w:szCs w:val="21"/>
        </w:rPr>
      </w:r>
      <w:r/>
    </w:p>
    <w:p>
      <w:pPr>
        <w:pStyle w:val="769"/>
        <w:ind w:firstLine="480"/>
        <w:keepNext/>
        <w:spacing w:line="440" w:lineRule="exact"/>
        <w:rPr>
          <w:rFonts w:ascii="宋体" w:hAnsi="宋体"/>
          <w:sz w:val="24"/>
          <w:szCs w:val="21"/>
        </w:rPr>
      </w:pPr>
      <w:r>
        <w:rPr>
          <w:rFonts w:ascii="宋体" w:hAnsi="宋体"/>
          <w:sz w:val="24"/>
          <w:szCs w:val="21"/>
        </w:rPr>
      </w:r>
      <w:r/>
    </w:p>
    <w:p>
      <w:pPr>
        <w:pStyle w:val="769"/>
        <w:ind w:firstLine="480"/>
        <w:keepNext/>
        <w:spacing w:line="440" w:lineRule="exact"/>
        <w:rPr>
          <w:rFonts w:ascii="宋体" w:hAnsi="宋体"/>
          <w:sz w:val="24"/>
          <w:szCs w:val="21"/>
        </w:rPr>
      </w:pPr>
      <w:r>
        <w:rPr>
          <w:rFonts w:ascii="宋体" w:hAnsi="宋体"/>
          <w:sz w:val="24"/>
          <w:szCs w:val="21"/>
        </w:rPr>
      </w:r>
      <w:r/>
    </w:p>
    <w:p>
      <w:pPr>
        <w:pStyle w:val="769"/>
        <w:ind w:firstLine="480"/>
        <w:keepNext/>
        <w:spacing w:line="440" w:lineRule="exact"/>
        <w:rPr>
          <w:rFonts w:ascii="宋体" w:hAnsi="宋体"/>
          <w:sz w:val="24"/>
          <w:szCs w:val="21"/>
        </w:rPr>
      </w:pPr>
      <w:r>
        <w:rPr>
          <w:rFonts w:ascii="宋体" w:hAnsi="宋体"/>
          <w:sz w:val="24"/>
          <w:szCs w:val="21"/>
        </w:rPr>
      </w:r>
      <w:r/>
    </w:p>
    <w:p>
      <w:pPr>
        <w:pStyle w:val="769"/>
        <w:keepNext/>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rPr>
          <w:rFonts w:hint="eastAsia" w:ascii="黑体" w:hAnsi="黑体" w:eastAsia="黑体"/>
          <w:i/>
          <w:sz w:val="32"/>
          <w:szCs w:val="32"/>
          <w:u w:val="single"/>
        </w:rPr>
      </w:r>
      <w:r/>
    </w:p>
    <w:p>
      <w:pPr>
        <w:pStyle w:val="769"/>
        <w:jc w:val="center"/>
        <w:keepNext/>
        <w:spacing w:line="360" w:lineRule="auto"/>
        <w:rPr>
          <w:rFonts w:hint="eastAsia" w:ascii="方正小标宋简体" w:hAnsi="方正小标宋简体" w:eastAsia="方正小标宋简体" w:cs="方正小标宋简体"/>
          <w:sz w:val="32"/>
          <w:szCs w:val="32"/>
        </w:rPr>
        <w:outlineLvl w:val="0"/>
      </w:pPr>
      <w:r/>
      <w:bookmarkStart w:id="147" w:name="OLE_LINK73"/>
      <w:r>
        <w:rPr>
          <w:rFonts w:hint="eastAsia" w:ascii="方正小标宋简体" w:hAnsi="方正小标宋简体" w:eastAsia="方正小标宋简体" w:cs="方正小标宋简体"/>
          <w:sz w:val="32"/>
          <w:szCs w:val="32"/>
        </w:rPr>
        <w:t xml:space="preserve">供应商信用承诺函</w:t>
      </w:r>
      <w:r/>
    </w:p>
    <w:p>
      <w:pPr>
        <w:pStyle w:val="769"/>
        <w:ind w:firstLine="1680"/>
        <w:keepNext/>
        <w:spacing w:line="460" w:lineRule="exact"/>
        <w:rPr>
          <w:rFonts w:hint="eastAsia" w:ascii="宋体" w:hAnsi="宋体"/>
          <w:sz w:val="24"/>
          <w:szCs w:val="24"/>
        </w:rPr>
      </w:pPr>
      <w:r>
        <w:rPr>
          <w:rFonts w:hint="eastAsia" w:ascii="宋体" w:hAnsi="宋体"/>
          <w:sz w:val="24"/>
          <w:szCs w:val="24"/>
        </w:rPr>
        <w:t xml:space="preserve">公司：</w:t>
      </w:r>
      <w:r/>
    </w:p>
    <w:p>
      <w:pPr>
        <w:pStyle w:val="769"/>
        <w:ind w:firstLine="492"/>
        <w:keepNext/>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769"/>
        <w:ind w:firstLine="492"/>
        <w:keepNext/>
        <w:spacing w:line="460" w:lineRule="exact"/>
        <w:rPr>
          <w:rFonts w:hint="eastAsia" w:ascii="宋体" w:hAnsi="宋体"/>
          <w:sz w:val="24"/>
          <w:szCs w:val="24"/>
        </w:rPr>
      </w:pPr>
      <w:r>
        <w:rPr>
          <w:rFonts w:hint="eastAsia" w:ascii="宋体" w:hAnsi="宋体"/>
          <w:sz w:val="24"/>
          <w:szCs w:val="24"/>
        </w:rPr>
        <w:t xml:space="preserve">我公司符合下列要求：</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(三)具有</w:t>
      </w:r>
      <w:r>
        <w:rPr>
          <w:rFonts w:hint="eastAsia" w:ascii="宋体" w:hAnsi="宋体"/>
          <w:color w:val="000000"/>
          <w:sz w:val="24"/>
          <w:szCs w:val="24"/>
        </w:rPr>
        <w:t xml:space="preserve">履行合同所必需的设备和专业技术能力；</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pStyle w:val="769"/>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本公司对上述承诺内容的真实性、合法性、有效性负责，如有虚假，将依法承担相应责任。</w:t>
      </w:r>
      <w:r/>
    </w:p>
    <w:p>
      <w:pPr>
        <w:pStyle w:val="769"/>
        <w:ind w:firstLine="492"/>
        <w:keepNext/>
        <w:spacing w:line="460" w:lineRule="exact"/>
        <w:rPr>
          <w:sz w:val="24"/>
          <w:szCs w:val="24"/>
        </w:rPr>
      </w:pPr>
      <w:r>
        <w:rPr>
          <w:sz w:val="24"/>
          <w:szCs w:val="24"/>
        </w:rPr>
      </w:r>
      <w:r/>
    </w:p>
    <w:p>
      <w:pPr>
        <w:pStyle w:val="921"/>
        <w:keepNext/>
        <w:rPr>
          <w:sz w:val="24"/>
          <w:szCs w:val="24"/>
        </w:rPr>
      </w:pPr>
      <w:r>
        <w:rPr>
          <w:sz w:val="24"/>
          <w:szCs w:val="24"/>
        </w:rPr>
      </w:r>
      <w:r/>
    </w:p>
    <w:p>
      <w:pPr>
        <w:pStyle w:val="769"/>
        <w:ind w:right="180" w:firstLine="360"/>
        <w:jc w:val="right"/>
        <w:keepNex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769"/>
        <w:ind w:firstLine="6240"/>
        <w:keepNext/>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69"/>
        <w:keepNext/>
        <w:rPr>
          <w:sz w:val="24"/>
          <w:szCs w:val="24"/>
        </w:rPr>
      </w:pPr>
      <w:r/>
      <w:bookmarkEnd w:id="147"/>
      <w:r>
        <w:rPr>
          <w:sz w:val="24"/>
          <w:szCs w:val="24"/>
        </w:rPr>
      </w:r>
      <w:r/>
    </w:p>
    <w:p>
      <w:pPr>
        <w:pStyle w:val="769"/>
        <w:keepNext/>
        <w:spacing w:line="440" w:lineRule="exact"/>
        <w:rPr>
          <w:rFonts w:hint="eastAsia" w:ascii="宋体" w:hAnsi="宋体"/>
          <w:sz w:val="24"/>
          <w:szCs w:val="24"/>
        </w:rPr>
      </w:pPr>
      <w:r>
        <w:rPr>
          <w:rFonts w:hint="eastAsia" w:ascii="宋体" w:hAnsi="宋体"/>
          <w:sz w:val="24"/>
          <w:szCs w:val="24"/>
        </w:rPr>
      </w:r>
      <w:r/>
    </w:p>
    <w:p>
      <w:pPr>
        <w:pStyle w:val="769"/>
        <w:ind w:firstLine="480"/>
        <w:keepNext/>
        <w:spacing w:line="440" w:lineRule="exact"/>
        <w:rPr>
          <w:rFonts w:hint="eastAsia" w:ascii="宋体" w:hAnsi="宋体"/>
          <w:sz w:val="24"/>
          <w:szCs w:val="24"/>
        </w:rPr>
      </w:pPr>
      <w:r>
        <w:rPr>
          <w:rFonts w:hint="eastAsia" w:ascii="宋体" w:hAnsi="宋体"/>
          <w:sz w:val="24"/>
          <w:szCs w:val="24"/>
        </w:rPr>
      </w:r>
      <w:r/>
    </w:p>
    <w:p>
      <w:pPr>
        <w:pStyle w:val="769"/>
        <w:keepNext/>
        <w:spacing w:line="440" w:lineRule="exact"/>
        <w:rPr>
          <w:rFonts w:hint="eastAsia" w:ascii="宋体" w:hAnsi="宋体"/>
          <w:b/>
          <w:bCs/>
          <w:szCs w:val="21"/>
        </w:rPr>
      </w:pPr>
      <w:r>
        <w:rPr>
          <w:rFonts w:hint="eastAsia" w:ascii="宋体" w:hAnsi="宋体"/>
          <w:b/>
          <w:bCs/>
          <w:szCs w:val="21"/>
        </w:rPr>
      </w:r>
      <w:r/>
    </w:p>
    <w:p>
      <w:pPr>
        <w:pStyle w:val="782"/>
        <w:keepNext/>
        <w:rPr>
          <w:rFonts w:hint="eastAsia"/>
        </w:rPr>
      </w:pPr>
      <w:r>
        <w:rPr>
          <w:rFonts w:hint="eastAsia"/>
        </w:rPr>
      </w:r>
      <w:r/>
    </w:p>
    <w:p>
      <w:pPr>
        <w:pStyle w:val="769"/>
        <w:keepNext/>
        <w:rPr>
          <w:rFonts w:hint="eastAsia" w:ascii="黑体" w:hAnsi="黑体" w:eastAsia="黑体"/>
          <w:sz w:val="32"/>
          <w:szCs w:val="32"/>
        </w:rPr>
      </w:pPr>
      <w:r/>
      <w:bookmarkEnd w:id="144"/>
      <w:r/>
      <w:bookmarkEnd w:id="145"/>
      <w:r/>
      <w:bookmarkEnd w:id="146"/>
      <w:r/>
      <w:bookmarkStart w:id="148" w:name="_Toc120614284"/>
      <w:r>
        <w:rPr>
          <w:rFonts w:hint="eastAsia" w:ascii="黑体" w:hAnsi="黑体" w:eastAsia="黑体"/>
          <w:sz w:val="32"/>
          <w:szCs w:val="32"/>
        </w:rPr>
      </w:r>
      <w:r/>
    </w:p>
    <w:p>
      <w:pPr>
        <w:pStyle w:val="769"/>
        <w:keepNext/>
        <w:rPr>
          <w:rFonts w:hint="eastAsia" w:ascii="黑体" w:hAnsi="黑体" w:eastAsia="黑体"/>
          <w:sz w:val="32"/>
          <w:szCs w:val="32"/>
        </w:rPr>
      </w:pPr>
      <w:r>
        <w:rPr>
          <w:rFonts w:hint="eastAsia" w:ascii="黑体" w:hAnsi="黑体" w:eastAsia="黑体"/>
          <w:sz w:val="32"/>
          <w:szCs w:val="32"/>
        </w:rPr>
        <w:t xml:space="preserve">二、特定资格要求的证明文件</w:t>
      </w:r>
      <w:r/>
    </w:p>
    <w:p>
      <w:pPr>
        <w:pStyle w:val="769"/>
        <w:keepNext/>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rPr>
          <w:rFonts w:hint="eastAsia" w:ascii="宋体" w:hAnsi="宋体"/>
          <w:bCs/>
          <w:sz w:val="24"/>
          <w:szCs w:val="21"/>
        </w:rPr>
      </w:r>
      <w:r/>
    </w:p>
    <w:p>
      <w:pPr>
        <w:pStyle w:val="769"/>
        <w:keepNext/>
        <w:rPr>
          <w:rFonts w:hint="eastAsia" w:ascii="黑体" w:hAnsi="黑体" w:eastAsia="黑体"/>
          <w:sz w:val="32"/>
          <w:szCs w:val="32"/>
        </w:rPr>
      </w:pPr>
      <w:r>
        <w:rPr>
          <w:rFonts w:hint="eastAsia" w:ascii="黑体" w:hAnsi="黑体" w:eastAsia="黑体"/>
          <w:sz w:val="32"/>
          <w:szCs w:val="32"/>
        </w:rPr>
      </w:r>
      <w:r/>
    </w:p>
    <w:p>
      <w:pPr>
        <w:pStyle w:val="769"/>
        <w:keepNext/>
        <w:rPr>
          <w:rFonts w:hint="eastAsia" w:ascii="黑体" w:hAnsi="黑体" w:eastAsia="黑体"/>
          <w:sz w:val="32"/>
          <w:szCs w:val="32"/>
        </w:rPr>
      </w:pPr>
      <w:r>
        <w:rPr>
          <w:rFonts w:hint="eastAsia" w:ascii="黑体" w:hAnsi="黑体" w:eastAsia="黑体"/>
          <w:sz w:val="32"/>
          <w:szCs w:val="32"/>
        </w:rPr>
        <w:t xml:space="preserve">三、法人授权书</w:t>
      </w:r>
      <w:r/>
    </w:p>
    <w:p>
      <w:pPr>
        <w:pStyle w:val="769"/>
        <w:jc w:val="center"/>
        <w:spacing w:line="420" w:lineRule="exact"/>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rPr>
          <w:rFonts w:ascii="方正小标宋简体" w:hAnsi="方正小标宋简体" w:eastAsia="方正小标宋简体" w:cs="方正小标宋简体"/>
          <w:sz w:val="32"/>
          <w:szCs w:val="32"/>
        </w:rPr>
      </w:r>
      <w:r/>
    </w:p>
    <w:p>
      <w:pPr>
        <w:pStyle w:val="918"/>
        <w:ind w:firstLine="480"/>
        <w:spacing w:line="420" w:lineRule="exact"/>
        <w:rPr>
          <w:sz w:val="24"/>
          <w:szCs w:val="24"/>
        </w:rPr>
      </w:pPr>
      <w:r>
        <w:rPr>
          <w:sz w:val="24"/>
          <w:szCs w:val="24"/>
        </w:rPr>
      </w:r>
      <w:r/>
    </w:p>
    <w:p>
      <w:pPr>
        <w:pStyle w:val="918"/>
        <w:ind w:firstLine="480"/>
        <w:spacing w:line="480" w:lineRule="exact"/>
        <w:rPr>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rPr>
          <w:sz w:val="24"/>
          <w:szCs w:val="24"/>
        </w:rPr>
      </w:r>
      <w:r/>
    </w:p>
    <w:p>
      <w:pPr>
        <w:pStyle w:val="918"/>
        <w:ind w:firstLine="480"/>
        <w:spacing w:line="480" w:lineRule="exact"/>
        <w:rPr>
          <w:sz w:val="24"/>
          <w:szCs w:val="24"/>
        </w:rPr>
      </w:pPr>
      <w:r>
        <w:rPr>
          <w:rFonts w:hint="eastAsia"/>
          <w:sz w:val="24"/>
          <w:szCs w:val="24"/>
        </w:rPr>
        <w:t xml:space="preserve">委托期限：自本授权委托书签署之日起至投标有效期届满之日止。</w:t>
      </w:r>
      <w:r>
        <w:rPr>
          <w:sz w:val="24"/>
          <w:szCs w:val="24"/>
        </w:rPr>
      </w:r>
      <w:r/>
    </w:p>
    <w:p>
      <w:pPr>
        <w:pStyle w:val="918"/>
        <w:ind w:firstLine="480"/>
        <w:spacing w:line="480" w:lineRule="exact"/>
        <w:rPr>
          <w:sz w:val="24"/>
          <w:szCs w:val="24"/>
        </w:rPr>
      </w:pPr>
      <w:r>
        <w:rPr>
          <w:rFonts w:hint="eastAsia"/>
          <w:sz w:val="24"/>
          <w:szCs w:val="24"/>
        </w:rPr>
        <w:t xml:space="preserve">代理人无转委托权。</w:t>
      </w:r>
      <w:r>
        <w:rPr>
          <w:sz w:val="24"/>
          <w:szCs w:val="24"/>
        </w:rPr>
      </w:r>
      <w:r/>
    </w:p>
    <w:p>
      <w:pPr>
        <w:pStyle w:val="918"/>
        <w:ind w:firstLine="480"/>
        <w:spacing w:line="480" w:lineRule="exact"/>
        <w:rPr>
          <w:sz w:val="24"/>
          <w:szCs w:val="24"/>
        </w:rPr>
      </w:pPr>
      <w:r>
        <w:rPr>
          <w:rFonts w:hint="eastAsia"/>
          <w:sz w:val="24"/>
          <w:szCs w:val="24"/>
        </w:rPr>
        <w:t xml:space="preserve">投标人名称（加盖公章）：________________</w:t>
      </w:r>
      <w:r>
        <w:rPr>
          <w:sz w:val="24"/>
          <w:szCs w:val="24"/>
        </w:rPr>
      </w:r>
      <w:r/>
    </w:p>
    <w:p>
      <w:pPr>
        <w:pStyle w:val="918"/>
        <w:ind w:firstLine="480"/>
        <w:spacing w:line="480" w:lineRule="exact"/>
        <w:rPr>
          <w:sz w:val="24"/>
          <w:szCs w:val="24"/>
        </w:rPr>
      </w:pPr>
      <w:r>
        <w:rPr>
          <w:rFonts w:hint="eastAsia"/>
          <w:sz w:val="24"/>
          <w:szCs w:val="24"/>
        </w:rPr>
        <w:t xml:space="preserve">法定代表人（单位负责人）（签字或签章）：________________</w:t>
      </w:r>
      <w:r>
        <w:rPr>
          <w:sz w:val="24"/>
          <w:szCs w:val="24"/>
        </w:rPr>
      </w:r>
      <w:r/>
    </w:p>
    <w:p>
      <w:pPr>
        <w:pStyle w:val="918"/>
        <w:ind w:firstLine="480"/>
        <w:spacing w:line="480" w:lineRule="exact"/>
        <w:rPr>
          <w:sz w:val="24"/>
          <w:szCs w:val="24"/>
        </w:rPr>
      </w:pPr>
      <w:r>
        <w:rPr>
          <w:rFonts w:hint="eastAsia"/>
          <w:sz w:val="24"/>
          <w:szCs w:val="24"/>
        </w:rPr>
        <w:t xml:space="preserve">代理人（签字或签章）：________________ </w:t>
      </w:r>
      <w:r>
        <w:rPr>
          <w:sz w:val="24"/>
          <w:szCs w:val="24"/>
        </w:rPr>
      </w:r>
      <w:r/>
    </w:p>
    <w:p>
      <w:pPr>
        <w:pStyle w:val="918"/>
        <w:ind w:firstLine="480"/>
        <w:spacing w:line="480" w:lineRule="exact"/>
        <w:rPr>
          <w:sz w:val="24"/>
          <w:szCs w:val="24"/>
        </w:rPr>
      </w:pPr>
      <w:r>
        <w:rPr>
          <w:rFonts w:hint="eastAsia"/>
          <w:sz w:val="24"/>
          <w:szCs w:val="24"/>
        </w:rPr>
        <w:t xml:space="preserve">日期：_____年______月______日</w:t>
      </w:r>
      <w:r>
        <w:rPr>
          <w:sz w:val="24"/>
          <w:szCs w:val="24"/>
        </w:rPr>
      </w:r>
      <w:r/>
    </w:p>
    <w:p>
      <w:pPr>
        <w:pStyle w:val="918"/>
        <w:ind w:firstLine="480"/>
        <w:spacing w:line="480" w:lineRule="exact"/>
        <w:rPr>
          <w:sz w:val="24"/>
          <w:szCs w:val="24"/>
        </w:rPr>
      </w:pPr>
      <w:r>
        <w:rPr>
          <w:rFonts w:hint="eastAsia"/>
          <w:sz w:val="24"/>
          <w:szCs w:val="24"/>
        </w:rPr>
        <w:t xml:space="preserve">附：法定代表人（单位负责人）及代理人有效身份证明文件</w:t>
      </w:r>
      <w:r>
        <w:rPr>
          <w:sz w:val="24"/>
          <w:szCs w:val="24"/>
        </w:rPr>
      </w:r>
      <w:r/>
    </w:p>
    <w:p>
      <w:pPr>
        <w:pStyle w:val="785"/>
        <w:ind w:firstLine="0"/>
      </w:pPr>
      <w:r/>
      <w:r/>
    </w:p>
    <w:p>
      <w:pPr>
        <w:pStyle w:val="918"/>
        <w:ind w:firstLine="480"/>
        <w:spacing w:line="480" w:lineRule="exact"/>
        <w:rPr>
          <w:sz w:val="24"/>
          <w:szCs w:val="24"/>
        </w:rPr>
      </w:pPr>
      <w:r>
        <w:rPr>
          <w:sz w:val="24"/>
          <w:szCs w:val="24"/>
        </w:rPr>
      </w:r>
      <w:r/>
    </w:p>
    <w:p>
      <w:pPr>
        <w:pStyle w:val="918"/>
        <w:ind w:firstLine="480"/>
        <w:spacing w:line="480" w:lineRule="exact"/>
        <w:rPr>
          <w:sz w:val="24"/>
          <w:szCs w:val="24"/>
        </w:rPr>
      </w:pPr>
      <w:r>
        <w:rPr>
          <w:rFonts w:hint="eastAsia"/>
          <w:sz w:val="24"/>
          <w:szCs w:val="24"/>
        </w:rPr>
        <w:t xml:space="preserve">说明：</w:t>
      </w:r>
      <w:r>
        <w:rPr>
          <w:sz w:val="24"/>
          <w:szCs w:val="24"/>
        </w:rPr>
      </w:r>
      <w:r/>
    </w:p>
    <w:p>
      <w:pPr>
        <w:pStyle w:val="918"/>
        <w:ind w:firstLine="480"/>
        <w:spacing w:line="480" w:lineRule="exact"/>
        <w:rPr>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rPr>
          <w:sz w:val="24"/>
          <w:szCs w:val="24"/>
        </w:rPr>
      </w:r>
      <w:r/>
    </w:p>
    <w:p>
      <w:pPr>
        <w:pStyle w:val="918"/>
        <w:ind w:firstLine="480"/>
        <w:spacing w:line="480" w:lineRule="exact"/>
        <w:rPr>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rPr>
          <w:sz w:val="24"/>
          <w:szCs w:val="24"/>
        </w:rPr>
      </w:r>
      <w:r/>
    </w:p>
    <w:p>
      <w:pPr>
        <w:pStyle w:val="918"/>
        <w:ind w:firstLine="480"/>
        <w:spacing w:line="480" w:lineRule="exact"/>
        <w:rPr>
          <w:sz w:val="24"/>
          <w:szCs w:val="24"/>
        </w:rPr>
      </w:pPr>
      <w:r>
        <w:rPr>
          <w:rFonts w:hint="eastAsia"/>
          <w:sz w:val="24"/>
          <w:szCs w:val="24"/>
        </w:rPr>
        <w:t xml:space="preserve">3.投标人为自然人的，可不提供本《法定代表人授权委托书》。</w:t>
      </w:r>
      <w:r>
        <w:rPr>
          <w:sz w:val="24"/>
          <w:szCs w:val="24"/>
        </w:rPr>
      </w:r>
      <w:r/>
    </w:p>
    <w:p>
      <w:pPr>
        <w:pStyle w:val="918"/>
        <w:ind w:firstLine="480"/>
        <w:spacing w:line="480" w:lineRule="exact"/>
        <w:rPr>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rPr>
          <w:sz w:val="24"/>
          <w:szCs w:val="24"/>
        </w:rPr>
      </w:r>
      <w:r/>
    </w:p>
    <w:p>
      <w:pPr>
        <w:pStyle w:val="918"/>
        <w:ind w:firstLine="482"/>
        <w:spacing w:line="480" w:lineRule="exact"/>
        <w:rPr>
          <w:rFonts w:hint="eastAsia"/>
          <w:b/>
          <w:bCs/>
          <w:sz w:val="24"/>
          <w:szCs w:val="24"/>
        </w:rPr>
      </w:pPr>
      <w:r>
        <w:rPr>
          <w:rFonts w:hint="eastAsia"/>
          <w:b/>
          <w:bCs/>
          <w:sz w:val="24"/>
          <w:szCs w:val="24"/>
        </w:rPr>
        <w:t xml:space="preserve">5.未</w:t>
      </w:r>
      <w:r>
        <w:rPr>
          <w:rFonts w:hint="eastAsia"/>
          <w:b/>
          <w:bCs/>
          <w:sz w:val="24"/>
          <w:szCs w:val="24"/>
        </w:rPr>
        <w:t xml:space="preserve">按招标文件要求和格式提供《法定代表人授权委托书》的，将作为无效投标处理。</w:t>
      </w:r>
      <w:r>
        <w:rPr>
          <w:rFonts w:hint="eastAsia"/>
          <w:b/>
          <w:bCs/>
          <w:sz w:val="24"/>
          <w:szCs w:val="24"/>
        </w:rPr>
      </w:r>
      <w:r/>
    </w:p>
    <w:p>
      <w:pPr>
        <w:pStyle w:val="769"/>
        <w:ind w:firstLine="480"/>
        <w:keepNext/>
        <w:tabs>
          <w:tab w:val="left" w:pos="360" w:leader="none"/>
        </w:tabs>
        <w:rPr>
          <w:rFonts w:hint="eastAsia"/>
          <w:sz w:val="24"/>
          <w:szCs w:val="24"/>
          <w:u w:val="single"/>
        </w:rPr>
      </w:pPr>
      <w:r>
        <w:rPr>
          <w:rFonts w:hint="eastAsia"/>
          <w:sz w:val="24"/>
          <w:szCs w:val="24"/>
          <w:u w:val="single"/>
        </w:rPr>
      </w:r>
      <w:r/>
    </w:p>
    <w:p>
      <w:pPr>
        <w:pStyle w:val="769"/>
        <w:keepNext/>
        <w:rPr>
          <w:rFonts w:hint="eastAsia" w:ascii="黑体" w:hAnsi="黑体" w:eastAsia="黑体"/>
          <w:sz w:val="32"/>
          <w:szCs w:val="32"/>
        </w:rPr>
      </w:pPr>
      <w:r>
        <w:rPr>
          <w:rFonts w:hint="eastAsia" w:ascii="黑体" w:hAnsi="黑体" w:eastAsia="黑体"/>
          <w:sz w:val="32"/>
          <w:szCs w:val="32"/>
        </w:rPr>
        <w:t xml:space="preserve">四、投标函</w:t>
      </w:r>
      <w:r/>
    </w:p>
    <w:p>
      <w:pPr>
        <w:pStyle w:val="769"/>
        <w:jc w:val="center"/>
        <w:keepNex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769"/>
        <w:jc w:val="left"/>
        <w:keepNext/>
        <w:spacing w:line="360" w:lineRule="auto"/>
        <w:rPr>
          <w:rFonts w:hint="eastAsia" w:ascii="宋体" w:hAnsi="宋体"/>
          <w:sz w:val="24"/>
          <w:szCs w:val="21"/>
        </w:rPr>
      </w:pPr>
      <w:r>
        <w:rPr>
          <w:rFonts w:hint="eastAsia" w:ascii="宋体" w:hAnsi="宋体"/>
          <w:sz w:val="24"/>
          <w:szCs w:val="21"/>
        </w:rPr>
        <w:t xml:space="preserve">致：   公司</w:t>
      </w:r>
      <w:r/>
    </w:p>
    <w:p>
      <w:pPr>
        <w:pStyle w:val="912"/>
        <w:keepNext/>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（项目编号） 的</w:t>
      </w:r>
      <w:r>
        <w:rPr>
          <w:rFonts w:hint="eastAsia" w:ascii="宋体" w:hAnsi="宋体"/>
          <w:color w:val="000000"/>
          <w:u w:val="single"/>
        </w:rPr>
        <w:t xml:space="preserve">                 </w:t>
      </w:r>
      <w:r>
        <w:rPr>
          <w:rFonts w:hint="eastAsia" w:ascii="宋体" w:hAnsi="宋体"/>
          <w:szCs w:val="21"/>
        </w:rPr>
        <w:t xml:space="preserve">项目（项目名称）</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12"/>
        <w:keepNext/>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12"/>
        <w:keepNext/>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12"/>
        <w:keepNext/>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12"/>
        <w:keepNext/>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12"/>
        <w:keepNext/>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12"/>
        <w:keepNext/>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769"/>
        <w:ind w:firstLine="480"/>
        <w:jc w:val="left"/>
        <w:keepNex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ascii="宋体" w:hAnsi="宋体"/>
          <w:sz w:val="24"/>
          <w:szCs w:val="24"/>
        </w:rPr>
      </w:r>
      <w:r/>
    </w:p>
    <w:p>
      <w:pPr>
        <w:pStyle w:val="912"/>
        <w:keepNext/>
        <w:spacing w:before="0" w:after="0" w:line="420" w:lineRule="exact"/>
        <w:rPr>
          <w:rFonts w:hint="eastAsia" w:ascii="宋体" w:hAnsi="宋体"/>
          <w:szCs w:val="21"/>
        </w:rPr>
      </w:pPr>
      <w:r>
        <w:rPr>
          <w:rFonts w:hint="eastAsia" w:ascii="宋体" w:hAnsi="宋体"/>
          <w:szCs w:val="21"/>
        </w:rPr>
        <w:t xml:space="preserve">8.我方为：</w:t>
      </w:r>
      <w:r>
        <w:rPr>
          <w:rFonts w:ascii="Wingdings" w:hAnsi="Wingdings" w:eastAsia="Wingdings" w:cs="Wingdings"/>
        </w:rPr>
        <w:t xml:space="preserve">¨</w:t>
      </w:r>
      <w:r>
        <w:rPr>
          <w:rFonts w:hint="eastAsia" w:ascii="宋体" w:hAnsi="宋体"/>
          <w:szCs w:val="21"/>
        </w:rPr>
        <w:t xml:space="preserve">民营企业 </w:t>
      </w:r>
      <w:r>
        <w:rPr>
          <w:rFonts w:ascii="Wingdings" w:hAnsi="Wingdings" w:eastAsia="Wingdings" w:cs="Wingdings"/>
        </w:rPr>
        <w:t xml:space="preserve">¨</w:t>
      </w:r>
      <w:r>
        <w:rPr>
          <w:rFonts w:hint="eastAsia" w:ascii="宋体" w:hAnsi="宋体"/>
          <w:szCs w:val="21"/>
        </w:rPr>
        <w:t xml:space="preserve">非民营企业 </w:t>
      </w:r>
      <w:r>
        <w:rPr>
          <w:rFonts w:ascii="Wingdings" w:hAnsi="Wingdings" w:eastAsia="Wingdings" w:cs="Wingdings"/>
        </w:rPr>
        <w:t xml:space="preserve">¨</w:t>
      </w:r>
      <w:r>
        <w:rPr>
          <w:rFonts w:hint="eastAsia" w:ascii="宋体" w:hAnsi="宋体"/>
          <w:szCs w:val="21"/>
        </w:rPr>
        <w:t xml:space="preserve">事业单位或其他组织（在对应</w:t>
      </w:r>
      <w:r>
        <w:rPr>
          <w:rFonts w:ascii="Wingdings" w:hAnsi="Wingdings" w:eastAsia="Wingdings" w:cs="Wingdings"/>
        </w:rPr>
        <w:t xml:space="preserve">¨</w:t>
      </w:r>
      <w:r>
        <w:rPr>
          <w:rFonts w:hint="eastAsia" w:ascii="宋体" w:hAnsi="宋体"/>
          <w:szCs w:val="21"/>
        </w:rPr>
        <w:t xml:space="preserve">内打“√”）</w:t>
      </w:r>
      <w:r/>
    </w:p>
    <w:p>
      <w:pPr>
        <w:pStyle w:val="912"/>
        <w:keepNext/>
        <w:spacing w:before="0" w:after="0" w:line="420" w:lineRule="exact"/>
        <w:rPr>
          <w:rFonts w:hint="eastAsia" w:ascii="宋体" w:hAnsi="宋体"/>
          <w:szCs w:val="21"/>
        </w:rPr>
      </w:pPr>
      <w:r>
        <w:rPr>
          <w:rFonts w:hint="eastAsia" w:ascii="宋体" w:hAnsi="宋体"/>
          <w:szCs w:val="21"/>
        </w:rPr>
        <w:t xml:space="preserve">9</w:t>
      </w:r>
      <w:r>
        <w:rPr>
          <w:rFonts w:hint="eastAsia" w:ascii="宋体" w:hAnsi="宋体"/>
          <w:szCs w:val="21"/>
        </w:rPr>
        <w:t xml:space="preserve">.我方与本次投标有关信息</w:t>
      </w:r>
      <w:r/>
    </w:p>
    <w:p>
      <w:pPr>
        <w:pStyle w:val="912"/>
        <w:keepNext/>
        <w:spacing w:before="0" w:after="0" w:line="420" w:lineRule="exact"/>
        <w:rPr>
          <w:rFonts w:hint="eastAsia" w:ascii="宋体" w:hAnsi="宋体"/>
          <w:szCs w:val="21"/>
        </w:rPr>
      </w:pPr>
      <w:r>
        <w:rPr>
          <w:rFonts w:hint="eastAsia" w:ascii="宋体" w:hAnsi="宋体"/>
          <w:szCs w:val="21"/>
        </w:rPr>
        <w:t xml:space="preserve">地 </w:t>
      </w:r>
      <w:r>
        <w:rPr>
          <w:rFonts w:hint="eastAsia" w:ascii="宋体" w:hAnsi="宋体"/>
          <w:szCs w:val="21"/>
        </w:rPr>
        <w:t xml:space="preserve"> 址：</w:t>
      </w:r>
      <w:r/>
    </w:p>
    <w:p>
      <w:pPr>
        <w:pStyle w:val="912"/>
        <w:keepNext/>
        <w:spacing w:before="0" w:after="0" w:line="420" w:lineRule="exact"/>
        <w:rPr>
          <w:rFonts w:hint="eastAsia" w:ascii="宋体" w:hAnsi="宋体"/>
          <w:szCs w:val="21"/>
        </w:rPr>
      </w:pPr>
      <w:r>
        <w:rPr>
          <w:rFonts w:hint="eastAsia" w:ascii="宋体" w:hAnsi="宋体"/>
          <w:szCs w:val="21"/>
        </w:rPr>
        <w:t xml:space="preserve">邮  编：</w:t>
      </w:r>
      <w:r/>
    </w:p>
    <w:p>
      <w:pPr>
        <w:pStyle w:val="912"/>
        <w:keepNext/>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12"/>
        <w:keepNext/>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12"/>
        <w:keepNext/>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12"/>
        <w:keepNext/>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69"/>
        <w:ind w:right="180" w:firstLine="480"/>
        <w:keepNex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12"/>
        <w:keepNext/>
        <w:spacing w:before="0" w:after="0" w:line="420" w:lineRule="exact"/>
        <w:rPr>
          <w:rFonts w:hint="eastAsia" w:ascii="宋体" w:hAnsi="宋体"/>
          <w:szCs w:val="21"/>
        </w:rPr>
      </w:pPr>
      <w:r>
        <w:rPr>
          <w:rFonts w:hint="eastAsia" w:ascii="宋体" w:hAnsi="宋体"/>
          <w:szCs w:val="21"/>
        </w:rPr>
        <w:t xml:space="preserve">日  期：</w:t>
      </w:r>
      <w:r/>
    </w:p>
    <w:p>
      <w:pPr>
        <w:pStyle w:val="769"/>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858"/>
        <w:ind w:firstLine="640"/>
        <w:keepNext/>
        <w:rPr>
          <w:rFonts w:hint="eastAsia" w:ascii="黑体" w:hAnsi="黑体" w:eastAsia="黑体"/>
          <w:sz w:val="32"/>
          <w:szCs w:val="32"/>
        </w:rPr>
      </w:pPr>
      <w:r>
        <w:rPr>
          <w:rFonts w:hint="eastAsia" w:ascii="黑体" w:hAnsi="黑体" w:eastAsia="黑体"/>
          <w:sz w:val="32"/>
          <w:szCs w:val="32"/>
        </w:rPr>
      </w:r>
      <w:r/>
    </w:p>
    <w:p>
      <w:pPr>
        <w:pStyle w:val="769"/>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769"/>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769"/>
        <w:jc w:val="left"/>
        <w:keepNex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769"/>
        <w:jc w:val="center"/>
        <w:keepNext/>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pStyle w:val="769"/>
        <w:keepNext/>
        <w:rPr>
          <w:rFonts w:hint="eastAsia" w:ascii="宋体" w:hAnsi="宋体"/>
          <w:sz w:val="24"/>
          <w:szCs w:val="24"/>
        </w:rPr>
      </w:pPr>
      <w:r>
        <w:rPr>
          <w:rFonts w:hint="eastAsia" w:ascii="宋体" w:hAnsi="宋体"/>
          <w:sz w:val="24"/>
          <w:szCs w:val="24"/>
        </w:rPr>
        <w:t xml:space="preserve">投标人名称：（加盖电子公章） </w:t>
      </w:r>
      <w:r/>
    </w:p>
    <w:p>
      <w:pPr>
        <w:pStyle w:val="769"/>
        <w:keepNext/>
        <w:widowControl/>
        <w:rPr>
          <w:rFonts w:hint="eastAsia" w:ascii="宋体" w:hAnsi="宋体"/>
          <w:sz w:val="24"/>
          <w:szCs w:val="24"/>
        </w:rPr>
      </w:pPr>
      <w:r>
        <w:rPr>
          <w:rFonts w:hint="eastAsia" w:ascii="宋体" w:hAnsi="宋体"/>
          <w:sz w:val="24"/>
          <w:szCs w:val="24"/>
        </w:rPr>
        <w:t xml:space="preserve">项目名称：</w:t>
      </w:r>
      <w:r/>
    </w:p>
    <w:p>
      <w:pPr>
        <w:pStyle w:val="769"/>
        <w:keepNext/>
        <w:widowControl/>
        <w:rPr>
          <w:rFonts w:hint="eastAsia" w:ascii="宋体" w:hAnsi="宋体"/>
          <w:sz w:val="24"/>
          <w:szCs w:val="24"/>
        </w:rPr>
      </w:pPr>
      <w:r>
        <w:rPr>
          <w:rFonts w:hint="eastAsia" w:ascii="宋体" w:hAnsi="宋体"/>
          <w:sz w:val="24"/>
          <w:szCs w:val="24"/>
        </w:rPr>
        <w:t xml:space="preserve">项目编号：                                   分包号：</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769"/>
              <w:jc w:val="center"/>
              <w:keepNext/>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12"/>
              <w:ind w:firstLine="0"/>
              <w:keepNext/>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769"/>
        <w:keepNext/>
        <w:spacing w:line="480" w:lineRule="auto"/>
        <w:rPr>
          <w:rFonts w:ascii="宋体" w:hAnsi="宋体"/>
          <w:sz w:val="24"/>
          <w:szCs w:val="24"/>
        </w:rPr>
      </w:pPr>
      <w:r>
        <w:rPr>
          <w:rFonts w:ascii="宋体" w:hAnsi="宋体"/>
          <w:sz w:val="24"/>
          <w:szCs w:val="24"/>
        </w:rPr>
      </w:r>
      <w:r/>
    </w:p>
    <w:p>
      <w:pPr>
        <w:pStyle w:val="769"/>
        <w:ind w:firstLine="480"/>
        <w:keepNext/>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769"/>
        <w:ind w:firstLine="480"/>
        <w:keepNext/>
        <w:rPr>
          <w:rFonts w:hint="eastAsia" w:ascii="黑体" w:hAnsi="黑体" w:eastAsia="黑体"/>
          <w:b/>
          <w:i/>
          <w:sz w:val="32"/>
          <w:szCs w:val="32"/>
          <w:u w:val="single"/>
        </w:rPr>
      </w:pPr>
      <w:r>
        <w:rPr>
          <w:rFonts w:hint="eastAsia" w:ascii="黑体" w:hAnsi="黑体" w:eastAsia="黑体"/>
          <w:b/>
          <w:i/>
          <w:sz w:val="32"/>
          <w:szCs w:val="32"/>
          <w:u w:val="single"/>
        </w:rPr>
      </w:r>
      <w:r/>
    </w:p>
    <w:p>
      <w:pPr>
        <w:pStyle w:val="782"/>
        <w:keepNext/>
        <w:rPr>
          <w:rFonts w:hint="eastAsia" w:ascii="黑体" w:hAnsi="黑体" w:eastAsia="黑体"/>
          <w:b/>
          <w:i/>
          <w:sz w:val="32"/>
          <w:szCs w:val="32"/>
          <w:u w:val="single"/>
        </w:rPr>
      </w:pPr>
      <w:r>
        <w:rPr>
          <w:rFonts w:hint="eastAsia" w:ascii="黑体" w:hAnsi="黑体" w:eastAsia="黑体"/>
          <w:b/>
          <w:i/>
          <w:sz w:val="32"/>
          <w:szCs w:val="32"/>
          <w:u w:val="single"/>
        </w:rPr>
      </w:r>
      <w:r/>
    </w:p>
    <w:p>
      <w:pPr>
        <w:pStyle w:val="769"/>
        <w:keepNext/>
        <w:rPr>
          <w:rFonts w:hint="eastAsia"/>
        </w:rPr>
      </w:pPr>
      <w:r>
        <w:rPr>
          <w:rFonts w:hint="eastAsia"/>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9"/>
        <w:jc w:val="left"/>
        <w:keepNex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p>
    <w:p>
      <w:pPr>
        <w:pStyle w:val="769"/>
        <w:jc w:val="center"/>
        <w:keepNex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p>
    <w:p>
      <w:pPr>
        <w:pStyle w:val="769"/>
        <w:keepNext/>
        <w:rPr>
          <w:rFonts w:hint="eastAsia"/>
        </w:rPr>
      </w:pPr>
      <w:r>
        <w:rPr>
          <w:rFonts w:hint="eastAsia"/>
        </w:rPr>
      </w:r>
      <w:r/>
    </w:p>
    <w:tbl>
      <w:tblPr>
        <w:tblW w:w="96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170"/>
      </w:tblGrid>
      <w:tr>
        <w:trPr>
          <w:cantSplit/>
          <w:trHeight w:val="544"/>
        </w:trPr>
        <w:tc>
          <w:tcPr>
            <w:tcW w:w="581" w:type="dxa"/>
            <w:vAlign w:val="center"/>
            <w:vMerge w:val="restart"/>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6</w:t>
            </w:r>
            <w:r/>
          </w:p>
        </w:tc>
        <w:tc>
          <w:tcPr>
            <w:tcW w:w="80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7</w:t>
            </w:r>
            <w:r/>
          </w:p>
        </w:tc>
        <w:tc>
          <w:tcPr>
            <w:tcW w:w="1170" w:type="dxa"/>
            <w:vAlign w:val="center"/>
            <w:textDirection w:val="lrTb"/>
            <w:noWrap w:val="false"/>
          </w:tcPr>
          <w:p>
            <w:pPr>
              <w:pStyle w:val="769"/>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0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t xml:space="preserve">(元)</w:t>
            </w:r>
            <w:r>
              <w:rPr>
                <w:rFonts w:hint="eastAsia" w:ascii="宋体" w:hAnsi="宋体"/>
                <w:sz w:val="24"/>
                <w:szCs w:val="24"/>
              </w:rPr>
            </w:r>
            <w:r/>
          </w:p>
        </w:tc>
        <w:tc>
          <w:tcPr>
            <w:tcW w:w="11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t xml:space="preserve">（元）</w:t>
            </w:r>
            <w:r>
              <w:rPr>
                <w:rFonts w:hint="eastAsia" w:ascii="宋体" w:hAnsi="宋体"/>
                <w:sz w:val="24"/>
                <w:szCs w:val="24"/>
              </w:rPr>
            </w:r>
            <w:r/>
          </w:p>
        </w:tc>
      </w:tr>
      <w:tr>
        <w:trPr>
          <w:cantSplit/>
          <w:trHeight w:val="654"/>
        </w:trPr>
        <w:tc>
          <w:tcPr>
            <w:tcW w:w="581"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7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6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090" w:type="dxa"/>
            <w:vAlign w:val="center"/>
            <w:textDirection w:val="lrTb"/>
            <w:noWrap w:val="false"/>
          </w:tcPr>
          <w:p>
            <w:pPr>
              <w:pStyle w:val="769"/>
              <w:spacing w:line="0" w:lineRule="atLeast"/>
              <w:rPr>
                <w:rFonts w:hint="eastAsia" w:ascii="宋体" w:hAnsi="宋体"/>
                <w:sz w:val="24"/>
                <w:szCs w:val="24"/>
              </w:rPr>
            </w:pPr>
            <w:r>
              <w:rPr>
                <w:rFonts w:hint="eastAsia" w:ascii="宋体" w:hAnsi="宋体"/>
                <w:sz w:val="24"/>
                <w:szCs w:val="24"/>
              </w:rPr>
              <w:t xml:space="preserve">投标总价（元）：</w:t>
            </w:r>
            <w:r/>
          </w:p>
        </w:tc>
      </w:tr>
      <w:tr>
        <w:trPr>
          <w:cantSplit/>
          <w:trHeight w:val="654"/>
        </w:trPr>
        <w:tc>
          <w:tcPr>
            <w:gridSpan w:val="9"/>
            <w:tcW w:w="9671" w:type="dxa"/>
            <w:vAlign w:val="center"/>
            <w:textDirection w:val="lrTb"/>
            <w:noWrap w:val="false"/>
          </w:tcPr>
          <w:p>
            <w:pPr>
              <w:pStyle w:val="769"/>
              <w:spacing w:line="0" w:lineRule="atLeast"/>
              <w:rPr>
                <w:rFonts w:ascii="宋体" w:hAnsi="宋体"/>
                <w:b/>
                <w:bCs/>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rPr>
                <w:rFonts w:ascii="宋体" w:hAnsi="宋体"/>
                <w:b/>
                <w:bCs/>
                <w:sz w:val="24"/>
                <w:szCs w:val="24"/>
              </w:rPr>
            </w:r>
            <w:r/>
          </w:p>
          <w:p>
            <w:pPr>
              <w:pStyle w:val="769"/>
              <w:spacing w:line="0" w:lineRule="atLeast"/>
              <w:rPr>
                <w:rFonts w:hint="eastAsia" w:ascii="宋体" w:hAnsi="宋体"/>
                <w:sz w:val="24"/>
                <w:szCs w:val="24"/>
              </w:rPr>
            </w:pPr>
            <w:r>
              <w:rPr>
                <w:rFonts w:hint="eastAsia" w:ascii="宋体" w:hAnsi="宋体"/>
                <w:sz w:val="24"/>
                <w:szCs w:val="24"/>
              </w:rPr>
            </w:r>
            <w:r/>
          </w:p>
        </w:tc>
      </w:tr>
    </w:tbl>
    <w:p>
      <w:pPr>
        <w:pStyle w:val="769"/>
        <w:ind w:right="180" w:firstLine="480"/>
        <w:keepNext/>
        <w:spacing w:line="360" w:lineRule="auto"/>
        <w:rPr>
          <w:rFonts w:hint="eastAsia" w:ascii="宋体" w:hAnsi="宋体"/>
          <w:sz w:val="24"/>
          <w:szCs w:val="24"/>
        </w:rPr>
      </w:pPr>
      <w:r>
        <w:rPr>
          <w:rFonts w:hint="eastAsia" w:ascii="宋体" w:hAnsi="宋体"/>
          <w:sz w:val="24"/>
          <w:szCs w:val="24"/>
        </w:rPr>
      </w:r>
      <w:r/>
    </w:p>
    <w:p>
      <w:pPr>
        <w:pStyle w:val="769"/>
        <w:ind w:right="180" w:firstLine="480"/>
        <w:keepNext/>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69"/>
        <w:keepNext/>
        <w:spacing w:line="360" w:lineRule="auto"/>
        <w:rPr>
          <w:rFonts w:ascii="宋体" w:hAnsi="宋体"/>
          <w:sz w:val="24"/>
        </w:rPr>
      </w:pPr>
      <w:r>
        <w:rPr>
          <w:rFonts w:ascii="宋体" w:hAnsi="宋体"/>
          <w:sz w:val="24"/>
        </w:rPr>
      </w:r>
      <w:r/>
    </w:p>
    <w:p>
      <w:pPr>
        <w:pStyle w:val="839"/>
        <w:ind w:firstLine="480"/>
        <w:jc w:val="both"/>
        <w:keepNext/>
        <w:spacing w:before="0" w:beforeAutospacing="0" w:after="0" w:afterAutospacing="0" w:line="360" w:lineRule="auto"/>
      </w:pPr>
      <w:r>
        <w:t xml:space="preserve">备注： </w:t>
      </w:r>
      <w:r/>
    </w:p>
    <w:p>
      <w:pPr>
        <w:pStyle w:val="839"/>
        <w:ind w:firstLine="480"/>
        <w:jc w:val="both"/>
        <w:keepNext/>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839"/>
        <w:ind w:firstLine="480"/>
        <w:jc w:val="both"/>
        <w:keepNext/>
        <w:spacing w:before="0" w:beforeAutospacing="0" w:after="0" w:afterAutospacing="0" w:line="360" w:lineRule="auto"/>
        <w:rPr>
          <w:rFonts w:hint="eastAsia"/>
        </w:rPr>
      </w:pPr>
      <w:r>
        <w:rPr>
          <w:rFonts w:hint="eastAsia"/>
        </w:rPr>
        <w:t xml:space="preserve">2.《投标分项报价表》中“投</w:t>
      </w:r>
      <w:r>
        <w:rPr>
          <w:rFonts w:hint="eastAsia"/>
        </w:rPr>
        <w:t xml:space="preserve">标总价”应当与《开标一览表》中“投标总报价”一致。</w:t>
      </w:r>
      <w:r/>
    </w:p>
    <w:p>
      <w:pPr>
        <w:pStyle w:val="839"/>
        <w:ind w:firstLine="480"/>
        <w:jc w:val="both"/>
        <w:keepNext/>
        <w:spacing w:before="0" w:beforeAutospacing="0" w:after="0" w:afterAutospacing="0" w:line="360" w:lineRule="auto"/>
      </w:pPr>
      <w:r>
        <w:rPr>
          <w:rFonts w:hint="eastAsia"/>
        </w:rPr>
        <w:t xml:space="preserve">3.《投标分项报价表》中的分项名称须与“第四章-项目清单”中的</w:t>
      </w:r>
      <w:r>
        <w:rPr>
          <w:rFonts w:hint="eastAsia"/>
        </w:rPr>
        <w:t xml:space="preserve">分项</w:t>
      </w:r>
      <w:r>
        <w:rPr>
          <w:rFonts w:hint="eastAsia"/>
        </w:rPr>
        <w:t xml:space="preserve">名称一一对应，如有缺项、漏项，视为无效投标。“项目清单”中分项仅为一项的，此表无需提供。</w:t>
      </w:r>
      <w:r/>
    </w:p>
    <w:p>
      <w:pPr>
        <w:pStyle w:val="839"/>
        <w:ind w:firstLine="480"/>
        <w:jc w:val="both"/>
        <w:keepNext/>
        <w:spacing w:before="0" w:beforeAutospacing="0" w:after="0" w:afterAutospacing="0" w:line="360" w:lineRule="auto"/>
      </w:pPr>
      <w:r>
        <w:rPr>
          <w:rFonts w:hint="eastAsia"/>
        </w:rPr>
        <w:t xml:space="preserve">4.</w:t>
      </w:r>
      <w:r>
        <w:rPr>
          <w:rFonts w:hint="eastAsia"/>
        </w:rPr>
        <w:t xml:space="preserve"> 当采购项目或者采购包中含有多种产品，投标人未对提供的符合本国产品标准的产品成本之和占全部产品成本之和的比例达到80%以上作出承诺的，将不享受本国产品价格评审优惠。</w:t>
      </w:r>
      <w:r/>
    </w:p>
    <w:p>
      <w:pPr>
        <w:pStyle w:val="839"/>
        <w:ind w:firstLine="480"/>
        <w:jc w:val="both"/>
        <w:keepNext/>
        <w:spacing w:before="0" w:beforeAutospacing="0" w:after="0" w:afterAutospacing="0" w:line="360" w:lineRule="auto"/>
        <w:rPr>
          <w:rFonts w:hint="eastAsia"/>
        </w:rPr>
      </w:pPr>
      <w:r>
        <w:rPr>
          <w:rFonts w:hint="eastAsia"/>
        </w:rPr>
      </w:r>
      <w:r/>
    </w:p>
    <w:p>
      <w:pPr>
        <w:pStyle w:val="769"/>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769"/>
        <w:keepNext/>
        <w:spacing w:line="360" w:lineRule="auto"/>
        <w:rPr>
          <w:rFonts w:ascii="宋体" w:hAnsi="宋体"/>
          <w:sz w:val="24"/>
        </w:rPr>
      </w:pPr>
      <w:r>
        <w:rPr>
          <w:rFonts w:ascii="宋体" w:hAnsi="宋体"/>
          <w:sz w:val="24"/>
        </w:rPr>
      </w:r>
      <w:r/>
    </w:p>
    <w:p>
      <w:pPr>
        <w:pStyle w:val="839"/>
        <w:jc w:val="both"/>
        <w:keepNext/>
        <w:spacing w:before="0" w:beforeAutospacing="0" w:after="0" w:afterAutospacing="0" w:line="360" w:lineRule="auto"/>
        <w:rPr>
          <w:rFonts w:hint="eastAsia"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20"/>
      <w:r/>
      <w:bookmarkEnd w:id="121"/>
      <w:r/>
      <w:bookmarkEnd w:id="148"/>
      <w:r>
        <w:rPr>
          <w:rFonts w:hint="eastAsia" w:ascii="黑体" w:hAnsi="黑体" w:eastAsia="黑体" w:cs="Times New Roman"/>
          <w:sz w:val="32"/>
          <w:szCs w:val="32"/>
        </w:rPr>
        <w:t xml:space="preserve">七、</w:t>
      </w:r>
      <w:r>
        <w:rPr>
          <w:rFonts w:hint="eastAsia" w:ascii="黑体" w:hAnsi="黑体" w:eastAsia="黑体" w:cs="Times New Roman"/>
          <w:iCs/>
          <w:sz w:val="32"/>
          <w:szCs w:val="32"/>
        </w:rPr>
        <w:t xml:space="preserve">技术要求响应及偏离表</w:t>
      </w:r>
      <w:r/>
    </w:p>
    <w:p>
      <w:pPr>
        <w:pStyle w:val="769"/>
        <w:jc w:val="center"/>
        <w:keepNext/>
        <w:spacing w:line="360" w:lineRule="auto"/>
        <w:rPr>
          <w:rFonts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技术要求响应及偏离表</w:t>
      </w:r>
      <w:r>
        <w:rPr>
          <w:rFonts w:ascii="方正小标宋简体" w:hAnsi="方正小标宋简体" w:eastAsia="方正小标宋简体" w:cs="方正小标宋简体"/>
          <w:sz w:val="32"/>
          <w:szCs w:val="32"/>
        </w:rPr>
      </w:r>
      <w:r/>
    </w:p>
    <w:p>
      <w:pPr>
        <w:pStyle w:val="782"/>
        <w:ind w:left="0"/>
        <w:rPr>
          <w:rFonts w:hint="eastAsia" w:ascii="宋体" w:hAnsi="宋体" w:eastAsia="宋体" w:cs="Times New Roman"/>
          <w:sz w:val="24"/>
          <w:szCs w:val="24"/>
          <w:lang w:val="en-US"/>
        </w:rPr>
      </w:pPr>
      <w:r>
        <w:rPr>
          <w:rFonts w:hint="eastAsia" w:ascii="宋体" w:hAnsi="宋体" w:eastAsia="宋体" w:cs="Times New Roman"/>
          <w:sz w:val="24"/>
          <w:szCs w:val="24"/>
          <w:lang w:val="en-US"/>
        </w:rPr>
        <w:t xml:space="preserve">项目名称：</w:t>
      </w:r>
      <w:r>
        <w:rPr>
          <w:rFonts w:hint="eastAsia" w:ascii="宋体" w:hAnsi="宋体" w:eastAsia="宋体" w:cs="Times New Roman"/>
          <w:sz w:val="24"/>
          <w:szCs w:val="24"/>
          <w:lang w:val="en-US"/>
        </w:rPr>
        <w:t xml:space="preserve">                             </w:t>
      </w:r>
      <w:r>
        <w:rPr>
          <w:rFonts w:hint="eastAsia" w:ascii="宋体" w:hAnsi="宋体" w:eastAsia="宋体" w:cs="Times New Roman"/>
          <w:sz w:val="24"/>
          <w:szCs w:val="24"/>
          <w:lang w:val="en-US"/>
        </w:rPr>
        <w:t xml:space="preserve">项目编号：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769"/>
              <w:jc w:val="center"/>
              <w:keepNext/>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769"/>
              <w:jc w:val="center"/>
              <w:keepNext/>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69"/>
              <w:jc w:val="center"/>
              <w:keepNext/>
              <w:rPr>
                <w:rFonts w:hint="eastAsia" w:ascii="宋体" w:hAnsi="宋体"/>
                <w:sz w:val="24"/>
                <w:szCs w:val="24"/>
              </w:rPr>
            </w:pPr>
            <w:r>
              <w:rPr>
                <w:rFonts w:hint="eastAsia" w:ascii="宋体" w:hAnsi="宋体"/>
                <w:sz w:val="24"/>
                <w:szCs w:val="24"/>
              </w:rPr>
              <w:t xml:space="preserve">响应情况</w:t>
            </w:r>
            <w:r/>
          </w:p>
        </w:tc>
        <w:tc>
          <w:tcPr>
            <w:tcW w:w="3375" w:type="dxa"/>
            <w:vAlign w:val="center"/>
            <w:textDirection w:val="lrTb"/>
            <w:noWrap w:val="false"/>
          </w:tcPr>
          <w:p>
            <w:pPr>
              <w:pStyle w:val="769"/>
              <w:jc w:val="center"/>
              <w:keepNex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bl>
    <w:p>
      <w:pPr>
        <w:pStyle w:val="839"/>
        <w:jc w:val="both"/>
        <w:keepNext/>
        <w:spacing w:before="0" w:beforeAutospacing="0" w:after="0" w:afterAutospacing="0"/>
      </w:pPr>
      <w:r/>
      <w:r/>
    </w:p>
    <w:p>
      <w:pPr>
        <w:pStyle w:val="769"/>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769"/>
        <w:keepNext/>
        <w:rPr>
          <w:rFonts w:hint="eastAsia" w:ascii="宋体" w:hAnsi="宋体"/>
          <w:sz w:val="24"/>
          <w:szCs w:val="24"/>
        </w:rPr>
      </w:pPr>
      <w:r>
        <w:rPr>
          <w:rFonts w:hint="eastAsia" w:ascii="宋体" w:hAnsi="宋体"/>
          <w:sz w:val="24"/>
          <w:szCs w:val="24"/>
        </w:rPr>
      </w:r>
      <w:r/>
    </w:p>
    <w:p>
      <w:pPr>
        <w:pStyle w:val="839"/>
        <w:ind w:firstLine="480"/>
        <w:jc w:val="both"/>
        <w:spacing w:before="0" w:beforeAutospacing="0" w:after="0" w:afterAutospacing="0" w:line="360" w:lineRule="auto"/>
      </w:pPr>
      <w:r>
        <w:t xml:space="preserve">备注： </w:t>
      </w:r>
      <w:r/>
    </w:p>
    <w:p>
      <w:pPr>
        <w:pStyle w:val="839"/>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839"/>
        <w:ind w:firstLine="480"/>
        <w:jc w:val="both"/>
        <w:spacing w:before="0" w:beforeAutospacing="0" w:after="0" w:afterAutospacing="0" w:line="360" w:lineRule="auto"/>
        <w:rPr>
          <w:rFonts w:hint="eastAsia"/>
        </w:rPr>
      </w:pPr>
      <w:r>
        <w:rPr>
          <w:rFonts w:hint="eastAsia"/>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w:t>
      </w:r>
      <w:r>
        <w:rPr>
          <w:rFonts w:hint="eastAsia"/>
        </w:rPr>
        <w:t xml:space="preserve">件要求和投标文件响应内容提供相应证明材料或者提供的证明材料不符合招标文件要求的，视为提供虚假材料谋取中标，采购人将取消其中标资格。</w:t>
      </w:r>
      <w:r/>
    </w:p>
    <w:p>
      <w:pPr>
        <w:pStyle w:val="839"/>
        <w:ind w:firstLine="480"/>
        <w:jc w:val="both"/>
        <w:spacing w:before="0" w:beforeAutospacing="0" w:after="0" w:afterAutospacing="0" w:line="360" w:lineRule="auto"/>
        <w:rPr>
          <w:rFonts w:hint="eastAsia"/>
        </w:rPr>
      </w:pPr>
      <w:r>
        <w:rPr>
          <w:rFonts w:hint="eastAsia"/>
        </w:rPr>
        <w:t xml:space="preserve">3.行数不够，可自行添加。</w:t>
      </w:r>
      <w:r/>
    </w:p>
    <w:p>
      <w:pPr>
        <w:pStyle w:val="769"/>
        <w:keepNext/>
        <w:rPr>
          <w:rFonts w:hint="eastAsia" w:ascii="黑体" w:hAnsi="黑体" w:eastAsia="黑体"/>
          <w:iCs/>
          <w:sz w:val="32"/>
          <w:szCs w:val="32"/>
        </w:rPr>
      </w:pPr>
      <w:r>
        <w:rPr>
          <w:rFonts w:hint="eastAsia" w:ascii="黑体" w:hAnsi="黑体" w:eastAsia="黑体"/>
          <w:iCs/>
          <w:sz w:val="32"/>
          <w:szCs w:val="32"/>
        </w:rPr>
        <w:t xml:space="preserve">八、商务要求响应及偏离表</w:t>
      </w:r>
      <w:r/>
    </w:p>
    <w:p>
      <w:pPr>
        <w:pStyle w:val="769"/>
        <w:jc w:val="center"/>
        <w:keepNext/>
        <w:rPr>
          <w:rFonts w:ascii="方正小标宋简体" w:hAnsi="方正小标宋简体" w:eastAsia="方正小标宋简体" w:cs="方正小标宋简体"/>
          <w:sz w:val="32"/>
          <w:szCs w:val="32"/>
        </w:rPr>
      </w:pPr>
      <w:r/>
      <w:bookmarkStart w:id="149" w:name="OLE_LINK72"/>
      <w:r>
        <w:rPr>
          <w:rFonts w:hint="eastAsia" w:ascii="方正小标宋简体" w:hAnsi="方正小标宋简体" w:eastAsia="方正小标宋简体" w:cs="方正小标宋简体"/>
          <w:sz w:val="32"/>
          <w:szCs w:val="32"/>
        </w:rPr>
        <w:t xml:space="preserve">商务要求响应及偏离表</w:t>
      </w:r>
      <w:r>
        <w:rPr>
          <w:rFonts w:ascii="方正小标宋简体" w:hAnsi="方正小标宋简体" w:eastAsia="方正小标宋简体" w:cs="方正小标宋简体"/>
          <w:sz w:val="32"/>
          <w:szCs w:val="32"/>
        </w:rPr>
      </w:r>
      <w:r/>
    </w:p>
    <w:p>
      <w:pPr>
        <w:pStyle w:val="782"/>
        <w:ind w:left="0"/>
        <w:rPr>
          <w:rFonts w:hint="eastAsia" w:ascii="宋体" w:hAnsi="宋体" w:eastAsia="宋体" w:cs="Times New Roman"/>
          <w:sz w:val="24"/>
          <w:szCs w:val="24"/>
          <w:lang w:val="en-US"/>
        </w:rPr>
      </w:pPr>
      <w:r>
        <w:rPr>
          <w:rFonts w:hint="eastAsia" w:ascii="宋体" w:hAnsi="宋体" w:eastAsia="宋体" w:cs="Times New Roman"/>
          <w:sz w:val="24"/>
          <w:szCs w:val="24"/>
          <w:lang w:val="en-US"/>
        </w:rPr>
        <w:t xml:space="preserve">项目名称：</w:t>
      </w:r>
      <w:r>
        <w:rPr>
          <w:rFonts w:hint="eastAsia" w:ascii="宋体" w:hAnsi="宋体" w:eastAsia="宋体" w:cs="Times New Roman"/>
          <w:sz w:val="24"/>
          <w:szCs w:val="24"/>
          <w:lang w:val="en-US"/>
        </w:rPr>
        <w:t xml:space="preserve">                               </w:t>
      </w:r>
      <w:r>
        <w:rPr>
          <w:rFonts w:hint="eastAsia" w:ascii="宋体" w:hAnsi="宋体" w:eastAsia="宋体" w:cs="Times New Roman"/>
          <w:sz w:val="24"/>
          <w:szCs w:val="24"/>
          <w:lang w:val="en-US"/>
        </w:rPr>
        <w:t xml:space="preserve">项目编号：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769"/>
              <w:jc w:val="center"/>
              <w:keepNext/>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pStyle w:val="769"/>
              <w:jc w:val="center"/>
              <w:keepNext/>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69"/>
              <w:jc w:val="center"/>
              <w:keepNext/>
              <w:rPr>
                <w:rFonts w:hint="eastAsia" w:ascii="宋体" w:hAnsi="宋体"/>
                <w:sz w:val="24"/>
                <w:szCs w:val="24"/>
              </w:rPr>
            </w:pPr>
            <w:r>
              <w:rPr>
                <w:rFonts w:hint="eastAsia" w:ascii="宋体" w:hAnsi="宋体"/>
                <w:sz w:val="24"/>
                <w:szCs w:val="24"/>
              </w:rPr>
              <w:t xml:space="preserve">响应情况</w:t>
            </w:r>
            <w:r/>
          </w:p>
        </w:tc>
        <w:tc>
          <w:tcPr>
            <w:tcW w:w="3346" w:type="dxa"/>
            <w:vAlign w:val="center"/>
            <w:textDirection w:val="lrTb"/>
            <w:noWrap w:val="false"/>
          </w:tcPr>
          <w:p>
            <w:pPr>
              <w:pStyle w:val="769"/>
              <w:jc w:val="center"/>
              <w:keepNext/>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9"/>
              <w:jc w:val="center"/>
              <w:keepNext/>
              <w:rPr>
                <w:rFonts w:hint="eastAsia" w:ascii="宋体" w:hAnsi="宋体"/>
                <w:sz w:val="24"/>
                <w:szCs w:val="24"/>
              </w:rPr>
            </w:pPr>
            <w:r>
              <w:rPr>
                <w:rFonts w:hint="eastAsia" w:ascii="宋体" w:hAnsi="宋体"/>
                <w:sz w:val="24"/>
                <w:szCs w:val="24"/>
              </w:rPr>
            </w:r>
            <w:r/>
          </w:p>
        </w:tc>
      </w:tr>
    </w:tbl>
    <w:p>
      <w:pPr>
        <w:pStyle w:val="769"/>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769"/>
        <w:ind w:firstLine="480"/>
        <w:keepNext/>
        <w:rPr>
          <w:rFonts w:hint="eastAsia" w:ascii="宋体" w:hAnsi="宋体"/>
          <w:sz w:val="24"/>
          <w:szCs w:val="24"/>
        </w:rPr>
      </w:pPr>
      <w:r>
        <w:rPr>
          <w:rFonts w:hint="eastAsia" w:ascii="宋体" w:hAnsi="宋体"/>
          <w:sz w:val="24"/>
          <w:szCs w:val="24"/>
        </w:rPr>
      </w:r>
      <w:r/>
    </w:p>
    <w:p>
      <w:pPr>
        <w:pStyle w:val="839"/>
        <w:ind w:firstLine="480"/>
        <w:jc w:val="both"/>
        <w:keepNext/>
        <w:spacing w:before="0" w:beforeAutospacing="0" w:after="0" w:afterAutospacing="0" w:line="360" w:lineRule="auto"/>
        <w:rPr>
          <w:rFonts w:hint="eastAsia"/>
        </w:rPr>
      </w:pPr>
      <w:r>
        <w:rPr>
          <w:rFonts w:hint="eastAsia"/>
        </w:rPr>
        <w:t xml:space="preserve">备注： </w:t>
      </w:r>
      <w:r/>
    </w:p>
    <w:p>
      <w:pPr>
        <w:pStyle w:val="839"/>
        <w:ind w:firstLine="480"/>
        <w:jc w:val="both"/>
        <w:keepNext/>
        <w:spacing w:before="0" w:beforeAutospacing="0" w:after="0" w:afterAutospacing="0" w:line="360" w:lineRule="auto"/>
      </w:pPr>
      <w:r>
        <w:rPr>
          <w:rFonts w:hint="eastAsia"/>
        </w:rPr>
        <w:t xml:space="preserve">1.供应商须对招标文件商务要求中的实质性要求（斜体下划线内容或打“★”内容）做出明确响应，否则视为无效响应。</w:t>
      </w:r>
      <w:r/>
    </w:p>
    <w:p>
      <w:pPr>
        <w:pStyle w:val="839"/>
        <w:ind w:firstLine="480"/>
        <w:jc w:val="both"/>
        <w:keepNext/>
        <w:spacing w:before="0" w:beforeAutospacing="0" w:after="0" w:afterAutospacing="0" w:line="360" w:lineRule="auto"/>
        <w:rPr>
          <w:rFonts w:hint="eastAsia"/>
        </w:rPr>
      </w:pPr>
      <w:r>
        <w:rPr>
          <w:rFonts w:hint="eastAsia"/>
        </w:rPr>
        <w:t xml:space="preserve">2.行数不够，可自行添加。</w:t>
      </w:r>
      <w:r/>
    </w:p>
    <w:p>
      <w:pPr>
        <w:pStyle w:val="782"/>
        <w:ind w:left="0"/>
        <w:rPr>
          <w:rFonts w:hint="eastAsia" w:eastAsia="等线"/>
          <w:lang w:val="en-US"/>
        </w:rPr>
      </w:pPr>
      <w:r>
        <w:rPr>
          <w:rFonts w:hint="eastAsia" w:eastAsia="等线"/>
          <w:lang w:val="en-US"/>
        </w:rPr>
      </w:r>
      <w:r/>
    </w:p>
    <w:p>
      <w:pPr>
        <w:pStyle w:val="839"/>
        <w:jc w:val="both"/>
        <w:keepNext/>
        <w:spacing w:before="0" w:beforeAutospacing="0" w:after="0" w:afterAutospacing="0"/>
        <w:rPr>
          <w:rFonts w:hint="eastAsia"/>
        </w:rPr>
      </w:pPr>
      <w:r>
        <w:rPr>
          <w:rFonts w:hint="eastAsia"/>
        </w:rPr>
      </w:r>
      <w:r/>
    </w:p>
    <w:p>
      <w:pPr>
        <w:pStyle w:val="769"/>
        <w:keepNext/>
      </w:pPr>
      <w:r/>
      <w:r/>
    </w:p>
    <w:p>
      <w:pPr>
        <w:pStyle w:val="769"/>
        <w:jc w:val="center"/>
        <w:keepNext/>
        <w:rPr>
          <w:rFonts w:hint="eastAsia" w:ascii="宋体" w:hAnsi="宋体" w:cs="仿宋"/>
          <w:b/>
          <w:bCs/>
          <w:sz w:val="32"/>
          <w:szCs w:val="32"/>
        </w:rPr>
      </w:pPr>
      <w:r>
        <w:rPr>
          <w:rFonts w:hint="eastAsia" w:ascii="宋体" w:hAnsi="宋体" w:cs="仿宋"/>
          <w:b/>
          <w:bCs/>
          <w:sz w:val="32"/>
          <w:szCs w:val="32"/>
        </w:rPr>
      </w:r>
      <w:r/>
    </w:p>
    <w:p>
      <w:pPr>
        <w:pStyle w:val="769"/>
        <w:keepNext/>
        <w:rPr>
          <w:rFonts w:ascii="宋体" w:hAnsi="宋体" w:cs="仿宋"/>
          <w:b/>
          <w:bCs/>
          <w:sz w:val="32"/>
          <w:szCs w:val="32"/>
        </w:rPr>
      </w:pPr>
      <w:r>
        <w:rPr>
          <w:rFonts w:ascii="宋体" w:hAnsi="宋体" w:cs="仿宋"/>
          <w:b/>
          <w:bCs/>
          <w:sz w:val="32"/>
          <w:szCs w:val="32"/>
        </w:rPr>
      </w:r>
      <w:r/>
    </w:p>
    <w:p>
      <w:pPr>
        <w:pStyle w:val="782"/>
        <w:rPr>
          <w:rFonts w:eastAsia="等线"/>
          <w:lang w:val="en-US"/>
        </w:rPr>
      </w:pPr>
      <w:r>
        <w:rPr>
          <w:rFonts w:eastAsia="等线"/>
          <w:lang w:val="en-US"/>
        </w:rPr>
      </w:r>
      <w:r/>
    </w:p>
    <w:p>
      <w:pPr>
        <w:pStyle w:val="769"/>
      </w:pPr>
      <w:r/>
      <w:r/>
    </w:p>
    <w:p>
      <w:pPr>
        <w:pStyle w:val="782"/>
        <w:rPr>
          <w:rFonts w:hint="eastAsia" w:eastAsia="等线"/>
          <w:lang w:val="en-US"/>
        </w:rPr>
      </w:pPr>
      <w:r>
        <w:rPr>
          <w:rFonts w:hint="eastAsia" w:eastAsia="等线"/>
          <w:lang w:val="en-US"/>
        </w:rPr>
      </w:r>
      <w:r/>
    </w:p>
    <w:p>
      <w:pPr>
        <w:pStyle w:val="769"/>
        <w:keepNext/>
        <w:rPr>
          <w:rFonts w:hint="eastAsia" w:ascii="黑体" w:hAnsi="黑体" w:eastAsia="黑体"/>
          <w:iCs/>
          <w:sz w:val="32"/>
          <w:szCs w:val="32"/>
        </w:rPr>
      </w:pPr>
      <w:r/>
      <w:bookmarkEnd w:id="149"/>
      <w:r>
        <w:rPr>
          <w:rFonts w:hint="eastAsia" w:ascii="黑体" w:hAnsi="黑体" w:eastAsia="黑体"/>
          <w:iCs/>
          <w:sz w:val="32"/>
          <w:szCs w:val="32"/>
        </w:rPr>
        <w:t xml:space="preserve">九、中小企业声明函</w:t>
      </w:r>
      <w:r/>
    </w:p>
    <w:p>
      <w:pPr>
        <w:pStyle w:val="769"/>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中小企业声明函（货物）</w:t>
      </w:r>
      <w:r/>
    </w:p>
    <w:p>
      <w:pPr>
        <w:pStyle w:val="769"/>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w:t>
      </w:r>
      <w:r>
        <w:rPr>
          <w:rFonts w:hint="eastAsia" w:ascii="宋体" w:hAnsi="宋体"/>
          <w:sz w:val="24"/>
          <w:szCs w:val="24"/>
        </w:rPr>
        <w:t xml:space="preserve">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pStyle w:val="769"/>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69"/>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69"/>
        <w:ind w:firstLine="360"/>
        <w:spacing w:line="336" w:lineRule="auto"/>
        <w:rPr>
          <w:rFonts w:hint="eastAsia" w:ascii="宋体" w:hAnsi="宋体"/>
          <w:sz w:val="24"/>
          <w:szCs w:val="24"/>
        </w:rPr>
      </w:pPr>
      <w:r>
        <w:rPr>
          <w:rFonts w:hint="eastAsia" w:ascii="宋体" w:hAnsi="宋体"/>
          <w:sz w:val="24"/>
          <w:szCs w:val="24"/>
        </w:rPr>
        <w:t xml:space="preserve">……</w:t>
      </w:r>
      <w:r/>
    </w:p>
    <w:p>
      <w:pPr>
        <w:pStyle w:val="769"/>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69"/>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82"/>
        <w:spacing w:line="336" w:lineRule="auto"/>
        <w:rPr>
          <w:rFonts w:hint="eastAsia" w:ascii="宋体" w:hAnsi="宋体"/>
          <w:sz w:val="24"/>
          <w:szCs w:val="24"/>
        </w:rPr>
      </w:pPr>
      <w:r>
        <w:rPr>
          <w:rFonts w:hint="eastAsia" w:ascii="宋体" w:hAnsi="宋体"/>
          <w:sz w:val="24"/>
          <w:szCs w:val="24"/>
        </w:rPr>
      </w:r>
      <w:r/>
    </w:p>
    <w:p>
      <w:pPr>
        <w:pStyle w:val="769"/>
        <w:spacing w:line="336" w:lineRule="auto"/>
        <w:rPr>
          <w:rFonts w:hint="eastAsia"/>
        </w:rPr>
      </w:pPr>
      <w:r>
        <w:rPr>
          <w:rFonts w:hint="eastAsia"/>
        </w:rPr>
      </w:r>
      <w:r/>
    </w:p>
    <w:p>
      <w:pPr>
        <w:pStyle w:val="769"/>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pStyle w:val="769"/>
        <w:ind w:firstLine="6000"/>
        <w:spacing w:line="336"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69"/>
        <w:ind w:firstLine="480"/>
        <w:spacing w:line="336" w:lineRule="auto"/>
        <w:rPr>
          <w:rFonts w:hint="eastAsia" w:ascii="宋体" w:hAnsi="宋体"/>
          <w:sz w:val="24"/>
          <w:szCs w:val="24"/>
        </w:rPr>
      </w:pPr>
      <w:r>
        <w:rPr>
          <w:rFonts w:hint="eastAsia" w:ascii="宋体" w:hAnsi="宋体"/>
          <w:sz w:val="24"/>
          <w:szCs w:val="24"/>
        </w:rPr>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w:t>
      </w:r>
      <w:r>
        <w:rPr>
          <w:rFonts w:hint="eastAsia" w:ascii="宋体" w:hAnsi="宋体"/>
          <w:sz w:val="24"/>
          <w:szCs w:val="24"/>
        </w:rPr>
        <w:t xml:space="preserve">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pStyle w:val="769"/>
        <w:jc w:val="left"/>
        <w:keepNex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pStyle w:val="769"/>
        <w:jc w:val="center"/>
        <w:keepNext/>
        <w:spacing w:line="360" w:lineRule="auto"/>
        <w:rPr>
          <w:rFonts w:hint="eastAsia" w:ascii="方正小标宋简体" w:hAnsi="方正小标宋简体" w:eastAsia="方正小标宋简体" w:cs="方正小标宋简体"/>
          <w:sz w:val="32"/>
          <w:szCs w:val="32"/>
        </w:rPr>
      </w:pPr>
      <w:r/>
      <w:bookmarkStart w:id="150" w:name="OLE_LINK74"/>
      <w:r>
        <w:rPr>
          <w:rFonts w:hint="eastAsia" w:ascii="方正小标宋简体" w:hAnsi="方正小标宋简体" w:eastAsia="方正小标宋简体" w:cs="方正小标宋简体"/>
          <w:sz w:val="32"/>
          <w:szCs w:val="32"/>
        </w:rPr>
        <w:t xml:space="preserve">残疾人福利性单位声明函</w:t>
      </w:r>
      <w:r/>
    </w:p>
    <w:p>
      <w:pPr>
        <w:pStyle w:val="769"/>
        <w:ind w:firstLine="480"/>
        <w:keepNext/>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pStyle w:val="769"/>
        <w:ind w:firstLine="480"/>
        <w:keepNext/>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82"/>
        <w:keepNext/>
        <w:spacing w:line="360" w:lineRule="auto"/>
        <w:rPr>
          <w:rFonts w:hint="eastAsia" w:ascii="宋体" w:hAnsi="宋体"/>
          <w:sz w:val="24"/>
          <w:szCs w:val="24"/>
        </w:rPr>
      </w:pPr>
      <w:r>
        <w:rPr>
          <w:rFonts w:hint="eastAsia" w:ascii="宋体" w:hAnsi="宋体"/>
          <w:sz w:val="24"/>
          <w:szCs w:val="24"/>
        </w:rPr>
      </w:r>
      <w:r/>
    </w:p>
    <w:p>
      <w:pPr>
        <w:pStyle w:val="769"/>
        <w:keepNext/>
        <w:spacing w:line="360" w:lineRule="auto"/>
        <w:rPr>
          <w:rFonts w:hint="eastAsia"/>
        </w:rPr>
      </w:pPr>
      <w:r>
        <w:rPr>
          <w:rFonts w:hint="eastAsia"/>
        </w:rPr>
      </w:r>
      <w:r/>
    </w:p>
    <w:p>
      <w:pPr>
        <w:pStyle w:val="769"/>
        <w:ind w:right="180" w:firstLine="360"/>
        <w:jc w:val="center"/>
        <w:keepNext/>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769"/>
        <w:ind w:firstLine="6000"/>
        <w:keepNext/>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69"/>
        <w:ind w:firstLine="480"/>
        <w:keepNext/>
        <w:spacing w:line="360" w:lineRule="auto"/>
        <w:rPr>
          <w:rFonts w:hint="eastAsia" w:ascii="宋体" w:hAnsi="宋体"/>
          <w:sz w:val="24"/>
        </w:rPr>
      </w:pPr>
      <w:r>
        <w:rPr>
          <w:rFonts w:hint="eastAsia" w:ascii="宋体" w:hAnsi="宋体"/>
          <w:sz w:val="24"/>
        </w:rPr>
      </w:r>
      <w:r/>
    </w:p>
    <w:p>
      <w:pPr>
        <w:pStyle w:val="769"/>
        <w:ind w:firstLine="480"/>
        <w:keepNext/>
        <w:spacing w:line="360" w:lineRule="auto"/>
        <w:rPr>
          <w:rFonts w:hint="eastAsia" w:ascii="宋体" w:hAnsi="宋体"/>
          <w:sz w:val="24"/>
        </w:rPr>
      </w:pPr>
      <w:r>
        <w:rPr>
          <w:rFonts w:hint="eastAsia" w:ascii="宋体" w:hAnsi="宋体"/>
          <w:sz w:val="24"/>
        </w:rPr>
        <w:t xml:space="preserve">备注：</w:t>
      </w:r>
      <w:r/>
    </w:p>
    <w:p>
      <w:pPr>
        <w:pStyle w:val="769"/>
        <w:ind w:firstLine="480"/>
        <w:keepNext/>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供应商如不提供此声明函，价格将不做相应扣除。</w:t>
      </w:r>
      <w:r/>
    </w:p>
    <w:p>
      <w:pPr>
        <w:pStyle w:val="769"/>
        <w:ind w:firstLine="480"/>
        <w:keepNext/>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69"/>
        <w:ind w:firstLine="480"/>
        <w:keepNext/>
        <w:spacing w:line="480" w:lineRule="exact"/>
        <w:rPr>
          <w:rFonts w:ascii="宋体" w:hAnsi="宋体"/>
          <w:sz w:val="24"/>
        </w:rPr>
      </w:pPr>
      <w:r>
        <w:rPr>
          <w:rFonts w:ascii="宋体" w:hAnsi="宋体"/>
          <w:sz w:val="24"/>
        </w:rPr>
      </w:r>
      <w:r/>
    </w:p>
    <w:p>
      <w:pPr>
        <w:pStyle w:val="769"/>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9"/>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9"/>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9"/>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9"/>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9"/>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9"/>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9"/>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9"/>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9"/>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9"/>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769"/>
        <w:jc w:val="left"/>
        <w:keepNext/>
        <w:spacing w:line="360" w:lineRule="auto"/>
        <w:rPr>
          <w:rFonts w:hint="eastAsia" w:ascii="黑体" w:hAnsi="黑体" w:eastAsia="黑体"/>
          <w:iCs/>
          <w:sz w:val="32"/>
          <w:szCs w:val="32"/>
        </w:rPr>
      </w:pPr>
      <w:r/>
      <w:bookmarkEnd w:id="150"/>
      <w:r>
        <w:rPr>
          <w:rFonts w:hint="eastAsia" w:ascii="黑体" w:hAnsi="黑体" w:eastAsia="黑体"/>
          <w:iCs/>
          <w:sz w:val="32"/>
          <w:szCs w:val="32"/>
        </w:rPr>
        <w:t xml:space="preserve">十一、联合体协议</w:t>
      </w:r>
      <w:r/>
    </w:p>
    <w:p>
      <w:pPr>
        <w:pStyle w:val="769"/>
        <w:jc w:val="center"/>
        <w:keepNext/>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769"/>
        <w:keepNext/>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69"/>
        <w:ind w:firstLine="480"/>
        <w:keepNext/>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769"/>
        <w:ind w:firstLine="480"/>
        <w:keepNext/>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69"/>
        <w:ind w:firstLine="480"/>
        <w:keepNext/>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769"/>
        <w:ind w:firstLine="645"/>
        <w:keepNext/>
        <w:spacing w:line="360" w:lineRule="auto"/>
        <w:rPr>
          <w:rFonts w:hint="eastAsia" w:ascii="宋体" w:hAnsi="宋体"/>
          <w:sz w:val="24"/>
        </w:rPr>
      </w:pPr>
      <w:r>
        <w:rPr>
          <w:rFonts w:hint="eastAsia" w:ascii="宋体" w:hAnsi="宋体"/>
          <w:sz w:val="24"/>
        </w:rPr>
      </w:r>
      <w:r/>
    </w:p>
    <w:p>
      <w:pPr>
        <w:pStyle w:val="769"/>
        <w:ind w:firstLine="645"/>
        <w:keepNext/>
        <w:spacing w:line="360" w:lineRule="auto"/>
        <w:rPr>
          <w:rFonts w:hint="eastAsia" w:ascii="宋体" w:hAnsi="宋体"/>
          <w:sz w:val="24"/>
        </w:rPr>
      </w:pPr>
      <w:r>
        <w:rPr>
          <w:rFonts w:ascii="宋体" w:hAnsi="宋体"/>
          <w:sz w:val="24"/>
        </w:rPr>
        <w:t xml:space="preserve">             </w:t>
      </w:r>
      <w:r>
        <w:rPr>
          <w:rFonts w:ascii="宋体" w:hAnsi="宋体"/>
          <w:sz w:val="24"/>
        </w:rPr>
        <w:t xml:space="preserve">      </w:t>
      </w:r>
      <w:r>
        <w:rPr>
          <w:rFonts w:hint="eastAsia" w:ascii="宋体" w:hAnsi="宋体"/>
          <w:sz w:val="24"/>
        </w:rPr>
        <w:t xml:space="preserve">                       </w:t>
      </w:r>
      <w:r/>
    </w:p>
    <w:p>
      <w:pPr>
        <w:pStyle w:val="769"/>
        <w:ind w:firstLine="645"/>
        <w:jc w:val="right"/>
        <w:keepNex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769"/>
        <w:ind w:firstLine="5280"/>
        <w:keepNext/>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69"/>
        <w:ind w:firstLine="480"/>
        <w:keepNext/>
        <w:spacing w:line="360" w:lineRule="auto"/>
        <w:rPr>
          <w:rFonts w:hint="eastAsia" w:ascii="宋体" w:hAnsi="宋体"/>
          <w:sz w:val="24"/>
        </w:rPr>
      </w:pPr>
      <w:r>
        <w:rPr>
          <w:rFonts w:hint="eastAsia" w:ascii="宋体" w:hAnsi="宋体"/>
          <w:sz w:val="24"/>
        </w:rPr>
      </w:r>
      <w:r/>
    </w:p>
    <w:p>
      <w:pPr>
        <w:pStyle w:val="769"/>
        <w:ind w:firstLine="480"/>
        <w:keepNext/>
        <w:spacing w:line="360" w:lineRule="auto"/>
        <w:rPr>
          <w:rFonts w:hint="eastAsia" w:ascii="宋体" w:hAnsi="宋体"/>
          <w:sz w:val="24"/>
        </w:rPr>
      </w:pPr>
      <w:r>
        <w:rPr>
          <w:rFonts w:hint="eastAsia" w:ascii="宋体" w:hAnsi="宋体"/>
          <w:sz w:val="24"/>
        </w:rPr>
        <w:t xml:space="preserve">备注：</w:t>
      </w:r>
      <w:r/>
    </w:p>
    <w:p>
      <w:pPr>
        <w:pStyle w:val="769"/>
        <w:ind w:firstLine="480"/>
        <w:keepNext/>
        <w:spacing w:line="360" w:lineRule="auto"/>
        <w:rPr>
          <w:rFonts w:hint="eastAsia" w:ascii="宋体" w:hAnsi="宋体"/>
          <w:sz w:val="24"/>
        </w:rPr>
      </w:pPr>
      <w:r>
        <w:rPr>
          <w:rFonts w:hint="eastAsia" w:ascii="宋体" w:hAnsi="宋体"/>
          <w:sz w:val="24"/>
        </w:rPr>
        <w:t xml:space="preserve">1.牵头单位必须为联合体成员。</w:t>
      </w:r>
      <w:r/>
    </w:p>
    <w:p>
      <w:pPr>
        <w:pStyle w:val="769"/>
        <w:ind w:firstLine="480"/>
        <w:keepNext/>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pStyle w:val="769"/>
        <w:ind w:firstLine="480"/>
        <w:keepNext/>
        <w:spacing w:line="360" w:lineRule="auto"/>
        <w:rPr>
          <w:rFonts w:hint="eastAsia" w:ascii="宋体" w:hAnsi="宋体"/>
          <w:sz w:val="24"/>
        </w:rPr>
      </w:pPr>
      <w:r>
        <w:rPr>
          <w:rFonts w:hint="eastAsia" w:ascii="宋体" w:hAnsi="宋体"/>
          <w:sz w:val="24"/>
        </w:rPr>
        <w:t xml:space="preserve">3.除另有说明外，本</w:t>
      </w:r>
      <w:r>
        <w:rPr>
          <w:rFonts w:hint="eastAsia" w:ascii="宋体" w:hAnsi="宋体"/>
          <w:sz w:val="24"/>
          <w:szCs w:val="24"/>
        </w:rPr>
        <w:t xml:space="preserve">招标</w:t>
      </w:r>
      <w:r>
        <w:rPr>
          <w:rFonts w:hint="eastAsia" w:ascii="宋体" w:hAnsi="宋体"/>
          <w:sz w:val="24"/>
        </w:rPr>
        <w:t xml:space="preserve">文件要求加盖电子公章之处，加盖牵头单位的电子公章即可。</w:t>
      </w:r>
      <w:r/>
    </w:p>
    <w:p>
      <w:pPr>
        <w:pStyle w:val="858"/>
        <w:ind w:firstLine="480"/>
        <w:keepNext/>
        <w:rPr>
          <w:sz w:val="24"/>
        </w:rPr>
      </w:pPr>
      <w:r>
        <w:rPr>
          <w:sz w:val="24"/>
        </w:r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rPr>
          <w:rFonts w:hint="eastAsia"/>
        </w:rPr>
      </w:pPr>
      <w:r>
        <w:rPr>
          <w:rFonts w:hint="eastAsia"/>
        </w:rPr>
      </w:r>
      <w:r/>
    </w:p>
    <w:p>
      <w:pPr>
        <w:pStyle w:val="782"/>
        <w:ind w:left="0"/>
        <w:jc w:val="left"/>
        <w:keepNext/>
        <w:rPr>
          <w:rFonts w:ascii="方正小标宋简体" w:hAnsi="方正小标宋简体" w:eastAsia="方正小标宋简体" w:cs="方正小标宋简体"/>
          <w:sz w:val="32"/>
          <w:szCs w:val="32"/>
          <w:lang w:val="en-US"/>
        </w:rPr>
      </w:pPr>
      <w:r>
        <w:rPr>
          <w:rFonts w:hint="eastAsia" w:ascii="方正小标宋简体" w:hAnsi="方正小标宋简体" w:eastAsia="方正小标宋简体" w:cs="方正小标宋简体"/>
          <w:sz w:val="32"/>
          <w:szCs w:val="32"/>
          <w:lang w:val="en-US"/>
        </w:rPr>
        <w:t xml:space="preserve">附件十二、关于符合本国产品标准的声明函</w:t>
      </w:r>
      <w:r>
        <w:rPr>
          <w:rFonts w:ascii="方正小标宋简体" w:hAnsi="方正小标宋简体" w:eastAsia="方正小标宋简体" w:cs="方正小标宋简体"/>
          <w:sz w:val="32"/>
          <w:szCs w:val="32"/>
          <w:lang w:val="en-US"/>
        </w:rPr>
      </w:r>
      <w:r/>
    </w:p>
    <w:p>
      <w:pPr>
        <w:pStyle w:val="782"/>
        <w:ind w:left="0"/>
        <w:jc w:val="center"/>
        <w:keepNext/>
        <w:rPr>
          <w:rFonts w:ascii="方正小标宋简体" w:hAnsi="方正小标宋简体" w:eastAsia="方正小标宋简体" w:cs="方正小标宋简体"/>
          <w:sz w:val="32"/>
          <w:szCs w:val="32"/>
          <w:lang w:val="en-US"/>
        </w:rPr>
      </w:pPr>
      <w:r>
        <w:rPr>
          <w:rFonts w:hint="eastAsia" w:ascii="方正小标宋简体" w:hAnsi="方正小标宋简体" w:eastAsia="方正小标宋简体" w:cs="方正小标宋简体"/>
          <w:sz w:val="32"/>
          <w:szCs w:val="32"/>
          <w:lang w:val="en-US"/>
        </w:rPr>
        <w:t xml:space="preserve">关于符合本国产品标准的声明函</w:t>
      </w:r>
      <w:r>
        <w:rPr>
          <w:rFonts w:hint="eastAsia" w:ascii="方正小标宋简体" w:hAnsi="方正小标宋简体" w:eastAsia="方正小标宋简体" w:cs="方正小标宋简体"/>
          <w:sz w:val="32"/>
          <w:szCs w:val="32"/>
        </w:rPr>
        <w:t xml:space="preserve">（采购包号：**）</w:t>
      </w:r>
      <w:r>
        <w:rPr>
          <w:rFonts w:ascii="方正小标宋简体" w:hAnsi="方正小标宋简体" w:eastAsia="方正小标宋简体" w:cs="方正小标宋简体"/>
          <w:sz w:val="32"/>
          <w:szCs w:val="32"/>
          <w:lang w:val="en-US"/>
        </w:rPr>
      </w:r>
      <w:r/>
    </w:p>
    <w:p>
      <w:pPr>
        <w:pStyle w:val="782"/>
        <w:keepNext/>
        <w:rPr>
          <w:lang w:val="en-US"/>
        </w:rPr>
      </w:pPr>
      <w:r>
        <w:rPr>
          <w:lang w:val="en-US"/>
        </w:rPr>
        <w:t xml:space="preserve"> </w:t>
      </w:r>
      <w:r/>
    </w:p>
    <w:p>
      <w:pPr>
        <w:pStyle w:val="839"/>
        <w:ind w:firstLine="420"/>
        <w:spacing w:before="24" w:beforeAutospacing="0" w:after="24" w:afterAutospacing="0" w:line="360" w:lineRule="auto"/>
        <w:shd w:val="clear" w:color="auto" w:fill="ffffff"/>
        <w:rPr>
          <w:rFonts w:cs="Times New Roman"/>
        </w:rPr>
      </w:pPr>
      <w:r>
        <w:rPr>
          <w:rFonts w:hint="eastAsia" w:cs="Times New Roman"/>
        </w:rPr>
        <w:t xml:space="preserve">本公司（单位</w:t>
      </w:r>
      <w:bookmarkStart w:id="151" w:name="_GoBack"/>
      <w:r>
        <w:rPr>
          <w:rFonts w:hint="eastAsia" w:cs="Times New Roman"/>
        </w:rPr>
        <w:t xml:space="preserve">）郑重声明，根据《国务院办公厅关于在政府采购中实施本国产品标准及相关政策的通知》（国办发〔2025〕34号）的规定，本公司（单位）提供的以下产品属于本国产品。具体情况如下：</w:t>
      </w:r>
      <w:r>
        <w:rPr>
          <w:rFonts w:cs="Times New Roman"/>
        </w:rPr>
      </w:r>
      <w:r/>
    </w:p>
    <w:p>
      <w:pPr>
        <w:pStyle w:val="839"/>
        <w:ind w:firstLine="420"/>
        <w:spacing w:before="24" w:beforeAutospacing="0" w:after="24" w:afterAutospacing="0" w:line="360" w:lineRule="auto"/>
        <w:shd w:val="clear" w:color="auto" w:fill="ffffff"/>
      </w:pPr>
      <w:r>
        <w:rPr>
          <w:rFonts w:hint="eastAsia"/>
          <w:shd w:val="clear" w:color="auto" w:fill="ffffff"/>
        </w:rPr>
        <w:t xml:space="preserve">1.</w:t>
      </w:r>
      <w:r>
        <w:rPr>
          <w:rStyle w:val="940"/>
          <w:rFonts w:hint="eastAsia"/>
          <w:u w:val="single"/>
          <w:shd w:val="clear" w:color="auto" w:fill="ffffff"/>
        </w:rPr>
        <w:t xml:space="preserve">（产品名称1）</w:t>
      </w:r>
      <w:r>
        <w:rPr>
          <w:rStyle w:val="940"/>
          <w:rFonts w:hint="eastAsia"/>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40"/>
          <w:rFonts w:hint="eastAsia"/>
          <w:u w:val="single"/>
          <w:shd w:val="clear" w:color="auto" w:fill="ffffff"/>
        </w:rPr>
        <w:t xml:space="preserve">（厂名）</w:t>
      </w:r>
      <w:r>
        <w:rPr>
          <w:rStyle w:val="940"/>
          <w:rFonts w:hint="eastAsia"/>
          <w:shd w:val="clear" w:color="auto" w:fill="ffffff"/>
          <w:vertAlign w:val="superscript"/>
        </w:rPr>
        <w:t xml:space="preserve">2</w:t>
      </w:r>
      <w:r>
        <w:rPr>
          <w:rFonts w:hint="eastAsia"/>
          <w:shd w:val="clear" w:color="auto" w:fill="ffffff"/>
        </w:rPr>
        <w:t xml:space="preserve">，厂址为</w:t>
      </w:r>
      <w:r>
        <w:rPr>
          <w:rStyle w:val="940"/>
          <w:rFonts w:hint="eastAsia"/>
          <w:u w:val="single"/>
          <w:shd w:val="clear" w:color="auto" w:fill="ffffff"/>
        </w:rPr>
        <w:t xml:space="preserve">（生产厂址）</w:t>
      </w:r>
      <w:r>
        <w:rPr>
          <w:rFonts w:hint="eastAsia"/>
          <w:shd w:val="clear" w:color="auto" w:fill="ffffff"/>
        </w:rPr>
        <w:t xml:space="preserve">。</w:t>
      </w:r>
      <w:r>
        <w:rPr>
          <w:rStyle w:val="940"/>
          <w:rFonts w:hint="eastAsia"/>
          <w:u w:val="single"/>
          <w:shd w:val="clear" w:color="auto" w:fill="ffffff"/>
        </w:rPr>
        <w:t xml:space="preserve">（产品名称1）</w:t>
      </w:r>
      <w:r>
        <w:rPr>
          <w:rFonts w:hint="eastAsia"/>
          <w:shd w:val="clear" w:color="auto" w:fill="ffffff"/>
        </w:rPr>
        <w:t xml:space="preserve">的中国境内生产的组件成本占比≥</w:t>
      </w:r>
      <w:r>
        <w:rPr>
          <w:rStyle w:val="940"/>
          <w:rFonts w:hint="eastAsia"/>
          <w:u w:val="single"/>
          <w:shd w:val="clear" w:color="auto" w:fill="ffffff"/>
        </w:rPr>
        <w:t xml:space="preserve">（规定比例）</w:t>
      </w:r>
      <w:r>
        <w:rPr>
          <w:rStyle w:val="940"/>
          <w:rFonts w:hint="eastAsia"/>
          <w:shd w:val="clear" w:color="auto" w:fill="ffffff"/>
          <w:vertAlign w:val="superscript"/>
        </w:rPr>
        <w:t xml:space="preserve">3</w:t>
      </w:r>
      <w:r>
        <w:rPr>
          <w:rFonts w:hint="eastAsia"/>
          <w:shd w:val="clear" w:color="auto" w:fill="ffffff"/>
        </w:rPr>
        <w:t xml:space="preserve">。</w:t>
      </w:r>
      <w:r>
        <w:rPr>
          <w:rStyle w:val="940"/>
          <w:rFonts w:hint="eastAsia"/>
          <w:u w:val="single"/>
          <w:shd w:val="clear" w:color="auto" w:fill="ffffff"/>
        </w:rPr>
        <w:t xml:space="preserve">（产品名称1）</w:t>
      </w:r>
      <w:r>
        <w:rPr>
          <w:rFonts w:hint="eastAsia"/>
          <w:shd w:val="clear" w:color="auto" w:fill="ffffff"/>
        </w:rPr>
        <w:t xml:space="preserve">的</w:t>
      </w:r>
      <w:r>
        <w:rPr>
          <w:rStyle w:val="940"/>
          <w:rFonts w:hint="eastAsia"/>
          <w:u w:val="single"/>
          <w:shd w:val="clear" w:color="auto" w:fill="ffffff"/>
        </w:rPr>
        <w:t xml:space="preserve">（关键组件）</w:t>
      </w:r>
      <w:r>
        <w:rPr>
          <w:rStyle w:val="940"/>
          <w:rFonts w:hint="eastAsia"/>
          <w:shd w:val="clear" w:color="auto" w:fill="ffffff"/>
          <w:vertAlign w:val="superscript"/>
        </w:rPr>
        <w:t xml:space="preserve">4</w:t>
      </w:r>
      <w:r>
        <w:rPr>
          <w:rFonts w:hint="eastAsia"/>
          <w:shd w:val="clear" w:color="auto" w:fill="ffffff"/>
        </w:rPr>
        <w:t xml:space="preserve">在中国境内生产。</w:t>
      </w:r>
      <w:r>
        <w:rPr>
          <w:rStyle w:val="940"/>
          <w:rFonts w:hint="eastAsia"/>
          <w:u w:val="single"/>
          <w:shd w:val="clear" w:color="auto" w:fill="ffffff"/>
        </w:rPr>
        <w:t xml:space="preserve">（产品名称1）</w:t>
      </w:r>
      <w:r>
        <w:rPr>
          <w:rFonts w:hint="eastAsia"/>
          <w:shd w:val="clear" w:color="auto" w:fill="ffffff"/>
        </w:rPr>
        <w:t xml:space="preserve">的</w:t>
      </w:r>
      <w:r>
        <w:rPr>
          <w:rStyle w:val="940"/>
          <w:rFonts w:hint="eastAsia"/>
          <w:u w:val="single"/>
          <w:shd w:val="clear" w:color="auto" w:fill="ffffff"/>
        </w:rPr>
        <w:t xml:space="preserve">（关键工序）</w:t>
      </w:r>
      <w:r>
        <w:rPr>
          <w:rStyle w:val="940"/>
          <w:rFonts w:hint="eastAsia"/>
          <w:shd w:val="clear" w:color="auto" w:fill="ffffff"/>
          <w:vertAlign w:val="superscript"/>
        </w:rPr>
        <w:t xml:space="preserve">5</w:t>
      </w:r>
      <w:r>
        <w:rPr>
          <w:rFonts w:hint="eastAsia"/>
          <w:shd w:val="clear" w:color="auto" w:fill="ffffff"/>
        </w:rPr>
        <w:t xml:space="preserve">在中国境内完成。</w:t>
      </w:r>
      <w:r/>
    </w:p>
    <w:p>
      <w:pPr>
        <w:pStyle w:val="839"/>
        <w:ind w:firstLine="420"/>
        <w:spacing w:before="24" w:beforeAutospacing="0" w:after="24" w:afterAutospacing="0" w:line="360" w:lineRule="auto"/>
        <w:shd w:val="clear" w:color="auto" w:fill="ffffff"/>
      </w:pPr>
      <w:r>
        <w:rPr>
          <w:rFonts w:hint="eastAsia"/>
          <w:shd w:val="clear" w:color="auto" w:fill="ffffff"/>
        </w:rPr>
        <w:t xml:space="preserve">2.</w:t>
      </w:r>
      <w:r>
        <w:rPr>
          <w:rStyle w:val="940"/>
          <w:rFonts w:hint="eastAsia"/>
          <w:u w:val="single"/>
          <w:shd w:val="clear" w:color="auto" w:fill="ffffff"/>
        </w:rPr>
        <w:t xml:space="preserve">（产品名称2）</w:t>
      </w:r>
      <w:r>
        <w:rPr>
          <w:rFonts w:hint="eastAsia"/>
          <w:shd w:val="clear" w:color="auto" w:fill="ffffff"/>
        </w:rPr>
        <w:t xml:space="preserve">，生产厂为</w:t>
      </w:r>
      <w:r>
        <w:rPr>
          <w:rStyle w:val="940"/>
          <w:rFonts w:hint="eastAsia"/>
          <w:u w:val="single"/>
          <w:shd w:val="clear" w:color="auto" w:fill="ffffff"/>
        </w:rPr>
        <w:t xml:space="preserve">（厂名）</w:t>
      </w:r>
      <w:r>
        <w:rPr>
          <w:rFonts w:hint="eastAsia"/>
          <w:shd w:val="clear" w:color="auto" w:fill="ffffff"/>
        </w:rPr>
        <w:t xml:space="preserve">，厂址为</w:t>
      </w:r>
      <w:r>
        <w:rPr>
          <w:rStyle w:val="940"/>
          <w:rFonts w:hint="eastAsia"/>
          <w:u w:val="single"/>
          <w:shd w:val="clear" w:color="auto" w:fill="ffffff"/>
        </w:rPr>
        <w:t xml:space="preserve">（生产厂址）</w:t>
      </w:r>
      <w:r>
        <w:rPr>
          <w:rFonts w:hint="eastAsia"/>
          <w:shd w:val="clear" w:color="auto" w:fill="ffffff"/>
        </w:rPr>
        <w:t xml:space="preserve">。</w:t>
      </w:r>
      <w:r>
        <w:rPr>
          <w:rStyle w:val="940"/>
          <w:rFonts w:hint="eastAsia"/>
          <w:u w:val="single"/>
          <w:shd w:val="clear" w:color="auto" w:fill="ffffff"/>
        </w:rPr>
        <w:t xml:space="preserve">（产品名称2）</w:t>
      </w:r>
      <w:r>
        <w:rPr>
          <w:rFonts w:hint="eastAsia"/>
          <w:shd w:val="clear" w:color="auto" w:fill="ffffff"/>
        </w:rPr>
        <w:t xml:space="preserve">的中国境内生产的组件成本占比≥</w:t>
      </w:r>
      <w:r>
        <w:rPr>
          <w:rStyle w:val="940"/>
          <w:rFonts w:hint="eastAsia"/>
          <w:u w:val="single"/>
          <w:shd w:val="clear" w:color="auto" w:fill="ffffff"/>
        </w:rPr>
        <w:t xml:space="preserve">（规定比例）</w:t>
      </w:r>
      <w:r>
        <w:rPr>
          <w:rFonts w:hint="eastAsia"/>
          <w:shd w:val="clear" w:color="auto" w:fill="ffffff"/>
        </w:rPr>
        <w:t xml:space="preserve">。</w:t>
      </w:r>
      <w:r>
        <w:rPr>
          <w:rStyle w:val="940"/>
          <w:rFonts w:hint="eastAsia"/>
          <w:u w:val="single"/>
          <w:shd w:val="clear" w:color="auto" w:fill="ffffff"/>
        </w:rPr>
        <w:t xml:space="preserve">（产品名称2）</w:t>
      </w:r>
      <w:r>
        <w:rPr>
          <w:rFonts w:hint="eastAsia"/>
          <w:shd w:val="clear" w:color="auto" w:fill="ffffff"/>
        </w:rPr>
        <w:t xml:space="preserve">的</w:t>
      </w:r>
      <w:r>
        <w:rPr>
          <w:rStyle w:val="940"/>
          <w:rFonts w:hint="eastAsia"/>
          <w:u w:val="single"/>
          <w:shd w:val="clear" w:color="auto" w:fill="ffffff"/>
        </w:rPr>
        <w:t xml:space="preserve">（关键组件）</w:t>
      </w:r>
      <w:r>
        <w:rPr>
          <w:rFonts w:hint="eastAsia"/>
          <w:shd w:val="clear" w:color="auto" w:fill="ffffff"/>
        </w:rPr>
        <w:t xml:space="preserve">在中国境内生产。</w:t>
      </w:r>
      <w:r>
        <w:rPr>
          <w:rStyle w:val="940"/>
          <w:rFonts w:hint="eastAsia"/>
          <w:u w:val="single"/>
          <w:shd w:val="clear" w:color="auto" w:fill="ffffff"/>
        </w:rPr>
        <w:t xml:space="preserve">（产品名称2）</w:t>
      </w:r>
      <w:r>
        <w:rPr>
          <w:rFonts w:hint="eastAsia"/>
          <w:shd w:val="clear" w:color="auto" w:fill="ffffff"/>
        </w:rPr>
        <w:t xml:space="preserve">的</w:t>
      </w:r>
      <w:r>
        <w:rPr>
          <w:rStyle w:val="940"/>
          <w:rFonts w:hint="eastAsia"/>
          <w:u w:val="single"/>
          <w:shd w:val="clear" w:color="auto" w:fill="ffffff"/>
        </w:rPr>
        <w:t xml:space="preserve">（关键工序）</w:t>
      </w:r>
      <w:r>
        <w:rPr>
          <w:rFonts w:hint="eastAsia"/>
          <w:shd w:val="clear" w:color="auto" w:fill="ffffff"/>
        </w:rPr>
        <w:t xml:space="preserve">在中国境内完成。</w:t>
      </w:r>
      <w:r/>
    </w:p>
    <w:p>
      <w:pPr>
        <w:pStyle w:val="839"/>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rPr>
          <w:shd w:val="clear" w:color="auto" w:fill="ffffff"/>
        </w:rPr>
      </w:r>
      <w:r/>
    </w:p>
    <w:p>
      <w:pPr>
        <w:pStyle w:val="839"/>
        <w:ind w:firstLine="420"/>
        <w:spacing w:before="24" w:beforeAutospacing="0" w:after="24" w:afterAutospacing="0" w:line="360" w:lineRule="auto"/>
        <w:shd w:val="clear" w:color="auto" w:fill="ffffff"/>
      </w:pPr>
      <w:r>
        <w:rPr>
          <w:rFonts w:hint="eastAsia"/>
          <w:shd w:val="clear" w:color="auto" w:fill="ffffff"/>
        </w:rPr>
        <w:t xml:space="preserve">本公司（单位）对</w:t>
      </w:r>
      <w:r>
        <w:rPr>
          <w:rFonts w:hint="eastAsia"/>
          <w:shd w:val="clear" w:color="auto" w:fill="ffffff"/>
        </w:rPr>
        <w:t xml:space="preserve">上述声明内容的真实性负责。如有虚假，愿承担相应法律责任。</w:t>
      </w:r>
      <w:r/>
    </w:p>
    <w:p>
      <w:pPr>
        <w:pStyle w:val="839"/>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839"/>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sz w:val="28"/>
          <w:szCs w:val="28"/>
        </w:rPr>
      </w:r>
      <w:r/>
    </w:p>
    <w:p>
      <w:pPr>
        <w:pStyle w:val="839"/>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rPr>
          <w:sz w:val="28"/>
          <w:szCs w:val="28"/>
        </w:rPr>
      </w:r>
      <w:r/>
    </w:p>
    <w:p>
      <w:pPr>
        <w:pStyle w:val="839"/>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rPr>
          <w:sz w:val="21"/>
          <w:szCs w:val="21"/>
        </w:rPr>
      </w:r>
      <w:r/>
    </w:p>
    <w:p>
      <w:pPr>
        <w:pStyle w:val="839"/>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rPr>
          <w:sz w:val="21"/>
          <w:szCs w:val="21"/>
        </w:rPr>
      </w:r>
      <w:r/>
    </w:p>
    <w:p>
      <w:pPr>
        <w:pStyle w:val="839"/>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rPr>
          <w:sz w:val="21"/>
          <w:szCs w:val="21"/>
        </w:rPr>
      </w:r>
      <w:r/>
    </w:p>
    <w:p>
      <w:pPr>
        <w:pStyle w:val="839"/>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rPr>
          <w:sz w:val="21"/>
          <w:szCs w:val="21"/>
          <w:shd w:val="clear" w:color="auto" w:fill="ffffff"/>
        </w:rPr>
      </w:r>
      <w:r/>
    </w:p>
    <w:p>
      <w:pPr>
        <w:pStyle w:val="839"/>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5.该产品的关键工序要求实施前，“关键工序”栏可不填。</w:t>
      </w:r>
      <w:bookmarkStart w:id="152" w:name="OLE_LINK8"/>
      <w:r/>
      <w:bookmarkEnd w:id="152"/>
      <w:r>
        <w:rPr>
          <w:sz w:val="21"/>
          <w:szCs w:val="21"/>
          <w:shd w:val="clear" w:color="auto" w:fill="ffffff"/>
        </w:rPr>
      </w:r>
      <w:r/>
    </w:p>
    <w:p>
      <w:pPr>
        <w:pStyle w:val="782"/>
        <w:ind w:left="0" w:firstLine="600"/>
        <w:keepNext/>
        <w:spacing w:line="360" w:lineRule="auto"/>
        <w:rPr>
          <w:rFonts w:hint="eastAsia" w:eastAsia="等线"/>
          <w:lang w:val="en-US"/>
        </w:rPr>
      </w:pPr>
      <w:r>
        <w:rPr>
          <w:rFonts w:hint="eastAsia"/>
          <w:szCs w:val="21"/>
          <w:shd w:val="clear" w:color="auto" w:fill="ffffff"/>
        </w:rPr>
        <w:br w:type="page" w:clear="all"/>
      </w:r>
      <w:r>
        <w:rPr>
          <w:lang w:val="en-US"/>
        </w:rPr>
        <w:t xml:space="preserve"> </w:t>
      </w:r>
      <w:bookmarkEnd w:id="151"/>
      <w:r>
        <w:rPr>
          <w:rFonts w:hint="eastAsia" w:eastAsia="等线"/>
          <w:lang w:val="en-US"/>
        </w:rPr>
      </w:r>
      <w:r/>
    </w:p>
    <w:p>
      <w:pPr>
        <w:pStyle w:val="769"/>
        <w:jc w:val="left"/>
        <w:keepNext/>
        <w:spacing w:line="360" w:lineRule="auto"/>
        <w:rPr>
          <w:rFonts w:hint="eastAsia" w:ascii="黑体" w:hAnsi="黑体" w:eastAsia="黑体"/>
          <w:iCs/>
          <w:sz w:val="32"/>
          <w:szCs w:val="32"/>
        </w:rPr>
      </w:pPr>
      <w:r>
        <w:rPr>
          <w:rFonts w:hint="eastAsia" w:ascii="黑体" w:hAnsi="黑体" w:eastAsia="黑体"/>
          <w:iCs/>
          <w:sz w:val="32"/>
          <w:szCs w:val="32"/>
        </w:rPr>
        <w:t xml:space="preserve">附件十三、</w:t>
      </w:r>
      <w:r>
        <w:rPr>
          <w:rFonts w:hint="eastAsia" w:ascii="黑体" w:hAnsi="黑体" w:eastAsia="黑体"/>
          <w:iCs/>
          <w:sz w:val="32"/>
          <w:szCs w:val="32"/>
        </w:rPr>
        <w:t xml:space="preserve">分包情况说明及分包意向协议</w:t>
      </w:r>
      <w:r>
        <w:rPr>
          <w:rFonts w:hint="eastAsia" w:ascii="黑体" w:hAnsi="黑体" w:eastAsia="黑体"/>
          <w:iCs/>
          <w:sz w:val="32"/>
          <w:szCs w:val="32"/>
        </w:rPr>
      </w:r>
      <w:r/>
    </w:p>
    <w:p>
      <w:pPr>
        <w:pStyle w:val="769"/>
        <w:jc w:val="center"/>
        <w:widowControl/>
      </w:pPr>
      <w:r>
        <w:rPr>
          <w:rFonts w:ascii="宋体" w:hAnsi="宋体" w:cs="宋体"/>
          <w:b/>
          <w:bCs/>
          <w:sz w:val="36"/>
          <w:szCs w:val="36"/>
          <w:lang w:bidi="ar"/>
        </w:rPr>
        <w:t xml:space="preserve">分包情况说明</w:t>
      </w:r>
      <w:r/>
    </w:p>
    <w:p>
      <w:pPr>
        <w:pStyle w:val="769"/>
        <w:jc w:val="left"/>
        <w:widowControl/>
      </w:pPr>
      <w:r>
        <w:rPr>
          <w:rFonts w:hint="eastAsia" w:ascii="宋体" w:hAnsi="宋体" w:cs="宋体"/>
          <w:sz w:val="24"/>
          <w:szCs w:val="24"/>
          <w:lang w:bidi="ar"/>
        </w:rPr>
        <w:t xml:space="preserve">致：</w:t>
      </w:r>
      <w:r>
        <w:rPr>
          <w:rFonts w:hint="eastAsia"/>
          <w:sz w:val="24"/>
          <w:szCs w:val="24"/>
          <w:u w:val="single"/>
          <w:lang w:bidi="ar"/>
        </w:rPr>
        <w:t xml:space="preserve">                </w:t>
      </w:r>
      <w:r>
        <w:rPr>
          <w:rFonts w:ascii="宋体" w:hAnsi="宋体" w:cs="宋体"/>
          <w:b/>
          <w:bCs/>
          <w:sz w:val="24"/>
          <w:szCs w:val="24"/>
          <w:lang w:bidi="ar"/>
        </w:rPr>
        <w:t xml:space="preserve">（采购人名称） </w:t>
      </w:r>
      <w:r/>
    </w:p>
    <w:p>
      <w:pPr>
        <w:pStyle w:val="769"/>
        <w:ind w:firstLine="480"/>
        <w:jc w:val="left"/>
        <w:widowControl/>
      </w:pPr>
      <w:r>
        <w:rPr>
          <w:rFonts w:hint="eastAsia" w:ascii="宋体" w:hAnsi="宋体" w:cs="宋体"/>
          <w:sz w:val="24"/>
          <w:szCs w:val="24"/>
          <w:lang w:bidi="ar"/>
        </w:rPr>
        <w:t xml:space="preserve">我单位参加项目编号为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项目（项目名称）中</w:t>
      </w:r>
      <w:r>
        <w:rPr>
          <w:sz w:val="24"/>
          <w:szCs w:val="24"/>
          <w:lang w:bidi="ar"/>
        </w:rPr>
        <w:t xml:space="preserve">___</w:t>
      </w:r>
      <w:r>
        <w:rPr>
          <w:rFonts w:hint="eastAsia" w:ascii="宋体" w:hAnsi="宋体" w:cs="宋体"/>
          <w:sz w:val="24"/>
          <w:szCs w:val="24"/>
          <w:lang w:bidi="ar"/>
        </w:rPr>
        <w:t xml:space="preserve">（采购包号）的投标。拟在中标后将以下非主体、非关键内容进行分包，我单位承诺一旦在该项目中获得采购合同，将按下表所列情况进行分包，同时承诺分包承担主体不再次分包。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769"/>
              <w:jc w:val="center"/>
              <w:widowControl/>
            </w:pPr>
            <w:r>
              <w:rPr>
                <w:rFonts w:hint="eastAsia"/>
              </w:rPr>
              <w:t xml:space="preserve">序号</w:t>
            </w:r>
            <w:r/>
          </w:p>
        </w:tc>
        <w:tc>
          <w:tcPr>
            <w:tcW w:w="1543" w:type="dxa"/>
            <w:vAlign w:val="center"/>
            <w:textDirection w:val="lrTb"/>
            <w:noWrap w:val="false"/>
          </w:tcPr>
          <w:p>
            <w:pPr>
              <w:pStyle w:val="769"/>
              <w:jc w:val="center"/>
              <w:widowControl/>
            </w:pPr>
            <w:r>
              <w:rPr>
                <w:rFonts w:hint="eastAsia"/>
              </w:rPr>
              <w:t xml:space="preserve">分包承担主体名称</w:t>
            </w:r>
            <w:r/>
          </w:p>
        </w:tc>
        <w:tc>
          <w:tcPr>
            <w:tcW w:w="1543" w:type="dxa"/>
            <w:vAlign w:val="center"/>
            <w:textDirection w:val="lrTb"/>
            <w:noWrap w:val="false"/>
          </w:tcPr>
          <w:p>
            <w:pPr>
              <w:pStyle w:val="769"/>
              <w:jc w:val="center"/>
              <w:widowControl/>
            </w:pPr>
            <w:r>
              <w:rPr>
                <w:rFonts w:hint="eastAsia"/>
              </w:rPr>
              <w:t xml:space="preserve">分包承担主体类型（大型、中型、小型、微型）</w:t>
            </w:r>
            <w:r/>
          </w:p>
        </w:tc>
        <w:tc>
          <w:tcPr>
            <w:tcW w:w="1596" w:type="dxa"/>
            <w:vAlign w:val="center"/>
            <w:textDirection w:val="lrTb"/>
            <w:noWrap w:val="false"/>
          </w:tcPr>
          <w:p>
            <w:pPr>
              <w:pStyle w:val="769"/>
              <w:jc w:val="center"/>
              <w:widowControl/>
            </w:pPr>
            <w:r>
              <w:rPr>
                <w:rFonts w:hint="eastAsia"/>
              </w:rPr>
              <w:t xml:space="preserve">分包承担主体资质</w:t>
            </w:r>
            <w:r/>
          </w:p>
        </w:tc>
        <w:tc>
          <w:tcPr>
            <w:tcW w:w="1811" w:type="dxa"/>
            <w:vAlign w:val="center"/>
            <w:textDirection w:val="lrTb"/>
            <w:noWrap w:val="false"/>
          </w:tcPr>
          <w:p>
            <w:pPr>
              <w:pStyle w:val="769"/>
              <w:jc w:val="center"/>
              <w:widowControl/>
            </w:pPr>
            <w:r>
              <w:rPr>
                <w:rFonts w:hint="eastAsia"/>
              </w:rPr>
              <w:t xml:space="preserve">分包标的内容</w:t>
            </w:r>
            <w:r/>
          </w:p>
        </w:tc>
        <w:tc>
          <w:tcPr>
            <w:tcW w:w="1586" w:type="dxa"/>
            <w:vAlign w:val="center"/>
            <w:textDirection w:val="lrTb"/>
            <w:noWrap w:val="false"/>
          </w:tcPr>
          <w:p>
            <w:pPr>
              <w:pStyle w:val="769"/>
              <w:jc w:val="center"/>
              <w:widowControl/>
            </w:pPr>
            <w:r>
              <w:rPr>
                <w:rFonts w:hint="eastAsia"/>
              </w:rPr>
              <w:t xml:space="preserve">分包合同金额（元）</w:t>
            </w:r>
            <w:r/>
          </w:p>
        </w:tc>
        <w:tc>
          <w:tcPr>
            <w:tcW w:w="1287" w:type="dxa"/>
            <w:vAlign w:val="center"/>
            <w:textDirection w:val="lrTb"/>
            <w:noWrap w:val="false"/>
          </w:tcPr>
          <w:p>
            <w:pPr>
              <w:pStyle w:val="769"/>
              <w:jc w:val="center"/>
              <w:widowControl/>
            </w:pPr>
            <w:r>
              <w:rPr>
                <w:rFonts w:hint="eastAsia"/>
              </w:rPr>
              <w:t xml:space="preserve">占合同总额的比例（%）</w:t>
            </w:r>
            <w:r/>
          </w:p>
        </w:tc>
      </w:tr>
      <w:tr>
        <w:trPr>
          <w:trHeight w:val="488"/>
        </w:trPr>
        <w:tc>
          <w:tcPr>
            <w:tcW w:w="596" w:type="dxa"/>
            <w:vAlign w:val="center"/>
            <w:textDirection w:val="lrTb"/>
            <w:noWrap w:val="false"/>
          </w:tcPr>
          <w:p>
            <w:pPr>
              <w:pStyle w:val="769"/>
              <w:jc w:val="center"/>
              <w:widowControl/>
            </w:pPr>
            <w:r>
              <w:rPr>
                <w:rFonts w:hint="eastAsia"/>
              </w:rPr>
              <w:t xml:space="preserve">1</w:t>
            </w:r>
            <w:r/>
          </w:p>
        </w:tc>
        <w:tc>
          <w:tcPr>
            <w:tcW w:w="1543" w:type="dxa"/>
            <w:vAlign w:val="center"/>
            <w:textDirection w:val="lrTb"/>
            <w:noWrap w:val="false"/>
          </w:tcPr>
          <w:p>
            <w:pPr>
              <w:pStyle w:val="769"/>
              <w:jc w:val="center"/>
              <w:widowControl/>
            </w:pPr>
            <w:r/>
            <w:r/>
          </w:p>
        </w:tc>
        <w:tc>
          <w:tcPr>
            <w:tcW w:w="1543" w:type="dxa"/>
            <w:vAlign w:val="center"/>
            <w:textDirection w:val="lrTb"/>
            <w:noWrap w:val="false"/>
          </w:tcPr>
          <w:p>
            <w:pPr>
              <w:pStyle w:val="769"/>
              <w:jc w:val="center"/>
              <w:widowControl/>
            </w:pPr>
            <w:r/>
            <w:r/>
          </w:p>
        </w:tc>
        <w:tc>
          <w:tcPr>
            <w:tcW w:w="1596" w:type="dxa"/>
            <w:vAlign w:val="center"/>
            <w:textDirection w:val="lrTb"/>
            <w:noWrap w:val="false"/>
          </w:tcPr>
          <w:p>
            <w:pPr>
              <w:pStyle w:val="769"/>
              <w:jc w:val="center"/>
              <w:widowControl/>
            </w:pPr>
            <w:r/>
            <w:r/>
          </w:p>
        </w:tc>
        <w:tc>
          <w:tcPr>
            <w:tcW w:w="1811" w:type="dxa"/>
            <w:vAlign w:val="center"/>
            <w:textDirection w:val="lrTb"/>
            <w:noWrap w:val="false"/>
          </w:tcPr>
          <w:p>
            <w:pPr>
              <w:pStyle w:val="769"/>
              <w:jc w:val="center"/>
              <w:widowControl/>
            </w:pPr>
            <w:r/>
            <w:r/>
          </w:p>
        </w:tc>
        <w:tc>
          <w:tcPr>
            <w:tcW w:w="1586" w:type="dxa"/>
            <w:vAlign w:val="center"/>
            <w:textDirection w:val="lrTb"/>
            <w:noWrap w:val="false"/>
          </w:tcPr>
          <w:p>
            <w:pPr>
              <w:pStyle w:val="769"/>
              <w:jc w:val="center"/>
              <w:widowControl/>
            </w:pPr>
            <w:r/>
            <w:r/>
          </w:p>
        </w:tc>
        <w:tc>
          <w:tcPr>
            <w:tcW w:w="1287" w:type="dxa"/>
            <w:vAlign w:val="center"/>
            <w:textDirection w:val="lrTb"/>
            <w:noWrap w:val="false"/>
          </w:tcPr>
          <w:p>
            <w:pPr>
              <w:pStyle w:val="769"/>
              <w:jc w:val="center"/>
              <w:widowControl/>
            </w:pPr>
            <w:r/>
            <w:r/>
          </w:p>
        </w:tc>
      </w:tr>
      <w:tr>
        <w:trPr>
          <w:trHeight w:val="488"/>
        </w:trPr>
        <w:tc>
          <w:tcPr>
            <w:tcW w:w="596" w:type="dxa"/>
            <w:vAlign w:val="center"/>
            <w:textDirection w:val="lrTb"/>
            <w:noWrap w:val="false"/>
          </w:tcPr>
          <w:p>
            <w:pPr>
              <w:pStyle w:val="769"/>
              <w:jc w:val="center"/>
              <w:widowControl/>
            </w:pPr>
            <w:r>
              <w:rPr>
                <w:rFonts w:hint="eastAsia"/>
              </w:rPr>
              <w:t xml:space="preserve">2</w:t>
            </w:r>
            <w:r/>
          </w:p>
        </w:tc>
        <w:tc>
          <w:tcPr>
            <w:tcW w:w="1543" w:type="dxa"/>
            <w:vAlign w:val="center"/>
            <w:textDirection w:val="lrTb"/>
            <w:noWrap w:val="false"/>
          </w:tcPr>
          <w:p>
            <w:pPr>
              <w:pStyle w:val="769"/>
              <w:jc w:val="center"/>
              <w:widowControl/>
            </w:pPr>
            <w:r/>
            <w:r/>
          </w:p>
        </w:tc>
        <w:tc>
          <w:tcPr>
            <w:tcW w:w="1543" w:type="dxa"/>
            <w:vAlign w:val="center"/>
            <w:textDirection w:val="lrTb"/>
            <w:noWrap w:val="false"/>
          </w:tcPr>
          <w:p>
            <w:pPr>
              <w:pStyle w:val="769"/>
              <w:jc w:val="center"/>
              <w:widowControl/>
            </w:pPr>
            <w:r/>
            <w:r/>
          </w:p>
        </w:tc>
        <w:tc>
          <w:tcPr>
            <w:tcW w:w="1596" w:type="dxa"/>
            <w:vAlign w:val="center"/>
            <w:textDirection w:val="lrTb"/>
            <w:noWrap w:val="false"/>
          </w:tcPr>
          <w:p>
            <w:pPr>
              <w:pStyle w:val="769"/>
              <w:jc w:val="center"/>
              <w:widowControl/>
            </w:pPr>
            <w:r/>
            <w:r/>
          </w:p>
        </w:tc>
        <w:tc>
          <w:tcPr>
            <w:tcW w:w="1811" w:type="dxa"/>
            <w:vAlign w:val="center"/>
            <w:textDirection w:val="lrTb"/>
            <w:noWrap w:val="false"/>
          </w:tcPr>
          <w:p>
            <w:pPr>
              <w:pStyle w:val="769"/>
              <w:jc w:val="center"/>
              <w:widowControl/>
            </w:pPr>
            <w:r/>
            <w:r/>
          </w:p>
        </w:tc>
        <w:tc>
          <w:tcPr>
            <w:tcW w:w="1586" w:type="dxa"/>
            <w:vAlign w:val="center"/>
            <w:textDirection w:val="lrTb"/>
            <w:noWrap w:val="false"/>
          </w:tcPr>
          <w:p>
            <w:pPr>
              <w:pStyle w:val="769"/>
              <w:jc w:val="center"/>
              <w:widowControl/>
            </w:pPr>
            <w:r/>
            <w:r/>
          </w:p>
        </w:tc>
        <w:tc>
          <w:tcPr>
            <w:tcW w:w="1287" w:type="dxa"/>
            <w:vAlign w:val="center"/>
            <w:textDirection w:val="lrTb"/>
            <w:noWrap w:val="false"/>
          </w:tcPr>
          <w:p>
            <w:pPr>
              <w:pStyle w:val="769"/>
              <w:jc w:val="center"/>
              <w:widowControl/>
            </w:pPr>
            <w:r/>
            <w:r/>
          </w:p>
        </w:tc>
      </w:tr>
      <w:tr>
        <w:trPr>
          <w:trHeight w:val="456"/>
        </w:trPr>
        <w:tc>
          <w:tcPr>
            <w:tcW w:w="596" w:type="dxa"/>
            <w:vAlign w:val="center"/>
            <w:textDirection w:val="lrTb"/>
            <w:noWrap w:val="false"/>
          </w:tcPr>
          <w:p>
            <w:pPr>
              <w:pStyle w:val="769"/>
              <w:jc w:val="center"/>
              <w:widowControl/>
            </w:pPr>
            <w:r>
              <w:rPr>
                <w:rFonts w:hint="eastAsia"/>
              </w:rPr>
              <w:t xml:space="preserve">...</w:t>
            </w:r>
            <w:r/>
          </w:p>
        </w:tc>
        <w:tc>
          <w:tcPr>
            <w:tcW w:w="1543" w:type="dxa"/>
            <w:vAlign w:val="center"/>
            <w:textDirection w:val="lrTb"/>
            <w:noWrap w:val="false"/>
          </w:tcPr>
          <w:p>
            <w:pPr>
              <w:pStyle w:val="769"/>
              <w:jc w:val="center"/>
              <w:widowControl/>
            </w:pPr>
            <w:r/>
            <w:r/>
          </w:p>
        </w:tc>
        <w:tc>
          <w:tcPr>
            <w:tcW w:w="1543" w:type="dxa"/>
            <w:vAlign w:val="center"/>
            <w:textDirection w:val="lrTb"/>
            <w:noWrap w:val="false"/>
          </w:tcPr>
          <w:p>
            <w:pPr>
              <w:pStyle w:val="769"/>
              <w:jc w:val="center"/>
              <w:widowControl/>
            </w:pPr>
            <w:r/>
            <w:r/>
          </w:p>
        </w:tc>
        <w:tc>
          <w:tcPr>
            <w:tcW w:w="1596" w:type="dxa"/>
            <w:vAlign w:val="center"/>
            <w:textDirection w:val="lrTb"/>
            <w:noWrap w:val="false"/>
          </w:tcPr>
          <w:p>
            <w:pPr>
              <w:pStyle w:val="769"/>
              <w:jc w:val="center"/>
              <w:widowControl/>
            </w:pPr>
            <w:r/>
            <w:r/>
          </w:p>
        </w:tc>
        <w:tc>
          <w:tcPr>
            <w:tcW w:w="1811" w:type="dxa"/>
            <w:vAlign w:val="center"/>
            <w:textDirection w:val="lrTb"/>
            <w:noWrap w:val="false"/>
          </w:tcPr>
          <w:p>
            <w:pPr>
              <w:pStyle w:val="769"/>
              <w:jc w:val="center"/>
              <w:widowControl/>
            </w:pPr>
            <w:r/>
            <w:r/>
          </w:p>
        </w:tc>
        <w:tc>
          <w:tcPr>
            <w:tcW w:w="1586" w:type="dxa"/>
            <w:vAlign w:val="center"/>
            <w:textDirection w:val="lrTb"/>
            <w:noWrap w:val="false"/>
          </w:tcPr>
          <w:p>
            <w:pPr>
              <w:pStyle w:val="769"/>
              <w:jc w:val="center"/>
              <w:widowControl/>
            </w:pPr>
            <w:r/>
            <w:r/>
          </w:p>
        </w:tc>
        <w:tc>
          <w:tcPr>
            <w:tcW w:w="1287" w:type="dxa"/>
            <w:vAlign w:val="center"/>
            <w:textDirection w:val="lrTb"/>
            <w:noWrap w:val="false"/>
          </w:tcPr>
          <w:p>
            <w:pPr>
              <w:pStyle w:val="769"/>
              <w:jc w:val="center"/>
              <w:widowControl/>
            </w:pPr>
            <w:r/>
            <w:r/>
          </w:p>
        </w:tc>
      </w:tr>
      <w:tr>
        <w:trPr>
          <w:trHeight w:val="475"/>
        </w:trPr>
        <w:tc>
          <w:tcPr>
            <w:gridSpan w:val="5"/>
            <w:tcW w:w="7089" w:type="dxa"/>
            <w:vAlign w:val="center"/>
            <w:textDirection w:val="lrTb"/>
            <w:noWrap w:val="false"/>
          </w:tcPr>
          <w:p>
            <w:pPr>
              <w:pStyle w:val="769"/>
              <w:jc w:val="center"/>
              <w:widowControl/>
            </w:pPr>
            <w:r>
              <w:rPr>
                <w:rFonts w:hint="eastAsia"/>
              </w:rPr>
              <w:t xml:space="preserve">合计</w:t>
            </w:r>
            <w:r/>
          </w:p>
        </w:tc>
        <w:tc>
          <w:tcPr>
            <w:tcW w:w="1586" w:type="dxa"/>
            <w:vAlign w:val="center"/>
            <w:textDirection w:val="lrTb"/>
            <w:noWrap w:val="false"/>
          </w:tcPr>
          <w:p>
            <w:pPr>
              <w:pStyle w:val="769"/>
              <w:jc w:val="center"/>
              <w:widowControl/>
            </w:pPr>
            <w:r/>
            <w:r/>
          </w:p>
        </w:tc>
        <w:tc>
          <w:tcPr>
            <w:tcW w:w="1287" w:type="dxa"/>
            <w:vAlign w:val="center"/>
            <w:textDirection w:val="lrTb"/>
            <w:noWrap w:val="false"/>
          </w:tcPr>
          <w:p>
            <w:pPr>
              <w:pStyle w:val="769"/>
              <w:jc w:val="center"/>
              <w:widowControl/>
            </w:pPr>
            <w:r/>
            <w:r/>
          </w:p>
        </w:tc>
      </w:tr>
    </w:tbl>
    <w:p>
      <w:pPr>
        <w:pStyle w:val="769"/>
        <w:ind w:firstLine="480"/>
        <w:jc w:val="right"/>
        <w:widowControl/>
        <w:rPr>
          <w:rFonts w:ascii="宋体" w:hAnsi="宋体" w:cs="宋体"/>
          <w:sz w:val="24"/>
          <w:szCs w:val="24"/>
          <w:lang w:bidi="ar"/>
        </w:rPr>
      </w:pPr>
      <w:r>
        <w:rPr>
          <w:rFonts w:ascii="宋体" w:hAnsi="宋体" w:cs="宋体"/>
          <w:sz w:val="24"/>
          <w:szCs w:val="24"/>
          <w:lang w:bidi="ar"/>
        </w:rPr>
      </w:r>
      <w:r/>
    </w:p>
    <w:p>
      <w:pPr>
        <w:pStyle w:val="769"/>
        <w:ind w:firstLine="480"/>
        <w:jc w:val="right"/>
        <w:widowControl/>
        <w:rPr>
          <w:rFonts w:ascii="宋体" w:hAnsi="宋体" w:cs="宋体"/>
          <w:sz w:val="24"/>
          <w:szCs w:val="24"/>
          <w:lang w:bidi="ar"/>
        </w:rPr>
      </w:pPr>
      <w:r>
        <w:rPr>
          <w:rFonts w:ascii="宋体" w:hAnsi="宋体" w:cs="宋体"/>
          <w:sz w:val="24"/>
          <w:szCs w:val="24"/>
          <w:lang w:bidi="ar"/>
        </w:rPr>
      </w:r>
      <w:r/>
    </w:p>
    <w:p>
      <w:pPr>
        <w:pStyle w:val="769"/>
        <w:ind w:firstLine="480"/>
        <w:jc w:val="right"/>
        <w:widowControl/>
      </w:pPr>
      <w:r>
        <w:rPr>
          <w:rFonts w:hint="eastAsia" w:ascii="宋体" w:hAnsi="宋体" w:cs="宋体"/>
          <w:sz w:val="24"/>
          <w:szCs w:val="24"/>
          <w:lang w:bidi="ar"/>
        </w:rPr>
        <w:t xml:space="preserve">投标人名称（加盖公章）：</w:t>
      </w:r>
      <w:r>
        <w:rPr>
          <w:sz w:val="24"/>
          <w:szCs w:val="24"/>
          <w:lang w:bidi="ar"/>
        </w:rPr>
        <w:t xml:space="preserve">______ </w:t>
      </w:r>
      <w:r/>
    </w:p>
    <w:p>
      <w:pPr>
        <w:pStyle w:val="769"/>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p>
    <w:p>
      <w:pPr>
        <w:pStyle w:val="769"/>
        <w:jc w:val="center"/>
        <w:spacing w:line="360" w:lineRule="auto"/>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pStyle w:val="769"/>
        <w:ind w:firstLine="480"/>
        <w:jc w:val="left"/>
        <w:widowControl/>
      </w:pPr>
      <w:r>
        <w:rPr>
          <w:rFonts w:hint="eastAsia" w:ascii="宋体" w:hAnsi="宋体" w:cs="宋体"/>
          <w:sz w:val="24"/>
          <w:szCs w:val="24"/>
          <w:lang w:bidi="ar"/>
        </w:rPr>
        <w:t xml:space="preserve">注： </w:t>
      </w:r>
      <w:r/>
    </w:p>
    <w:p>
      <w:pPr>
        <w:pStyle w:val="769"/>
        <w:ind w:firstLine="480"/>
        <w:jc w:val="left"/>
        <w:widowControl/>
      </w:pPr>
      <w:r>
        <w:rPr>
          <w:sz w:val="24"/>
          <w:szCs w:val="24"/>
          <w:lang w:bidi="ar"/>
        </w:rPr>
        <w:t xml:space="preserve">1.</w:t>
      </w:r>
      <w:r>
        <w:rPr>
          <w:rFonts w:hint="eastAsia" w:ascii="宋体" w:hAnsi="宋体" w:cs="宋体"/>
          <w:sz w:val="24"/>
          <w:szCs w:val="24"/>
          <w:lang w:bidi="ar"/>
        </w:rPr>
        <w:t xml:space="preserve">如本项目（包）允许分包，且投标人拟在中标后进行分包的，必须在投标文件中提供分包情况说明。 </w:t>
      </w:r>
      <w:r/>
    </w:p>
    <w:p>
      <w:pPr>
        <w:pStyle w:val="769"/>
        <w:ind w:firstLine="480"/>
        <w:jc w:val="left"/>
        <w:widowControl/>
      </w:pPr>
      <w:r>
        <w:rPr>
          <w:sz w:val="24"/>
          <w:szCs w:val="24"/>
          <w:lang w:bidi="ar"/>
        </w:rPr>
        <w:t xml:space="preserve">2.</w:t>
      </w:r>
      <w:r>
        <w:rPr>
          <w:rFonts w:hint="eastAsia" w:ascii="宋体" w:hAnsi="宋体" w:cs="宋体"/>
          <w:sz w:val="24"/>
          <w:szCs w:val="24"/>
          <w:lang w:bidi="ar"/>
        </w:rPr>
        <w:t xml:space="preserve">如本招标文件载明本项目分包承担主体应具备的相应资质条件，则投标人须在本表中列明分包承担主体的资质等级，并提供资质证书。</w:t>
      </w:r>
      <w:r/>
    </w:p>
    <w:p>
      <w:pPr>
        <w:pStyle w:val="769"/>
        <w:jc w:val="center"/>
        <w:spacing w:line="360" w:lineRule="auto"/>
        <w:widowControl/>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分包意向协议</w:t>
      </w:r>
      <w:r/>
    </w:p>
    <w:p>
      <w:pPr>
        <w:pStyle w:val="769"/>
        <w:ind w:firstLine="480"/>
        <w:jc w:val="left"/>
        <w:widowControl/>
      </w:pPr>
      <w:r>
        <w:rPr>
          <w:rFonts w:hint="eastAsia" w:ascii="宋体" w:hAnsi="宋体" w:cs="宋体"/>
          <w:sz w:val="24"/>
          <w:szCs w:val="24"/>
          <w:lang w:bidi="ar"/>
        </w:rPr>
        <w:t xml:space="preserve">甲方（投标人）：</w:t>
      </w:r>
      <w:r>
        <w:rPr>
          <w:sz w:val="24"/>
          <w:szCs w:val="24"/>
          <w:lang w:bidi="ar"/>
        </w:rPr>
        <w:t xml:space="preserve">________ </w:t>
      </w:r>
      <w:r/>
    </w:p>
    <w:p>
      <w:pPr>
        <w:pStyle w:val="769"/>
        <w:ind w:firstLine="480"/>
        <w:jc w:val="left"/>
        <w:widowControl/>
      </w:pPr>
      <w:r>
        <w:rPr>
          <w:rFonts w:hint="eastAsia" w:ascii="宋体" w:hAnsi="宋体" w:cs="宋体"/>
          <w:sz w:val="24"/>
          <w:szCs w:val="24"/>
          <w:lang w:bidi="ar"/>
        </w:rPr>
        <w:t xml:space="preserve">乙方（分包承担主体）：</w:t>
      </w:r>
      <w:r>
        <w:rPr>
          <w:sz w:val="24"/>
          <w:szCs w:val="24"/>
          <w:lang w:bidi="ar"/>
        </w:rPr>
        <w:t xml:space="preserve">________ </w:t>
      </w:r>
      <w:r/>
    </w:p>
    <w:p>
      <w:pPr>
        <w:pStyle w:val="769"/>
        <w:ind w:firstLine="480"/>
        <w:jc w:val="left"/>
        <w:widowControl/>
      </w:pPr>
      <w:r>
        <w:rPr>
          <w:rFonts w:hint="eastAsia" w:ascii="宋体" w:hAnsi="宋体" w:cs="宋体"/>
          <w:sz w:val="24"/>
          <w:szCs w:val="24"/>
          <w:lang w:bidi="ar"/>
        </w:rPr>
        <w:t xml:space="preserve">甲方承诺，一旦在项目编号为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w:t>
      </w:r>
      <w:r>
        <w:rPr>
          <w:sz w:val="24"/>
          <w:szCs w:val="24"/>
          <w:lang w:bidi="ar"/>
        </w:rPr>
        <w:t xml:space="preserve">___</w:t>
      </w:r>
      <w:r>
        <w:rPr>
          <w:rFonts w:hint="eastAsia" w:ascii="宋体" w:hAnsi="宋体" w:cs="宋体"/>
          <w:sz w:val="24"/>
          <w:szCs w:val="24"/>
          <w:lang w:bidi="ar"/>
        </w:rPr>
        <w:t xml:space="preserve">（采购包号）中获得采购合同，将按照下述约定将合同项下部分内容分包给乙方： </w:t>
      </w:r>
      <w:r/>
    </w:p>
    <w:p>
      <w:pPr>
        <w:pStyle w:val="769"/>
        <w:ind w:firstLine="480"/>
        <w:jc w:val="left"/>
        <w:widowControl/>
      </w:pPr>
      <w:r>
        <w:rPr>
          <w:sz w:val="24"/>
          <w:szCs w:val="24"/>
          <w:lang w:bidi="ar"/>
        </w:rPr>
        <w:t xml:space="preserve">1.</w:t>
      </w:r>
      <w:r>
        <w:rPr>
          <w:rFonts w:hint="eastAsia" w:ascii="宋体" w:hAnsi="宋体" w:cs="宋体"/>
          <w:sz w:val="24"/>
          <w:szCs w:val="24"/>
          <w:lang w:bidi="ar"/>
        </w:rPr>
        <w:t xml:space="preserve">分包内容：</w:t>
      </w:r>
      <w:r>
        <w:rPr>
          <w:sz w:val="24"/>
          <w:szCs w:val="24"/>
          <w:lang w:bidi="ar"/>
        </w:rPr>
        <w:t xml:space="preserve">_____</w:t>
      </w:r>
      <w:r>
        <w:rPr>
          <w:rFonts w:hint="eastAsia" w:ascii="宋体" w:hAnsi="宋体" w:cs="宋体"/>
          <w:sz w:val="24"/>
          <w:szCs w:val="24"/>
          <w:lang w:bidi="ar"/>
        </w:rPr>
        <w:t xml:space="preserve">。 </w:t>
      </w:r>
      <w:r/>
    </w:p>
    <w:p>
      <w:pPr>
        <w:pStyle w:val="769"/>
        <w:ind w:firstLine="480"/>
        <w:jc w:val="left"/>
        <w:widowControl/>
      </w:pPr>
      <w:r>
        <w:rPr>
          <w:sz w:val="24"/>
          <w:szCs w:val="24"/>
          <w:lang w:bidi="ar"/>
        </w:rPr>
        <w:t xml:space="preserve">2.</w:t>
      </w:r>
      <w:r>
        <w:rPr>
          <w:rFonts w:hint="eastAsia" w:ascii="宋体" w:hAnsi="宋体" w:cs="宋体"/>
          <w:sz w:val="24"/>
          <w:szCs w:val="24"/>
          <w:lang w:bidi="ar"/>
        </w:rPr>
        <w:t xml:space="preserve">分包金额：</w:t>
      </w:r>
      <w:r>
        <w:rPr>
          <w:sz w:val="24"/>
          <w:szCs w:val="24"/>
          <w:lang w:bidi="ar"/>
        </w:rPr>
        <w:t xml:space="preserve">_____</w:t>
      </w:r>
      <w:r>
        <w:rPr>
          <w:rFonts w:hint="eastAsia" w:ascii="宋体" w:hAnsi="宋体" w:cs="宋体"/>
          <w:sz w:val="24"/>
          <w:szCs w:val="24"/>
          <w:lang w:bidi="ar"/>
        </w:rPr>
        <w:t xml:space="preserve">，该金额占该采购包合同金额的比例为</w:t>
      </w:r>
      <w:r>
        <w:rPr>
          <w:sz w:val="24"/>
          <w:szCs w:val="24"/>
          <w:lang w:bidi="ar"/>
        </w:rPr>
        <w:t xml:space="preserve">___%</w:t>
      </w:r>
      <w:r>
        <w:rPr>
          <w:rFonts w:hint="eastAsia" w:ascii="宋体" w:hAnsi="宋体" w:cs="宋体"/>
          <w:sz w:val="24"/>
          <w:szCs w:val="24"/>
          <w:lang w:bidi="ar"/>
        </w:rPr>
        <w:t xml:space="preserve">。 </w:t>
      </w:r>
      <w:r/>
    </w:p>
    <w:p>
      <w:pPr>
        <w:pStyle w:val="769"/>
        <w:ind w:firstLine="480"/>
        <w:jc w:val="left"/>
        <w:widowControl/>
      </w:pPr>
      <w:r>
        <w:rPr>
          <w:rFonts w:hint="eastAsia" w:ascii="宋体" w:hAnsi="宋体" w:cs="宋体"/>
          <w:sz w:val="24"/>
          <w:szCs w:val="24"/>
          <w:lang w:bidi="ar"/>
        </w:rPr>
        <w:t xml:space="preserve">乙方承诺将在上述情况下与甲方签订分包合同。 </w:t>
      </w:r>
      <w:r/>
    </w:p>
    <w:p>
      <w:pPr>
        <w:pStyle w:val="769"/>
        <w:ind w:firstLine="480"/>
        <w:jc w:val="left"/>
        <w:widowControl/>
      </w:pPr>
      <w:r>
        <w:rPr>
          <w:rFonts w:hint="eastAsia" w:ascii="宋体" w:hAnsi="宋体" w:cs="宋体"/>
          <w:sz w:val="24"/>
          <w:szCs w:val="24"/>
          <w:lang w:bidi="ar"/>
        </w:rPr>
        <w:t xml:space="preserve">本协议自各方盖章之日起生效，如甲方未在该项目（采购包）中标，本协议自动终止。 </w:t>
      </w:r>
      <w:r/>
    </w:p>
    <w:p>
      <w:pPr>
        <w:pStyle w:val="769"/>
        <w:ind w:firstLine="480"/>
        <w:jc w:val="right"/>
        <w:widowControl/>
        <w:rPr>
          <w:rFonts w:ascii="宋体" w:hAnsi="宋体" w:cs="宋体"/>
          <w:sz w:val="24"/>
          <w:szCs w:val="24"/>
          <w:lang w:bidi="ar"/>
        </w:rPr>
      </w:pPr>
      <w:r>
        <w:rPr>
          <w:rFonts w:ascii="宋体" w:hAnsi="宋体" w:cs="宋体"/>
          <w:sz w:val="24"/>
          <w:szCs w:val="24"/>
          <w:lang w:bidi="ar"/>
        </w:rPr>
      </w:r>
      <w:r/>
    </w:p>
    <w:p>
      <w:pPr>
        <w:pStyle w:val="769"/>
        <w:ind w:firstLine="480"/>
        <w:jc w:val="right"/>
        <w:widowControl/>
        <w:rPr>
          <w:rFonts w:ascii="宋体" w:hAnsi="宋体" w:cs="宋体"/>
          <w:sz w:val="24"/>
          <w:szCs w:val="24"/>
          <w:lang w:bidi="ar"/>
        </w:rPr>
      </w:pPr>
      <w:r>
        <w:rPr>
          <w:rFonts w:ascii="宋体" w:hAnsi="宋体" w:cs="宋体"/>
          <w:sz w:val="24"/>
          <w:szCs w:val="24"/>
          <w:lang w:bidi="ar"/>
        </w:rPr>
      </w:r>
      <w:r/>
    </w:p>
    <w:p>
      <w:pPr>
        <w:pStyle w:val="769"/>
        <w:ind w:firstLine="480"/>
        <w:jc w:val="right"/>
        <w:widowControl/>
      </w:pPr>
      <w:r>
        <w:rPr>
          <w:rFonts w:hint="eastAsia" w:ascii="宋体" w:hAnsi="宋体" w:cs="宋体"/>
          <w:sz w:val="24"/>
          <w:szCs w:val="24"/>
          <w:lang w:bidi="ar"/>
        </w:rPr>
        <w:t xml:space="preserve">甲方（盖章）：</w:t>
      </w:r>
      <w:r>
        <w:rPr>
          <w:sz w:val="24"/>
          <w:szCs w:val="24"/>
          <w:lang w:bidi="ar"/>
        </w:rPr>
        <w:t xml:space="preserve">_________ </w:t>
      </w:r>
      <w:r/>
    </w:p>
    <w:p>
      <w:pPr>
        <w:pStyle w:val="769"/>
        <w:ind w:firstLine="480"/>
        <w:jc w:val="right"/>
        <w:widowControl/>
      </w:pPr>
      <w:r>
        <w:rPr>
          <w:rFonts w:hint="eastAsia" w:ascii="宋体" w:hAnsi="宋体" w:cs="宋体"/>
          <w:sz w:val="24"/>
          <w:szCs w:val="24"/>
          <w:lang w:bidi="ar"/>
        </w:rPr>
        <w:t xml:space="preserve">乙方（盖章）：</w:t>
      </w:r>
      <w:r>
        <w:rPr>
          <w:sz w:val="24"/>
          <w:szCs w:val="24"/>
          <w:lang w:bidi="ar"/>
        </w:rPr>
        <w:t xml:space="preserve">_________ </w:t>
      </w:r>
      <w:r/>
    </w:p>
    <w:p>
      <w:pPr>
        <w:pStyle w:val="769"/>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rPr>
          <w:sz w:val="24"/>
          <w:szCs w:val="24"/>
          <w:lang w:bidi="ar"/>
        </w:rPr>
        <w:t xml:space="preserve"> </w:t>
      </w:r>
      <w:r/>
    </w:p>
    <w:p>
      <w:pPr>
        <w:pStyle w:val="769"/>
        <w:ind w:firstLine="480"/>
        <w:jc w:val="left"/>
        <w:widowControl/>
        <w:rPr>
          <w:rFonts w:ascii="宋体" w:hAnsi="宋体" w:cs="宋体"/>
          <w:sz w:val="24"/>
          <w:szCs w:val="24"/>
          <w:lang w:bidi="ar"/>
        </w:rPr>
      </w:pPr>
      <w:r>
        <w:rPr>
          <w:rFonts w:ascii="宋体" w:hAnsi="宋体" w:cs="宋体"/>
          <w:sz w:val="24"/>
          <w:szCs w:val="24"/>
          <w:lang w:bidi="ar"/>
        </w:rPr>
      </w:r>
      <w:r/>
    </w:p>
    <w:p>
      <w:pPr>
        <w:pStyle w:val="769"/>
        <w:ind w:firstLine="480"/>
        <w:jc w:val="left"/>
        <w:widowControl/>
        <w:rPr>
          <w:rFonts w:ascii="宋体" w:hAnsi="宋体" w:cs="宋体"/>
          <w:sz w:val="24"/>
          <w:szCs w:val="24"/>
          <w:lang w:bidi="ar"/>
        </w:rPr>
      </w:pPr>
      <w:r>
        <w:rPr>
          <w:rFonts w:ascii="宋体" w:hAnsi="宋体" w:cs="宋体"/>
          <w:sz w:val="24"/>
          <w:szCs w:val="24"/>
          <w:lang w:bidi="ar"/>
        </w:rPr>
      </w:r>
      <w:r/>
    </w:p>
    <w:p>
      <w:pPr>
        <w:pStyle w:val="769"/>
        <w:ind w:firstLine="480"/>
        <w:jc w:val="left"/>
        <w:widowControl/>
      </w:pPr>
      <w:r>
        <w:rPr>
          <w:rFonts w:hint="eastAsia" w:ascii="宋体" w:hAnsi="宋体" w:cs="宋体"/>
          <w:sz w:val="24"/>
          <w:szCs w:val="24"/>
          <w:lang w:bidi="ar"/>
        </w:rPr>
        <w:t xml:space="preserve">注： </w:t>
      </w:r>
      <w:r/>
    </w:p>
    <w:p>
      <w:pPr>
        <w:pStyle w:val="769"/>
        <w:ind w:firstLine="480"/>
        <w:jc w:val="left"/>
        <w:widowControl/>
      </w:pPr>
      <w:r>
        <w:rPr>
          <w:sz w:val="24"/>
          <w:szCs w:val="24"/>
          <w:lang w:bidi="ar"/>
        </w:rPr>
        <w:t xml:space="preserve">1. 如本项目（</w:t>
      </w:r>
      <w:r>
        <w:rPr>
          <w:rFonts w:hint="eastAsia"/>
          <w:sz w:val="24"/>
          <w:szCs w:val="24"/>
          <w:lang w:bidi="ar"/>
        </w:rPr>
        <w:t xml:space="preserve">采购</w:t>
      </w:r>
      <w:r>
        <w:rPr>
          <w:sz w:val="24"/>
          <w:szCs w:val="24"/>
          <w:lang w:bidi="ar"/>
        </w:rPr>
        <w:t xml:space="preserve">包）允许分包，且投标人拟</w:t>
      </w:r>
      <w:r>
        <w:rPr>
          <w:rFonts w:hint="eastAsia"/>
          <w:sz w:val="24"/>
          <w:szCs w:val="24"/>
          <w:lang w:bidi="ar"/>
        </w:rPr>
        <w:t xml:space="preserve">在中标后</w:t>
      </w:r>
      <w:r>
        <w:rPr>
          <w:sz w:val="24"/>
          <w:szCs w:val="24"/>
          <w:lang w:bidi="ar"/>
        </w:rPr>
        <w:t xml:space="preserve">进行分包</w:t>
      </w:r>
      <w:r>
        <w:rPr>
          <w:rFonts w:hint="eastAsia"/>
          <w:sz w:val="24"/>
          <w:szCs w:val="24"/>
          <w:lang w:bidi="ar"/>
        </w:rPr>
        <w:t xml:space="preserve">的</w:t>
      </w:r>
      <w:r>
        <w:rPr>
          <w:sz w:val="24"/>
          <w:szCs w:val="24"/>
          <w:lang w:bidi="ar"/>
        </w:rPr>
        <w:t xml:space="preserve">，</w:t>
      </w:r>
      <w:r>
        <w:rPr>
          <w:sz w:val="24"/>
          <w:szCs w:val="24"/>
          <w:lang w:bidi="ar"/>
        </w:rPr>
        <w:t xml:space="preserve">必须</w:t>
      </w:r>
      <w:r>
        <w:rPr>
          <w:rFonts w:hint="eastAsia"/>
          <w:sz w:val="24"/>
          <w:szCs w:val="24"/>
          <w:lang w:bidi="ar"/>
        </w:rPr>
        <w:t xml:space="preserve">在投标文件中</w:t>
      </w:r>
      <w:r>
        <w:rPr>
          <w:sz w:val="24"/>
          <w:szCs w:val="24"/>
          <w:lang w:bidi="ar"/>
        </w:rPr>
        <w:t xml:space="preserve">提供</w:t>
      </w:r>
      <w:r>
        <w:rPr>
          <w:rFonts w:hint="eastAsia"/>
          <w:sz w:val="24"/>
          <w:szCs w:val="24"/>
          <w:lang w:bidi="ar"/>
        </w:rPr>
        <w:t xml:space="preserve">本协议</w:t>
      </w:r>
      <w:r>
        <w:rPr>
          <w:rFonts w:hint="eastAsia" w:ascii="宋体" w:hAnsi="宋体" w:cs="宋体"/>
          <w:sz w:val="24"/>
          <w:szCs w:val="24"/>
          <w:lang w:bidi="ar"/>
        </w:rPr>
        <w:t xml:space="preserve">。 </w:t>
      </w:r>
      <w:r/>
    </w:p>
    <w:p>
      <w:pPr>
        <w:pStyle w:val="769"/>
        <w:ind w:firstLine="480"/>
        <w:jc w:val="left"/>
        <w:widowControl/>
      </w:pPr>
      <w:r>
        <w:rPr>
          <w:sz w:val="24"/>
          <w:szCs w:val="24"/>
          <w:lang w:bidi="ar"/>
        </w:rPr>
        <w:t xml:space="preserve">2. </w:t>
      </w:r>
      <w:r>
        <w:rPr>
          <w:rFonts w:hint="eastAsia" w:ascii="宋体" w:hAnsi="宋体" w:cs="宋体"/>
          <w:sz w:val="24"/>
          <w:szCs w:val="24"/>
          <w:lang w:bidi="ar"/>
        </w:rPr>
        <w:t xml:space="preserve">投标人满足《政府采购促进中小企业发展管理办法》（财库〔</w:t>
      </w:r>
      <w:r>
        <w:rPr>
          <w:sz w:val="24"/>
          <w:szCs w:val="24"/>
          <w:lang w:bidi="ar"/>
        </w:rPr>
        <w:t xml:space="preserve">2020</w:t>
      </w:r>
      <w:r>
        <w:rPr>
          <w:rFonts w:hint="eastAsia" w:ascii="宋体" w:hAnsi="宋体" w:cs="宋体"/>
          <w:sz w:val="24"/>
          <w:szCs w:val="24"/>
          <w:lang w:bidi="ar"/>
        </w:rPr>
        <w:t xml:space="preserve">〕</w:t>
      </w:r>
      <w:r>
        <w:rPr>
          <w:sz w:val="24"/>
          <w:szCs w:val="24"/>
          <w:lang w:bidi="ar"/>
        </w:rPr>
        <w:t xml:space="preserve">46 </w:t>
      </w:r>
      <w:r>
        <w:rPr>
          <w:rFonts w:hint="eastAsia" w:ascii="宋体" w:hAnsi="宋体" w:cs="宋体"/>
          <w:sz w:val="24"/>
          <w:szCs w:val="24"/>
          <w:lang w:bidi="ar"/>
        </w:rPr>
        <w:t xml:space="preserve">号）第九条 </w:t>
      </w:r>
      <w:r/>
    </w:p>
    <w:p>
      <w:pPr>
        <w:pStyle w:val="769"/>
        <w:jc w:val="left"/>
        <w:widowControl/>
      </w:pPr>
      <w:r>
        <w:rPr>
          <w:rFonts w:hint="eastAsia" w:ascii="宋体" w:hAnsi="宋体" w:cs="宋体"/>
          <w:sz w:val="24"/>
          <w:szCs w:val="24"/>
          <w:lang w:bidi="ar"/>
        </w:rPr>
        <w:t xml:space="preserve">有关规定，拟享受中小企业政策优惠措施的，仍需提供本协议，否则不予认可； </w:t>
      </w:r>
      <w:r/>
    </w:p>
    <w:p>
      <w:pPr>
        <w:pStyle w:val="769"/>
        <w:numPr>
          <w:ilvl w:val="0"/>
          <w:numId w:val="29"/>
        </w:numPr>
        <w:ind w:firstLine="480"/>
        <w:jc w:val="left"/>
        <w:widowControl/>
        <w:rPr>
          <w:rFonts w:hint="eastAsia" w:ascii="宋体" w:hAnsi="宋体" w:cs="宋体"/>
          <w:sz w:val="24"/>
          <w:szCs w:val="24"/>
          <w:lang w:bidi="ar"/>
        </w:rPr>
      </w:pPr>
      <w:r>
        <w:rPr>
          <w:rFonts w:hint="eastAsia" w:ascii="宋体" w:hAnsi="宋体" w:cs="宋体"/>
          <w:sz w:val="24"/>
          <w:szCs w:val="24"/>
          <w:lang w:bidi="ar"/>
        </w:rPr>
        <w:t xml:space="preserve">投标人须按分包情况说明与所有拟分包承担主体分别签订《分包意向协议》，并在投标文件中提交。</w:t>
      </w:r>
      <w:r>
        <w:rPr>
          <w:rFonts w:hint="eastAsia" w:ascii="宋体" w:hAnsi="宋体" w:cs="宋体"/>
          <w:sz w:val="24"/>
          <w:szCs w:val="24"/>
          <w:lang w:bidi="ar"/>
        </w:rPr>
      </w:r>
      <w:r/>
    </w:p>
    <w:p>
      <w:pPr>
        <w:pStyle w:val="769"/>
        <w:jc w:val="center"/>
        <w:keepNext/>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pStyle w:val="769"/>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769"/>
        <w:keepNext/>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69"/>
        <w:keepNext/>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69"/>
        <w:keepNext/>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69"/>
        <w:keepNext/>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69"/>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769"/>
        <w:keepNext/>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69"/>
        <w:keepNext/>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769"/>
        <w:keepNext/>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69"/>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769"/>
        <w:keepNext/>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69"/>
        <w:keepNext/>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69"/>
        <w:keepNext/>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69"/>
        <w:keepNext/>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69"/>
        <w:keepNext/>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69"/>
        <w:keepNext/>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69"/>
        <w:keepNext/>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69"/>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769"/>
        <w:keepNext/>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69"/>
        <w:keepNext/>
        <w:rPr>
          <w:rFonts w:hint="eastAsia" w:ascii="宋体" w:hAnsi="宋体"/>
          <w:sz w:val="24"/>
          <w:szCs w:val="24"/>
        </w:rPr>
      </w:pPr>
      <w:r>
        <w:rPr>
          <w:rFonts w:hint="eastAsia" w:ascii="宋体" w:hAnsi="宋体"/>
          <w:sz w:val="24"/>
          <w:szCs w:val="24"/>
        </w:rPr>
      </w:r>
      <w:r/>
    </w:p>
    <w:p>
      <w:pPr>
        <w:pStyle w:val="769"/>
        <w:keepNext/>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69"/>
        <w:keepNext/>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69"/>
        <w:ind w:firstLine="480"/>
        <w:keepNext/>
        <w:spacing w:line="480" w:lineRule="exact"/>
        <w:rPr>
          <w:rFonts w:ascii="宋体" w:hAnsi="宋体"/>
          <w:bCs/>
          <w:sz w:val="24"/>
          <w:szCs w:val="24"/>
        </w:rPr>
      </w:pPr>
      <w:r>
        <w:rPr>
          <w:rFonts w:ascii="宋体" w:hAnsi="宋体"/>
          <w:bCs/>
          <w:sz w:val="24"/>
          <w:szCs w:val="24"/>
        </w:rPr>
      </w:r>
      <w:r/>
    </w:p>
    <w:p>
      <w:pPr>
        <w:pStyle w:val="782"/>
        <w:rPr>
          <w:rFonts w:hint="eastAsia" w:eastAsia="等线"/>
          <w:lang w:val="en-US"/>
        </w:rPr>
      </w:pPr>
      <w:r>
        <w:rPr>
          <w:rFonts w:hint="eastAsia" w:eastAsia="等线"/>
          <w:lang w:val="en-US"/>
        </w:rPr>
      </w:r>
      <w:r/>
    </w:p>
    <w:p>
      <w:pPr>
        <w:pStyle w:val="769"/>
        <w:ind w:firstLine="480"/>
        <w:keepNext/>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69"/>
        <w:ind w:firstLine="480"/>
        <w:keepNext/>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769"/>
        <w:ind w:firstLine="480"/>
        <w:keepNext/>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pStyle w:val="769"/>
        <w:ind w:firstLine="480"/>
        <w:keepNext/>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pStyle w:val="769"/>
        <w:ind w:firstLine="480"/>
        <w:keepNext/>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769"/>
        <w:ind w:firstLine="480"/>
        <w:keepNext/>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769"/>
        <w:ind w:firstLine="480"/>
        <w:keepNext/>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769"/>
        <w:ind w:firstLine="480"/>
        <w:keepNext/>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footnotePr/>
      <w:endnotePr/>
      <w:type w:val="nextPage"/>
      <w:pgSz w:w="11906" w:h="16838" w:orient="portrait"/>
      <w:pgMar w:top="1440" w:right="1080" w:bottom="1440" w:left="1080" w:header="851" w:footer="907" w:gutter="0"/>
      <w:pgBorders w:display="allPages" w:offsetFrom="page" w:zOrder="front">
        <w:top w:color="000000" w:space="24" w:sz="4" w:val="single"/>
      </w:pgBorders>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方正小标宋简体">
    <w:panose1 w:val="020B0503020202020204"/>
  </w:font>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４０</w:t>
                          </w:r>
                          <w:r>
                            <w:rPr>
                              <w:rFonts w:hint="eastAsia"/>
                            </w:rPr>
                            <w:fldChar w:fldCharType="end"/>
                          </w:r>
                          <w:r>
                            <w:rPr>
                              <w:rFonts w:hint="eastAsia"/>
                            </w:rPr>
                          </w:r>
                          <w:r/>
                        </w:p>
                        <w:p>
                          <w:pPr>
                            <w:pStyle w:val="769"/>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４０</w:t>
                    </w:r>
                    <w:r>
                      <w:rPr>
                        <w:rFonts w:hint="eastAsia"/>
                      </w:rPr>
                      <w:fldChar w:fldCharType="end"/>
                    </w:r>
                    <w:r>
                      <w:rPr>
                        <w:rFonts w:hint="eastAsia"/>
                      </w:rPr>
                    </w:r>
                    <w:r/>
                  </w:p>
                  <w:p>
                    <w:pPr>
                      <w:pStyle w:val="76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rPr>
                              <w:rFonts w:hint="eastAsia"/>
                            </w:rPr>
                          </w:pPr>
                          <w:r>
                            <w:rPr>
                              <w:rFonts w:hint="eastAsia"/>
                            </w:rPr>
                          </w:r>
                          <w:r/>
                        </w:p>
                        <w:p>
                          <w:pPr>
                            <w:pStyle w:val="76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rPr>
                        <w:rFonts w:hint="eastAsia"/>
                      </w:rPr>
                    </w:pPr>
                    <w:r>
                      <w:rPr>
                        <w:rFonts w:hint="eastAsia"/>
                      </w:rPr>
                    </w:r>
                    <w:r/>
                  </w:p>
                  <w:p>
                    <w:pPr>
                      <w:pStyle w:val="76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3"/>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０</w:t>
                          </w:r>
                          <w:r>
                            <w:rPr>
                              <w:rFonts w:hint="eastAsia"/>
                            </w:rPr>
                            <w:fldChar w:fldCharType="end"/>
                          </w:r>
                          <w:r>
                            <w:rPr>
                              <w:rFonts w:hint="eastAsia"/>
                            </w:rPr>
                          </w:r>
                          <w:r/>
                        </w:p>
                        <w:p>
                          <w:pPr>
                            <w:pStyle w:val="76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3"/>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０</w:t>
                    </w:r>
                    <w:r>
                      <w:rPr>
                        <w:rFonts w:hint="eastAsia"/>
                      </w:rPr>
                      <w:fldChar w:fldCharType="end"/>
                    </w:r>
                    <w:r>
                      <w:rPr>
                        <w:rFonts w:hint="eastAsia"/>
                      </w:rPr>
                    </w:r>
                    <w:r/>
                  </w:p>
                  <w:p>
                    <w:pPr>
                      <w:pStyle w:val="769"/>
                    </w:pPr>
                    <w:r/>
                    <w:r/>
                  </w:p>
                </w:txbxContent>
              </v:textbox>
            </v:shape>
          </w:pict>
        </mc:Fallback>
      </mc:AlternateContent>
    </w:r>
    <w:r>
      <w:rPr>
        <w:rFonts w:hint="eastAsia"/>
      </w:rPr>
      <w:t xml:space="preserve">1</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69"/>
        <w:ind w:left="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864"/>
      <w:isLgl w:val="false"/>
      <w:suff w:val="tab"/>
      <w:lvlText w:val="附录%1."/>
      <w:lvlJc w:val="left"/>
      <w:pPr>
        <w:pStyle w:val="7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910"/>
      <w:isLgl w:val="false"/>
      <w:suff w:val="tab"/>
      <w:lvlText w:val="%1."/>
      <w:lvlJc w:val="left"/>
      <w:pPr>
        <w:pStyle w:val="769"/>
        <w:ind w:left="709" w:hanging="709"/>
        <w:tabs>
          <w:tab w:val="num" w:pos="709" w:leader="none"/>
        </w:tabs>
      </w:pPr>
      <w:rPr>
        <w:rFonts w:hint="eastAsia"/>
      </w:rPr>
    </w:lvl>
    <w:lvl w:ilvl="1">
      <w:start w:val="1"/>
      <w:numFmt w:val="decimal"/>
      <w:isLgl w:val="false"/>
      <w:suff w:val="tab"/>
      <w:lvlText w:val="%1.%2"/>
      <w:lvlJc w:val="left"/>
      <w:pPr>
        <w:pStyle w:val="769"/>
        <w:ind w:left="709" w:hanging="709"/>
        <w:tabs>
          <w:tab w:val="num" w:pos="709" w:leader="none"/>
        </w:tabs>
      </w:pPr>
      <w:rPr>
        <w:rFonts w:hint="eastAsia"/>
      </w:rPr>
    </w:lvl>
    <w:lvl w:ilvl="2">
      <w:start w:val="1"/>
      <w:numFmt w:val="decimal"/>
      <w:isLgl w:val="false"/>
      <w:suff w:val="tab"/>
      <w:lvlText w:val="%1.%2.%3."/>
      <w:lvlJc w:val="left"/>
      <w:pPr>
        <w:pStyle w:val="769"/>
        <w:ind w:left="425" w:hanging="425"/>
        <w:tabs>
          <w:tab w:val="num" w:pos="425" w:leader="none"/>
        </w:tabs>
      </w:pPr>
      <w:rPr>
        <w:rFonts w:hint="eastAsia"/>
      </w:rPr>
    </w:lvl>
    <w:lvl w:ilvl="3">
      <w:start w:val="1"/>
      <w:numFmt w:val="decimal"/>
      <w:isLgl w:val="false"/>
      <w:suff w:val="tab"/>
      <w:lvlText w:val="%1.%2.%3.%4."/>
      <w:lvlJc w:val="left"/>
      <w:pPr>
        <w:pStyle w:val="769"/>
        <w:ind w:left="851" w:hanging="851"/>
        <w:tabs>
          <w:tab w:val="num" w:pos="851" w:leader="none"/>
        </w:tabs>
      </w:pPr>
      <w:rPr>
        <w:rFonts w:hint="eastAsia"/>
      </w:rPr>
    </w:lvl>
    <w:lvl w:ilvl="4">
      <w:start w:val="1"/>
      <w:numFmt w:val="decimal"/>
      <w:isLgl w:val="false"/>
      <w:suff w:val="tab"/>
      <w:lvlText w:val="%1.%2.%3.%4.%5."/>
      <w:lvlJc w:val="left"/>
      <w:pPr>
        <w:pStyle w:val="769"/>
        <w:ind w:left="992" w:hanging="992"/>
        <w:tabs>
          <w:tab w:val="num" w:pos="992" w:leader="none"/>
        </w:tabs>
      </w:pPr>
      <w:rPr>
        <w:rFonts w:hint="eastAsia"/>
      </w:rPr>
    </w:lvl>
    <w:lvl w:ilvl="5">
      <w:start w:val="1"/>
      <w:numFmt w:val="decimal"/>
      <w:isLgl w:val="false"/>
      <w:suff w:val="tab"/>
      <w:lvlText w:val="%1.%2.%3.%4.%5.%6."/>
      <w:lvlJc w:val="left"/>
      <w:pPr>
        <w:pStyle w:val="769"/>
        <w:ind w:left="1134" w:hanging="1134"/>
        <w:tabs>
          <w:tab w:val="num" w:pos="1134" w:leader="none"/>
        </w:tabs>
      </w:pPr>
      <w:rPr>
        <w:rFonts w:hint="eastAsia"/>
      </w:rPr>
    </w:lvl>
    <w:lvl w:ilvl="6">
      <w:start w:val="1"/>
      <w:numFmt w:val="decimal"/>
      <w:isLgl w:val="false"/>
      <w:suff w:val="tab"/>
      <w:lvlText w:val="%1.%2.%3.%4.%5.%6.%7."/>
      <w:lvlJc w:val="left"/>
      <w:pPr>
        <w:pStyle w:val="769"/>
        <w:ind w:left="1276" w:hanging="1276"/>
        <w:tabs>
          <w:tab w:val="num" w:pos="1276" w:leader="none"/>
        </w:tabs>
      </w:pPr>
      <w:rPr>
        <w:rFonts w:hint="eastAsia"/>
      </w:rPr>
    </w:lvl>
    <w:lvl w:ilvl="7">
      <w:start w:val="1"/>
      <w:numFmt w:val="decimal"/>
      <w:isLgl w:val="false"/>
      <w:suff w:val="tab"/>
      <w:lvlText w:val="%1.%2.%3.%4.%5.%6.%7.%8."/>
      <w:lvlJc w:val="left"/>
      <w:pPr>
        <w:pStyle w:val="769"/>
        <w:ind w:left="1418" w:hanging="1418"/>
        <w:tabs>
          <w:tab w:val="num" w:pos="1418" w:leader="none"/>
        </w:tabs>
      </w:pPr>
      <w:rPr>
        <w:rFonts w:hint="eastAsia"/>
      </w:rPr>
    </w:lvl>
    <w:lvl w:ilvl="8">
      <w:start w:val="1"/>
      <w:numFmt w:val="decimal"/>
      <w:isLgl w:val="false"/>
      <w:suff w:val="tab"/>
      <w:lvlText w:val="%1.%2.%3.%4.%5.%6.%7.%8.%9."/>
      <w:lvlJc w:val="left"/>
      <w:pPr>
        <w:pStyle w:val="769"/>
        <w:ind w:left="1559" w:hanging="1559"/>
        <w:tabs>
          <w:tab w:val="num" w:pos="1559" w:leader="none"/>
        </w:tabs>
      </w:pPr>
      <w:rPr>
        <w:rFonts w:hint="eastAsia"/>
      </w:rPr>
    </w:lvl>
  </w:abstractNum>
  <w:abstractNum w:abstractNumId="17">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Thousand"/>
      <w:isLgl w:val="false"/>
      <w:suff w:val="nothing"/>
      <w:lvlText w:val="第%1章 "/>
      <w:lvlJc w:val="left"/>
      <w:pPr>
        <w:pStyle w:val="769"/>
        <w:ind w:left="0" w:firstLine="0"/>
      </w:pPr>
      <w:rPr>
        <w:rFonts w:hint="eastAsia"/>
      </w:rPr>
    </w:lvl>
    <w:lvl w:ilvl="1">
      <w:start w:val="1"/>
      <w:numFmt w:val="decimal"/>
      <w:isLgl w:val="false"/>
      <w:suff w:val="nothing"/>
      <w:lvlText w:val="%2、"/>
      <w:lvlJc w:val="left"/>
      <w:pPr>
        <w:pStyle w:val="769"/>
        <w:ind w:left="0" w:firstLine="0"/>
      </w:pPr>
      <w:rPr>
        <w:rFonts w:hint="eastAsia"/>
      </w:rPr>
    </w:lvl>
    <w:lvl w:ilvl="2">
      <w:start w:val="1"/>
      <w:numFmt w:val="decimal"/>
      <w:isLgl w:val="false"/>
      <w:suff w:val="nothing"/>
      <w:lvlText w:val="%2.%3 "/>
      <w:lvlJc w:val="left"/>
      <w:pPr>
        <w:pStyle w:val="769"/>
        <w:ind w:left="0" w:firstLine="0"/>
      </w:pPr>
      <w:rPr>
        <w:rFonts w:hint="eastAsia"/>
      </w:rPr>
    </w:lvl>
    <w:lvl w:ilvl="3">
      <w:start w:val="1"/>
      <w:numFmt w:val="decimal"/>
      <w:isLgl w:val="false"/>
      <w:suff w:val="nothing"/>
      <w:lvlText w:val="%2.%3.%4 "/>
      <w:lvlJc w:val="left"/>
      <w:pPr>
        <w:pStyle w:val="769"/>
        <w:ind w:left="0" w:firstLine="0"/>
      </w:pPr>
      <w:rPr>
        <w:rFonts w:hint="eastAsia"/>
      </w:rPr>
    </w:lvl>
    <w:lvl w:ilvl="4">
      <w:start w:val="1"/>
      <w:numFmt w:val="decimal"/>
      <w:isLgl w:val="false"/>
      <w:suff w:val="nothing"/>
      <w:lvlText w:val="%2.%3.%4.%5 "/>
      <w:lvlJc w:val="left"/>
      <w:pPr>
        <w:pStyle w:val="769"/>
        <w:ind w:left="0" w:firstLine="0"/>
      </w:pPr>
      <w:rPr>
        <w:rFonts w:hint="eastAsia"/>
      </w:rPr>
    </w:lvl>
    <w:lvl w:ilvl="5">
      <w:start w:val="1"/>
      <w:numFmt w:val="decimal"/>
      <w:pStyle w:val="775"/>
      <w:isLgl w:val="false"/>
      <w:suff w:val="nothing"/>
      <w:lvlText w:val=""/>
      <w:lvlJc w:val="left"/>
      <w:pPr>
        <w:pStyle w:val="769"/>
        <w:ind w:left="0" w:firstLine="0"/>
      </w:pPr>
      <w:rPr>
        <w:rFonts w:hint="eastAsia"/>
      </w:rPr>
    </w:lvl>
    <w:lvl w:ilvl="6">
      <w:start w:val="1"/>
      <w:numFmt w:val="decimal"/>
      <w:pStyle w:val="776"/>
      <w:isLgl w:val="false"/>
      <w:suff w:val="nothing"/>
      <w:lvlText w:val=""/>
      <w:lvlJc w:val="left"/>
      <w:pPr>
        <w:pStyle w:val="769"/>
        <w:ind w:left="0" w:firstLine="0"/>
      </w:pPr>
      <w:rPr>
        <w:rFonts w:hint="eastAsia"/>
      </w:rPr>
    </w:lvl>
    <w:lvl w:ilvl="7">
      <w:start w:val="1"/>
      <w:numFmt w:val="decimal"/>
      <w:pStyle w:val="777"/>
      <w:isLgl w:val="false"/>
      <w:suff w:val="nothing"/>
      <w:lvlText w:val=""/>
      <w:lvlJc w:val="left"/>
      <w:pPr>
        <w:pStyle w:val="769"/>
        <w:ind w:left="0" w:firstLine="0"/>
      </w:pPr>
      <w:rPr>
        <w:rFonts w:hint="eastAsia"/>
      </w:rPr>
    </w:lvl>
    <w:lvl w:ilvl="8">
      <w:start w:val="1"/>
      <w:numFmt w:val="decimal"/>
      <w:pStyle w:val="778"/>
      <w:isLgl w:val="false"/>
      <w:suff w:val="nothing"/>
      <w:lvlText w:val=""/>
      <w:lvlJc w:val="left"/>
      <w:pPr>
        <w:pStyle w:val="769"/>
        <w:ind w:left="0" w:firstLine="0"/>
      </w:pPr>
      <w:rPr>
        <w:rFonts w:hint="eastAsia"/>
      </w:rPr>
    </w:lvl>
  </w:abstractNum>
  <w:abstractNum w:abstractNumId="22">
    <w:multiLevelType w:val="hybridMultilevel"/>
    <w:lvl w:ilvl="0">
      <w:start w:val="3"/>
      <w:numFmt w:val="decimal"/>
      <w:isLgl w:val="false"/>
      <w:suff w:val="space"/>
      <w:lvlText w:val="%1."/>
      <w:lvlJc w:val="left"/>
      <w:pPr>
        <w:pStyle w:val="769"/>
      </w:pPr>
    </w:lvl>
    <w:lvl w:ilvl="1">
      <w:start w:val="1"/>
      <w:numFmt w:val="bullet"/>
      <w:isLgl w:val="false"/>
      <w:suff w:val="tab"/>
      <w:lvlText w:val="o"/>
      <w:lvlJc w:val="left"/>
      <w:pPr>
        <w:pStyle w:val="769"/>
        <w:ind w:left="1440" w:hanging="360"/>
      </w:pPr>
      <w:rPr>
        <w:rFonts w:ascii="Courier New" w:hAnsi="Courier New" w:eastAsia="Courier New" w:cs="Courier New"/>
      </w:rPr>
    </w:lvl>
    <w:lvl w:ilvl="2">
      <w:start w:val="1"/>
      <w:numFmt w:val="bullet"/>
      <w:isLgl w:val="false"/>
      <w:suff w:val="tab"/>
      <w:lvlText w:val="§"/>
      <w:lvlJc w:val="left"/>
      <w:pPr>
        <w:pStyle w:val="769"/>
        <w:ind w:left="2160" w:hanging="360"/>
      </w:pPr>
      <w:rPr>
        <w:rFonts w:ascii="Wingdings" w:hAnsi="Wingdings" w:eastAsia="Wingdings" w:cs="Wingdings"/>
      </w:rPr>
    </w:lvl>
    <w:lvl w:ilvl="3">
      <w:start w:val="1"/>
      <w:numFmt w:val="bullet"/>
      <w:isLgl w:val="false"/>
      <w:suff w:val="tab"/>
      <w:lvlText w:val="·"/>
      <w:lvlJc w:val="left"/>
      <w:pPr>
        <w:pStyle w:val="769"/>
        <w:ind w:left="2880" w:hanging="360"/>
      </w:pPr>
      <w:rPr>
        <w:rFonts w:ascii="Symbol" w:hAnsi="Symbol" w:eastAsia="Symbol" w:cs="Symbol"/>
      </w:rPr>
    </w:lvl>
    <w:lvl w:ilvl="4">
      <w:start w:val="1"/>
      <w:numFmt w:val="bullet"/>
      <w:isLgl w:val="false"/>
      <w:suff w:val="tab"/>
      <w:lvlText w:val="o"/>
      <w:lvlJc w:val="left"/>
      <w:pPr>
        <w:pStyle w:val="769"/>
        <w:ind w:left="3600" w:hanging="360"/>
      </w:pPr>
      <w:rPr>
        <w:rFonts w:ascii="Courier New" w:hAnsi="Courier New" w:eastAsia="Courier New" w:cs="Courier New"/>
      </w:rPr>
    </w:lvl>
    <w:lvl w:ilvl="5">
      <w:start w:val="1"/>
      <w:numFmt w:val="bullet"/>
      <w:isLgl w:val="false"/>
      <w:suff w:val="tab"/>
      <w:lvlText w:val="§"/>
      <w:lvlJc w:val="left"/>
      <w:pPr>
        <w:pStyle w:val="769"/>
        <w:ind w:left="4320" w:hanging="360"/>
      </w:pPr>
      <w:rPr>
        <w:rFonts w:ascii="Wingdings" w:hAnsi="Wingdings" w:eastAsia="Wingdings" w:cs="Wingdings"/>
      </w:rPr>
    </w:lvl>
    <w:lvl w:ilvl="6">
      <w:start w:val="1"/>
      <w:numFmt w:val="bullet"/>
      <w:isLgl w:val="false"/>
      <w:suff w:val="tab"/>
      <w:lvlText w:val="·"/>
      <w:lvlJc w:val="left"/>
      <w:pPr>
        <w:pStyle w:val="769"/>
        <w:ind w:left="5040" w:hanging="360"/>
      </w:pPr>
      <w:rPr>
        <w:rFonts w:ascii="Symbol" w:hAnsi="Symbol" w:eastAsia="Symbol" w:cs="Symbol"/>
      </w:rPr>
    </w:lvl>
    <w:lvl w:ilvl="7">
      <w:start w:val="1"/>
      <w:numFmt w:val="bullet"/>
      <w:isLgl w:val="false"/>
      <w:suff w:val="tab"/>
      <w:lvlText w:val="o"/>
      <w:lvlJc w:val="left"/>
      <w:pPr>
        <w:pStyle w:val="769"/>
        <w:ind w:left="5760" w:hanging="360"/>
      </w:pPr>
      <w:rPr>
        <w:rFonts w:ascii="Courier New" w:hAnsi="Courier New" w:eastAsia="Courier New" w:cs="Courier New"/>
      </w:rPr>
    </w:lvl>
    <w:lvl w:ilvl="8">
      <w:start w:val="1"/>
      <w:numFmt w:val="bullet"/>
      <w:isLgl w:val="false"/>
      <w:suff w:val="tab"/>
      <w:lvlText w:val="§"/>
      <w:lvlJc w:val="left"/>
      <w:pPr>
        <w:pStyle w:val="769"/>
        <w:ind w:left="6480" w:hanging="360"/>
      </w:pPr>
      <w:rPr>
        <w:rFonts w:ascii="Wingdings" w:hAnsi="Wingdings" w:eastAsia="Wingdings" w:cs="Wingdings"/>
      </w:rPr>
    </w:lvl>
  </w:abstractNum>
  <w:abstractNum w:abstractNumId="23">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pStyle w:val="883"/>
      <w:isLgl w:val="false"/>
      <w:suff w:val="nothing"/>
      <w:lvlText w:val="%1注："/>
      <w:lvlJc w:val="left"/>
      <w:pPr>
        <w:pStyle w:val="769"/>
        <w:ind w:left="726" w:hanging="363"/>
      </w:pPr>
      <w:rPr>
        <w:rFonts w:hint="eastAsia" w:ascii="黑体" w:hAnsi="Times New Roman" w:eastAsia="黑体"/>
        <w:b w:val="0"/>
        <w:i w:val="0"/>
        <w:sz w:val="21"/>
        <w:lang w:val="en-US"/>
      </w:rPr>
    </w:lvl>
    <w:lvl w:ilvl="1">
      <w:start w:val="1"/>
      <w:numFmt w:val="lowerLetter"/>
      <w:isLgl w:val="false"/>
      <w:suff w:val="tab"/>
      <w:lvlText w:val="%2)"/>
      <w:lvlJc w:val="left"/>
      <w:pPr>
        <w:pStyle w:val="769"/>
        <w:ind w:left="726" w:hanging="363"/>
        <w:tabs>
          <w:tab w:val="num" w:pos="1140" w:leader="none"/>
        </w:tabs>
      </w:pPr>
      <w:rPr>
        <w:rFonts w:hint="eastAsia"/>
      </w:rPr>
    </w:lvl>
    <w:lvl w:ilvl="2">
      <w:start w:val="1"/>
      <w:numFmt w:val="lowerRoman"/>
      <w:isLgl w:val="false"/>
      <w:suff w:val="tab"/>
      <w:lvlText w:val="%3."/>
      <w:lvlJc w:val="right"/>
      <w:pPr>
        <w:pStyle w:val="769"/>
        <w:ind w:left="726" w:hanging="363"/>
        <w:tabs>
          <w:tab w:val="num" w:pos="1140" w:leader="none"/>
        </w:tabs>
      </w:pPr>
      <w:rPr>
        <w:rFonts w:hint="eastAsia"/>
      </w:rPr>
    </w:lvl>
    <w:lvl w:ilvl="3">
      <w:start w:val="1"/>
      <w:numFmt w:val="decimal"/>
      <w:isLgl w:val="false"/>
      <w:suff w:val="tab"/>
      <w:lvlText w:val="%4."/>
      <w:lvlJc w:val="left"/>
      <w:pPr>
        <w:pStyle w:val="769"/>
        <w:ind w:left="726" w:hanging="363"/>
        <w:tabs>
          <w:tab w:val="num" w:pos="1140" w:leader="none"/>
        </w:tabs>
      </w:pPr>
      <w:rPr>
        <w:rFonts w:hint="eastAsia"/>
      </w:rPr>
    </w:lvl>
    <w:lvl w:ilvl="4">
      <w:start w:val="1"/>
      <w:numFmt w:val="lowerLetter"/>
      <w:isLgl w:val="false"/>
      <w:suff w:val="tab"/>
      <w:lvlText w:val="%5)"/>
      <w:lvlJc w:val="left"/>
      <w:pPr>
        <w:pStyle w:val="769"/>
        <w:ind w:left="726" w:hanging="363"/>
        <w:tabs>
          <w:tab w:val="num" w:pos="1140" w:leader="none"/>
        </w:tabs>
      </w:pPr>
      <w:rPr>
        <w:rFonts w:hint="eastAsia"/>
      </w:rPr>
    </w:lvl>
    <w:lvl w:ilvl="5">
      <w:start w:val="1"/>
      <w:numFmt w:val="lowerRoman"/>
      <w:isLgl w:val="false"/>
      <w:suff w:val="tab"/>
      <w:lvlText w:val="%6."/>
      <w:lvlJc w:val="right"/>
      <w:pPr>
        <w:pStyle w:val="769"/>
        <w:ind w:left="726" w:hanging="363"/>
        <w:tabs>
          <w:tab w:val="num" w:pos="1140" w:leader="none"/>
        </w:tabs>
      </w:pPr>
      <w:rPr>
        <w:rFonts w:hint="eastAsia"/>
      </w:rPr>
    </w:lvl>
    <w:lvl w:ilvl="6">
      <w:start w:val="1"/>
      <w:numFmt w:val="decimal"/>
      <w:isLgl w:val="false"/>
      <w:suff w:val="tab"/>
      <w:lvlText w:val="%7."/>
      <w:lvlJc w:val="left"/>
      <w:pPr>
        <w:pStyle w:val="769"/>
        <w:ind w:left="726" w:hanging="363"/>
        <w:tabs>
          <w:tab w:val="num" w:pos="1140" w:leader="none"/>
        </w:tabs>
      </w:pPr>
      <w:rPr>
        <w:rFonts w:hint="eastAsia"/>
      </w:rPr>
    </w:lvl>
    <w:lvl w:ilvl="7">
      <w:start w:val="1"/>
      <w:numFmt w:val="lowerLetter"/>
      <w:isLgl w:val="false"/>
      <w:suff w:val="tab"/>
      <w:lvlText w:val="%8)"/>
      <w:lvlJc w:val="left"/>
      <w:pPr>
        <w:pStyle w:val="769"/>
        <w:ind w:left="726" w:hanging="363"/>
        <w:tabs>
          <w:tab w:val="num" w:pos="1140" w:leader="none"/>
        </w:tabs>
      </w:pPr>
      <w:rPr>
        <w:rFonts w:hint="eastAsia"/>
      </w:rPr>
    </w:lvl>
    <w:lvl w:ilvl="8">
      <w:start w:val="1"/>
      <w:numFmt w:val="lowerRoman"/>
      <w:isLgl w:val="false"/>
      <w:suff w:val="tab"/>
      <w:lvlText w:val="%9."/>
      <w:lvlJc w:val="right"/>
      <w:pPr>
        <w:pStyle w:val="769"/>
        <w:ind w:left="726" w:hanging="363"/>
        <w:tabs>
          <w:tab w:val="num" w:pos="1140" w:leader="none"/>
        </w:tabs>
      </w:pPr>
      <w:rPr>
        <w:rFonts w:hint="eastAsia"/>
      </w:rPr>
    </w:lvl>
  </w:abstractNum>
  <w:abstractNum w:abstractNumId="25">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pStyle w:val="7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10"/>
  </w:num>
  <w:num w:numId="3">
    <w:abstractNumId w:val="24"/>
  </w:num>
  <w:num w:numId="4">
    <w:abstractNumId w:val="16"/>
  </w:num>
  <w:num w:numId="5">
    <w:abstractNumId w:val="15"/>
  </w:num>
  <w:num w:numId="6">
    <w:abstractNumId w:val="28"/>
  </w:num>
  <w:num w:numId="7">
    <w:abstractNumId w:val="14"/>
  </w:num>
  <w:num w:numId="8">
    <w:abstractNumId w:val="5"/>
  </w:num>
  <w:num w:numId="9">
    <w:abstractNumId w:val="9"/>
  </w:num>
  <w:num w:numId="10">
    <w:abstractNumId w:val="27"/>
  </w:num>
  <w:num w:numId="11">
    <w:abstractNumId w:val="6"/>
  </w:num>
  <w:num w:numId="12">
    <w:abstractNumId w:val="23"/>
  </w:num>
  <w:num w:numId="13">
    <w:abstractNumId w:val="11"/>
  </w:num>
  <w:num w:numId="14">
    <w:abstractNumId w:val="8"/>
  </w:num>
  <w:num w:numId="15">
    <w:abstractNumId w:val="18"/>
  </w:num>
  <w:num w:numId="16">
    <w:abstractNumId w:val="26"/>
  </w:num>
  <w:num w:numId="17">
    <w:abstractNumId w:val="4"/>
  </w:num>
  <w:num w:numId="18">
    <w:abstractNumId w:val="2"/>
  </w:num>
  <w:num w:numId="19">
    <w:abstractNumId w:val="19"/>
  </w:num>
  <w:num w:numId="20">
    <w:abstractNumId w:val="25"/>
  </w:num>
  <w:num w:numId="21">
    <w:abstractNumId w:val="0"/>
  </w:num>
  <w:num w:numId="22">
    <w:abstractNumId w:val="3"/>
  </w:num>
  <w:num w:numId="23">
    <w:abstractNumId w:val="12"/>
  </w:num>
  <w:num w:numId="24">
    <w:abstractNumId w:val="1"/>
  </w:num>
  <w:num w:numId="25">
    <w:abstractNumId w:val="17"/>
  </w:num>
  <w:num w:numId="26">
    <w:abstractNumId w:val="13"/>
  </w:num>
  <w:num w:numId="27">
    <w:abstractNumId w:val="7"/>
  </w:num>
  <w:num w:numId="28">
    <w:abstractNumId w:val="20"/>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9"/>
    <w:next w:val="769"/>
    <w:link w:val="939"/>
    <w:uiPriority w:val="9"/>
    <w:qFormat/>
    <w:pPr>
      <w:keepLines/>
      <w:keepNext/>
      <w:spacing w:before="480" w:after="200"/>
      <w:outlineLvl w:val="0"/>
    </w:pPr>
    <w:rPr>
      <w:rFonts w:ascii="Arial" w:hAnsi="Arial" w:eastAsia="Arial" w:cs="Arial"/>
      <w:sz w:val="40"/>
      <w:szCs w:val="40"/>
    </w:rPr>
  </w:style>
  <w:style w:type="paragraph" w:styleId="14">
    <w:name w:val="Heading 2"/>
    <w:basedOn w:val="769"/>
    <w:next w:val="76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9"/>
    <w:next w:val="76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9"/>
    <w:next w:val="76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9"/>
    <w:next w:val="76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9"/>
    <w:next w:val="76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9"/>
    <w:next w:val="76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9"/>
    <w:next w:val="76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9"/>
    <w:next w:val="76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9"/>
    <w:next w:val="76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9"/>
    <w:next w:val="76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9"/>
    <w:next w:val="769"/>
    <w:link w:val="38"/>
    <w:uiPriority w:val="29"/>
    <w:qFormat/>
    <w:pPr>
      <w:ind w:left="720" w:right="720"/>
    </w:pPr>
    <w:rPr>
      <w:i/>
    </w:rPr>
  </w:style>
  <w:style w:type="character" w:styleId="38">
    <w:name w:val="Quote Char"/>
    <w:link w:val="37"/>
    <w:uiPriority w:val="29"/>
    <w:rPr>
      <w:i/>
    </w:rPr>
  </w:style>
  <w:style w:type="paragraph" w:styleId="39">
    <w:name w:val="Intense Quote"/>
    <w:basedOn w:val="769"/>
    <w:next w:val="76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9"/>
    <w:next w:val="76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69"/>
    <w:next w:val="769"/>
    <w:uiPriority w:val="99"/>
    <w:unhideWhenUsed/>
    <w:pPr>
      <w:spacing w:after="0" w:afterAutospacing="0"/>
    </w:pPr>
  </w:style>
  <w:style w:type="paragraph" w:styleId="769" w:default="1">
    <w:name w:val="Normal"/>
    <w:next w:val="782"/>
    <w:link w:val="769"/>
    <w:qFormat/>
    <w:pPr>
      <w:jc w:val="both"/>
      <w:widowControl w:val="off"/>
    </w:pPr>
    <w:rPr>
      <w:sz w:val="21"/>
      <w:szCs w:val="22"/>
      <w:lang w:val="en-US" w:eastAsia="zh-CN" w:bidi="ar-SA"/>
    </w:rPr>
  </w:style>
  <w:style w:type="paragraph" w:styleId="770">
    <w:name w:val="标题 1"/>
    <w:basedOn w:val="769"/>
    <w:next w:val="769"/>
    <w:link w:val="783"/>
    <w:qFormat/>
    <w:pPr>
      <w:jc w:val="center"/>
      <w:keepNext/>
      <w:outlineLvl w:val="0"/>
    </w:pPr>
    <w:rPr>
      <w:rFonts w:ascii="楷体_GB2312" w:eastAsia="楷体_GB2312"/>
      <w:sz w:val="28"/>
      <w:szCs w:val="28"/>
    </w:rPr>
  </w:style>
  <w:style w:type="paragraph" w:styleId="771">
    <w:name w:val="标题 2"/>
    <w:basedOn w:val="769"/>
    <w:next w:val="785"/>
    <w:link w:val="784"/>
    <w:qFormat/>
    <w:pPr>
      <w:jc w:val="center"/>
      <w:keepLines/>
      <w:keepNext/>
      <w:spacing w:before="260" w:after="260" w:line="416" w:lineRule="auto"/>
      <w:outlineLvl w:val="1"/>
    </w:pPr>
    <w:rPr>
      <w:rFonts w:ascii="Arial" w:hAnsi="Arial" w:eastAsia="幼圆"/>
      <w:b/>
      <w:bCs/>
      <w:sz w:val="44"/>
      <w:szCs w:val="44"/>
    </w:rPr>
  </w:style>
  <w:style w:type="paragraph" w:styleId="772">
    <w:name w:val="标题 3"/>
    <w:basedOn w:val="769"/>
    <w:next w:val="769"/>
    <w:link w:val="787"/>
    <w:qFormat/>
    <w:pPr>
      <w:keepLines/>
      <w:keepNext/>
      <w:spacing w:before="260" w:after="260" w:line="416" w:lineRule="auto"/>
      <w:outlineLvl w:val="2"/>
    </w:pPr>
    <w:rPr>
      <w:b/>
      <w:bCs/>
      <w:sz w:val="32"/>
      <w:szCs w:val="32"/>
    </w:rPr>
  </w:style>
  <w:style w:type="paragraph" w:styleId="773">
    <w:name w:val="标题 4"/>
    <w:basedOn w:val="769"/>
    <w:next w:val="769"/>
    <w:link w:val="788"/>
    <w:qFormat/>
    <w:pPr>
      <w:keepLines/>
      <w:keepNext/>
      <w:spacing w:before="280" w:after="290" w:line="376" w:lineRule="auto"/>
      <w:outlineLvl w:val="3"/>
    </w:pPr>
    <w:rPr>
      <w:rFonts w:ascii="Arial" w:hAnsi="Arial" w:eastAsia="黑体"/>
      <w:b/>
      <w:bCs/>
      <w:sz w:val="28"/>
      <w:szCs w:val="28"/>
    </w:rPr>
  </w:style>
  <w:style w:type="paragraph" w:styleId="774">
    <w:name w:val="标题 5"/>
    <w:basedOn w:val="769"/>
    <w:next w:val="785"/>
    <w:link w:val="789"/>
    <w:qFormat/>
    <w:pPr>
      <w:keepNext/>
      <w:outlineLvl w:val="4"/>
    </w:pPr>
    <w:rPr>
      <w:rFonts w:ascii="宋体"/>
      <w:color w:val="000000"/>
      <w:sz w:val="28"/>
      <w:szCs w:val="28"/>
    </w:rPr>
  </w:style>
  <w:style w:type="paragraph" w:styleId="775">
    <w:name w:val="标题 6"/>
    <w:basedOn w:val="769"/>
    <w:next w:val="769"/>
    <w:link w:val="790"/>
    <w:qFormat/>
    <w:pPr>
      <w:numPr>
        <w:ilvl w:val="5"/>
        <w:numId w:val="1"/>
      </w:numPr>
      <w:keepLines/>
      <w:keepNext/>
      <w:spacing w:before="240" w:after="64" w:line="320" w:lineRule="auto"/>
      <w:outlineLvl w:val="5"/>
    </w:pPr>
    <w:rPr>
      <w:rFonts w:ascii="Arial" w:hAnsi="Arial" w:eastAsia="黑体"/>
      <w:b/>
      <w:bCs/>
      <w:sz w:val="24"/>
      <w:szCs w:val="24"/>
    </w:rPr>
  </w:style>
  <w:style w:type="paragraph" w:styleId="776">
    <w:name w:val="标题 7"/>
    <w:basedOn w:val="769"/>
    <w:next w:val="769"/>
    <w:link w:val="791"/>
    <w:qFormat/>
    <w:pPr>
      <w:numPr>
        <w:ilvl w:val="6"/>
        <w:numId w:val="1"/>
      </w:numPr>
      <w:keepLines/>
      <w:keepNext/>
      <w:spacing w:before="240" w:after="64" w:line="320" w:lineRule="auto"/>
      <w:outlineLvl w:val="6"/>
    </w:pPr>
    <w:rPr>
      <w:b/>
      <w:bCs/>
      <w:sz w:val="24"/>
      <w:szCs w:val="24"/>
    </w:rPr>
  </w:style>
  <w:style w:type="paragraph" w:styleId="777">
    <w:name w:val="标题 8"/>
    <w:basedOn w:val="769"/>
    <w:next w:val="769"/>
    <w:link w:val="792"/>
    <w:qFormat/>
    <w:pPr>
      <w:numPr>
        <w:ilvl w:val="7"/>
        <w:numId w:val="1"/>
      </w:numPr>
      <w:keepLines/>
      <w:keepNext/>
      <w:spacing w:before="240" w:after="64" w:line="320" w:lineRule="auto"/>
      <w:outlineLvl w:val="7"/>
    </w:pPr>
    <w:rPr>
      <w:rFonts w:ascii="Arial" w:hAnsi="Arial" w:eastAsia="黑体"/>
      <w:sz w:val="24"/>
      <w:szCs w:val="24"/>
    </w:rPr>
  </w:style>
  <w:style w:type="paragraph" w:styleId="778">
    <w:name w:val="标题 9"/>
    <w:basedOn w:val="769"/>
    <w:next w:val="769"/>
    <w:link w:val="793"/>
    <w:qFormat/>
    <w:pPr>
      <w:numPr>
        <w:ilvl w:val="8"/>
        <w:numId w:val="1"/>
      </w:numPr>
      <w:keepLines/>
      <w:keepNext/>
      <w:spacing w:before="240" w:after="64" w:line="320" w:lineRule="auto"/>
      <w:outlineLvl w:val="8"/>
    </w:pPr>
    <w:rPr>
      <w:rFonts w:ascii="Arial" w:hAnsi="Arial" w:eastAsia="黑体"/>
      <w:sz w:val="20"/>
      <w:szCs w:val="21"/>
    </w:rPr>
  </w:style>
  <w:style w:type="character" w:styleId="779">
    <w:name w:val="默认段落字体"/>
    <w:next w:val="779"/>
    <w:link w:val="769"/>
    <w:uiPriority w:val="1"/>
    <w:unhideWhenUsed/>
  </w:style>
  <w:style w:type="table" w:styleId="780">
    <w:name w:val="普通表格"/>
    <w:next w:val="780"/>
    <w:link w:val="769"/>
    <w:uiPriority w:val="99"/>
    <w:unhideWhenUsed/>
    <w:tblPr/>
  </w:style>
  <w:style w:type="numbering" w:styleId="781">
    <w:name w:val="无列表"/>
    <w:next w:val="781"/>
    <w:link w:val="769"/>
    <w:uiPriority w:val="99"/>
    <w:semiHidden/>
    <w:unhideWhenUsed/>
  </w:style>
  <w:style w:type="paragraph" w:styleId="782">
    <w:name w:val="索引 41"/>
    <w:basedOn w:val="769"/>
    <w:next w:val="769"/>
    <w:link w:val="769"/>
    <w:semiHidden/>
    <w:qFormat/>
    <w:pPr>
      <w:ind w:left="1260"/>
    </w:pPr>
    <w:rPr>
      <w:rFonts w:ascii="Calibri" w:hAnsi="Calibri" w:eastAsia="Calibri" w:cs="宋体"/>
      <w:sz w:val="20"/>
      <w:lang w:val="zh-CN"/>
    </w:rPr>
  </w:style>
  <w:style w:type="character" w:styleId="783">
    <w:name w:val="标题 1 字符"/>
    <w:next w:val="783"/>
    <w:link w:val="770"/>
    <w:rPr>
      <w:rFonts w:ascii="楷体_GB2312" w:hAnsi="Times New Roman" w:eastAsia="楷体_GB2312" w:cs="Times New Roman"/>
      <w:sz w:val="28"/>
      <w:szCs w:val="28"/>
    </w:rPr>
  </w:style>
  <w:style w:type="character" w:styleId="784">
    <w:name w:val="标题 2 字符"/>
    <w:next w:val="784"/>
    <w:link w:val="771"/>
    <w:rPr>
      <w:rFonts w:ascii="Arial" w:hAnsi="Arial" w:eastAsia="幼圆" w:cs="Arial"/>
      <w:b/>
      <w:bCs/>
      <w:sz w:val="44"/>
      <w:szCs w:val="44"/>
    </w:rPr>
  </w:style>
  <w:style w:type="paragraph" w:styleId="785">
    <w:name w:val="正文缩进"/>
    <w:basedOn w:val="769"/>
    <w:next w:val="785"/>
    <w:link w:val="786"/>
    <w:qFormat/>
    <w:pPr>
      <w:ind w:firstLine="420"/>
    </w:pPr>
    <w:rPr>
      <w:sz w:val="20"/>
      <w:szCs w:val="21"/>
    </w:rPr>
  </w:style>
  <w:style w:type="character" w:styleId="786">
    <w:name w:val="正文缩进 字符"/>
    <w:next w:val="786"/>
    <w:link w:val="785"/>
    <w:qFormat/>
    <w:rPr>
      <w:szCs w:val="21"/>
    </w:rPr>
  </w:style>
  <w:style w:type="character" w:styleId="787">
    <w:name w:val="标题 3 字符"/>
    <w:next w:val="787"/>
    <w:link w:val="772"/>
    <w:rPr>
      <w:rFonts w:ascii="Times New Roman" w:hAnsi="Times New Roman" w:eastAsia="宋体" w:cs="Times New Roman"/>
      <w:b/>
      <w:bCs/>
      <w:sz w:val="32"/>
      <w:szCs w:val="32"/>
    </w:rPr>
  </w:style>
  <w:style w:type="character" w:styleId="788">
    <w:name w:val="标题 4 字符"/>
    <w:next w:val="788"/>
    <w:link w:val="773"/>
    <w:rPr>
      <w:rFonts w:ascii="Arial" w:hAnsi="Arial" w:eastAsia="黑体" w:cs="Arial"/>
      <w:b/>
      <w:bCs/>
      <w:sz w:val="28"/>
      <w:szCs w:val="28"/>
    </w:rPr>
  </w:style>
  <w:style w:type="character" w:styleId="789">
    <w:name w:val="标题 5 字符"/>
    <w:next w:val="789"/>
    <w:link w:val="774"/>
    <w:rPr>
      <w:rFonts w:ascii="宋体" w:hAnsi="Times New Roman" w:eastAsia="宋体" w:cs="Times New Roman"/>
      <w:color w:val="000000"/>
      <w:sz w:val="28"/>
      <w:szCs w:val="28"/>
    </w:rPr>
  </w:style>
  <w:style w:type="character" w:styleId="790">
    <w:name w:val="标题 6 字符"/>
    <w:next w:val="790"/>
    <w:link w:val="775"/>
    <w:rPr>
      <w:rFonts w:ascii="Arial" w:hAnsi="Arial" w:eastAsia="黑体" w:cs="Times New Roman"/>
      <w:b/>
      <w:bCs/>
      <w:sz w:val="24"/>
      <w:szCs w:val="24"/>
    </w:rPr>
  </w:style>
  <w:style w:type="character" w:styleId="791">
    <w:name w:val="标题 7 字符"/>
    <w:next w:val="791"/>
    <w:link w:val="776"/>
    <w:rPr>
      <w:rFonts w:ascii="Times New Roman" w:hAnsi="Times New Roman" w:eastAsia="宋体" w:cs="Times New Roman"/>
      <w:b/>
      <w:bCs/>
      <w:sz w:val="24"/>
      <w:szCs w:val="24"/>
    </w:rPr>
  </w:style>
  <w:style w:type="character" w:styleId="792">
    <w:name w:val="标题 8 字符"/>
    <w:next w:val="792"/>
    <w:link w:val="777"/>
    <w:rPr>
      <w:rFonts w:ascii="Arial" w:hAnsi="Arial" w:eastAsia="黑体" w:cs="Times New Roman"/>
      <w:sz w:val="24"/>
      <w:szCs w:val="24"/>
    </w:rPr>
  </w:style>
  <w:style w:type="character" w:styleId="793">
    <w:name w:val="标题 9 字符"/>
    <w:next w:val="793"/>
    <w:link w:val="778"/>
    <w:rPr>
      <w:rFonts w:ascii="Arial" w:hAnsi="Arial" w:eastAsia="黑体" w:cs="Times New Roman"/>
      <w:szCs w:val="21"/>
    </w:rPr>
  </w:style>
  <w:style w:type="paragraph" w:styleId="794">
    <w:name w:val="列表 3"/>
    <w:basedOn w:val="769"/>
    <w:next w:val="794"/>
    <w:link w:val="769"/>
    <w:pPr>
      <w:ind w:left="100" w:hanging="200"/>
    </w:pPr>
    <w:rPr>
      <w:rFonts w:ascii="Times New Roman" w:hAnsi="Times New Roman" w:eastAsia="宋体" w:cs="Times New Roman"/>
      <w:szCs w:val="21"/>
    </w:rPr>
  </w:style>
  <w:style w:type="paragraph" w:styleId="795">
    <w:name w:val="toc 7"/>
    <w:basedOn w:val="769"/>
    <w:next w:val="769"/>
    <w:link w:val="769"/>
    <w:semiHidden/>
    <w:pPr>
      <w:ind w:left="1260"/>
      <w:jc w:val="left"/>
    </w:pPr>
    <w:rPr>
      <w:rFonts w:ascii="Times New Roman" w:hAnsi="Times New Roman" w:eastAsia="宋体" w:cs="Times New Roman"/>
      <w:szCs w:val="21"/>
    </w:rPr>
  </w:style>
  <w:style w:type="paragraph" w:styleId="796">
    <w:name w:val="文档结构图"/>
    <w:basedOn w:val="769"/>
    <w:next w:val="796"/>
    <w:link w:val="797"/>
    <w:semiHidden/>
    <w:pPr>
      <w:shd w:val="clear" w:color="auto" w:fill="000080"/>
    </w:pPr>
    <w:rPr>
      <w:sz w:val="20"/>
      <w:szCs w:val="21"/>
    </w:rPr>
  </w:style>
  <w:style w:type="character" w:styleId="797">
    <w:name w:val="文档结构图 字符"/>
    <w:next w:val="797"/>
    <w:link w:val="796"/>
    <w:semiHidden/>
    <w:rPr>
      <w:rFonts w:ascii="Times New Roman" w:hAnsi="Times New Roman" w:eastAsia="宋体" w:cs="Times New Roman"/>
      <w:szCs w:val="21"/>
      <w:shd w:val="clear" w:color="auto" w:fill="000080"/>
    </w:rPr>
  </w:style>
  <w:style w:type="paragraph" w:styleId="798">
    <w:name w:val="批注文字"/>
    <w:basedOn w:val="769"/>
    <w:next w:val="798"/>
    <w:link w:val="799"/>
    <w:unhideWhenUsed/>
    <w:pPr>
      <w:jc w:val="left"/>
    </w:pPr>
  </w:style>
  <w:style w:type="character" w:styleId="799">
    <w:name w:val="批注文字 字符"/>
    <w:next w:val="799"/>
    <w:link w:val="798"/>
    <w:uiPriority w:val="99"/>
    <w:semiHidden/>
  </w:style>
  <w:style w:type="paragraph" w:styleId="800">
    <w:name w:val="正文文本 3"/>
    <w:basedOn w:val="769"/>
    <w:next w:val="800"/>
    <w:link w:val="801"/>
    <w:rPr>
      <w:rFonts w:ascii="仿宋_GB2312" w:hAnsi="Arial" w:eastAsia="仿宋_GB2312"/>
      <w:sz w:val="32"/>
      <w:szCs w:val="32"/>
    </w:rPr>
  </w:style>
  <w:style w:type="character" w:styleId="801">
    <w:name w:val="正文文本 3 字符"/>
    <w:next w:val="801"/>
    <w:link w:val="800"/>
    <w:rPr>
      <w:rFonts w:ascii="仿宋_GB2312" w:hAnsi="Arial" w:eastAsia="仿宋_GB2312" w:cs="Times New Roman"/>
      <w:sz w:val="32"/>
      <w:szCs w:val="32"/>
    </w:rPr>
  </w:style>
  <w:style w:type="paragraph" w:styleId="802">
    <w:name w:val="正文文本"/>
    <w:basedOn w:val="769"/>
    <w:next w:val="804"/>
    <w:link w:val="803"/>
    <w:rPr>
      <w:rFonts w:ascii="楷体_GB2312" w:hAnsi="Arial" w:eastAsia="楷体_GB2312"/>
      <w:sz w:val="28"/>
      <w:szCs w:val="28"/>
    </w:rPr>
  </w:style>
  <w:style w:type="character" w:styleId="803">
    <w:name w:val="正文文本 字符"/>
    <w:next w:val="803"/>
    <w:link w:val="802"/>
    <w:rPr>
      <w:rFonts w:ascii="楷体_GB2312" w:hAnsi="Arial" w:eastAsia="楷体_GB2312" w:cs="Times New Roman"/>
      <w:sz w:val="28"/>
      <w:szCs w:val="28"/>
    </w:rPr>
  </w:style>
  <w:style w:type="paragraph" w:styleId="804">
    <w:name w:val="一级条标题"/>
    <w:basedOn w:val="805"/>
    <w:next w:val="806"/>
    <w:link w:val="769"/>
    <w:qFormat/>
    <w:pPr>
      <w:ind w:left="907" w:hanging="907"/>
      <w:tabs>
        <w:tab w:val="left" w:pos="810" w:leader="none"/>
        <w:tab w:val="left" w:pos="907" w:leader="none"/>
        <w:tab w:val="left" w:pos="1265" w:leader="none"/>
      </w:tabs>
      <w:outlineLvl w:val="2"/>
    </w:pPr>
    <w:rPr>
      <w:rFonts w:hAnsi="宋体"/>
      <w:sz w:val="20"/>
    </w:rPr>
  </w:style>
  <w:style w:type="paragraph" w:styleId="805">
    <w:name w:val="章标题"/>
    <w:next w:val="769"/>
    <w:link w:val="769"/>
    <w:qFormat/>
    <w:pPr>
      <w:jc w:val="both"/>
      <w:spacing w:before="156" w:after="156"/>
      <w:outlineLvl w:val="1"/>
    </w:pPr>
    <w:rPr>
      <w:rFonts w:eastAsia="黑体"/>
      <w:sz w:val="21"/>
      <w:lang w:val="en-US" w:eastAsia="zh-CN" w:bidi="ar-SA"/>
    </w:rPr>
  </w:style>
  <w:style w:type="paragraph" w:styleId="806">
    <w:name w:val="段"/>
    <w:next w:val="769"/>
    <w:link w:val="769"/>
    <w:qFormat/>
    <w:pPr>
      <w:ind w:firstLine="200"/>
      <w:jc w:val="both"/>
    </w:pPr>
    <w:rPr>
      <w:rFonts w:ascii="宋体"/>
      <w:sz w:val="21"/>
      <w:lang w:val="en-US" w:eastAsia="zh-CN" w:bidi="ar-SA"/>
    </w:rPr>
  </w:style>
  <w:style w:type="paragraph" w:styleId="807">
    <w:name w:val="正文文本缩进"/>
    <w:basedOn w:val="769"/>
    <w:next w:val="809"/>
    <w:link w:val="808"/>
    <w:uiPriority w:val="99"/>
    <w:unhideWhenUsed/>
    <w:pPr>
      <w:ind w:left="420"/>
      <w:spacing w:after="120"/>
    </w:pPr>
  </w:style>
  <w:style w:type="character" w:styleId="808">
    <w:name w:val="正文文本缩进 字符"/>
    <w:next w:val="808"/>
    <w:link w:val="807"/>
    <w:uiPriority w:val="99"/>
    <w:semiHidden/>
  </w:style>
  <w:style w:type="paragraph" w:styleId="809">
    <w:name w:val="寄信人地址"/>
    <w:basedOn w:val="769"/>
    <w:next w:val="809"/>
    <w:link w:val="769"/>
    <w:qFormat/>
    <w:rPr>
      <w:rFonts w:ascii="Arial" w:hAnsi="Arial" w:eastAsia="宋体" w:cs="宋体"/>
    </w:rPr>
  </w:style>
  <w:style w:type="paragraph" w:styleId="810">
    <w:name w:val="列表 2"/>
    <w:basedOn w:val="769"/>
    <w:next w:val="810"/>
    <w:link w:val="769"/>
    <w:pPr>
      <w:ind w:left="100" w:hanging="200"/>
    </w:pPr>
    <w:rPr>
      <w:rFonts w:ascii="Times New Roman" w:hAnsi="Times New Roman" w:eastAsia="宋体" w:cs="Times New Roman"/>
      <w:szCs w:val="21"/>
    </w:rPr>
  </w:style>
  <w:style w:type="paragraph" w:styleId="811">
    <w:name w:val="索引 4"/>
    <w:basedOn w:val="769"/>
    <w:next w:val="769"/>
    <w:link w:val="769"/>
    <w:semiHidden/>
    <w:qFormat/>
    <w:pPr>
      <w:ind w:left="1260"/>
    </w:pPr>
    <w:rPr>
      <w:rFonts w:ascii="Calibri" w:hAnsi="Calibri" w:eastAsia="Calibri" w:cs="宋体"/>
      <w:sz w:val="20"/>
      <w:lang w:val="zh-CN"/>
    </w:rPr>
  </w:style>
  <w:style w:type="paragraph" w:styleId="812">
    <w:name w:val="toc 5"/>
    <w:basedOn w:val="769"/>
    <w:next w:val="769"/>
    <w:link w:val="769"/>
    <w:semiHidden/>
    <w:pPr>
      <w:ind w:left="840"/>
      <w:jc w:val="left"/>
    </w:pPr>
    <w:rPr>
      <w:rFonts w:ascii="Times New Roman" w:hAnsi="Times New Roman" w:eastAsia="宋体" w:cs="Times New Roman"/>
      <w:szCs w:val="21"/>
    </w:rPr>
  </w:style>
  <w:style w:type="paragraph" w:styleId="813">
    <w:name w:val="toc 3"/>
    <w:basedOn w:val="769"/>
    <w:next w:val="769"/>
    <w:link w:val="769"/>
    <w:semiHidden/>
    <w:pPr>
      <w:ind w:left="420"/>
      <w:jc w:val="left"/>
    </w:pPr>
    <w:rPr>
      <w:rFonts w:ascii="Times New Roman" w:hAnsi="Times New Roman" w:eastAsia="宋体" w:cs="Times New Roman"/>
      <w:i/>
      <w:iCs/>
      <w:szCs w:val="24"/>
    </w:rPr>
  </w:style>
  <w:style w:type="paragraph" w:styleId="814">
    <w:name w:val="纯文本"/>
    <w:basedOn w:val="769"/>
    <w:next w:val="814"/>
    <w:link w:val="815"/>
    <w:rPr>
      <w:rFonts w:ascii="宋体" w:hAnsi="Courier New"/>
      <w:sz w:val="20"/>
      <w:szCs w:val="21"/>
    </w:rPr>
  </w:style>
  <w:style w:type="character" w:styleId="815">
    <w:name w:val="纯文本 字符"/>
    <w:next w:val="815"/>
    <w:link w:val="814"/>
    <w:rPr>
      <w:rFonts w:ascii="宋体" w:hAnsi="Courier New" w:eastAsia="宋体" w:cs="Courier New"/>
      <w:szCs w:val="21"/>
    </w:rPr>
  </w:style>
  <w:style w:type="paragraph" w:styleId="816">
    <w:name w:val="toc 8"/>
    <w:basedOn w:val="769"/>
    <w:next w:val="769"/>
    <w:link w:val="769"/>
    <w:semiHidden/>
    <w:pPr>
      <w:ind w:left="1470"/>
      <w:jc w:val="left"/>
    </w:pPr>
    <w:rPr>
      <w:rFonts w:ascii="Times New Roman" w:hAnsi="Times New Roman" w:eastAsia="宋体" w:cs="Times New Roman"/>
      <w:szCs w:val="21"/>
    </w:rPr>
  </w:style>
  <w:style w:type="paragraph" w:styleId="817">
    <w:name w:val="日期"/>
    <w:basedOn w:val="769"/>
    <w:next w:val="769"/>
    <w:link w:val="818"/>
    <w:rPr>
      <w:sz w:val="24"/>
      <w:szCs w:val="24"/>
    </w:rPr>
  </w:style>
  <w:style w:type="character" w:styleId="818">
    <w:name w:val="日期 字符"/>
    <w:next w:val="818"/>
    <w:link w:val="817"/>
    <w:rPr>
      <w:rFonts w:ascii="Times New Roman" w:hAnsi="Times New Roman" w:eastAsia="宋体" w:cs="Times New Roman"/>
      <w:sz w:val="24"/>
      <w:szCs w:val="24"/>
    </w:rPr>
  </w:style>
  <w:style w:type="paragraph" w:styleId="819">
    <w:name w:val="正文文本缩进 2"/>
    <w:basedOn w:val="769"/>
    <w:next w:val="819"/>
    <w:link w:val="820"/>
    <w:pPr>
      <w:ind w:left="630" w:firstLine="645"/>
    </w:pPr>
    <w:rPr>
      <w:rFonts w:ascii="Arial" w:hAnsi="Arial" w:eastAsia="仿宋_GB2312"/>
      <w:sz w:val="32"/>
      <w:szCs w:val="32"/>
    </w:rPr>
  </w:style>
  <w:style w:type="character" w:styleId="820">
    <w:name w:val="正文文本缩进 2 字符"/>
    <w:next w:val="820"/>
    <w:link w:val="819"/>
    <w:rPr>
      <w:rFonts w:ascii="Arial" w:hAnsi="Arial" w:eastAsia="仿宋_GB2312" w:cs="Arial"/>
      <w:sz w:val="32"/>
      <w:szCs w:val="32"/>
    </w:rPr>
  </w:style>
  <w:style w:type="paragraph" w:styleId="821">
    <w:name w:val="批注框文本"/>
    <w:basedOn w:val="769"/>
    <w:next w:val="821"/>
    <w:link w:val="822"/>
    <w:semiHidden/>
    <w:rPr>
      <w:sz w:val="18"/>
      <w:szCs w:val="18"/>
    </w:rPr>
  </w:style>
  <w:style w:type="character" w:styleId="822">
    <w:name w:val="批注框文本 字符"/>
    <w:next w:val="822"/>
    <w:link w:val="821"/>
    <w:semiHidden/>
    <w:rPr>
      <w:rFonts w:ascii="Times New Roman" w:hAnsi="Times New Roman" w:eastAsia="宋体" w:cs="Times New Roman"/>
      <w:sz w:val="18"/>
      <w:szCs w:val="18"/>
    </w:rPr>
  </w:style>
  <w:style w:type="paragraph" w:styleId="823">
    <w:name w:val="页脚"/>
    <w:basedOn w:val="769"/>
    <w:next w:val="823"/>
    <w:link w:val="824"/>
    <w:pPr>
      <w:jc w:val="left"/>
      <w:tabs>
        <w:tab w:val="center" w:pos="4153" w:leader="none"/>
        <w:tab w:val="right" w:pos="8306" w:leader="none"/>
      </w:tabs>
    </w:pPr>
    <w:rPr>
      <w:sz w:val="18"/>
      <w:szCs w:val="18"/>
    </w:rPr>
  </w:style>
  <w:style w:type="character" w:styleId="824">
    <w:name w:val="页脚 字符"/>
    <w:next w:val="824"/>
    <w:link w:val="823"/>
    <w:rPr>
      <w:rFonts w:ascii="Times New Roman" w:hAnsi="Times New Roman" w:eastAsia="宋体" w:cs="Times New Roman"/>
      <w:sz w:val="18"/>
      <w:szCs w:val="18"/>
    </w:rPr>
  </w:style>
  <w:style w:type="paragraph" w:styleId="825">
    <w:name w:val="页眉"/>
    <w:basedOn w:val="769"/>
    <w:next w:val="825"/>
    <w:link w:val="826"/>
    <w:pPr>
      <w:jc w:val="center"/>
      <w:tabs>
        <w:tab w:val="center" w:pos="4153" w:leader="none"/>
        <w:tab w:val="right" w:pos="8306" w:leader="none"/>
      </w:tabs>
      <w:pBdr>
        <w:bottom w:val="single" w:color="000000" w:sz="6" w:space="1"/>
      </w:pBdr>
    </w:pPr>
    <w:rPr>
      <w:sz w:val="18"/>
      <w:szCs w:val="18"/>
    </w:rPr>
  </w:style>
  <w:style w:type="character" w:styleId="826">
    <w:name w:val="页眉 字符"/>
    <w:next w:val="826"/>
    <w:link w:val="825"/>
    <w:rPr>
      <w:rFonts w:ascii="Times New Roman" w:hAnsi="Times New Roman" w:eastAsia="宋体" w:cs="Times New Roman"/>
      <w:sz w:val="18"/>
      <w:szCs w:val="18"/>
    </w:rPr>
  </w:style>
  <w:style w:type="paragraph" w:styleId="827">
    <w:name w:val="toc 1"/>
    <w:basedOn w:val="769"/>
    <w:next w:val="769"/>
    <w:link w:val="7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28">
    <w:name w:val="toc 4"/>
    <w:basedOn w:val="769"/>
    <w:next w:val="769"/>
    <w:link w:val="769"/>
    <w:semiHidden/>
    <w:pPr>
      <w:ind w:left="630"/>
      <w:jc w:val="left"/>
    </w:pPr>
    <w:rPr>
      <w:rFonts w:ascii="Times New Roman" w:hAnsi="Times New Roman" w:eastAsia="宋体" w:cs="Times New Roman"/>
      <w:szCs w:val="21"/>
    </w:rPr>
  </w:style>
  <w:style w:type="paragraph" w:styleId="829">
    <w:name w:val="列表"/>
    <w:basedOn w:val="769"/>
    <w:next w:val="829"/>
    <w:link w:val="769"/>
    <w:pPr>
      <w:ind w:left="200" w:hanging="200"/>
    </w:pPr>
    <w:rPr>
      <w:rFonts w:ascii="Times New Roman" w:hAnsi="Times New Roman" w:eastAsia="宋体" w:cs="Times New Roman"/>
      <w:szCs w:val="21"/>
    </w:rPr>
  </w:style>
  <w:style w:type="paragraph" w:styleId="830">
    <w:name w:val="toc 6"/>
    <w:basedOn w:val="769"/>
    <w:next w:val="769"/>
    <w:link w:val="769"/>
    <w:semiHidden/>
    <w:pPr>
      <w:ind w:left="1050"/>
      <w:jc w:val="left"/>
    </w:pPr>
    <w:rPr>
      <w:rFonts w:ascii="Times New Roman" w:hAnsi="Times New Roman" w:eastAsia="宋体" w:cs="Times New Roman"/>
      <w:szCs w:val="21"/>
    </w:rPr>
  </w:style>
  <w:style w:type="paragraph" w:styleId="831">
    <w:name w:val="正文文本缩进 3"/>
    <w:basedOn w:val="769"/>
    <w:next w:val="831"/>
    <w:link w:val="832"/>
    <w:pPr>
      <w:ind w:left="645" w:firstLine="645"/>
    </w:pPr>
    <w:rPr>
      <w:rFonts w:ascii="Arial" w:hAnsi="Arial" w:eastAsia="仿宋_GB2312"/>
      <w:color w:val="ffff00"/>
      <w:sz w:val="32"/>
      <w:szCs w:val="32"/>
    </w:rPr>
  </w:style>
  <w:style w:type="character" w:styleId="832">
    <w:name w:val="正文文本缩进 3 字符"/>
    <w:next w:val="832"/>
    <w:link w:val="831"/>
    <w:rPr>
      <w:rFonts w:ascii="Arial" w:hAnsi="Arial" w:eastAsia="仿宋_GB2312" w:cs="Arial"/>
      <w:color w:val="ffff00"/>
      <w:sz w:val="32"/>
      <w:szCs w:val="32"/>
    </w:rPr>
  </w:style>
  <w:style w:type="paragraph" w:styleId="833">
    <w:name w:val="图表目录"/>
    <w:basedOn w:val="769"/>
    <w:next w:val="769"/>
    <w:link w:val="769"/>
    <w:semiHidden/>
    <w:pPr>
      <w:ind w:left="840" w:hanging="420"/>
    </w:pPr>
    <w:rPr>
      <w:rFonts w:ascii="Times New Roman" w:hAnsi="Times New Roman" w:eastAsia="宋体" w:cs="Times New Roman"/>
      <w:szCs w:val="21"/>
    </w:rPr>
  </w:style>
  <w:style w:type="paragraph" w:styleId="834">
    <w:name w:val="toc 2"/>
    <w:basedOn w:val="769"/>
    <w:next w:val="769"/>
    <w:link w:val="769"/>
    <w:semiHidden/>
    <w:pPr>
      <w:ind w:left="210"/>
      <w:jc w:val="left"/>
    </w:pPr>
    <w:rPr>
      <w:rFonts w:ascii="Times New Roman" w:hAnsi="Times New Roman" w:eastAsia="宋体" w:cs="Times New Roman"/>
      <w:smallCaps/>
      <w:szCs w:val="24"/>
    </w:rPr>
  </w:style>
  <w:style w:type="paragraph" w:styleId="835">
    <w:name w:val="toc 9"/>
    <w:basedOn w:val="769"/>
    <w:next w:val="769"/>
    <w:link w:val="769"/>
    <w:semiHidden/>
    <w:pPr>
      <w:ind w:left="1680"/>
      <w:jc w:val="left"/>
    </w:pPr>
    <w:rPr>
      <w:rFonts w:ascii="Times New Roman" w:hAnsi="Times New Roman" w:eastAsia="宋体" w:cs="Times New Roman"/>
      <w:szCs w:val="21"/>
    </w:rPr>
  </w:style>
  <w:style w:type="paragraph" w:styleId="836">
    <w:name w:val="正文文本 2"/>
    <w:basedOn w:val="769"/>
    <w:next w:val="836"/>
    <w:link w:val="837"/>
    <w:pPr>
      <w:jc w:val="center"/>
      <w:widowControl/>
    </w:pPr>
    <w:rPr>
      <w:rFonts w:ascii="楷体_GB2312" w:eastAsia="楷体_GB2312"/>
      <w:sz w:val="28"/>
      <w:szCs w:val="28"/>
    </w:rPr>
  </w:style>
  <w:style w:type="character" w:styleId="837">
    <w:name w:val="正文文本 2 字符"/>
    <w:next w:val="837"/>
    <w:link w:val="836"/>
    <w:rPr>
      <w:rFonts w:ascii="楷体_GB2312" w:hAnsi="Times New Roman" w:eastAsia="楷体_GB2312" w:cs="Times New Roman"/>
      <w:sz w:val="28"/>
      <w:szCs w:val="28"/>
    </w:rPr>
  </w:style>
  <w:style w:type="paragraph" w:styleId="838">
    <w:name w:val="HTML 预设格式"/>
    <w:basedOn w:val="769"/>
    <w:next w:val="838"/>
    <w:link w:val="769"/>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39">
    <w:name w:val="普通(网站)"/>
    <w:basedOn w:val="769"/>
    <w:next w:val="839"/>
    <w:link w:val="769"/>
    <w:uiPriority w:val="99"/>
    <w:qFormat/>
    <w:pPr>
      <w:jc w:val="left"/>
      <w:spacing w:before="100" w:beforeAutospacing="1" w:after="100" w:afterAutospacing="1"/>
      <w:widowControl/>
    </w:pPr>
    <w:rPr>
      <w:rFonts w:ascii="宋体" w:hAnsi="宋体" w:eastAsia="宋体" w:cs="宋体"/>
      <w:sz w:val="24"/>
      <w:szCs w:val="24"/>
    </w:rPr>
  </w:style>
  <w:style w:type="paragraph" w:styleId="840">
    <w:name w:val="索引 1"/>
    <w:basedOn w:val="769"/>
    <w:next w:val="769"/>
    <w:link w:val="769"/>
    <w:semiHidden/>
    <w:pPr>
      <w:spacing w:line="240" w:lineRule="atLeast"/>
    </w:pPr>
    <w:rPr>
      <w:rFonts w:ascii="Times New Roman" w:hAnsi="Times New Roman" w:eastAsia="宋体" w:cs="Times New Roman"/>
      <w:b/>
      <w:bCs/>
      <w:szCs w:val="21"/>
    </w:rPr>
  </w:style>
  <w:style w:type="paragraph" w:styleId="841">
    <w:name w:val="批注主题"/>
    <w:basedOn w:val="798"/>
    <w:next w:val="798"/>
    <w:link w:val="842"/>
    <w:semiHidden/>
    <w:rPr>
      <w:b/>
      <w:bCs/>
      <w:sz w:val="20"/>
      <w:szCs w:val="21"/>
    </w:rPr>
  </w:style>
  <w:style w:type="character" w:styleId="842">
    <w:name w:val="批注主题 字符"/>
    <w:next w:val="842"/>
    <w:link w:val="841"/>
    <w:semiHidden/>
    <w:rPr>
      <w:rFonts w:ascii="Times New Roman" w:hAnsi="Times New Roman" w:eastAsia="宋体" w:cs="Times New Roman"/>
      <w:b/>
      <w:bCs/>
      <w:szCs w:val="21"/>
    </w:rPr>
  </w:style>
  <w:style w:type="paragraph" w:styleId="843">
    <w:name w:val="正文文本首行缩进"/>
    <w:basedOn w:val="769"/>
    <w:next w:val="843"/>
    <w:link w:val="844"/>
    <w:pPr>
      <w:ind w:firstLine="200"/>
      <w:spacing w:line="360" w:lineRule="auto"/>
    </w:pPr>
    <w:rPr>
      <w:rFonts w:ascii="仿宋_GB2312" w:eastAsia="仿宋_GB2312"/>
      <w:sz w:val="30"/>
      <w:szCs w:val="30"/>
    </w:rPr>
  </w:style>
  <w:style w:type="character" w:styleId="844">
    <w:name w:val="正文文本首行缩进 字符"/>
    <w:next w:val="844"/>
    <w:link w:val="843"/>
    <w:rPr>
      <w:rFonts w:ascii="仿宋_GB2312" w:hAnsi="Times New Roman" w:eastAsia="仿宋_GB2312" w:cs="Times New Roman"/>
      <w:sz w:val="30"/>
      <w:szCs w:val="30"/>
    </w:rPr>
  </w:style>
  <w:style w:type="paragraph" w:styleId="845">
    <w:name w:val="正文文本首行缩进 2"/>
    <w:basedOn w:val="846"/>
    <w:next w:val="845"/>
    <w:link w:val="769"/>
    <w:qFormat/>
    <w:pPr>
      <w:ind w:left="0" w:firstLine="420"/>
      <w:spacing w:after="0" w:line="360" w:lineRule="auto"/>
    </w:pPr>
    <w:rPr>
      <w:rFonts w:ascii="宋体" w:hAnsi="宋体"/>
      <w:sz w:val="20"/>
      <w:szCs w:val="20"/>
      <w:lang w:val="en-US" w:eastAsia="en-US"/>
    </w:rPr>
  </w:style>
  <w:style w:type="paragraph" w:styleId="846">
    <w:name w:val="正文文本缩进1"/>
    <w:basedOn w:val="769"/>
    <w:next w:val="845"/>
    <w:link w:val="769"/>
    <w:uiPriority w:val="99"/>
    <w:unhideWhenUsed/>
    <w:qFormat/>
    <w:pPr>
      <w:ind w:left="420"/>
      <w:spacing w:after="120"/>
    </w:pPr>
  </w:style>
  <w:style w:type="table" w:styleId="847">
    <w:name w:val="网格型"/>
    <w:basedOn w:val="780"/>
    <w:next w:val="847"/>
    <w:link w:val="769"/>
    <w:qFormat/>
    <w:pPr>
      <w:jc w:val="both"/>
      <w:widowControl w:val="off"/>
    </w:pPr>
    <w:rPr>
      <w:rFonts w:ascii="Times New Roman" w:hAnsi="Times New Roman" w:eastAsia="宋体" w:cs="Times New Roman"/>
      <w:sz w:val="20"/>
      <w:szCs w:val="20"/>
    </w:rPr>
    <w:tblPr/>
  </w:style>
  <w:style w:type="character" w:styleId="848">
    <w:name w:val="要点"/>
    <w:next w:val="848"/>
    <w:link w:val="769"/>
    <w:qFormat/>
    <w:rPr>
      <w:b/>
      <w:bCs/>
    </w:rPr>
  </w:style>
  <w:style w:type="character" w:styleId="849">
    <w:name w:val="页码"/>
    <w:next w:val="849"/>
    <w:link w:val="769"/>
  </w:style>
  <w:style w:type="character" w:styleId="850">
    <w:name w:val="访问过的超链接"/>
    <w:next w:val="850"/>
    <w:link w:val="769"/>
    <w:uiPriority w:val="99"/>
    <w:rPr>
      <w:color w:val="800080"/>
      <w:u w:val="single"/>
    </w:rPr>
  </w:style>
  <w:style w:type="character" w:styleId="851">
    <w:name w:val="超链接"/>
    <w:next w:val="851"/>
    <w:link w:val="769"/>
    <w:uiPriority w:val="99"/>
    <w:rPr>
      <w:color w:val="0000ff"/>
      <w:u w:val="single"/>
    </w:rPr>
  </w:style>
  <w:style w:type="character" w:styleId="852">
    <w:name w:val="批注引用"/>
    <w:next w:val="852"/>
    <w:link w:val="769"/>
    <w:semiHidden/>
    <w:rPr>
      <w:sz w:val="21"/>
      <w:szCs w:val="21"/>
    </w:rPr>
  </w:style>
  <w:style w:type="character" w:styleId="853">
    <w:name w:val="font11"/>
    <w:next w:val="853"/>
    <w:link w:val="769"/>
    <w:rPr>
      <w:rFonts w:ascii="Times New Roman" w:hAnsi="Times New Roman" w:cs="Times New Roman"/>
      <w:i w:val="0"/>
      <w:color w:val="000000"/>
      <w:sz w:val="22"/>
      <w:szCs w:val="22"/>
      <w:u w:val="none"/>
    </w:rPr>
  </w:style>
  <w:style w:type="character" w:styleId="854">
    <w:name w:val="font161"/>
    <w:next w:val="854"/>
    <w:link w:val="769"/>
    <w:rPr>
      <w:rFonts w:ascii="Times New Roman" w:hAnsi="Times New Roman" w:cs="Times New Roman"/>
      <w:b/>
      <w:i w:val="0"/>
      <w:color w:val="000000"/>
      <w:sz w:val="22"/>
      <w:szCs w:val="22"/>
      <w:u w:val="none"/>
    </w:rPr>
  </w:style>
  <w:style w:type="character" w:styleId="855">
    <w:name w:val="font121"/>
    <w:next w:val="855"/>
    <w:link w:val="769"/>
    <w:rPr>
      <w:rFonts w:ascii="Times New Roman" w:hAnsi="Times New Roman" w:cs="Times New Roman"/>
      <w:b/>
      <w:i w:val="0"/>
      <w:color w:val="000000"/>
      <w:sz w:val="24"/>
      <w:szCs w:val="24"/>
      <w:u w:val="none"/>
    </w:rPr>
  </w:style>
  <w:style w:type="character" w:styleId="856">
    <w:name w:val="font5 Char"/>
    <w:next w:val="856"/>
    <w:link w:val="769"/>
    <w:rPr>
      <w:rFonts w:ascii="宋体" w:hAnsi="宋体" w:eastAsia="宋体"/>
      <w:sz w:val="28"/>
      <w:szCs w:val="28"/>
      <w:lang w:val="en-US" w:eastAsia="zh-CN" w:bidi="ar-SA"/>
    </w:rPr>
  </w:style>
  <w:style w:type="character" w:styleId="857">
    <w:name w:val="正文文本首行缩进 2 字符"/>
    <w:next w:val="857"/>
    <w:link w:val="858"/>
    <w:rPr>
      <w:rFonts w:ascii="宋体" w:hAnsi="宋体" w:eastAsia="宋体" w:cs="Times New Roman"/>
      <w:szCs w:val="20"/>
    </w:rPr>
  </w:style>
  <w:style w:type="paragraph" w:styleId="858">
    <w:name w:val="正文首行缩进 21"/>
    <w:basedOn w:val="807"/>
    <w:next w:val="769"/>
    <w:link w:val="857"/>
    <w:pPr>
      <w:ind w:left="0" w:firstLine="420"/>
      <w:spacing w:after="0" w:line="360" w:lineRule="auto"/>
    </w:pPr>
    <w:rPr>
      <w:rFonts w:ascii="宋体" w:hAnsi="宋体"/>
      <w:sz w:val="20"/>
      <w:szCs w:val="20"/>
    </w:rPr>
  </w:style>
  <w:style w:type="character" w:styleId="859">
    <w:name w:val="font132"/>
    <w:next w:val="859"/>
    <w:link w:val="769"/>
    <w:rPr>
      <w:rFonts w:ascii="Times New Roman" w:hAnsi="Times New Roman" w:cs="Times New Roman"/>
      <w:i w:val="0"/>
      <w:color w:val="000000"/>
      <w:sz w:val="22"/>
      <w:szCs w:val="22"/>
      <w:u w:val="none"/>
    </w:rPr>
  </w:style>
  <w:style w:type="character" w:styleId="860">
    <w:name w:val="font91"/>
    <w:next w:val="860"/>
    <w:link w:val="769"/>
    <w:rPr>
      <w:rFonts w:hint="eastAsia" w:ascii="宋体" w:hAnsi="宋体" w:eastAsia="宋体" w:cs="宋体"/>
      <w:i w:val="0"/>
      <w:color w:val="000000"/>
      <w:sz w:val="22"/>
      <w:szCs w:val="22"/>
      <w:u w:val="none"/>
    </w:rPr>
  </w:style>
  <w:style w:type="character" w:styleId="861">
    <w:name w:val="font51"/>
    <w:next w:val="861"/>
    <w:link w:val="769"/>
    <w:rPr>
      <w:rFonts w:ascii="Times New Roman" w:hAnsi="Times New Roman" w:cs="Times New Roman"/>
      <w:i w:val="0"/>
      <w:color w:val="000000"/>
      <w:sz w:val="20"/>
      <w:szCs w:val="20"/>
      <w:u w:val="none"/>
    </w:rPr>
  </w:style>
  <w:style w:type="character" w:styleId="862">
    <w:name w:val="font41"/>
    <w:next w:val="862"/>
    <w:link w:val="769"/>
    <w:rPr>
      <w:rFonts w:hint="eastAsia" w:ascii="宋体" w:hAnsi="宋体" w:eastAsia="宋体" w:cs="宋体"/>
      <w:b/>
      <w:i w:val="0"/>
      <w:color w:val="000000"/>
      <w:sz w:val="24"/>
      <w:szCs w:val="24"/>
      <w:u w:val="none"/>
    </w:rPr>
  </w:style>
  <w:style w:type="character" w:styleId="863">
    <w:name w:val="二级目录 Char"/>
    <w:next w:val="863"/>
    <w:link w:val="864"/>
    <w:rPr>
      <w:b/>
      <w:sz w:val="30"/>
      <w:szCs w:val="28"/>
      <w:lang w:val="en-US" w:eastAsia="zh-CN" w:bidi="ar-SA"/>
    </w:rPr>
  </w:style>
  <w:style w:type="paragraph" w:styleId="864">
    <w:name w:val="二级目录"/>
    <w:next w:val="769"/>
    <w:link w:val="863"/>
    <w:pPr>
      <w:numPr>
        <w:ilvl w:val="0"/>
        <w:numId w:val="2"/>
      </w:numPr>
      <w:tabs>
        <w:tab w:val="left" w:pos="907" w:leader="none"/>
        <w:tab w:val="left" w:pos="1145" w:leader="none"/>
      </w:tabs>
      <w:outlineLvl w:val="1"/>
    </w:pPr>
    <w:rPr>
      <w:b/>
      <w:sz w:val="30"/>
      <w:szCs w:val="28"/>
      <w:lang w:val="en-US" w:eastAsia="zh-CN" w:bidi="ar-SA"/>
    </w:rPr>
  </w:style>
  <w:style w:type="character" w:styleId="865">
    <w:name w:val="font31"/>
    <w:next w:val="865"/>
    <w:link w:val="769"/>
    <w:rPr>
      <w:rFonts w:hint="eastAsia" w:ascii="宋体" w:hAnsi="宋体" w:eastAsia="宋体" w:cs="宋体"/>
      <w:b/>
      <w:i w:val="0"/>
      <w:color w:val="000000"/>
      <w:sz w:val="22"/>
      <w:szCs w:val="22"/>
      <w:u w:val="none"/>
    </w:rPr>
  </w:style>
  <w:style w:type="character" w:styleId="866">
    <w:name w:val="列出段落 Char,Bullet List Char,numbered Char,FooterText Char,List Paragraph1 Char,Paragraphe de liste1 Char"/>
    <w:next w:val="866"/>
    <w:link w:val="867"/>
    <w:rPr>
      <w:rFonts w:ascii="Calibri" w:hAnsi="Calibri"/>
      <w:sz w:val="24"/>
      <w:szCs w:val="24"/>
      <w:lang w:eastAsia="en-US" w:bidi="en-US"/>
    </w:rPr>
  </w:style>
  <w:style w:type="paragraph" w:styleId="867">
    <w:name w:val="列出段落1"/>
    <w:basedOn w:val="769"/>
    <w:next w:val="867"/>
    <w:link w:val="866"/>
    <w:qFormat/>
    <w:pPr>
      <w:contextualSpacing/>
      <w:ind w:left="720"/>
      <w:jc w:val="left"/>
      <w:widowControl/>
    </w:pPr>
    <w:rPr>
      <w:rFonts w:ascii="Calibri" w:hAnsi="Calibri"/>
      <w:sz w:val="24"/>
      <w:szCs w:val="24"/>
      <w:lang w:eastAsia="en-US" w:bidi="en-US"/>
    </w:rPr>
  </w:style>
  <w:style w:type="character" w:styleId="868">
    <w:name w:val="font81"/>
    <w:next w:val="868"/>
    <w:link w:val="769"/>
    <w:rPr>
      <w:rFonts w:hint="eastAsia" w:ascii="宋体" w:hAnsi="宋体" w:eastAsia="宋体" w:cs="宋体"/>
      <w:i w:val="0"/>
      <w:color w:val="000000"/>
      <w:sz w:val="22"/>
      <w:szCs w:val="22"/>
      <w:u w:val="none"/>
    </w:rPr>
  </w:style>
  <w:style w:type="character" w:styleId="869">
    <w:name w:val="font12"/>
    <w:next w:val="869"/>
    <w:link w:val="769"/>
    <w:rPr>
      <w:rFonts w:ascii="Times New Roman" w:hAnsi="Times New Roman" w:cs="Times New Roman"/>
      <w:i w:val="0"/>
      <w:color w:val="000000"/>
      <w:sz w:val="20"/>
      <w:szCs w:val="20"/>
      <w:u w:val="none"/>
      <w:vertAlign w:val="superscript"/>
    </w:rPr>
  </w:style>
  <w:style w:type="character" w:styleId="870">
    <w:name w:val="font101"/>
    <w:next w:val="870"/>
    <w:link w:val="769"/>
    <w:rPr>
      <w:rFonts w:ascii="微软雅黑" w:hAnsi="微软雅黑" w:eastAsia="微软雅黑" w:cs="微软雅黑"/>
      <w:i w:val="0"/>
      <w:color w:val="000000"/>
      <w:sz w:val="22"/>
      <w:szCs w:val="22"/>
      <w:u w:val="none"/>
    </w:rPr>
  </w:style>
  <w:style w:type="character" w:styleId="871">
    <w:name w:val="font21"/>
    <w:next w:val="871"/>
    <w:link w:val="769"/>
    <w:rPr>
      <w:rFonts w:ascii="Times New Roman" w:hAnsi="Times New Roman" w:cs="Times New Roman"/>
      <w:b/>
      <w:i w:val="0"/>
      <w:color w:val="000000"/>
      <w:sz w:val="22"/>
      <w:szCs w:val="22"/>
      <w:u w:val="none"/>
    </w:rPr>
  </w:style>
  <w:style w:type="character" w:styleId="872">
    <w:name w:val="font13"/>
    <w:next w:val="872"/>
    <w:link w:val="769"/>
    <w:rPr>
      <w:rFonts w:hint="eastAsia" w:ascii="宋体" w:hAnsi="宋体" w:eastAsia="宋体" w:cs="宋体"/>
      <w:b/>
      <w:i w:val="0"/>
      <w:color w:val="000000"/>
      <w:sz w:val="24"/>
      <w:szCs w:val="24"/>
      <w:u w:val="none"/>
    </w:rPr>
  </w:style>
  <w:style w:type="character" w:styleId="873">
    <w:name w:val="font71"/>
    <w:next w:val="873"/>
    <w:link w:val="769"/>
    <w:rPr>
      <w:rFonts w:hint="eastAsia" w:ascii="宋体" w:hAnsi="宋体" w:eastAsia="宋体" w:cs="宋体"/>
      <w:b/>
      <w:i w:val="0"/>
      <w:color w:val="000000"/>
      <w:sz w:val="24"/>
      <w:szCs w:val="24"/>
      <w:u w:val="none"/>
    </w:rPr>
  </w:style>
  <w:style w:type="character" w:styleId="874">
    <w:name w:val="font61"/>
    <w:next w:val="874"/>
    <w:link w:val="769"/>
    <w:rPr>
      <w:rFonts w:hint="eastAsia" w:ascii="宋体" w:hAnsi="宋体" w:eastAsia="宋体" w:cs="宋体"/>
      <w:i w:val="0"/>
      <w:color w:val="000000"/>
      <w:sz w:val="22"/>
      <w:szCs w:val="22"/>
      <w:u w:val="none"/>
    </w:rPr>
  </w:style>
  <w:style w:type="paragraph" w:styleId="875">
    <w:name w:val="Table Text"/>
    <w:basedOn w:val="769"/>
    <w:next w:val="875"/>
    <w:link w:val="769"/>
    <w:semiHidden/>
    <w:qFormat/>
    <w:rPr>
      <w:rFonts w:ascii="宋体" w:hAnsi="宋体" w:cs="宋体"/>
      <w:szCs w:val="21"/>
      <w:lang w:eastAsia="en-US"/>
    </w:rPr>
  </w:style>
  <w:style w:type="paragraph" w:styleId="876">
    <w:name w:val="xl28"/>
    <w:basedOn w:val="769"/>
    <w:next w:val="876"/>
    <w:link w:val="7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77">
    <w:name w:val="xl63"/>
    <w:basedOn w:val="769"/>
    <w:next w:val="877"/>
    <w:link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878">
    <w:name w:val="正文文本1"/>
    <w:basedOn w:val="769"/>
    <w:next w:val="769"/>
    <w:link w:val="769"/>
    <w:semiHidden/>
    <w:qFormat/>
    <w:rPr>
      <w:rFonts w:ascii="Arial" w:hAnsi="Arial" w:eastAsia="Arial" w:cs="Arial"/>
      <w:sz w:val="21"/>
      <w:szCs w:val="21"/>
      <w:lang w:val="en-US" w:eastAsia="en-US" w:bidi="ar-SA"/>
    </w:rPr>
  </w:style>
  <w:style w:type="paragraph" w:styleId="879">
    <w:name w:val="附录1"/>
    <w:next w:val="879"/>
    <w:link w:val="769"/>
    <w:pPr>
      <w:ind w:left="907" w:hanging="907"/>
      <w:spacing w:before="240" w:line="600" w:lineRule="atLeast"/>
      <w:tabs>
        <w:tab w:val="left" w:pos="907" w:leader="none"/>
      </w:tabs>
    </w:pPr>
    <w:rPr>
      <w:b/>
      <w:i/>
      <w:sz w:val="28"/>
      <w:lang w:val="en-US" w:eastAsia="zh-CN" w:bidi="ar-SA"/>
    </w:rPr>
  </w:style>
  <w:style w:type="paragraph" w:styleId="880">
    <w:name w:val="xl26"/>
    <w:basedOn w:val="769"/>
    <w:next w:val="880"/>
    <w:link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1">
    <w:name w:val="标题 31"/>
    <w:basedOn w:val="769"/>
    <w:next w:val="882"/>
    <w:link w:val="769"/>
    <w:qFormat/>
    <w:pPr>
      <w:keepLines/>
      <w:keepNext/>
      <w:spacing w:before="260" w:after="260" w:line="416" w:lineRule="auto"/>
      <w:outlineLvl w:val="2"/>
    </w:pPr>
    <w:rPr>
      <w:b/>
      <w:bCs/>
      <w:sz w:val="32"/>
      <w:szCs w:val="32"/>
    </w:rPr>
  </w:style>
  <w:style w:type="paragraph" w:styleId="882">
    <w:name w:val="正文缩进1"/>
    <w:basedOn w:val="769"/>
    <w:next w:val="882"/>
    <w:link w:val="769"/>
    <w:qFormat/>
    <w:pPr>
      <w:ind w:firstLine="420"/>
    </w:pPr>
  </w:style>
  <w:style w:type="paragraph" w:styleId="883">
    <w:name w:val="注："/>
    <w:next w:val="806"/>
    <w:link w:val="769"/>
    <w:qFormat/>
    <w:pPr>
      <w:numPr>
        <w:ilvl w:val="0"/>
        <w:numId w:val="3"/>
      </w:numPr>
      <w:jc w:val="both"/>
      <w:widowControl w:val="off"/>
    </w:pPr>
    <w:rPr>
      <w:rFonts w:ascii="宋体"/>
      <w:sz w:val="18"/>
      <w:szCs w:val="18"/>
      <w:lang w:val="en-US" w:eastAsia="zh-CN" w:bidi="ar-SA"/>
    </w:rPr>
  </w:style>
  <w:style w:type="paragraph" w:styleId="884">
    <w:name w:val="font7"/>
    <w:basedOn w:val="769"/>
    <w:next w:val="884"/>
    <w:link w:val="769"/>
    <w:pPr>
      <w:jc w:val="left"/>
      <w:spacing w:before="100" w:beforeAutospacing="1" w:after="100" w:afterAutospacing="1"/>
      <w:widowControl/>
    </w:pPr>
    <w:rPr>
      <w:rFonts w:hint="eastAsia" w:ascii="宋体" w:hAnsi="宋体" w:eastAsia="宋体" w:cs="Times New Roman"/>
      <w:sz w:val="18"/>
      <w:szCs w:val="18"/>
    </w:rPr>
  </w:style>
  <w:style w:type="paragraph" w:styleId="885">
    <w:name w:val="xl30"/>
    <w:basedOn w:val="769"/>
    <w:next w:val="885"/>
    <w:link w:val="769"/>
    <w:pPr>
      <w:jc w:val="center"/>
      <w:spacing w:before="100" w:beforeAutospacing="1" w:after="100" w:afterAutospacing="1"/>
      <w:widowControl/>
    </w:pPr>
    <w:rPr>
      <w:rFonts w:ascii="宋体" w:hAnsi="宋体" w:eastAsia="宋体" w:cs="Times New Roman"/>
      <w:b/>
      <w:bCs/>
      <w:sz w:val="36"/>
      <w:szCs w:val="36"/>
    </w:rPr>
  </w:style>
  <w:style w:type="paragraph" w:styleId="886">
    <w:name w:val="xl77"/>
    <w:basedOn w:val="769"/>
    <w:next w:val="886"/>
    <w:link w:val="769"/>
    <w:pPr>
      <w:jc w:val="center"/>
      <w:spacing w:before="100" w:beforeAutospacing="1" w:after="100" w:afterAutospacing="1"/>
      <w:shd w:val="clear" w:color="000000" w:fill="8db3e2"/>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887">
    <w:name w:val="msonormal"/>
    <w:basedOn w:val="769"/>
    <w:next w:val="887"/>
    <w:link w:val="769"/>
    <w:pPr>
      <w:jc w:val="left"/>
      <w:spacing w:before="100" w:beforeAutospacing="1" w:after="100" w:afterAutospacing="1"/>
      <w:widowControl/>
    </w:pPr>
    <w:rPr>
      <w:rFonts w:ascii="宋体" w:hAnsi="宋体" w:cs="宋体"/>
      <w:sz w:val="24"/>
      <w:szCs w:val="24"/>
    </w:rPr>
  </w:style>
  <w:style w:type="paragraph" w:styleId="888">
    <w:name w:val="标题3"/>
    <w:basedOn w:val="769"/>
    <w:next w:val="769"/>
    <w:link w:val="769"/>
    <w:pPr>
      <w:ind w:firstLine="624"/>
      <w:spacing w:line="590" w:lineRule="atLeast"/>
    </w:pPr>
    <w:rPr>
      <w:rFonts w:ascii="方正黑体_GBK" w:hAnsi="Times New Roman" w:eastAsia="方正黑体_GBK" w:cs="Times New Roman"/>
      <w:sz w:val="32"/>
      <w:szCs w:val="32"/>
    </w:rPr>
  </w:style>
  <w:style w:type="paragraph" w:styleId="889">
    <w:name w:val=" Char Char Char Char Char Char Char Char Char Char"/>
    <w:basedOn w:val="769"/>
    <w:next w:val="889"/>
    <w:link w:val="769"/>
    <w:pPr>
      <w:spacing w:line="360" w:lineRule="auto"/>
    </w:pPr>
    <w:rPr>
      <w:rFonts w:ascii="Times New Roman" w:hAnsi="Times New Roman" w:eastAsia="宋体" w:cs="Times New Roman"/>
      <w:sz w:val="24"/>
      <w:szCs w:val="20"/>
    </w:rPr>
  </w:style>
  <w:style w:type="paragraph" w:styleId="890">
    <w:name w:val="纯文本1"/>
    <w:basedOn w:val="769"/>
    <w:next w:val="890"/>
    <w:link w:val="769"/>
    <w:qFormat/>
    <w:rPr>
      <w:rFonts w:ascii="宋体" w:hAnsi="Courier New" w:cs="Courier New"/>
    </w:rPr>
  </w:style>
  <w:style w:type="paragraph" w:styleId="891">
    <w:name w:val="修订"/>
    <w:next w:val="891"/>
    <w:link w:val="769"/>
    <w:uiPriority w:val="99"/>
    <w:semiHidden/>
    <w:rPr>
      <w:sz w:val="21"/>
      <w:szCs w:val="21"/>
      <w:lang w:val="en-US" w:eastAsia="zh-CN" w:bidi="ar-SA"/>
    </w:rPr>
  </w:style>
  <w:style w:type="paragraph" w:styleId="892">
    <w:name w:val=" Char"/>
    <w:basedOn w:val="796"/>
    <w:next w:val="892"/>
    <w:link w:val="769"/>
    <w:rPr>
      <w:rFonts w:ascii="Tahoma" w:hAnsi="Tahoma"/>
      <w:sz w:val="24"/>
      <w:szCs w:val="24"/>
    </w:rPr>
  </w:style>
  <w:style w:type="paragraph" w:styleId="893">
    <w:name w:val="图标"/>
    <w:basedOn w:val="769"/>
    <w:next w:val="769"/>
    <w:link w:val="7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94">
    <w:name w:val="xl76"/>
    <w:basedOn w:val="769"/>
    <w:next w:val="894"/>
    <w:link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895">
    <w:name w:val="Table Paragraph"/>
    <w:basedOn w:val="769"/>
    <w:next w:val="895"/>
    <w:link w:val="769"/>
    <w:uiPriority w:val="1"/>
    <w:qFormat/>
    <w:rPr>
      <w:rFonts w:ascii="宋体" w:hAnsi="宋体" w:eastAsia="宋体" w:cs="宋体"/>
      <w:lang w:val="zh-CN" w:eastAsia="zh-CN" w:bidi="zh-CN"/>
    </w:rPr>
  </w:style>
  <w:style w:type="paragraph" w:styleId="896">
    <w:name w:val="Char Char Char Char Char Char Char Char"/>
    <w:basedOn w:val="769"/>
    <w:next w:val="896"/>
    <w:link w:val="769"/>
    <w:pPr>
      <w:jc w:val="left"/>
      <w:spacing w:after="160" w:line="240" w:lineRule="exact"/>
      <w:widowControl/>
    </w:pPr>
    <w:rPr>
      <w:rFonts w:ascii="Verdana" w:hAnsi="Verdana" w:eastAsia="宋体" w:cs="Times New Roman"/>
      <w:sz w:val="20"/>
      <w:szCs w:val="20"/>
      <w:lang w:eastAsia="en-US"/>
    </w:rPr>
  </w:style>
  <w:style w:type="paragraph" w:styleId="897">
    <w:name w:val="Body Text(ch)"/>
    <w:basedOn w:val="769"/>
    <w:next w:val="802"/>
    <w:link w:val="769"/>
    <w:pPr>
      <w:spacing w:after="120"/>
    </w:pPr>
    <w:rPr>
      <w:rFonts w:ascii="宋体" w:hAnsi="Arial" w:eastAsia="宋体" w:cs="Times New Roman"/>
      <w:bCs/>
      <w:iCs/>
      <w:szCs w:val="24"/>
    </w:rPr>
  </w:style>
  <w:style w:type="paragraph" w:styleId="898">
    <w:name w:val="table_1stline"/>
    <w:basedOn w:val="769"/>
    <w:next w:val="898"/>
    <w:link w:val="769"/>
    <w:pPr>
      <w:jc w:val="left"/>
      <w:spacing w:before="120"/>
      <w:widowControl/>
    </w:pPr>
    <w:rPr>
      <w:rFonts w:ascii="Times New Roman" w:hAnsi="Times New Roman" w:eastAsia="宋体" w:cs="Times New Roman"/>
      <w:bCs/>
      <w:sz w:val="20"/>
      <w:szCs w:val="20"/>
      <w:lang w:val="de-DE" w:eastAsia="de-DE"/>
    </w:rPr>
  </w:style>
  <w:style w:type="paragraph" w:styleId="899">
    <w:name w:val="列表段落"/>
    <w:basedOn w:val="769"/>
    <w:next w:val="899"/>
    <w:link w:val="769"/>
    <w:qFormat/>
    <w:pPr>
      <w:contextualSpacing/>
      <w:ind w:left="720"/>
      <w:jc w:val="left"/>
      <w:widowControl/>
    </w:pPr>
    <w:rPr>
      <w:rFonts w:ascii="Calibri" w:hAnsi="Calibri" w:eastAsia="宋体" w:cs="Times New Roman"/>
      <w:sz w:val="24"/>
      <w:szCs w:val="24"/>
      <w:lang w:eastAsia="en-US" w:bidi="en-US"/>
    </w:rPr>
  </w:style>
  <w:style w:type="paragraph" w:styleId="900">
    <w:name w:val="xl29"/>
    <w:basedOn w:val="769"/>
    <w:next w:val="900"/>
    <w:link w:val="7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01">
    <w:name w:val="正文文本12"/>
    <w:basedOn w:val="769"/>
    <w:next w:val="901"/>
    <w:link w:val="769"/>
    <w:uiPriority w:val="1"/>
    <w:qFormat/>
    <w:pPr>
      <w:ind w:left="120"/>
    </w:pPr>
    <w:rPr>
      <w:rFonts w:ascii="宋体" w:hAnsi="宋体" w:eastAsia="宋体" w:cs="宋体"/>
      <w:sz w:val="21"/>
      <w:szCs w:val="21"/>
      <w:lang w:val="zh-CN" w:eastAsia="zh-CN" w:bidi="zh-CN"/>
    </w:rPr>
  </w:style>
  <w:style w:type="paragraph" w:styleId="902">
    <w:name w:val="无间隔"/>
    <w:next w:val="902"/>
    <w:link w:val="769"/>
    <w:uiPriority w:val="99"/>
    <w:qFormat/>
    <w:pPr>
      <w:jc w:val="both"/>
      <w:widowControl w:val="off"/>
    </w:pPr>
    <w:rPr>
      <w:sz w:val="21"/>
      <w:szCs w:val="21"/>
      <w:lang w:val="en-US" w:eastAsia="zh-CN" w:bidi="ar-SA"/>
    </w:rPr>
  </w:style>
  <w:style w:type="paragraph" w:styleId="903">
    <w:name w:val="xl27"/>
    <w:basedOn w:val="769"/>
    <w:next w:val="903"/>
    <w:link w:val="7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04">
    <w:name w:val="标题1"/>
    <w:basedOn w:val="769"/>
    <w:next w:val="769"/>
    <w:link w:val="7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05">
    <w:name w:val="xl25"/>
    <w:basedOn w:val="769"/>
    <w:next w:val="905"/>
    <w:link w:val="7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6">
    <w:name w:val="标题 41"/>
    <w:basedOn w:val="769"/>
    <w:next w:val="882"/>
    <w:link w:val="769"/>
    <w:qFormat/>
    <w:pPr>
      <w:keepLines/>
      <w:keepNext/>
      <w:spacing w:before="120" w:after="120"/>
      <w:outlineLvl w:val="3"/>
    </w:pPr>
    <w:rPr>
      <w:rFonts w:ascii="Arial" w:hAnsi="Arial" w:eastAsia="黑体"/>
      <w:b/>
      <w:sz w:val="28"/>
    </w:rPr>
  </w:style>
  <w:style w:type="paragraph" w:styleId="907">
    <w:name w:val="4"/>
    <w:basedOn w:val="769"/>
    <w:next w:val="831"/>
    <w:link w:val="769"/>
    <w:pPr>
      <w:ind w:firstLine="420"/>
      <w:spacing w:line="360" w:lineRule="auto"/>
    </w:pPr>
    <w:rPr>
      <w:rFonts w:ascii="Times New Roman" w:hAnsi="Times New Roman" w:eastAsia="宋体" w:cs="Times New Roman"/>
      <w:color w:val="ff0000"/>
      <w:sz w:val="24"/>
      <w:szCs w:val="24"/>
    </w:rPr>
  </w:style>
  <w:style w:type="paragraph" w:styleId="908">
    <w:name w:val="xl75"/>
    <w:basedOn w:val="769"/>
    <w:next w:val="908"/>
    <w:link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909">
    <w:name w:val="xl24"/>
    <w:basedOn w:val="769"/>
    <w:next w:val="909"/>
    <w:link w:val="7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0">
    <w:name w:val="样式1"/>
    <w:basedOn w:val="769"/>
    <w:next w:val="910"/>
    <w:link w:val="769"/>
    <w:pPr>
      <w:numPr>
        <w:ilvl w:val="0"/>
        <w:numId w:val="4"/>
      </w:numPr>
      <w:tabs>
        <w:tab w:val="left" w:pos="709" w:leader="none"/>
      </w:tabs>
    </w:pPr>
    <w:rPr>
      <w:rFonts w:ascii="宋体" w:hAnsi="宋体" w:eastAsia="宋体" w:cs="Times New Roman"/>
      <w:szCs w:val="21"/>
    </w:rPr>
  </w:style>
  <w:style w:type="paragraph" w:styleId="911">
    <w:name w:val="普通 (Web)"/>
    <w:basedOn w:val="769"/>
    <w:next w:val="911"/>
    <w:link w:val="769"/>
    <w:pPr>
      <w:jc w:val="left"/>
      <w:spacing w:before="100" w:beforeAutospacing="1" w:after="100" w:afterAutospacing="1"/>
      <w:widowControl/>
    </w:pPr>
    <w:rPr>
      <w:rFonts w:ascii="宋体" w:hAnsi="宋体" w:eastAsia="宋体" w:cs="Times New Roman"/>
      <w:sz w:val="24"/>
      <w:szCs w:val="24"/>
    </w:rPr>
  </w:style>
  <w:style w:type="paragraph" w:styleId="912">
    <w:name w:val="普通正文"/>
    <w:basedOn w:val="769"/>
    <w:next w:val="912"/>
    <w:link w:val="769"/>
    <w:pPr>
      <w:ind w:firstLine="480"/>
      <w:jc w:val="left"/>
      <w:spacing w:before="120" w:after="120" w:line="360" w:lineRule="auto"/>
    </w:pPr>
    <w:rPr>
      <w:rFonts w:ascii="Arial" w:hAnsi="Arial" w:eastAsia="宋体" w:cs="Times New Roman"/>
      <w:sz w:val="24"/>
      <w:szCs w:val="24"/>
    </w:rPr>
  </w:style>
  <w:style w:type="paragraph" w:styleId="913">
    <w:name w:val="font5"/>
    <w:basedOn w:val="769"/>
    <w:next w:val="913"/>
    <w:link w:val="769"/>
    <w:pPr>
      <w:jc w:val="left"/>
      <w:spacing w:before="100" w:beforeAutospacing="1" w:after="100" w:afterAutospacing="1"/>
      <w:widowControl/>
    </w:pPr>
    <w:rPr>
      <w:rFonts w:hint="eastAsia" w:ascii="宋体" w:hAnsi="宋体" w:eastAsia="宋体" w:cs="Times New Roman"/>
      <w:sz w:val="28"/>
      <w:szCs w:val="28"/>
    </w:rPr>
  </w:style>
  <w:style w:type="paragraph" w:styleId="914">
    <w:name w:val="xl74"/>
    <w:basedOn w:val="769"/>
    <w:next w:val="914"/>
    <w:link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915">
    <w:name w:val="font6"/>
    <w:basedOn w:val="769"/>
    <w:next w:val="915"/>
    <w:link w:val="769"/>
    <w:pPr>
      <w:jc w:val="left"/>
      <w:spacing w:before="100" w:beforeAutospacing="1" w:after="100" w:afterAutospacing="1"/>
      <w:widowControl/>
    </w:pPr>
    <w:rPr>
      <w:rFonts w:hint="eastAsia" w:ascii="宋体" w:hAnsi="宋体" w:eastAsia="宋体" w:cs="Times New Roman"/>
      <w:sz w:val="28"/>
      <w:szCs w:val="28"/>
      <w:u w:val="single"/>
    </w:rPr>
  </w:style>
  <w:style w:type="paragraph" w:styleId="916">
    <w:name w:val="table_lines"/>
    <w:basedOn w:val="769"/>
    <w:next w:val="916"/>
    <w:link w:val="769"/>
    <w:pPr>
      <w:jc w:val="left"/>
      <w:widowControl/>
    </w:pPr>
    <w:rPr>
      <w:rFonts w:ascii="Times New Roman" w:hAnsi="Times New Roman" w:eastAsia="宋体" w:cs="Times New Roman"/>
      <w:sz w:val="20"/>
      <w:szCs w:val="20"/>
      <w:lang w:val="de-DE" w:eastAsia="de-DE"/>
    </w:rPr>
  </w:style>
  <w:style w:type="paragraph" w:styleId="917">
    <w:name w:val=" Char Char Char Char"/>
    <w:basedOn w:val="796"/>
    <w:next w:val="917"/>
    <w:link w:val="769"/>
    <w:pPr>
      <w:spacing w:line="360" w:lineRule="auto"/>
    </w:pPr>
    <w:rPr>
      <w:rFonts w:ascii="Tahoma" w:hAnsi="Tahoma"/>
      <w:sz w:val="24"/>
      <w:szCs w:val="24"/>
    </w:rPr>
  </w:style>
  <w:style w:type="paragraph" w:styleId="918">
    <w:name w:val="Char"/>
    <w:basedOn w:val="769"/>
    <w:next w:val="918"/>
    <w:link w:val="769"/>
    <w:qFormat/>
    <w:pPr>
      <w:ind w:firstLine="200"/>
      <w:tabs>
        <w:tab w:val="left" w:pos="360" w:leader="none"/>
      </w:tabs>
    </w:pPr>
    <w:rPr>
      <w:rFonts w:ascii="Times New Roman" w:hAnsi="Times New Roman" w:eastAsia="宋体" w:cs="Times New Roman"/>
      <w:sz w:val="28"/>
      <w:szCs w:val="30"/>
    </w:rPr>
  </w:style>
  <w:style w:type="paragraph" w:styleId="919">
    <w:name w:val=" Char Char Char Char Char Char Char Char"/>
    <w:basedOn w:val="769"/>
    <w:next w:val="919"/>
    <w:link w:val="769"/>
    <w:pPr>
      <w:jc w:val="left"/>
      <w:spacing w:after="160" w:line="240" w:lineRule="exact"/>
      <w:widowControl/>
    </w:pPr>
    <w:rPr>
      <w:rFonts w:ascii="Verdana" w:hAnsi="Verdana" w:eastAsia="宋体" w:cs="Times New Roman"/>
      <w:sz w:val="20"/>
      <w:szCs w:val="20"/>
      <w:lang w:eastAsia="en-US"/>
    </w:rPr>
  </w:style>
  <w:style w:type="paragraph" w:styleId="920">
    <w:name w:val="首行缩进"/>
    <w:basedOn w:val="769"/>
    <w:next w:val="920"/>
    <w:link w:val="769"/>
    <w:qFormat/>
    <w:pPr>
      <w:ind w:firstLine="480"/>
      <w:jc w:val="left"/>
      <w:spacing w:line="360" w:lineRule="auto"/>
    </w:pPr>
    <w:rPr>
      <w:rFonts w:ascii="宋体" w:hAnsi="宋体"/>
      <w:sz w:val="24"/>
      <w:szCs w:val="24"/>
    </w:rPr>
  </w:style>
  <w:style w:type="paragraph" w:styleId="921">
    <w:name w:val="正文文本 211"/>
    <w:basedOn w:val="769"/>
    <w:next w:val="921"/>
    <w:link w:val="769"/>
    <w:uiPriority w:val="99"/>
    <w:qFormat/>
    <w:pPr>
      <w:jc w:val="center"/>
    </w:pPr>
    <w:rPr>
      <w:b/>
      <w:bCs/>
      <w:sz w:val="20"/>
      <w:szCs w:val="20"/>
    </w:rPr>
  </w:style>
  <w:style w:type="paragraph" w:styleId="922">
    <w:name w:val="Char Char Char Char"/>
    <w:basedOn w:val="796"/>
    <w:next w:val="922"/>
    <w:link w:val="769"/>
    <w:pPr>
      <w:spacing w:line="360" w:lineRule="auto"/>
    </w:pPr>
    <w:rPr>
      <w:rFonts w:ascii="Tahoma" w:hAnsi="Tahoma"/>
      <w:sz w:val="24"/>
      <w:szCs w:val="24"/>
    </w:rPr>
  </w:style>
  <w:style w:type="paragraph" w:styleId="923">
    <w:name w:val="font8"/>
    <w:basedOn w:val="769"/>
    <w:next w:val="923"/>
    <w:link w:val="769"/>
    <w:pPr>
      <w:jc w:val="left"/>
      <w:spacing w:before="100" w:beforeAutospacing="1" w:after="100" w:afterAutospacing="1"/>
      <w:widowControl/>
    </w:pPr>
    <w:rPr>
      <w:rFonts w:ascii="宋体" w:hAnsi="宋体" w:cs="宋体"/>
      <w:color w:val="000000"/>
      <w:sz w:val="18"/>
      <w:szCs w:val="18"/>
    </w:rPr>
  </w:style>
  <w:style w:type="paragraph" w:styleId="924">
    <w:name w:val="xl66"/>
    <w:basedOn w:val="769"/>
    <w:next w:val="924"/>
    <w:link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25">
    <w:name w:val="xl67"/>
    <w:basedOn w:val="769"/>
    <w:next w:val="925"/>
    <w:link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6">
    <w:name w:val="xl68"/>
    <w:basedOn w:val="769"/>
    <w:next w:val="926"/>
    <w:link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7">
    <w:name w:val="xl69"/>
    <w:basedOn w:val="769"/>
    <w:next w:val="927"/>
    <w:link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928">
    <w:name w:val="xl70"/>
    <w:basedOn w:val="769"/>
    <w:next w:val="928"/>
    <w:link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9">
    <w:name w:val="xl71"/>
    <w:basedOn w:val="769"/>
    <w:next w:val="929"/>
    <w:link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30">
    <w:name w:val="xl72"/>
    <w:basedOn w:val="769"/>
    <w:next w:val="930"/>
    <w:link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931">
    <w:name w:val="xl73"/>
    <w:basedOn w:val="769"/>
    <w:next w:val="931"/>
    <w:link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932">
    <w:name w:val="xl78"/>
    <w:basedOn w:val="769"/>
    <w:next w:val="932"/>
    <w:link w:val="7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3">
    <w:name w:val="xl64"/>
    <w:basedOn w:val="769"/>
    <w:next w:val="933"/>
    <w:link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34">
    <w:name w:val="xl65"/>
    <w:basedOn w:val="769"/>
    <w:next w:val="934"/>
    <w:link w:val="76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table" w:styleId="935">
    <w:name w:val="Table Normal"/>
    <w:next w:val="935"/>
    <w:link w:val="769"/>
    <w:qFormat/>
    <w:rPr>
      <w:lang w:val="en-US" w:eastAsia="zh-CN" w:bidi="ar-SA"/>
    </w:rPr>
    <w:tblPr/>
  </w:style>
  <w:style w:type="table" w:styleId="936">
    <w:name w:val="普通表格1"/>
    <w:next w:val="936"/>
    <w:link w:val="769"/>
    <w:uiPriority w:val="99"/>
    <w:unhideWhenUsed/>
    <w:qFormat/>
    <w:rPr>
      <w:lang w:val="en-US" w:eastAsia="zh-CN" w:bidi="ar-SA"/>
    </w:rPr>
    <w:tblPr/>
  </w:style>
  <w:style w:type="table" w:styleId="937">
    <w:name w:val="网格型1"/>
    <w:basedOn w:val="936"/>
    <w:next w:val="937"/>
    <w:link w:val="769"/>
    <w:qFormat/>
    <w:pPr>
      <w:jc w:val="both"/>
      <w:widowControl w:val="off"/>
    </w:pPr>
    <w:tblPr/>
  </w:style>
  <w:style w:type="character" w:styleId="938">
    <w:name w:val="未处理的提及"/>
    <w:next w:val="938"/>
    <w:link w:val="769"/>
    <w:uiPriority w:val="99"/>
    <w:unhideWhenUsed/>
    <w:rPr>
      <w:color w:val="605e5c"/>
      <w:shd w:val="clear" w:color="auto" w:fill="e1dfdd"/>
    </w:rPr>
  </w:style>
  <w:style w:type="character" w:styleId="939">
    <w:name w:val="Heading 1 Char"/>
    <w:next w:val="939"/>
    <w:link w:val="769"/>
    <w:uiPriority w:val="9"/>
    <w:rPr>
      <w:rFonts w:ascii="Arial" w:hAnsi="Arial" w:eastAsia="Arial" w:cs="Arial"/>
      <w:sz w:val="40"/>
      <w:szCs w:val="40"/>
    </w:rPr>
  </w:style>
  <w:style w:type="character" w:styleId="940">
    <w:name w:val="强调"/>
    <w:next w:val="940"/>
    <w:link w:val="769"/>
    <w:qFormat/>
    <w:rPr>
      <w:i/>
    </w:rPr>
  </w:style>
  <w:style w:type="character" w:styleId="80022" w:default="1">
    <w:name w:val="Default Paragraph Font"/>
    <w:uiPriority w:val="1"/>
    <w:semiHidden/>
    <w:unhideWhenUsed/>
  </w:style>
  <w:style w:type="numbering" w:styleId="80023" w:default="1">
    <w:name w:val="No List"/>
    <w:uiPriority w:val="99"/>
    <w:semiHidden/>
    <w:unhideWhenUsed/>
  </w:style>
  <w:style w:type="table" w:styleId="800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jpg"/><Relationship Id="rId37" Type="http://schemas.openxmlformats.org/officeDocument/2006/relationships/image" Target="media/image26.jpg"/><Relationship Id="rId38" Type="http://schemas.openxmlformats.org/officeDocument/2006/relationships/image" Target="media/image27.jpg"/><Relationship Id="rId39" Type="http://schemas.openxmlformats.org/officeDocument/2006/relationships/image" Target="media/image28.jpg"/><Relationship Id="rId40" Type="http://schemas.openxmlformats.org/officeDocument/2006/relationships/image" Target="media/image29.jpg"/><Relationship Id="rId41" Type="http://schemas.openxmlformats.org/officeDocument/2006/relationships/image" Target="media/image3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LSY</dc:creator>
  <cp:lastModifiedBy>王永发</cp:lastModifiedBy>
  <cp:revision>25</cp:revision>
  <dcterms:created xsi:type="dcterms:W3CDTF">2026-09-06T14:08:00Z</dcterms:created>
  <dcterms:modified xsi:type="dcterms:W3CDTF">2026-09-11T06:20:49Z</dcterms:modified>
  <cp:version>1048576</cp:version>
</cp:coreProperties>
</file>