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72"/>
          <w:szCs w:val="72"/>
        </w:rPr>
      </w:pPr>
      <w:r>
        <w:rPr>
          <w:rFonts w:eastAsia="隶书"/>
          <w:b/>
          <w:bCs/>
          <w:color w:val="000000"/>
          <w:sz w:val="72"/>
          <w:szCs w:val="72"/>
        </w:rPr>
      </w:r>
      <w:r/>
    </w:p>
    <w:p>
      <w:pPr>
        <w:jc w:val="center"/>
        <w:spacing w:line="360" w:lineRule="auto"/>
        <w:rPr>
          <w:rFonts w:eastAsia="隶书"/>
          <w:color w:val="000000"/>
          <w:sz w:val="84"/>
          <w:szCs w:val="84"/>
        </w:rPr>
      </w:pPr>
      <w:r>
        <w:rPr>
          <w:rFonts w:eastAsia="隶书"/>
          <w:sz w:val="72"/>
          <w:szCs w:val="22"/>
        </w:rPr>
        <w:t xml:space="preserve">江苏省特种设备安全监督检验研究院</w:t>
      </w:r>
      <w:r/>
    </w:p>
    <w:p>
      <w:pPr>
        <w:jc w:val="center"/>
        <w:spacing w:line="360" w:lineRule="auto"/>
        <w:rPr>
          <w:rFonts w:eastAsia="隶书"/>
          <w:color w:val="000000"/>
          <w:sz w:val="84"/>
          <w:szCs w:val="84"/>
        </w:rPr>
      </w:pPr>
      <w:r>
        <w:rPr>
          <w:rFonts w:eastAsia="隶书"/>
          <w:color w:val="000000"/>
          <w:sz w:val="84"/>
          <w:szCs w:val="84"/>
        </w:rPr>
      </w:r>
      <w:r/>
    </w:p>
    <w:p>
      <w:pPr>
        <w:jc w:val="center"/>
        <w:spacing w:line="360" w:lineRule="auto"/>
        <w:rPr>
          <w:rFonts w:eastAsia="隶书"/>
          <w:color w:val="000000"/>
          <w:sz w:val="72"/>
        </w:rPr>
      </w:pPr>
      <w:r>
        <w:rPr>
          <w:rFonts w:hint="eastAsia" w:eastAsia="隶书"/>
          <w:sz w:val="48"/>
          <w:szCs w:val="48"/>
        </w:rPr>
        <w:t xml:space="preserve">等离子氩弧自动焊机(P+T)等13项设备</w:t>
      </w:r>
      <w:r/>
    </w:p>
    <w:p>
      <w:pPr>
        <w:jc w:val="center"/>
        <w:spacing w:line="360" w:lineRule="auto"/>
        <w:rPr>
          <w:color w:val="000000"/>
          <w:sz w:val="72"/>
        </w:rPr>
      </w:pPr>
      <w:r>
        <w:rPr>
          <w:color w:val="000000"/>
          <w:sz w:val="72"/>
        </w:rPr>
      </w:r>
      <w:r/>
    </w:p>
    <w:p>
      <w:pPr>
        <w:jc w:val="center"/>
        <w:spacing w:line="360" w:lineRule="auto"/>
        <w:rPr>
          <w:rFonts w:eastAsia="隶书"/>
          <w:color w:val="000000"/>
          <w:sz w:val="96"/>
          <w:szCs w:val="96"/>
        </w:rPr>
      </w:pPr>
      <w:r>
        <w:rPr>
          <w:rFonts w:eastAsia="隶书"/>
          <w:sz w:val="96"/>
          <w:szCs w:val="96"/>
        </w:rPr>
        <w:t xml:space="preserve">招 标 文 件</w:t>
      </w:r>
      <w:r/>
    </w:p>
    <w:p>
      <w:pPr>
        <w:jc w:val="center"/>
        <w:spacing w:line="360" w:lineRule="auto"/>
        <w:rPr>
          <w:rFonts w:eastAsia="隶书"/>
          <w:color w:val="000000"/>
          <w:sz w:val="36"/>
        </w:rPr>
      </w:pPr>
      <w:r>
        <w:rPr>
          <w:rFonts w:eastAsia="隶书"/>
          <w:color w:val="000000"/>
          <w:sz w:val="36"/>
        </w:rPr>
        <w:t xml:space="preserve">招标编号：</w:t>
      </w:r>
      <w:r>
        <w:rPr>
          <w:rFonts w:hint="eastAsia" w:eastAsia="隶书"/>
          <w:color w:val="000000"/>
          <w:sz w:val="36"/>
        </w:rPr>
        <w:t xml:space="preserve">4297-2641SUMEC311</w:t>
      </w:r>
      <w:r/>
    </w:p>
    <w:p>
      <w:pPr>
        <w:jc w:val="center"/>
        <w:spacing w:line="360" w:lineRule="auto"/>
        <w:rPr>
          <w:rFonts w:eastAsia="隶书"/>
          <w:color w:val="000000"/>
          <w:sz w:val="36"/>
        </w:rPr>
      </w:pPr>
      <w:r>
        <w:rPr>
          <w:rFonts w:eastAsia="隶书"/>
          <w:color w:val="000000"/>
          <w:sz w:val="36"/>
        </w:rPr>
        <w:t xml:space="preserve">（公告编号：</w:t>
      </w:r>
      <w:r>
        <w:rPr>
          <w:rFonts w:hint="eastAsia" w:eastAsia="隶书"/>
          <w:color w:val="000000"/>
          <w:sz w:val="36"/>
        </w:rPr>
        <w:t xml:space="preserve">JSZC-320000-JSSB-G2026-0008</w:t>
      </w:r>
      <w:r>
        <w:rPr>
          <w:rFonts w:eastAsia="隶书"/>
          <w:color w:val="000000"/>
          <w:sz w:val="36"/>
        </w:rPr>
        <w:t xml:space="preserve">）</w:t>
      </w:r>
      <w:r/>
    </w:p>
    <w:p>
      <w:pPr>
        <w:spacing w:line="360" w:lineRule="auto"/>
        <w:rPr>
          <w:rFonts w:eastAsia="隶书"/>
          <w:color w:val="000000"/>
          <w:szCs w:val="21"/>
        </w:rPr>
      </w:pPr>
      <w:r>
        <w:rPr>
          <w:rFonts w:eastAsia="隶书"/>
          <w:color w:val="000000"/>
          <w:szCs w:val="21"/>
        </w:rPr>
      </w:r>
      <w:r/>
    </w:p>
    <w:p>
      <w:pPr>
        <w:spacing w:line="360" w:lineRule="auto"/>
        <w:rPr>
          <w:rFonts w:eastAsia="隶书"/>
          <w:color w:val="000000"/>
          <w:sz w:val="32"/>
        </w:rPr>
      </w:pPr>
      <w:r>
        <w:rPr>
          <w:rFonts w:eastAsia="隶书"/>
          <w:color w:val="000000"/>
          <w:sz w:val="32"/>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eastAsia="隶书"/>
          <w:color w:val="000000"/>
          <w:sz w:val="32"/>
        </w:rPr>
        <w:t xml:space="preserve">采购代理机构：江苏美达机电贸易有限公司</w:t>
      </w:r>
      <w:r/>
    </w:p>
    <w:p>
      <w:pPr>
        <w:jc w:val="center"/>
        <w:spacing w:line="360" w:lineRule="auto"/>
        <w:rPr>
          <w:rFonts w:eastAsia="隶书"/>
          <w:color w:val="000000"/>
          <w:sz w:val="32"/>
        </w:rPr>
      </w:pPr>
      <w:r>
        <w:rPr>
          <w:rFonts w:eastAsia="隶书"/>
          <w:color w:val="000000"/>
          <w:sz w:val="32"/>
        </w:rPr>
        <w:t xml:space="preserve">2026年0</w:t>
      </w:r>
      <w:r>
        <w:rPr>
          <w:rFonts w:hint="eastAsia" w:eastAsia="隶书"/>
          <w:color w:val="000000"/>
          <w:sz w:val="32"/>
        </w:rPr>
        <w:t xml:space="preserve">9</w:t>
      </w:r>
      <w:r>
        <w:rPr>
          <w:rFonts w:eastAsia="隶书"/>
          <w:color w:val="000000"/>
          <w:sz w:val="32"/>
        </w:rPr>
        <w:t xml:space="preserve">月</w:t>
      </w:r>
      <w:r/>
    </w:p>
    <w:p>
      <w:pPr>
        <w:jc w:val="center"/>
        <w:spacing w:line="440" w:lineRule="exact"/>
        <w:rPr>
          <w:rFonts w:eastAsia="黑体"/>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720" w:equalWidth="1"/>
          <w:docGrid w:linePitch="360"/>
        </w:sectPr>
      </w:pPr>
      <w:r>
        <w:rPr>
          <w:rFonts w:eastAsia="黑体"/>
          <w:color w:val="000000"/>
          <w:sz w:val="32"/>
        </w:rPr>
      </w:r>
      <w:r/>
    </w:p>
    <w:p>
      <w:pPr>
        <w:jc w:val="center"/>
        <w:spacing w:line="440" w:lineRule="exact"/>
        <w:rPr>
          <w:rFonts w:eastAsia="黑体"/>
          <w:b/>
          <w:color w:val="000000"/>
          <w:sz w:val="32"/>
        </w:rPr>
      </w:pPr>
      <w:r>
        <w:rPr>
          <w:b/>
          <w:color w:val="000000"/>
          <w:sz w:val="32"/>
        </w:rPr>
        <w:t xml:space="preserve">目   录</w:t>
      </w:r>
      <w:r/>
    </w:p>
    <w:p>
      <w:pPr>
        <w:pStyle w:val="1199"/>
        <w:tabs>
          <w:tab w:val="right" w:pos="9416" w:leader="dot"/>
        </w:tabs>
      </w:pPr>
      <w:r>
        <w:rPr>
          <w:rFonts w:eastAsia="黑体"/>
          <w:bCs/>
          <w:color w:val="000000"/>
          <w:sz w:val="24"/>
          <w:szCs w:val="24"/>
        </w:rPr>
        <w:fldChar w:fldCharType="begin"/>
      </w:r>
      <w:r>
        <w:rPr>
          <w:rFonts w:eastAsia="黑体"/>
          <w:bCs/>
          <w:color w:val="000000"/>
          <w:sz w:val="24"/>
          <w:szCs w:val="24"/>
        </w:rPr>
        <w:instrText xml:space="preserve">TOC \o "1-3" \h \u </w:instrText>
      </w:r>
      <w:r>
        <w:rPr>
          <w:rFonts w:eastAsia="黑体"/>
          <w:bCs/>
          <w:color w:val="000000"/>
          <w:sz w:val="24"/>
          <w:szCs w:val="24"/>
        </w:rPr>
        <w:fldChar w:fldCharType="separate"/>
      </w:r>
      <w:r>
        <w:fldChar w:fldCharType="begin"/>
      </w:r>
      <w:r>
        <w:instrText xml:space="preserve"> HYPERLINK \l "_Toc12990" </w:instrText>
      </w:r>
      <w:r>
        <w:fldChar w:fldCharType="separate"/>
      </w:r>
      <w:r>
        <w:rPr>
          <w:szCs w:val="28"/>
        </w:rPr>
        <w:t xml:space="preserve">第一章 招标公告</w:t>
      </w:r>
      <w:r>
        <w:tab/>
      </w:r>
      <w:r>
        <w:fldChar w:fldCharType="begin"/>
      </w:r>
      <w:r>
        <w:instrText xml:space="preserve"> PAGEREF _Toc12990 \h </w:instrText>
      </w:r>
      <w:r>
        <w:fldChar w:fldCharType="separate"/>
      </w:r>
      <w:r>
        <w:t xml:space="preserve">3</w:t>
      </w:r>
      <w:r>
        <w:fldChar w:fldCharType="end"/>
      </w:r>
      <w:r>
        <w:fldChar w:fldCharType="end"/>
      </w:r>
      <w:r/>
    </w:p>
    <w:p>
      <w:pPr>
        <w:pStyle w:val="1206"/>
        <w:ind w:left="420"/>
        <w:tabs>
          <w:tab w:val="right" w:pos="9416" w:leader="dot"/>
        </w:tabs>
      </w:pPr>
      <w:r>
        <w:fldChar w:fldCharType="begin"/>
      </w:r>
      <w:r>
        <w:instrText xml:space="preserve"> HYPERLINK \l "_Toc31458" </w:instrText>
      </w:r>
      <w:r>
        <w:fldChar w:fldCharType="separate"/>
      </w:r>
      <w:r>
        <w:t xml:space="preserve">一、项目基本情况</w:t>
      </w:r>
      <w:r>
        <w:tab/>
      </w:r>
      <w:r>
        <w:fldChar w:fldCharType="begin"/>
      </w:r>
      <w:r>
        <w:instrText xml:space="preserve"> PAGEREF _Toc31458 \h </w:instrText>
      </w:r>
      <w:r>
        <w:fldChar w:fldCharType="separate"/>
      </w:r>
      <w:r>
        <w:t xml:space="preserve">3</w:t>
      </w:r>
      <w:r>
        <w:fldChar w:fldCharType="end"/>
      </w:r>
      <w:r>
        <w:fldChar w:fldCharType="end"/>
      </w:r>
      <w:r/>
    </w:p>
    <w:p>
      <w:pPr>
        <w:pStyle w:val="1206"/>
        <w:ind w:left="420"/>
        <w:tabs>
          <w:tab w:val="right" w:pos="9416" w:leader="dot"/>
        </w:tabs>
      </w:pPr>
      <w:r>
        <w:fldChar w:fldCharType="begin"/>
      </w:r>
      <w:r>
        <w:instrText xml:space="preserve"> HYPERLINK \l "_Toc29774" </w:instrText>
      </w:r>
      <w:r>
        <w:fldChar w:fldCharType="separate"/>
      </w:r>
      <w:r>
        <w:t xml:space="preserve">二、申请人的资格要求：</w:t>
      </w:r>
      <w:r>
        <w:tab/>
      </w:r>
      <w:r>
        <w:fldChar w:fldCharType="begin"/>
      </w:r>
      <w:r>
        <w:instrText xml:space="preserve"> PAGEREF _Toc29774 \h </w:instrText>
      </w:r>
      <w:r>
        <w:fldChar w:fldCharType="separate"/>
      </w:r>
      <w:r>
        <w:t xml:space="preserve">4</w:t>
      </w:r>
      <w:r>
        <w:fldChar w:fldCharType="end"/>
      </w:r>
      <w:r>
        <w:fldChar w:fldCharType="end"/>
      </w:r>
      <w:r/>
    </w:p>
    <w:p>
      <w:pPr>
        <w:pStyle w:val="1206"/>
        <w:ind w:left="420"/>
        <w:tabs>
          <w:tab w:val="right" w:pos="9416" w:leader="dot"/>
        </w:tabs>
      </w:pPr>
      <w:r>
        <w:fldChar w:fldCharType="begin"/>
      </w:r>
      <w:r>
        <w:instrText xml:space="preserve"> HYPERLINK \l "_Toc32687" </w:instrText>
      </w:r>
      <w:r>
        <w:fldChar w:fldCharType="separate"/>
      </w:r>
      <w:r>
        <w:t xml:space="preserve">三、获取招标文件</w:t>
      </w:r>
      <w:r>
        <w:tab/>
      </w:r>
      <w:r>
        <w:fldChar w:fldCharType="begin"/>
      </w:r>
      <w:r>
        <w:instrText xml:space="preserve"> PAGEREF _Toc32687 \h </w:instrText>
      </w:r>
      <w:r>
        <w:fldChar w:fldCharType="separate"/>
      </w:r>
      <w:r>
        <w:t xml:space="preserve">4</w:t>
      </w:r>
      <w:r>
        <w:fldChar w:fldCharType="end"/>
      </w:r>
      <w:r>
        <w:fldChar w:fldCharType="end"/>
      </w:r>
      <w:r/>
    </w:p>
    <w:p>
      <w:pPr>
        <w:pStyle w:val="1206"/>
        <w:ind w:left="420"/>
        <w:tabs>
          <w:tab w:val="right" w:pos="9416" w:leader="dot"/>
        </w:tabs>
      </w:pPr>
      <w:r>
        <w:fldChar w:fldCharType="begin"/>
      </w:r>
      <w:r>
        <w:instrText xml:space="preserve"> HYPERLINK \l "_Toc28434" </w:instrText>
      </w:r>
      <w:r>
        <w:fldChar w:fldCharType="separate"/>
      </w:r>
      <w:r>
        <w:t xml:space="preserve">四、提交投标文件截止时间、开标时间和地点</w:t>
      </w:r>
      <w:r>
        <w:tab/>
      </w:r>
      <w:r>
        <w:fldChar w:fldCharType="begin"/>
      </w:r>
      <w:r>
        <w:instrText xml:space="preserve"> PAGEREF _Toc28434 \h </w:instrText>
      </w:r>
      <w:r>
        <w:fldChar w:fldCharType="separate"/>
      </w:r>
      <w:r>
        <w:t xml:space="preserve">5</w:t>
      </w:r>
      <w:r>
        <w:fldChar w:fldCharType="end"/>
      </w:r>
      <w:r>
        <w:fldChar w:fldCharType="end"/>
      </w:r>
      <w:r/>
    </w:p>
    <w:p>
      <w:pPr>
        <w:pStyle w:val="1206"/>
        <w:ind w:left="420"/>
        <w:tabs>
          <w:tab w:val="right" w:pos="9416" w:leader="dot"/>
        </w:tabs>
      </w:pPr>
      <w:r>
        <w:fldChar w:fldCharType="begin"/>
      </w:r>
      <w:r>
        <w:instrText xml:space="preserve"> HYPERLINK \l "_Toc17159" </w:instrText>
      </w:r>
      <w:r>
        <w:fldChar w:fldCharType="separate"/>
      </w:r>
      <w:r>
        <w:t xml:space="preserve">五、公告期限</w:t>
      </w:r>
      <w:r>
        <w:tab/>
      </w:r>
      <w:r>
        <w:fldChar w:fldCharType="begin"/>
      </w:r>
      <w:r>
        <w:instrText xml:space="preserve"> PAGEREF _Toc17159 \h </w:instrText>
      </w:r>
      <w:r>
        <w:fldChar w:fldCharType="separate"/>
      </w:r>
      <w:r>
        <w:t xml:space="preserve">5</w:t>
      </w:r>
      <w:r>
        <w:fldChar w:fldCharType="end"/>
      </w:r>
      <w:r>
        <w:fldChar w:fldCharType="end"/>
      </w:r>
      <w:r/>
    </w:p>
    <w:p>
      <w:pPr>
        <w:pStyle w:val="1206"/>
        <w:ind w:left="420"/>
        <w:tabs>
          <w:tab w:val="right" w:pos="9416" w:leader="dot"/>
        </w:tabs>
      </w:pPr>
      <w:r>
        <w:fldChar w:fldCharType="begin"/>
      </w:r>
      <w:r>
        <w:instrText xml:space="preserve"> HYPERLINK \l "_Toc7357" </w:instrText>
      </w:r>
      <w:r>
        <w:fldChar w:fldCharType="separate"/>
      </w:r>
      <w:r>
        <w:t xml:space="preserve">六、其他补充事宜</w:t>
      </w:r>
      <w:r>
        <w:tab/>
      </w:r>
      <w:r>
        <w:fldChar w:fldCharType="begin"/>
      </w:r>
      <w:r>
        <w:instrText xml:space="preserve"> PAGEREF _Toc7357 \h </w:instrText>
      </w:r>
      <w:r>
        <w:fldChar w:fldCharType="separate"/>
      </w:r>
      <w:r>
        <w:t xml:space="preserve">5</w:t>
      </w:r>
      <w:r>
        <w:fldChar w:fldCharType="end"/>
      </w:r>
      <w:r>
        <w:fldChar w:fldCharType="end"/>
      </w:r>
      <w:r/>
    </w:p>
    <w:p>
      <w:pPr>
        <w:pStyle w:val="1206"/>
        <w:ind w:left="420"/>
        <w:tabs>
          <w:tab w:val="right" w:pos="9416" w:leader="dot"/>
        </w:tabs>
      </w:pPr>
      <w:r>
        <w:fldChar w:fldCharType="begin"/>
      </w:r>
      <w:r>
        <w:instrText xml:space="preserve"> HYPERLINK \l "_Toc6922" </w:instrText>
      </w:r>
      <w:r>
        <w:fldChar w:fldCharType="separate"/>
      </w:r>
      <w:r>
        <w:t xml:space="preserve">七、对本次招标提出询问，请按以下方式联系。</w:t>
      </w:r>
      <w:r>
        <w:tab/>
      </w:r>
      <w:r>
        <w:fldChar w:fldCharType="begin"/>
      </w:r>
      <w:r>
        <w:instrText xml:space="preserve"> PAGEREF _Toc6922 \h </w:instrText>
      </w:r>
      <w:r>
        <w:fldChar w:fldCharType="separate"/>
      </w:r>
      <w:r>
        <w:t xml:space="preserve">6</w:t>
      </w:r>
      <w:r>
        <w:fldChar w:fldCharType="end"/>
      </w:r>
      <w:r>
        <w:fldChar w:fldCharType="end"/>
      </w:r>
      <w:r/>
    </w:p>
    <w:p>
      <w:pPr>
        <w:pStyle w:val="1199"/>
        <w:tabs>
          <w:tab w:val="right" w:pos="9416" w:leader="dot"/>
        </w:tabs>
      </w:pPr>
      <w:r>
        <w:fldChar w:fldCharType="begin"/>
      </w:r>
      <w:r>
        <w:instrText xml:space="preserve"> HYPERLINK \l "_Toc6468" </w:instrText>
      </w:r>
      <w:r>
        <w:fldChar w:fldCharType="separate"/>
      </w:r>
      <w:r>
        <w:rPr>
          <w:szCs w:val="28"/>
        </w:rPr>
        <w:t xml:space="preserve">第二章 投标人须知</w:t>
      </w:r>
      <w:r>
        <w:tab/>
      </w:r>
      <w:r>
        <w:fldChar w:fldCharType="begin"/>
      </w:r>
      <w:r>
        <w:instrText xml:space="preserve"> PAGEREF _Toc6468 \h </w:instrText>
      </w:r>
      <w:r>
        <w:fldChar w:fldCharType="separate"/>
      </w:r>
      <w:r>
        <w:t xml:space="preserve">7</w:t>
      </w:r>
      <w:r>
        <w:fldChar w:fldCharType="end"/>
      </w:r>
      <w:r>
        <w:fldChar w:fldCharType="end"/>
      </w:r>
      <w:r/>
    </w:p>
    <w:p>
      <w:pPr>
        <w:pStyle w:val="1206"/>
        <w:ind w:left="420"/>
        <w:tabs>
          <w:tab w:val="right" w:pos="9416" w:leader="dot"/>
        </w:tabs>
      </w:pPr>
      <w:r>
        <w:fldChar w:fldCharType="begin"/>
      </w:r>
      <w:r>
        <w:instrText xml:space="preserve"> HYPERLINK \l "_Toc8423" </w:instrText>
      </w:r>
      <w:r>
        <w:fldChar w:fldCharType="separate"/>
      </w:r>
      <w:r>
        <w:rPr>
          <w:bCs/>
          <w:szCs w:val="21"/>
        </w:rPr>
        <w:t xml:space="preserve">一、总则</w:t>
      </w:r>
      <w:r>
        <w:tab/>
      </w:r>
      <w:r>
        <w:fldChar w:fldCharType="begin"/>
      </w:r>
      <w:r>
        <w:instrText xml:space="preserve"> PAGEREF _Toc8423 \h </w:instrText>
      </w:r>
      <w:r>
        <w:fldChar w:fldCharType="separate"/>
      </w:r>
      <w:r>
        <w:t xml:space="preserve">9</w:t>
      </w:r>
      <w:r>
        <w:fldChar w:fldCharType="end"/>
      </w:r>
      <w:r>
        <w:fldChar w:fldCharType="end"/>
      </w:r>
      <w:r/>
    </w:p>
    <w:p>
      <w:pPr>
        <w:pStyle w:val="1206"/>
        <w:ind w:left="420"/>
        <w:tabs>
          <w:tab w:val="right" w:pos="9416" w:leader="dot"/>
        </w:tabs>
      </w:pPr>
      <w:r>
        <w:fldChar w:fldCharType="begin"/>
      </w:r>
      <w:r>
        <w:instrText xml:space="preserve"> HYPERLINK \l "_Toc31227" </w:instrText>
      </w:r>
      <w:r>
        <w:fldChar w:fldCharType="separate"/>
      </w:r>
      <w:r>
        <w:rPr>
          <w:bCs/>
          <w:szCs w:val="21"/>
        </w:rPr>
        <w:t xml:space="preserve">二、招标文件</w:t>
      </w:r>
      <w:r>
        <w:tab/>
      </w:r>
      <w:r>
        <w:fldChar w:fldCharType="begin"/>
      </w:r>
      <w:r>
        <w:instrText xml:space="preserve"> PAGEREF _Toc31227 \h </w:instrText>
      </w:r>
      <w:r>
        <w:fldChar w:fldCharType="separate"/>
      </w:r>
      <w:r>
        <w:t xml:space="preserve">11</w:t>
      </w:r>
      <w:r>
        <w:fldChar w:fldCharType="end"/>
      </w:r>
      <w:r>
        <w:fldChar w:fldCharType="end"/>
      </w:r>
      <w:r/>
    </w:p>
    <w:p>
      <w:pPr>
        <w:pStyle w:val="1206"/>
        <w:ind w:left="420"/>
        <w:tabs>
          <w:tab w:val="right" w:pos="9416" w:leader="dot"/>
        </w:tabs>
      </w:pPr>
      <w:r>
        <w:fldChar w:fldCharType="begin"/>
      </w:r>
      <w:r>
        <w:instrText xml:space="preserve"> HYPERLINK \l "_Toc31223" </w:instrText>
      </w:r>
      <w:r>
        <w:fldChar w:fldCharType="separate"/>
      </w:r>
      <w:r>
        <w:rPr>
          <w:bCs/>
          <w:szCs w:val="21"/>
        </w:rPr>
        <w:t xml:space="preserve">三、投标文件的编制</w:t>
      </w:r>
      <w:r>
        <w:tab/>
      </w:r>
      <w:r>
        <w:fldChar w:fldCharType="begin"/>
      </w:r>
      <w:r>
        <w:instrText xml:space="preserve"> PAGEREF _Toc31223 \h </w:instrText>
      </w:r>
      <w:r>
        <w:fldChar w:fldCharType="separate"/>
      </w:r>
      <w:r>
        <w:t xml:space="preserve">12</w:t>
      </w:r>
      <w:r>
        <w:fldChar w:fldCharType="end"/>
      </w:r>
      <w:r>
        <w:fldChar w:fldCharType="end"/>
      </w:r>
      <w:r/>
    </w:p>
    <w:p>
      <w:pPr>
        <w:pStyle w:val="1206"/>
        <w:ind w:left="420"/>
        <w:tabs>
          <w:tab w:val="right" w:pos="9416" w:leader="dot"/>
        </w:tabs>
      </w:pPr>
      <w:r>
        <w:fldChar w:fldCharType="begin"/>
      </w:r>
      <w:r>
        <w:instrText xml:space="preserve"> HYPERLINK \l "_Toc1737" </w:instrText>
      </w:r>
      <w:r>
        <w:fldChar w:fldCharType="separate"/>
      </w:r>
      <w:r>
        <w:rPr>
          <w:bCs/>
          <w:szCs w:val="21"/>
        </w:rPr>
        <w:t xml:space="preserve">四、投标文件的递交</w:t>
      </w:r>
      <w:r>
        <w:tab/>
      </w:r>
      <w:r>
        <w:fldChar w:fldCharType="begin"/>
      </w:r>
      <w:r>
        <w:instrText xml:space="preserve"> PAGEREF _Toc1737 \h </w:instrText>
      </w:r>
      <w:r>
        <w:fldChar w:fldCharType="separate"/>
      </w:r>
      <w:r>
        <w:t xml:space="preserve">14</w:t>
      </w:r>
      <w:r>
        <w:fldChar w:fldCharType="end"/>
      </w:r>
      <w:r>
        <w:fldChar w:fldCharType="end"/>
      </w:r>
      <w:r/>
    </w:p>
    <w:p>
      <w:pPr>
        <w:pStyle w:val="1206"/>
        <w:ind w:left="420"/>
        <w:tabs>
          <w:tab w:val="right" w:pos="9416" w:leader="dot"/>
        </w:tabs>
      </w:pPr>
      <w:r>
        <w:fldChar w:fldCharType="begin"/>
      </w:r>
      <w:r>
        <w:instrText xml:space="preserve"> HYPERLINK \l "_Toc28338" </w:instrText>
      </w:r>
      <w:r>
        <w:fldChar w:fldCharType="separate"/>
      </w:r>
      <w:r>
        <w:rPr>
          <w:bCs/>
          <w:szCs w:val="21"/>
        </w:rPr>
        <w:t xml:space="preserve">五、开标与评标</w:t>
      </w:r>
      <w:r>
        <w:tab/>
      </w:r>
      <w:r>
        <w:fldChar w:fldCharType="begin"/>
      </w:r>
      <w:r>
        <w:instrText xml:space="preserve"> PAGEREF _Toc28338 \h </w:instrText>
      </w:r>
      <w:r>
        <w:fldChar w:fldCharType="separate"/>
      </w:r>
      <w:r>
        <w:t xml:space="preserve">15</w:t>
      </w:r>
      <w:r>
        <w:fldChar w:fldCharType="end"/>
      </w:r>
      <w:r>
        <w:fldChar w:fldCharType="end"/>
      </w:r>
      <w:r/>
    </w:p>
    <w:p>
      <w:pPr>
        <w:pStyle w:val="1206"/>
        <w:ind w:left="420"/>
        <w:tabs>
          <w:tab w:val="right" w:pos="9416" w:leader="dot"/>
        </w:tabs>
      </w:pPr>
      <w:r>
        <w:fldChar w:fldCharType="begin"/>
      </w:r>
      <w:r>
        <w:instrText xml:space="preserve"> HYPERLINK \l "_Toc11720" </w:instrText>
      </w:r>
      <w:r>
        <w:fldChar w:fldCharType="separate"/>
      </w:r>
      <w:r>
        <w:rPr>
          <w:bCs/>
          <w:szCs w:val="21"/>
        </w:rPr>
        <w:t xml:space="preserve">六、授标</w:t>
      </w:r>
      <w:r>
        <w:tab/>
      </w:r>
      <w:r>
        <w:fldChar w:fldCharType="begin"/>
      </w:r>
      <w:r>
        <w:instrText xml:space="preserve"> PAGEREF _Toc11720 \h </w:instrText>
      </w:r>
      <w:r>
        <w:fldChar w:fldCharType="separate"/>
      </w:r>
      <w:r>
        <w:t xml:space="preserve">20</w:t>
      </w:r>
      <w:r>
        <w:fldChar w:fldCharType="end"/>
      </w:r>
      <w:r>
        <w:fldChar w:fldCharType="end"/>
      </w:r>
      <w:r/>
    </w:p>
    <w:p>
      <w:pPr>
        <w:pStyle w:val="1206"/>
        <w:ind w:left="420"/>
        <w:tabs>
          <w:tab w:val="right" w:pos="9416" w:leader="dot"/>
        </w:tabs>
      </w:pPr>
      <w:r>
        <w:fldChar w:fldCharType="begin"/>
      </w:r>
      <w:r>
        <w:instrText xml:space="preserve"> HYPERLINK \l "_Toc26180" </w:instrText>
      </w:r>
      <w:r>
        <w:fldChar w:fldCharType="separate"/>
      </w:r>
      <w:r>
        <w:rPr>
          <w:bCs/>
          <w:szCs w:val="21"/>
        </w:rPr>
        <w:t xml:space="preserve">七、质疑</w:t>
      </w:r>
      <w:r>
        <w:tab/>
      </w:r>
      <w:r>
        <w:fldChar w:fldCharType="begin"/>
      </w:r>
      <w:r>
        <w:instrText xml:space="preserve"> PAGEREF _Toc26180 \h </w:instrText>
      </w:r>
      <w:r>
        <w:fldChar w:fldCharType="separate"/>
      </w:r>
      <w:r>
        <w:t xml:space="preserve">21</w:t>
      </w:r>
      <w:r>
        <w:fldChar w:fldCharType="end"/>
      </w:r>
      <w:r>
        <w:fldChar w:fldCharType="end"/>
      </w:r>
      <w:r/>
    </w:p>
    <w:p>
      <w:pPr>
        <w:pStyle w:val="1199"/>
        <w:tabs>
          <w:tab w:val="right" w:pos="9416" w:leader="dot"/>
        </w:tabs>
      </w:pPr>
      <w:r>
        <w:fldChar w:fldCharType="begin"/>
      </w:r>
      <w:r>
        <w:instrText xml:space="preserve"> HYPERLINK \l "_Toc3334" </w:instrText>
      </w:r>
      <w:r>
        <w:fldChar w:fldCharType="separate"/>
      </w:r>
      <w:r>
        <w:rPr>
          <w:szCs w:val="28"/>
        </w:rPr>
        <w:t xml:space="preserve">第三章 评标标准</w:t>
      </w:r>
      <w:r>
        <w:tab/>
      </w:r>
      <w:r>
        <w:fldChar w:fldCharType="begin"/>
      </w:r>
      <w:r>
        <w:instrText xml:space="preserve"> PAGEREF _Toc3334 \h </w:instrText>
      </w:r>
      <w:r>
        <w:fldChar w:fldCharType="separate"/>
      </w:r>
      <w:r>
        <w:t xml:space="preserve">- 23 -</w:t>
      </w:r>
      <w:r>
        <w:fldChar w:fldCharType="end"/>
      </w:r>
      <w:r>
        <w:fldChar w:fldCharType="end"/>
      </w:r>
      <w:r/>
    </w:p>
    <w:p>
      <w:pPr>
        <w:pStyle w:val="1199"/>
        <w:tabs>
          <w:tab w:val="right" w:pos="9416" w:leader="dot"/>
        </w:tabs>
      </w:pPr>
      <w:r>
        <w:fldChar w:fldCharType="begin"/>
      </w:r>
      <w:r>
        <w:instrText xml:space="preserve"> HYPERLINK \l "_Toc21451" </w:instrText>
      </w:r>
      <w:r>
        <w:fldChar w:fldCharType="separate"/>
      </w:r>
      <w:r>
        <w:rPr>
          <w:szCs w:val="28"/>
        </w:rPr>
        <w:t xml:space="preserve">第四章 招标技术规格及要求</w:t>
      </w:r>
      <w:r>
        <w:tab/>
      </w:r>
      <w:r>
        <w:fldChar w:fldCharType="begin"/>
      </w:r>
      <w:r>
        <w:instrText xml:space="preserve"> PAGEREF _Toc21451 \h </w:instrText>
      </w:r>
      <w:r>
        <w:fldChar w:fldCharType="separate"/>
      </w:r>
      <w:r>
        <w:t xml:space="preserve">- 25 -</w:t>
      </w:r>
      <w:r>
        <w:fldChar w:fldCharType="end"/>
      </w:r>
      <w:r>
        <w:fldChar w:fldCharType="end"/>
      </w:r>
      <w:r/>
    </w:p>
    <w:p>
      <w:pPr>
        <w:pStyle w:val="1199"/>
        <w:tabs>
          <w:tab w:val="right" w:pos="9416" w:leader="dot"/>
        </w:tabs>
      </w:pPr>
      <w:r>
        <w:fldChar w:fldCharType="begin"/>
      </w:r>
      <w:r>
        <w:instrText xml:space="preserve"> HYPERLINK \l "_Toc2893" </w:instrText>
      </w:r>
      <w:r>
        <w:fldChar w:fldCharType="separate"/>
      </w:r>
      <w:r>
        <w:rPr>
          <w:szCs w:val="28"/>
        </w:rPr>
        <w:t xml:space="preserve">第五章 政府采购合同</w:t>
      </w:r>
      <w:r>
        <w:tab/>
      </w:r>
      <w:r>
        <w:fldChar w:fldCharType="begin"/>
      </w:r>
      <w:r>
        <w:instrText xml:space="preserve"> PAGEREF _Toc2893 \h </w:instrText>
      </w:r>
      <w:r>
        <w:fldChar w:fldCharType="separate"/>
      </w:r>
      <w:r>
        <w:t xml:space="preserve">- 37 -</w:t>
      </w:r>
      <w:r>
        <w:fldChar w:fldCharType="end"/>
      </w:r>
      <w:r>
        <w:fldChar w:fldCharType="end"/>
      </w:r>
      <w:r/>
    </w:p>
    <w:p>
      <w:pPr>
        <w:pStyle w:val="1199"/>
        <w:tabs>
          <w:tab w:val="right" w:pos="9416" w:leader="dot"/>
        </w:tabs>
      </w:pPr>
      <w:r>
        <w:fldChar w:fldCharType="begin"/>
      </w:r>
      <w:r>
        <w:instrText xml:space="preserve"> HYPERLINK \l "_Toc19077" </w:instrText>
      </w:r>
      <w:r>
        <w:fldChar w:fldCharType="separate"/>
      </w:r>
      <w:r>
        <w:rPr>
          <w:szCs w:val="28"/>
        </w:rPr>
        <w:t xml:space="preserve">第六章 投标文件格式及附件</w:t>
      </w:r>
      <w:r>
        <w:tab/>
      </w:r>
      <w:r>
        <w:fldChar w:fldCharType="begin"/>
      </w:r>
      <w:r>
        <w:instrText xml:space="preserve"> PAGEREF _Toc19077 \h </w:instrText>
      </w:r>
      <w:r>
        <w:fldChar w:fldCharType="separate"/>
      </w:r>
      <w:r>
        <w:t xml:space="preserve">43</w:t>
      </w:r>
      <w:r>
        <w:fldChar w:fldCharType="end"/>
      </w:r>
      <w:r>
        <w:fldChar w:fldCharType="end"/>
      </w:r>
      <w:r/>
    </w:p>
    <w:p>
      <w:pPr>
        <w:pStyle w:val="1206"/>
        <w:ind w:left="420"/>
        <w:tabs>
          <w:tab w:val="right" w:pos="9416" w:leader="dot"/>
        </w:tabs>
      </w:pPr>
      <w:r>
        <w:fldChar w:fldCharType="begin"/>
      </w:r>
      <w:r>
        <w:instrText xml:space="preserve"> HYPERLINK \l "_Toc19" </w:instrText>
      </w:r>
      <w:r>
        <w:fldChar w:fldCharType="separate"/>
      </w:r>
      <w:r>
        <w:rPr>
          <w:szCs w:val="21"/>
        </w:rPr>
        <w:t xml:space="preserve">附件一 投标函格式</w:t>
      </w:r>
      <w:r>
        <w:tab/>
      </w:r>
      <w:r>
        <w:fldChar w:fldCharType="begin"/>
      </w:r>
      <w:r>
        <w:instrText xml:space="preserve"> PAGEREF _Toc19 \h </w:instrText>
      </w:r>
      <w:r>
        <w:fldChar w:fldCharType="separate"/>
      </w:r>
      <w:r>
        <w:t xml:space="preserve">45</w:t>
      </w:r>
      <w:r>
        <w:fldChar w:fldCharType="end"/>
      </w:r>
      <w:r>
        <w:fldChar w:fldCharType="end"/>
      </w:r>
      <w:r/>
    </w:p>
    <w:p>
      <w:pPr>
        <w:pStyle w:val="1206"/>
        <w:ind w:left="420"/>
        <w:tabs>
          <w:tab w:val="right" w:pos="9416" w:leader="dot"/>
        </w:tabs>
      </w:pPr>
      <w:r>
        <w:fldChar w:fldCharType="begin"/>
      </w:r>
      <w:r>
        <w:instrText xml:space="preserve"> HYPERLINK \l "_Toc22650" </w:instrText>
      </w:r>
      <w:r>
        <w:fldChar w:fldCharType="separate"/>
      </w:r>
      <w:r>
        <w:rPr>
          <w:szCs w:val="21"/>
        </w:rPr>
        <w:t xml:space="preserve">附件二 开标一览表</w:t>
      </w:r>
      <w:r>
        <w:tab/>
      </w:r>
      <w:r>
        <w:fldChar w:fldCharType="begin"/>
      </w:r>
      <w:r>
        <w:instrText xml:space="preserve"> PAGEREF _Toc22650 \h </w:instrText>
      </w:r>
      <w:r>
        <w:fldChar w:fldCharType="separate"/>
      </w:r>
      <w:r>
        <w:t xml:space="preserve">46</w:t>
      </w:r>
      <w:r>
        <w:fldChar w:fldCharType="end"/>
      </w:r>
      <w:r>
        <w:fldChar w:fldCharType="end"/>
      </w:r>
      <w:r/>
    </w:p>
    <w:p>
      <w:pPr>
        <w:pStyle w:val="1206"/>
        <w:ind w:left="420"/>
        <w:tabs>
          <w:tab w:val="right" w:pos="9416" w:leader="dot"/>
        </w:tabs>
      </w:pPr>
      <w:r>
        <w:fldChar w:fldCharType="begin"/>
      </w:r>
      <w:r>
        <w:instrText xml:space="preserve"> HYPERLINK \l "_Toc867" </w:instrText>
      </w:r>
      <w:r>
        <w:fldChar w:fldCharType="separate"/>
      </w:r>
      <w:r>
        <w:rPr>
          <w:szCs w:val="21"/>
        </w:rPr>
        <w:t xml:space="preserve">附件三 分项报价表</w:t>
      </w:r>
      <w:r>
        <w:tab/>
      </w:r>
      <w:r>
        <w:fldChar w:fldCharType="begin"/>
      </w:r>
      <w:r>
        <w:instrText xml:space="preserve"> PAGEREF _Toc867 \h </w:instrText>
      </w:r>
      <w:r>
        <w:fldChar w:fldCharType="separate"/>
      </w:r>
      <w:r>
        <w:t xml:space="preserve">47</w:t>
      </w:r>
      <w:r>
        <w:fldChar w:fldCharType="end"/>
      </w:r>
      <w:r>
        <w:fldChar w:fldCharType="end"/>
      </w:r>
      <w:r/>
    </w:p>
    <w:p>
      <w:pPr>
        <w:pStyle w:val="1206"/>
        <w:ind w:left="420"/>
        <w:tabs>
          <w:tab w:val="right" w:pos="9416" w:leader="dot"/>
        </w:tabs>
      </w:pPr>
      <w:r>
        <w:fldChar w:fldCharType="begin"/>
      </w:r>
      <w:r>
        <w:instrText xml:space="preserve"> HYPERLINK \l "_Toc3775" </w:instrText>
      </w:r>
      <w:r>
        <w:fldChar w:fldCharType="separate"/>
      </w:r>
      <w:r>
        <w:rPr>
          <w:szCs w:val="21"/>
        </w:rPr>
        <w:t xml:space="preserve">附件四 商务条款偏离表</w:t>
      </w:r>
      <w:r>
        <w:tab/>
      </w:r>
      <w:r>
        <w:fldChar w:fldCharType="begin"/>
      </w:r>
      <w:r>
        <w:instrText xml:space="preserve"> PAGEREF _Toc3775 \h </w:instrText>
      </w:r>
      <w:r>
        <w:fldChar w:fldCharType="separate"/>
      </w:r>
      <w:r>
        <w:t xml:space="preserve">48</w:t>
      </w:r>
      <w:r>
        <w:fldChar w:fldCharType="end"/>
      </w:r>
      <w:r>
        <w:fldChar w:fldCharType="end"/>
      </w:r>
      <w:r/>
    </w:p>
    <w:p>
      <w:pPr>
        <w:pStyle w:val="1206"/>
        <w:ind w:left="420"/>
        <w:tabs>
          <w:tab w:val="right" w:pos="9416" w:leader="dot"/>
        </w:tabs>
      </w:pPr>
      <w:r>
        <w:fldChar w:fldCharType="begin"/>
      </w:r>
      <w:r>
        <w:instrText xml:space="preserve"> HYPERLINK \l "_Toc25057" </w:instrText>
      </w:r>
      <w:r>
        <w:fldChar w:fldCharType="separate"/>
      </w:r>
      <w:r>
        <w:rPr>
          <w:szCs w:val="21"/>
        </w:rPr>
        <w:t xml:space="preserve">附件五 技术条款偏离表</w:t>
      </w:r>
      <w:r>
        <w:tab/>
      </w:r>
      <w:r>
        <w:fldChar w:fldCharType="begin"/>
      </w:r>
      <w:r>
        <w:instrText xml:space="preserve"> PAGEREF _Toc25057 \h </w:instrText>
      </w:r>
      <w:r>
        <w:fldChar w:fldCharType="separate"/>
      </w:r>
      <w:r>
        <w:t xml:space="preserve">49</w:t>
      </w:r>
      <w:r>
        <w:fldChar w:fldCharType="end"/>
      </w:r>
      <w:r>
        <w:fldChar w:fldCharType="end"/>
      </w:r>
      <w:r/>
    </w:p>
    <w:p>
      <w:pPr>
        <w:pStyle w:val="1206"/>
        <w:ind w:left="420"/>
        <w:tabs>
          <w:tab w:val="right" w:pos="9416" w:leader="dot"/>
        </w:tabs>
      </w:pPr>
      <w:r>
        <w:fldChar w:fldCharType="begin"/>
      </w:r>
      <w:r>
        <w:instrText xml:space="preserve"> HYPERLINK \l "_Toc19407" </w:instrText>
      </w:r>
      <w:r>
        <w:fldChar w:fldCharType="separate"/>
      </w:r>
      <w:r>
        <w:rPr>
          <w:szCs w:val="21"/>
        </w:rPr>
        <w:t xml:space="preserve">附件六 拟参与本项目服务人员一览表</w:t>
      </w:r>
      <w:r>
        <w:tab/>
      </w:r>
      <w:r>
        <w:fldChar w:fldCharType="begin"/>
      </w:r>
      <w:r>
        <w:instrText xml:space="preserve"> PAGEREF _Toc19407 \h </w:instrText>
      </w:r>
      <w:r>
        <w:fldChar w:fldCharType="separate"/>
      </w:r>
      <w:r>
        <w:t xml:space="preserve">50</w:t>
      </w:r>
      <w:r>
        <w:fldChar w:fldCharType="end"/>
      </w:r>
      <w:r>
        <w:fldChar w:fldCharType="end"/>
      </w:r>
      <w:r/>
    </w:p>
    <w:p>
      <w:pPr>
        <w:pStyle w:val="1206"/>
        <w:ind w:left="420"/>
        <w:tabs>
          <w:tab w:val="right" w:pos="9416" w:leader="dot"/>
        </w:tabs>
      </w:pPr>
      <w:r>
        <w:fldChar w:fldCharType="begin"/>
      </w:r>
      <w:r>
        <w:instrText xml:space="preserve"> HYPERLINK \l "_Toc23351" </w:instrText>
      </w:r>
      <w:r>
        <w:fldChar w:fldCharType="separate"/>
      </w:r>
      <w:r>
        <w:rPr>
          <w:szCs w:val="21"/>
        </w:rPr>
        <w:t xml:space="preserve">附件七 投标人类似业绩情况表</w:t>
      </w:r>
      <w:r>
        <w:tab/>
      </w:r>
      <w:r>
        <w:fldChar w:fldCharType="begin"/>
      </w:r>
      <w:r>
        <w:instrText xml:space="preserve"> PAGEREF _Toc23351 \h </w:instrText>
      </w:r>
      <w:r>
        <w:fldChar w:fldCharType="separate"/>
      </w:r>
      <w:r>
        <w:t xml:space="preserve">51</w:t>
      </w:r>
      <w:r>
        <w:fldChar w:fldCharType="end"/>
      </w:r>
      <w:r>
        <w:fldChar w:fldCharType="end"/>
      </w:r>
      <w:r/>
    </w:p>
    <w:p>
      <w:pPr>
        <w:pStyle w:val="1206"/>
        <w:ind w:left="420"/>
        <w:tabs>
          <w:tab w:val="right" w:pos="9416" w:leader="dot"/>
        </w:tabs>
      </w:pPr>
      <w:r>
        <w:fldChar w:fldCharType="begin"/>
      </w:r>
      <w:r>
        <w:instrText xml:space="preserve"> HYPERLINK \l "_Toc8148" </w:instrText>
      </w:r>
      <w:r>
        <w:fldChar w:fldCharType="separate"/>
      </w:r>
      <w:r>
        <w:rPr>
          <w:szCs w:val="21"/>
        </w:rPr>
        <w:t xml:space="preserve">附件八 政府采购政策</w:t>
      </w:r>
      <w:r>
        <w:tab/>
      </w:r>
      <w:r>
        <w:fldChar w:fldCharType="begin"/>
      </w:r>
      <w:r>
        <w:instrText xml:space="preserve"> PAGEREF _Toc8148 \h </w:instrText>
      </w:r>
      <w:r>
        <w:fldChar w:fldCharType="separate"/>
      </w:r>
      <w:r>
        <w:t xml:space="preserve">52</w:t>
      </w:r>
      <w:r>
        <w:fldChar w:fldCharType="end"/>
      </w:r>
      <w:r>
        <w:fldChar w:fldCharType="end"/>
      </w:r>
      <w:r/>
    </w:p>
    <w:p>
      <w:pPr>
        <w:pStyle w:val="1206"/>
        <w:ind w:left="420"/>
        <w:tabs>
          <w:tab w:val="right" w:pos="9416" w:leader="dot"/>
        </w:tabs>
      </w:pPr>
      <w:r>
        <w:fldChar w:fldCharType="begin"/>
      </w:r>
      <w:r>
        <w:instrText xml:space="preserve"> HYPERLINK \l "_Toc10801" </w:instrText>
      </w:r>
      <w:r>
        <w:fldChar w:fldCharType="separate"/>
      </w:r>
      <w:r>
        <w:rPr>
          <w:bCs/>
          <w:lang w:val="zh-CN"/>
        </w:rPr>
        <w:t xml:space="preserve">附件</w:t>
      </w:r>
      <w:r>
        <w:rPr>
          <w:bCs/>
        </w:rPr>
        <w:t xml:space="preserve">九</w:t>
      </w:r>
      <w:r>
        <w:rPr>
          <w:bCs/>
          <w:lang w:val="zh-CN"/>
        </w:rPr>
        <w:t xml:space="preserve"> 资格证明文件</w:t>
      </w:r>
      <w:r>
        <w:tab/>
      </w:r>
      <w:r>
        <w:fldChar w:fldCharType="begin"/>
      </w:r>
      <w:r>
        <w:instrText xml:space="preserve"> PAGEREF _Toc10801 \h </w:instrText>
      </w:r>
      <w:r>
        <w:fldChar w:fldCharType="separate"/>
      </w:r>
      <w:r>
        <w:t xml:space="preserve">55</w:t>
      </w:r>
      <w:r>
        <w:fldChar w:fldCharType="end"/>
      </w:r>
      <w:r>
        <w:fldChar w:fldCharType="end"/>
      </w:r>
      <w:r/>
    </w:p>
    <w:p>
      <w:pPr>
        <w:pStyle w:val="1206"/>
        <w:ind w:left="420"/>
        <w:tabs>
          <w:tab w:val="right" w:pos="9416" w:leader="dot"/>
        </w:tabs>
      </w:pPr>
      <w:r>
        <w:fldChar w:fldCharType="begin"/>
      </w:r>
      <w:r>
        <w:instrText xml:space="preserve"> HYPERLINK \l "_Toc12402" </w:instrText>
      </w:r>
      <w:r>
        <w:fldChar w:fldCharType="separate"/>
      </w:r>
      <w:r>
        <w:rPr>
          <w:bCs/>
        </w:rPr>
        <w:t xml:space="preserve">附件十 其他相关文件</w:t>
      </w:r>
      <w:r>
        <w:tab/>
      </w:r>
      <w:r>
        <w:fldChar w:fldCharType="begin"/>
      </w:r>
      <w:r>
        <w:instrText xml:space="preserve"> PAGEREF _Toc12402 \h </w:instrText>
      </w:r>
      <w:r>
        <w:fldChar w:fldCharType="separate"/>
      </w:r>
      <w:r>
        <w:t xml:space="preserve">66</w:t>
      </w:r>
      <w:r>
        <w:fldChar w:fldCharType="end"/>
      </w:r>
      <w:r>
        <w:fldChar w:fldCharType="end"/>
      </w:r>
      <w:r/>
    </w:p>
    <w:p>
      <w:pPr>
        <w:jc w:val="center"/>
        <w:spacing w:line="440" w:lineRule="exact"/>
        <w:rPr>
          <w:rFonts w:eastAsia="黑体"/>
          <w:bCs/>
          <w:color w:val="000000"/>
        </w:rPr>
      </w:pPr>
      <w:r>
        <w:rPr>
          <w:rFonts w:eastAsia="黑体"/>
          <w:bCs/>
          <w:color w:val="000000"/>
          <w:szCs w:val="24"/>
        </w:rPr>
        <w:fldChar w:fldCharType="end"/>
      </w:r>
      <w:bookmarkStart w:id="0" w:name="_Toc4696384"/>
      <w:r/>
      <w:bookmarkStart w:id="1" w:name="_Toc20619"/>
      <w:r/>
      <w:bookmarkStart w:id="2" w:name="_Toc11991"/>
      <w:r/>
      <w:bookmarkStart w:id="3" w:name="_Toc24606"/>
      <w:r/>
      <w:bookmarkStart w:id="4" w:name="_Toc22298"/>
      <w:r/>
      <w:bookmarkStart w:id="5" w:name="_Toc20112"/>
      <w:r/>
      <w:bookmarkStart w:id="6" w:name="_Toc19726"/>
      <w:r/>
      <w:bookmarkStart w:id="7" w:name="_Toc13535"/>
      <w:r/>
      <w:bookmarkStart w:id="8" w:name="_Toc15509"/>
      <w:r/>
      <w:bookmarkStart w:id="9" w:name="_Toc7777"/>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cente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br w:type="page" w:clear="all"/>
      </w:r>
      <w:r/>
    </w:p>
    <w:p>
      <w:pPr>
        <w:jc w:val="center"/>
        <w:spacing w:line="440" w:lineRule="exact"/>
        <w:rPr>
          <w:b/>
          <w:color w:val="000000"/>
          <w:sz w:val="28"/>
          <w:szCs w:val="28"/>
        </w:rPr>
        <w:outlineLvl w:val="0"/>
      </w:pPr>
      <w:r/>
      <w:bookmarkStart w:id="10" w:name="_Toc12990"/>
      <w:r>
        <w:rPr>
          <w:b/>
          <w:color w:val="000000"/>
          <w:sz w:val="28"/>
          <w:szCs w:val="28"/>
        </w:rPr>
        <w:t xml:space="preserve">第一章 招标公告</w:t>
      </w:r>
      <w:bookmarkEnd w:id="0"/>
      <w:r/>
      <w:bookmarkEnd w:id="1"/>
      <w:r/>
      <w:bookmarkEnd w:id="10"/>
      <w:r/>
      <w:r/>
    </w:p>
    <w:p>
      <w:pPr>
        <w:spacing w:line="360" w:lineRule="auto"/>
        <w:rPr>
          <w:b/>
          <w:bCs/>
          <w:szCs w:val="21"/>
        </w:rPr>
      </w:pPr>
      <w:r/>
      <w:bookmarkStart w:id="11" w:name="_Toc21304"/>
      <w:r>
        <w:rPr>
          <w:b/>
          <w:bCs/>
          <w:szCs w:val="21"/>
        </w:rPr>
        <w:t xml:space="preserve">项目概况</w:t>
      </w:r>
      <w:bookmarkEnd w:id="11"/>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2" w:name="_Toc20859"/>
      <w:r/>
      <w:bookmarkStart w:id="13" w:name="_Toc15613"/>
      <w:r/>
      <w:bookmarkStart w:id="14" w:name="_Toc28359002"/>
      <w:r/>
      <w:bookmarkStart w:id="15" w:name="_Toc35393621"/>
      <w:r/>
      <w:bookmarkStart w:id="16" w:name="_Hlk24379207"/>
      <w:r/>
      <w:bookmarkStart w:id="17" w:name="_Toc28359079"/>
      <w:r/>
      <w:bookmarkStart w:id="18" w:name="_Toc35393790"/>
      <w:r>
        <w:rPr>
          <w:szCs w:val="21"/>
          <w:u w:val="single"/>
        </w:rPr>
        <w:t xml:space="preserve">江苏省特种设备安全监督检验研究院 </w:t>
      </w:r>
      <w:r>
        <w:rPr>
          <w:rFonts w:hint="eastAsia"/>
          <w:szCs w:val="21"/>
          <w:u w:val="single"/>
        </w:rPr>
        <w:t xml:space="preserve">等离子氩弧自动焊机(P+T)等13项设备</w:t>
      </w:r>
      <w:r>
        <w:rPr>
          <w:szCs w:val="21"/>
          <w:u w:val="single"/>
        </w:rPr>
        <w:t xml:space="preserve">招标项目的潜在投标人应在江苏省南京市长江路198号苏美达大厦6楼西获取招标文件，并于2026年</w:t>
      </w:r>
      <w:r>
        <w:rPr>
          <w:rFonts w:hint="eastAsia"/>
          <w:szCs w:val="21"/>
          <w:u w:val="single"/>
          <w:lang w:val="en-US" w:eastAsia="zh-CN"/>
        </w:rPr>
        <w:t xml:space="preserve">09</w:t>
      </w:r>
      <w:r>
        <w:rPr>
          <w:szCs w:val="21"/>
          <w:u w:val="single"/>
        </w:rPr>
        <w:t xml:space="preserve">月</w:t>
      </w:r>
      <w:r>
        <w:rPr>
          <w:rFonts w:hint="eastAsia"/>
          <w:szCs w:val="21"/>
          <w:u w:val="single"/>
          <w:lang w:val="en-US" w:eastAsia="zh-CN"/>
        </w:rPr>
        <w:t xml:space="preserve">29</w:t>
      </w:r>
      <w:r>
        <w:rPr>
          <w:szCs w:val="21"/>
          <w:u w:val="single"/>
        </w:rPr>
        <w:t xml:space="preserve">日09点30分（北京时间）前递交投标文件。</w:t>
      </w:r>
      <w:bookmarkEnd w:id="12"/>
      <w:r/>
      <w:bookmarkEnd w:id="13"/>
      <w:r/>
      <w:bookmarkEnd w:id="14"/>
      <w:r/>
      <w:bookmarkEnd w:id="15"/>
      <w:r/>
      <w:bookmarkEnd w:id="16"/>
      <w:r/>
      <w:bookmarkEnd w:id="17"/>
      <w:r/>
      <w:bookmarkEnd w:id="18"/>
      <w:r/>
      <w:r/>
    </w:p>
    <w:p>
      <w:pPr>
        <w:pStyle w:val="1165"/>
      </w:pPr>
      <w:r/>
      <w:bookmarkStart w:id="19" w:name="_Toc31458"/>
      <w:r/>
      <w:bookmarkStart w:id="20" w:name="_Toc35393791"/>
      <w:r/>
      <w:bookmarkStart w:id="21" w:name="_Toc3342"/>
      <w:r/>
      <w:bookmarkStart w:id="22" w:name="_Toc28359080"/>
      <w:r/>
      <w:bookmarkStart w:id="23" w:name="_Toc5396"/>
      <w:r/>
      <w:bookmarkStart w:id="24" w:name="_Toc35393622"/>
      <w:r/>
      <w:bookmarkStart w:id="25" w:name="_Toc28359003"/>
      <w:r>
        <w:t xml:space="preserve">一、项目基本情况</w:t>
      </w:r>
      <w:bookmarkEnd w:id="19"/>
      <w:r/>
      <w:r/>
    </w:p>
    <w:p>
      <w:pPr>
        <w:ind w:firstLine="210"/>
        <w:spacing w:line="360" w:lineRule="auto"/>
        <w:rPr>
          <w:szCs w:val="21"/>
        </w:rPr>
      </w:pPr>
      <w:r>
        <w:rPr>
          <w:szCs w:val="21"/>
        </w:rPr>
        <w:t xml:space="preserve">1、项目编号：</w:t>
      </w:r>
      <w:r>
        <w:rPr>
          <w:rFonts w:hint="eastAsia"/>
          <w:szCs w:val="21"/>
        </w:rPr>
        <w:t xml:space="preserve">4297-2641SUMEC311</w:t>
      </w:r>
      <w:r>
        <w:rPr>
          <w:szCs w:val="21"/>
        </w:rPr>
        <w:t xml:space="preserve">（公告编号：</w:t>
      </w:r>
      <w:r>
        <w:rPr>
          <w:rFonts w:hint="eastAsia"/>
          <w:szCs w:val="21"/>
        </w:rPr>
        <w:t xml:space="preserve">JSZC-320000-JSSB-G2026-0008</w:t>
      </w:r>
      <w:r>
        <w:rPr>
          <w:szCs w:val="21"/>
        </w:rPr>
        <w:t xml:space="preserve">）</w:t>
      </w:r>
      <w:r/>
    </w:p>
    <w:p>
      <w:pPr>
        <w:ind w:firstLine="210"/>
        <w:spacing w:line="360" w:lineRule="auto"/>
        <w:rPr>
          <w:szCs w:val="21"/>
        </w:rPr>
      </w:pPr>
      <w:r>
        <w:rPr>
          <w:szCs w:val="21"/>
        </w:rPr>
        <w:t xml:space="preserve">2、项目名称：</w:t>
      </w:r>
      <w:r>
        <w:rPr>
          <w:rFonts w:hint="eastAsia"/>
          <w:szCs w:val="21"/>
        </w:rPr>
        <w:t xml:space="preserve">等离子氩弧自动焊机(P+T)等13项设备</w:t>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4、预算金额：70.37万元（单位：人民币）</w:t>
      </w:r>
      <w:r/>
    </w:p>
    <w:p>
      <w:pPr>
        <w:ind w:firstLine="210"/>
        <w:spacing w:line="360" w:lineRule="auto"/>
        <w:rPr>
          <w:szCs w:val="21"/>
        </w:rPr>
      </w:pPr>
      <w:r/>
      <w:bookmarkStart w:id="26" w:name="OLE_LINK1"/>
      <w:r>
        <w:rPr>
          <w:szCs w:val="21"/>
        </w:rPr>
        <w:t xml:space="preserve">5、最高限价：70.37万元（单位：人民币），</w:t>
      </w:r>
      <w:r>
        <w:rPr>
          <w:b/>
          <w:szCs w:val="21"/>
        </w:rPr>
        <w:t xml:space="preserve">投标人所投报价不得超过每个品目所对应的预算金额，否则作无效投标处理。</w:t>
      </w:r>
      <w:bookmarkEnd w:id="26"/>
      <w:r/>
      <w:r/>
    </w:p>
    <w:p>
      <w:pPr>
        <w:ind w:firstLine="210"/>
        <w:rPr>
          <w:szCs w:val="21"/>
        </w:rPr>
      </w:pPr>
      <w:r>
        <w:rPr>
          <w:szCs w:val="21"/>
        </w:rPr>
        <w:t xml:space="preserve">6、采购需求：</w:t>
      </w:r>
      <w:r/>
    </w:p>
    <w:tbl>
      <w:tblPr>
        <w:tblStyle w:val="1174"/>
        <w:tblW w:w="5193"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2800"/>
        <w:gridCol w:w="1338"/>
        <w:gridCol w:w="940"/>
        <w:gridCol w:w="403"/>
        <w:gridCol w:w="1337"/>
        <w:gridCol w:w="1337"/>
        <w:gridCol w:w="937"/>
      </w:tblGrid>
      <w:tr>
        <w:trPr>
          <w:jc w:val="center"/>
          <w:trHeight w:val="725"/>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数量</w:t>
            </w:r>
            <w:r/>
          </w:p>
          <w:p>
            <w:pPr>
              <w:ind w:right="-107"/>
              <w:jc w:val="center"/>
              <w:spacing w:line="276" w:lineRule="auto"/>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276" w:lineRule="auto"/>
              <w:tabs>
                <w:tab w:val="left" w:pos="4788" w:leader="none"/>
              </w:tabs>
              <w:rPr>
                <w:rFonts w:eastAsiaTheme="minorEastAsia"/>
                <w:bCs/>
                <w:szCs w:val="21"/>
              </w:rPr>
            </w:pPr>
            <w:r>
              <w:rPr>
                <w:rFonts w:eastAsiaTheme="minorEastAsia"/>
                <w:bCs/>
                <w:szCs w:val="21"/>
              </w:rPr>
              <w:t xml:space="preserve">简要技术要求</w:t>
            </w:r>
            <w:r/>
          </w:p>
        </w:tc>
        <w:tc>
          <w:tcPr>
            <w:tcBorders>
              <w:top w:val="single" w:color="auto" w:sz="4" w:space="0"/>
              <w:left w:val="single" w:color="auto" w:sz="4" w:space="0"/>
              <w:bottom w:val="single" w:color="auto" w:sz="4" w:space="0"/>
              <w:right w:val="single" w:color="auto" w:sz="4" w:space="0"/>
            </w:tcBorders>
            <w:tcW w:w="206" w:type="pct"/>
            <w:vAlign w:val="center"/>
            <w:textDirection w:val="lrTb"/>
            <w:noWrap w:val="false"/>
          </w:tcPr>
          <w:p>
            <w:pPr>
              <w:jc w:val="center"/>
              <w:spacing w:line="276" w:lineRule="auto"/>
              <w:tabs>
                <w:tab w:val="left" w:pos="4788" w:leader="none"/>
              </w:tabs>
              <w:rPr>
                <w:rFonts w:eastAsiaTheme="minorEastAsia"/>
                <w:bCs/>
                <w:szCs w:val="21"/>
              </w:rPr>
            </w:pPr>
            <w:r>
              <w:rPr>
                <w:rFonts w:eastAsiaTheme="minorEastAsia"/>
                <w:bCs/>
                <w:szCs w:val="21"/>
              </w:rPr>
              <w:t xml:space="preserve">用途</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项目预算金额</w:t>
            </w:r>
            <w:r/>
          </w:p>
          <w:p>
            <w:pPr>
              <w:ind w:right="-107"/>
              <w:jc w:val="center"/>
              <w:spacing w:line="276" w:lineRule="auto"/>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备注</w:t>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bCs/>
                <w:szCs w:val="21"/>
              </w:rPr>
            </w:pPr>
            <w:r>
              <w:rPr>
                <w:rFonts w:eastAsiaTheme="minorEastAsia"/>
                <w:bCs/>
                <w:szCs w:val="21"/>
              </w:rPr>
              <w:t xml:space="preserve">电动堆高车</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right w:val="single" w:color="auto" w:sz="4" w:space="0"/>
            </w:tcBorders>
            <w:tcW w:w="480" w:type="pct"/>
            <w:vAlign w:val="center"/>
            <w:vMerge w:val="restart"/>
            <w:textDirection w:val="lrTb"/>
            <w:noWrap w:val="false"/>
          </w:tcPr>
          <w:p>
            <w:pPr>
              <w:jc w:val="center"/>
              <w:spacing w:line="276" w:lineRule="auto"/>
              <w:widowControl/>
              <w:rPr>
                <w:rFonts w:eastAsiaTheme="minorEastAsia"/>
                <w:color w:val="000000"/>
                <w:szCs w:val="21"/>
                <w:lang w:bidi="ar"/>
              </w:rPr>
            </w:pPr>
            <w:r>
              <w:rPr>
                <w:rFonts w:eastAsiaTheme="minorEastAsia"/>
                <w:szCs w:val="21"/>
              </w:rPr>
              <w:t xml:space="preserve">详见招标文件第四章招标技术规格及要求</w:t>
            </w:r>
            <w:r/>
          </w:p>
        </w:tc>
        <w:tc>
          <w:tcPr>
            <w:tcBorders>
              <w:top w:val="single" w:color="auto" w:sz="4" w:space="0"/>
              <w:left w:val="single" w:color="auto" w:sz="4" w:space="0"/>
              <w:right w:val="single" w:color="auto" w:sz="4" w:space="0"/>
            </w:tcBorders>
            <w:tcW w:w="206" w:type="pct"/>
            <w:vAlign w:val="center"/>
            <w:vMerge w:val="restart"/>
            <w:textDirection w:val="lrTb"/>
            <w:noWrap w:val="false"/>
          </w:tcPr>
          <w:p>
            <w:pPr>
              <w:jc w:val="center"/>
              <w:spacing w:line="276" w:lineRule="auto"/>
              <w:widowControl/>
              <w:rPr>
                <w:rFonts w:eastAsiaTheme="minorEastAsia"/>
                <w:szCs w:val="21"/>
              </w:rPr>
            </w:pPr>
            <w:r>
              <w:rPr>
                <w:rFonts w:eastAsiaTheme="minorEastAsia"/>
                <w:szCs w:val="21"/>
              </w:rPr>
              <w:t xml:space="preserve">检测</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2.5</w:t>
            </w:r>
            <w:r/>
          </w:p>
        </w:tc>
        <w:tc>
          <w:tcPr>
            <w:tcBorders>
              <w:top w:val="single" w:color="auto" w:sz="4" w:space="0"/>
              <w:left w:val="single" w:color="auto" w:sz="4" w:space="0"/>
              <w:right w:val="single" w:color="auto" w:sz="4" w:space="0"/>
            </w:tcBorders>
            <w:tcW w:w="684" w:type="pct"/>
            <w:vAlign w:val="center"/>
            <w:vMerge w:val="restart"/>
            <w:textDirection w:val="lrTb"/>
            <w:noWrap w:val="false"/>
          </w:tcPr>
          <w:p>
            <w:pPr>
              <w:ind w:right="-107"/>
              <w:jc w:val="center"/>
              <w:spacing w:line="276" w:lineRule="auto"/>
              <w:tabs>
                <w:tab w:val="left" w:pos="4788" w:leader="none"/>
              </w:tabs>
              <w:rPr>
                <w:rFonts w:eastAsiaTheme="minorEastAsia"/>
                <w:bCs/>
                <w:szCs w:val="21"/>
              </w:rPr>
            </w:pPr>
            <w:r>
              <w:rPr>
                <w:szCs w:val="21"/>
              </w:rPr>
              <w:t xml:space="preserve">合同签订后</w:t>
            </w:r>
            <w:r>
              <w:rPr>
                <w:rFonts w:hint="eastAsia"/>
                <w:szCs w:val="21"/>
              </w:rPr>
              <w:t xml:space="preserve">2</w:t>
            </w:r>
            <w:bookmarkStart w:id="240" w:name="_GoBack"/>
            <w:r>
              <w:rPr>
                <w:szCs w:val="21"/>
              </w:rPr>
              <w:t xml:space="preserve">个月</w:t>
            </w:r>
            <w:bookmarkEnd w:id="240"/>
            <w:r>
              <w:rPr>
                <w:szCs w:val="21"/>
              </w:rPr>
              <w:t xml:space="preserve">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bCs/>
                <w:szCs w:val="21"/>
              </w:rPr>
            </w:pPr>
            <w:r>
              <w:rPr>
                <w:rFonts w:eastAsiaTheme="minorEastAsia"/>
                <w:bCs/>
                <w:szCs w:val="21"/>
              </w:rPr>
              <w:t xml:space="preserve">二保焊机</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3</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2.7</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bCs/>
                <w:szCs w:val="21"/>
              </w:rPr>
            </w:pPr>
            <w:r>
              <w:t xml:space="preserve">氩电焊机</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12</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8.4</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bCs/>
                <w:szCs w:val="21"/>
              </w:rPr>
            </w:pPr>
            <w:r>
              <w:t xml:space="preserve">空压机</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0.85</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bCs/>
                <w:szCs w:val="21"/>
              </w:rPr>
            </w:pPr>
            <w:r>
              <w:t xml:space="preserve">水处理设备实操考核模拟机</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9.96</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bCs/>
                <w:szCs w:val="21"/>
              </w:rPr>
            </w:pPr>
            <w:r>
              <w:t xml:space="preserve">埋弧焊焊机</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2.5</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bCs/>
                <w:szCs w:val="21"/>
              </w:rPr>
            </w:pPr>
            <w:r>
              <w:t xml:space="preserve">焊条烘干炉</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1.56</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bCs/>
                <w:szCs w:val="21"/>
              </w:rPr>
            </w:pPr>
            <w:r>
              <w:t xml:space="preserve">车铣复合机床</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3.5</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color w:val="000000"/>
                <w:szCs w:val="21"/>
                <w:lang w:bidi="ar"/>
              </w:rPr>
            </w:pPr>
            <w:r>
              <w:t xml:space="preserve">逆变式直流脉冲氩弧焊机</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8</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8.8</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6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color w:val="000000"/>
                <w:szCs w:val="21"/>
                <w:lang w:bidi="ar"/>
              </w:rPr>
            </w:pPr>
            <w:r>
              <w:t xml:space="preserve">等离子氩弧自动焊机(P+T)</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19.6</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hint="eastAsia"/>
                <w:bCs/>
                <w:szCs w:val="21"/>
              </w:rPr>
              <w:t xml:space="preserve">核心产</w:t>
            </w:r>
            <w:r>
              <w:rPr>
                <w:rFonts w:eastAsiaTheme="minorEastAsia"/>
                <w:bCs/>
                <w:szCs w:val="21"/>
              </w:rPr>
              <w:t xml:space="preserve">品</w:t>
            </w:r>
            <w:r/>
          </w:p>
        </w:tc>
      </w:tr>
      <w:tr>
        <w:trPr>
          <w:jc w:val="center"/>
          <w:trHeight w:val="274"/>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color w:val="000000"/>
                <w:szCs w:val="21"/>
                <w:lang w:bidi="ar"/>
              </w:rPr>
            </w:pPr>
            <w:r>
              <w:t xml:space="preserve">管板自动氩弧焊机电源控制系统及辅件</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3.3</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color w:val="000000"/>
                <w:szCs w:val="21"/>
                <w:lang w:bidi="ar"/>
              </w:rPr>
            </w:pPr>
            <w:r>
              <w:t xml:space="preserve">管板自动焊机机头及操作架</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4.2</w:t>
            </w:r>
            <w:r/>
          </w:p>
        </w:tc>
        <w:tc>
          <w:tcPr>
            <w:tcBorders>
              <w:left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430" w:type="pct"/>
            <w:vAlign w:val="center"/>
            <w:textDirection w:val="lrTb"/>
            <w:noWrap w:val="false"/>
          </w:tcPr>
          <w:p>
            <w:pPr>
              <w:jc w:val="center"/>
              <w:spacing w:line="276" w:lineRule="auto"/>
              <w:rPr>
                <w:rFonts w:eastAsiaTheme="minorEastAsia"/>
                <w:color w:val="000000"/>
                <w:szCs w:val="21"/>
                <w:lang w:bidi="ar"/>
              </w:rPr>
            </w:pPr>
            <w:r>
              <w:t xml:space="preserve">移动式焊烟除尘净化器</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5</w:t>
            </w:r>
            <w:r/>
          </w:p>
        </w:tc>
        <w:tc>
          <w:tcPr>
            <w:tcBorders>
              <w:left w:val="single" w:color="auto" w:sz="4" w:space="0"/>
              <w:bottom w:val="single" w:color="auto" w:sz="4" w:space="0"/>
              <w:right w:val="single" w:color="auto" w:sz="4" w:space="0"/>
            </w:tcBorders>
            <w:tcW w:w="480"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bottom w:val="single" w:color="auto" w:sz="4" w:space="0"/>
              <w:right w:val="single" w:color="auto" w:sz="4" w:space="0"/>
            </w:tcBorders>
            <w:tcW w:w="20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2.5</w:t>
            </w:r>
            <w:r/>
          </w:p>
        </w:tc>
        <w:tc>
          <w:tcPr>
            <w:tcBorders>
              <w:left w:val="single" w:color="auto" w:sz="4" w:space="0"/>
              <w:bottom w:val="single" w:color="auto" w:sz="4" w:space="0"/>
              <w:right w:val="single" w:color="auto" w:sz="4" w:space="0"/>
            </w:tcBorders>
            <w:tcW w:w="684"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bl>
    <w:p>
      <w:pPr>
        <w:ind w:firstLine="210"/>
        <w:rPr>
          <w:szCs w:val="21"/>
        </w:rPr>
      </w:pPr>
      <w:r>
        <w:rPr>
          <w:szCs w:val="21"/>
        </w:rPr>
      </w:r>
      <w:r/>
    </w:p>
    <w:p>
      <w:pPr>
        <w:ind w:firstLine="210"/>
        <w:spacing w:line="360" w:lineRule="auto"/>
      </w:pPr>
      <w:r>
        <w:rPr>
          <w:szCs w:val="21"/>
        </w:rPr>
        <w:t xml:space="preserve">7、合同履行期限：详见采购需求</w:t>
      </w:r>
      <w:r/>
    </w:p>
    <w:p>
      <w:pPr>
        <w:ind w:firstLine="210"/>
        <w:spacing w:line="360" w:lineRule="auto"/>
        <w:rPr>
          <w:szCs w:val="21"/>
        </w:rPr>
      </w:pPr>
      <w:r>
        <w:rPr>
          <w:szCs w:val="21"/>
        </w:rPr>
        <w:t xml:space="preserve">8、</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szCs w:val="21"/>
        </w:rPr>
        <w:t xml:space="preserve">9、本项目不接受联合体投标，中标后不允许分包、转包</w:t>
      </w:r>
      <w:r/>
    </w:p>
    <w:p>
      <w:pPr>
        <w:ind w:left="210"/>
        <w:spacing w:line="360" w:lineRule="auto"/>
        <w:rPr>
          <w:szCs w:val="21"/>
        </w:rPr>
      </w:pPr>
      <w:r>
        <w:rPr>
          <w:szCs w:val="21"/>
        </w:rPr>
        <w:t xml:space="preserve">10、集中考察：不组织</w:t>
      </w:r>
      <w:r/>
    </w:p>
    <w:p>
      <w:pPr>
        <w:ind w:left="210"/>
        <w:spacing w:line="360" w:lineRule="auto"/>
        <w:rPr>
          <w:szCs w:val="21"/>
        </w:rPr>
      </w:pPr>
      <w:r>
        <w:rPr>
          <w:szCs w:val="21"/>
        </w:rPr>
        <w:t xml:space="preserve">11、采购标的对应中小企业划分标准所属行业：工业</w:t>
      </w:r>
      <w:r/>
    </w:p>
    <w:p>
      <w:pPr>
        <w:ind w:left="210"/>
        <w:spacing w:line="360" w:lineRule="auto"/>
        <w:rPr>
          <w:szCs w:val="21"/>
        </w:rPr>
      </w:pPr>
      <w:r>
        <w:rPr>
          <w:szCs w:val="21"/>
        </w:rPr>
        <w:t xml:space="preserve">12、本项目非专门面向中小企业采购。</w:t>
      </w:r>
      <w:r/>
    </w:p>
    <w:p>
      <w:pPr>
        <w:pStyle w:val="1165"/>
        <w:rPr>
          <w:bCs/>
        </w:rPr>
      </w:pPr>
      <w:r/>
      <w:bookmarkStart w:id="27" w:name="_Toc29774"/>
      <w:r>
        <w:t xml:space="preserve">二、申请人的资格要求：</w:t>
      </w:r>
      <w:bookmarkEnd w:id="20"/>
      <w:r/>
      <w:bookmarkEnd w:id="21"/>
      <w:r/>
      <w:bookmarkEnd w:id="22"/>
      <w:r/>
      <w:bookmarkEnd w:id="23"/>
      <w:r/>
      <w:bookmarkEnd w:id="24"/>
      <w:r/>
      <w:bookmarkEnd w:id="25"/>
      <w:r/>
      <w:bookmarkEnd w:id="27"/>
      <w:r/>
      <w:r/>
    </w:p>
    <w:p>
      <w:pPr>
        <w:ind w:left="218"/>
        <w:spacing w:line="360" w:lineRule="auto"/>
        <w:rPr>
          <w:b/>
          <w:bCs/>
          <w:szCs w:val="21"/>
        </w:rPr>
      </w:pPr>
      <w:r>
        <w:rPr>
          <w:b/>
          <w:bCs/>
          <w:szCs w:val="21"/>
        </w:rPr>
        <w:t xml:space="preserve">1、满足《中华人民共和国政府采购法》第二十二条规定：</w:t>
      </w:r>
      <w:r/>
    </w:p>
    <w:p>
      <w:pPr>
        <w:ind w:left="216"/>
        <w:spacing w:line="360" w:lineRule="auto"/>
        <w:shd w:val="clear" w:color="auto" w:fill="ffffff"/>
        <w:widowControl/>
        <w:rPr>
          <w:szCs w:val="21"/>
        </w:rPr>
      </w:pPr>
      <w:r>
        <w:rPr>
          <w:szCs w:val="21"/>
        </w:rPr>
        <w:t xml:space="preserve">1)具有独立承担民事责任的能力，提供法人或其他组织的营业执照等证明文件，复印件加盖公章；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6)有依法缴纳税收的良好记录，提供所属时期为距开标时间六个月内任意一月份的税收完税证明等相关证明材料复印件加盖公章（提供材料须体现所属时期，依法免税的应提供相应文件说明）；</w:t>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3、本项目的特定资格要求：无；</w:t>
      </w:r>
      <w:r/>
    </w:p>
    <w:p>
      <w:pPr>
        <w:ind w:left="218"/>
        <w:spacing w:line="360" w:lineRule="auto"/>
        <w:rPr>
          <w:b/>
          <w:bCs/>
          <w:szCs w:val="21"/>
        </w:rPr>
      </w:pPr>
      <w:r>
        <w:rPr>
          <w:b/>
          <w:bCs/>
          <w:szCs w:val="21"/>
        </w:rPr>
        <w:t xml:space="preserve">4、供应商存在下列情形的不得参加本次招标活动：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165"/>
        <w:rPr>
          <w:bCs/>
        </w:rPr>
      </w:pPr>
      <w:r/>
      <w:bookmarkStart w:id="28" w:name="_Toc32687"/>
      <w:r/>
      <w:bookmarkStart w:id="29" w:name="_Toc6688"/>
      <w:r/>
      <w:bookmarkStart w:id="30" w:name="_Toc13065"/>
      <w:r>
        <w:t xml:space="preserve">三、获取招标文件</w:t>
      </w:r>
      <w:bookmarkEnd w:id="28"/>
      <w:r/>
      <w:bookmarkEnd w:id="29"/>
      <w:r/>
      <w:bookmarkEnd w:id="30"/>
      <w:r/>
      <w:r/>
    </w:p>
    <w:p>
      <w:pPr>
        <w:ind w:left="220" w:hanging="10"/>
        <w:spacing w:line="360" w:lineRule="auto"/>
        <w:rPr>
          <w:szCs w:val="21"/>
        </w:rPr>
      </w:pPr>
      <w:r>
        <w:rPr>
          <w:szCs w:val="21"/>
        </w:rPr>
        <w:t xml:space="preserve">1、时间：自招标公告发布之日起5个工作日，2026年</w:t>
      </w:r>
      <w:r>
        <w:rPr>
          <w:rFonts w:hint="eastAsia"/>
          <w:szCs w:val="21"/>
          <w:lang w:val="en-US" w:eastAsia="zh-CN"/>
        </w:rPr>
        <w:t xml:space="preserve">09</w:t>
      </w:r>
      <w:r>
        <w:rPr>
          <w:szCs w:val="21"/>
        </w:rPr>
        <w:t xml:space="preserve">月</w:t>
      </w:r>
      <w:r>
        <w:rPr>
          <w:rFonts w:hint="eastAsia"/>
          <w:szCs w:val="21"/>
          <w:lang w:val="en-US" w:eastAsia="zh-CN"/>
        </w:rPr>
        <w:t xml:space="preserve">04</w:t>
      </w:r>
      <w:r>
        <w:rPr>
          <w:szCs w:val="21"/>
        </w:rPr>
        <w:t xml:space="preserve">日起至2026年</w:t>
      </w:r>
      <w:r>
        <w:rPr>
          <w:rFonts w:hint="eastAsia"/>
          <w:szCs w:val="21"/>
          <w:lang w:val="en-US" w:eastAsia="zh-CN"/>
        </w:rPr>
        <w:t xml:space="preserve">09</w:t>
      </w:r>
      <w:r>
        <w:rPr>
          <w:szCs w:val="21"/>
        </w:rPr>
        <w:t xml:space="preserve">月</w:t>
      </w:r>
      <w:r>
        <w:rPr>
          <w:rFonts w:hint="eastAsia"/>
          <w:szCs w:val="21"/>
          <w:lang w:val="en-US" w:eastAsia="zh-CN"/>
        </w:rPr>
        <w:t xml:space="preserve">11</w:t>
      </w:r>
      <w:r>
        <w:rPr>
          <w:szCs w:val="21"/>
        </w:rPr>
        <w:t xml:space="preserve">日止，每天9：00—11：30，14：00—17：00（北京时间，节假日除外）；</w:t>
      </w:r>
      <w:r>
        <w:rPr>
          <w:b/>
          <w:bCs/>
          <w:szCs w:val="21"/>
        </w:rPr>
        <w:t xml:space="preserve">未在规定时间内报名的潜在投标人将失去投标资格。</w:t>
      </w:r>
      <w:r/>
    </w:p>
    <w:p>
      <w:pPr>
        <w:ind w:left="220" w:hanging="10"/>
        <w:spacing w:line="360" w:lineRule="auto"/>
        <w:rPr>
          <w:szCs w:val="21"/>
        </w:rPr>
      </w:pPr>
      <w:r>
        <w:rPr>
          <w:szCs w:val="21"/>
        </w:rPr>
        <w:t xml:space="preserve">2、地点：“苏采云”系统注册登记成功后免费下载</w:t>
      </w:r>
      <w:r/>
    </w:p>
    <w:p>
      <w:pPr>
        <w:ind w:left="220" w:hanging="10"/>
        <w:spacing w:line="360" w:lineRule="auto"/>
        <w:rPr>
          <w:szCs w:val="21"/>
        </w:rPr>
      </w:pPr>
      <w:r>
        <w:rPr>
          <w:szCs w:val="21"/>
        </w:rPr>
        <w:t xml:space="preserve">3、获取方式：本项目采用网上注册登记方式</w:t>
      </w:r>
      <w:r/>
    </w:p>
    <w:p>
      <w:pPr>
        <w:ind w:left="220" w:hanging="10"/>
        <w:spacing w:line="360" w:lineRule="auto"/>
        <w:rPr>
          <w:szCs w:val="21"/>
        </w:rPr>
      </w:pPr>
      <w:r>
        <w:rPr>
          <w:szCs w:val="21"/>
        </w:rPr>
        <w:t xml:space="preserve">3.1潜在供应商访问电子招标响应交易平台的网络地址和方法：</w:t>
      </w:r>
      <w:r/>
    </w:p>
    <w:p>
      <w:pPr>
        <w:ind w:left="220" w:hanging="10"/>
        <w:spacing w:line="360" w:lineRule="auto"/>
        <w:rPr>
          <w:szCs w:val="21"/>
        </w:rPr>
      </w:pPr>
      <w:r>
        <w:rPr>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220" w:hanging="10"/>
        <w:spacing w:line="360" w:lineRule="auto"/>
        <w:rPr>
          <w:szCs w:val="21"/>
        </w:rPr>
      </w:pPr>
      <w:r>
        <w:rPr>
          <w:szCs w:val="21"/>
        </w:rPr>
        <w:t xml:space="preserve">3.2潜在供应商访问“苏采云”系统的网络地址和方法：“苏采云”系统的网址：http</w:t>
      </w:r>
      <w:r>
        <w:rPr>
          <w:rFonts w:hint="eastAsia"/>
          <w:szCs w:val="21"/>
        </w:rPr>
        <w:t xml:space="preserve">:</w:t>
      </w:r>
      <w:r>
        <w:rPr>
          <w:szCs w:val="21"/>
        </w:rPr>
        <w:t xml:space="preserve">//jszfcg.jsczt.cn/。</w:t>
      </w:r>
      <w:r/>
    </w:p>
    <w:p>
      <w:pPr>
        <w:ind w:left="220" w:hanging="10"/>
        <w:spacing w:line="360" w:lineRule="auto"/>
        <w:rPr>
          <w:szCs w:val="21"/>
        </w:rPr>
      </w:pPr>
      <w:r>
        <w:rPr>
          <w:szCs w:val="21"/>
        </w:rPr>
        <w:t xml:space="preserve">3.3“CA数字证书”的获取：</w:t>
      </w:r>
      <w:r/>
    </w:p>
    <w:p>
      <w:pPr>
        <w:ind w:left="220" w:hanging="10"/>
        <w:spacing w:line="360" w:lineRule="auto"/>
        <w:rPr>
          <w:szCs w:val="21"/>
        </w:rPr>
      </w:pPr>
      <w:r>
        <w:rPr>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220" w:hanging="10"/>
        <w:spacing w:line="360" w:lineRule="auto"/>
        <w:rPr>
          <w:szCs w:val="21"/>
        </w:rPr>
      </w:pPr>
      <w:r>
        <w:rPr>
          <w:szCs w:val="21"/>
        </w:rPr>
        <w:t xml:space="preserve">3.4采购文件（后缀名为“.kedt”）、供应商操作手册及政府采购客户端工具可通过“苏采云”系统--已报名项目--报名详情页面内相应链接进行下载。</w:t>
      </w:r>
      <w:r/>
    </w:p>
    <w:p>
      <w:pPr>
        <w:ind w:left="220" w:hanging="10"/>
        <w:spacing w:line="360" w:lineRule="auto"/>
        <w:rPr>
          <w:szCs w:val="21"/>
        </w:rPr>
      </w:pPr>
      <w:r>
        <w:rPr>
          <w:szCs w:val="21"/>
        </w:rPr>
        <w:t xml:space="preserve">3.5招标代理机构（采购代理机构）将数据电文形式的采购文件加载至“苏采云”系统，供潜在供应商下载或者查阅。</w:t>
      </w:r>
      <w:r/>
    </w:p>
    <w:p>
      <w:pPr>
        <w:ind w:left="220" w:hanging="10"/>
        <w:spacing w:line="360" w:lineRule="auto"/>
        <w:rPr>
          <w:szCs w:val="21"/>
        </w:rPr>
      </w:pPr>
      <w:r>
        <w:rPr>
          <w:szCs w:val="21"/>
        </w:rPr>
        <w:t xml:space="preserve">3.6请潜在投标单位提前安装相应的控件（详见《江苏省政府采购管理交易系统（苏采云）供应商操作手册》）并使用谷歌浏览器登录“苏采云”系统参与不见面开评标。</w:t>
      </w:r>
      <w:r/>
    </w:p>
    <w:p>
      <w:pPr>
        <w:pStyle w:val="1165"/>
        <w:rPr>
          <w:bCs/>
        </w:rPr>
      </w:pPr>
      <w:r/>
      <w:bookmarkStart w:id="31" w:name="_Toc28434"/>
      <w:r/>
      <w:bookmarkStart w:id="32" w:name="_Toc29481"/>
      <w:r/>
      <w:bookmarkStart w:id="33" w:name="_Toc698"/>
      <w:r>
        <w:t xml:space="preserve">四、提交投标文件截止时间、开标时间和地点</w:t>
      </w:r>
      <w:bookmarkEnd w:id="31"/>
      <w:r/>
      <w:bookmarkEnd w:id="32"/>
      <w:r/>
      <w:bookmarkEnd w:id="33"/>
      <w:r/>
      <w:r/>
    </w:p>
    <w:p>
      <w:pPr>
        <w:pStyle w:val="1434"/>
        <w:rPr>
          <w:sz w:val="21"/>
        </w:rPr>
      </w:pPr>
      <w:r/>
      <w:bookmarkStart w:id="34" w:name="_Toc35393794"/>
      <w:r/>
      <w:bookmarkStart w:id="35" w:name="_Toc28359007"/>
      <w:r/>
      <w:bookmarkStart w:id="36" w:name="_Toc28359084"/>
      <w:r/>
      <w:bookmarkStart w:id="37" w:name="_Toc35393625"/>
      <w:r>
        <w:rPr>
          <w:sz w:val="21"/>
        </w:rPr>
        <w:t xml:space="preserve">1.投标截止时间：2026年</w:t>
      </w:r>
      <w:r>
        <w:rPr>
          <w:rFonts w:hint="eastAsia"/>
          <w:sz w:val="21"/>
          <w:lang w:val="en-US" w:eastAsia="zh-CN"/>
        </w:rPr>
        <w:t xml:space="preserve">09</w:t>
      </w:r>
      <w:r>
        <w:rPr>
          <w:sz w:val="21"/>
        </w:rPr>
        <w:t xml:space="preserve">月</w:t>
      </w:r>
      <w:r>
        <w:rPr>
          <w:rFonts w:hint="eastAsia"/>
          <w:sz w:val="21"/>
          <w:lang w:val="en-US" w:eastAsia="zh-CN"/>
        </w:rPr>
        <w:t xml:space="preserve">29</w:t>
      </w:r>
      <w:r>
        <w:rPr>
          <w:sz w:val="21"/>
        </w:rPr>
        <w:t xml:space="preserve">日09：30（北京时间）</w:t>
      </w:r>
      <w:r/>
    </w:p>
    <w:p>
      <w:pPr>
        <w:pStyle w:val="1434"/>
        <w:rPr>
          <w:sz w:val="21"/>
        </w:rPr>
      </w:pPr>
      <w:r>
        <w:rPr>
          <w:sz w:val="21"/>
        </w:rPr>
        <w:t xml:space="preserve">2.开标时间：2026年</w:t>
      </w:r>
      <w:r>
        <w:rPr>
          <w:rFonts w:hint="eastAsia"/>
          <w:sz w:val="21"/>
          <w:lang w:val="en-US" w:eastAsia="zh-CN"/>
        </w:rPr>
        <w:t xml:space="preserve">09</w:t>
      </w:r>
      <w:r>
        <w:rPr>
          <w:sz w:val="21"/>
        </w:rPr>
        <w:t xml:space="preserve">月</w:t>
      </w:r>
      <w:r>
        <w:rPr>
          <w:rFonts w:hint="eastAsia"/>
          <w:sz w:val="21"/>
          <w:lang w:val="en-US" w:eastAsia="zh-CN"/>
        </w:rPr>
        <w:t xml:space="preserve">29</w:t>
      </w:r>
      <w:r>
        <w:rPr>
          <w:sz w:val="21"/>
        </w:rPr>
        <w:t xml:space="preserve">日09：30（北京时间） </w:t>
      </w:r>
      <w:r/>
    </w:p>
    <w:p>
      <w:pPr>
        <w:pStyle w:val="1434"/>
        <w:rPr>
          <w:sz w:val="21"/>
        </w:rPr>
      </w:pPr>
      <w:r>
        <w:rPr>
          <w:sz w:val="21"/>
        </w:rPr>
        <w:t xml:space="preserve">3.开标地点：“苏采云”系统（网址： http</w:t>
      </w:r>
      <w:r>
        <w:rPr>
          <w:rFonts w:hint="eastAsia"/>
          <w:sz w:val="21"/>
        </w:rPr>
        <w:t xml:space="preserve">:</w:t>
      </w:r>
      <w:r>
        <w:rPr>
          <w:sz w:val="21"/>
        </w:rPr>
        <w:t xml:space="preserve">//jszfcg.jsczt.cn/）“开标大厅”，点击“苏采云”进入系统“开标大厅”。</w:t>
      </w:r>
      <w:r/>
    </w:p>
    <w:p>
      <w:pPr>
        <w:ind w:firstLine="420"/>
        <w:spacing w:line="360" w:lineRule="auto"/>
        <w:rPr>
          <w:szCs w:val="21"/>
        </w:rPr>
      </w:pPr>
      <w:r>
        <w:rPr>
          <w:szCs w:val="21"/>
        </w:rPr>
        <w:t xml:space="preserve">注：各供应商请关注开标大厅交流区，在开标结束后，请勿离开开标大厅。</w:t>
      </w:r>
      <w:r/>
    </w:p>
    <w:p>
      <w:pPr>
        <w:ind w:firstLine="420"/>
        <w:spacing w:line="360" w:lineRule="auto"/>
        <w:rPr>
          <w:bCs/>
          <w:szCs w:val="21"/>
          <w:u w:val="single"/>
        </w:rPr>
      </w:pPr>
      <w:r>
        <w:rPr>
          <w:szCs w:val="21"/>
        </w:rPr>
        <w:t xml:space="preserve">4.投标文件的解密：开标当天各供应商及时登录不见面开标大厅。响应文件递交截止时间后，采购人将在系统内公布投标</w:t>
      </w:r>
      <w:r>
        <w:rPr>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165"/>
        <w:rPr>
          <w:bCs/>
        </w:rPr>
      </w:pPr>
      <w:r/>
      <w:bookmarkStart w:id="38" w:name="_Toc27623"/>
      <w:r/>
      <w:bookmarkStart w:id="39" w:name="_Toc17159"/>
      <w:r/>
      <w:bookmarkStart w:id="40" w:name="_Toc32448"/>
      <w:r>
        <w:t xml:space="preserve">五、公告期限</w:t>
      </w:r>
      <w:bookmarkEnd w:id="34"/>
      <w:r/>
      <w:bookmarkEnd w:id="35"/>
      <w:r/>
      <w:bookmarkEnd w:id="36"/>
      <w:r/>
      <w:bookmarkEnd w:id="37"/>
      <w:r/>
      <w:bookmarkEnd w:id="38"/>
      <w:r/>
      <w:bookmarkEnd w:id="39"/>
      <w:r/>
      <w:bookmarkEnd w:id="40"/>
      <w:r/>
      <w:r/>
    </w:p>
    <w:p>
      <w:pPr>
        <w:ind w:left="210" w:firstLine="10"/>
        <w:spacing w:line="360" w:lineRule="auto"/>
        <w:rPr>
          <w:szCs w:val="21"/>
        </w:rPr>
      </w:pPr>
      <w:r>
        <w:rPr>
          <w:szCs w:val="21"/>
        </w:rPr>
        <w:t xml:space="preserve">自本公告发布之日起5个工作日。</w:t>
      </w:r>
      <w:r/>
    </w:p>
    <w:p>
      <w:pPr>
        <w:pStyle w:val="1165"/>
        <w:rPr>
          <w:bCs/>
        </w:rPr>
      </w:pPr>
      <w:r/>
      <w:bookmarkStart w:id="41" w:name="_Toc27208"/>
      <w:r/>
      <w:bookmarkStart w:id="42" w:name="_Toc4129"/>
      <w:r/>
      <w:bookmarkStart w:id="43" w:name="_Toc7357"/>
      <w:r/>
      <w:bookmarkStart w:id="44" w:name="_Toc35393626"/>
      <w:r/>
      <w:bookmarkStart w:id="45" w:name="_Toc35393795"/>
      <w:r>
        <w:t xml:space="preserve">六、其他补充事宜</w:t>
      </w:r>
      <w:bookmarkEnd w:id="2"/>
      <w:r/>
      <w:bookmarkEnd w:id="41"/>
      <w:r/>
      <w:bookmarkEnd w:id="42"/>
      <w:r/>
      <w:bookmarkEnd w:id="43"/>
      <w:r/>
      <w:bookmarkEnd w:id="44"/>
      <w:r/>
      <w:bookmarkEnd w:id="45"/>
      <w:r/>
      <w:r/>
    </w:p>
    <w:p>
      <w:pPr>
        <w:pStyle w:val="1432"/>
        <w:spacing w:line="360" w:lineRule="auto"/>
        <w:rPr>
          <w:szCs w:val="21"/>
        </w:rPr>
      </w:pPr>
      <w:r>
        <w:rPr>
          <w:szCs w:val="21"/>
        </w:rPr>
        <w:t xml:space="preserve">1.本项目公告媒体：江苏政府采购网（http</w:t>
      </w:r>
      <w:r>
        <w:rPr>
          <w:rFonts w:hint="eastAsia"/>
          <w:szCs w:val="21"/>
        </w:rPr>
        <w:t xml:space="preserve">:</w:t>
      </w:r>
      <w:r>
        <w:rPr>
          <w:szCs w:val="21"/>
        </w:rPr>
        <w:t xml:space="preserve">//www.ccgp-jiangsu.gov.cn/）</w:t>
      </w:r>
      <w:r/>
    </w:p>
    <w:p>
      <w:pPr>
        <w:pStyle w:val="1432"/>
        <w:spacing w:line="360" w:lineRule="auto"/>
        <w:rPr>
          <w:szCs w:val="21"/>
        </w:rPr>
      </w:pPr>
      <w:r>
        <w:rPr>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432"/>
        <w:spacing w:line="360" w:lineRule="auto"/>
        <w:rPr>
          <w:szCs w:val="21"/>
        </w:rPr>
      </w:pPr>
      <w:r>
        <w:rPr>
          <w:szCs w:val="21"/>
        </w:rPr>
        <w:t xml:space="preserve">http</w:t>
      </w:r>
      <w:r>
        <w:rPr>
          <w:rFonts w:hint="eastAsia"/>
          <w:szCs w:val="21"/>
        </w:rPr>
        <w:t xml:space="preserve">:</w:t>
      </w:r>
      <w:r>
        <w:rPr>
          <w:szCs w:val="21"/>
        </w:rPr>
        <w:t xml:space="preserve">//www.ccgp-jiangsu.gov.cn/jiangsu/zlxz/ee/ee3a4bc5a3454aa2b0d9312230633ce9.html。</w:t>
      </w:r>
      <w:r/>
    </w:p>
    <w:p>
      <w:pPr>
        <w:pStyle w:val="1432"/>
        <w:spacing w:line="360" w:lineRule="auto"/>
        <w:rPr>
          <w:szCs w:val="21"/>
        </w:rPr>
      </w:pPr>
      <w:r>
        <w:rPr>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szCs w:val="21"/>
        </w:rPr>
      </w:pPr>
      <w:r>
        <w:rPr>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pStyle w:val="1413"/>
        <w:ind w:left="216" w:firstLine="0"/>
        <w:spacing w:line="360" w:lineRule="auto"/>
        <w:rPr>
          <w:rFonts w:ascii="Times New Roman" w:hAnsi="Times New Roman"/>
          <w:szCs w:val="21"/>
        </w:rPr>
      </w:pPr>
      <w:r>
        <w:rPr>
          <w:rFonts w:ascii="Times New Roman" w:hAnsi="Times New Roman"/>
          <w:szCs w:val="21"/>
        </w:rPr>
        <w:t xml:space="preserve">4.有关本次招标的事项若存在变动或修改，敬请及时关注在“江苏政府采购网”发布的更正公告。</w:t>
      </w:r>
      <w:r/>
    </w:p>
    <w:p>
      <w:pPr>
        <w:pStyle w:val="1165"/>
        <w:rPr>
          <w:bCs/>
        </w:rPr>
      </w:pPr>
      <w:r/>
      <w:bookmarkStart w:id="46" w:name="_Toc6922"/>
      <w:r>
        <w:t xml:space="preserve">七、对本次招标提出询问，请按以下方式联系。</w:t>
      </w:r>
      <w:bookmarkEnd w:id="46"/>
      <w:r/>
      <w:r/>
    </w:p>
    <w:p>
      <w:pPr>
        <w:pStyle w:val="120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20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209"/>
        <w:ind w:left="214" w:hanging="6"/>
        <w:spacing w:before="0" w:beforeAutospacing="0" w:after="0" w:afterAutospacing="0" w:line="360" w:lineRule="auto"/>
        <w:rPr>
          <w:rFonts w:ascii="Times New Roman" w:hAnsi="Times New Roman" w:eastAsia="宋体"/>
          <w:color w:val="auto"/>
          <w:sz w:val="21"/>
          <w:szCs w:val="21"/>
        </w:rPr>
      </w:pPr>
      <w:r/>
      <w:bookmarkStart w:id="47" w:name="_Toc28359009"/>
      <w:r/>
      <w:bookmarkStart w:id="48" w:name="_Toc28359086"/>
      <w:r>
        <w:rPr>
          <w:rFonts w:ascii="Times New Roman" w:hAnsi="Times New Roman" w:eastAsia="宋体"/>
          <w:color w:val="auto"/>
          <w:sz w:val="21"/>
          <w:szCs w:val="21"/>
        </w:rPr>
        <w:t xml:space="preserve">地址：江苏省南京市鼓楼区草场门大街107号龙江大厦</w:t>
      </w:r>
      <w:r/>
    </w:p>
    <w:p>
      <w:pPr>
        <w:pStyle w:val="120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20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r/>
    </w:p>
    <w:p>
      <w:pPr>
        <w:pStyle w:val="120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bookmarkEnd w:id="47"/>
      <w:r/>
      <w:bookmarkEnd w:id="48"/>
      <w:r/>
      <w:r/>
    </w:p>
    <w:p>
      <w:pPr>
        <w:pStyle w:val="120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20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ind w:left="218"/>
        <w:spacing w:line="360" w:lineRule="auto"/>
        <w:rPr>
          <w:szCs w:val="21"/>
        </w:rPr>
      </w:pPr>
      <w:r>
        <w:rPr>
          <w:szCs w:val="21"/>
        </w:rPr>
        <w:t xml:space="preserve">联系人：姚佳妮</w:t>
      </w:r>
      <w:r/>
    </w:p>
    <w:p>
      <w:pPr>
        <w:ind w:left="218"/>
        <w:spacing w:line="360" w:lineRule="auto"/>
        <w:rPr>
          <w:szCs w:val="21"/>
        </w:rPr>
      </w:pPr>
      <w:r>
        <w:rPr>
          <w:szCs w:val="21"/>
        </w:rPr>
        <w:t xml:space="preserve">电　话：025-84532330</w:t>
      </w:r>
      <w:r/>
    </w:p>
    <w:p>
      <w:pPr>
        <w:ind w:left="218"/>
        <w:spacing w:line="360" w:lineRule="auto"/>
        <w:rPr>
          <w:szCs w:val="21"/>
        </w:rPr>
      </w:pPr>
      <w:r>
        <w:rPr>
          <w:szCs w:val="21"/>
        </w:rPr>
        <w:t xml:space="preserve">3、项目联系方式</w:t>
      </w:r>
      <w:r/>
    </w:p>
    <w:p>
      <w:pPr>
        <w:ind w:left="218"/>
        <w:spacing w:line="360" w:lineRule="auto"/>
        <w:rPr>
          <w:szCs w:val="21"/>
        </w:rPr>
      </w:pPr>
      <w:r>
        <w:rPr>
          <w:szCs w:val="21"/>
        </w:rPr>
        <w:t xml:space="preserve">联系人：姚佳妮</w:t>
      </w:r>
      <w:r/>
    </w:p>
    <w:p>
      <w:pPr>
        <w:ind w:left="218"/>
        <w:spacing w:line="360" w:lineRule="auto"/>
        <w:rPr>
          <w:szCs w:val="21"/>
        </w:rPr>
      </w:pPr>
      <w:r>
        <w:rPr>
          <w:szCs w:val="21"/>
        </w:rPr>
        <w:t xml:space="preserve">电　话：025-84532330</w:t>
      </w:r>
      <w:r/>
    </w:p>
    <w:p>
      <w:pPr>
        <w:jc w:val="center"/>
        <w:spacing w:line="360" w:lineRule="auto"/>
        <w:rPr>
          <w:b/>
          <w:color w:val="000000"/>
          <w:szCs w:val="21"/>
        </w:rPr>
        <w:outlineLvl w:val="0"/>
      </w:pPr>
      <w:r>
        <w:rPr>
          <w:color w:val="000000"/>
          <w:szCs w:val="21"/>
        </w:rPr>
        <w:br w:type="page" w:clear="all"/>
      </w:r>
      <w:bookmarkStart w:id="49" w:name="_Toc5585"/>
      <w:r/>
      <w:bookmarkStart w:id="50" w:name="_Toc28996"/>
      <w:r/>
      <w:bookmarkStart w:id="51" w:name="_Toc6468"/>
      <w:r>
        <w:rPr>
          <w:b/>
          <w:color w:val="000000"/>
          <w:sz w:val="28"/>
          <w:szCs w:val="28"/>
        </w:rPr>
        <w:t xml:space="preserve">第二章 投标人须知</w:t>
      </w:r>
      <w:bookmarkEnd w:id="49"/>
      <w:r/>
      <w:bookmarkEnd w:id="50"/>
      <w:r/>
      <w:bookmarkEnd w:id="51"/>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17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526"/>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20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20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　址：江苏省南京市鼓楼区草场门大街107号龙江大厦</w:t>
            </w:r>
            <w:r/>
          </w:p>
          <w:p>
            <w:pPr>
              <w:pStyle w:val="120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20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话：025-89621099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20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pStyle w:val="1209"/>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sz w:val="21"/>
                <w:szCs w:val="21"/>
              </w:rPr>
              <w:t xml:space="preserve">联系地址：</w:t>
            </w:r>
            <w:r>
              <w:rPr>
                <w:rFonts w:ascii="Times New Roman" w:hAnsi="Times New Roman" w:eastAsia="宋体"/>
                <w:color w:val="auto"/>
                <w:sz w:val="21"/>
                <w:szCs w:val="21"/>
              </w:rPr>
              <w:t xml:space="preserve">南京市长江路198号苏美达大厦6楼西</w:t>
            </w:r>
            <w:r/>
          </w:p>
          <w:p>
            <w:pPr>
              <w:pStyle w:val="120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联系人：姚佳妮</w:t>
            </w:r>
            <w:r/>
          </w:p>
          <w:p>
            <w:pPr>
              <w:pStyle w:val="120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话：025-84532330</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w:t>
            </w:r>
            <w:r>
              <w:rPr>
                <w:rFonts w:hint="eastAsia"/>
                <w:color w:val="000000"/>
                <w:szCs w:val="21"/>
              </w:rPr>
              <w:t xml:space="preserve">等离子氩弧自动焊机(P+T)等13项设备</w:t>
            </w:r>
            <w:r>
              <w:rPr>
                <w:color w:val="000000"/>
                <w:szCs w:val="21"/>
              </w:rPr>
              <w:t xml:space="preserve"> </w:t>
            </w:r>
            <w:r/>
          </w:p>
          <w:p>
            <w:pPr>
              <w:spacing w:line="360" w:lineRule="auto"/>
              <w:shd w:val="clear" w:color="auto" w:fill="ffffff"/>
              <w:widowControl/>
              <w:rPr>
                <w:b/>
                <w:color w:val="000000"/>
                <w:szCs w:val="21"/>
              </w:rPr>
            </w:pPr>
            <w:r>
              <w:rPr>
                <w:color w:val="000000"/>
                <w:szCs w:val="21"/>
              </w:rPr>
              <w:t xml:space="preserve">采购编号：</w:t>
            </w:r>
            <w:r>
              <w:rPr>
                <w:rFonts w:hint="eastAsia"/>
                <w:color w:val="000000"/>
                <w:szCs w:val="21"/>
              </w:rPr>
              <w:t xml:space="preserve">4297-2641SUMEC311</w:t>
            </w:r>
            <w:r>
              <w:rPr>
                <w:color w:val="000000"/>
                <w:szCs w:val="21"/>
              </w:rPr>
              <w:t xml:space="preserve">（公告编号：</w:t>
            </w:r>
            <w:r>
              <w:rPr>
                <w:rFonts w:hint="eastAsia"/>
                <w:color w:val="000000"/>
                <w:szCs w:val="21"/>
              </w:rPr>
              <w:t xml:space="preserve">JSZC-320000-JSSB-G2026-0008</w:t>
            </w:r>
            <w:r>
              <w:rPr>
                <w:color w:val="000000"/>
                <w:szCs w:val="21"/>
              </w:rPr>
              <w:t xml:space="preserve">）</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b/>
                <w:color w:val="000000"/>
                <w:szCs w:val="21"/>
              </w:rPr>
              <w:t xml:space="preserve">7</w:t>
            </w:r>
            <w:r/>
          </w:p>
        </w:tc>
        <w:tc>
          <w:tcPr>
            <w:tcW w:w="4533" w:type="pct"/>
            <w:vAlign w:val="center"/>
            <w:textDirection w:val="lrTb"/>
            <w:noWrap w:val="false"/>
          </w:tcPr>
          <w:p>
            <w:pPr>
              <w:pStyle w:val="1209"/>
              <w:spacing w:before="0" w:beforeAutospacing="0" w:after="0" w:afterAutospacing="0" w:line="360" w:lineRule="auto"/>
              <w:rPr>
                <w:rFonts w:ascii="Times New Roman" w:hAnsi="Times New Roman"/>
                <w:szCs w:val="21"/>
              </w:rPr>
            </w:pPr>
            <w:r>
              <w:rPr>
                <w:rFonts w:ascii="Times New Roman" w:hAnsi="Times New Roman" w:eastAsia="宋体"/>
                <w:color w:val="auto"/>
                <w:sz w:val="21"/>
                <w:szCs w:val="21"/>
              </w:rPr>
              <w:t xml:space="preserve">投标文件接收截止时间：2026年</w:t>
            </w:r>
            <w:r>
              <w:rPr>
                <w:rFonts w:hint="eastAsia" w:ascii="Times New Roman" w:hAnsi="Times New Roman" w:eastAsia="宋体"/>
                <w:color w:val="auto"/>
                <w:sz w:val="21"/>
                <w:szCs w:val="21"/>
                <w:lang w:val="en-US" w:eastAsia="zh-CN"/>
              </w:rPr>
              <w:t xml:space="preserve">09</w:t>
            </w:r>
            <w:r>
              <w:rPr>
                <w:rFonts w:ascii="Times New Roman" w:hAnsi="Times New Roman" w:eastAsia="宋体"/>
                <w:color w:val="auto"/>
                <w:sz w:val="21"/>
                <w:szCs w:val="21"/>
              </w:rPr>
              <w:t xml:space="preserve">月</w:t>
            </w:r>
            <w:r>
              <w:rPr>
                <w:rFonts w:hint="eastAsia" w:ascii="Times New Roman" w:hAnsi="Times New Roman" w:eastAsia="宋体"/>
                <w:color w:val="auto"/>
                <w:sz w:val="21"/>
                <w:szCs w:val="21"/>
                <w:lang w:val="en-US" w:eastAsia="zh-CN"/>
              </w:rPr>
              <w:t xml:space="preserve">29</w:t>
            </w:r>
            <w:r>
              <w:rPr>
                <w:rFonts w:ascii="Times New Roman" w:hAnsi="Times New Roman" w:eastAsia="宋体"/>
                <w:color w:val="auto"/>
                <w:sz w:val="21"/>
                <w:szCs w:val="21"/>
              </w:rPr>
              <w:t xml:space="preserve">日09点30分（北京时间）</w:t>
            </w:r>
            <w:r/>
          </w:p>
          <w:p>
            <w:pPr>
              <w:jc w:val="left"/>
              <w:spacing w:line="360" w:lineRule="auto"/>
              <w:rPr>
                <w:color w:val="000000"/>
                <w:szCs w:val="21"/>
              </w:rPr>
            </w:pPr>
            <w:r>
              <w:rPr>
                <w:color w:val="000000"/>
                <w:szCs w:val="21"/>
              </w:rPr>
              <w:t xml:space="preserve">开标时间：同投标文件接收截止时间</w:t>
            </w:r>
            <w:r/>
          </w:p>
          <w:p>
            <w:pPr>
              <w:pStyle w:val="1374"/>
              <w:ind w:firstLine="0"/>
              <w:spacing w:line="360" w:lineRule="auto"/>
              <w:rPr>
                <w:rFonts w:ascii="Times New Roman"/>
                <w:color w:val="000000"/>
                <w:sz w:val="21"/>
                <w:szCs w:val="21"/>
              </w:rPr>
            </w:pPr>
            <w:r>
              <w:rPr>
                <w:rFonts w:ascii="Times New Roman"/>
                <w:color w:val="000000"/>
                <w:sz w:val="21"/>
                <w:szCs w:val="21"/>
              </w:rPr>
              <w:t xml:space="preserve">开标地点：“苏采云”政府采购交易系统网上开标大厅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w:t>
            </w:r>
            <w:r>
              <w:rPr>
                <w:rFonts w:eastAsiaTheme="minorEastAsia"/>
                <w:color w:val="000000"/>
                <w:szCs w:val="21"/>
              </w:rPr>
              <w:t xml:space="preserve">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w:t>
            </w:r>
            <w:r>
              <w:rPr>
                <w:color w:val="000000"/>
                <w:szCs w:val="21"/>
              </w:rPr>
              <w:t xml:space="preserve">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bookmarkEnd w:id="3"/>
            <w:r/>
            <w:bookmarkEnd w:id="4"/>
            <w:r/>
            <w:bookmarkEnd w:id="5"/>
            <w:r/>
            <w:bookmarkEnd w:id="6"/>
            <w:r/>
            <w:bookmarkEnd w:id="7"/>
            <w:r/>
            <w:bookmarkEnd w:id="8"/>
            <w:r/>
            <w:bookmarkEnd w:id="9"/>
            <w:r/>
            <w:r/>
          </w:p>
        </w:tc>
      </w:tr>
    </w:tbl>
    <w:p>
      <w:pPr>
        <w:rPr>
          <w:b/>
          <w:bCs/>
          <w:sz w:val="28"/>
          <w:szCs w:val="28"/>
        </w:rPr>
      </w:pPr>
      <w:r>
        <w:rPr>
          <w:b/>
          <w:bCs/>
          <w:sz w:val="28"/>
          <w:szCs w:val="28"/>
        </w:rPr>
        <w:br w:type="page" w:clear="all"/>
      </w:r>
      <w:bookmarkStart w:id="52" w:name="_Toc8423"/>
      <w:r>
        <w:rPr>
          <w:b/>
          <w:bCs/>
          <w:szCs w:val="21"/>
        </w:rPr>
        <w:t xml:space="preserve">一、总则</w:t>
      </w:r>
      <w:bookmarkEnd w:id="52"/>
      <w:r/>
      <w:r/>
    </w:p>
    <w:p>
      <w:pPr>
        <w:ind w:firstLine="420"/>
        <w:spacing w:line="360" w:lineRule="auto"/>
        <w:rPr>
          <w:b/>
          <w:szCs w:val="21"/>
          <w:lang w:val="zh-CN"/>
        </w:rPr>
      </w:pPr>
      <w:r/>
      <w:bookmarkStart w:id="53" w:name="_Toc231820594"/>
      <w:r>
        <w:rPr>
          <w:b/>
          <w:bCs/>
          <w:szCs w:val="21"/>
          <w:lang w:val="zh-CN"/>
        </w:rPr>
        <w:t xml:space="preserve">1.</w:t>
      </w:r>
      <w:r>
        <w:rPr>
          <w:b/>
          <w:szCs w:val="21"/>
          <w:lang w:val="zh-CN"/>
        </w:rPr>
        <w:t xml:space="preserve">适用法律</w:t>
      </w:r>
      <w:bookmarkEnd w:id="53"/>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4" w:name="_Toc231820595"/>
      <w:r>
        <w:rPr>
          <w:b/>
          <w:bCs/>
          <w:szCs w:val="21"/>
          <w:lang w:val="zh-CN"/>
        </w:rPr>
        <w:t xml:space="preserve">2.</w:t>
      </w:r>
      <w:r>
        <w:rPr>
          <w:b/>
          <w:szCs w:val="21"/>
          <w:lang w:val="zh-CN"/>
        </w:rPr>
        <w:t xml:space="preserve">定义</w:t>
      </w:r>
      <w:bookmarkEnd w:id="54"/>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5" w:name="_Toc231820596"/>
      <w:r>
        <w:rPr>
          <w:b/>
          <w:bCs/>
          <w:szCs w:val="21"/>
          <w:lang w:val="zh-CN"/>
        </w:rPr>
        <w:t xml:space="preserve">3.</w:t>
      </w:r>
      <w:r>
        <w:rPr>
          <w:b/>
          <w:szCs w:val="21"/>
          <w:lang w:val="zh-CN"/>
        </w:rPr>
        <w:t xml:space="preserve">政策功能</w:t>
      </w:r>
      <w:bookmarkEnd w:id="55"/>
      <w:r/>
      <w:r/>
    </w:p>
    <w:p>
      <w:pPr>
        <w:ind w:firstLine="422"/>
        <w:spacing w:line="360" w:lineRule="auto"/>
        <w:rPr>
          <w:bCs/>
          <w:szCs w:val="21"/>
        </w:rPr>
      </w:pPr>
      <w:r>
        <w:rPr>
          <w:b/>
          <w:szCs w:val="21"/>
        </w:rPr>
        <w:t xml:space="preserve"> </w:t>
      </w:r>
      <w:r>
        <w:rPr>
          <w:bCs/>
          <w:szCs w:val="21"/>
        </w:rPr>
        <w:t xml:space="preserve">3.1 促进中小企业发展政策</w:t>
      </w:r>
      <w:r/>
    </w:p>
    <w:p>
      <w:pPr>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 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szCs w:val="21"/>
        </w:rPr>
      </w:pPr>
      <w:r>
        <w:rPr>
          <w:szCs w:val="21"/>
        </w:rPr>
        <w:t xml:space="preserve">3.3 采购本国产品的支持政策</w:t>
      </w:r>
      <w:r/>
    </w:p>
    <w:p>
      <w:pPr>
        <w:ind w:firstLine="420"/>
        <w:spacing w:line="360" w:lineRule="auto"/>
        <w:rPr>
          <w:szCs w:val="21"/>
        </w:rPr>
      </w:pPr>
      <w:r>
        <w:rPr>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szCs w:val="21"/>
        </w:rPr>
      </w:pPr>
      <w:r>
        <w:rPr>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rPr>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具体内容如下：</w:t>
      </w:r>
      <w:r/>
    </w:p>
    <w:p>
      <w:pPr>
        <w:ind w:firstLine="420"/>
        <w:spacing w:line="360" w:lineRule="auto"/>
        <w:rPr>
          <w:szCs w:val="21"/>
        </w:rPr>
      </w:pPr>
      <w:r>
        <w:rPr>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szCs w:val="21"/>
        </w:rPr>
      </w:pPr>
      <w:r>
        <w:rPr>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3.3.3 供应商需按照招标文件的要求提供《关于符合本国产品标准的声明函》（以下简称《声明函》），如不提供将不享受本国产品价格评审优惠。</w:t>
      </w:r>
      <w:r/>
    </w:p>
    <w:p>
      <w:pPr>
        <w:ind w:firstLine="420"/>
        <w:spacing w:line="360" w:lineRule="auto"/>
        <w:rPr>
          <w:szCs w:val="21"/>
        </w:rPr>
      </w:pPr>
      <w:r>
        <w:rPr>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szCs w:val="21"/>
        </w:rPr>
      </w:pPr>
      <w:r>
        <w:rPr>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b/>
          <w:bCs/>
          <w:szCs w:val="21"/>
        </w:rPr>
      </w:pPr>
      <w:r>
        <w:rPr>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3.7 为推进社会诚信体系建设，根据财政部等政策要求，在政府采购活动中查询、使用信用记录，推进政府采购领域联合惩戒工作。</w:t>
      </w:r>
      <w:r/>
    </w:p>
    <w:p>
      <w:pPr>
        <w:ind w:firstLine="420"/>
        <w:spacing w:line="360" w:lineRule="auto"/>
        <w:rPr>
          <w:bCs/>
          <w:szCs w:val="21"/>
        </w:rPr>
      </w:pPr>
      <w:r/>
      <w:bookmarkStart w:id="56" w:name="_Toc231820597"/>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6"/>
      <w:r/>
      <w:r/>
    </w:p>
    <w:p>
      <w:pPr>
        <w:ind w:firstLine="420"/>
        <w:spacing w:line="360" w:lineRule="auto"/>
        <w:rPr>
          <w:b/>
          <w:szCs w:val="21"/>
          <w:lang w:val="zh-CN"/>
        </w:rPr>
      </w:pPr>
      <w:r/>
      <w:bookmarkStart w:id="57" w:name="_Toc231820598"/>
      <w:r>
        <w:rPr>
          <w:b/>
          <w:bCs/>
          <w:szCs w:val="21"/>
          <w:lang w:val="zh-CN"/>
        </w:rPr>
        <w:t xml:space="preserve">4.</w:t>
      </w:r>
      <w:r>
        <w:rPr>
          <w:b/>
          <w:szCs w:val="21"/>
          <w:lang w:val="zh-CN"/>
        </w:rPr>
        <w:t xml:space="preserve">投标费用</w:t>
      </w:r>
      <w:bookmarkEnd w:id="57"/>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58" w:name="_Toc231820599"/>
      <w:r>
        <w:rPr>
          <w:b/>
          <w:bCs/>
          <w:szCs w:val="21"/>
          <w:lang w:val="zh-CN"/>
        </w:rPr>
        <w:t xml:space="preserve">5.</w:t>
      </w:r>
      <w:r>
        <w:rPr>
          <w:b/>
          <w:szCs w:val="21"/>
          <w:lang w:val="zh-CN"/>
        </w:rPr>
        <w:t xml:space="preserve">招标文件的约束力</w:t>
      </w:r>
      <w:bookmarkEnd w:id="58"/>
      <w:r/>
      <w:r/>
    </w:p>
    <w:p>
      <w:pPr>
        <w:ind w:firstLine="420"/>
        <w:spacing w:line="360" w:lineRule="auto"/>
        <w:rPr>
          <w:szCs w:val="21"/>
        </w:rPr>
      </w:pPr>
      <w:r>
        <w:rPr>
          <w:szCs w:val="21"/>
        </w:rPr>
        <w:t xml:space="preserve">5.1 供应商一旦参加本项目采购活动，即被认为接受了本招标文件的规定和约束。</w:t>
      </w:r>
      <w:r/>
    </w:p>
    <w:p>
      <w:pPr>
        <w:spacing w:line="360" w:lineRule="auto"/>
        <w:shd w:val="clear" w:color="auto" w:fill="ffffff"/>
        <w:widowControl/>
        <w:rPr>
          <w:b/>
          <w:bCs/>
          <w:szCs w:val="21"/>
        </w:rPr>
        <w:outlineLvl w:val="1"/>
      </w:pPr>
      <w:r/>
      <w:bookmarkStart w:id="59" w:name="_Toc31227"/>
      <w:r>
        <w:rPr>
          <w:b/>
          <w:bCs/>
          <w:szCs w:val="21"/>
        </w:rPr>
        <w:t xml:space="preserve">二、招标文件</w:t>
      </w:r>
      <w:bookmarkEnd w:id="59"/>
      <w:r/>
      <w:r/>
    </w:p>
    <w:p>
      <w:pPr>
        <w:ind w:firstLine="420"/>
        <w:spacing w:line="360" w:lineRule="auto"/>
        <w:rPr>
          <w:b/>
          <w:szCs w:val="21"/>
          <w:lang w:val="zh-CN"/>
        </w:rPr>
      </w:pPr>
      <w:r/>
      <w:bookmarkStart w:id="60" w:name="_Toc231820601"/>
      <w:r>
        <w:rPr>
          <w:b/>
          <w:bCs/>
          <w:szCs w:val="21"/>
          <w:lang w:val="zh-CN"/>
        </w:rPr>
        <w:t xml:space="preserve">6.</w:t>
      </w:r>
      <w:r>
        <w:rPr>
          <w:b/>
          <w:szCs w:val="21"/>
          <w:lang w:val="zh-CN"/>
        </w:rPr>
        <w:t xml:space="preserve">招标文件构成</w:t>
      </w:r>
      <w:bookmarkEnd w:id="60"/>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ind w:firstLine="420"/>
        <w:spacing w:line="360" w:lineRule="auto"/>
        <w:rPr>
          <w:b/>
          <w:szCs w:val="21"/>
          <w:lang w:val="zh-CN"/>
        </w:rPr>
      </w:pPr>
      <w:r/>
      <w:bookmarkStart w:id="61" w:name="_Toc231820602"/>
      <w:r>
        <w:rPr>
          <w:b/>
          <w:szCs w:val="21"/>
          <w:lang w:val="zh-CN"/>
        </w:rPr>
        <w:t xml:space="preserve">7.招标文件的澄清、补充或修改</w:t>
      </w:r>
      <w:bookmarkEnd w:id="61"/>
      <w:r/>
      <w:r/>
    </w:p>
    <w:p>
      <w:pPr>
        <w:ind w:firstLine="441"/>
        <w:spacing w:line="360" w:lineRule="auto"/>
        <w:rPr>
          <w:szCs w:val="21"/>
        </w:rPr>
      </w:pPr>
      <w:r>
        <w:rPr>
          <w:szCs w:val="21"/>
        </w:rPr>
        <w:t xml:space="preserve">7.1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spacing w:line="360" w:lineRule="auto"/>
        <w:shd w:val="clear" w:color="auto" w:fill="ffffff"/>
        <w:widowControl/>
        <w:rPr>
          <w:b/>
          <w:bCs/>
          <w:szCs w:val="21"/>
        </w:rPr>
        <w:outlineLvl w:val="1"/>
      </w:pPr>
      <w:r/>
      <w:bookmarkStart w:id="62" w:name="_Toc31223"/>
      <w:r>
        <w:rPr>
          <w:b/>
          <w:bCs/>
          <w:szCs w:val="21"/>
        </w:rPr>
        <w:t xml:space="preserve">三、投标文件的编制</w:t>
      </w:r>
      <w:bookmarkEnd w:id="62"/>
      <w:r/>
      <w:r/>
    </w:p>
    <w:p>
      <w:pPr>
        <w:ind w:firstLine="420"/>
        <w:spacing w:line="360" w:lineRule="auto"/>
        <w:rPr>
          <w:b/>
          <w:szCs w:val="21"/>
          <w:lang w:val="zh-CN"/>
        </w:rPr>
      </w:pPr>
      <w:r/>
      <w:bookmarkStart w:id="63" w:name="_Toc231820604"/>
      <w:r>
        <w:rPr>
          <w:b/>
          <w:szCs w:val="21"/>
          <w:lang w:val="zh-CN"/>
        </w:rPr>
        <w:t xml:space="preserve">8.投标文件的语言、计量单位、货币</w:t>
      </w:r>
      <w:bookmarkEnd w:id="63"/>
      <w:r/>
      <w:r/>
    </w:p>
    <w:p>
      <w:pPr>
        <w:ind w:firstLine="441"/>
        <w:spacing w:line="360" w:lineRule="auto"/>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除招标文件中有特殊要求外，招标文件中所使用的计量单位应为国家法定计量单位。</w:t>
      </w:r>
      <w:r/>
    </w:p>
    <w:p>
      <w:pPr>
        <w:ind w:firstLine="441"/>
        <w:spacing w:line="360" w:lineRule="auto"/>
        <w:rPr>
          <w:szCs w:val="21"/>
        </w:rPr>
      </w:pPr>
      <w:r>
        <w:rPr>
          <w:szCs w:val="21"/>
        </w:rPr>
        <w:t xml:space="preserve">8.4 本招标文件所表述的时间均为北京时间。</w:t>
      </w:r>
      <w:r/>
    </w:p>
    <w:p>
      <w:pPr>
        <w:ind w:firstLine="441"/>
        <w:spacing w:line="360" w:lineRule="auto"/>
        <w:rPr>
          <w:szCs w:val="21"/>
        </w:rPr>
      </w:pPr>
      <w:r>
        <w:rPr>
          <w:szCs w:val="21"/>
        </w:rPr>
        <w:t xml:space="preserve">8.5 所有投标投标报价具体详见投标人须知前附表。</w:t>
      </w:r>
      <w:r/>
    </w:p>
    <w:p>
      <w:pPr>
        <w:ind w:firstLine="420"/>
        <w:spacing w:line="360" w:lineRule="auto"/>
        <w:rPr>
          <w:b/>
          <w:szCs w:val="21"/>
          <w:lang w:val="zh-CN"/>
        </w:rPr>
      </w:pPr>
      <w:r/>
      <w:bookmarkStart w:id="64" w:name="_Toc231820605"/>
      <w:r>
        <w:rPr>
          <w:b/>
          <w:szCs w:val="21"/>
          <w:lang w:val="zh-CN"/>
        </w:rPr>
        <w:t xml:space="preserve">9.联合体（根据采购项目是否接受联合体投标而定）</w:t>
      </w:r>
      <w:bookmarkEnd w:id="64"/>
      <w:r/>
      <w:r/>
    </w:p>
    <w:p>
      <w:pPr>
        <w:ind w:firstLine="441"/>
        <w:spacing w:line="360" w:lineRule="auto"/>
        <w:rPr>
          <w:szCs w:val="21"/>
        </w:rPr>
      </w:pPr>
      <w:r>
        <w:rPr>
          <w:szCs w:val="21"/>
        </w:rPr>
        <w:t xml:space="preserve">9.1两个以上的自然人、法人或者其他组织可以组成一个联合体，以一个供应商的身份共同参加政府采购。</w:t>
      </w:r>
      <w:r/>
    </w:p>
    <w:p>
      <w:pPr>
        <w:ind w:firstLine="441"/>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w:t>
      </w:r>
      <w:r>
        <w:rPr>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5" w:name="_Toc231820606"/>
      <w:r>
        <w:rPr>
          <w:b/>
          <w:szCs w:val="21"/>
          <w:lang w:val="zh-CN"/>
        </w:rPr>
        <w:t xml:space="preserve">10.投标文件的组成（相应内容上传至投标客户端，并签电子公章）</w:t>
      </w:r>
      <w:bookmarkEnd w:id="65"/>
      <w:r/>
      <w:r/>
    </w:p>
    <w:p>
      <w:pPr>
        <w:ind w:firstLine="441"/>
        <w:spacing w:line="360" w:lineRule="auto"/>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投标文件由商务部分、技术部分以及其他部分组成。</w:t>
      </w:r>
      <w:r/>
    </w:p>
    <w:p>
      <w:pPr>
        <w:ind w:firstLine="441"/>
        <w:spacing w:line="360" w:lineRule="auto"/>
        <w:rPr>
          <w:szCs w:val="21"/>
        </w:rPr>
      </w:pPr>
      <w:r>
        <w:rPr>
          <w:szCs w:val="21"/>
        </w:rPr>
        <w:t xml:space="preserve">10.3 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41"/>
        <w:spacing w:line="360" w:lineRule="auto"/>
        <w:rPr>
          <w:szCs w:val="21"/>
        </w:rPr>
      </w:pPr>
      <w:r>
        <w:rPr>
          <w:szCs w:val="21"/>
        </w:rPr>
        <w:t xml:space="preserve">（1）※ 投标函（投标申请及声明）；</w:t>
      </w:r>
      <w:r/>
    </w:p>
    <w:p>
      <w:pPr>
        <w:ind w:firstLine="441"/>
        <w:spacing w:line="360" w:lineRule="auto"/>
        <w:rPr>
          <w:szCs w:val="21"/>
        </w:rPr>
      </w:pPr>
      <w:r>
        <w:rPr>
          <w:szCs w:val="21"/>
        </w:rPr>
        <w:t xml:space="preserve">（2）※法人代表授权书（原件）及法定代表人、授权代表身份证复印件； </w:t>
      </w:r>
      <w:r/>
    </w:p>
    <w:p>
      <w:pPr>
        <w:ind w:firstLine="441"/>
        <w:spacing w:line="360" w:lineRule="auto"/>
        <w:rPr>
          <w:szCs w:val="21"/>
        </w:rPr>
      </w:pPr>
      <w:r>
        <w:rPr>
          <w:szCs w:val="21"/>
        </w:rPr>
        <w:t xml:space="preserve">（3）※投标人资格条件证明文件；</w:t>
      </w:r>
      <w:r/>
    </w:p>
    <w:p>
      <w:pPr>
        <w:ind w:firstLine="441"/>
        <w:spacing w:line="360" w:lineRule="auto"/>
        <w:rPr>
          <w:szCs w:val="21"/>
        </w:rPr>
      </w:pPr>
      <w:r>
        <w:rPr>
          <w:szCs w:val="21"/>
        </w:rPr>
        <w:t xml:space="preserve">（4）※开标一览表（格式见附件）</w:t>
      </w:r>
      <w:r/>
    </w:p>
    <w:p>
      <w:pPr>
        <w:ind w:firstLine="441"/>
        <w:spacing w:line="360" w:lineRule="auto"/>
        <w:rPr>
          <w:szCs w:val="21"/>
        </w:rPr>
      </w:pPr>
      <w:r>
        <w:rPr>
          <w:szCs w:val="21"/>
        </w:rPr>
        <w:t xml:space="preserve">1）价格部分是对投标价格构成的说明，招标文件如没有特别说明的话，对每一项产品/服务仅接受一个价格。</w:t>
      </w:r>
      <w:r/>
    </w:p>
    <w:p>
      <w:pPr>
        <w:ind w:firstLine="441"/>
        <w:spacing w:line="360" w:lineRule="auto"/>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（5）《商务条款偏离表》；</w:t>
      </w:r>
      <w:r/>
    </w:p>
    <w:p>
      <w:pPr>
        <w:ind w:firstLine="441"/>
        <w:spacing w:line="360" w:lineRule="auto"/>
        <w:rPr>
          <w:szCs w:val="21"/>
        </w:rPr>
      </w:pPr>
      <w:r>
        <w:rPr>
          <w:szCs w:val="21"/>
        </w:rPr>
        <w:t xml:space="preserve">（6）《南京市政府采购供应商信用记录表》（如招标公告中要求提供）；</w:t>
      </w:r>
      <w:r/>
    </w:p>
    <w:p>
      <w:pPr>
        <w:ind w:firstLine="441"/>
        <w:spacing w:line="360" w:lineRule="auto"/>
        <w:rPr>
          <w:szCs w:val="21"/>
        </w:rPr>
      </w:pPr>
      <w:r>
        <w:rPr>
          <w:szCs w:val="21"/>
        </w:rPr>
        <w:t xml:space="preserve">（7）※分项报价表（格式见附件）；</w:t>
      </w:r>
      <w:r/>
    </w:p>
    <w:p>
      <w:pPr>
        <w:ind w:firstLine="441"/>
        <w:spacing w:line="360" w:lineRule="auto"/>
        <w:rPr>
          <w:szCs w:val="21"/>
        </w:rPr>
      </w:pPr>
      <w:r>
        <w:rPr>
          <w:szCs w:val="21"/>
        </w:rPr>
        <w:t xml:space="preserve">（8）第三章评标标准中对应的其它所需证明材料（如有自行添加）；</w:t>
      </w:r>
      <w:r/>
    </w:p>
    <w:p>
      <w:pPr>
        <w:ind w:firstLine="441"/>
        <w:spacing w:line="360" w:lineRule="auto"/>
        <w:rPr>
          <w:szCs w:val="21"/>
        </w:rPr>
      </w:pPr>
      <w:r>
        <w:rPr>
          <w:szCs w:val="21"/>
        </w:rPr>
        <w:t xml:space="preserve">（9）要求采购人提供的配合（如有自拟并自行添加）；</w:t>
      </w:r>
      <w:r/>
    </w:p>
    <w:p>
      <w:pPr>
        <w:ind w:firstLine="441"/>
        <w:spacing w:line="360" w:lineRule="auto"/>
        <w:rPr>
          <w:szCs w:val="21"/>
        </w:rPr>
      </w:pPr>
      <w:r>
        <w:rPr>
          <w:szCs w:val="21"/>
        </w:rPr>
        <w:t xml:space="preserve">（10）供应商认为需要提供的其他资格证明文件和商务资料。</w:t>
      </w:r>
      <w:r/>
    </w:p>
    <w:p>
      <w:pPr>
        <w:ind w:firstLine="441"/>
        <w:spacing w:line="360" w:lineRule="auto"/>
        <w:rPr>
          <w:szCs w:val="21"/>
        </w:rPr>
      </w:pPr>
      <w:r>
        <w:rPr>
          <w:szCs w:val="21"/>
        </w:rPr>
        <w:t xml:space="preserve">10.4 投标文件的技术部分：</w:t>
      </w:r>
      <w:r/>
    </w:p>
    <w:p>
      <w:pPr>
        <w:ind w:firstLine="441"/>
        <w:spacing w:line="360" w:lineRule="auto"/>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41"/>
        <w:spacing w:line="360" w:lineRule="auto"/>
        <w:rPr>
          <w:szCs w:val="21"/>
        </w:rPr>
      </w:pPr>
      <w:r>
        <w:rPr>
          <w:szCs w:val="21"/>
        </w:rPr>
        <w:t xml:space="preserve">（1） 货物、服务内容的详细说明；</w:t>
      </w:r>
      <w:r/>
    </w:p>
    <w:p>
      <w:pPr>
        <w:ind w:firstLine="441"/>
        <w:spacing w:line="360" w:lineRule="auto"/>
        <w:rPr>
          <w:szCs w:val="21"/>
        </w:rPr>
      </w:pPr>
      <w:r>
        <w:rPr>
          <w:szCs w:val="21"/>
        </w:rPr>
        <w:t xml:space="preserve">（2）※《技术条款偏离表》；</w:t>
      </w:r>
      <w:r/>
    </w:p>
    <w:p>
      <w:pPr>
        <w:ind w:firstLine="441"/>
        <w:spacing w:line="360" w:lineRule="auto"/>
        <w:rPr>
          <w:szCs w:val="21"/>
        </w:rPr>
      </w:pPr>
      <w:r>
        <w:rPr>
          <w:szCs w:val="21"/>
        </w:rPr>
        <w:t xml:space="preserve">（3）投标产品配置清单及技术说明；</w:t>
      </w:r>
      <w:r/>
    </w:p>
    <w:p>
      <w:pPr>
        <w:ind w:firstLine="441"/>
        <w:spacing w:line="360" w:lineRule="auto"/>
        <w:rPr>
          <w:szCs w:val="21"/>
        </w:rPr>
      </w:pPr>
      <w:r>
        <w:rPr>
          <w:szCs w:val="21"/>
        </w:rPr>
        <w:t xml:space="preserve">（4）货物安装、验收标准、货物技术资料；</w:t>
      </w:r>
      <w:r/>
    </w:p>
    <w:p>
      <w:pPr>
        <w:ind w:firstLine="441"/>
        <w:spacing w:line="360" w:lineRule="auto"/>
        <w:rPr>
          <w:szCs w:val="21"/>
        </w:rPr>
      </w:pPr>
      <w:r>
        <w:rPr>
          <w:szCs w:val="21"/>
        </w:rPr>
        <w:t xml:space="preserve">（5）项目集成（实施）方案；</w:t>
      </w:r>
      <w:r/>
    </w:p>
    <w:p>
      <w:pPr>
        <w:ind w:firstLine="441"/>
        <w:spacing w:line="360" w:lineRule="auto"/>
        <w:rPr>
          <w:szCs w:val="21"/>
        </w:rPr>
      </w:pPr>
      <w:r>
        <w:rPr>
          <w:szCs w:val="21"/>
        </w:rPr>
        <w:t xml:space="preserve">（6）服务承诺；</w:t>
      </w:r>
      <w:r/>
    </w:p>
    <w:p>
      <w:pPr>
        <w:ind w:firstLine="441"/>
        <w:spacing w:line="360" w:lineRule="auto"/>
        <w:rPr>
          <w:szCs w:val="21"/>
        </w:rPr>
      </w:pPr>
      <w:r>
        <w:rPr>
          <w:szCs w:val="21"/>
        </w:rPr>
        <w:t xml:space="preserve">（7）供应商认为需要提供的其他技术资料。</w:t>
      </w:r>
      <w:r/>
    </w:p>
    <w:p>
      <w:pPr>
        <w:ind w:firstLine="441"/>
        <w:spacing w:line="360" w:lineRule="auto"/>
        <w:rPr>
          <w:szCs w:val="21"/>
        </w:rPr>
      </w:pPr>
      <w:r>
        <w:rPr>
          <w:szCs w:val="21"/>
        </w:rPr>
        <w:t xml:space="preserve">10.5 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6" w:name="_Toc231820607"/>
      <w:r>
        <w:rPr>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6"/>
      <w:r/>
      <w:r/>
    </w:p>
    <w:p>
      <w:pPr>
        <w:ind w:firstLine="420"/>
        <w:spacing w:line="360" w:lineRule="auto"/>
        <w:rPr>
          <w:b/>
          <w:szCs w:val="21"/>
          <w:lang w:val="zh-CN"/>
        </w:rPr>
      </w:pPr>
      <w:r/>
      <w:bookmarkStart w:id="67" w:name="_Toc231820608"/>
      <w:r>
        <w:rPr>
          <w:b/>
          <w:szCs w:val="21"/>
          <w:lang w:val="zh-CN"/>
        </w:rPr>
        <w:t xml:space="preserve">11.投标文件的有效期</w:t>
      </w:r>
      <w:bookmarkEnd w:id="67"/>
      <w:r/>
      <w:r/>
    </w:p>
    <w:p>
      <w:pPr>
        <w:ind w:firstLine="441"/>
        <w:spacing w:line="360" w:lineRule="auto"/>
        <w:rPr>
          <w:szCs w:val="21"/>
        </w:rPr>
      </w:pPr>
      <w:r>
        <w:rPr>
          <w:szCs w:val="21"/>
        </w:rPr>
        <w:t xml:space="preserve">11.1自开标之日起90天内，投标文件应保持有效，有效期短于此规定的投标文件将视为无效。</w:t>
      </w:r>
      <w:r/>
    </w:p>
    <w:p>
      <w:pPr>
        <w:ind w:firstLine="441"/>
        <w:spacing w:line="360" w:lineRule="auto"/>
        <w:rPr>
          <w:szCs w:val="21"/>
        </w:rPr>
      </w:pPr>
      <w:r>
        <w:rPr>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68" w:name="_Toc231820609"/>
      <w:r>
        <w:rPr>
          <w:b/>
          <w:szCs w:val="21"/>
          <w:lang w:val="zh-CN"/>
        </w:rPr>
        <w:t xml:space="preserve">12.投标文件的签署及其形式</w:t>
      </w:r>
      <w:bookmarkEnd w:id="68"/>
      <w:r/>
      <w:r/>
    </w:p>
    <w:p>
      <w:pPr>
        <w:ind w:firstLine="441"/>
        <w:spacing w:line="360" w:lineRule="auto"/>
        <w:rPr>
          <w:szCs w:val="21"/>
        </w:rPr>
      </w:pPr>
      <w:r>
        <w:rPr>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41"/>
        <w:spacing w:line="360" w:lineRule="auto"/>
        <w:rPr>
          <w:szCs w:val="21"/>
        </w:rPr>
      </w:pPr>
      <w:r>
        <w:rPr>
          <w:szCs w:val="21"/>
        </w:rPr>
        <w:t xml:space="preserve">12.2 投标人应对 CA 证书妥善保管，如被他人盗用投标，因此带来的结果均由投标人自行承担。</w:t>
      </w:r>
      <w:r/>
    </w:p>
    <w:p>
      <w:pPr>
        <w:ind w:firstLine="441"/>
        <w:spacing w:line="360" w:lineRule="auto"/>
        <w:rPr>
          <w:szCs w:val="21"/>
        </w:rPr>
      </w:pPr>
      <w:r>
        <w:rPr>
          <w:szCs w:val="21"/>
        </w:rPr>
        <w:t xml:space="preserve">12.3 投标人应当对招标文件提出的要求和条件作出实质性响应，并在电子投标系统逐条应答。</w:t>
      </w:r>
      <w:r/>
    </w:p>
    <w:p>
      <w:pPr>
        <w:ind w:firstLine="441"/>
        <w:spacing w:line="360" w:lineRule="auto"/>
        <w:rPr>
          <w:szCs w:val="21"/>
        </w:rPr>
      </w:pPr>
      <w:r>
        <w:rPr>
          <w:szCs w:val="21"/>
        </w:rPr>
        <w:t xml:space="preserve">12.4 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69" w:name="_Toc1737"/>
      <w:r>
        <w:rPr>
          <w:b/>
          <w:bCs/>
          <w:szCs w:val="21"/>
        </w:rPr>
        <w:t xml:space="preserve">四、投标文件的递交</w:t>
      </w:r>
      <w:bookmarkEnd w:id="69"/>
      <w:r/>
      <w:r/>
    </w:p>
    <w:p>
      <w:pPr>
        <w:ind w:firstLine="420"/>
        <w:spacing w:line="360" w:lineRule="auto"/>
        <w:rPr>
          <w:bCs/>
          <w:szCs w:val="21"/>
        </w:rPr>
      </w:pPr>
      <w:r>
        <w:rPr>
          <w:bCs/>
          <w:szCs w:val="21"/>
        </w:rPr>
        <w:t xml:space="preserve">13.电子投标文件的递交</w:t>
      </w:r>
      <w:r/>
    </w:p>
    <w:p>
      <w:pPr>
        <w:ind w:firstLine="420"/>
        <w:spacing w:line="360" w:lineRule="auto"/>
        <w:rPr>
          <w:bCs/>
          <w:szCs w:val="21"/>
        </w:rPr>
      </w:pPr>
      <w:r>
        <w:rPr>
          <w:bCs/>
          <w:szCs w:val="21"/>
        </w:rPr>
        <w:t xml:space="preserve">13.1 投标人应当按照规定，在投标截止时间前制作并上传电子投标文件。</w:t>
      </w:r>
      <w:r/>
    </w:p>
    <w:p>
      <w:pPr>
        <w:ind w:firstLine="420"/>
        <w:spacing w:line="360" w:lineRule="auto"/>
        <w:rPr>
          <w:bCs/>
          <w:szCs w:val="21"/>
        </w:rPr>
      </w:pPr>
      <w:r>
        <w:rPr>
          <w:bCs/>
          <w:szCs w:val="21"/>
        </w:rPr>
        <w:t xml:space="preserve">14.投标截止日期</w:t>
      </w:r>
      <w:r/>
    </w:p>
    <w:p>
      <w:pPr>
        <w:ind w:firstLine="420"/>
        <w:spacing w:line="360" w:lineRule="auto"/>
        <w:rPr>
          <w:bCs/>
          <w:szCs w:val="21"/>
        </w:rPr>
      </w:pPr>
      <w:r>
        <w:rPr>
          <w:bCs/>
          <w:szCs w:val="21"/>
        </w:rPr>
        <w:t xml:space="preserve">14.1 投标人上传电子投标文件的时间不得迟于招标公告中规定的投标截止时间。</w:t>
      </w:r>
      <w:r/>
    </w:p>
    <w:p>
      <w:pPr>
        <w:ind w:firstLine="420"/>
        <w:spacing w:line="360" w:lineRule="auto"/>
        <w:rPr>
          <w:bCs/>
          <w:szCs w:val="21"/>
        </w:rPr>
      </w:pPr>
      <w:r>
        <w:rPr>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bCs/>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b/>
          <w:bCs/>
          <w:color w:val="000000"/>
          <w:szCs w:val="21"/>
        </w:rPr>
      </w:pPr>
      <w:r/>
      <w:bookmarkStart w:id="70" w:name="_Toc513029227"/>
      <w:r/>
      <w:bookmarkStart w:id="71" w:name="_Toc20823299"/>
      <w:r/>
      <w:bookmarkStart w:id="72" w:name="_Toc16938543"/>
      <w:r>
        <w:rPr>
          <w:b/>
          <w:bCs/>
          <w:color w:val="000000"/>
          <w:szCs w:val="21"/>
        </w:rPr>
        <w:t xml:space="preserve">15.投标文件</w:t>
      </w:r>
      <w:bookmarkEnd w:id="70"/>
      <w:r/>
      <w:bookmarkEnd w:id="71"/>
      <w:r/>
      <w:bookmarkEnd w:id="72"/>
      <w:r>
        <w:rPr>
          <w:b/>
          <w:bCs/>
          <w:color w:val="000000"/>
          <w:szCs w:val="21"/>
        </w:rPr>
        <w:t xml:space="preserve">的拒收</w:t>
      </w:r>
      <w:r/>
    </w:p>
    <w:p>
      <w:pPr>
        <w:ind w:firstLine="420"/>
        <w:spacing w:line="360" w:lineRule="auto"/>
        <w:shd w:val="clear" w:color="auto" w:fill="ffffff"/>
        <w:widowControl/>
        <w:rPr>
          <w:color w:val="000000"/>
          <w:szCs w:val="21"/>
        </w:rPr>
      </w:pPr>
      <w:r>
        <w:rPr>
          <w:color w:val="000000"/>
          <w:szCs w:val="21"/>
        </w:rPr>
        <w:t xml:space="preserve">15.1 采购人及采购代理机构拒绝接收在其规定的投标截止时间后上传的任何投标文件。</w:t>
      </w:r>
      <w:r/>
    </w:p>
    <w:p>
      <w:pPr>
        <w:ind w:firstLine="422"/>
        <w:spacing w:line="360" w:lineRule="auto"/>
        <w:shd w:val="clear" w:color="auto" w:fill="ffffff"/>
        <w:widowControl/>
        <w:rPr>
          <w:b/>
          <w:bCs/>
          <w:color w:val="000000"/>
          <w:szCs w:val="21"/>
        </w:rPr>
      </w:pPr>
      <w:r/>
      <w:bookmarkStart w:id="73" w:name="_Toc16938544"/>
      <w:r/>
      <w:bookmarkStart w:id="74" w:name="_Toc20823300"/>
      <w:r/>
      <w:bookmarkStart w:id="75" w:name="_Toc513029228"/>
      <w:r>
        <w:rPr>
          <w:b/>
          <w:bCs/>
          <w:color w:val="000000"/>
          <w:szCs w:val="21"/>
        </w:rPr>
        <w:t xml:space="preserve">16.投标文件的撤回和修改</w:t>
      </w:r>
      <w:bookmarkEnd w:id="73"/>
      <w:r/>
      <w:bookmarkEnd w:id="74"/>
      <w:r/>
      <w:bookmarkEnd w:id="75"/>
      <w:r/>
      <w:r/>
    </w:p>
    <w:p>
      <w:pPr>
        <w:ind w:firstLine="420"/>
        <w:spacing w:line="360" w:lineRule="auto"/>
        <w:shd w:val="clear" w:color="auto" w:fill="ffffff"/>
        <w:widowControl/>
        <w:rPr>
          <w:color w:val="000000"/>
          <w:szCs w:val="21"/>
        </w:rPr>
      </w:pPr>
      <w:r>
        <w:rPr>
          <w:color w:val="000000"/>
          <w:szCs w:val="21"/>
        </w:rPr>
        <w:t xml:space="preserve">16.1 投标文件的撤回</w:t>
      </w:r>
      <w:r/>
    </w:p>
    <w:p>
      <w:pPr>
        <w:ind w:firstLine="420"/>
        <w:spacing w:line="360" w:lineRule="auto"/>
        <w:shd w:val="clear" w:color="auto" w:fill="ffffff"/>
        <w:widowControl/>
        <w:rPr>
          <w:color w:val="000000"/>
          <w:szCs w:val="21"/>
        </w:rPr>
      </w:pPr>
      <w:r>
        <w:rPr>
          <w:color w:val="000000"/>
          <w:szCs w:val="21"/>
        </w:rPr>
        <w:t xml:space="preserve">16.1.1 电子投标文件的撤回</w:t>
      </w:r>
      <w:r/>
    </w:p>
    <w:p>
      <w:pPr>
        <w:ind w:firstLine="420"/>
        <w:spacing w:line="360" w:lineRule="auto"/>
        <w:shd w:val="clear" w:color="auto" w:fill="ffffff"/>
        <w:widowControl/>
        <w:rPr>
          <w:color w:val="000000"/>
          <w:szCs w:val="21"/>
        </w:rPr>
      </w:pPr>
      <w:r>
        <w:rPr>
          <w:color w:val="000000"/>
          <w:szCs w:val="21"/>
        </w:rPr>
        <w:t xml:space="preserve">投标人可在投标截止时间前，撤回其电子投标文件。</w:t>
      </w:r>
      <w:r/>
    </w:p>
    <w:p>
      <w:pPr>
        <w:ind w:firstLine="420"/>
        <w:spacing w:line="360" w:lineRule="auto"/>
        <w:shd w:val="clear" w:color="auto" w:fill="ffffff"/>
        <w:widowControl/>
        <w:rPr>
          <w:color w:val="000000"/>
          <w:szCs w:val="21"/>
        </w:rPr>
      </w:pPr>
      <w:r>
        <w:rPr>
          <w:color w:val="000000"/>
          <w:szCs w:val="21"/>
        </w:rPr>
        <w:t xml:space="preserve">16.1.2 投标人撤回电子投标文件，则认为其不再参与本项目投标活动。</w:t>
      </w:r>
      <w:r/>
    </w:p>
    <w:p>
      <w:pPr>
        <w:ind w:firstLine="420"/>
        <w:spacing w:line="360" w:lineRule="auto"/>
        <w:shd w:val="clear" w:color="auto" w:fill="ffffff"/>
        <w:widowControl/>
        <w:rPr>
          <w:color w:val="000000"/>
          <w:szCs w:val="21"/>
        </w:rPr>
      </w:pPr>
      <w:r>
        <w:rPr>
          <w:color w:val="000000"/>
          <w:szCs w:val="21"/>
        </w:rPr>
        <w:t xml:space="preserve">16.2 投标文件的修改</w:t>
      </w:r>
      <w:r/>
    </w:p>
    <w:p>
      <w:pPr>
        <w:ind w:firstLine="420"/>
        <w:spacing w:line="360" w:lineRule="auto"/>
        <w:shd w:val="clear" w:color="auto" w:fill="ffffff"/>
        <w:widowControl/>
        <w:rPr>
          <w:color w:val="000000"/>
          <w:szCs w:val="21"/>
        </w:rPr>
      </w:pPr>
      <w:r>
        <w:rPr>
          <w:color w:val="000000"/>
          <w:szCs w:val="21"/>
        </w:rPr>
        <w:t xml:space="preserve">16.2.1 投标人可在投标截止时间前，对其电子投标文件进行修改。</w:t>
      </w:r>
      <w:r/>
    </w:p>
    <w:p>
      <w:pPr>
        <w:ind w:firstLine="420"/>
        <w:spacing w:line="360" w:lineRule="auto"/>
        <w:shd w:val="clear" w:color="auto" w:fill="ffffff"/>
        <w:widowControl/>
        <w:rPr>
          <w:color w:val="000000"/>
          <w:szCs w:val="21"/>
        </w:rPr>
      </w:pPr>
      <w:r>
        <w:rPr>
          <w:color w:val="000000"/>
          <w:szCs w:val="21"/>
        </w:rPr>
        <w:t xml:space="preserve">16.2.2 在投标截止时间之后，投标人不得对其电子投标文件作任何修改。</w:t>
      </w:r>
      <w:r/>
    </w:p>
    <w:p>
      <w:pPr>
        <w:ind w:firstLine="420"/>
        <w:spacing w:line="360" w:lineRule="auto"/>
        <w:shd w:val="clear" w:color="auto" w:fill="ffffff"/>
        <w:widowControl/>
        <w:rPr>
          <w:color w:val="000000"/>
          <w:szCs w:val="21"/>
        </w:rPr>
      </w:pPr>
      <w:r/>
      <w:bookmarkStart w:id="76" w:name="_Toc231820611"/>
      <w:r>
        <w:rPr>
          <w:color w:val="000000"/>
          <w:szCs w:val="21"/>
        </w:rPr>
        <w:t xml:space="preserve">16.3 在投标截止时间至招标文件中规定的投标有效期满之间的这段时间内，投标人不得撤回其投标。</w:t>
      </w:r>
      <w:bookmarkEnd w:id="76"/>
      <w:r/>
      <w:r/>
    </w:p>
    <w:p>
      <w:pPr>
        <w:ind w:firstLine="422"/>
        <w:spacing w:line="360" w:lineRule="auto"/>
        <w:shd w:val="clear" w:color="auto" w:fill="ffffff"/>
        <w:widowControl/>
        <w:rPr>
          <w:b/>
          <w:bCs/>
          <w:szCs w:val="21"/>
        </w:rPr>
        <w:outlineLvl w:val="1"/>
      </w:pPr>
      <w:r/>
      <w:bookmarkStart w:id="77" w:name="_Toc28338"/>
      <w:r>
        <w:rPr>
          <w:b/>
          <w:bCs/>
          <w:szCs w:val="21"/>
        </w:rPr>
        <w:t xml:space="preserve">五、开标与评标</w:t>
      </w:r>
      <w:bookmarkEnd w:id="77"/>
      <w:r/>
      <w:r/>
    </w:p>
    <w:p>
      <w:pPr>
        <w:ind w:firstLine="422"/>
        <w:spacing w:line="360" w:lineRule="auto"/>
        <w:rPr>
          <w:b/>
          <w:szCs w:val="21"/>
        </w:rPr>
      </w:pPr>
      <w:r/>
      <w:bookmarkStart w:id="78" w:name="_Toc231820613"/>
      <w:r>
        <w:rPr>
          <w:b/>
          <w:szCs w:val="21"/>
        </w:rPr>
        <w:t xml:space="preserve">17.开标</w:t>
      </w:r>
      <w:bookmarkEnd w:id="78"/>
      <w:r/>
      <w:r/>
    </w:p>
    <w:p>
      <w:pPr>
        <w:ind w:firstLine="420"/>
        <w:spacing w:line="360" w:lineRule="auto"/>
        <w:rPr>
          <w:bCs/>
          <w:szCs w:val="21"/>
        </w:rPr>
      </w:pPr>
      <w:r>
        <w:rPr>
          <w:bCs/>
          <w:szCs w:val="21"/>
        </w:rPr>
        <w:t xml:space="preserve">17.1 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bCs/>
          <w:szCs w:val="21"/>
        </w:rPr>
        <w:t xml:space="preserve">17.2 由电子招标投标交易平台主持，邀请投标人参加。</w:t>
      </w:r>
      <w:r/>
    </w:p>
    <w:p>
      <w:pPr>
        <w:ind w:firstLine="420"/>
        <w:spacing w:line="360" w:lineRule="auto"/>
        <w:rPr>
          <w:bCs/>
          <w:szCs w:val="21"/>
        </w:rPr>
      </w:pPr>
      <w:r>
        <w:rPr>
          <w:bCs/>
          <w:szCs w:val="21"/>
        </w:rPr>
        <w:t xml:space="preserve">17.3 所有投标单位使用 CA 证书在开标时间时解密各自投标文件，由工作人员操作系统进行开标。投标人不足3家的，不得开标。</w:t>
      </w:r>
      <w:r/>
    </w:p>
    <w:p>
      <w:pPr>
        <w:ind w:firstLine="420"/>
        <w:spacing w:line="360" w:lineRule="auto"/>
        <w:rPr>
          <w:bCs/>
          <w:szCs w:val="21"/>
        </w:rPr>
      </w:pPr>
      <w:r>
        <w:rPr>
          <w:bCs/>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b/>
          <w:szCs w:val="21"/>
        </w:rPr>
        <w:t xml:space="preserve">18.资格性审查</w:t>
      </w:r>
      <w:r/>
    </w:p>
    <w:p>
      <w:pPr>
        <w:ind w:firstLine="420"/>
        <w:spacing w:line="360" w:lineRule="auto"/>
        <w:rPr>
          <w:bCs/>
          <w:szCs w:val="21"/>
        </w:rPr>
      </w:pPr>
      <w:r>
        <w:rPr>
          <w:bCs/>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bCs/>
          <w:szCs w:val="21"/>
        </w:rPr>
        <w:t xml:space="preserve">18.2 信用信息查询</w:t>
      </w:r>
      <w:r/>
    </w:p>
    <w:p>
      <w:pPr>
        <w:ind w:firstLine="420"/>
        <w:spacing w:line="360" w:lineRule="auto"/>
        <w:rPr>
          <w:bCs/>
          <w:szCs w:val="21"/>
        </w:rPr>
      </w:pPr>
      <w:r>
        <w:rPr>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bCs/>
          <w:szCs w:val="21"/>
        </w:rPr>
        <w:t xml:space="preserve">18.3 通过资格性审查合格的投标人不足3家的，不得评标。</w:t>
      </w:r>
      <w:r/>
    </w:p>
    <w:p>
      <w:pPr>
        <w:ind w:firstLine="422"/>
        <w:spacing w:line="360" w:lineRule="auto"/>
        <w:rPr>
          <w:b/>
          <w:szCs w:val="21"/>
        </w:rPr>
      </w:pPr>
      <w:r>
        <w:rPr>
          <w:b/>
          <w:szCs w:val="21"/>
        </w:rPr>
        <w:t xml:space="preserve">19.评标 </w:t>
      </w:r>
      <w:r/>
    </w:p>
    <w:p>
      <w:pPr>
        <w:ind w:firstLine="420"/>
        <w:spacing w:line="360" w:lineRule="auto"/>
        <w:rPr>
          <w:bCs/>
          <w:szCs w:val="21"/>
        </w:rPr>
      </w:pPr>
      <w:r>
        <w:rPr>
          <w:bCs/>
          <w:szCs w:val="21"/>
        </w:rPr>
        <w:t xml:space="preserve">19.1 评标组织</w:t>
      </w:r>
      <w:r/>
    </w:p>
    <w:p>
      <w:pPr>
        <w:ind w:firstLine="420"/>
        <w:spacing w:line="360" w:lineRule="auto"/>
        <w:rPr>
          <w:bCs/>
          <w:szCs w:val="21"/>
        </w:rPr>
      </w:pP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（2）要求投标人对投标文件有关事项作出澄清或者说明；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（4）确定中标候选人名单，以及根据采购人委托直接确定中标人；</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 评标委员会由采购人代表和有关技术、经济等方面的专家组成，独立开展评审工作且评标委员会人员构成符合有关规定。</w:t>
      </w:r>
      <w:r/>
    </w:p>
    <w:p>
      <w:pPr>
        <w:ind w:firstLine="420"/>
        <w:spacing w:line="360" w:lineRule="auto"/>
        <w:rPr>
          <w:bCs/>
          <w:szCs w:val="21"/>
        </w:rPr>
      </w:pPr>
      <w:r/>
      <w:bookmarkStart w:id="79" w:name="_Toc16288"/>
      <w:r>
        <w:rPr>
          <w:bCs/>
          <w:szCs w:val="21"/>
        </w:rPr>
        <w:t xml:space="preserve">19.3 对投标文件的符合性审查</w:t>
      </w:r>
      <w:bookmarkEnd w:id="79"/>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19.4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19.5评标委员会在初审中，对明显的文字和算术错误的修正原则如下：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bCs/>
          <w:szCs w:val="21"/>
        </w:rPr>
      </w:pPr>
      <w:r>
        <w:rPr>
          <w:b/>
          <w:szCs w:val="21"/>
        </w:rPr>
        <w:t xml:space="preserve">19.6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bCs/>
          <w:szCs w:val="21"/>
        </w:rPr>
      </w:pPr>
      <w:r>
        <w:rPr>
          <w:b/>
          <w:szCs w:val="21"/>
        </w:rPr>
        <w:t xml:space="preserve">评标过程中出现下列情形之一的，评标委员会应当启动异常低价投标（响应）审查程序：</w:t>
      </w:r>
      <w:r/>
    </w:p>
    <w:p>
      <w:pPr>
        <w:ind w:firstLine="420"/>
        <w:spacing w:line="360" w:lineRule="auto"/>
        <w:rPr>
          <w:bCs/>
          <w:szCs w:val="21"/>
        </w:rPr>
      </w:pPr>
      <w:r>
        <w:rPr>
          <w:rFonts w:ascii="Cambria Math" w:hAnsi="Cambria Math" w:cs="Cambria Math"/>
          <w:bCs/>
          <w:szCs w:val="21"/>
        </w:rPr>
        <w:t xml:space="preserve">①</w:t>
      </w:r>
      <w:r>
        <w:rPr>
          <w:bCs/>
          <w:szCs w:val="21"/>
        </w:rPr>
        <w:t xml:space="preserve">投标（响应）报价低于全部通过符合性审查供应商投标（响应）报价平均值65%的，即投标（响应）报价＜全部通过符合性审查供应商投标（响应）报价平均值×65%；</w:t>
      </w:r>
      <w:r/>
    </w:p>
    <w:p>
      <w:pPr>
        <w:ind w:firstLine="420"/>
        <w:spacing w:line="360" w:lineRule="auto"/>
        <w:rPr>
          <w:bCs/>
          <w:szCs w:val="21"/>
        </w:rPr>
      </w:pPr>
      <w:r>
        <w:rPr>
          <w:rFonts w:ascii="Cambria Math" w:hAnsi="Cambria Math" w:cs="Cambria Math"/>
          <w:bCs/>
          <w:szCs w:val="21"/>
        </w:rPr>
        <w:t xml:space="preserve">②</w:t>
      </w:r>
      <w:r>
        <w:rPr>
          <w:bCs/>
          <w:szCs w:val="21"/>
        </w:rPr>
        <w:t xml:space="preserve">投标（响应）报价低于通过符合性审查的次低报价供应商投标（响应）报价65%的，即投标（响应）报价＜通过符合性审查的次低报价供应商投标（响应）报价×65%；</w:t>
      </w:r>
      <w:r/>
    </w:p>
    <w:p>
      <w:pPr>
        <w:ind w:firstLine="420"/>
        <w:spacing w:line="360" w:lineRule="auto"/>
        <w:rPr>
          <w:bCs/>
          <w:szCs w:val="21"/>
        </w:rPr>
      </w:pPr>
      <w:r>
        <w:rPr>
          <w:rFonts w:ascii="Cambria Math" w:hAnsi="Cambria Math" w:cs="Cambria Math"/>
          <w:bCs/>
          <w:szCs w:val="21"/>
        </w:rPr>
        <w:t xml:space="preserve">③</w:t>
      </w:r>
      <w:r>
        <w:rPr>
          <w:bCs/>
          <w:szCs w:val="21"/>
        </w:rPr>
        <w:t xml:space="preserve">投标（响应）报价低于采购项目最高限价65%的，即投标（响应）报价＜采购项目最高限价×65%；</w:t>
      </w:r>
      <w:r/>
    </w:p>
    <w:p>
      <w:pPr>
        <w:ind w:firstLine="420"/>
        <w:spacing w:line="360" w:lineRule="auto"/>
        <w:rPr>
          <w:bCs/>
          <w:szCs w:val="21"/>
        </w:rPr>
      </w:pPr>
      <w:r>
        <w:rPr>
          <w:rFonts w:ascii="Cambria Math" w:hAnsi="Cambria Math" w:cs="Cambria Math"/>
          <w:bCs/>
          <w:szCs w:val="21"/>
        </w:rPr>
        <w:t xml:space="preserve">④</w:t>
      </w:r>
      <w:r>
        <w:rPr>
          <w:bCs/>
          <w:szCs w:val="21"/>
        </w:rPr>
        <w:t xml:space="preserve">评标委员会基于专业判断，认为供应商报价过低，有可能影响产品质量或者不能诚信履约的其他情形。</w:t>
      </w:r>
      <w:r/>
    </w:p>
    <w:p>
      <w:pPr>
        <w:ind w:firstLine="420"/>
        <w:spacing w:line="360" w:lineRule="auto"/>
        <w:rPr>
          <w:bCs/>
          <w:szCs w:val="21"/>
        </w:rPr>
      </w:pPr>
      <w:r>
        <w:rPr>
          <w:bCs/>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bCs/>
          <w:szCs w:val="21"/>
        </w:rPr>
      </w:pPr>
      <w:r>
        <w:rPr>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bCs/>
          <w:szCs w:val="21"/>
        </w:rPr>
      </w:pPr>
      <w:r>
        <w:rPr>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bCs/>
          <w:szCs w:val="21"/>
        </w:rPr>
      </w:pPr>
      <w:r>
        <w:rPr>
          <w:bCs/>
          <w:szCs w:val="21"/>
        </w:rPr>
        <w:t xml:space="preserve">19.7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80" w:name="_Toc231820614"/>
      <w:r>
        <w:rPr>
          <w:b/>
          <w:szCs w:val="21"/>
        </w:rPr>
        <w:t xml:space="preserve">20.投标文件的澄清</w:t>
      </w:r>
      <w:bookmarkEnd w:id="80"/>
      <w:r/>
      <w:r/>
    </w:p>
    <w:p>
      <w:pPr>
        <w:ind w:firstLine="420"/>
        <w:spacing w:line="360" w:lineRule="auto"/>
        <w:rPr>
          <w:bCs/>
          <w:szCs w:val="21"/>
        </w:rPr>
      </w:pPr>
      <w:r>
        <w:rPr>
          <w:bCs/>
          <w:szCs w:val="21"/>
        </w:rPr>
        <w:t xml:space="preserve">20.1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bCs/>
          <w:szCs w:val="21"/>
        </w:rPr>
      </w:pPr>
      <w:r>
        <w:rPr>
          <w:bCs/>
          <w:szCs w:val="21"/>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bCs/>
          <w:szCs w:val="21"/>
        </w:rPr>
      </w:pPr>
      <w:r>
        <w:rPr>
          <w:bCs/>
          <w:szCs w:val="21"/>
        </w:rPr>
        <w:t xml:space="preserve">20.3 供应商澄清、说明或者补正不得超出投标文件的范围或者改变投标文件的实质性内容。供应商拒不按照要求对投标文件进行澄清、说明或者补正的，视其放弃该项权利。</w:t>
      </w:r>
      <w:r/>
    </w:p>
    <w:p>
      <w:pPr>
        <w:ind w:firstLine="422"/>
        <w:spacing w:line="360" w:lineRule="auto"/>
        <w:rPr>
          <w:b/>
          <w:szCs w:val="21"/>
        </w:rPr>
      </w:pPr>
      <w:r/>
      <w:bookmarkStart w:id="81" w:name="_Toc231820615"/>
      <w:r>
        <w:rPr>
          <w:b/>
          <w:szCs w:val="21"/>
        </w:rPr>
        <w:t xml:space="preserve">21.对投标文件的详细评审</w:t>
      </w:r>
      <w:bookmarkEnd w:id="81"/>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ind w:firstLine="422"/>
        <w:spacing w:line="360" w:lineRule="auto"/>
        <w:rPr>
          <w:b/>
          <w:szCs w:val="21"/>
        </w:rPr>
      </w:pPr>
      <w:r/>
      <w:bookmarkStart w:id="82" w:name="_Toc231820616"/>
      <w:r>
        <w:rPr>
          <w:b/>
          <w:szCs w:val="21"/>
        </w:rPr>
        <w:t xml:space="preserve">22.评标过程的保密与公正</w:t>
      </w:r>
      <w:bookmarkEnd w:id="82"/>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ind w:firstLine="422"/>
        <w:spacing w:line="360" w:lineRule="auto"/>
        <w:rPr>
          <w:b/>
          <w:szCs w:val="21"/>
        </w:rPr>
      </w:pPr>
      <w:r/>
      <w:bookmarkStart w:id="83" w:name="_Toc231820617"/>
      <w:r>
        <w:rPr>
          <w:b/>
          <w:szCs w:val="21"/>
        </w:rPr>
        <w:t xml:space="preserve">23.无效投标条款和废标条款</w:t>
      </w:r>
      <w:bookmarkEnd w:id="83"/>
      <w:r/>
      <w:r/>
    </w:p>
    <w:p>
      <w:pPr>
        <w:ind w:firstLine="420"/>
        <w:spacing w:line="360" w:lineRule="auto"/>
        <w:rPr>
          <w:bCs/>
          <w:szCs w:val="21"/>
        </w:rPr>
      </w:pPr>
      <w:r>
        <w:rPr>
          <w:bCs/>
          <w:szCs w:val="21"/>
        </w:rPr>
        <w:t xml:space="preserve">23.1无效投标条款</w:t>
      </w:r>
      <w:r/>
    </w:p>
    <w:p>
      <w:pPr>
        <w:ind w:firstLine="420"/>
        <w:jc w:val="left"/>
        <w:spacing w:line="360" w:lineRule="auto"/>
        <w:shd w:val="clear" w:color="auto" w:fill="ffffff"/>
        <w:widowControl/>
        <w:tabs>
          <w:tab w:val="left" w:pos="767" w:leader="none"/>
        </w:tabs>
        <w:rPr>
          <w:szCs w:val="21"/>
        </w:rPr>
      </w:pPr>
      <w:r>
        <w:rPr>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szCs w:val="21"/>
        </w:rPr>
      </w:pPr>
      <w:r>
        <w:rPr>
          <w:bCs/>
          <w:szCs w:val="21"/>
        </w:rPr>
        <w:t xml:space="preserve">（2）</w:t>
      </w:r>
      <w:r>
        <w:rPr>
          <w:szCs w:val="21"/>
        </w:rPr>
        <w:t xml:space="preserve">投标人未按照招标文件要求上传电子投标文件的。</w:t>
      </w:r>
      <w:r/>
    </w:p>
    <w:p>
      <w:pPr>
        <w:ind w:firstLine="420"/>
        <w:jc w:val="left"/>
        <w:spacing w:line="360" w:lineRule="auto"/>
        <w:shd w:val="clear" w:color="auto" w:fill="ffffff"/>
        <w:widowControl/>
        <w:rPr>
          <w:szCs w:val="21"/>
        </w:rPr>
      </w:pPr>
      <w:r>
        <w:rPr>
          <w:bCs/>
          <w:szCs w:val="21"/>
        </w:rPr>
        <w:t xml:space="preserve">（3）供应商不具备招标文件中规定资格要求的</w:t>
      </w:r>
      <w:r>
        <w:rPr>
          <w:szCs w:val="21"/>
        </w:rPr>
        <w:t xml:space="preserve">；</w:t>
      </w:r>
      <w:r/>
    </w:p>
    <w:p>
      <w:pPr>
        <w:ind w:firstLine="420"/>
        <w:spacing w:line="360" w:lineRule="auto"/>
        <w:rPr>
          <w:szCs w:val="21"/>
        </w:rPr>
      </w:pPr>
      <w:r>
        <w:rPr>
          <w:bCs/>
          <w:szCs w:val="21"/>
        </w:rPr>
        <w:t xml:space="preserve">（4）供应商在报价时采用选择性报价；</w:t>
      </w:r>
      <w:r/>
    </w:p>
    <w:p>
      <w:pPr>
        <w:ind w:firstLine="420"/>
        <w:jc w:val="left"/>
        <w:spacing w:line="360" w:lineRule="auto"/>
        <w:shd w:val="clear" w:color="auto" w:fill="ffffff"/>
        <w:widowControl/>
        <w:rPr>
          <w:szCs w:val="21"/>
        </w:rPr>
      </w:pPr>
      <w:r>
        <w:rPr>
          <w:szCs w:val="21"/>
        </w:rPr>
        <w:t xml:space="preserve">（</w:t>
      </w:r>
      <w:r>
        <w:rPr>
          <w:bCs/>
          <w:szCs w:val="21"/>
        </w:rPr>
        <w:t xml:space="preserve">5</w:t>
      </w:r>
      <w:r>
        <w:rPr>
          <w:szCs w:val="21"/>
        </w:rPr>
        <w:t xml:space="preserve">）报价超过招标文件中规定的预算金额或者最高限价的；</w:t>
      </w:r>
      <w:r/>
    </w:p>
    <w:p>
      <w:pPr>
        <w:ind w:firstLine="420"/>
        <w:jc w:val="left"/>
        <w:spacing w:line="360" w:lineRule="auto"/>
        <w:shd w:val="clear" w:color="auto" w:fill="ffffff"/>
        <w:widowControl/>
        <w:rPr>
          <w:szCs w:val="21"/>
        </w:rPr>
      </w:pPr>
      <w:r>
        <w:rPr>
          <w:szCs w:val="21"/>
        </w:rPr>
        <w:t xml:space="preserve">（6）投标文件含有采购人不能接受的附加条件的；</w:t>
      </w:r>
      <w:r/>
    </w:p>
    <w:p>
      <w:pPr>
        <w:ind w:firstLine="420"/>
        <w:jc w:val="left"/>
        <w:spacing w:line="360" w:lineRule="auto"/>
        <w:shd w:val="clear" w:color="auto" w:fill="ffffff"/>
        <w:widowControl/>
        <w:rPr>
          <w:szCs w:val="21"/>
        </w:rPr>
      </w:pPr>
      <w:r>
        <w:rPr>
          <w:szCs w:val="21"/>
        </w:rPr>
        <w:t xml:space="preserve">（</w:t>
      </w:r>
      <w:r>
        <w:rPr>
          <w:bCs/>
          <w:szCs w:val="21"/>
        </w:rPr>
        <w:t xml:space="preserve">7</w:t>
      </w:r>
      <w:r>
        <w:rPr>
          <w:szCs w:val="21"/>
        </w:rPr>
        <w:t xml:space="preserve">）不同供应商的投标文件由同一单位或者个人编制；</w:t>
      </w:r>
      <w:r/>
    </w:p>
    <w:p>
      <w:pPr>
        <w:ind w:firstLine="420"/>
        <w:jc w:val="left"/>
        <w:spacing w:line="360" w:lineRule="auto"/>
        <w:shd w:val="clear" w:color="auto" w:fill="ffffff"/>
        <w:widowControl/>
        <w:rPr>
          <w:szCs w:val="21"/>
        </w:rPr>
      </w:pPr>
      <w:r>
        <w:rPr>
          <w:szCs w:val="21"/>
        </w:rPr>
        <w:t xml:space="preserve">（8）不同供应商委托同一单位或者个人办理投标事宜；</w:t>
      </w:r>
      <w:r/>
    </w:p>
    <w:p>
      <w:pPr>
        <w:ind w:firstLine="420"/>
        <w:jc w:val="left"/>
        <w:spacing w:line="360" w:lineRule="auto"/>
        <w:shd w:val="clear" w:color="auto" w:fill="ffffff"/>
        <w:widowControl/>
        <w:rPr>
          <w:szCs w:val="21"/>
        </w:rPr>
      </w:pPr>
      <w:r>
        <w:rPr>
          <w:szCs w:val="21"/>
        </w:rPr>
        <w:t xml:space="preserve">（9）不同供应商的投标文件载明的项目管理成员或联系人员为同一人；</w:t>
      </w:r>
      <w:r/>
    </w:p>
    <w:p>
      <w:pPr>
        <w:ind w:firstLine="420"/>
        <w:jc w:val="left"/>
        <w:spacing w:line="360" w:lineRule="auto"/>
        <w:shd w:val="clear" w:color="auto" w:fill="ffffff"/>
        <w:widowControl/>
        <w:rPr>
          <w:szCs w:val="21"/>
        </w:rPr>
      </w:pPr>
      <w:r>
        <w:rPr>
          <w:szCs w:val="21"/>
        </w:rPr>
        <w:t xml:space="preserve">（10）不同供应商的投标文件异常一致或者投标报价呈规律性差异；</w:t>
      </w:r>
      <w:r/>
    </w:p>
    <w:p>
      <w:pPr>
        <w:ind w:firstLine="420"/>
        <w:jc w:val="left"/>
        <w:spacing w:line="360" w:lineRule="auto"/>
        <w:shd w:val="clear" w:color="auto" w:fill="ffffff"/>
        <w:widowControl/>
        <w:rPr>
          <w:szCs w:val="21"/>
        </w:rPr>
      </w:pPr>
      <w:r>
        <w:rPr>
          <w:szCs w:val="21"/>
        </w:rPr>
        <w:t xml:space="preserve">（11）不同供应商的投标文件相互混装；</w:t>
      </w:r>
      <w:r/>
    </w:p>
    <w:p>
      <w:pPr>
        <w:ind w:firstLine="420"/>
        <w:spacing w:line="360" w:lineRule="auto"/>
        <w:rPr>
          <w:bCs/>
          <w:szCs w:val="21"/>
        </w:rPr>
      </w:pPr>
      <w:r>
        <w:rPr>
          <w:bCs/>
          <w:szCs w:val="21"/>
        </w:rPr>
        <w:t xml:space="preserve">（12）不同供应商的负责人为同一人或者存在控股、管理关系的；</w:t>
      </w:r>
      <w:r/>
    </w:p>
    <w:p>
      <w:pPr>
        <w:ind w:firstLine="420"/>
        <w:spacing w:line="360" w:lineRule="auto"/>
        <w:rPr>
          <w:bCs/>
          <w:szCs w:val="21"/>
        </w:rPr>
      </w:pPr>
      <w:r>
        <w:rPr>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szCs w:val="21"/>
        </w:rPr>
      </w:pPr>
      <w:r>
        <w:rPr>
          <w:szCs w:val="21"/>
        </w:rPr>
        <w:t xml:space="preserve">（</w:t>
      </w:r>
      <w:r>
        <w:rPr>
          <w:bCs/>
          <w:szCs w:val="21"/>
        </w:rPr>
        <w:t xml:space="preserve">14</w:t>
      </w:r>
      <w:r>
        <w:rPr>
          <w:szCs w:val="21"/>
        </w:rPr>
        <w:t xml:space="preserve">）提供虚假材料的（包括工商营业执照、财务报表、资格证明文件等）；</w:t>
      </w:r>
      <w:r/>
    </w:p>
    <w:p>
      <w:pPr>
        <w:ind w:firstLine="420"/>
        <w:spacing w:line="360" w:lineRule="auto"/>
        <w:rPr>
          <w:szCs w:val="21"/>
        </w:rPr>
      </w:pPr>
      <w:r>
        <w:rPr>
          <w:bCs/>
          <w:szCs w:val="21"/>
        </w:rPr>
        <w:t xml:space="preserve">（15）未通过符合性检查的；</w:t>
      </w:r>
      <w:r/>
    </w:p>
    <w:p>
      <w:pPr>
        <w:ind w:firstLine="420"/>
        <w:jc w:val="left"/>
        <w:spacing w:line="360" w:lineRule="auto"/>
        <w:shd w:val="clear" w:color="auto" w:fill="ffffff"/>
        <w:widowControl/>
        <w:rPr>
          <w:szCs w:val="21"/>
        </w:rPr>
      </w:pPr>
      <w:r>
        <w:rPr>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szCs w:val="21"/>
        </w:rPr>
      </w:pPr>
      <w:r>
        <w:rPr>
          <w:szCs w:val="21"/>
        </w:rPr>
        <w:t xml:space="preserve">（</w:t>
      </w:r>
      <w:r>
        <w:rPr>
          <w:bCs/>
          <w:szCs w:val="21"/>
        </w:rPr>
        <w:t xml:space="preserve">17</w:t>
      </w:r>
      <w:r>
        <w:rPr>
          <w:szCs w:val="21"/>
        </w:rPr>
        <w:t xml:space="preserve">）不符合招标文件中规定的其他实质性要求的；</w:t>
      </w:r>
      <w:r/>
    </w:p>
    <w:p>
      <w:pPr>
        <w:ind w:firstLine="420"/>
        <w:jc w:val="left"/>
        <w:spacing w:line="360" w:lineRule="auto"/>
        <w:shd w:val="clear" w:color="auto" w:fill="ffffff"/>
        <w:widowControl/>
        <w:rPr>
          <w:bCs/>
          <w:szCs w:val="21"/>
        </w:rPr>
      </w:pPr>
      <w:r>
        <w:rPr>
          <w:szCs w:val="21"/>
        </w:rPr>
        <w:t xml:space="preserve">（</w:t>
      </w:r>
      <w:r>
        <w:rPr>
          <w:bCs/>
          <w:szCs w:val="21"/>
        </w:rPr>
        <w:t xml:space="preserve">18</w:t>
      </w:r>
      <w:r>
        <w:rPr>
          <w:szCs w:val="21"/>
        </w:rPr>
        <w:t xml:space="preserve">）法律法规和招标文件规定的其他无效情形。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2"/>
        <w:spacing w:line="360" w:lineRule="auto"/>
        <w:rPr>
          <w:b/>
          <w:szCs w:val="21"/>
        </w:rPr>
      </w:pPr>
      <w:r/>
      <w:bookmarkStart w:id="84" w:name="_Toc231820618"/>
      <w:r>
        <w:rPr>
          <w:b/>
          <w:szCs w:val="21"/>
        </w:rPr>
        <w:t xml:space="preserve">24.投标截止时间结束参加投标的供应商不足三家的处理</w:t>
      </w:r>
      <w:bookmarkEnd w:id="84"/>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5" w:name="_Toc11720"/>
      <w:r>
        <w:rPr>
          <w:b/>
          <w:bCs/>
          <w:szCs w:val="21"/>
        </w:rPr>
        <w:t xml:space="preserve">六、授标</w:t>
      </w:r>
      <w:bookmarkEnd w:id="85"/>
      <w:r/>
      <w:r/>
    </w:p>
    <w:p>
      <w:pPr>
        <w:ind w:firstLine="422"/>
        <w:spacing w:line="360" w:lineRule="auto"/>
        <w:rPr>
          <w:b/>
          <w:szCs w:val="21"/>
        </w:rPr>
      </w:pPr>
      <w:r/>
      <w:bookmarkStart w:id="86" w:name="_Toc231820620"/>
      <w:r>
        <w:rPr>
          <w:b/>
          <w:szCs w:val="21"/>
        </w:rPr>
        <w:t xml:space="preserve">25.确定中标供应商</w:t>
      </w:r>
      <w:bookmarkEnd w:id="86"/>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2"/>
        <w:spacing w:line="360" w:lineRule="auto"/>
        <w:rPr>
          <w:b/>
          <w:szCs w:val="21"/>
        </w:rPr>
      </w:pPr>
      <w:r/>
      <w:bookmarkStart w:id="87" w:name="_Toc231820621"/>
      <w:r>
        <w:rPr>
          <w:b/>
          <w:szCs w:val="21"/>
        </w:rPr>
        <w:t xml:space="preserve">26.中标的通知</w:t>
      </w:r>
      <w:bookmarkEnd w:id="87"/>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ind w:firstLine="422"/>
        <w:spacing w:line="360" w:lineRule="auto"/>
        <w:rPr>
          <w:b/>
          <w:szCs w:val="21"/>
        </w:rPr>
      </w:pPr>
      <w:r/>
      <w:bookmarkStart w:id="88" w:name="_Toc231820622"/>
      <w:r>
        <w:rPr>
          <w:b/>
          <w:szCs w:val="21"/>
        </w:rPr>
        <w:t xml:space="preserve">27.签订合同</w:t>
      </w:r>
      <w:bookmarkEnd w:id="88"/>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89" w:name="_bookmark2"/>
      <w:r/>
      <w:bookmarkEnd w:id="89"/>
      <w:r/>
      <w:bookmarkStart w:id="90" w:name="第三章_评标标准"/>
      <w:r/>
      <w:bookmarkEnd w:id="90"/>
      <w:r/>
      <w:bookmarkStart w:id="91" w:name="_Toc12982"/>
      <w:r/>
      <w:bookmarkStart w:id="92" w:name="_Toc231820623"/>
      <w:r>
        <w:rPr>
          <w:b/>
          <w:szCs w:val="21"/>
        </w:rPr>
        <w:t xml:space="preserve">28.招标代理服务费</w:t>
      </w:r>
      <w:bookmarkEnd w:id="91"/>
      <w:r/>
      <w:bookmarkEnd w:id="92"/>
      <w:r/>
      <w:r/>
    </w:p>
    <w:p>
      <w:pPr>
        <w:ind w:firstLine="420"/>
        <w:jc w:val="left"/>
        <w:spacing w:line="360" w:lineRule="auto"/>
        <w:rPr>
          <w:szCs w:val="21"/>
        </w:rPr>
      </w:pPr>
      <w:r>
        <w:rPr>
          <w:bCs/>
          <w:szCs w:val="21"/>
        </w:rPr>
        <w:t xml:space="preserve">因项目预算中已包含招标代理服务费用，故本次项目服务费由中标供应商直接向招标代理机构支付。中标服务费采用差额定率累进计费方式。根据《政府采购代理机构管理暂行办法》(财库(2018)2号)第十五条及《关于进一步规范政府采购活动相关费用管理的通知》(苏财规(2026)1号)相关规定，中标供应商在领取中标通知书时须按下表的</w:t>
      </w:r>
      <w:r>
        <w:rPr>
          <w:b/>
          <w:szCs w:val="21"/>
        </w:rPr>
        <w:t xml:space="preserve">收费标准，</w:t>
      </w:r>
      <w:r>
        <w:rPr>
          <w:bCs/>
          <w:szCs w:val="21"/>
        </w:rPr>
        <w:t xml:space="preserve">向采购代理机构交付每包的招标代理服务费</w:t>
      </w:r>
      <w:r>
        <w:rPr>
          <w:b/>
          <w:szCs w:val="21"/>
        </w:rPr>
        <w:t xml:space="preserve">（每包最低收费 3000元整）</w:t>
      </w:r>
      <w:r>
        <w:rPr>
          <w:bCs/>
          <w:szCs w:val="21"/>
        </w:rPr>
        <w:t xml:space="preserve">，招标代理服务费一次付清。</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174"/>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1973"/>
        <w:gridCol w:w="1387"/>
        <w:gridCol w:w="2026"/>
        <w:gridCol w:w="1378"/>
      </w:tblGrid>
      <w:tr>
        <w:trPr>
          <w:jc w:val="center"/>
          <w:trHeight w:val="675"/>
        </w:trPr>
        <w:tc>
          <w:tcPr>
            <w:tcW w:w="2122" w:type="dxa"/>
            <w:vAlign w:val="center"/>
            <w:textDirection w:val="lrTb"/>
            <w:noWrap w:val="false"/>
          </w:tcPr>
          <w:p>
            <w:pPr>
              <w:ind w:firstLine="420"/>
              <w:spacing w:line="340" w:lineRule="exact"/>
              <w:rPr>
                <w:szCs w:val="21"/>
              </w:rPr>
            </w:pPr>
            <w:r>
              <w:rPr>
                <w:szCs w:val="21"/>
              </w:rPr>
              <w:t xml:space="preserve">中标金额（万元）</w:t>
            </w:r>
            <w:r/>
          </w:p>
        </w:tc>
        <w:tc>
          <w:tcPr>
            <w:tcW w:w="1973" w:type="dxa"/>
            <w:vAlign w:val="center"/>
            <w:textDirection w:val="lrTb"/>
            <w:noWrap w:val="false"/>
          </w:tcPr>
          <w:p>
            <w:pPr>
              <w:jc w:val="center"/>
              <w:spacing w:line="340" w:lineRule="exact"/>
              <w:rPr>
                <w:szCs w:val="21"/>
              </w:rPr>
            </w:pPr>
            <w:r>
              <w:rPr>
                <w:szCs w:val="21"/>
              </w:rPr>
              <w:t xml:space="preserve">货物招标收费标准</w:t>
            </w:r>
            <w:r/>
          </w:p>
        </w:tc>
        <w:tc>
          <w:tcPr>
            <w:tcW w:w="1387" w:type="dxa"/>
            <w:vAlign w:val="center"/>
            <w:textDirection w:val="lrTb"/>
            <w:noWrap w:val="false"/>
          </w:tcPr>
          <w:p>
            <w:pPr>
              <w:jc w:val="center"/>
              <w:spacing w:line="340" w:lineRule="exact"/>
              <w:rPr>
                <w:szCs w:val="21"/>
              </w:rPr>
            </w:pPr>
            <w:r>
              <w:rPr>
                <w:szCs w:val="21"/>
              </w:rPr>
              <w:t xml:space="preserve">我公司收费</w:t>
            </w:r>
            <w:r/>
          </w:p>
        </w:tc>
        <w:tc>
          <w:tcPr>
            <w:tcW w:w="2026" w:type="dxa"/>
            <w:vAlign w:val="center"/>
            <w:textDirection w:val="lrTb"/>
            <w:noWrap w:val="false"/>
          </w:tcPr>
          <w:p>
            <w:pPr>
              <w:jc w:val="center"/>
              <w:spacing w:line="340" w:lineRule="exact"/>
              <w:rPr>
                <w:szCs w:val="21"/>
              </w:rPr>
            </w:pPr>
            <w:r>
              <w:rPr>
                <w:szCs w:val="21"/>
              </w:rPr>
              <w:t xml:space="preserve">服务招标收费标准</w:t>
            </w:r>
            <w:r/>
          </w:p>
        </w:tc>
        <w:tc>
          <w:tcPr>
            <w:tcW w:w="1378" w:type="dxa"/>
            <w:vAlign w:val="center"/>
            <w:textDirection w:val="lrTb"/>
            <w:noWrap w:val="false"/>
          </w:tcPr>
          <w:p>
            <w:pPr>
              <w:jc w:val="center"/>
              <w:spacing w:line="340" w:lineRule="exact"/>
              <w:rPr>
                <w:szCs w:val="21"/>
              </w:rPr>
            </w:pPr>
            <w:r>
              <w:rPr>
                <w:szCs w:val="21"/>
              </w:rPr>
              <w:t xml:space="preserve">我公司收费</w:t>
            </w:r>
            <w:r/>
          </w:p>
        </w:tc>
      </w:tr>
      <w:tr>
        <w:trPr>
          <w:jc w:val="center"/>
          <w:trHeight w:val="347"/>
        </w:trPr>
        <w:tc>
          <w:tcPr>
            <w:tcW w:w="2122" w:type="dxa"/>
            <w:vAlign w:val="center"/>
            <w:textDirection w:val="lrTb"/>
            <w:noWrap w:val="false"/>
          </w:tcPr>
          <w:p>
            <w:pPr>
              <w:jc w:val="center"/>
              <w:spacing w:line="300" w:lineRule="exact"/>
              <w:rPr>
                <w:szCs w:val="21"/>
              </w:rPr>
            </w:pPr>
            <w:r>
              <w:rPr>
                <w:szCs w:val="21"/>
              </w:rPr>
              <w:t xml:space="preserve">100以下</w:t>
            </w:r>
            <w:r/>
          </w:p>
        </w:tc>
        <w:tc>
          <w:tcPr>
            <w:tcW w:w="1973" w:type="dxa"/>
            <w:vAlign w:val="center"/>
            <w:textDirection w:val="lrTb"/>
            <w:noWrap w:val="false"/>
          </w:tcPr>
          <w:p>
            <w:pPr>
              <w:ind w:firstLine="420"/>
              <w:jc w:val="center"/>
              <w:spacing w:line="300" w:lineRule="exact"/>
              <w:rPr>
                <w:szCs w:val="21"/>
              </w:rPr>
            </w:pPr>
            <w:r>
              <w:rPr>
                <w:szCs w:val="21"/>
              </w:rPr>
              <w:t xml:space="preserve">1.5%</w:t>
            </w:r>
            <w:r/>
          </w:p>
        </w:tc>
        <w:tc>
          <w:tcPr>
            <w:tcW w:w="1387" w:type="dxa"/>
            <w:vAlign w:val="center"/>
            <w:textDirection w:val="lrTb"/>
            <w:noWrap w:val="false"/>
          </w:tcPr>
          <w:p>
            <w:pPr>
              <w:ind w:firstLine="420"/>
              <w:spacing w:line="300" w:lineRule="exact"/>
              <w:rPr>
                <w:szCs w:val="21"/>
              </w:rPr>
            </w:pPr>
            <w:r>
              <w:rPr>
                <w:szCs w:val="21"/>
              </w:rPr>
              <w:t xml:space="preserve">1.2%</w:t>
            </w:r>
            <w:r/>
          </w:p>
        </w:tc>
        <w:tc>
          <w:tcPr>
            <w:tcW w:w="2026" w:type="dxa"/>
            <w:vAlign w:val="center"/>
            <w:textDirection w:val="lrTb"/>
            <w:noWrap w:val="false"/>
          </w:tcPr>
          <w:p>
            <w:pPr>
              <w:ind w:firstLine="420"/>
              <w:spacing w:line="300" w:lineRule="exact"/>
              <w:rPr>
                <w:szCs w:val="21"/>
              </w:rPr>
            </w:pPr>
            <w:r>
              <w:rPr>
                <w:szCs w:val="21"/>
              </w:rPr>
              <w:t xml:space="preserve">1.5%</w:t>
            </w:r>
            <w:r/>
          </w:p>
        </w:tc>
        <w:tc>
          <w:tcPr>
            <w:tcW w:w="1378" w:type="dxa"/>
            <w:vAlign w:val="center"/>
            <w:textDirection w:val="lrTb"/>
            <w:noWrap w:val="false"/>
          </w:tcPr>
          <w:p>
            <w:pPr>
              <w:ind w:firstLine="420"/>
              <w:spacing w:line="300" w:lineRule="exact"/>
              <w:rPr>
                <w:szCs w:val="21"/>
              </w:rPr>
            </w:pPr>
            <w:r>
              <w:rPr>
                <w:szCs w:val="21"/>
              </w:rPr>
              <w:t xml:space="preserve">1.2%</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100-500</w:t>
            </w:r>
            <w:r/>
          </w:p>
        </w:tc>
        <w:tc>
          <w:tcPr>
            <w:tcW w:w="1973" w:type="dxa"/>
            <w:vAlign w:val="center"/>
            <w:textDirection w:val="lrTb"/>
            <w:noWrap w:val="false"/>
          </w:tcPr>
          <w:p>
            <w:pPr>
              <w:ind w:firstLine="420"/>
              <w:jc w:val="center"/>
              <w:spacing w:line="300" w:lineRule="exact"/>
              <w:rPr>
                <w:szCs w:val="21"/>
              </w:rPr>
            </w:pPr>
            <w:r>
              <w:rPr>
                <w:szCs w:val="21"/>
              </w:rPr>
              <w:t xml:space="preserve">1.1%</w:t>
            </w:r>
            <w:r/>
          </w:p>
        </w:tc>
        <w:tc>
          <w:tcPr>
            <w:tcW w:w="1387" w:type="dxa"/>
            <w:vAlign w:val="center"/>
            <w:textDirection w:val="lrTb"/>
            <w:noWrap w:val="false"/>
          </w:tcPr>
          <w:p>
            <w:pPr>
              <w:ind w:firstLine="420"/>
              <w:spacing w:line="300" w:lineRule="exact"/>
              <w:rPr>
                <w:szCs w:val="21"/>
              </w:rPr>
            </w:pPr>
            <w:r>
              <w:rPr>
                <w:szCs w:val="21"/>
              </w:rPr>
              <w:t xml:space="preserve">0.88%</w:t>
            </w:r>
            <w:r/>
          </w:p>
        </w:tc>
        <w:tc>
          <w:tcPr>
            <w:tcW w:w="2026" w:type="dxa"/>
            <w:vAlign w:val="center"/>
            <w:textDirection w:val="lrTb"/>
            <w:noWrap w:val="false"/>
          </w:tcPr>
          <w:p>
            <w:pPr>
              <w:ind w:firstLine="420"/>
              <w:spacing w:line="300" w:lineRule="exact"/>
              <w:rPr>
                <w:szCs w:val="21"/>
              </w:rPr>
            </w:pPr>
            <w:r>
              <w:rPr>
                <w:szCs w:val="21"/>
              </w:rPr>
              <w:t xml:space="preserve">0.8%</w:t>
            </w:r>
            <w:r/>
          </w:p>
        </w:tc>
        <w:tc>
          <w:tcPr>
            <w:tcW w:w="1378" w:type="dxa"/>
            <w:vAlign w:val="center"/>
            <w:textDirection w:val="lrTb"/>
            <w:noWrap w:val="false"/>
          </w:tcPr>
          <w:p>
            <w:pPr>
              <w:ind w:firstLine="420"/>
              <w:spacing w:line="300" w:lineRule="exact"/>
              <w:rPr>
                <w:szCs w:val="21"/>
              </w:rPr>
            </w:pPr>
            <w:r>
              <w:rPr>
                <w:szCs w:val="21"/>
              </w:rPr>
              <w:t xml:space="preserve">0.64%</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500-1000</w:t>
            </w:r>
            <w:r/>
          </w:p>
        </w:tc>
        <w:tc>
          <w:tcPr>
            <w:tcW w:w="1973" w:type="dxa"/>
            <w:vAlign w:val="center"/>
            <w:textDirection w:val="lrTb"/>
            <w:noWrap w:val="false"/>
          </w:tcPr>
          <w:p>
            <w:pPr>
              <w:ind w:firstLine="420"/>
              <w:jc w:val="center"/>
              <w:spacing w:line="300" w:lineRule="exact"/>
              <w:rPr>
                <w:szCs w:val="21"/>
              </w:rPr>
            </w:pPr>
            <w:r>
              <w:rPr>
                <w:szCs w:val="21"/>
              </w:rPr>
              <w:t xml:space="preserve">0.8%</w:t>
            </w:r>
            <w:r/>
          </w:p>
        </w:tc>
        <w:tc>
          <w:tcPr>
            <w:tcW w:w="1387" w:type="dxa"/>
            <w:vAlign w:val="center"/>
            <w:textDirection w:val="lrTb"/>
            <w:noWrap w:val="false"/>
          </w:tcPr>
          <w:p>
            <w:pPr>
              <w:ind w:firstLine="420"/>
              <w:spacing w:line="300" w:lineRule="exact"/>
              <w:rPr>
                <w:szCs w:val="21"/>
              </w:rPr>
            </w:pPr>
            <w:r>
              <w:rPr>
                <w:szCs w:val="21"/>
              </w:rPr>
              <w:t xml:space="preserve">0.64%</w:t>
            </w:r>
            <w:r/>
          </w:p>
        </w:tc>
        <w:tc>
          <w:tcPr>
            <w:tcW w:w="2026" w:type="dxa"/>
            <w:vAlign w:val="center"/>
            <w:textDirection w:val="lrTb"/>
            <w:noWrap w:val="false"/>
          </w:tcPr>
          <w:p>
            <w:pPr>
              <w:ind w:firstLine="420"/>
              <w:spacing w:line="300" w:lineRule="exact"/>
              <w:rPr>
                <w:szCs w:val="21"/>
              </w:rPr>
            </w:pPr>
            <w:r>
              <w:rPr>
                <w:szCs w:val="21"/>
              </w:rPr>
              <w:t xml:space="preserve">0.45%</w:t>
            </w:r>
            <w:r/>
          </w:p>
        </w:tc>
        <w:tc>
          <w:tcPr>
            <w:tcW w:w="1378" w:type="dxa"/>
            <w:vAlign w:val="center"/>
            <w:textDirection w:val="lrTb"/>
            <w:noWrap w:val="false"/>
          </w:tcPr>
          <w:p>
            <w:pPr>
              <w:ind w:firstLine="420"/>
              <w:spacing w:line="300" w:lineRule="exact"/>
              <w:rPr>
                <w:szCs w:val="21"/>
              </w:rPr>
            </w:pPr>
            <w:r>
              <w:rPr>
                <w:szCs w:val="21"/>
              </w:rPr>
              <w:t xml:space="preserve">0.36%</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1000-5000</w:t>
            </w:r>
            <w:r/>
          </w:p>
        </w:tc>
        <w:tc>
          <w:tcPr>
            <w:tcW w:w="1973" w:type="dxa"/>
            <w:vAlign w:val="center"/>
            <w:textDirection w:val="lrTb"/>
            <w:noWrap w:val="false"/>
          </w:tcPr>
          <w:p>
            <w:pPr>
              <w:ind w:firstLine="420"/>
              <w:jc w:val="center"/>
              <w:spacing w:line="300" w:lineRule="exact"/>
              <w:rPr>
                <w:szCs w:val="21"/>
              </w:rPr>
            </w:pPr>
            <w:r>
              <w:rPr>
                <w:szCs w:val="21"/>
              </w:rPr>
              <w:t xml:space="preserve">0.5%</w:t>
            </w:r>
            <w:r/>
          </w:p>
        </w:tc>
        <w:tc>
          <w:tcPr>
            <w:tcW w:w="1387" w:type="dxa"/>
            <w:vAlign w:val="center"/>
            <w:textDirection w:val="lrTb"/>
            <w:noWrap w:val="false"/>
          </w:tcPr>
          <w:p>
            <w:pPr>
              <w:ind w:firstLine="420"/>
              <w:spacing w:line="300" w:lineRule="exact"/>
              <w:rPr>
                <w:szCs w:val="21"/>
              </w:rPr>
            </w:pPr>
            <w:r>
              <w:rPr>
                <w:szCs w:val="21"/>
              </w:rPr>
              <w:t xml:space="preserve">0.4%</w:t>
            </w:r>
            <w:r/>
          </w:p>
        </w:tc>
        <w:tc>
          <w:tcPr>
            <w:tcW w:w="2026" w:type="dxa"/>
            <w:vAlign w:val="center"/>
            <w:textDirection w:val="lrTb"/>
            <w:noWrap w:val="false"/>
          </w:tcPr>
          <w:p>
            <w:pPr>
              <w:ind w:firstLine="420"/>
              <w:spacing w:line="300" w:lineRule="exact"/>
              <w:rPr>
                <w:szCs w:val="21"/>
              </w:rPr>
            </w:pPr>
            <w:r>
              <w:rPr>
                <w:szCs w:val="21"/>
              </w:rPr>
              <w:t xml:space="preserve">0.25%</w:t>
            </w:r>
            <w:r/>
          </w:p>
        </w:tc>
        <w:tc>
          <w:tcPr>
            <w:tcW w:w="1378" w:type="dxa"/>
            <w:vAlign w:val="center"/>
            <w:textDirection w:val="lrTb"/>
            <w:noWrap w:val="false"/>
          </w:tcPr>
          <w:p>
            <w:pPr>
              <w:ind w:firstLine="420"/>
              <w:spacing w:line="300" w:lineRule="exact"/>
              <w:rPr>
                <w:szCs w:val="21"/>
              </w:rPr>
            </w:pPr>
            <w:r>
              <w:rPr>
                <w:szCs w:val="21"/>
              </w:rPr>
              <w:t xml:space="preserve">0.2%</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5000-10000</w:t>
            </w:r>
            <w:r/>
          </w:p>
        </w:tc>
        <w:tc>
          <w:tcPr>
            <w:tcW w:w="1973" w:type="dxa"/>
            <w:vAlign w:val="center"/>
            <w:textDirection w:val="lrTb"/>
            <w:noWrap w:val="false"/>
          </w:tcPr>
          <w:p>
            <w:pPr>
              <w:ind w:firstLine="420"/>
              <w:jc w:val="center"/>
              <w:spacing w:line="300" w:lineRule="exact"/>
              <w:rPr>
                <w:szCs w:val="21"/>
              </w:rPr>
            </w:pPr>
            <w:r>
              <w:rPr>
                <w:szCs w:val="21"/>
              </w:rPr>
              <w:t xml:space="preserve">0.25%</w:t>
            </w:r>
            <w:r/>
          </w:p>
        </w:tc>
        <w:tc>
          <w:tcPr>
            <w:tcW w:w="1387" w:type="dxa"/>
            <w:vAlign w:val="center"/>
            <w:textDirection w:val="lrTb"/>
            <w:noWrap w:val="false"/>
          </w:tcPr>
          <w:p>
            <w:pPr>
              <w:ind w:firstLine="420"/>
              <w:spacing w:line="300" w:lineRule="exact"/>
              <w:rPr>
                <w:szCs w:val="21"/>
              </w:rPr>
            </w:pPr>
            <w:r>
              <w:rPr>
                <w:szCs w:val="21"/>
              </w:rPr>
              <w:t xml:space="preserve">0.2%</w:t>
            </w:r>
            <w:r/>
          </w:p>
        </w:tc>
        <w:tc>
          <w:tcPr>
            <w:tcW w:w="2026" w:type="dxa"/>
            <w:vAlign w:val="center"/>
            <w:textDirection w:val="lrTb"/>
            <w:noWrap w:val="false"/>
          </w:tcPr>
          <w:p>
            <w:pPr>
              <w:ind w:firstLine="420"/>
              <w:spacing w:line="300" w:lineRule="exact"/>
              <w:rPr>
                <w:szCs w:val="21"/>
              </w:rPr>
            </w:pPr>
            <w:r>
              <w:rPr>
                <w:szCs w:val="21"/>
              </w:rPr>
              <w:t xml:space="preserve">0.1%</w:t>
            </w:r>
            <w:r/>
          </w:p>
        </w:tc>
        <w:tc>
          <w:tcPr>
            <w:tcW w:w="1378" w:type="dxa"/>
            <w:vAlign w:val="center"/>
            <w:textDirection w:val="lrTb"/>
            <w:noWrap w:val="false"/>
          </w:tcPr>
          <w:p>
            <w:pPr>
              <w:ind w:firstLine="420"/>
              <w:spacing w:line="300" w:lineRule="exact"/>
              <w:rPr>
                <w:szCs w:val="21"/>
              </w:rPr>
            </w:pPr>
            <w:r>
              <w:rPr>
                <w:szCs w:val="21"/>
              </w:rPr>
              <w:t xml:space="preserve">0.08%</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10000-100000</w:t>
            </w:r>
            <w:r/>
          </w:p>
        </w:tc>
        <w:tc>
          <w:tcPr>
            <w:tcW w:w="1973" w:type="dxa"/>
            <w:vAlign w:val="center"/>
            <w:textDirection w:val="lrTb"/>
            <w:noWrap w:val="false"/>
          </w:tcPr>
          <w:p>
            <w:pPr>
              <w:ind w:firstLine="420"/>
              <w:jc w:val="center"/>
              <w:spacing w:line="300" w:lineRule="exact"/>
              <w:rPr>
                <w:szCs w:val="21"/>
              </w:rPr>
            </w:pPr>
            <w:r>
              <w:rPr>
                <w:szCs w:val="21"/>
              </w:rPr>
              <w:t xml:space="preserve">0.05%</w:t>
            </w:r>
            <w:r/>
          </w:p>
        </w:tc>
        <w:tc>
          <w:tcPr>
            <w:tcW w:w="1387" w:type="dxa"/>
            <w:vAlign w:val="center"/>
            <w:textDirection w:val="lrTb"/>
            <w:noWrap w:val="false"/>
          </w:tcPr>
          <w:p>
            <w:pPr>
              <w:ind w:firstLine="420"/>
              <w:spacing w:line="300" w:lineRule="exact"/>
              <w:rPr>
                <w:szCs w:val="21"/>
              </w:rPr>
            </w:pPr>
            <w:r>
              <w:rPr>
                <w:szCs w:val="21"/>
              </w:rPr>
              <w:t xml:space="preserve">0.04%</w:t>
            </w:r>
            <w:r/>
          </w:p>
        </w:tc>
        <w:tc>
          <w:tcPr>
            <w:tcW w:w="2026" w:type="dxa"/>
            <w:vAlign w:val="center"/>
            <w:textDirection w:val="lrTb"/>
            <w:noWrap w:val="false"/>
          </w:tcPr>
          <w:p>
            <w:pPr>
              <w:ind w:firstLine="420"/>
              <w:spacing w:line="300" w:lineRule="exact"/>
              <w:rPr>
                <w:szCs w:val="21"/>
              </w:rPr>
            </w:pPr>
            <w:r>
              <w:rPr>
                <w:szCs w:val="21"/>
              </w:rPr>
              <w:t xml:space="preserve">0.05%</w:t>
            </w:r>
            <w:r/>
          </w:p>
        </w:tc>
        <w:tc>
          <w:tcPr>
            <w:tcW w:w="1378" w:type="dxa"/>
            <w:vAlign w:val="center"/>
            <w:textDirection w:val="lrTb"/>
            <w:noWrap w:val="false"/>
          </w:tcPr>
          <w:p>
            <w:pPr>
              <w:ind w:firstLine="420"/>
              <w:spacing w:line="300" w:lineRule="exact"/>
              <w:rPr>
                <w:szCs w:val="21"/>
              </w:rPr>
            </w:pPr>
            <w:r>
              <w:rPr>
                <w:szCs w:val="21"/>
              </w:rPr>
              <w:t xml:space="preserve">0.04%</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1000000以上</w:t>
            </w:r>
            <w:r/>
          </w:p>
        </w:tc>
        <w:tc>
          <w:tcPr>
            <w:tcW w:w="1973" w:type="dxa"/>
            <w:vAlign w:val="center"/>
            <w:textDirection w:val="lrTb"/>
            <w:noWrap w:val="false"/>
          </w:tcPr>
          <w:p>
            <w:pPr>
              <w:ind w:firstLine="420"/>
              <w:jc w:val="center"/>
              <w:spacing w:line="300" w:lineRule="exact"/>
              <w:rPr>
                <w:szCs w:val="21"/>
              </w:rPr>
            </w:pPr>
            <w:r>
              <w:rPr>
                <w:szCs w:val="21"/>
              </w:rPr>
              <w:t xml:space="preserve">0.01%</w:t>
            </w:r>
            <w:r/>
          </w:p>
        </w:tc>
        <w:tc>
          <w:tcPr>
            <w:tcW w:w="1387" w:type="dxa"/>
            <w:vAlign w:val="center"/>
            <w:textDirection w:val="lrTb"/>
            <w:noWrap w:val="false"/>
          </w:tcPr>
          <w:p>
            <w:pPr>
              <w:ind w:firstLine="420"/>
              <w:spacing w:line="300" w:lineRule="exact"/>
              <w:rPr>
                <w:szCs w:val="21"/>
              </w:rPr>
            </w:pPr>
            <w:r>
              <w:rPr>
                <w:szCs w:val="21"/>
              </w:rPr>
              <w:t xml:space="preserve">0.008%</w:t>
            </w:r>
            <w:r/>
          </w:p>
        </w:tc>
        <w:tc>
          <w:tcPr>
            <w:tcW w:w="2026" w:type="dxa"/>
            <w:vAlign w:val="center"/>
            <w:textDirection w:val="lrTb"/>
            <w:noWrap w:val="false"/>
          </w:tcPr>
          <w:p>
            <w:pPr>
              <w:ind w:firstLine="420"/>
              <w:spacing w:line="300" w:lineRule="exact"/>
              <w:rPr>
                <w:szCs w:val="21"/>
              </w:rPr>
            </w:pPr>
            <w:r>
              <w:rPr>
                <w:szCs w:val="21"/>
              </w:rPr>
              <w:t xml:space="preserve">0.01%</w:t>
            </w:r>
            <w:r/>
          </w:p>
        </w:tc>
        <w:tc>
          <w:tcPr>
            <w:tcW w:w="1378" w:type="dxa"/>
            <w:vAlign w:val="center"/>
            <w:textDirection w:val="lrTb"/>
            <w:noWrap w:val="false"/>
          </w:tcPr>
          <w:p>
            <w:pPr>
              <w:ind w:firstLine="420"/>
              <w:spacing w:line="300" w:lineRule="exact"/>
              <w:rPr>
                <w:szCs w:val="21"/>
              </w:rPr>
            </w:pPr>
            <w:r>
              <w:rPr>
                <w:szCs w:val="21"/>
              </w:rPr>
              <w:t xml:space="preserve">0.008%</w:t>
            </w:r>
            <w:r/>
          </w:p>
        </w:tc>
      </w:tr>
    </w:tbl>
    <w:p>
      <w:pPr>
        <w:ind w:firstLine="422"/>
        <w:jc w:val="left"/>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人民币账号：7351110182300007918</w:t>
      </w:r>
      <w:r/>
    </w:p>
    <w:p>
      <w:pPr>
        <w:spacing w:line="360" w:lineRule="auto"/>
        <w:shd w:val="clear" w:color="auto" w:fill="ffffff"/>
        <w:widowControl/>
        <w:rPr>
          <w:b/>
          <w:bCs/>
          <w:szCs w:val="21"/>
        </w:rPr>
        <w:outlineLvl w:val="1"/>
      </w:pPr>
      <w:r/>
      <w:bookmarkStart w:id="93" w:name="_Toc26180"/>
      <w:r>
        <w:rPr>
          <w:b/>
          <w:bCs/>
          <w:szCs w:val="21"/>
        </w:rPr>
        <w:t xml:space="preserve">七、质疑</w:t>
      </w:r>
      <w:bookmarkEnd w:id="93"/>
      <w:r/>
      <w:r/>
    </w:p>
    <w:p>
      <w:pPr>
        <w:ind w:firstLine="422"/>
        <w:spacing w:line="360" w:lineRule="auto"/>
        <w:rPr>
          <w:b/>
          <w:szCs w:val="21"/>
        </w:rPr>
      </w:pPr>
      <w:r/>
      <w:bookmarkStart w:id="94" w:name="_Toc231820625"/>
      <w:r>
        <w:rPr>
          <w:b/>
          <w:szCs w:val="21"/>
        </w:rPr>
        <w:t xml:space="preserve">29、质疑</w:t>
      </w:r>
      <w:bookmarkEnd w:id="94"/>
      <w:r/>
      <w:r/>
    </w:p>
    <w:p>
      <w:pPr>
        <w:ind w:firstLine="420"/>
        <w:spacing w:line="360" w:lineRule="auto"/>
        <w:rPr>
          <w:bCs/>
          <w:szCs w:val="21"/>
        </w:rPr>
      </w:pPr>
      <w:r>
        <w:rPr>
          <w:bCs/>
          <w:szCs w:val="21"/>
        </w:rPr>
        <w:t xml:space="preserve">29.1供应商对招标活动事项有疑问的，可以向采购代理机构提出询问，采购代理机构将依法作出答复，但答复的内容不涉及商业秘密。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  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5" w:name="_Toc3334"/>
      <w:r>
        <w:rPr>
          <w:b/>
          <w:sz w:val="28"/>
          <w:szCs w:val="28"/>
        </w:rPr>
        <w:t xml:space="preserve">第三章 评标标准</w:t>
      </w:r>
      <w:bookmarkEnd w:id="95"/>
      <w:r/>
      <w:bookmarkStart w:id="96" w:name="_Toc189726853"/>
      <w:r/>
      <w:bookmarkEnd w:id="96"/>
      <w:r/>
      <w:bookmarkStart w:id="97" w:name="_Toc163629751"/>
      <w:r/>
      <w:bookmarkEnd w:id="97"/>
      <w:r/>
      <w:bookmarkStart w:id="98" w:name="_Toc142623417"/>
      <w:r/>
      <w:bookmarkEnd w:id="98"/>
      <w:r/>
      <w:bookmarkStart w:id="99" w:name="_Toc522347554"/>
      <w:r/>
      <w:bookmarkEnd w:id="99"/>
      <w:r/>
      <w:bookmarkStart w:id="100" w:name="_Toc521839351"/>
      <w:r/>
      <w:bookmarkEnd w:id="100"/>
      <w:r/>
      <w:bookmarkStart w:id="101" w:name="_Hlk297273538"/>
      <w:r/>
      <w:bookmarkEnd w:id="101"/>
      <w:r/>
      <w:bookmarkStart w:id="102" w:name="_Toc25032666"/>
      <w:r/>
      <w:bookmarkEnd w:id="102"/>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总分值为100分，小数点后保留两位。评审后得分由高到低顺序排列，得分相同的，按投标报价由低到高顺序排列，得分且投标报价相同的，</w:t>
      </w:r>
      <w:r>
        <w:rPr>
          <w:szCs w:val="21"/>
        </w:rPr>
        <w:t xml:space="preserve">按技术指标优劣顺序排列</w:t>
      </w:r>
      <w:r>
        <w:rPr>
          <w:color w:val="000000"/>
          <w:szCs w:val="21"/>
        </w:rPr>
        <w:t xml:space="preserve">。评标委员会根据最终排名向采购人推荐中标候选人。</w:t>
      </w:r>
      <w:r/>
    </w:p>
    <w:tbl>
      <w:tblPr>
        <w:tblStyle w:val="1174"/>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”为主要技术参数，每有1个不满足的扣3分，未标注的为一般参数，每有1个不满足的扣2分。要求投标人提供可以满足“</w:t>
            </w:r>
            <w:r>
              <w:rPr>
                <w:rFonts w:ascii="Segoe UI Symbol" w:hAnsi="Segoe UI Symbol" w:cs="Segoe UI Symbol"/>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rPr>
                <w:rFonts w:eastAsia="方正仿宋简体"/>
              </w:rPr>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投标人（或所投品牌制造商）提供2023年7月份以来（以合同签订时间为准）同类产品</w:t>
            </w:r>
            <w:r>
              <w:rPr>
                <w:rFonts w:hint="eastAsia"/>
              </w:rPr>
              <w:t xml:space="preserve">（至少包含核心产品）</w:t>
            </w:r>
            <w:r>
              <w:t xml:space="preserve">业绩证明材料（提供合同复印件及对应的发票并加盖公章，原件备查），每提供1份得2分，最高得10分。（未提供或提供的评委不认可的，得0分）。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rFonts w:eastAsia="黑体"/>
              </w:rPr>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（3）投标人提供质保期满后服务承诺，质保期外配件价格清单及折扣率情况（作为附件在投标文件中提供），由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综合评分：价格清单详细和折扣率高的，得2分；价格清单提供和折扣率一般的，得1分；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r/>
      <w:r/>
    </w:p>
    <w:p>
      <w:r>
        <w:br w:type="page" w:clear="all"/>
      </w:r>
      <w:r/>
    </w:p>
    <w:p>
      <w:pPr>
        <w:jc w:val="center"/>
        <w:spacing w:line="360" w:lineRule="auto"/>
        <w:rPr>
          <w:b/>
          <w:color w:val="000000"/>
          <w:sz w:val="28"/>
          <w:szCs w:val="28"/>
        </w:rPr>
        <w:outlineLvl w:val="0"/>
      </w:pPr>
      <w:r/>
      <w:bookmarkStart w:id="103" w:name="_Toc21451"/>
      <w:r>
        <w:rPr>
          <w:b/>
          <w:color w:val="000000"/>
          <w:sz w:val="28"/>
          <w:szCs w:val="28"/>
        </w:rPr>
        <w:t xml:space="preserve">第四章 招标技术规格及要求</w:t>
      </w:r>
      <w:bookmarkEnd w:id="103"/>
      <w:r/>
      <w:r/>
    </w:p>
    <w:p>
      <w:pPr>
        <w:pStyle w:val="1425"/>
        <w:numPr>
          <w:ilvl w:val="0"/>
          <w:numId w:val="2"/>
        </w:numPr>
        <w:spacing w:line="360" w:lineRule="auto"/>
        <w:rPr>
          <w:rFonts w:ascii="Times New Roman" w:hAnsi="Times New Roman" w:cs="Times New Roman"/>
          <w:color w:val="000000"/>
          <w:szCs w:val="21"/>
        </w:rPr>
      </w:pPr>
      <w:r>
        <w:rPr>
          <w:rFonts w:ascii="Times New Roman" w:hAnsi="Times New Roman" w:cs="Times New Roman"/>
          <w:b/>
          <w:bCs/>
          <w:color w:val="000000"/>
          <w:szCs w:val="21"/>
        </w:rPr>
        <w:t xml:space="preserve">采购清单</w:t>
      </w:r>
      <w:r/>
    </w:p>
    <w:tbl>
      <w:tblPr>
        <w:tblStyle w:val="1174"/>
        <w:tblW w:w="4579" w:type="pct"/>
        <w:jc w:val="center"/>
        <w:tblLayout w:type="fixed"/>
        <w:tblCellMar>
          <w:left w:w="108" w:type="dxa"/>
          <w:top w:w="0" w:type="dxa"/>
          <w:right w:w="108" w:type="dxa"/>
          <w:bottom w:w="0" w:type="dxa"/>
        </w:tblCellMar>
        <w:tblLook w:val="04A0" w:firstRow="1" w:lastRow="0" w:firstColumn="1" w:lastColumn="0" w:noHBand="0" w:noVBand="1"/>
      </w:tblPr>
      <w:tblGrid>
        <w:gridCol w:w="742"/>
        <w:gridCol w:w="3190"/>
        <w:gridCol w:w="925"/>
        <w:gridCol w:w="1512"/>
        <w:gridCol w:w="1568"/>
        <w:gridCol w:w="989"/>
      </w:tblGrid>
      <w:tr>
        <w:trPr>
          <w:jc w:val="center"/>
          <w:trHeight w:val="776"/>
        </w:trPr>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电动堆高车</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bCs/>
                <w:szCs w:val="21"/>
              </w:rPr>
            </w:pPr>
            <w:r>
              <w:rPr>
                <w:rFonts w:eastAsiaTheme="minorEastAsia"/>
                <w:bCs/>
                <w:szCs w:val="21"/>
              </w:rPr>
              <w:t xml:space="preserve">2.5</w:t>
            </w:r>
            <w:r/>
          </w:p>
        </w:tc>
        <w:tc>
          <w:tcPr>
            <w:tcBorders>
              <w:top w:val="single" w:color="auto" w:sz="4" w:space="0"/>
              <w:left w:val="single" w:color="auto" w:sz="4" w:space="0"/>
              <w:right w:val="single" w:color="auto" w:sz="4" w:space="0"/>
            </w:tcBorders>
            <w:tcW w:w="877" w:type="pct"/>
            <w:vAlign w:val="center"/>
            <w:vMerge w:val="restart"/>
            <w:textDirection w:val="lrTb"/>
            <w:noWrap w:val="false"/>
          </w:tcPr>
          <w:p>
            <w:pPr>
              <w:ind w:right="-107"/>
              <w:jc w:val="center"/>
              <w:tabs>
                <w:tab w:val="left" w:pos="4788" w:leader="none"/>
              </w:tabs>
              <w:rPr>
                <w:rFonts w:eastAsiaTheme="minorEastAsia"/>
                <w:bCs/>
                <w:szCs w:val="21"/>
              </w:rPr>
            </w:pPr>
            <w:r>
              <w:rPr>
                <w:szCs w:val="21"/>
              </w:rPr>
              <w:t xml:space="preserve">合同签订后</w:t>
            </w:r>
            <w:r>
              <w:rPr>
                <w:rFonts w:hint="eastAsia"/>
                <w:szCs w:val="21"/>
              </w:rPr>
              <w:t xml:space="preserve">2</w:t>
            </w:r>
            <w:r>
              <w:rPr>
                <w:szCs w:val="21"/>
              </w:rPr>
              <w:t xml:space="preserve">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二保焊机</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bCs/>
                <w:szCs w:val="21"/>
              </w:rPr>
            </w:pPr>
            <w:r>
              <w:rPr>
                <w:rFonts w:eastAsiaTheme="minorEastAsia"/>
                <w:bCs/>
                <w:szCs w:val="21"/>
              </w:rPr>
              <w:t xml:space="preserve">3</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bCs/>
                <w:szCs w:val="21"/>
              </w:rPr>
            </w:pPr>
            <w:r>
              <w:rPr>
                <w:rFonts w:eastAsiaTheme="minorEastAsia"/>
                <w:bCs/>
                <w:szCs w:val="21"/>
              </w:rPr>
              <w:t xml:space="preserve">2.7</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spacing w:line="360" w:lineRule="auto"/>
              <w:rPr>
                <w:rFonts w:eastAsiaTheme="minorEastAsia"/>
                <w:bCs/>
                <w:szCs w:val="21"/>
              </w:rPr>
            </w:pPr>
            <w:r>
              <w:t xml:space="preserve">氩电焊机</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bCs/>
                <w:szCs w:val="21"/>
              </w:rPr>
            </w:pPr>
            <w:r>
              <w:rPr>
                <w:rFonts w:eastAsiaTheme="minorEastAsia"/>
                <w:bCs/>
                <w:szCs w:val="21"/>
              </w:rPr>
              <w:t xml:space="preserve">12</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bCs/>
                <w:szCs w:val="21"/>
              </w:rPr>
            </w:pPr>
            <w:r>
              <w:rPr>
                <w:rFonts w:eastAsiaTheme="minorEastAsia"/>
                <w:bCs/>
                <w:szCs w:val="21"/>
              </w:rPr>
              <w:t xml:space="preserve">8.4</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bCs/>
                <w:szCs w:val="21"/>
              </w:rPr>
            </w:pPr>
            <w:r>
              <w:t xml:space="preserve">空压机</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bCs/>
                <w:szCs w:val="21"/>
              </w:rPr>
            </w:pPr>
            <w:r>
              <w:rPr>
                <w:rFonts w:eastAsiaTheme="minorEastAsia"/>
                <w:bCs/>
                <w:szCs w:val="21"/>
              </w:rPr>
              <w:t xml:space="preserve">0.85</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bCs/>
                <w:szCs w:val="21"/>
              </w:rPr>
            </w:pPr>
            <w:r>
              <w:t xml:space="preserve">水处理设备实操考核模拟机</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bCs/>
                <w:szCs w:val="21"/>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bCs/>
                <w:szCs w:val="21"/>
              </w:rPr>
            </w:pPr>
            <w:r>
              <w:rPr>
                <w:rFonts w:eastAsiaTheme="minorEastAsia"/>
                <w:bCs/>
                <w:szCs w:val="21"/>
              </w:rPr>
              <w:t xml:space="preserve">9.96</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bCs/>
                <w:szCs w:val="21"/>
              </w:rPr>
            </w:pPr>
            <w:r>
              <w:t xml:space="preserve">埋弧焊焊机</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bCs/>
                <w:szCs w:val="21"/>
              </w:rPr>
            </w:pPr>
            <w:r>
              <w:rPr>
                <w:rFonts w:eastAsiaTheme="minorEastAsia"/>
                <w:bCs/>
                <w:szCs w:val="21"/>
              </w:rPr>
              <w:t xml:space="preserve">2.5</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bCs/>
                <w:szCs w:val="21"/>
              </w:rPr>
            </w:pPr>
            <w:r>
              <w:t xml:space="preserve">焊条烘干炉</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bCs/>
                <w:szCs w:val="21"/>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bCs/>
                <w:szCs w:val="21"/>
              </w:rPr>
            </w:pPr>
            <w:r>
              <w:rPr>
                <w:rFonts w:eastAsiaTheme="minorEastAsia"/>
                <w:bCs/>
                <w:szCs w:val="21"/>
              </w:rPr>
              <w:t xml:space="preserve">1.56</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bCs/>
                <w:szCs w:val="21"/>
              </w:rPr>
            </w:pPr>
            <w:r>
              <w:t xml:space="preserve">车铣复合机床</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bCs/>
                <w:szCs w:val="21"/>
              </w:rPr>
            </w:pPr>
            <w:r>
              <w:rPr>
                <w:rFonts w:eastAsiaTheme="minorEastAsia"/>
                <w:bCs/>
                <w:szCs w:val="21"/>
              </w:rPr>
              <w:t xml:space="preserve">3.5</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color w:val="000000"/>
                <w:szCs w:val="21"/>
                <w:lang w:bidi="ar"/>
              </w:rPr>
            </w:pPr>
            <w:r>
              <w:t xml:space="preserve">逆变式直流脉冲氩弧焊机</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8.8</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color w:val="000000"/>
                <w:szCs w:val="21"/>
                <w:lang w:bidi="ar"/>
              </w:rPr>
            </w:pPr>
            <w:r>
              <w:t xml:space="preserve">等离子氩弧自动焊机(P+T)</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19.6</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294"/>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color w:val="000000"/>
                <w:szCs w:val="21"/>
                <w:lang w:bidi="ar"/>
              </w:rPr>
            </w:pPr>
            <w:r>
              <w:t xml:space="preserve">管板自动氩弧焊机电源控制系统及辅件</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3.3</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color w:val="000000"/>
                <w:szCs w:val="21"/>
                <w:lang w:bidi="ar"/>
              </w:rPr>
            </w:pPr>
            <w:r>
              <w:t xml:space="preserve">管板自动焊机机头及操作架</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4.2</w:t>
            </w:r>
            <w:r/>
          </w:p>
        </w:tc>
        <w:tc>
          <w:tcPr>
            <w:tcBorders>
              <w:left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eastAsiaTheme="minorEastAsia"/>
                <w:color w:val="000000"/>
                <w:szCs w:val="21"/>
                <w:lang w:bidi="ar"/>
              </w:rPr>
            </w:pPr>
            <w:r>
              <w:t xml:space="preserve">移动式焊烟除尘净化器</w:t>
            </w:r>
            <w:r/>
          </w:p>
        </w:tc>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5</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2.5</w:t>
            </w:r>
            <w:r/>
          </w:p>
        </w:tc>
        <w:tc>
          <w:tcPr>
            <w:tcBorders>
              <w:left w:val="single" w:color="auto" w:sz="4" w:space="0"/>
              <w:bottom w:val="single" w:color="auto" w:sz="4" w:space="0"/>
              <w:right w:val="single" w:color="auto" w:sz="4" w:space="0"/>
            </w:tcBorders>
            <w:tcW w:w="87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bl>
    <w:p>
      <w:pPr>
        <w:pStyle w:val="1425"/>
        <w:ind w:left="0" w:firstLine="0"/>
        <w:spacing w:line="360" w:lineRule="auto"/>
        <w:rPr>
          <w:rFonts w:ascii="Times New Roman" w:hAnsi="Times New Roman" w:cs="Times New Roman"/>
          <w:color w:val="000000"/>
          <w:szCs w:val="21"/>
        </w:rPr>
      </w:pPr>
      <w:r>
        <w:rPr>
          <w:rFonts w:ascii="Times New Roman" w:hAnsi="Times New Roman" w:cs="Times New Roman"/>
          <w:color w:val="000000"/>
          <w:szCs w:val="21"/>
        </w:rPr>
      </w:r>
      <w:r/>
    </w:p>
    <w:p>
      <w:pPr>
        <w:jc w:val="left"/>
        <w:spacing w:line="360" w:lineRule="auto"/>
        <w:widowControl/>
        <w:rPr>
          <w:b/>
          <w:color w:val="000000"/>
          <w:szCs w:val="21"/>
        </w:rPr>
      </w:pPr>
      <w:r/>
      <w:bookmarkStart w:id="104" w:name="_Toc15467"/>
      <w:r/>
      <w:bookmarkStart w:id="105" w:name="_Toc20052"/>
      <w:r>
        <w:rPr>
          <w:b/>
          <w:color w:val="000000"/>
          <w:szCs w:val="21"/>
        </w:rPr>
        <w:t xml:space="preserve">注：1.投标人需按照上述清单分别报价，并合并计入投标总价。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4.招标文件中标注的“</w:t>
      </w:r>
      <w:r>
        <w:rPr>
          <w:rFonts w:ascii="Segoe UI Symbol" w:hAnsi="Segoe UI Symbol" w:cs="Segoe UI Symbol"/>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1.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numPr>
          <w:ilvl w:val="0"/>
          <w:numId w:val="3"/>
        </w:numPr>
        <w:ind w:left="422"/>
        <w:spacing w:line="360" w:lineRule="auto"/>
        <w:rPr>
          <w:b/>
          <w:color w:val="000000"/>
          <w:szCs w:val="21"/>
        </w:rPr>
      </w:pPr>
      <w:r>
        <w:rPr>
          <w:b/>
          <w:color w:val="000000"/>
          <w:szCs w:val="21"/>
        </w:rPr>
        <w:t xml:space="preserve">技术参数中提到的证明材料，均需投标人在投标文件中提供复印件并加盖公章，原件备查。</w:t>
      </w:r>
      <w:r/>
    </w:p>
    <w:p>
      <w:pPr>
        <w:jc w:val="center"/>
        <w:spacing w:line="360" w:lineRule="auto"/>
        <w:rPr>
          <w:b/>
          <w:bCs/>
          <w:szCs w:val="21"/>
        </w:rPr>
      </w:pPr>
      <w:r>
        <w:rPr>
          <w:b/>
          <w:bCs/>
          <w:szCs w:val="21"/>
        </w:rPr>
        <w:t xml:space="preserve">品目一 电动堆高车</w:t>
      </w:r>
      <w:r/>
    </w:p>
    <w:p>
      <w:pPr>
        <w:ind w:firstLine="210"/>
        <w:spacing w:line="360" w:lineRule="auto"/>
        <w:rPr>
          <w:bCs/>
          <w:szCs w:val="21"/>
        </w:rPr>
      </w:pPr>
      <w:r>
        <w:rPr>
          <w:bCs/>
          <w:szCs w:val="21"/>
        </w:rPr>
        <w:t xml:space="preserve">1、额定载重：1200kg；</w:t>
      </w:r>
      <w:r/>
    </w:p>
    <w:p>
      <w:pPr>
        <w:ind w:firstLine="210"/>
        <w:spacing w:line="360" w:lineRule="auto"/>
        <w:rPr>
          <w:bCs/>
          <w:szCs w:val="21"/>
        </w:rPr>
      </w:pPr>
      <w:r>
        <w:rPr>
          <w:bCs/>
          <w:szCs w:val="21"/>
        </w:rPr>
        <w:t xml:space="preserve">2、行驶速度：5km/h；</w:t>
      </w:r>
      <w:r/>
    </w:p>
    <w:p>
      <w:pPr>
        <w:ind w:firstLine="210"/>
        <w:spacing w:line="360" w:lineRule="auto"/>
        <w:rPr>
          <w:bCs/>
          <w:szCs w:val="21"/>
        </w:rPr>
      </w:pPr>
      <w:r>
        <w:rPr>
          <w:bCs/>
          <w:szCs w:val="21"/>
        </w:rPr>
        <w:t xml:space="preserve">3、驾驶方式：步行式全电动；</w:t>
      </w:r>
      <w:r/>
    </w:p>
    <w:p>
      <w:pPr>
        <w:ind w:firstLine="210"/>
        <w:spacing w:line="360" w:lineRule="auto"/>
        <w:rPr>
          <w:bCs/>
          <w:szCs w:val="21"/>
        </w:rPr>
      </w:pPr>
      <w:r>
        <w:rPr>
          <w:bCs/>
          <w:szCs w:val="21"/>
        </w:rPr>
        <w:t xml:space="preserve">4、电池容量：24V/60Ah；</w:t>
      </w:r>
      <w:r/>
    </w:p>
    <w:p>
      <w:pPr>
        <w:ind w:firstLine="210"/>
        <w:spacing w:line="360" w:lineRule="auto"/>
        <w:rPr>
          <w:bCs/>
          <w:szCs w:val="21"/>
        </w:rPr>
      </w:pPr>
      <w:r>
        <w:rPr>
          <w:bCs/>
          <w:szCs w:val="21"/>
        </w:rPr>
        <w:t xml:space="preserve">5、载荷中心距：600mm；</w:t>
      </w:r>
      <w:r/>
    </w:p>
    <w:p>
      <w:pPr>
        <w:ind w:firstLine="210"/>
        <w:spacing w:line="360" w:lineRule="auto"/>
        <w:rPr>
          <w:bCs/>
          <w:szCs w:val="21"/>
        </w:rPr>
      </w:pPr>
      <w:r>
        <w:rPr>
          <w:bCs/>
          <w:szCs w:val="21"/>
        </w:rPr>
        <w:t xml:space="preserve">6、货叉最高离地高度：≤2800mm；</w:t>
      </w:r>
      <w:r/>
    </w:p>
    <w:p>
      <w:pPr>
        <w:ind w:firstLine="210"/>
        <w:spacing w:line="360" w:lineRule="auto"/>
        <w:rPr>
          <w:bCs/>
          <w:szCs w:val="21"/>
        </w:rPr>
      </w:pPr>
      <w:r>
        <w:rPr>
          <w:bCs/>
          <w:szCs w:val="21"/>
        </w:rPr>
        <w:t xml:space="preserve">7、货叉最低离地高度：≥85mm；</w:t>
      </w:r>
      <w:r/>
    </w:p>
    <w:p>
      <w:pPr>
        <w:jc w:val="center"/>
        <w:spacing w:line="360" w:lineRule="auto"/>
        <w:rPr>
          <w:b/>
          <w:bCs/>
          <w:szCs w:val="21"/>
        </w:rPr>
      </w:pPr>
      <w:r>
        <w:rPr>
          <w:b/>
          <w:bCs/>
          <w:szCs w:val="21"/>
        </w:rPr>
        <w:t xml:space="preserve">品目二 二保焊机</w:t>
      </w:r>
      <w:r/>
    </w:p>
    <w:p>
      <w:pPr>
        <w:ind w:firstLine="210"/>
        <w:spacing w:line="360" w:lineRule="auto"/>
        <w:rPr>
          <w:bCs/>
          <w:szCs w:val="21"/>
        </w:rPr>
      </w:pPr>
      <w:r>
        <w:rPr>
          <w:bCs/>
          <w:szCs w:val="21"/>
        </w:rPr>
        <w:t xml:space="preserve">1、电源电压：AC380V；</w:t>
      </w:r>
      <w:r/>
    </w:p>
    <w:p>
      <w:pPr>
        <w:ind w:firstLine="210"/>
        <w:spacing w:line="360" w:lineRule="auto"/>
        <w:rPr>
          <w:bCs/>
          <w:szCs w:val="21"/>
        </w:rPr>
      </w:pPr>
      <w:r>
        <w:rPr>
          <w:bCs/>
          <w:szCs w:val="21"/>
        </w:rPr>
        <w:t xml:space="preserve">2、频率：50Hz；</w:t>
      </w:r>
      <w:r/>
    </w:p>
    <w:p>
      <w:pPr>
        <w:ind w:firstLine="210"/>
        <w:spacing w:line="360" w:lineRule="auto"/>
        <w:rPr>
          <w:bCs/>
          <w:szCs w:val="21"/>
        </w:rPr>
      </w:pPr>
      <w:r>
        <w:rPr>
          <w:bCs/>
          <w:szCs w:val="21"/>
        </w:rPr>
        <w:t xml:space="preserve">3、输入容量：≥13KVA；</w:t>
      </w:r>
      <w:r/>
    </w:p>
    <w:p>
      <w:pPr>
        <w:ind w:firstLine="210"/>
        <w:spacing w:line="360" w:lineRule="auto"/>
        <w:rPr>
          <w:bCs/>
          <w:szCs w:val="21"/>
        </w:rPr>
      </w:pPr>
      <w:r>
        <w:rPr>
          <w:bCs/>
          <w:szCs w:val="21"/>
        </w:rPr>
        <w:t xml:space="preserve">4、空载电压：70V；</w:t>
      </w:r>
      <w:r/>
    </w:p>
    <w:p>
      <w:pPr>
        <w:ind w:firstLine="210"/>
        <w:spacing w:line="360" w:lineRule="auto"/>
        <w:rPr>
          <w:bCs/>
          <w:szCs w:val="21"/>
        </w:rPr>
      </w:pPr>
      <w:r>
        <w:rPr>
          <w:bCs/>
          <w:szCs w:val="21"/>
        </w:rPr>
        <w:t xml:space="preserve">5、输出电流调节：60-350A；</w:t>
      </w:r>
      <w:r/>
    </w:p>
    <w:p>
      <w:pPr>
        <w:ind w:firstLine="210"/>
        <w:spacing w:line="360" w:lineRule="auto"/>
        <w:rPr>
          <w:bCs/>
          <w:szCs w:val="21"/>
        </w:rPr>
      </w:pPr>
      <w:r>
        <w:rPr>
          <w:bCs/>
          <w:szCs w:val="21"/>
        </w:rPr>
        <w:t xml:space="preserve">6、输出电压调节：14-40V；</w:t>
      </w:r>
      <w:r/>
    </w:p>
    <w:p>
      <w:pPr>
        <w:ind w:firstLine="210"/>
        <w:spacing w:line="360" w:lineRule="auto"/>
        <w:rPr>
          <w:bCs/>
          <w:szCs w:val="21"/>
        </w:rPr>
      </w:pPr>
      <w:r>
        <w:rPr>
          <w:bCs/>
          <w:szCs w:val="21"/>
        </w:rPr>
        <w:t xml:space="preserve">7、负载持续率：≥60%；</w:t>
      </w:r>
      <w:r/>
    </w:p>
    <w:p>
      <w:pPr>
        <w:ind w:firstLine="210"/>
        <w:spacing w:line="360" w:lineRule="auto"/>
        <w:rPr>
          <w:bCs/>
          <w:szCs w:val="21"/>
        </w:rPr>
      </w:pPr>
      <w:r>
        <w:rPr>
          <w:bCs/>
          <w:szCs w:val="21"/>
        </w:rPr>
        <w:t xml:space="preserve">8、适用焊丝：0.8-1.2；</w:t>
      </w:r>
      <w:r/>
    </w:p>
    <w:p>
      <w:pPr>
        <w:ind w:firstLine="210"/>
        <w:spacing w:line="360" w:lineRule="auto"/>
        <w:rPr>
          <w:bCs/>
          <w:szCs w:val="21"/>
        </w:rPr>
      </w:pPr>
      <w:r>
        <w:rPr>
          <w:bCs/>
          <w:szCs w:val="21"/>
        </w:rPr>
        <w:t xml:space="preserve">9、机器尺寸：＜600×400×600mm；</w:t>
      </w:r>
      <w:r/>
    </w:p>
    <w:p>
      <w:pPr>
        <w:ind w:firstLine="210"/>
        <w:spacing w:line="360" w:lineRule="auto"/>
        <w:rPr>
          <w:bCs/>
          <w:szCs w:val="21"/>
        </w:rPr>
      </w:pPr>
      <w:r>
        <w:rPr>
          <w:bCs/>
          <w:szCs w:val="21"/>
        </w:rPr>
        <w:t xml:space="preserve">10、重量：＜45KG；</w:t>
      </w:r>
      <w:r/>
    </w:p>
    <w:p>
      <w:pPr>
        <w:jc w:val="center"/>
        <w:spacing w:line="360" w:lineRule="auto"/>
        <w:rPr>
          <w:b/>
          <w:bCs/>
          <w:szCs w:val="21"/>
        </w:rPr>
      </w:pPr>
      <w:r>
        <w:rPr>
          <w:b/>
          <w:bCs/>
          <w:szCs w:val="21"/>
        </w:rPr>
        <w:t xml:space="preserve">品目三 氩电焊机</w:t>
      </w:r>
      <w:r/>
    </w:p>
    <w:p>
      <w:pPr>
        <w:ind w:firstLine="210"/>
        <w:spacing w:line="360" w:lineRule="auto"/>
        <w:rPr>
          <w:bCs/>
          <w:szCs w:val="21"/>
        </w:rPr>
      </w:pPr>
      <w:r>
        <w:rPr>
          <w:bCs/>
          <w:szCs w:val="21"/>
        </w:rPr>
        <w:t xml:space="preserve">1、额定输入容量：＜20KVA；</w:t>
      </w:r>
      <w:r/>
    </w:p>
    <w:p>
      <w:pPr>
        <w:ind w:firstLine="210"/>
        <w:spacing w:line="360" w:lineRule="auto"/>
        <w:rPr>
          <w:bCs/>
          <w:szCs w:val="21"/>
        </w:rPr>
      </w:pPr>
      <w:r>
        <w:rPr>
          <w:bCs/>
          <w:szCs w:val="21"/>
        </w:rPr>
        <w:t xml:space="preserve">2、额定输入电压：36V；</w:t>
      </w:r>
      <w:r/>
    </w:p>
    <w:p>
      <w:pPr>
        <w:ind w:firstLine="210"/>
        <w:spacing w:line="360" w:lineRule="auto"/>
        <w:rPr>
          <w:bCs/>
          <w:szCs w:val="21"/>
        </w:rPr>
      </w:pPr>
      <w:r>
        <w:rPr>
          <w:bCs/>
          <w:szCs w:val="21"/>
        </w:rPr>
        <w:t xml:space="preserve">3、输出空载电压(V)：68/69/71V；</w:t>
      </w:r>
      <w:r/>
    </w:p>
    <w:p>
      <w:pPr>
        <w:ind w:firstLine="210"/>
        <w:spacing w:line="360" w:lineRule="auto"/>
        <w:rPr>
          <w:bCs/>
          <w:szCs w:val="21"/>
        </w:rPr>
      </w:pPr>
      <w:r>
        <w:rPr>
          <w:bCs/>
          <w:szCs w:val="21"/>
        </w:rPr>
        <w:t xml:space="preserve">4、TIG引弧方式：接触引弧/高频引弧；</w:t>
      </w:r>
      <w:r/>
    </w:p>
    <w:p>
      <w:pPr>
        <w:ind w:firstLine="210"/>
        <w:spacing w:line="360" w:lineRule="auto"/>
        <w:rPr>
          <w:bCs/>
          <w:szCs w:val="21"/>
        </w:rPr>
      </w:pPr>
      <w:r>
        <w:rPr>
          <w:bCs/>
          <w:szCs w:val="21"/>
        </w:rPr>
        <w:t xml:space="preserve">5、绝缘等级：H；</w:t>
      </w:r>
      <w:r/>
    </w:p>
    <w:p>
      <w:pPr>
        <w:ind w:firstLine="210"/>
        <w:spacing w:line="360" w:lineRule="auto"/>
        <w:rPr>
          <w:bCs/>
          <w:szCs w:val="21"/>
        </w:rPr>
      </w:pPr>
      <w:r>
        <w:rPr>
          <w:bCs/>
          <w:szCs w:val="21"/>
        </w:rPr>
        <w:t xml:space="preserve">6、外形尺寸：＜650×400×600mm；</w:t>
      </w:r>
      <w:r/>
    </w:p>
    <w:p>
      <w:pPr>
        <w:ind w:firstLine="210"/>
        <w:spacing w:line="360" w:lineRule="auto"/>
        <w:rPr>
          <w:bCs/>
          <w:szCs w:val="21"/>
        </w:rPr>
      </w:pPr>
      <w:r>
        <w:rPr>
          <w:bCs/>
          <w:szCs w:val="21"/>
        </w:rPr>
        <w:t xml:space="preserve">7、额定输入电压/频率：三相380V±10%50Hz；</w:t>
      </w:r>
      <w:r/>
    </w:p>
    <w:p>
      <w:pPr>
        <w:ind w:firstLine="210"/>
        <w:spacing w:line="360" w:lineRule="auto"/>
        <w:rPr>
          <w:bCs/>
          <w:szCs w:val="21"/>
        </w:rPr>
      </w:pPr>
      <w:r>
        <w:rPr>
          <w:bCs/>
          <w:szCs w:val="21"/>
        </w:rPr>
        <w:t xml:space="preserve">8、额定输入电流：≥28A；</w:t>
      </w:r>
      <w:r/>
    </w:p>
    <w:p>
      <w:pPr>
        <w:ind w:firstLine="210"/>
        <w:spacing w:line="360" w:lineRule="auto"/>
        <w:rPr>
          <w:bCs/>
          <w:szCs w:val="21"/>
        </w:rPr>
      </w:pPr>
      <w:r>
        <w:rPr>
          <w:bCs/>
          <w:szCs w:val="21"/>
        </w:rPr>
        <w:t xml:space="preserve">9、额定负载持续率：≥60%；</w:t>
      </w:r>
      <w:r/>
    </w:p>
    <w:p>
      <w:pPr>
        <w:ind w:firstLine="210"/>
        <w:spacing w:line="360" w:lineRule="auto"/>
        <w:rPr>
          <w:bCs/>
          <w:szCs w:val="21"/>
        </w:rPr>
      </w:pPr>
      <w:r>
        <w:rPr>
          <w:bCs/>
          <w:szCs w:val="21"/>
        </w:rPr>
        <w:t xml:space="preserve">10、输出电流范围：20~400A；</w:t>
      </w:r>
      <w:r/>
    </w:p>
    <w:p>
      <w:pPr>
        <w:ind w:firstLine="210"/>
        <w:spacing w:line="360" w:lineRule="auto"/>
        <w:rPr>
          <w:bCs/>
          <w:szCs w:val="21"/>
        </w:rPr>
      </w:pPr>
      <w:r>
        <w:rPr>
          <w:bCs/>
          <w:szCs w:val="21"/>
        </w:rPr>
        <w:t xml:space="preserve">11、外壳防护等级：≥IP21S；</w:t>
      </w:r>
      <w:r/>
    </w:p>
    <w:p>
      <w:pPr>
        <w:ind w:firstLine="210"/>
        <w:spacing w:line="360" w:lineRule="auto"/>
        <w:rPr>
          <w:bCs/>
          <w:szCs w:val="21"/>
        </w:rPr>
      </w:pPr>
      <w:r>
        <w:rPr>
          <w:bCs/>
          <w:szCs w:val="21"/>
        </w:rPr>
        <w:t xml:space="preserve">12、冷却方式：风冷；</w:t>
      </w:r>
      <w:r/>
    </w:p>
    <w:p>
      <w:pPr>
        <w:ind w:firstLine="210"/>
        <w:spacing w:line="360" w:lineRule="auto"/>
        <w:rPr>
          <w:bCs/>
          <w:szCs w:val="21"/>
        </w:rPr>
      </w:pPr>
      <w:r>
        <w:rPr>
          <w:bCs/>
          <w:szCs w:val="21"/>
        </w:rPr>
        <w:t xml:space="preserve">13、重量：＜50kg；</w:t>
      </w:r>
      <w:r/>
    </w:p>
    <w:p>
      <w:pPr>
        <w:jc w:val="center"/>
        <w:spacing w:line="360" w:lineRule="auto"/>
        <w:rPr>
          <w:b/>
          <w:bCs/>
          <w:szCs w:val="21"/>
        </w:rPr>
      </w:pPr>
      <w:r>
        <w:rPr>
          <w:b/>
          <w:bCs/>
          <w:szCs w:val="21"/>
        </w:rPr>
        <w:t xml:space="preserve">品目四 空压机</w:t>
      </w:r>
      <w:r/>
    </w:p>
    <w:p>
      <w:pPr>
        <w:ind w:firstLine="210"/>
        <w:spacing w:line="360" w:lineRule="auto"/>
        <w:rPr>
          <w:bCs/>
          <w:szCs w:val="21"/>
        </w:rPr>
      </w:pPr>
      <w:r>
        <w:rPr>
          <w:bCs/>
          <w:szCs w:val="21"/>
        </w:rPr>
        <w:t xml:space="preserve">1、功率：5.5kW/7.5HP；</w:t>
      </w:r>
      <w:r/>
    </w:p>
    <w:p>
      <w:pPr>
        <w:ind w:firstLine="210"/>
        <w:spacing w:line="360" w:lineRule="auto"/>
        <w:rPr>
          <w:bCs/>
          <w:szCs w:val="21"/>
        </w:rPr>
      </w:pPr>
      <w:r>
        <w:rPr>
          <w:bCs/>
          <w:szCs w:val="21"/>
        </w:rPr>
        <w:t xml:space="preserve">2、排气量：≥0.96Nm</w:t>
      </w:r>
      <w:r>
        <w:rPr>
          <w:bCs/>
          <w:szCs w:val="21"/>
          <w:vertAlign w:val="superscript"/>
        </w:rPr>
        <w:t xml:space="preserve">3</w:t>
      </w:r>
      <w:r>
        <w:rPr>
          <w:bCs/>
          <w:szCs w:val="21"/>
        </w:rPr>
        <w:t xml:space="preserve">/min；</w:t>
      </w:r>
      <w:r/>
    </w:p>
    <w:p>
      <w:pPr>
        <w:ind w:firstLine="210"/>
        <w:spacing w:line="360" w:lineRule="auto"/>
        <w:rPr>
          <w:bCs/>
          <w:szCs w:val="21"/>
        </w:rPr>
      </w:pPr>
      <w:r>
        <w:rPr>
          <w:bCs/>
          <w:szCs w:val="21"/>
        </w:rPr>
        <w:t xml:space="preserve">3、排气压力：≤8kg/cm</w:t>
      </w:r>
      <w:r>
        <w:rPr>
          <w:bCs/>
          <w:szCs w:val="21"/>
          <w:vertAlign w:val="superscript"/>
        </w:rPr>
        <w:t xml:space="preserve">2</w:t>
      </w:r>
      <w:r/>
    </w:p>
    <w:p>
      <w:pPr>
        <w:ind w:firstLine="210"/>
        <w:spacing w:line="360" w:lineRule="auto"/>
        <w:rPr>
          <w:bCs/>
          <w:szCs w:val="21"/>
        </w:rPr>
      </w:pPr>
      <w:r>
        <w:rPr>
          <w:bCs/>
          <w:szCs w:val="21"/>
        </w:rPr>
        <w:t xml:space="preserve">4、气桶容积：160L；</w:t>
      </w:r>
      <w:r/>
    </w:p>
    <w:p>
      <w:pPr>
        <w:ind w:firstLine="210"/>
        <w:spacing w:line="360" w:lineRule="auto"/>
        <w:rPr>
          <w:bCs/>
          <w:szCs w:val="21"/>
        </w:rPr>
      </w:pPr>
      <w:r>
        <w:rPr>
          <w:bCs/>
          <w:szCs w:val="21"/>
        </w:rPr>
        <w:t xml:space="preserve">5、外形尺寸：＜1800×800×1200mm；</w:t>
      </w:r>
      <w:r/>
    </w:p>
    <w:p>
      <w:pPr>
        <w:jc w:val="center"/>
        <w:spacing w:line="360" w:lineRule="auto"/>
        <w:rPr>
          <w:b/>
          <w:bCs/>
          <w:szCs w:val="21"/>
        </w:rPr>
      </w:pPr>
      <w:r>
        <w:rPr>
          <w:b/>
          <w:bCs/>
          <w:szCs w:val="21"/>
        </w:rPr>
        <w:t xml:space="preserve">品目五 水处理设备实操考核模拟机</w:t>
      </w:r>
      <w:r/>
    </w:p>
    <w:p>
      <w:pPr>
        <w:ind w:firstLine="210"/>
        <w:spacing w:line="360" w:lineRule="auto"/>
        <w:rPr>
          <w:bCs/>
          <w:szCs w:val="21"/>
        </w:rPr>
      </w:pPr>
      <w:r>
        <w:rPr>
          <w:bCs/>
          <w:szCs w:val="21"/>
        </w:rPr>
        <w:t xml:space="preserve">一、功能参数要求</w:t>
      </w:r>
      <w:r/>
    </w:p>
    <w:p>
      <w:pPr>
        <w:ind w:firstLine="210"/>
        <w:spacing w:line="360" w:lineRule="auto"/>
        <w:rPr>
          <w:bCs/>
          <w:szCs w:val="21"/>
        </w:rPr>
      </w:pPr>
      <w:r>
        <w:rPr>
          <w:bCs/>
          <w:szCs w:val="21"/>
        </w:rPr>
        <w:t xml:space="preserve">1、水处理装置附件：交换罐、压力表、阀门及连接管道等，让学员直观的了解水处理装置的附属设备结构和安装位置；</w:t>
      </w:r>
      <w:r/>
    </w:p>
    <w:p>
      <w:pPr>
        <w:ind w:firstLine="210"/>
        <w:spacing w:line="360" w:lineRule="auto"/>
        <w:rPr>
          <w:bCs/>
          <w:szCs w:val="21"/>
        </w:rPr>
      </w:pPr>
      <w:r>
        <w:rPr>
          <w:bCs/>
          <w:szCs w:val="21"/>
        </w:rPr>
        <w:t xml:space="preserve">2、要求能够实现正常操作、故障设置、应急操作等科目考试的要求，所有科目考试内容应与考核大纲一致；</w:t>
      </w:r>
      <w:r/>
    </w:p>
    <w:p>
      <w:pPr>
        <w:ind w:firstLine="210"/>
        <w:spacing w:line="360" w:lineRule="auto"/>
        <w:rPr>
          <w:bCs/>
          <w:szCs w:val="21"/>
        </w:rPr>
      </w:pPr>
      <w:r>
        <w:rPr>
          <w:bCs/>
          <w:szCs w:val="21"/>
        </w:rPr>
        <w:t xml:space="preserve">3、要求满足国家培训考核的要求，软件系统具有题库管理、随机组卷、自动限时计时、自动判卷评分、自动记录存档、统计、查询、汇总报表、建档和存档等数据库管理功能；</w:t>
      </w:r>
      <w:r/>
    </w:p>
    <w:p>
      <w:pPr>
        <w:ind w:firstLine="210"/>
        <w:spacing w:line="360" w:lineRule="auto"/>
        <w:rPr>
          <w:bCs/>
          <w:szCs w:val="21"/>
        </w:rPr>
      </w:pPr>
      <w:r>
        <w:rPr>
          <w:bCs/>
          <w:szCs w:val="21"/>
        </w:rPr>
        <w:t xml:space="preserve">4、实际操作培训考核机采用信号采集、信号传输集中控制技术，计算机软件应用技术，模拟水处理装置运行中工作参数（压力、水位）的逻辑关系和设备运行的状态，配备声光技术等给水处理装置操作人员营造水处理装置运行现场的真实环境；</w:t>
      </w:r>
      <w:r/>
    </w:p>
    <w:p>
      <w:pPr>
        <w:ind w:firstLine="210"/>
        <w:spacing w:line="360" w:lineRule="auto"/>
        <w:rPr>
          <w:bCs/>
          <w:szCs w:val="21"/>
        </w:rPr>
      </w:pPr>
      <w:r>
        <w:rPr>
          <w:bCs/>
          <w:szCs w:val="21"/>
        </w:rPr>
        <w:t xml:space="preserve">5、要求充装台与附属设备操作的安全附件和阀门为信号采集点。系统能将采集到的信号，利用信号传递技术输送到电控柜内，由PLC可编程序控制系统对信号进行处理。利用网络通信模块将PLC可编程序控制系统处理的信息传递到系统计算机。计算机内利用组态软件应用技术将处理的数据体现在模拟系统客户端；</w:t>
      </w:r>
      <w:r/>
    </w:p>
    <w:p>
      <w:pPr>
        <w:ind w:firstLine="210"/>
        <w:spacing w:line="360" w:lineRule="auto"/>
        <w:rPr>
          <w:bCs/>
          <w:szCs w:val="21"/>
        </w:rPr>
      </w:pPr>
      <w:r>
        <w:rPr>
          <w:bCs/>
          <w:szCs w:val="21"/>
        </w:rPr>
        <w:t xml:space="preserve">6、系统需采用电磁传感技术安装在充装台及附属设备内安全附件和操作阀门。安全附件和操作阀门配置传感器安装部件，以方便传感器的调试、维修、更换；</w:t>
      </w:r>
      <w:r/>
    </w:p>
    <w:p>
      <w:pPr>
        <w:ind w:firstLine="210"/>
        <w:spacing w:line="360" w:lineRule="auto"/>
        <w:rPr>
          <w:bCs/>
          <w:szCs w:val="21"/>
        </w:rPr>
      </w:pPr>
      <w:r>
        <w:rPr>
          <w:rFonts w:ascii="Segoe UI Symbol" w:hAnsi="Segoe UI Symbol" w:cs="Segoe UI Symbol"/>
          <w:bCs/>
          <w:szCs w:val="21"/>
        </w:rPr>
        <w:t xml:space="preserve">★</w:t>
      </w:r>
      <w:r>
        <w:rPr>
          <w:bCs/>
          <w:szCs w:val="21"/>
        </w:rPr>
        <w:t xml:space="preserve">7、系统需实现标准化的实操考核业务流程，实现线上考试计划的发布、线上考试报名、线上成绩查询等；同时要求系统提供数据统计功能，用户可在线上指定时间范围并查询这段时间内，错误率最高的几道题目，以便有针对性的展开培训工作。</w:t>
      </w:r>
      <w:r>
        <w:rPr>
          <w:bCs/>
          <w:szCs w:val="21"/>
        </w:rPr>
        <w:tab/>
      </w:r>
      <w:r/>
    </w:p>
    <w:p>
      <w:pPr>
        <w:ind w:firstLine="210"/>
        <w:spacing w:line="360" w:lineRule="auto"/>
        <w:rPr>
          <w:bCs/>
          <w:szCs w:val="21"/>
        </w:rPr>
      </w:pPr>
      <w:r>
        <w:rPr>
          <w:bCs/>
          <w:szCs w:val="21"/>
        </w:rPr>
        <w:t xml:space="preserve">二、功能模块要求</w:t>
      </w:r>
      <w:r>
        <w:rPr>
          <w:bCs/>
          <w:szCs w:val="21"/>
        </w:rPr>
        <w:tab/>
      </w:r>
      <w:r/>
    </w:p>
    <w:p>
      <w:pPr>
        <w:ind w:firstLine="210"/>
        <w:spacing w:line="360" w:lineRule="auto"/>
        <w:rPr>
          <w:bCs/>
          <w:szCs w:val="21"/>
        </w:rPr>
      </w:pPr>
      <w:r>
        <w:rPr>
          <w:bCs/>
          <w:szCs w:val="21"/>
        </w:rPr>
        <w:t xml:space="preserve">1、应用软件上应具备如下模块：</w:t>
      </w:r>
      <w:r/>
    </w:p>
    <w:p>
      <w:pPr>
        <w:ind w:firstLine="210"/>
        <w:spacing w:line="360" w:lineRule="auto"/>
        <w:rPr>
          <w:bCs/>
          <w:szCs w:val="21"/>
        </w:rPr>
      </w:pPr>
      <w:r>
        <w:rPr>
          <w:bCs/>
          <w:szCs w:val="21"/>
        </w:rPr>
        <w:t xml:space="preserve">1.1、训练模块；</w:t>
      </w:r>
      <w:r/>
    </w:p>
    <w:p>
      <w:pPr>
        <w:ind w:firstLine="210"/>
        <w:spacing w:line="360" w:lineRule="auto"/>
        <w:rPr>
          <w:bCs/>
          <w:szCs w:val="21"/>
        </w:rPr>
      </w:pPr>
      <w:r>
        <w:rPr>
          <w:bCs/>
          <w:szCs w:val="21"/>
        </w:rPr>
        <w:t xml:space="preserve">1.2、考核模块；</w:t>
      </w:r>
      <w:r/>
    </w:p>
    <w:p>
      <w:pPr>
        <w:ind w:firstLine="210"/>
        <w:spacing w:line="360" w:lineRule="auto"/>
        <w:rPr>
          <w:bCs/>
          <w:szCs w:val="21"/>
        </w:rPr>
      </w:pPr>
      <w:r>
        <w:rPr>
          <w:bCs/>
          <w:szCs w:val="21"/>
        </w:rPr>
        <w:t xml:space="preserve">1.3、数据库管理模块；</w:t>
      </w:r>
      <w:r/>
    </w:p>
    <w:p>
      <w:pPr>
        <w:ind w:firstLine="210"/>
        <w:spacing w:line="360" w:lineRule="auto"/>
        <w:rPr>
          <w:bCs/>
          <w:szCs w:val="21"/>
        </w:rPr>
      </w:pPr>
      <w:r>
        <w:rPr>
          <w:bCs/>
          <w:szCs w:val="21"/>
        </w:rPr>
        <w:t xml:space="preserve">1.4、用户管理模块；</w:t>
      </w:r>
      <w:r/>
    </w:p>
    <w:p>
      <w:pPr>
        <w:ind w:firstLine="210"/>
        <w:spacing w:line="360" w:lineRule="auto"/>
        <w:rPr>
          <w:bCs/>
          <w:szCs w:val="21"/>
        </w:rPr>
      </w:pPr>
      <w:r>
        <w:rPr>
          <w:bCs/>
          <w:szCs w:val="21"/>
        </w:rPr>
        <w:t xml:space="preserve">2、应用软件应具备的功能：</w:t>
      </w:r>
      <w:r/>
    </w:p>
    <w:p>
      <w:pPr>
        <w:ind w:firstLine="210"/>
        <w:spacing w:line="360" w:lineRule="auto"/>
        <w:rPr>
          <w:bCs/>
          <w:szCs w:val="21"/>
        </w:rPr>
      </w:pPr>
      <w:r>
        <w:rPr>
          <w:bCs/>
          <w:szCs w:val="21"/>
        </w:rPr>
        <w:t xml:space="preserve">2.1、上机操作训练功能；</w:t>
      </w:r>
      <w:r/>
    </w:p>
    <w:p>
      <w:pPr>
        <w:ind w:firstLine="210"/>
        <w:spacing w:line="360" w:lineRule="auto"/>
        <w:rPr>
          <w:bCs/>
          <w:szCs w:val="21"/>
        </w:rPr>
      </w:pPr>
      <w:r>
        <w:rPr>
          <w:bCs/>
          <w:szCs w:val="21"/>
        </w:rPr>
        <w:t xml:space="preserve">2.2、考核功能；</w:t>
      </w:r>
      <w:r/>
    </w:p>
    <w:p>
      <w:pPr>
        <w:ind w:firstLine="210"/>
        <w:spacing w:line="360" w:lineRule="auto"/>
        <w:rPr>
          <w:bCs/>
          <w:szCs w:val="21"/>
        </w:rPr>
      </w:pPr>
      <w:r>
        <w:rPr>
          <w:bCs/>
          <w:szCs w:val="21"/>
        </w:rPr>
        <w:t xml:space="preserve">2.3、试题自选试题、随机选题、自动组卷功能；</w:t>
      </w:r>
      <w:r/>
    </w:p>
    <w:p>
      <w:pPr>
        <w:ind w:firstLine="210"/>
        <w:spacing w:line="360" w:lineRule="auto"/>
        <w:rPr>
          <w:bCs/>
          <w:szCs w:val="21"/>
        </w:rPr>
      </w:pPr>
      <w:r>
        <w:rPr>
          <w:bCs/>
          <w:szCs w:val="21"/>
        </w:rPr>
        <w:t xml:space="preserve">2.4、考试计时功能；</w:t>
      </w:r>
      <w:r/>
    </w:p>
    <w:p>
      <w:pPr>
        <w:ind w:firstLine="210"/>
        <w:spacing w:line="360" w:lineRule="auto"/>
        <w:rPr>
          <w:bCs/>
          <w:szCs w:val="21"/>
        </w:rPr>
      </w:pPr>
      <w:r>
        <w:rPr>
          <w:bCs/>
          <w:szCs w:val="21"/>
        </w:rPr>
        <w:t xml:space="preserve">2.5、考核自动打分功能；</w:t>
      </w:r>
      <w:r/>
    </w:p>
    <w:p>
      <w:pPr>
        <w:ind w:firstLine="210"/>
        <w:spacing w:line="360" w:lineRule="auto"/>
        <w:rPr>
          <w:bCs/>
          <w:szCs w:val="21"/>
        </w:rPr>
      </w:pPr>
      <w:r>
        <w:rPr>
          <w:bCs/>
          <w:szCs w:val="21"/>
        </w:rPr>
        <w:t xml:space="preserve">2.6、学员信息管理功能；</w:t>
      </w:r>
      <w:r/>
    </w:p>
    <w:p>
      <w:pPr>
        <w:ind w:firstLine="210"/>
        <w:spacing w:line="360" w:lineRule="auto"/>
        <w:rPr>
          <w:bCs/>
          <w:szCs w:val="21"/>
        </w:rPr>
      </w:pPr>
      <w:r>
        <w:rPr>
          <w:bCs/>
          <w:szCs w:val="21"/>
        </w:rPr>
        <w:t xml:space="preserve">2.7、学员数据库管理功能；</w:t>
      </w:r>
      <w:r/>
    </w:p>
    <w:p>
      <w:pPr>
        <w:ind w:firstLine="210"/>
        <w:spacing w:line="360" w:lineRule="auto"/>
        <w:rPr>
          <w:bCs/>
          <w:szCs w:val="21"/>
        </w:rPr>
      </w:pPr>
      <w:r>
        <w:rPr>
          <w:bCs/>
          <w:szCs w:val="21"/>
        </w:rPr>
        <w:t xml:space="preserve">2.8、学员信息导入导出功能；</w:t>
      </w:r>
      <w:r/>
    </w:p>
    <w:p>
      <w:pPr>
        <w:ind w:firstLine="210"/>
        <w:spacing w:line="360" w:lineRule="auto"/>
        <w:rPr>
          <w:bCs/>
          <w:szCs w:val="21"/>
        </w:rPr>
      </w:pPr>
      <w:r>
        <w:rPr>
          <w:bCs/>
          <w:szCs w:val="21"/>
        </w:rPr>
        <w:t xml:space="preserve">2.9、数据库维护功能；</w:t>
      </w:r>
      <w:r/>
    </w:p>
    <w:p>
      <w:pPr>
        <w:ind w:firstLine="210"/>
        <w:spacing w:line="360" w:lineRule="auto"/>
        <w:rPr>
          <w:bCs/>
          <w:szCs w:val="21"/>
        </w:rPr>
      </w:pPr>
      <w:r>
        <w:rPr>
          <w:bCs/>
          <w:szCs w:val="21"/>
        </w:rPr>
        <w:t xml:space="preserve">2.10、备份数据库功能；</w:t>
      </w:r>
      <w:r/>
    </w:p>
    <w:p>
      <w:pPr>
        <w:ind w:firstLine="210"/>
        <w:spacing w:line="360" w:lineRule="auto"/>
        <w:rPr>
          <w:bCs/>
          <w:szCs w:val="21"/>
        </w:rPr>
      </w:pPr>
      <w:r>
        <w:rPr>
          <w:bCs/>
          <w:szCs w:val="21"/>
        </w:rPr>
        <w:t xml:space="preserve">三、配置要求</w:t>
      </w:r>
      <w:r/>
    </w:p>
    <w:p>
      <w:pPr>
        <w:ind w:firstLine="210"/>
        <w:spacing w:line="360" w:lineRule="auto"/>
        <w:rPr>
          <w:bCs/>
          <w:szCs w:val="21"/>
        </w:rPr>
      </w:pPr>
      <w:r>
        <w:rPr>
          <w:bCs/>
          <w:szCs w:val="21"/>
        </w:rPr>
        <w:t xml:space="preserve">1、水处理 1台</w:t>
      </w:r>
      <w:r>
        <w:rPr>
          <w:bCs/>
          <w:szCs w:val="21"/>
        </w:rPr>
        <w:tab/>
      </w:r>
      <w:r>
        <w:rPr>
          <w:bCs/>
          <w:szCs w:val="21"/>
        </w:rPr>
        <w:t xml:space="preserve">；</w:t>
      </w:r>
      <w:r/>
    </w:p>
    <w:p>
      <w:pPr>
        <w:ind w:firstLine="210"/>
        <w:spacing w:line="360" w:lineRule="auto"/>
        <w:rPr>
          <w:bCs/>
          <w:szCs w:val="21"/>
        </w:rPr>
      </w:pPr>
      <w:r>
        <w:rPr>
          <w:bCs/>
          <w:szCs w:val="21"/>
        </w:rPr>
        <w:t xml:space="preserve">2、设备安全附件及阀门1套（交换罐、阀门、压力表、连接管道）；</w:t>
      </w:r>
      <w:r/>
    </w:p>
    <w:p>
      <w:pPr>
        <w:ind w:firstLine="210"/>
        <w:spacing w:line="360" w:lineRule="auto"/>
        <w:rPr>
          <w:bCs/>
          <w:szCs w:val="21"/>
        </w:rPr>
      </w:pPr>
      <w:r>
        <w:rPr>
          <w:bCs/>
          <w:szCs w:val="21"/>
        </w:rPr>
        <w:t xml:space="preserve">3、电控箱、以太网编程器 1套；</w:t>
      </w:r>
      <w:r/>
    </w:p>
    <w:p>
      <w:pPr>
        <w:ind w:firstLine="210"/>
        <w:spacing w:line="360" w:lineRule="auto"/>
        <w:rPr>
          <w:bCs/>
          <w:szCs w:val="21"/>
        </w:rPr>
      </w:pPr>
      <w:r>
        <w:rPr>
          <w:bCs/>
          <w:szCs w:val="21"/>
        </w:rPr>
        <w:t xml:space="preserve">4、学员操作机（不低于24英寸显示屏，4G内存容量，256GB硬盘容量） 1台；</w:t>
      </w:r>
      <w:r/>
    </w:p>
    <w:p>
      <w:pPr>
        <w:ind w:firstLine="210"/>
        <w:spacing w:line="360" w:lineRule="auto"/>
        <w:rPr>
          <w:bCs/>
          <w:szCs w:val="21"/>
        </w:rPr>
      </w:pPr>
      <w:r>
        <w:rPr>
          <w:bCs/>
          <w:szCs w:val="21"/>
        </w:rPr>
        <w:t xml:space="preserve">5、模拟机软件系统 1套；</w:t>
      </w:r>
      <w:r/>
    </w:p>
    <w:p>
      <w:pPr>
        <w:jc w:val="center"/>
        <w:spacing w:line="360" w:lineRule="auto"/>
        <w:rPr>
          <w:b/>
          <w:bCs/>
          <w:szCs w:val="21"/>
        </w:rPr>
      </w:pPr>
      <w:r>
        <w:rPr>
          <w:b/>
          <w:bCs/>
          <w:szCs w:val="21"/>
        </w:rPr>
        <w:t xml:space="preserve">品目六 埋弧焊焊机</w:t>
      </w:r>
      <w:r/>
    </w:p>
    <w:p>
      <w:pPr>
        <w:ind w:firstLine="210"/>
        <w:spacing w:line="360" w:lineRule="auto"/>
        <w:rPr>
          <w:bCs/>
          <w:szCs w:val="21"/>
        </w:rPr>
      </w:pPr>
      <w:r>
        <w:rPr>
          <w:bCs/>
          <w:szCs w:val="21"/>
        </w:rPr>
        <w:t xml:space="preserve">1、额定输入电压/频率：380V±10%，50Hz；</w:t>
      </w:r>
      <w:r/>
    </w:p>
    <w:p>
      <w:pPr>
        <w:ind w:firstLine="210"/>
        <w:spacing w:line="360" w:lineRule="auto"/>
        <w:rPr>
          <w:bCs/>
          <w:szCs w:val="21"/>
        </w:rPr>
      </w:pPr>
      <w:r>
        <w:rPr>
          <w:bCs/>
          <w:szCs w:val="21"/>
        </w:rPr>
        <w:t xml:space="preserve">2、额定输入容量：≥50KVA；</w:t>
      </w:r>
      <w:r/>
    </w:p>
    <w:p>
      <w:pPr>
        <w:ind w:firstLine="210"/>
        <w:spacing w:line="360" w:lineRule="auto"/>
        <w:rPr>
          <w:bCs/>
          <w:szCs w:val="21"/>
        </w:rPr>
      </w:pPr>
      <w:r>
        <w:rPr>
          <w:bCs/>
          <w:szCs w:val="21"/>
        </w:rPr>
        <w:t xml:space="preserve">3、额定输入电流：≥80A；</w:t>
      </w:r>
      <w:r/>
    </w:p>
    <w:p>
      <w:pPr>
        <w:ind w:firstLine="210"/>
        <w:spacing w:line="360" w:lineRule="auto"/>
        <w:rPr>
          <w:bCs/>
          <w:szCs w:val="21"/>
        </w:rPr>
      </w:pPr>
      <w:r>
        <w:rPr>
          <w:bCs/>
          <w:szCs w:val="21"/>
        </w:rPr>
        <w:t xml:space="preserve">4、额定输出电压：≥40V；</w:t>
      </w:r>
      <w:r/>
    </w:p>
    <w:p>
      <w:pPr>
        <w:ind w:firstLine="210"/>
        <w:spacing w:line="360" w:lineRule="auto"/>
        <w:rPr>
          <w:bCs/>
          <w:szCs w:val="21"/>
        </w:rPr>
      </w:pPr>
      <w:r>
        <w:rPr>
          <w:bCs/>
          <w:szCs w:val="21"/>
        </w:rPr>
        <w:t xml:space="preserve">5、额定负载持续率：＞95%；</w:t>
      </w:r>
      <w:r/>
    </w:p>
    <w:p>
      <w:pPr>
        <w:ind w:firstLine="210"/>
        <w:spacing w:line="360" w:lineRule="auto"/>
        <w:rPr>
          <w:bCs/>
          <w:szCs w:val="21"/>
        </w:rPr>
      </w:pPr>
      <w:r>
        <w:rPr>
          <w:bCs/>
          <w:szCs w:val="21"/>
        </w:rPr>
        <w:t xml:space="preserve">6、输出空载电压(埋弧/手弧)：≥80/80V；</w:t>
      </w:r>
      <w:r/>
    </w:p>
    <w:p>
      <w:pPr>
        <w:ind w:firstLine="210"/>
        <w:spacing w:line="360" w:lineRule="auto"/>
        <w:rPr>
          <w:bCs/>
          <w:szCs w:val="21"/>
        </w:rPr>
      </w:pPr>
      <w:r>
        <w:rPr>
          <w:bCs/>
          <w:szCs w:val="21"/>
        </w:rPr>
        <w:t xml:space="preserve">7、电流调节范围：50-1000A；</w:t>
      </w:r>
      <w:r/>
    </w:p>
    <w:p>
      <w:pPr>
        <w:ind w:firstLine="210"/>
        <w:spacing w:line="360" w:lineRule="auto"/>
        <w:rPr>
          <w:bCs/>
          <w:szCs w:val="21"/>
        </w:rPr>
      </w:pPr>
      <w:r>
        <w:rPr>
          <w:bCs/>
          <w:szCs w:val="21"/>
        </w:rPr>
        <w:t xml:space="preserve">8、电压调节范围：20-50V；</w:t>
      </w:r>
      <w:r/>
    </w:p>
    <w:p>
      <w:pPr>
        <w:ind w:firstLine="210"/>
        <w:spacing w:line="360" w:lineRule="auto"/>
        <w:rPr>
          <w:bCs/>
          <w:szCs w:val="21"/>
        </w:rPr>
      </w:pPr>
      <w:r>
        <w:rPr>
          <w:bCs/>
          <w:szCs w:val="21"/>
        </w:rPr>
        <w:t xml:space="preserve">9、功率因数：≥0.88；</w:t>
      </w:r>
      <w:r/>
    </w:p>
    <w:p>
      <w:pPr>
        <w:ind w:firstLine="210"/>
        <w:spacing w:line="360" w:lineRule="auto"/>
        <w:rPr>
          <w:bCs/>
          <w:szCs w:val="21"/>
        </w:rPr>
      </w:pPr>
      <w:r>
        <w:rPr>
          <w:bCs/>
          <w:szCs w:val="21"/>
        </w:rPr>
        <w:t xml:space="preserve">10、焊丝直径：2.0-6.0mm；</w:t>
      </w:r>
      <w:r/>
    </w:p>
    <w:p>
      <w:pPr>
        <w:ind w:firstLine="210"/>
        <w:spacing w:line="360" w:lineRule="auto"/>
        <w:rPr>
          <w:bCs/>
          <w:szCs w:val="21"/>
        </w:rPr>
      </w:pPr>
      <w:r>
        <w:rPr>
          <w:bCs/>
          <w:szCs w:val="21"/>
        </w:rPr>
        <w:t xml:space="preserve">11、外壳防护等级：≥IP21S；</w:t>
      </w:r>
      <w:r/>
    </w:p>
    <w:p>
      <w:pPr>
        <w:ind w:firstLine="210"/>
        <w:spacing w:line="360" w:lineRule="auto"/>
        <w:rPr>
          <w:bCs/>
          <w:szCs w:val="21"/>
        </w:rPr>
      </w:pPr>
      <w:r>
        <w:rPr>
          <w:bCs/>
          <w:szCs w:val="21"/>
        </w:rPr>
        <w:t xml:space="preserve">12、绝缘等级：H/B；</w:t>
      </w:r>
      <w:r/>
    </w:p>
    <w:p>
      <w:pPr>
        <w:ind w:firstLine="210"/>
        <w:spacing w:line="360" w:lineRule="auto"/>
        <w:rPr>
          <w:bCs/>
          <w:szCs w:val="21"/>
        </w:rPr>
      </w:pPr>
      <w:r>
        <w:rPr>
          <w:bCs/>
          <w:szCs w:val="21"/>
        </w:rPr>
        <w:t xml:space="preserve">13、外型尺寸：＜900×400×900mm；</w:t>
      </w:r>
      <w:r/>
    </w:p>
    <w:p>
      <w:pPr>
        <w:ind w:firstLine="210"/>
        <w:spacing w:line="360" w:lineRule="auto"/>
        <w:rPr>
          <w:bCs/>
          <w:szCs w:val="21"/>
        </w:rPr>
      </w:pPr>
      <w:r>
        <w:rPr>
          <w:bCs/>
          <w:szCs w:val="21"/>
        </w:rPr>
        <w:t xml:space="preserve">14、重量：＜100kg；</w:t>
      </w:r>
      <w:r/>
    </w:p>
    <w:p>
      <w:pPr>
        <w:jc w:val="center"/>
        <w:spacing w:line="360" w:lineRule="auto"/>
        <w:rPr>
          <w:b/>
          <w:bCs/>
          <w:szCs w:val="21"/>
        </w:rPr>
      </w:pPr>
      <w:r>
        <w:rPr>
          <w:b/>
          <w:bCs/>
          <w:szCs w:val="21"/>
        </w:rPr>
        <w:t xml:space="preserve">品目七 焊条烘干炉</w:t>
      </w:r>
      <w:r/>
    </w:p>
    <w:p>
      <w:pPr>
        <w:ind w:firstLine="210"/>
        <w:spacing w:line="360" w:lineRule="auto"/>
        <w:rPr>
          <w:bCs/>
          <w:szCs w:val="21"/>
        </w:rPr>
      </w:pPr>
      <w:r>
        <w:rPr>
          <w:bCs/>
          <w:szCs w:val="21"/>
        </w:rPr>
        <w:t xml:space="preserve">1、输入电压：220V/50Hz；</w:t>
      </w:r>
      <w:r/>
    </w:p>
    <w:p>
      <w:pPr>
        <w:ind w:firstLine="210"/>
        <w:spacing w:line="360" w:lineRule="auto"/>
        <w:rPr>
          <w:bCs/>
          <w:szCs w:val="21"/>
        </w:rPr>
      </w:pPr>
      <w:r>
        <w:rPr>
          <w:bCs/>
          <w:szCs w:val="21"/>
        </w:rPr>
        <w:t xml:space="preserve">2、额定功率：＞5KW；</w:t>
      </w:r>
      <w:r/>
    </w:p>
    <w:p>
      <w:pPr>
        <w:ind w:firstLine="210"/>
        <w:spacing w:line="360" w:lineRule="auto"/>
        <w:rPr>
          <w:bCs/>
          <w:szCs w:val="21"/>
        </w:rPr>
      </w:pPr>
      <w:r>
        <w:rPr>
          <w:bCs/>
          <w:szCs w:val="21"/>
        </w:rPr>
        <w:t xml:space="preserve">3、焊条容量：＞90KG；</w:t>
      </w:r>
      <w:r/>
    </w:p>
    <w:p>
      <w:pPr>
        <w:ind w:firstLine="210"/>
        <w:spacing w:line="360" w:lineRule="auto"/>
        <w:rPr>
          <w:bCs/>
          <w:szCs w:val="21"/>
        </w:rPr>
      </w:pPr>
      <w:r>
        <w:rPr>
          <w:bCs/>
          <w:szCs w:val="21"/>
        </w:rPr>
        <w:t xml:space="preserve">4、最高温度：500℃；</w:t>
      </w:r>
      <w:r/>
    </w:p>
    <w:p>
      <w:pPr>
        <w:ind w:firstLine="210"/>
        <w:spacing w:line="360" w:lineRule="auto"/>
        <w:rPr>
          <w:bCs/>
          <w:szCs w:val="21"/>
        </w:rPr>
      </w:pPr>
      <w:r>
        <w:rPr>
          <w:bCs/>
          <w:szCs w:val="21"/>
        </w:rPr>
        <w:t xml:space="preserve">5、适用焊条长度：≤450mm；</w:t>
      </w:r>
      <w:r/>
    </w:p>
    <w:p>
      <w:pPr>
        <w:ind w:firstLine="210"/>
        <w:spacing w:line="360" w:lineRule="auto"/>
        <w:rPr>
          <w:bCs/>
          <w:szCs w:val="21"/>
        </w:rPr>
      </w:pPr>
      <w:r>
        <w:rPr>
          <w:bCs/>
          <w:szCs w:val="21"/>
        </w:rPr>
        <w:t xml:space="preserve">6、控制方式：时间比例；</w:t>
      </w:r>
      <w:r/>
    </w:p>
    <w:p>
      <w:pPr>
        <w:ind w:firstLine="210"/>
        <w:spacing w:line="360" w:lineRule="auto"/>
        <w:rPr>
          <w:bCs/>
          <w:szCs w:val="21"/>
        </w:rPr>
      </w:pPr>
      <w:r>
        <w:rPr>
          <w:bCs/>
          <w:szCs w:val="21"/>
        </w:rPr>
        <w:t xml:space="preserve">7、外形尺寸：＜900×900×1500mm；</w:t>
      </w:r>
      <w:r/>
    </w:p>
    <w:p>
      <w:pPr>
        <w:jc w:val="center"/>
        <w:spacing w:line="360" w:lineRule="auto"/>
        <w:rPr>
          <w:b/>
          <w:bCs/>
          <w:szCs w:val="21"/>
        </w:rPr>
      </w:pPr>
      <w:r>
        <w:rPr>
          <w:b/>
          <w:bCs/>
          <w:szCs w:val="21"/>
        </w:rPr>
        <w:t xml:space="preserve">品目八 车铣复合机床</w:t>
      </w:r>
      <w:r/>
    </w:p>
    <w:p>
      <w:pPr>
        <w:ind w:firstLine="210"/>
        <w:spacing w:line="360" w:lineRule="auto"/>
        <w:rPr>
          <w:bCs/>
          <w:szCs w:val="21"/>
        </w:rPr>
      </w:pPr>
      <w:r>
        <w:rPr>
          <w:bCs/>
          <w:szCs w:val="21"/>
        </w:rPr>
        <w:t xml:space="preserve">一、车床部分</w:t>
      </w:r>
      <w:r/>
    </w:p>
    <w:p>
      <w:pPr>
        <w:ind w:firstLine="210"/>
        <w:spacing w:line="360" w:lineRule="auto"/>
        <w:rPr>
          <w:bCs/>
          <w:szCs w:val="21"/>
        </w:rPr>
      </w:pPr>
      <w:r>
        <w:rPr>
          <w:bCs/>
          <w:szCs w:val="21"/>
        </w:rPr>
        <w:t xml:space="preserve">1、床身上最大工件回转直径：＜400mm；</w:t>
      </w:r>
      <w:r/>
    </w:p>
    <w:p>
      <w:pPr>
        <w:ind w:firstLine="210"/>
        <w:spacing w:line="360" w:lineRule="auto"/>
        <w:rPr>
          <w:bCs/>
          <w:szCs w:val="21"/>
        </w:rPr>
      </w:pPr>
      <w:r>
        <w:rPr>
          <w:bCs/>
          <w:szCs w:val="21"/>
        </w:rPr>
        <w:t xml:space="preserve">2、中拖板上最大工件回转直径：＜240mm；</w:t>
      </w:r>
      <w:r/>
    </w:p>
    <w:p>
      <w:pPr>
        <w:ind w:firstLine="210"/>
        <w:spacing w:line="360" w:lineRule="auto"/>
        <w:rPr>
          <w:bCs/>
          <w:szCs w:val="21"/>
        </w:rPr>
      </w:pPr>
      <w:r>
        <w:rPr>
          <w:bCs/>
          <w:szCs w:val="21"/>
        </w:rPr>
        <w:t xml:space="preserve">3、中心高度：＜180mm；</w:t>
      </w:r>
      <w:r/>
    </w:p>
    <w:p>
      <w:pPr>
        <w:ind w:firstLine="210"/>
        <w:spacing w:line="360" w:lineRule="auto"/>
        <w:rPr>
          <w:bCs/>
          <w:szCs w:val="21"/>
        </w:rPr>
      </w:pPr>
      <w:r>
        <w:rPr>
          <w:bCs/>
          <w:szCs w:val="21"/>
        </w:rPr>
        <w:t xml:space="preserve">4、顶间距：750mm/1000mm；</w:t>
      </w:r>
      <w:r/>
    </w:p>
    <w:p>
      <w:pPr>
        <w:ind w:firstLine="210"/>
        <w:spacing w:line="360" w:lineRule="auto"/>
        <w:rPr>
          <w:bCs/>
          <w:szCs w:val="21"/>
        </w:rPr>
      </w:pPr>
      <w:r>
        <w:rPr>
          <w:bCs/>
          <w:szCs w:val="21"/>
        </w:rPr>
        <w:t xml:space="preserve">5、床身宽度：＜200mm；</w:t>
      </w:r>
      <w:r/>
    </w:p>
    <w:p>
      <w:pPr>
        <w:ind w:firstLine="210"/>
        <w:spacing w:line="360" w:lineRule="auto"/>
        <w:rPr>
          <w:bCs/>
          <w:szCs w:val="21"/>
        </w:rPr>
      </w:pPr>
      <w:r>
        <w:rPr>
          <w:bCs/>
          <w:szCs w:val="21"/>
        </w:rPr>
        <w:t xml:space="preserve">6、主轴内孔直径：≥38mm；</w:t>
      </w:r>
      <w:r/>
    </w:p>
    <w:p>
      <w:pPr>
        <w:ind w:firstLine="210"/>
        <w:spacing w:line="360" w:lineRule="auto"/>
        <w:rPr>
          <w:bCs/>
          <w:szCs w:val="21"/>
        </w:rPr>
      </w:pPr>
      <w:r>
        <w:rPr>
          <w:bCs/>
          <w:szCs w:val="21"/>
        </w:rPr>
        <w:t xml:space="preserve">7、主轴端部：D1-4；</w:t>
      </w:r>
      <w:r/>
    </w:p>
    <w:p>
      <w:pPr>
        <w:ind w:firstLine="210"/>
        <w:spacing w:line="360" w:lineRule="auto"/>
        <w:rPr>
          <w:bCs/>
          <w:szCs w:val="21"/>
        </w:rPr>
      </w:pPr>
      <w:r>
        <w:rPr>
          <w:bCs/>
          <w:szCs w:val="21"/>
        </w:rPr>
        <w:t xml:space="preserve">8、主轴端部锥度：不低于莫氏5；</w:t>
      </w:r>
      <w:r/>
    </w:p>
    <w:p>
      <w:pPr>
        <w:ind w:firstLine="210"/>
        <w:spacing w:line="360" w:lineRule="auto"/>
        <w:rPr>
          <w:bCs/>
          <w:szCs w:val="21"/>
        </w:rPr>
      </w:pPr>
      <w:r>
        <w:rPr>
          <w:bCs/>
          <w:szCs w:val="21"/>
        </w:rPr>
        <w:t xml:space="preserve">9、主轴速度变换数：≥8；</w:t>
      </w:r>
      <w:r/>
    </w:p>
    <w:p>
      <w:pPr>
        <w:ind w:firstLine="210"/>
        <w:spacing w:line="360" w:lineRule="auto"/>
        <w:rPr>
          <w:bCs/>
          <w:szCs w:val="21"/>
        </w:rPr>
      </w:pPr>
      <w:r>
        <w:rPr>
          <w:bCs/>
          <w:szCs w:val="21"/>
        </w:rPr>
        <w:t xml:space="preserve">10、主轴转速范围：70-2000 rpm；</w:t>
      </w:r>
      <w:r/>
    </w:p>
    <w:p>
      <w:pPr>
        <w:ind w:firstLine="210"/>
        <w:spacing w:line="360" w:lineRule="auto"/>
        <w:rPr>
          <w:bCs/>
          <w:szCs w:val="21"/>
        </w:rPr>
      </w:pPr>
      <w:r>
        <w:rPr>
          <w:bCs/>
          <w:szCs w:val="21"/>
        </w:rPr>
        <w:t xml:space="preserve">11、横拖板行程：＞150mm；</w:t>
      </w:r>
      <w:r/>
    </w:p>
    <w:p>
      <w:pPr>
        <w:ind w:firstLine="210"/>
        <w:spacing w:line="360" w:lineRule="auto"/>
        <w:rPr>
          <w:bCs/>
          <w:szCs w:val="21"/>
        </w:rPr>
      </w:pPr>
      <w:r>
        <w:rPr>
          <w:bCs/>
          <w:szCs w:val="21"/>
        </w:rPr>
        <w:t xml:space="preserve">12、组合托板行程：＜100mm；</w:t>
      </w:r>
      <w:r/>
    </w:p>
    <w:p>
      <w:pPr>
        <w:ind w:firstLine="210"/>
        <w:spacing w:line="360" w:lineRule="auto"/>
        <w:rPr>
          <w:bCs/>
          <w:szCs w:val="21"/>
        </w:rPr>
      </w:pPr>
      <w:r>
        <w:rPr>
          <w:bCs/>
          <w:szCs w:val="21"/>
        </w:rPr>
        <w:t xml:space="preserve">13、刀具最大截面：≤16×16mm；</w:t>
      </w:r>
      <w:r/>
    </w:p>
    <w:p>
      <w:pPr>
        <w:ind w:firstLine="210"/>
        <w:spacing w:line="360" w:lineRule="auto"/>
        <w:rPr>
          <w:bCs/>
          <w:szCs w:val="21"/>
        </w:rPr>
      </w:pPr>
      <w:r>
        <w:rPr>
          <w:bCs/>
          <w:szCs w:val="21"/>
        </w:rPr>
        <w:t xml:space="preserve">14、英制螺距：T.P.I 4~56；</w:t>
      </w:r>
      <w:r/>
    </w:p>
    <w:p>
      <w:pPr>
        <w:ind w:firstLine="210"/>
        <w:spacing w:line="360" w:lineRule="auto"/>
        <w:rPr>
          <w:bCs/>
          <w:szCs w:val="21"/>
        </w:rPr>
      </w:pPr>
      <w:r>
        <w:rPr>
          <w:bCs/>
          <w:szCs w:val="21"/>
        </w:rPr>
        <w:t xml:space="preserve">15、公制螺距：0.4~7mm；</w:t>
      </w:r>
      <w:r/>
    </w:p>
    <w:p>
      <w:pPr>
        <w:ind w:firstLine="210"/>
        <w:spacing w:line="360" w:lineRule="auto"/>
        <w:rPr>
          <w:bCs/>
          <w:szCs w:val="21"/>
        </w:rPr>
      </w:pPr>
      <w:r>
        <w:rPr>
          <w:bCs/>
          <w:szCs w:val="21"/>
        </w:rPr>
        <w:t xml:space="preserve">16、纵向进给公制：32 Nos.0.052-1.392mm/Rev；</w:t>
      </w:r>
      <w:r/>
    </w:p>
    <w:p>
      <w:pPr>
        <w:ind w:firstLine="210"/>
        <w:spacing w:line="360" w:lineRule="auto"/>
        <w:rPr>
          <w:bCs/>
          <w:szCs w:val="21"/>
        </w:rPr>
      </w:pPr>
      <w:r>
        <w:rPr>
          <w:bCs/>
          <w:szCs w:val="21"/>
        </w:rPr>
        <w:t xml:space="preserve">17、横向进给公制：32 Nos.0.014-0.380mm/Rev；</w:t>
      </w:r>
      <w:r/>
    </w:p>
    <w:p>
      <w:pPr>
        <w:ind w:firstLine="210"/>
        <w:spacing w:line="360" w:lineRule="auto"/>
        <w:rPr>
          <w:bCs/>
          <w:szCs w:val="21"/>
        </w:rPr>
      </w:pPr>
      <w:r>
        <w:rPr>
          <w:bCs/>
          <w:szCs w:val="21"/>
        </w:rPr>
        <w:t xml:space="preserve">18、尾架套筒直径及内径：≥32mm(莫氏2#)；</w:t>
      </w:r>
      <w:r/>
    </w:p>
    <w:p>
      <w:pPr>
        <w:ind w:firstLine="210"/>
        <w:spacing w:line="360" w:lineRule="auto"/>
        <w:rPr>
          <w:bCs/>
          <w:szCs w:val="21"/>
        </w:rPr>
      </w:pPr>
      <w:r>
        <w:rPr>
          <w:bCs/>
          <w:szCs w:val="21"/>
        </w:rPr>
        <w:t xml:space="preserve">19、尾架套筒行程：＜100mm；</w:t>
      </w:r>
      <w:r/>
    </w:p>
    <w:p>
      <w:pPr>
        <w:ind w:firstLine="210"/>
        <w:spacing w:line="360" w:lineRule="auto"/>
        <w:rPr>
          <w:bCs/>
          <w:szCs w:val="21"/>
        </w:rPr>
      </w:pPr>
      <w:r>
        <w:rPr>
          <w:bCs/>
          <w:szCs w:val="21"/>
        </w:rPr>
        <w:t xml:space="preserve">20、主电机：≥1.5kW，380V；</w:t>
      </w:r>
      <w:r/>
    </w:p>
    <w:p>
      <w:pPr>
        <w:ind w:firstLine="210"/>
        <w:spacing w:line="360" w:lineRule="auto"/>
        <w:rPr>
          <w:bCs/>
          <w:szCs w:val="21"/>
        </w:rPr>
      </w:pPr>
      <w:r>
        <w:rPr>
          <w:bCs/>
          <w:szCs w:val="21"/>
        </w:rPr>
        <w:t xml:space="preserve">二、钻铣头部分</w:t>
      </w:r>
      <w:r/>
    </w:p>
    <w:p>
      <w:pPr>
        <w:ind w:firstLine="210"/>
        <w:spacing w:line="360" w:lineRule="auto"/>
        <w:rPr>
          <w:bCs/>
          <w:szCs w:val="21"/>
        </w:rPr>
      </w:pPr>
      <w:r>
        <w:rPr>
          <w:bCs/>
          <w:szCs w:val="21"/>
        </w:rPr>
        <w:t xml:space="preserve">1、钻铣头主轴最大移动量：60mm；</w:t>
      </w:r>
      <w:r/>
    </w:p>
    <w:p>
      <w:pPr>
        <w:ind w:firstLine="210"/>
        <w:spacing w:line="360" w:lineRule="auto"/>
        <w:rPr>
          <w:bCs/>
          <w:szCs w:val="21"/>
        </w:rPr>
      </w:pPr>
      <w:r>
        <w:rPr>
          <w:bCs/>
          <w:szCs w:val="21"/>
        </w:rPr>
        <w:t xml:space="preserve">2、钻铣头主轴孔锥度：莫氏3#；</w:t>
      </w:r>
      <w:r/>
    </w:p>
    <w:p>
      <w:pPr>
        <w:ind w:firstLine="210"/>
        <w:spacing w:line="360" w:lineRule="auto"/>
        <w:rPr>
          <w:bCs/>
          <w:szCs w:val="21"/>
        </w:rPr>
      </w:pPr>
      <w:r>
        <w:rPr>
          <w:bCs/>
          <w:szCs w:val="21"/>
        </w:rPr>
        <w:t xml:space="preserve">3、钻铣头主轴转速级数/转速：4级/200~2180rpm；</w:t>
      </w:r>
      <w:r/>
    </w:p>
    <w:p>
      <w:pPr>
        <w:ind w:firstLine="210"/>
        <w:spacing w:line="360" w:lineRule="auto"/>
        <w:rPr>
          <w:bCs/>
          <w:szCs w:val="21"/>
        </w:rPr>
      </w:pPr>
      <w:r>
        <w:rPr>
          <w:bCs/>
          <w:szCs w:val="21"/>
        </w:rPr>
        <w:t xml:space="preserve">4、钻铣最大直径（孔、槽）：13mm/16mm；</w:t>
      </w:r>
      <w:r/>
    </w:p>
    <w:p>
      <w:pPr>
        <w:ind w:firstLine="210"/>
        <w:spacing w:line="360" w:lineRule="auto"/>
        <w:rPr>
          <w:bCs/>
          <w:szCs w:val="21"/>
        </w:rPr>
      </w:pPr>
      <w:r>
        <w:rPr>
          <w:bCs/>
          <w:szCs w:val="21"/>
        </w:rPr>
        <w:t xml:space="preserve">5、钻铣头最大回转角度：180°；</w:t>
      </w:r>
      <w:r/>
    </w:p>
    <w:p>
      <w:pPr>
        <w:ind w:firstLine="210"/>
        <w:spacing w:line="360" w:lineRule="auto"/>
        <w:rPr>
          <w:bCs/>
          <w:szCs w:val="21"/>
        </w:rPr>
      </w:pPr>
      <w:r>
        <w:rPr>
          <w:bCs/>
          <w:szCs w:val="21"/>
        </w:rPr>
        <w:t xml:space="preserve">6、立柱回转角度：360°；</w:t>
      </w:r>
      <w:r/>
    </w:p>
    <w:p>
      <w:pPr>
        <w:ind w:firstLine="210"/>
        <w:spacing w:line="360" w:lineRule="auto"/>
        <w:rPr>
          <w:bCs/>
          <w:szCs w:val="21"/>
        </w:rPr>
      </w:pPr>
      <w:r>
        <w:rPr>
          <w:bCs/>
          <w:szCs w:val="21"/>
        </w:rPr>
        <w:t xml:space="preserve">7、钻铣头电动机功率：≥0.5KW,380V；</w:t>
      </w:r>
      <w:r/>
    </w:p>
    <w:p>
      <w:pPr>
        <w:ind w:firstLine="210"/>
        <w:spacing w:line="360" w:lineRule="auto"/>
        <w:rPr>
          <w:bCs/>
          <w:szCs w:val="21"/>
        </w:rPr>
      </w:pPr>
      <w:r>
        <w:rPr>
          <w:bCs/>
          <w:szCs w:val="21"/>
        </w:rPr>
        <w:t xml:space="preserve">8、钻铣头电动机转速：≥1000rpm；</w:t>
      </w:r>
      <w:r/>
    </w:p>
    <w:p>
      <w:pPr>
        <w:ind w:firstLine="210"/>
        <w:spacing w:line="360" w:lineRule="auto"/>
        <w:rPr>
          <w:bCs/>
          <w:szCs w:val="21"/>
        </w:rPr>
      </w:pPr>
      <w:r>
        <w:rPr>
          <w:bCs/>
          <w:szCs w:val="21"/>
        </w:rPr>
        <w:t xml:space="preserve">9、钻铣头外形尺寸：＜500×500×1000mm；</w:t>
      </w:r>
      <w:r/>
    </w:p>
    <w:p>
      <w:pPr>
        <w:ind w:firstLine="210"/>
        <w:spacing w:line="360" w:lineRule="auto"/>
        <w:rPr>
          <w:bCs/>
          <w:szCs w:val="21"/>
        </w:rPr>
      </w:pPr>
      <w:r>
        <w:rPr>
          <w:bCs/>
          <w:szCs w:val="21"/>
        </w:rPr>
        <w:t xml:space="preserve">10、钻铣头净重：＜90kg；</w:t>
      </w:r>
      <w:r/>
    </w:p>
    <w:p>
      <w:pPr>
        <w:ind w:firstLine="210"/>
        <w:spacing w:line="360" w:lineRule="auto"/>
        <w:rPr>
          <w:bCs/>
          <w:szCs w:val="21"/>
        </w:rPr>
      </w:pPr>
      <w:r>
        <w:rPr>
          <w:bCs/>
          <w:szCs w:val="21"/>
        </w:rPr>
        <w:t xml:space="preserve">三、整机</w:t>
      </w:r>
      <w:r/>
    </w:p>
    <w:p>
      <w:pPr>
        <w:ind w:firstLine="210"/>
        <w:spacing w:line="360" w:lineRule="auto"/>
        <w:rPr>
          <w:bCs/>
          <w:szCs w:val="21"/>
        </w:rPr>
      </w:pPr>
      <w:r>
        <w:rPr>
          <w:bCs/>
          <w:szCs w:val="21"/>
        </w:rPr>
        <w:t xml:space="preserve">1、外型尺寸：＜1500×1000×2000mm；</w:t>
      </w:r>
      <w:r/>
    </w:p>
    <w:p>
      <w:pPr>
        <w:ind w:firstLine="210"/>
        <w:spacing w:line="360" w:lineRule="auto"/>
        <w:rPr>
          <w:bCs/>
          <w:szCs w:val="21"/>
        </w:rPr>
      </w:pPr>
      <w:r>
        <w:rPr>
          <w:bCs/>
          <w:szCs w:val="21"/>
        </w:rPr>
        <w:t xml:space="preserve">2、整机重量：＜600kg；</w:t>
      </w:r>
      <w:r/>
    </w:p>
    <w:p>
      <w:pPr>
        <w:jc w:val="center"/>
        <w:spacing w:line="360" w:lineRule="auto"/>
        <w:rPr>
          <w:b/>
          <w:bCs/>
          <w:szCs w:val="21"/>
        </w:rPr>
      </w:pPr>
      <w:r>
        <w:rPr>
          <w:b/>
          <w:bCs/>
          <w:szCs w:val="21"/>
        </w:rPr>
        <w:t xml:space="preserve">品目九 逆变式直流脉冲氩弧焊机</w:t>
      </w:r>
      <w:r/>
    </w:p>
    <w:p>
      <w:pPr>
        <w:ind w:firstLine="210"/>
        <w:spacing w:line="360" w:lineRule="auto"/>
        <w:rPr>
          <w:bCs/>
          <w:szCs w:val="21"/>
        </w:rPr>
      </w:pPr>
      <w:r>
        <w:rPr>
          <w:bCs/>
          <w:szCs w:val="21"/>
        </w:rPr>
        <w:t xml:space="preserve">1、输入电压：3相380V±15% 50~60Hz；</w:t>
      </w:r>
      <w:r/>
    </w:p>
    <w:p>
      <w:pPr>
        <w:ind w:firstLine="210"/>
        <w:spacing w:line="360" w:lineRule="auto"/>
        <w:rPr>
          <w:bCs/>
          <w:szCs w:val="21"/>
        </w:rPr>
      </w:pPr>
      <w:r>
        <w:rPr>
          <w:bCs/>
          <w:szCs w:val="21"/>
        </w:rPr>
        <w:t xml:space="preserve">2、额定输入功率：≥14KW；</w:t>
      </w:r>
      <w:r/>
    </w:p>
    <w:p>
      <w:pPr>
        <w:ind w:firstLine="210"/>
        <w:spacing w:line="360" w:lineRule="auto"/>
        <w:rPr>
          <w:bCs/>
          <w:szCs w:val="21"/>
        </w:rPr>
      </w:pPr>
      <w:r>
        <w:rPr>
          <w:bCs/>
          <w:szCs w:val="21"/>
        </w:rPr>
        <w:t xml:space="preserve">3、额定空载电压：76±5%V；</w:t>
      </w:r>
      <w:r/>
    </w:p>
    <w:p>
      <w:pPr>
        <w:ind w:firstLine="210"/>
        <w:spacing w:line="360" w:lineRule="auto"/>
        <w:rPr>
          <w:bCs/>
          <w:szCs w:val="21"/>
        </w:rPr>
      </w:pPr>
      <w:r>
        <w:rPr>
          <w:bCs/>
          <w:szCs w:val="21"/>
        </w:rPr>
        <w:t xml:space="preserve">4、输出电流调节范围：15~400A；</w:t>
      </w:r>
      <w:r/>
    </w:p>
    <w:p>
      <w:pPr>
        <w:ind w:firstLine="210"/>
        <w:spacing w:line="360" w:lineRule="auto"/>
        <w:rPr>
          <w:bCs/>
          <w:szCs w:val="21"/>
        </w:rPr>
      </w:pPr>
      <w:r>
        <w:rPr>
          <w:bCs/>
          <w:szCs w:val="21"/>
        </w:rPr>
        <w:t xml:space="preserve">5、上坡时间：0~10s；</w:t>
      </w:r>
      <w:r/>
    </w:p>
    <w:p>
      <w:pPr>
        <w:ind w:firstLine="210"/>
        <w:spacing w:line="360" w:lineRule="auto"/>
        <w:rPr>
          <w:bCs/>
          <w:szCs w:val="21"/>
        </w:rPr>
      </w:pPr>
      <w:r>
        <w:rPr>
          <w:bCs/>
          <w:szCs w:val="21"/>
        </w:rPr>
        <w:t xml:space="preserve">6、下坡时间：0~10s；</w:t>
      </w:r>
      <w:r/>
    </w:p>
    <w:p>
      <w:pPr>
        <w:ind w:firstLine="210"/>
        <w:spacing w:line="360" w:lineRule="auto"/>
        <w:rPr>
          <w:bCs/>
          <w:szCs w:val="21"/>
        </w:rPr>
      </w:pPr>
      <w:r>
        <w:rPr>
          <w:bCs/>
          <w:szCs w:val="21"/>
        </w:rPr>
        <w:t xml:space="preserve">7、提前送气时间：≥0.5s；</w:t>
      </w:r>
      <w:r/>
    </w:p>
    <w:p>
      <w:pPr>
        <w:ind w:firstLine="210"/>
        <w:spacing w:line="360" w:lineRule="auto"/>
        <w:rPr>
          <w:bCs/>
          <w:szCs w:val="21"/>
        </w:rPr>
      </w:pPr>
      <w:r>
        <w:rPr>
          <w:bCs/>
          <w:szCs w:val="21"/>
        </w:rPr>
        <w:t xml:space="preserve">8、滞后停气时间：5、10、15、30s可调；</w:t>
      </w:r>
      <w:r/>
    </w:p>
    <w:p>
      <w:pPr>
        <w:ind w:firstLine="210"/>
        <w:spacing w:line="360" w:lineRule="auto"/>
        <w:rPr>
          <w:bCs/>
          <w:szCs w:val="21"/>
        </w:rPr>
      </w:pPr>
      <w:r>
        <w:rPr>
          <w:bCs/>
          <w:szCs w:val="21"/>
        </w:rPr>
        <w:t xml:space="preserve">9、引弧时间：0.05、0.1、0.2、0.5s可调；</w:t>
      </w:r>
      <w:r/>
    </w:p>
    <w:p>
      <w:pPr>
        <w:ind w:firstLine="210"/>
        <w:spacing w:line="360" w:lineRule="auto"/>
        <w:rPr>
          <w:bCs/>
          <w:szCs w:val="21"/>
        </w:rPr>
      </w:pPr>
      <w:r>
        <w:rPr>
          <w:bCs/>
          <w:szCs w:val="21"/>
        </w:rPr>
        <w:t xml:space="preserve">10、额定负载持续率(40℃)：≥50%；</w:t>
      </w:r>
      <w:r/>
    </w:p>
    <w:p>
      <w:pPr>
        <w:ind w:firstLine="210"/>
        <w:spacing w:line="360" w:lineRule="auto"/>
        <w:rPr>
          <w:bCs/>
          <w:szCs w:val="21"/>
        </w:rPr>
      </w:pPr>
      <w:r>
        <w:rPr>
          <w:bCs/>
          <w:szCs w:val="21"/>
        </w:rPr>
        <w:t xml:space="preserve">11、效率：＞80%；</w:t>
      </w:r>
      <w:r/>
    </w:p>
    <w:p>
      <w:pPr>
        <w:ind w:firstLine="210"/>
        <w:spacing w:line="360" w:lineRule="auto"/>
        <w:rPr>
          <w:bCs/>
          <w:szCs w:val="21"/>
        </w:rPr>
      </w:pPr>
      <w:r>
        <w:rPr>
          <w:bCs/>
          <w:szCs w:val="21"/>
        </w:rPr>
        <w:t xml:space="preserve">12、功率因数：＞0.9；</w:t>
      </w:r>
      <w:r/>
    </w:p>
    <w:p>
      <w:pPr>
        <w:ind w:firstLine="210"/>
        <w:spacing w:line="360" w:lineRule="auto"/>
        <w:rPr>
          <w:bCs/>
          <w:szCs w:val="21"/>
        </w:rPr>
      </w:pPr>
      <w:r>
        <w:rPr>
          <w:bCs/>
          <w:szCs w:val="21"/>
        </w:rPr>
        <w:t xml:space="preserve">13、绝缘等级：F；</w:t>
      </w:r>
      <w:r/>
    </w:p>
    <w:p>
      <w:pPr>
        <w:ind w:firstLine="210"/>
        <w:spacing w:line="360" w:lineRule="auto"/>
        <w:rPr>
          <w:bCs/>
          <w:szCs w:val="21"/>
        </w:rPr>
      </w:pPr>
      <w:r>
        <w:rPr>
          <w:bCs/>
          <w:szCs w:val="21"/>
        </w:rPr>
        <w:t xml:space="preserve">14、外壳防护等级：≥IP21S；</w:t>
      </w:r>
      <w:r/>
    </w:p>
    <w:p>
      <w:pPr>
        <w:ind w:firstLine="210"/>
        <w:spacing w:line="360" w:lineRule="auto"/>
        <w:rPr>
          <w:bCs/>
          <w:szCs w:val="21"/>
        </w:rPr>
      </w:pPr>
      <w:r>
        <w:rPr>
          <w:bCs/>
          <w:szCs w:val="21"/>
        </w:rPr>
        <w:t xml:space="preserve">15、冷却方式：风冷；</w:t>
      </w:r>
      <w:r/>
    </w:p>
    <w:p>
      <w:pPr>
        <w:ind w:firstLine="210"/>
        <w:spacing w:line="360" w:lineRule="auto"/>
        <w:rPr>
          <w:bCs/>
          <w:szCs w:val="21"/>
        </w:rPr>
      </w:pPr>
      <w:r>
        <w:rPr>
          <w:bCs/>
          <w:szCs w:val="21"/>
        </w:rPr>
        <w:t xml:space="preserve">16、外形尺寸：＜800×500×600mm；</w:t>
      </w:r>
      <w:r/>
    </w:p>
    <w:p>
      <w:pPr>
        <w:ind w:firstLine="210"/>
        <w:spacing w:line="360" w:lineRule="auto"/>
        <w:rPr>
          <w:bCs/>
          <w:szCs w:val="21"/>
        </w:rPr>
      </w:pPr>
      <w:r>
        <w:rPr>
          <w:bCs/>
          <w:szCs w:val="21"/>
        </w:rPr>
        <w:t xml:space="preserve">17、重量：＜50Kg；</w:t>
      </w:r>
      <w:r/>
    </w:p>
    <w:p>
      <w:pPr>
        <w:jc w:val="center"/>
        <w:spacing w:line="360" w:lineRule="auto"/>
        <w:rPr>
          <w:b/>
          <w:bCs/>
          <w:szCs w:val="21"/>
        </w:rPr>
      </w:pPr>
      <w:r>
        <w:rPr>
          <w:b/>
          <w:bCs/>
          <w:szCs w:val="21"/>
        </w:rPr>
        <w:t xml:space="preserve">品目十 等离子氩弧自动焊机(P+T)</w:t>
      </w:r>
      <w:r/>
    </w:p>
    <w:p>
      <w:pPr>
        <w:ind w:firstLine="210"/>
        <w:spacing w:line="360" w:lineRule="auto"/>
        <w:rPr>
          <w:bCs/>
          <w:szCs w:val="21"/>
        </w:rPr>
      </w:pPr>
      <w:r>
        <w:rPr>
          <w:bCs/>
          <w:szCs w:val="21"/>
        </w:rPr>
        <w:t xml:space="preserve">一、功能特点</w:t>
      </w:r>
      <w:r/>
    </w:p>
    <w:p>
      <w:pPr>
        <w:ind w:firstLine="210"/>
        <w:spacing w:line="360" w:lineRule="auto"/>
        <w:rPr>
          <w:bCs/>
          <w:szCs w:val="21"/>
        </w:rPr>
      </w:pPr>
      <w:r>
        <w:rPr>
          <w:bCs/>
          <w:szCs w:val="21"/>
        </w:rPr>
        <w:t xml:space="preserve">1、集成P+T的不同的焊机通讯控制，实现焊机控制屏远程操作控制；</w:t>
      </w:r>
      <w:r/>
    </w:p>
    <w:p>
      <w:pPr>
        <w:ind w:firstLine="210"/>
        <w:spacing w:line="360" w:lineRule="auto"/>
        <w:rPr>
          <w:bCs/>
          <w:szCs w:val="21"/>
        </w:rPr>
      </w:pPr>
      <w:r>
        <w:rPr>
          <w:bCs/>
          <w:szCs w:val="21"/>
        </w:rPr>
        <w:t xml:space="preserve">2、通过PLC集成动作运行和焊机通讯电流的联动控制，结合工艺总结和焊机的实用性，进行PLC编程算法开发；</w:t>
      </w:r>
      <w:r/>
    </w:p>
    <w:p>
      <w:pPr>
        <w:ind w:firstLine="210"/>
        <w:spacing w:line="360" w:lineRule="auto"/>
        <w:rPr>
          <w:bCs/>
          <w:szCs w:val="21"/>
        </w:rPr>
      </w:pPr>
      <w:r>
        <w:rPr>
          <w:bCs/>
          <w:szCs w:val="21"/>
        </w:rPr>
        <w:t xml:space="preserve">3、通过起弧点的焊接工艺特性，进行起弧电流，动作时序精确控制，保证起弧质量；</w:t>
      </w:r>
      <w:r/>
    </w:p>
    <w:p>
      <w:pPr>
        <w:ind w:firstLine="210"/>
        <w:spacing w:line="360" w:lineRule="auto"/>
        <w:rPr>
          <w:bCs/>
          <w:szCs w:val="21"/>
        </w:rPr>
      </w:pPr>
      <w:r>
        <w:rPr>
          <w:bCs/>
          <w:szCs w:val="21"/>
        </w:rPr>
        <w:t xml:space="preserve">4、通过焊接中，分段电流通讯的分段控制，配合焊接动作，实现热量输入控制，提升焊接质量；</w:t>
      </w:r>
      <w:r/>
    </w:p>
    <w:p>
      <w:pPr>
        <w:ind w:firstLine="210"/>
        <w:spacing w:line="360" w:lineRule="auto"/>
        <w:rPr>
          <w:bCs/>
          <w:szCs w:val="21"/>
        </w:rPr>
      </w:pPr>
      <w:r>
        <w:rPr>
          <w:rFonts w:ascii="Segoe UI Symbol" w:hAnsi="Segoe UI Symbol" w:cs="Segoe UI Symbol"/>
          <w:bCs/>
          <w:szCs w:val="21"/>
        </w:rPr>
        <w:t xml:space="preserve">★</w:t>
      </w:r>
      <w:r>
        <w:rPr>
          <w:bCs/>
          <w:szCs w:val="21"/>
        </w:rPr>
        <w:t xml:space="preserve">5、通过收弧点的焊接工艺特性，对停弧点的焊接启停，运动动作，气体保护等实现精确控制，确保收弧质量；</w:t>
      </w:r>
      <w:r/>
    </w:p>
    <w:p>
      <w:pPr>
        <w:ind w:firstLine="210"/>
        <w:spacing w:line="360" w:lineRule="auto"/>
        <w:rPr>
          <w:bCs/>
          <w:szCs w:val="21"/>
        </w:rPr>
      </w:pPr>
      <w:r>
        <w:rPr>
          <w:bCs/>
          <w:szCs w:val="21"/>
        </w:rPr>
        <w:t xml:space="preserve">6、通过PLC集成，实现起弧，运行，焊接，收弧的逻辑性控制，实现焊接自动化；</w:t>
      </w:r>
      <w:r/>
    </w:p>
    <w:p>
      <w:pPr>
        <w:ind w:firstLine="210"/>
        <w:spacing w:line="360" w:lineRule="auto"/>
        <w:rPr>
          <w:bCs/>
          <w:szCs w:val="21"/>
        </w:rPr>
      </w:pPr>
      <w:r>
        <w:rPr>
          <w:rFonts w:ascii="Segoe UI Symbol" w:hAnsi="Segoe UI Symbol" w:cs="Segoe UI Symbol"/>
          <w:bCs/>
          <w:szCs w:val="21"/>
        </w:rPr>
        <w:t xml:space="preserve">★</w:t>
      </w:r>
      <w:r>
        <w:rPr>
          <w:bCs/>
          <w:szCs w:val="21"/>
        </w:rPr>
        <w:t xml:space="preserve">7、配置可实时监控、录制整个焊接过程的视频或熔池图像的可调激光型熔池监控设备；配置系统为Pad，同时具备录像、存储、拍照功能。能够实现：1）有效抑制弧光，实现电弧的不同亮点显示；2）抑制弧光且焊接过程中可调；3）熔池状态可调（清晰/带电弧）</w:t>
      </w:r>
      <w:r/>
    </w:p>
    <w:p>
      <w:pPr>
        <w:ind w:firstLine="210"/>
        <w:spacing w:line="360" w:lineRule="auto"/>
        <w:rPr>
          <w:bCs/>
          <w:szCs w:val="21"/>
        </w:rPr>
      </w:pPr>
      <w:r>
        <w:rPr>
          <w:bCs/>
          <w:szCs w:val="21"/>
        </w:rPr>
        <w:t xml:space="preserve">二、整机主要参数</w:t>
      </w:r>
      <w:r/>
    </w:p>
    <w:p>
      <w:pPr>
        <w:ind w:firstLine="210"/>
        <w:spacing w:line="360" w:lineRule="auto"/>
        <w:rPr>
          <w:bCs/>
          <w:szCs w:val="21"/>
        </w:rPr>
      </w:pPr>
      <w:r>
        <w:rPr>
          <w:bCs/>
          <w:szCs w:val="21"/>
        </w:rPr>
        <w:t xml:space="preserve">1、额定承载：≥300KG；</w:t>
      </w:r>
      <w:r/>
    </w:p>
    <w:p>
      <w:pPr>
        <w:ind w:firstLine="210"/>
        <w:spacing w:line="360" w:lineRule="auto"/>
        <w:rPr>
          <w:bCs/>
          <w:szCs w:val="21"/>
        </w:rPr>
      </w:pPr>
      <w:r>
        <w:rPr>
          <w:bCs/>
          <w:szCs w:val="21"/>
        </w:rPr>
        <w:t xml:space="preserve">2、旋转速度：0.03-0.4rpm；</w:t>
      </w:r>
      <w:r/>
    </w:p>
    <w:p>
      <w:pPr>
        <w:ind w:firstLine="210"/>
        <w:spacing w:line="360" w:lineRule="auto"/>
        <w:rPr>
          <w:bCs/>
          <w:szCs w:val="21"/>
        </w:rPr>
      </w:pPr>
      <w:r>
        <w:rPr>
          <w:bCs/>
          <w:szCs w:val="21"/>
        </w:rPr>
        <w:t xml:space="preserve">3、旋转伺服电机功率：≥750W；</w:t>
      </w:r>
      <w:r/>
    </w:p>
    <w:p>
      <w:pPr>
        <w:ind w:firstLine="210"/>
        <w:spacing w:line="360" w:lineRule="auto"/>
        <w:rPr>
          <w:bCs/>
          <w:szCs w:val="21"/>
        </w:rPr>
      </w:pPr>
      <w:r>
        <w:rPr>
          <w:bCs/>
          <w:szCs w:val="21"/>
        </w:rPr>
        <w:t xml:space="preserve">4、适用工件直径：100mm-400mm；</w:t>
      </w:r>
      <w:r/>
    </w:p>
    <w:p>
      <w:pPr>
        <w:ind w:firstLine="210"/>
        <w:spacing w:line="360" w:lineRule="auto"/>
        <w:rPr>
          <w:bCs/>
          <w:szCs w:val="21"/>
        </w:rPr>
      </w:pPr>
      <w:r>
        <w:rPr>
          <w:bCs/>
          <w:szCs w:val="21"/>
        </w:rPr>
        <w:t xml:space="preserve">5、适用长度：100mm-500mm；</w:t>
      </w:r>
      <w:r/>
    </w:p>
    <w:p>
      <w:pPr>
        <w:ind w:firstLine="210"/>
        <w:spacing w:line="360" w:lineRule="auto"/>
        <w:rPr>
          <w:bCs/>
          <w:szCs w:val="21"/>
        </w:rPr>
      </w:pPr>
      <w:r>
        <w:rPr>
          <w:bCs/>
          <w:szCs w:val="21"/>
        </w:rPr>
        <w:t xml:space="preserve">6、焊枪移动速度：100-1500mm/min；</w:t>
      </w:r>
      <w:r/>
    </w:p>
    <w:p>
      <w:pPr>
        <w:ind w:firstLine="210"/>
        <w:spacing w:line="360" w:lineRule="auto"/>
        <w:rPr>
          <w:bCs/>
          <w:szCs w:val="21"/>
        </w:rPr>
      </w:pPr>
      <w:r>
        <w:rPr>
          <w:bCs/>
          <w:szCs w:val="21"/>
        </w:rPr>
        <w:t xml:space="preserve">7、焊枪移动电机：步进；</w:t>
      </w:r>
      <w:r/>
    </w:p>
    <w:p>
      <w:pPr>
        <w:ind w:firstLine="210"/>
        <w:spacing w:line="360" w:lineRule="auto"/>
        <w:rPr>
          <w:bCs/>
          <w:szCs w:val="21"/>
        </w:rPr>
      </w:pPr>
      <w:r>
        <w:rPr>
          <w:bCs/>
          <w:szCs w:val="21"/>
        </w:rPr>
        <w:t xml:space="preserve">三、焊接技术参数</w:t>
      </w:r>
      <w:r/>
    </w:p>
    <w:p>
      <w:pPr>
        <w:ind w:firstLine="210"/>
        <w:spacing w:line="360" w:lineRule="auto"/>
        <w:rPr>
          <w:bCs/>
          <w:szCs w:val="21"/>
        </w:rPr>
      </w:pPr>
      <w:r>
        <w:rPr>
          <w:bCs/>
          <w:szCs w:val="21"/>
        </w:rPr>
        <w:t xml:space="preserve">1、额定输入电压：三相AC380V+零线+地线；</w:t>
      </w:r>
      <w:r/>
    </w:p>
    <w:p>
      <w:pPr>
        <w:ind w:firstLine="210"/>
        <w:spacing w:line="360" w:lineRule="auto"/>
        <w:rPr>
          <w:bCs/>
          <w:szCs w:val="21"/>
        </w:rPr>
      </w:pPr>
      <w:r>
        <w:rPr>
          <w:bCs/>
          <w:szCs w:val="21"/>
        </w:rPr>
        <w:t xml:space="preserve">2、额定输入容量：＞20KVA；</w:t>
      </w:r>
      <w:r/>
    </w:p>
    <w:p>
      <w:pPr>
        <w:ind w:firstLine="210"/>
        <w:spacing w:line="360" w:lineRule="auto"/>
        <w:rPr>
          <w:bCs/>
          <w:szCs w:val="21"/>
        </w:rPr>
      </w:pPr>
      <w:r>
        <w:rPr>
          <w:bCs/>
          <w:szCs w:val="21"/>
        </w:rPr>
        <w:t xml:space="preserve">3、输入最大电流：＞30A；</w:t>
      </w:r>
      <w:r/>
    </w:p>
    <w:p>
      <w:pPr>
        <w:ind w:firstLine="210"/>
        <w:spacing w:line="360" w:lineRule="auto"/>
        <w:rPr>
          <w:bCs/>
          <w:szCs w:val="21"/>
        </w:rPr>
      </w:pPr>
      <w:r>
        <w:rPr>
          <w:bCs/>
          <w:szCs w:val="21"/>
        </w:rPr>
        <w:t xml:space="preserve">4、额定负载持续率：≥60%；</w:t>
      </w:r>
      <w:r/>
    </w:p>
    <w:p>
      <w:pPr>
        <w:ind w:firstLine="210"/>
        <w:spacing w:line="360" w:lineRule="auto"/>
        <w:rPr>
          <w:bCs/>
          <w:szCs w:val="21"/>
        </w:rPr>
      </w:pPr>
      <w:r>
        <w:rPr>
          <w:bCs/>
          <w:szCs w:val="21"/>
        </w:rPr>
        <w:t xml:space="preserve">5、输出空载电压：≥70V；</w:t>
      </w:r>
      <w:r/>
    </w:p>
    <w:p>
      <w:pPr>
        <w:ind w:firstLine="210"/>
        <w:spacing w:line="360" w:lineRule="auto"/>
        <w:rPr>
          <w:bCs/>
          <w:szCs w:val="21"/>
        </w:rPr>
      </w:pPr>
      <w:r>
        <w:rPr>
          <w:bCs/>
          <w:szCs w:val="21"/>
        </w:rPr>
        <w:t xml:space="preserve">6、额定输出功率：≥16KW；</w:t>
      </w:r>
      <w:r/>
    </w:p>
    <w:p>
      <w:pPr>
        <w:ind w:firstLine="210"/>
        <w:spacing w:line="360" w:lineRule="auto"/>
        <w:rPr>
          <w:bCs/>
          <w:szCs w:val="21"/>
        </w:rPr>
      </w:pPr>
      <w:r>
        <w:rPr>
          <w:bCs/>
          <w:szCs w:val="21"/>
        </w:rPr>
        <w:t xml:space="preserve">7、焊接电流（A）：5-400；</w:t>
      </w:r>
      <w:r/>
    </w:p>
    <w:p>
      <w:pPr>
        <w:ind w:firstLine="210"/>
        <w:spacing w:line="360" w:lineRule="auto"/>
        <w:rPr>
          <w:bCs/>
          <w:szCs w:val="21"/>
        </w:rPr>
      </w:pPr>
      <w:r>
        <w:rPr>
          <w:bCs/>
          <w:szCs w:val="21"/>
        </w:rPr>
        <w:t xml:space="preserve">8、焊机体积：＜900×900×500mm；</w:t>
      </w:r>
      <w:r/>
    </w:p>
    <w:p>
      <w:pPr>
        <w:ind w:firstLine="210"/>
        <w:spacing w:line="360" w:lineRule="auto"/>
        <w:rPr>
          <w:bCs/>
          <w:szCs w:val="21"/>
        </w:rPr>
      </w:pPr>
      <w:r>
        <w:rPr>
          <w:bCs/>
          <w:szCs w:val="21"/>
        </w:rPr>
        <w:t xml:space="preserve">四、被焊工件参数</w:t>
      </w:r>
      <w:r/>
    </w:p>
    <w:p>
      <w:pPr>
        <w:ind w:firstLine="210"/>
        <w:spacing w:line="360" w:lineRule="auto"/>
        <w:rPr>
          <w:bCs/>
          <w:szCs w:val="21"/>
        </w:rPr>
      </w:pPr>
      <w:r>
        <w:rPr>
          <w:bCs/>
          <w:szCs w:val="21"/>
        </w:rPr>
        <w:t xml:space="preserve">1、筒体环缝直径：Φ100mm-Φ400mm；</w:t>
      </w:r>
      <w:r/>
    </w:p>
    <w:p>
      <w:pPr>
        <w:ind w:firstLine="210"/>
        <w:spacing w:line="360" w:lineRule="auto"/>
        <w:rPr>
          <w:bCs/>
          <w:szCs w:val="21"/>
        </w:rPr>
      </w:pPr>
      <w:r>
        <w:rPr>
          <w:bCs/>
          <w:szCs w:val="21"/>
        </w:rPr>
        <w:t xml:space="preserve">2、筒体工件长度：100mm-500mm；</w:t>
      </w:r>
      <w:r/>
    </w:p>
    <w:p>
      <w:pPr>
        <w:ind w:firstLine="210"/>
        <w:spacing w:line="360" w:lineRule="auto"/>
        <w:rPr>
          <w:bCs/>
          <w:szCs w:val="21"/>
        </w:rPr>
      </w:pPr>
      <w:r>
        <w:rPr>
          <w:bCs/>
          <w:szCs w:val="21"/>
        </w:rPr>
        <w:t xml:space="preserve">3、筒体工件壁厚：3mm-8mm；</w:t>
      </w:r>
      <w:r/>
    </w:p>
    <w:p>
      <w:pPr>
        <w:ind w:firstLine="210"/>
        <w:spacing w:line="360" w:lineRule="auto"/>
        <w:rPr>
          <w:bCs/>
          <w:szCs w:val="21"/>
        </w:rPr>
      </w:pPr>
      <w:r>
        <w:rPr>
          <w:bCs/>
          <w:szCs w:val="21"/>
        </w:rPr>
        <w:t xml:space="preserve">4、平板长宽：≤400mm×200mm；</w:t>
      </w:r>
      <w:r/>
    </w:p>
    <w:p>
      <w:pPr>
        <w:ind w:firstLine="210"/>
        <w:spacing w:line="360" w:lineRule="auto"/>
        <w:rPr>
          <w:bCs/>
          <w:szCs w:val="21"/>
        </w:rPr>
      </w:pPr>
      <w:r>
        <w:rPr>
          <w:bCs/>
          <w:szCs w:val="21"/>
        </w:rPr>
        <w:t xml:space="preserve">5、平板厚度：3mm-8mm；</w:t>
      </w:r>
      <w:r/>
    </w:p>
    <w:p>
      <w:pPr>
        <w:ind w:firstLine="210"/>
        <w:spacing w:line="360" w:lineRule="auto"/>
        <w:rPr>
          <w:bCs/>
          <w:szCs w:val="21"/>
        </w:rPr>
      </w:pPr>
      <w:r>
        <w:rPr>
          <w:bCs/>
          <w:szCs w:val="21"/>
        </w:rPr>
        <w:t xml:space="preserve">6、工件材质：碳钢/不锈钢；</w:t>
      </w:r>
      <w:r/>
    </w:p>
    <w:p>
      <w:pPr>
        <w:ind w:firstLine="210"/>
        <w:spacing w:line="360" w:lineRule="auto"/>
        <w:rPr>
          <w:bCs/>
          <w:szCs w:val="21"/>
        </w:rPr>
      </w:pPr>
      <w:r>
        <w:rPr>
          <w:bCs/>
          <w:szCs w:val="21"/>
        </w:rPr>
        <w:t xml:space="preserve">五、配置</w:t>
      </w:r>
      <w:r/>
    </w:p>
    <w:p>
      <w:pPr>
        <w:ind w:firstLine="210"/>
        <w:spacing w:line="360" w:lineRule="auto"/>
        <w:rPr>
          <w:bCs/>
          <w:szCs w:val="21"/>
        </w:rPr>
      </w:pPr>
      <w:r>
        <w:rPr>
          <w:bCs/>
          <w:szCs w:val="21"/>
        </w:rPr>
        <w:t xml:space="preserve">1、边梁式平台旋转一体工装1套（旋转伺服1，背保护步进2，升降步进3，平移步进4，摆动模组5轴，送丝电机6轴）；</w:t>
      </w:r>
      <w:r/>
    </w:p>
    <w:p>
      <w:pPr>
        <w:ind w:firstLine="210"/>
        <w:spacing w:line="360" w:lineRule="auto"/>
        <w:rPr>
          <w:bCs/>
          <w:szCs w:val="21"/>
        </w:rPr>
      </w:pPr>
      <w:r>
        <w:rPr>
          <w:bCs/>
          <w:szCs w:val="21"/>
        </w:rPr>
        <w:t xml:space="preserve">2、筒体背保架1套（平移步进（筒体背保装置））；</w:t>
      </w:r>
      <w:r/>
    </w:p>
    <w:p>
      <w:pPr>
        <w:ind w:firstLine="210"/>
        <w:spacing w:line="360" w:lineRule="auto"/>
        <w:rPr>
          <w:bCs/>
          <w:szCs w:val="21"/>
        </w:rPr>
      </w:pPr>
      <w:r>
        <w:rPr>
          <w:bCs/>
          <w:szCs w:val="21"/>
        </w:rPr>
        <w:t xml:space="preserve">3、等离子焊接电源1台（P+T一机两用型）；</w:t>
      </w:r>
      <w:r/>
    </w:p>
    <w:p>
      <w:pPr>
        <w:ind w:firstLine="210"/>
        <w:spacing w:line="360" w:lineRule="auto"/>
        <w:rPr>
          <w:bCs/>
          <w:szCs w:val="21"/>
        </w:rPr>
      </w:pPr>
      <w:r>
        <w:rPr>
          <w:bCs/>
          <w:szCs w:val="21"/>
        </w:rPr>
        <w:t xml:space="preserve">4、制冷水箱1台（供P+T焊枪冷却降温）；</w:t>
      </w:r>
      <w:r/>
    </w:p>
    <w:p>
      <w:pPr>
        <w:ind w:firstLine="210"/>
        <w:spacing w:line="360" w:lineRule="auto"/>
        <w:rPr>
          <w:bCs/>
          <w:szCs w:val="21"/>
        </w:rPr>
      </w:pPr>
      <w:r>
        <w:rPr>
          <w:bCs/>
          <w:szCs w:val="21"/>
        </w:rPr>
        <w:t xml:space="preserve">5、水冷高清熔池监控1套（高清成像焊道熔池状态，保护眼睛免灼伤）；</w:t>
      </w:r>
      <w:r/>
    </w:p>
    <w:p>
      <w:pPr>
        <w:jc w:val="center"/>
        <w:spacing w:line="360" w:lineRule="auto"/>
        <w:rPr>
          <w:b/>
          <w:bCs/>
          <w:szCs w:val="21"/>
        </w:rPr>
      </w:pPr>
      <w:r>
        <w:rPr>
          <w:b/>
          <w:bCs/>
          <w:szCs w:val="21"/>
        </w:rPr>
        <w:t xml:space="preserve">品目十一 管板自动氩弧焊机电源控制系统及辅件</w:t>
      </w:r>
      <w:r/>
    </w:p>
    <w:p>
      <w:pPr>
        <w:ind w:firstLine="210"/>
        <w:spacing w:line="360" w:lineRule="auto"/>
        <w:rPr>
          <w:bCs/>
          <w:szCs w:val="21"/>
        </w:rPr>
      </w:pPr>
      <w:r>
        <w:rPr>
          <w:bCs/>
          <w:szCs w:val="21"/>
        </w:rPr>
        <w:t xml:space="preserve">一、用途和特点</w:t>
      </w:r>
      <w:r/>
    </w:p>
    <w:p>
      <w:pPr>
        <w:ind w:firstLine="210"/>
        <w:spacing w:line="360" w:lineRule="auto"/>
        <w:rPr>
          <w:bCs/>
          <w:szCs w:val="21"/>
        </w:rPr>
      </w:pPr>
      <w:r>
        <w:rPr>
          <w:bCs/>
          <w:szCs w:val="21"/>
        </w:rPr>
        <w:t xml:space="preserve">1、用于管子管板的焊接，适用于碳钢、不锈钢、钛合金、铜合金等金属进行全位置焊接，采用PLC控制，显示和参数输入采用触摸屏。</w:t>
      </w:r>
      <w:r/>
    </w:p>
    <w:p>
      <w:pPr>
        <w:ind w:firstLine="210"/>
        <w:spacing w:line="360" w:lineRule="auto"/>
        <w:rPr>
          <w:bCs/>
          <w:szCs w:val="21"/>
        </w:rPr>
      </w:pPr>
      <w:r>
        <w:rPr>
          <w:bCs/>
          <w:szCs w:val="21"/>
        </w:rPr>
        <w:t xml:space="preserve">2、焊接电源采用IGBT焊接电源，电弧电流为脉冲波形，各参数均可单独设定。</w:t>
      </w:r>
      <w:r/>
    </w:p>
    <w:p>
      <w:pPr>
        <w:ind w:firstLine="210"/>
        <w:spacing w:line="360" w:lineRule="auto"/>
        <w:rPr>
          <w:bCs/>
          <w:szCs w:val="21"/>
        </w:rPr>
      </w:pPr>
      <w:r>
        <w:rPr>
          <w:bCs/>
          <w:szCs w:val="21"/>
        </w:rPr>
        <w:t xml:space="preserve">3、具有四种焊接方式：</w:t>
      </w:r>
      <w:r/>
    </w:p>
    <w:p>
      <w:pPr>
        <w:ind w:firstLine="210"/>
        <w:spacing w:line="360" w:lineRule="auto"/>
        <w:rPr>
          <w:bCs/>
          <w:szCs w:val="21"/>
        </w:rPr>
      </w:pPr>
      <w:r>
        <w:rPr>
          <w:bCs/>
          <w:szCs w:val="21"/>
        </w:rPr>
        <w:t xml:space="preserve">（1）焊一层、不填丝；</w:t>
      </w:r>
      <w:r/>
    </w:p>
    <w:p>
      <w:pPr>
        <w:ind w:firstLine="210"/>
        <w:spacing w:line="360" w:lineRule="auto"/>
        <w:rPr>
          <w:bCs/>
          <w:szCs w:val="21"/>
        </w:rPr>
      </w:pPr>
      <w:r>
        <w:rPr>
          <w:bCs/>
          <w:szCs w:val="21"/>
        </w:rPr>
        <w:t xml:space="preserve">（2）焊一层、填丝；</w:t>
      </w:r>
      <w:r/>
    </w:p>
    <w:p>
      <w:pPr>
        <w:ind w:firstLine="210"/>
        <w:spacing w:line="360" w:lineRule="auto"/>
        <w:rPr>
          <w:bCs/>
          <w:szCs w:val="21"/>
        </w:rPr>
      </w:pPr>
      <w:r>
        <w:rPr>
          <w:bCs/>
          <w:szCs w:val="21"/>
        </w:rPr>
        <w:t xml:space="preserve">（3）焊二层第一层不填丝、第二层填丝；</w:t>
      </w:r>
      <w:r/>
    </w:p>
    <w:p>
      <w:pPr>
        <w:ind w:firstLine="210"/>
        <w:spacing w:line="360" w:lineRule="auto"/>
        <w:rPr>
          <w:bCs/>
          <w:szCs w:val="21"/>
        </w:rPr>
      </w:pPr>
      <w:r>
        <w:rPr>
          <w:bCs/>
          <w:szCs w:val="21"/>
        </w:rPr>
        <w:t xml:space="preserve">（4）焊二层、均填丝；</w:t>
      </w:r>
      <w:r/>
    </w:p>
    <w:p>
      <w:pPr>
        <w:ind w:firstLine="210"/>
        <w:spacing w:line="360" w:lineRule="auto"/>
        <w:rPr>
          <w:bCs/>
          <w:szCs w:val="21"/>
        </w:rPr>
      </w:pPr>
      <w:r>
        <w:rPr>
          <w:bCs/>
          <w:szCs w:val="21"/>
        </w:rPr>
        <w:t xml:space="preserve">4、具有三种脉冲工作方式：</w:t>
      </w:r>
      <w:r/>
    </w:p>
    <w:p>
      <w:pPr>
        <w:ind w:firstLine="210"/>
        <w:spacing w:line="360" w:lineRule="auto"/>
        <w:rPr>
          <w:bCs/>
          <w:szCs w:val="21"/>
        </w:rPr>
      </w:pPr>
      <w:r>
        <w:rPr>
          <w:bCs/>
          <w:szCs w:val="21"/>
        </w:rPr>
        <w:t xml:space="preserve">（1）单脉冲：电弧电流为脉冲工作，旋转和送丝连续工作；</w:t>
      </w:r>
      <w:r/>
    </w:p>
    <w:p>
      <w:pPr>
        <w:ind w:firstLine="210"/>
        <w:spacing w:line="360" w:lineRule="auto"/>
        <w:rPr>
          <w:bCs/>
          <w:szCs w:val="21"/>
        </w:rPr>
      </w:pPr>
      <w:r>
        <w:rPr>
          <w:bCs/>
          <w:szCs w:val="21"/>
        </w:rPr>
        <w:t xml:space="preserve">（2）双脉冲：电弧电流和送丝为同步脉冲工作，旋转为连续工作；</w:t>
      </w:r>
      <w:r/>
    </w:p>
    <w:p>
      <w:pPr>
        <w:ind w:firstLine="210"/>
        <w:spacing w:line="360" w:lineRule="auto"/>
        <w:rPr>
          <w:bCs/>
          <w:szCs w:val="21"/>
        </w:rPr>
      </w:pPr>
      <w:r>
        <w:rPr>
          <w:bCs/>
          <w:szCs w:val="21"/>
        </w:rPr>
        <w:t xml:space="preserve">（3）三脉冲：电弧电流、送丝和旋转均为脉冲同步工作，当电弧电流为峰值时，送丝工作而旋转停止；当电弧电流为基值时，旋转工作但不送丝。</w:t>
      </w:r>
      <w:r/>
    </w:p>
    <w:p>
      <w:pPr>
        <w:ind w:firstLine="210"/>
        <w:spacing w:line="360" w:lineRule="auto"/>
        <w:rPr>
          <w:bCs/>
          <w:szCs w:val="21"/>
        </w:rPr>
      </w:pPr>
      <w:r>
        <w:rPr>
          <w:bCs/>
          <w:szCs w:val="21"/>
        </w:rPr>
        <w:t xml:space="preserve">二、技术参数</w:t>
      </w:r>
      <w:r/>
    </w:p>
    <w:p>
      <w:pPr>
        <w:ind w:firstLine="210"/>
        <w:spacing w:line="360" w:lineRule="auto"/>
        <w:rPr>
          <w:bCs/>
          <w:szCs w:val="21"/>
        </w:rPr>
      </w:pPr>
      <w:r>
        <w:rPr>
          <w:bCs/>
          <w:szCs w:val="21"/>
        </w:rPr>
        <w:t xml:space="preserve">1、数控电源柜</w:t>
      </w:r>
      <w:r/>
    </w:p>
    <w:p>
      <w:pPr>
        <w:ind w:firstLine="210"/>
        <w:spacing w:line="360" w:lineRule="auto"/>
        <w:rPr>
          <w:bCs/>
          <w:szCs w:val="21"/>
        </w:rPr>
      </w:pPr>
      <w:r>
        <w:rPr>
          <w:bCs/>
          <w:szCs w:val="21"/>
        </w:rPr>
        <w:t xml:space="preserve">（1）额定输入电压：380 V；</w:t>
      </w:r>
      <w:r/>
    </w:p>
    <w:p>
      <w:pPr>
        <w:ind w:firstLine="210"/>
        <w:spacing w:line="360" w:lineRule="auto"/>
        <w:rPr>
          <w:bCs/>
          <w:szCs w:val="21"/>
        </w:rPr>
      </w:pPr>
      <w:r>
        <w:rPr>
          <w:bCs/>
          <w:szCs w:val="21"/>
        </w:rPr>
        <w:t xml:space="preserve">（2）相数：3 Phase；</w:t>
      </w:r>
      <w:r/>
    </w:p>
    <w:p>
      <w:pPr>
        <w:ind w:firstLine="210"/>
        <w:spacing w:line="360" w:lineRule="auto"/>
        <w:rPr>
          <w:bCs/>
          <w:szCs w:val="21"/>
        </w:rPr>
      </w:pPr>
      <w:r>
        <w:rPr>
          <w:bCs/>
          <w:szCs w:val="21"/>
        </w:rPr>
        <w:t xml:space="preserve">（3）输入电压范围：380 V±10％；</w:t>
      </w:r>
      <w:r/>
    </w:p>
    <w:p>
      <w:pPr>
        <w:ind w:firstLine="210"/>
        <w:spacing w:line="360" w:lineRule="auto"/>
        <w:rPr>
          <w:bCs/>
          <w:szCs w:val="21"/>
        </w:rPr>
      </w:pPr>
      <w:r>
        <w:rPr>
          <w:bCs/>
          <w:szCs w:val="21"/>
        </w:rPr>
        <w:t xml:space="preserve">（4）电源频率：50/60 Hz；</w:t>
      </w:r>
      <w:r/>
    </w:p>
    <w:p>
      <w:pPr>
        <w:ind w:firstLine="210"/>
        <w:spacing w:line="360" w:lineRule="auto"/>
        <w:rPr>
          <w:bCs/>
          <w:szCs w:val="21"/>
        </w:rPr>
      </w:pPr>
      <w:r>
        <w:rPr>
          <w:bCs/>
          <w:szCs w:val="21"/>
        </w:rPr>
        <w:t xml:space="preserve">（5）额定输入功率：8.3 KW；</w:t>
      </w:r>
      <w:r/>
    </w:p>
    <w:p>
      <w:pPr>
        <w:ind w:firstLine="210"/>
        <w:spacing w:line="360" w:lineRule="auto"/>
        <w:rPr>
          <w:bCs/>
          <w:szCs w:val="21"/>
        </w:rPr>
      </w:pPr>
      <w:r>
        <w:rPr>
          <w:bCs/>
          <w:szCs w:val="21"/>
        </w:rPr>
        <w:t xml:space="preserve">（6）额定空载电压：70V；</w:t>
      </w:r>
      <w:r/>
    </w:p>
    <w:p>
      <w:pPr>
        <w:ind w:firstLine="210"/>
        <w:spacing w:line="360" w:lineRule="auto"/>
        <w:rPr>
          <w:bCs/>
          <w:szCs w:val="21"/>
        </w:rPr>
      </w:pPr>
      <w:r>
        <w:rPr>
          <w:bCs/>
          <w:szCs w:val="21"/>
        </w:rPr>
        <w:t xml:space="preserve">（7）焊接电流范围：4~400 A；</w:t>
      </w:r>
      <w:r/>
    </w:p>
    <w:p>
      <w:pPr>
        <w:ind w:firstLine="210"/>
        <w:spacing w:line="360" w:lineRule="auto"/>
        <w:rPr>
          <w:bCs/>
          <w:szCs w:val="21"/>
        </w:rPr>
      </w:pPr>
      <w:r>
        <w:rPr>
          <w:bCs/>
          <w:szCs w:val="21"/>
        </w:rPr>
        <w:t xml:space="preserve">（8）焊接电压范围：8.5~22 V；</w:t>
      </w:r>
      <w:r/>
    </w:p>
    <w:p>
      <w:pPr>
        <w:ind w:firstLine="210"/>
        <w:spacing w:line="360" w:lineRule="auto"/>
        <w:rPr>
          <w:bCs/>
          <w:szCs w:val="21"/>
        </w:rPr>
      </w:pPr>
      <w:r>
        <w:rPr>
          <w:bCs/>
          <w:szCs w:val="21"/>
        </w:rPr>
        <w:t xml:space="preserve">（9）控制方式：IGBT逆变控制；</w:t>
      </w:r>
      <w:r/>
    </w:p>
    <w:p>
      <w:pPr>
        <w:ind w:firstLine="210"/>
        <w:spacing w:line="360" w:lineRule="auto"/>
        <w:rPr>
          <w:bCs/>
          <w:szCs w:val="21"/>
        </w:rPr>
      </w:pPr>
      <w:r>
        <w:rPr>
          <w:bCs/>
          <w:szCs w:val="21"/>
        </w:rPr>
        <w:t xml:space="preserve">（10）冷却方式：强制风冷；</w:t>
      </w:r>
      <w:r/>
    </w:p>
    <w:p>
      <w:pPr>
        <w:ind w:firstLine="210"/>
        <w:spacing w:line="360" w:lineRule="auto"/>
        <w:rPr>
          <w:bCs/>
          <w:szCs w:val="21"/>
        </w:rPr>
      </w:pPr>
      <w:r>
        <w:rPr>
          <w:bCs/>
          <w:szCs w:val="21"/>
        </w:rPr>
        <w:t xml:space="preserve">（11）cc高频发生装置：火花发生器；</w:t>
      </w:r>
      <w:r/>
    </w:p>
    <w:p>
      <w:pPr>
        <w:ind w:firstLine="210"/>
        <w:spacing w:line="360" w:lineRule="auto"/>
        <w:rPr>
          <w:bCs/>
          <w:szCs w:val="21"/>
        </w:rPr>
      </w:pPr>
      <w:r>
        <w:rPr>
          <w:bCs/>
          <w:szCs w:val="21"/>
        </w:rPr>
        <w:t xml:space="preserve">（12）可存储参数：不少于90套；</w:t>
      </w:r>
      <w:r/>
    </w:p>
    <w:p>
      <w:pPr>
        <w:ind w:firstLine="210"/>
        <w:spacing w:line="360" w:lineRule="auto"/>
        <w:rPr>
          <w:bCs/>
          <w:szCs w:val="21"/>
        </w:rPr>
      </w:pPr>
      <w:r>
        <w:rPr>
          <w:bCs/>
          <w:szCs w:val="21"/>
        </w:rPr>
        <w:t xml:space="preserve">（13）重量：≤85kg；</w:t>
      </w:r>
      <w:r/>
    </w:p>
    <w:p>
      <w:pPr>
        <w:ind w:firstLine="210"/>
        <w:spacing w:line="360" w:lineRule="auto"/>
        <w:rPr>
          <w:bCs/>
          <w:szCs w:val="21"/>
        </w:rPr>
      </w:pPr>
      <w:r>
        <w:rPr>
          <w:bCs/>
          <w:szCs w:val="21"/>
        </w:rPr>
        <w:t xml:space="preserve">（14）外形尺寸：≤500×700×1100mm；</w:t>
      </w:r>
      <w:r/>
    </w:p>
    <w:p>
      <w:pPr>
        <w:ind w:firstLine="210"/>
        <w:spacing w:line="360" w:lineRule="auto"/>
        <w:rPr>
          <w:bCs/>
          <w:szCs w:val="21"/>
        </w:rPr>
      </w:pPr>
      <w:r>
        <w:rPr>
          <w:bCs/>
          <w:szCs w:val="21"/>
        </w:rPr>
        <w:t xml:space="preserve">2、循环水冷却装置；</w:t>
      </w:r>
      <w:r/>
    </w:p>
    <w:p>
      <w:pPr>
        <w:ind w:firstLine="210"/>
        <w:spacing w:line="360" w:lineRule="auto"/>
        <w:rPr>
          <w:bCs/>
          <w:szCs w:val="21"/>
        </w:rPr>
      </w:pPr>
      <w:r>
        <w:rPr>
          <w:bCs/>
          <w:szCs w:val="21"/>
        </w:rPr>
        <w:t xml:space="preserve">（1）容量：10L；</w:t>
      </w:r>
      <w:r/>
    </w:p>
    <w:p>
      <w:pPr>
        <w:ind w:firstLine="210"/>
        <w:spacing w:line="360" w:lineRule="auto"/>
        <w:rPr>
          <w:bCs/>
          <w:szCs w:val="21"/>
        </w:rPr>
      </w:pPr>
      <w:r>
        <w:rPr>
          <w:bCs/>
          <w:szCs w:val="21"/>
        </w:rPr>
        <w:t xml:space="preserve">（2）重量：≤10kg；</w:t>
      </w:r>
      <w:r/>
    </w:p>
    <w:p>
      <w:pPr>
        <w:pStyle w:val="1181"/>
        <w:rPr>
          <w:bCs/>
          <w:szCs w:val="21"/>
        </w:rPr>
      </w:pPr>
      <w:r>
        <w:rPr>
          <w:bCs/>
          <w:szCs w:val="21"/>
        </w:rPr>
        <w:t xml:space="preserve">（3）外型尺寸：≤</w:t>
      </w:r>
      <w:r>
        <w:rPr>
          <w:bCs/>
        </w:rPr>
        <w:t xml:space="preserve">500×300×600mm</w:t>
      </w:r>
      <w:r>
        <w:rPr>
          <w:bCs/>
          <w:szCs w:val="21"/>
        </w:rPr>
        <w:t xml:space="preserve">；</w:t>
      </w:r>
      <w:r/>
    </w:p>
    <w:p>
      <w:pPr>
        <w:ind w:firstLine="210"/>
        <w:spacing w:line="360" w:lineRule="auto"/>
        <w:rPr>
          <w:bCs/>
          <w:szCs w:val="21"/>
        </w:rPr>
      </w:pPr>
      <w:r>
        <w:rPr>
          <w:bCs/>
          <w:szCs w:val="21"/>
        </w:rPr>
        <w:t xml:space="preserve">三、配置</w:t>
      </w:r>
      <w:r/>
    </w:p>
    <w:p>
      <w:pPr>
        <w:ind w:firstLine="210"/>
        <w:spacing w:line="360" w:lineRule="auto"/>
        <w:rPr>
          <w:bCs/>
          <w:szCs w:val="21"/>
        </w:rPr>
      </w:pPr>
      <w:r>
        <w:rPr>
          <w:bCs/>
          <w:szCs w:val="21"/>
        </w:rPr>
        <w:t xml:space="preserve">1、控制柜（包括焊接电源）1台；</w:t>
      </w:r>
      <w:r/>
    </w:p>
    <w:p>
      <w:pPr>
        <w:ind w:firstLine="210"/>
        <w:spacing w:line="360" w:lineRule="auto"/>
        <w:rPr>
          <w:bCs/>
          <w:szCs w:val="21"/>
        </w:rPr>
      </w:pPr>
      <w:r>
        <w:rPr>
          <w:bCs/>
          <w:szCs w:val="21"/>
        </w:rPr>
        <w:t xml:space="preserve">2、循环水冷却装置1台；</w:t>
      </w:r>
      <w:r/>
    </w:p>
    <w:p>
      <w:pPr>
        <w:ind w:firstLine="210"/>
        <w:spacing w:line="360" w:lineRule="auto"/>
        <w:rPr>
          <w:bCs/>
          <w:szCs w:val="21"/>
        </w:rPr>
      </w:pPr>
      <w:r>
        <w:rPr>
          <w:bCs/>
          <w:szCs w:val="21"/>
        </w:rPr>
        <w:t xml:space="preserve">3、遥控盒1个；</w:t>
      </w:r>
      <w:r/>
    </w:p>
    <w:p>
      <w:pPr>
        <w:ind w:firstLine="210"/>
        <w:spacing w:line="360" w:lineRule="auto"/>
        <w:rPr>
          <w:bCs/>
          <w:szCs w:val="21"/>
        </w:rPr>
      </w:pPr>
      <w:r>
        <w:rPr>
          <w:bCs/>
          <w:szCs w:val="21"/>
        </w:rPr>
        <w:t xml:space="preserve">4、说明书及图纸1套；</w:t>
      </w:r>
      <w:r/>
    </w:p>
    <w:p>
      <w:pPr>
        <w:jc w:val="center"/>
        <w:spacing w:line="360" w:lineRule="auto"/>
        <w:rPr>
          <w:b/>
          <w:bCs/>
          <w:szCs w:val="21"/>
        </w:rPr>
      </w:pPr>
      <w:r>
        <w:rPr>
          <w:b/>
          <w:bCs/>
          <w:szCs w:val="21"/>
        </w:rPr>
        <w:t xml:space="preserve">品目十二 管板自动焊机机头及操作架</w:t>
      </w:r>
      <w:r/>
    </w:p>
    <w:p>
      <w:pPr>
        <w:ind w:firstLine="210"/>
        <w:spacing w:line="360" w:lineRule="auto"/>
        <w:rPr>
          <w:bCs/>
          <w:szCs w:val="21"/>
        </w:rPr>
      </w:pPr>
      <w:r>
        <w:rPr>
          <w:bCs/>
          <w:szCs w:val="21"/>
        </w:rPr>
        <w:t xml:space="preserve">一、产品特点</w:t>
      </w:r>
      <w:r/>
    </w:p>
    <w:p>
      <w:pPr>
        <w:ind w:firstLine="210"/>
        <w:spacing w:line="360" w:lineRule="auto"/>
        <w:rPr>
          <w:bCs/>
          <w:szCs w:val="21"/>
        </w:rPr>
      </w:pPr>
      <w:r>
        <w:rPr>
          <w:bCs/>
          <w:szCs w:val="21"/>
        </w:rPr>
        <w:t xml:space="preserve">1、焊机机头的旋转、焊丝的馈送均采用步进电机。</w:t>
      </w:r>
      <w:r/>
    </w:p>
    <w:p>
      <w:pPr>
        <w:ind w:firstLine="210"/>
        <w:spacing w:line="360" w:lineRule="auto"/>
        <w:rPr>
          <w:bCs/>
          <w:szCs w:val="21"/>
        </w:rPr>
      </w:pPr>
      <w:r>
        <w:rPr>
          <w:bCs/>
          <w:szCs w:val="21"/>
        </w:rPr>
        <w:t xml:space="preserve">2、焊机机头能在水平面上左右90度旋转，便于操作时钨棒和焊丝的更换。</w:t>
      </w:r>
      <w:r/>
    </w:p>
    <w:p>
      <w:pPr>
        <w:ind w:firstLine="210"/>
        <w:spacing w:line="360" w:lineRule="auto"/>
        <w:rPr>
          <w:bCs/>
          <w:szCs w:val="21"/>
        </w:rPr>
      </w:pPr>
      <w:r>
        <w:rPr>
          <w:bCs/>
          <w:szCs w:val="21"/>
        </w:rPr>
        <w:t xml:space="preserve">3、焊机能焊接平焊、角焊及内凹焊等三种焊接型式。</w:t>
      </w:r>
      <w:r/>
    </w:p>
    <w:p>
      <w:pPr>
        <w:ind w:firstLine="210"/>
        <w:spacing w:line="360" w:lineRule="auto"/>
        <w:rPr>
          <w:bCs/>
          <w:szCs w:val="21"/>
        </w:rPr>
      </w:pPr>
      <w:r>
        <w:rPr>
          <w:bCs/>
          <w:szCs w:val="21"/>
        </w:rPr>
        <w:t xml:space="preserve">4、龙门操作架X和Y方向移动采用直线导轨,操作轻便。</w:t>
      </w:r>
      <w:r/>
    </w:p>
    <w:p>
      <w:pPr>
        <w:ind w:firstLine="210"/>
        <w:spacing w:line="360" w:lineRule="auto"/>
        <w:rPr>
          <w:bCs/>
          <w:szCs w:val="21"/>
        </w:rPr>
      </w:pPr>
      <w:r>
        <w:rPr>
          <w:bCs/>
          <w:szCs w:val="21"/>
        </w:rPr>
        <w:t xml:space="preserve">二、技术参数</w:t>
      </w:r>
      <w:r/>
    </w:p>
    <w:p>
      <w:pPr>
        <w:ind w:firstLine="210"/>
        <w:spacing w:line="360" w:lineRule="auto"/>
        <w:rPr>
          <w:bCs/>
          <w:szCs w:val="21"/>
        </w:rPr>
      </w:pPr>
      <w:r>
        <w:rPr>
          <w:bCs/>
          <w:szCs w:val="21"/>
        </w:rPr>
        <w:t xml:space="preserve">1、龙门操作架</w:t>
      </w:r>
      <w:r/>
    </w:p>
    <w:p>
      <w:pPr>
        <w:ind w:firstLine="210"/>
        <w:spacing w:line="360" w:lineRule="auto"/>
        <w:rPr>
          <w:bCs/>
          <w:szCs w:val="21"/>
        </w:rPr>
      </w:pPr>
      <w:r>
        <w:rPr>
          <w:bCs/>
          <w:szCs w:val="21"/>
        </w:rPr>
        <w:t xml:space="preserve">（1）横向移动行程：≥1500mm；</w:t>
      </w:r>
      <w:r/>
    </w:p>
    <w:p>
      <w:pPr>
        <w:ind w:firstLine="210"/>
        <w:spacing w:line="360" w:lineRule="auto"/>
        <w:rPr>
          <w:bCs/>
          <w:szCs w:val="21"/>
        </w:rPr>
      </w:pPr>
      <w:r>
        <w:rPr>
          <w:bCs/>
          <w:szCs w:val="21"/>
        </w:rPr>
        <w:t xml:space="preserve">（2）垂直移动行程：≥1900mm；</w:t>
      </w:r>
      <w:r/>
    </w:p>
    <w:p>
      <w:pPr>
        <w:ind w:firstLine="210"/>
        <w:spacing w:line="360" w:lineRule="auto"/>
        <w:rPr>
          <w:bCs/>
          <w:szCs w:val="21"/>
        </w:rPr>
      </w:pPr>
      <w:r>
        <w:rPr>
          <w:bCs/>
          <w:szCs w:val="21"/>
        </w:rPr>
        <w:t xml:space="preserve">（3）最低焊接高度：≥550mm；</w:t>
      </w:r>
      <w:r/>
    </w:p>
    <w:p>
      <w:pPr>
        <w:ind w:firstLine="210"/>
        <w:spacing w:line="360" w:lineRule="auto"/>
        <w:rPr>
          <w:bCs/>
          <w:szCs w:val="21"/>
        </w:rPr>
      </w:pPr>
      <w:r>
        <w:rPr>
          <w:bCs/>
          <w:szCs w:val="21"/>
        </w:rPr>
        <w:t xml:space="preserve">（4）重量：≤350kg；</w:t>
      </w:r>
      <w:r/>
    </w:p>
    <w:p>
      <w:pPr>
        <w:ind w:firstLine="210"/>
        <w:spacing w:line="360" w:lineRule="auto"/>
        <w:rPr>
          <w:bCs/>
          <w:szCs w:val="21"/>
        </w:rPr>
      </w:pPr>
      <w:r>
        <w:rPr>
          <w:bCs/>
          <w:szCs w:val="21"/>
        </w:rPr>
        <w:t xml:space="preserve">（5）外型尺寸：≤2300*1500*3000mm；</w:t>
      </w:r>
      <w:r/>
    </w:p>
    <w:p>
      <w:pPr>
        <w:ind w:firstLine="210"/>
        <w:spacing w:line="360" w:lineRule="auto"/>
        <w:rPr>
          <w:bCs/>
          <w:szCs w:val="21"/>
        </w:rPr>
      </w:pPr>
      <w:r>
        <w:rPr>
          <w:bCs/>
          <w:szCs w:val="21"/>
        </w:rPr>
        <w:t xml:space="preserve">2、焊接机头</w:t>
      </w:r>
      <w:r/>
    </w:p>
    <w:p>
      <w:pPr>
        <w:ind w:firstLine="210"/>
        <w:spacing w:line="360" w:lineRule="auto"/>
        <w:rPr>
          <w:bCs/>
          <w:szCs w:val="21"/>
        </w:rPr>
      </w:pPr>
      <w:r>
        <w:rPr>
          <w:bCs/>
          <w:szCs w:val="21"/>
        </w:rPr>
        <w:t xml:space="preserve">（1）可焊材质：碳钢、不锈钢、钛；</w:t>
      </w:r>
      <w:r/>
    </w:p>
    <w:p>
      <w:pPr>
        <w:ind w:firstLine="210"/>
        <w:spacing w:line="360" w:lineRule="auto"/>
        <w:rPr>
          <w:bCs/>
          <w:szCs w:val="21"/>
        </w:rPr>
      </w:pPr>
      <w:r>
        <w:rPr>
          <w:bCs/>
          <w:szCs w:val="21"/>
        </w:rPr>
        <w:t xml:space="preserve">（2）可焊管子直径：8-80 mm；</w:t>
      </w:r>
      <w:r/>
    </w:p>
    <w:p>
      <w:pPr>
        <w:ind w:firstLine="210"/>
        <w:spacing w:line="360" w:lineRule="auto"/>
        <w:rPr>
          <w:bCs/>
          <w:szCs w:val="21"/>
        </w:rPr>
      </w:pPr>
      <w:r>
        <w:rPr>
          <w:bCs/>
          <w:szCs w:val="21"/>
        </w:rPr>
        <w:t xml:space="preserve">（3）焊接型式：角焊，平焊；</w:t>
      </w:r>
      <w:r/>
    </w:p>
    <w:p>
      <w:pPr>
        <w:ind w:firstLine="210"/>
        <w:spacing w:line="360" w:lineRule="auto"/>
        <w:rPr>
          <w:bCs/>
          <w:szCs w:val="21"/>
        </w:rPr>
      </w:pPr>
      <w:r>
        <w:rPr>
          <w:bCs/>
          <w:szCs w:val="21"/>
        </w:rPr>
        <w:t xml:space="preserve">（4）焊炬转速：0.2—5 rpm；</w:t>
      </w:r>
      <w:r/>
    </w:p>
    <w:p>
      <w:pPr>
        <w:ind w:firstLine="210"/>
        <w:spacing w:line="360" w:lineRule="auto"/>
        <w:rPr>
          <w:bCs/>
          <w:szCs w:val="21"/>
        </w:rPr>
      </w:pPr>
      <w:r>
        <w:rPr>
          <w:bCs/>
          <w:szCs w:val="21"/>
        </w:rPr>
        <w:t xml:space="preserve">（5）焊丝馈送速度：200—2500mm/min；</w:t>
      </w:r>
      <w:r/>
    </w:p>
    <w:p>
      <w:pPr>
        <w:ind w:firstLine="210"/>
        <w:spacing w:line="360" w:lineRule="auto"/>
        <w:rPr>
          <w:bCs/>
          <w:szCs w:val="21"/>
        </w:rPr>
      </w:pPr>
      <w:r>
        <w:rPr>
          <w:bCs/>
          <w:szCs w:val="21"/>
        </w:rPr>
        <w:t xml:space="preserve">（6）焊丝直径：0.8-1.0mm；</w:t>
      </w:r>
      <w:r/>
    </w:p>
    <w:p>
      <w:pPr>
        <w:ind w:firstLine="210"/>
        <w:spacing w:line="360" w:lineRule="auto"/>
        <w:rPr>
          <w:bCs/>
          <w:szCs w:val="21"/>
        </w:rPr>
      </w:pPr>
      <w:r>
        <w:rPr>
          <w:bCs/>
          <w:szCs w:val="21"/>
        </w:rPr>
        <w:t xml:space="preserve">（7）可焊管子外径范围：8—80mm；</w:t>
      </w:r>
      <w:r/>
    </w:p>
    <w:p>
      <w:pPr>
        <w:ind w:firstLine="210"/>
        <w:spacing w:line="360" w:lineRule="auto"/>
        <w:rPr>
          <w:bCs/>
          <w:szCs w:val="21"/>
        </w:rPr>
      </w:pPr>
      <w:r>
        <w:rPr>
          <w:bCs/>
          <w:szCs w:val="21"/>
        </w:rPr>
        <w:t xml:space="preserve">（8）氩气流量：＜15L/min；</w:t>
      </w:r>
      <w:r/>
    </w:p>
    <w:p>
      <w:pPr>
        <w:ind w:firstLine="210"/>
        <w:spacing w:line="360" w:lineRule="auto"/>
        <w:rPr>
          <w:bCs/>
          <w:szCs w:val="21"/>
        </w:rPr>
      </w:pPr>
      <w:r>
        <w:rPr>
          <w:bCs/>
          <w:szCs w:val="21"/>
        </w:rPr>
        <w:t xml:space="preserve">（9）重量：＜20kg；</w:t>
      </w:r>
      <w:r/>
    </w:p>
    <w:p>
      <w:pPr>
        <w:ind w:firstLine="210"/>
        <w:spacing w:line="360" w:lineRule="auto"/>
        <w:rPr>
          <w:bCs/>
          <w:szCs w:val="21"/>
        </w:rPr>
      </w:pPr>
      <w:r>
        <w:rPr>
          <w:bCs/>
          <w:szCs w:val="21"/>
        </w:rPr>
        <w:t xml:space="preserve">（10）外型尺寸：＜600×400×300mm；</w:t>
      </w:r>
      <w:r/>
    </w:p>
    <w:p>
      <w:pPr>
        <w:ind w:firstLine="210"/>
        <w:spacing w:line="360" w:lineRule="auto"/>
        <w:rPr>
          <w:bCs/>
          <w:szCs w:val="21"/>
        </w:rPr>
      </w:pPr>
      <w:r>
        <w:rPr>
          <w:bCs/>
          <w:szCs w:val="21"/>
        </w:rPr>
        <w:t xml:space="preserve">三、配置</w:t>
      </w:r>
      <w:r/>
    </w:p>
    <w:p>
      <w:pPr>
        <w:ind w:firstLine="210"/>
        <w:spacing w:line="360" w:lineRule="auto"/>
        <w:rPr>
          <w:bCs/>
          <w:szCs w:val="21"/>
        </w:rPr>
      </w:pPr>
      <w:r>
        <w:rPr>
          <w:bCs/>
          <w:szCs w:val="21"/>
        </w:rPr>
        <w:t xml:space="preserve">1、焊接机头：1套；</w:t>
      </w:r>
      <w:r/>
    </w:p>
    <w:p>
      <w:pPr>
        <w:ind w:firstLine="210"/>
        <w:spacing w:line="360" w:lineRule="auto"/>
        <w:rPr>
          <w:bCs/>
          <w:szCs w:val="21"/>
        </w:rPr>
      </w:pPr>
      <w:r>
        <w:rPr>
          <w:bCs/>
          <w:szCs w:val="21"/>
        </w:rPr>
        <w:t xml:space="preserve">2、移动式焊接龙门操作架：1套；</w:t>
      </w:r>
      <w:r/>
    </w:p>
    <w:p>
      <w:pPr>
        <w:ind w:firstLine="210"/>
        <w:spacing w:line="360" w:lineRule="auto"/>
        <w:rPr>
          <w:bCs/>
          <w:szCs w:val="21"/>
        </w:rPr>
      </w:pPr>
      <w:r>
        <w:rPr>
          <w:bCs/>
          <w:szCs w:val="21"/>
        </w:rPr>
        <w:t xml:space="preserve">3、焊接电缆：35mm²x6米/1套；</w:t>
      </w:r>
      <w:r/>
    </w:p>
    <w:p>
      <w:pPr>
        <w:ind w:firstLine="210"/>
        <w:spacing w:line="360" w:lineRule="auto"/>
        <w:rPr>
          <w:bCs/>
          <w:szCs w:val="21"/>
        </w:rPr>
      </w:pPr>
      <w:r>
        <w:rPr>
          <w:bCs/>
          <w:szCs w:val="21"/>
        </w:rPr>
        <w:t xml:space="preserve">4、控制电缆：6米/1套；</w:t>
      </w:r>
      <w:r/>
    </w:p>
    <w:p>
      <w:pPr>
        <w:ind w:firstLine="210"/>
        <w:spacing w:line="360" w:lineRule="auto"/>
        <w:rPr>
          <w:bCs/>
          <w:szCs w:val="21"/>
        </w:rPr>
      </w:pPr>
      <w:r>
        <w:rPr>
          <w:bCs/>
          <w:szCs w:val="21"/>
        </w:rPr>
        <w:t xml:space="preserve">5、水气管：1套；</w:t>
      </w:r>
      <w:r/>
    </w:p>
    <w:p>
      <w:pPr>
        <w:ind w:firstLine="210"/>
        <w:spacing w:line="360" w:lineRule="auto"/>
        <w:rPr>
          <w:bCs/>
          <w:szCs w:val="21"/>
        </w:rPr>
      </w:pPr>
      <w:r>
        <w:rPr>
          <w:bCs/>
          <w:szCs w:val="21"/>
        </w:rPr>
        <w:t xml:space="preserve">6、工具箱：1套；</w:t>
      </w:r>
      <w:r/>
    </w:p>
    <w:p>
      <w:pPr>
        <w:ind w:firstLine="210"/>
        <w:spacing w:line="360" w:lineRule="auto"/>
        <w:rPr>
          <w:bCs/>
          <w:szCs w:val="21"/>
        </w:rPr>
      </w:pPr>
      <w:r>
        <w:rPr>
          <w:bCs/>
          <w:szCs w:val="21"/>
        </w:rPr>
        <w:t xml:space="preserve">7、扳手8/10：1把；</w:t>
      </w:r>
      <w:r/>
    </w:p>
    <w:p>
      <w:pPr>
        <w:ind w:firstLine="210"/>
        <w:spacing w:line="360" w:lineRule="auto"/>
        <w:rPr>
          <w:bCs/>
          <w:szCs w:val="21"/>
        </w:rPr>
      </w:pPr>
      <w:r>
        <w:rPr>
          <w:bCs/>
          <w:szCs w:val="21"/>
        </w:rPr>
        <w:t xml:space="preserve">8、扳手14/17：1把；</w:t>
      </w:r>
      <w:r/>
    </w:p>
    <w:p>
      <w:pPr>
        <w:ind w:firstLine="210"/>
        <w:spacing w:line="360" w:lineRule="auto"/>
        <w:rPr>
          <w:bCs/>
          <w:szCs w:val="21"/>
        </w:rPr>
      </w:pPr>
      <w:r>
        <w:rPr>
          <w:bCs/>
          <w:szCs w:val="21"/>
        </w:rPr>
        <w:t xml:space="preserve">9、尖嘴钳：1把；</w:t>
      </w:r>
      <w:r/>
    </w:p>
    <w:p>
      <w:pPr>
        <w:ind w:firstLine="210"/>
        <w:spacing w:line="360" w:lineRule="auto"/>
        <w:rPr>
          <w:bCs/>
          <w:szCs w:val="21"/>
        </w:rPr>
      </w:pPr>
      <w:r>
        <w:rPr>
          <w:bCs/>
          <w:szCs w:val="21"/>
        </w:rPr>
        <w:t xml:space="preserve">10、氩气流量表：1套；</w:t>
      </w:r>
      <w:r/>
    </w:p>
    <w:p>
      <w:pPr>
        <w:ind w:firstLine="210"/>
        <w:spacing w:line="360" w:lineRule="auto"/>
        <w:rPr>
          <w:bCs/>
          <w:szCs w:val="21"/>
        </w:rPr>
      </w:pPr>
      <w:r>
        <w:rPr>
          <w:bCs/>
          <w:szCs w:val="21"/>
        </w:rPr>
        <w:t xml:space="preserve">11、接地夹：大号/1只；</w:t>
      </w:r>
      <w:r/>
    </w:p>
    <w:p>
      <w:pPr>
        <w:jc w:val="center"/>
        <w:spacing w:line="360" w:lineRule="auto"/>
        <w:rPr>
          <w:b/>
          <w:bCs/>
          <w:szCs w:val="21"/>
        </w:rPr>
      </w:pPr>
      <w:r>
        <w:rPr>
          <w:b/>
          <w:bCs/>
          <w:szCs w:val="21"/>
        </w:rPr>
        <w:t xml:space="preserve">品目十三 移动式焊烟除尘净化器</w:t>
      </w:r>
      <w:r/>
    </w:p>
    <w:p>
      <w:pPr>
        <w:ind w:firstLine="210"/>
        <w:spacing w:line="360" w:lineRule="auto"/>
        <w:rPr>
          <w:bCs/>
          <w:szCs w:val="21"/>
        </w:rPr>
      </w:pPr>
      <w:r>
        <w:rPr>
          <w:bCs/>
          <w:szCs w:val="21"/>
        </w:rPr>
        <w:t xml:space="preserve">1、电机功率：≥3KW；</w:t>
      </w:r>
      <w:r/>
    </w:p>
    <w:p>
      <w:pPr>
        <w:ind w:firstLine="210"/>
        <w:spacing w:line="360" w:lineRule="auto"/>
        <w:rPr>
          <w:bCs/>
          <w:szCs w:val="21"/>
        </w:rPr>
      </w:pPr>
      <w:r>
        <w:rPr>
          <w:bCs/>
          <w:szCs w:val="21"/>
        </w:rPr>
        <w:t xml:space="preserve">2、电压：380V；</w:t>
      </w:r>
      <w:r/>
    </w:p>
    <w:p>
      <w:pPr>
        <w:ind w:firstLine="210"/>
        <w:spacing w:line="360" w:lineRule="auto"/>
        <w:rPr>
          <w:bCs/>
          <w:szCs w:val="21"/>
        </w:rPr>
      </w:pPr>
      <w:r>
        <w:rPr>
          <w:bCs/>
          <w:szCs w:val="21"/>
        </w:rPr>
        <w:t xml:space="preserve">3、风量：≥1700m</w:t>
      </w:r>
      <w:r>
        <w:rPr>
          <w:bCs/>
          <w:szCs w:val="21"/>
          <w:vertAlign w:val="superscript"/>
        </w:rPr>
        <w:t xml:space="preserve">3</w:t>
      </w:r>
      <w:r>
        <w:rPr>
          <w:bCs/>
          <w:szCs w:val="21"/>
        </w:rPr>
        <w:t xml:space="preserve">/h；</w:t>
      </w:r>
      <w:r/>
    </w:p>
    <w:p>
      <w:pPr>
        <w:ind w:firstLine="210"/>
        <w:spacing w:line="360" w:lineRule="auto"/>
        <w:rPr>
          <w:bCs/>
          <w:szCs w:val="21"/>
        </w:rPr>
      </w:pPr>
      <w:r>
        <w:rPr>
          <w:bCs/>
          <w:szCs w:val="21"/>
        </w:rPr>
        <w:t xml:space="preserve">4、风压：≥3.6kPa；</w:t>
      </w:r>
      <w:r/>
    </w:p>
    <w:p>
      <w:pPr>
        <w:ind w:firstLine="210"/>
        <w:spacing w:line="360" w:lineRule="auto"/>
        <w:rPr>
          <w:bCs/>
          <w:szCs w:val="21"/>
        </w:rPr>
      </w:pPr>
      <w:r>
        <w:rPr>
          <w:bCs/>
          <w:szCs w:val="21"/>
        </w:rPr>
        <w:t xml:space="preserve">5、除尘方式：自动脉冲清灰。</w:t>
      </w:r>
      <w:bookmarkEnd w:id="104"/>
      <w:bookmarkEnd w:id="105"/>
      <w:r/>
    </w:p>
    <w:p>
      <w:pPr>
        <w:spacing w:line="360" w:lineRule="auto"/>
        <w:rPr>
          <w:b/>
          <w:bCs/>
          <w:szCs w:val="21"/>
        </w:rPr>
      </w:pPr>
      <w:r>
        <w:rPr>
          <w:b/>
          <w:bCs/>
          <w:szCs w:val="21"/>
        </w:rPr>
        <w:t xml:space="preserve">三、商务条款：（以上品目均适用）</w:t>
      </w:r>
      <w:r/>
    </w:p>
    <w:p>
      <w:pPr>
        <w:ind w:left="210"/>
        <w:spacing w:line="360" w:lineRule="auto"/>
        <w:rPr>
          <w:rFonts w:eastAsiaTheme="minorEastAsia"/>
          <w:b/>
          <w:bCs/>
          <w:szCs w:val="21"/>
        </w:rPr>
      </w:pPr>
      <w:r>
        <w:rPr>
          <w:rFonts w:eastAsiaTheme="minorEastAsia"/>
          <w:b/>
          <w:bCs/>
          <w:szCs w:val="21"/>
        </w:rPr>
        <w:t xml:space="preserve">1、投标报价：</w:t>
      </w:r>
      <w:r/>
    </w:p>
    <w:p>
      <w:pPr>
        <w:ind w:firstLine="210"/>
        <w:spacing w:line="360" w:lineRule="auto"/>
        <w:rPr>
          <w:rFonts w:eastAsiaTheme="minorEastAsia"/>
          <w:szCs w:val="21"/>
        </w:rPr>
      </w:pPr>
      <w:r>
        <w:rPr>
          <w:rFonts w:eastAsiaTheme="minorEastAsia"/>
          <w:szCs w:val="21"/>
        </w:rPr>
        <w:t xml:space="preserve">1.1</w:t>
      </w:r>
      <w:r>
        <w:rPr>
          <w:rFonts w:eastAsiaTheme="minorEastAsia"/>
          <w:color w:val="000000"/>
          <w:szCs w:val="21"/>
        </w:rPr>
        <w:t xml:space="preserve">应包括本次采购范围内全部设备、材料、随设备提供的备品配件及专用工具的价格、全部税费、包装费、运杂费（运抵买方指定地点）、保险费、安装费、调试费、买方操作维护人员培训费、检验检定费（取得法定计量检定机构有效溯源证书并证明合格）及供应商认为需要的其他费用等，本合同执行期间合同总价款不变。</w:t>
      </w:r>
      <w:r/>
    </w:p>
    <w:p>
      <w:pPr>
        <w:ind w:left="216"/>
        <w:spacing w:line="360" w:lineRule="auto"/>
        <w:rPr>
          <w:rFonts w:eastAsiaTheme="minorEastAsia"/>
          <w:szCs w:val="21"/>
        </w:rPr>
      </w:pPr>
      <w:r>
        <w:rPr>
          <w:rFonts w:eastAsiaTheme="minorEastAsia"/>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2、</w:t>
      </w:r>
      <m:oMath>
        <m:r>
          <w:rPr>
            <w:rFonts w:ascii="Cambria Math" w:hAnsi="Cambria Math"/>
            <w:color w:val="000000"/>
            <w:szCs w:val="21"/>
          </w:rPr>
          <m:rPr>
            <m:sty m:val="b"/>
          </m:rPr>
          <m:t>付款方式及期限</m:t>
        </m:r>
      </m:oMath>
      <w:r/>
      <w:r/>
    </w:p>
    <w:p>
      <w:pPr>
        <w:ind w:left="218"/>
        <w:jc w:val="left"/>
        <w:spacing w:line="360" w:lineRule="auto"/>
        <w:rPr>
          <w:rFonts w:eastAsiaTheme="minorEastAsia"/>
          <w:color w:val="000000"/>
          <w:szCs w:val="21"/>
        </w:rPr>
      </w:pPr>
      <w:r>
        <w:rPr>
          <w:rFonts w:eastAsiaTheme="minorEastAsia"/>
          <w:color w:val="000000"/>
          <w:szCs w:val="21"/>
        </w:rPr>
        <w:t xml:space="preserve">2.1合同签订生效后，买方向卖方支付合同总价的50% ；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left="218"/>
        <w:jc w:val="left"/>
        <w:spacing w:line="360" w:lineRule="auto"/>
        <w:rPr>
          <w:rFonts w:eastAsiaTheme="minorEastAsia"/>
          <w:color w:val="000000"/>
          <w:szCs w:val="21"/>
        </w:rPr>
      </w:pPr>
      <w:r>
        <w:rPr>
          <w:rFonts w:eastAsiaTheme="minorEastAsia"/>
          <w:color w:val="000000"/>
          <w:szCs w:val="21"/>
        </w:rPr>
        <w:t xml:space="preserve">2.2履约保函</w:t>
      </w:r>
      <w:r/>
    </w:p>
    <w:p>
      <w:pPr>
        <w:ind w:left="218"/>
        <w:jc w:val="left"/>
        <w:spacing w:line="360" w:lineRule="auto"/>
        <w:rPr>
          <w:rFonts w:eastAsiaTheme="minorEastAsia"/>
          <w:color w:val="000000"/>
          <w:szCs w:val="21"/>
        </w:rPr>
      </w:pPr>
      <w:r>
        <w:rPr>
          <w:rFonts w:eastAsiaTheme="minorEastAsia"/>
          <w:color w:val="000000"/>
          <w:szCs w:val="21"/>
        </w:rPr>
        <w:t xml:space="preserve">（1）履约保函金额</w:t>
      </w:r>
      <w:r>
        <w:rPr>
          <w:rFonts w:hint="eastAsia" w:eastAsiaTheme="minorEastAsia"/>
          <w:color w:val="000000"/>
          <w:szCs w:val="21"/>
        </w:rPr>
        <w:t xml:space="preserve">：</w:t>
      </w:r>
      <w:r>
        <w:rPr>
          <w:rFonts w:eastAsiaTheme="minorEastAsia"/>
          <w:color w:val="000000"/>
          <w:szCs w:val="21"/>
        </w:rPr>
        <w:t xml:space="preserve">合同总价10%；</w:t>
      </w:r>
      <w:r/>
    </w:p>
    <w:p>
      <w:pPr>
        <w:ind w:left="218"/>
        <w:jc w:val="left"/>
        <w:spacing w:line="360" w:lineRule="auto"/>
        <w:rPr>
          <w:rFonts w:eastAsiaTheme="minorEastAsia"/>
          <w:color w:val="000000"/>
          <w:szCs w:val="21"/>
        </w:rPr>
      </w:pPr>
      <w:r>
        <w:rPr>
          <w:rFonts w:eastAsiaTheme="minorEastAsia"/>
          <w:color w:val="000000"/>
          <w:szCs w:val="21"/>
        </w:rPr>
        <w:t xml:space="preserve">（2）履约保函的形式</w:t>
      </w:r>
      <w:r>
        <w:rPr>
          <w:rFonts w:hint="eastAsia" w:eastAsiaTheme="minorEastAsia"/>
          <w:color w:val="000000"/>
          <w:szCs w:val="21"/>
        </w:rPr>
        <w:t xml:space="preserve">：</w:t>
      </w:r>
      <w:r>
        <w:rPr>
          <w:rFonts w:eastAsiaTheme="minorEastAsia"/>
          <w:color w:val="000000"/>
          <w:szCs w:val="21"/>
        </w:rPr>
        <w:t xml:space="preserve">卖方应当以支票、汇票、本票或者金融机构、担保机构出具的保函等非现金形式提交；</w:t>
      </w:r>
      <w:r/>
    </w:p>
    <w:p>
      <w:pPr>
        <w:ind w:left="218"/>
        <w:jc w:val="left"/>
        <w:spacing w:line="360" w:lineRule="auto"/>
        <w:rPr>
          <w:rFonts w:eastAsiaTheme="minorEastAsia"/>
          <w:color w:val="000000"/>
          <w:szCs w:val="21"/>
        </w:rPr>
      </w:pPr>
      <w:r>
        <w:rPr>
          <w:rFonts w:eastAsiaTheme="minorEastAsia"/>
          <w:color w:val="000000"/>
          <w:szCs w:val="21"/>
        </w:rPr>
        <w:t xml:space="preserve">（3）履约保函的退还</w:t>
      </w:r>
      <w:r>
        <w:rPr>
          <w:rFonts w:hint="eastAsia" w:eastAsiaTheme="minorEastAsia"/>
          <w:color w:val="000000"/>
          <w:szCs w:val="21"/>
        </w:rPr>
        <w:t xml:space="preserve">：</w:t>
      </w:r>
      <w:r>
        <w:rPr>
          <w:rFonts w:eastAsiaTheme="minorEastAsia"/>
          <w:color w:val="000000"/>
          <w:szCs w:val="21"/>
        </w:rPr>
        <w:t xml:space="preserve">在设备通过买方验收合格且满12个月无质量问题后的15个工作日内，买方将无息退还卖方的履约保函。</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3、交货期及交货地点：</w:t>
      </w:r>
      <w:r/>
    </w:p>
    <w:p>
      <w:pPr>
        <w:ind w:left="218"/>
        <w:jc w:val="left"/>
        <w:spacing w:line="360" w:lineRule="auto"/>
        <w:rPr>
          <w:rFonts w:eastAsiaTheme="minorEastAsia"/>
          <w:color w:val="000000"/>
          <w:szCs w:val="21"/>
        </w:rPr>
      </w:pPr>
      <w:r>
        <w:rPr>
          <w:rFonts w:eastAsiaTheme="minorEastAsia"/>
          <w:color w:val="000000"/>
          <w:szCs w:val="21"/>
        </w:rPr>
        <w:t xml:space="preserve">3.1交货期</w:t>
      </w:r>
      <w:r>
        <w:rPr>
          <w:rFonts w:hint="eastAsia" w:eastAsiaTheme="minorEastAsia"/>
          <w:color w:val="000000"/>
          <w:szCs w:val="21"/>
        </w:rPr>
        <w:t xml:space="preserve">：</w:t>
      </w:r>
      <w:r>
        <w:rPr>
          <w:rFonts w:eastAsiaTheme="minorEastAsia"/>
          <w:color w:val="000000"/>
          <w:szCs w:val="21"/>
          <w:u w:val="single"/>
        </w:rPr>
        <w:t xml:space="preserve">详见本章采购清单</w:t>
      </w:r>
      <w:r>
        <w:rPr>
          <w:rFonts w:eastAsiaTheme="minorEastAsia"/>
          <w:color w:val="000000"/>
          <w:szCs w:val="21"/>
        </w:rPr>
        <w:t xml:space="preserve">。</w:t>
      </w:r>
      <w:r/>
    </w:p>
    <w:p>
      <w:pPr>
        <w:ind w:left="218"/>
        <w:jc w:val="left"/>
        <w:spacing w:line="360" w:lineRule="auto"/>
        <w:rPr>
          <w:rFonts w:eastAsiaTheme="minorEastAsia"/>
          <w:color w:val="000000"/>
          <w:szCs w:val="21"/>
        </w:rPr>
      </w:pPr>
      <w:r>
        <w:rPr>
          <w:rFonts w:eastAsiaTheme="minorEastAsia"/>
          <w:color w:val="000000"/>
          <w:szCs w:val="21"/>
        </w:rPr>
        <w:t xml:space="preserve">3.2交货地点</w:t>
      </w:r>
      <w:r>
        <w:rPr>
          <w:rFonts w:hint="eastAsia" w:eastAsiaTheme="minorEastAsia"/>
          <w:color w:val="000000"/>
          <w:szCs w:val="21"/>
        </w:rPr>
        <w:t xml:space="preserve">：</w:t>
      </w:r>
      <w:r>
        <w:rPr>
          <w:rFonts w:eastAsiaTheme="minorEastAsia"/>
          <w:color w:val="000000"/>
          <w:szCs w:val="21"/>
        </w:rPr>
        <w:t xml:space="preserve">江苏省特种设备安全监督检验研究院指定地点。</w:t>
      </w:r>
      <w:r/>
    </w:p>
    <w:p>
      <w:pPr>
        <w:ind w:left="218"/>
        <w:jc w:val="left"/>
        <w:spacing w:line="360" w:lineRule="auto"/>
        <w:rPr>
          <w:rFonts w:eastAsiaTheme="minorEastAsia"/>
          <w:b/>
          <w:bCs/>
          <w:color w:val="000000"/>
          <w:szCs w:val="21"/>
        </w:rPr>
      </w:pPr>
      <w:r>
        <w:rPr>
          <w:rFonts w:eastAsiaTheme="minorEastAsia"/>
          <w:b/>
          <w:bCs/>
          <w:color w:val="000000"/>
          <w:szCs w:val="21"/>
        </w:rPr>
        <w:t xml:space="preserve">4、设备包装要求：</w:t>
      </w:r>
      <w:r/>
    </w:p>
    <w:p>
      <w:pPr>
        <w:ind w:left="210" w:firstLine="420"/>
        <w:jc w:val="left"/>
        <w:spacing w:line="360" w:lineRule="auto"/>
        <w:rPr>
          <w:rFonts w:eastAsiaTheme="minorEastAsia"/>
        </w:rPr>
      </w:pPr>
      <w:r>
        <w:rPr>
          <w:rFonts w:eastAsiaTheme="minorEastAsia"/>
        </w:rPr>
        <w:t xml:space="preserve">应采用相应的标准保护措施进行包装，使包装适应于远距离运输、防潮、防震、防锈和防粗暴装卸，确保货物安全无损运抵现场。费用包含在投标总价中。</w:t>
      </w:r>
      <w:r/>
    </w:p>
    <w:p>
      <w:pPr>
        <w:numPr>
          <w:ilvl w:val="0"/>
          <w:numId w:val="4"/>
        </w:numPr>
        <w:ind w:firstLine="211"/>
        <w:jc w:val="left"/>
        <w:spacing w:line="360" w:lineRule="auto"/>
        <w:rPr>
          <w:rFonts w:eastAsiaTheme="minorEastAsia"/>
          <w:b/>
          <w:bCs/>
          <w:color w:val="000000"/>
          <w:szCs w:val="21"/>
        </w:rPr>
      </w:pPr>
      <w:r>
        <w:rPr>
          <w:rFonts w:eastAsiaTheme="minorEastAsia"/>
          <w:b/>
          <w:bCs/>
          <w:color w:val="000000"/>
          <w:szCs w:val="21"/>
        </w:rPr>
        <w:t xml:space="preserve">安装、调试和验收</w:t>
      </w:r>
      <w:r/>
    </w:p>
    <w:p>
      <w:pPr>
        <w:ind w:firstLine="210"/>
        <w:spacing w:line="360" w:lineRule="auto"/>
        <w:rPr>
          <w:color w:val="000000"/>
          <w:szCs w:val="21"/>
        </w:rPr>
      </w:pPr>
      <w:r>
        <w:rPr>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210"/>
        <w:spacing w:line="360" w:lineRule="auto"/>
        <w:rPr>
          <w:color w:val="000000"/>
          <w:szCs w:val="21"/>
        </w:rPr>
      </w:pPr>
      <w:r>
        <w:rPr>
          <w:color w:val="000000"/>
          <w:szCs w:val="21"/>
        </w:rPr>
        <w:t xml:space="preserve">5.2调试检验验收要求</w:t>
      </w:r>
      <w:r>
        <w:rPr>
          <w:bCs/>
          <w:szCs w:val="21"/>
        </w:rPr>
        <w:t xml:space="preserve">：</w:t>
      </w:r>
      <w:r>
        <w:rPr>
          <w:color w:val="000000"/>
          <w:szCs w:val="21"/>
        </w:rPr>
        <w:t xml:space="preserve">设备和配件是否齐全，外观是否完好，设备各部分功能是否能正常使用，所提供设备及零配件规格是否与买方要求相符。</w:t>
      </w:r>
      <w:r/>
    </w:p>
    <w:p>
      <w:pPr>
        <w:ind w:firstLine="210"/>
        <w:spacing w:line="360" w:lineRule="auto"/>
        <w:rPr>
          <w:rFonts w:eastAsiaTheme="minorEastAsia"/>
        </w:rPr>
      </w:pPr>
      <w:r>
        <w:rPr>
          <w:color w:val="000000"/>
          <w:szCs w:val="21"/>
        </w:rPr>
        <w:t xml:space="preserve">5.3最终验收要求</w:t>
      </w:r>
      <w:r>
        <w:rPr>
          <w:rFonts w:hint="eastAsia"/>
          <w:bCs/>
          <w:szCs w:val="21"/>
        </w:rPr>
        <w:t xml:space="preserve">：</w:t>
      </w:r>
      <w:r>
        <w:rPr>
          <w:color w:val="000000"/>
          <w:szCs w:val="21"/>
        </w:rPr>
        <w:t xml:space="preserve">技术指标要求符合招标要求。</w:t>
      </w:r>
      <w:r/>
    </w:p>
    <w:p>
      <w:pPr>
        <w:ind w:firstLine="211"/>
        <w:spacing w:line="360" w:lineRule="auto"/>
        <w:rPr>
          <w:rFonts w:eastAsiaTheme="minorEastAsia"/>
          <w:b/>
          <w:szCs w:val="21"/>
        </w:rPr>
      </w:pPr>
      <w:r>
        <w:rPr>
          <w:rFonts w:eastAsiaTheme="minorEastAsia"/>
          <w:b/>
          <w:szCs w:val="21"/>
        </w:rPr>
        <w:t xml:space="preserve">6、免费培训</w:t>
      </w:r>
      <w:r/>
    </w:p>
    <w:p>
      <w:pPr>
        <w:ind w:left="218"/>
        <w:spacing w:line="360" w:lineRule="auto"/>
        <w:rPr>
          <w:rFonts w:eastAsiaTheme="minorEastAsia"/>
          <w:szCs w:val="21"/>
        </w:rPr>
      </w:pPr>
      <w:r>
        <w:rPr>
          <w:rFonts w:eastAsiaTheme="minorEastAsia"/>
          <w:szCs w:val="21"/>
        </w:rPr>
        <w:t xml:space="preserve">6.1现场培训</w:t>
      </w:r>
      <w:r>
        <w:rPr>
          <w:rFonts w:hint="eastAsia"/>
          <w:bCs/>
          <w:szCs w:val="21"/>
        </w:rPr>
        <w:t xml:space="preserve">：</w:t>
      </w:r>
      <w:r>
        <w:rPr>
          <w:rFonts w:eastAsiaTheme="minorEastAsia"/>
          <w:szCs w:val="21"/>
        </w:rPr>
        <w:t xml:space="preserve">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rFonts w:eastAsiaTheme="minorEastAsia"/>
          <w:szCs w:val="21"/>
        </w:rPr>
      </w:pPr>
      <w:r>
        <w:rPr>
          <w:rFonts w:eastAsiaTheme="minorEastAsia"/>
          <w:szCs w:val="21"/>
        </w:rPr>
        <w:t xml:space="preserve">6.2国内培训</w:t>
      </w:r>
      <w:r>
        <w:rPr>
          <w:rFonts w:hint="eastAsia"/>
          <w:bCs/>
          <w:szCs w:val="21"/>
        </w:rPr>
        <w:t xml:space="preserve">：</w:t>
      </w:r>
      <w:r>
        <w:rPr>
          <w:rFonts w:eastAsiaTheme="minorEastAsia"/>
          <w:szCs w:val="21"/>
        </w:rPr>
        <w:t xml:space="preserve">免费提供买方2人培训（培训费免费，交通和食宿费由买方自理），由专职工程师进行培训。</w:t>
      </w:r>
      <w:r/>
    </w:p>
    <w:p>
      <w:pPr>
        <w:ind w:left="218"/>
        <w:spacing w:line="360" w:lineRule="auto"/>
        <w:rPr>
          <w:rFonts w:eastAsiaTheme="minorEastAsia"/>
          <w:b/>
          <w:bCs/>
          <w:szCs w:val="21"/>
        </w:rPr>
      </w:pPr>
      <w:r>
        <w:rPr>
          <w:rFonts w:eastAsiaTheme="minorEastAsia"/>
          <w:b/>
          <w:bCs/>
          <w:szCs w:val="21"/>
        </w:rPr>
        <w:t xml:space="preserve">7、技术服务</w:t>
      </w:r>
      <w:r/>
    </w:p>
    <w:p>
      <w:pPr>
        <w:pStyle w:val="1368"/>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7.1提供终身技术服务和支持。</w:t>
      </w:r>
      <w:r/>
    </w:p>
    <w:p>
      <w:pPr>
        <w:pStyle w:val="1368"/>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7.2保修期内卖方免费提供保修零件。</w:t>
      </w:r>
      <w:r/>
    </w:p>
    <w:p>
      <w:pPr>
        <w:ind w:left="218"/>
        <w:spacing w:line="360" w:lineRule="auto"/>
        <w:rPr>
          <w:rFonts w:eastAsiaTheme="minorEastAsia"/>
          <w:b/>
          <w:bCs/>
          <w:szCs w:val="21"/>
        </w:rPr>
      </w:pPr>
      <w:r>
        <w:rPr>
          <w:rFonts w:eastAsiaTheme="minorEastAsia"/>
          <w:b/>
          <w:bCs/>
          <w:szCs w:val="21"/>
        </w:rPr>
        <w:t xml:space="preserve">8、质保及售后服务：</w:t>
      </w:r>
      <w:r/>
    </w:p>
    <w:p>
      <w:pPr>
        <w:ind w:firstLine="210"/>
        <w:spacing w:line="360" w:lineRule="auto"/>
        <w:rPr>
          <w:rFonts w:eastAsiaTheme="minorEastAsia"/>
          <w:szCs w:val="21"/>
        </w:rPr>
      </w:pPr>
      <w:r>
        <w:rPr>
          <w:rFonts w:eastAsiaTheme="minorEastAsia"/>
          <w:szCs w:val="21"/>
        </w:rPr>
        <w:t xml:space="preserve">8.1卖方所供设备、材料及安装的质量保证期</w:t>
      </w:r>
      <w:r>
        <w:rPr>
          <w:rFonts w:hint="eastAsia" w:eastAsiaTheme="minorEastAsia"/>
          <w:szCs w:val="21"/>
        </w:rPr>
        <w:t xml:space="preserve">：</w:t>
      </w:r>
      <w:r>
        <w:rPr>
          <w:rFonts w:eastAsiaTheme="minorEastAsia"/>
          <w:szCs w:val="21"/>
        </w:rPr>
        <w:t xml:space="preserve">安装验收合格后1年。</w:t>
      </w:r>
      <w:r/>
    </w:p>
    <w:p>
      <w:pPr>
        <w:ind w:firstLine="210"/>
        <w:spacing w:line="360" w:lineRule="auto"/>
        <w:rPr>
          <w:rFonts w:eastAsiaTheme="minorEastAsia"/>
          <w:szCs w:val="21"/>
        </w:rPr>
      </w:pPr>
      <w:r>
        <w:rPr>
          <w:rFonts w:eastAsiaTheme="minorEastAsia"/>
          <w:szCs w:val="21"/>
        </w:rPr>
        <w:t xml:space="preserve">8.2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rFonts w:eastAsiaTheme="minorEastAsia"/>
          <w:szCs w:val="21"/>
        </w:rPr>
      </w:pPr>
      <w:r>
        <w:rPr>
          <w:rFonts w:eastAsiaTheme="minorEastAsia"/>
          <w:szCs w:val="21"/>
        </w:rPr>
        <w:t xml:space="preserve">8.3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rFonts w:eastAsiaTheme="minorEastAsia"/>
          <w:szCs w:val="21"/>
        </w:rPr>
        <w:t xml:space="preserve">8.4质保期满后，如设备出现故障，卖方在接买方通知后，仍应在上述时限内响应、派设备厂家工程师赶到买方现场，帮助排除故障、修复或更换零部件，需购买零部件时，酌情收取成本费。</w:t>
      </w:r>
      <w:r>
        <w:rPr>
          <w:b/>
          <w:color w:val="000000"/>
          <w:sz w:val="28"/>
          <w:szCs w:val="28"/>
        </w:rPr>
        <w:br w:type="page" w:clear="all"/>
      </w:r>
      <w:bookmarkStart w:id="106" w:name="_Toc2893"/>
      <w:r/>
      <w:r/>
    </w:p>
    <w:p>
      <w:pPr>
        <w:jc w:val="center"/>
        <w:spacing w:line="360" w:lineRule="auto"/>
        <w:rPr>
          <w:b/>
          <w:sz w:val="28"/>
          <w:szCs w:val="28"/>
        </w:rPr>
        <w:outlineLvl w:val="0"/>
      </w:pPr>
      <w:r>
        <w:rPr>
          <w:b/>
          <w:color w:val="000000"/>
          <w:sz w:val="28"/>
          <w:szCs w:val="28"/>
        </w:rPr>
        <w:t xml:space="preserve">第五章 </w:t>
      </w:r>
      <w:r>
        <w:rPr>
          <w:b/>
          <w:sz w:val="28"/>
          <w:szCs w:val="28"/>
        </w:rPr>
        <w:t xml:space="preserve">政府采购合同</w:t>
      </w:r>
      <w:bookmarkEnd w:id="106"/>
      <w:r/>
      <w:r/>
    </w:p>
    <w:p>
      <w:pPr>
        <w:pStyle w:val="1197"/>
        <w:ind w:left="1400" w:hanging="560"/>
        <w:jc w:val="center"/>
        <w:rPr>
          <w:sz w:val="28"/>
          <w:szCs w:val="28"/>
        </w:rPr>
      </w:pPr>
      <w:r>
        <w:rPr>
          <w:sz w:val="28"/>
          <w:szCs w:val="28"/>
        </w:rPr>
        <w:t xml:space="preserve">（拟签订的合同文本）</w:t>
      </w:r>
      <w:r/>
    </w:p>
    <w:p>
      <w:pPr>
        <w:pStyle w:val="1197"/>
        <w:ind w:left="1400" w:hanging="560"/>
        <w:jc w:val="center"/>
        <w:rPr>
          <w:sz w:val="28"/>
          <w:szCs w:val="28"/>
        </w:rPr>
      </w:pPr>
      <w:r>
        <w:rPr>
          <w:sz w:val="28"/>
          <w:szCs w:val="28"/>
        </w:rPr>
      </w:r>
      <w:r/>
    </w:p>
    <w:p>
      <w:pPr>
        <w:pStyle w:val="1197"/>
        <w:ind w:left="1400" w:hanging="560"/>
        <w:jc w:val="center"/>
        <w:rPr>
          <w:sz w:val="28"/>
          <w:szCs w:val="28"/>
        </w:rPr>
      </w:pPr>
      <w:r>
        <w:rPr>
          <w:sz w:val="28"/>
          <w:szCs w:val="28"/>
        </w:rPr>
      </w:r>
      <w:r/>
    </w:p>
    <w:p>
      <w:pPr>
        <w:pStyle w:val="1197"/>
        <w:ind w:left="1400" w:hanging="560"/>
        <w:jc w:val="center"/>
        <w:rPr>
          <w:sz w:val="28"/>
          <w:szCs w:val="28"/>
        </w:rPr>
      </w:pPr>
      <w:r>
        <w:rPr>
          <w:sz w:val="28"/>
          <w:szCs w:val="28"/>
        </w:rPr>
      </w:r>
      <w:r/>
    </w:p>
    <w:p>
      <w:pPr>
        <w:jc w:val="center"/>
        <w:spacing w:before="360" w:after="360"/>
        <w:tabs>
          <w:tab w:val="left" w:pos="1440" w:leader="none"/>
          <w:tab w:val="left" w:pos="5670" w:leader="none"/>
        </w:tabs>
        <w:rPr>
          <w:rFonts w:hint="eastAsia" w:ascii="宋体" w:hAnsi="宋体" w:cs="宋体"/>
          <w:sz w:val="28"/>
          <w:szCs w:val="28"/>
        </w:rPr>
      </w:pPr>
      <w:r/>
      <w:bookmarkStart w:id="107" w:name="_Toc4445"/>
      <w:r/>
      <w:bookmarkStart w:id="108" w:name="_Toc27786"/>
      <w:r/>
      <w:bookmarkStart w:id="109" w:name="_Toc15343"/>
      <w:r/>
      <w:bookmarkStart w:id="110" w:name="OLE_LINK6"/>
      <w:r/>
      <w:r/>
    </w:p>
    <w:p>
      <w:pPr>
        <w:pStyle w:val="1165"/>
        <w:rPr>
          <w:rFonts w:cs="宋体"/>
        </w:rPr>
      </w:pPr>
      <w:r>
        <w:rPr>
          <w:rFonts w:cs="宋体"/>
        </w:rPr>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spacing w:line="360" w:lineRule="auto"/>
        <w:widowControl/>
        <w:rPr>
          <w:rFonts w:hint="eastAsia" w:ascii="宋体" w:hAnsi="宋体" w:cs="宋体"/>
          <w:b/>
          <w:bCs/>
          <w:sz w:val="36"/>
          <w:szCs w:val="36"/>
        </w:rPr>
      </w:pPr>
      <w:r>
        <w:rPr>
          <w:rFonts w:hint="eastAsia" w:ascii="宋体" w:hAnsi="宋体" w:cs="宋体"/>
          <w:b/>
          <w:bCs/>
          <w:sz w:val="36"/>
          <w:szCs w:val="36"/>
        </w:rPr>
      </w:r>
      <w:r/>
    </w:p>
    <w:p>
      <w:pPr>
        <w:ind w:firstLine="315"/>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szCs w:val="21"/>
        </w:rPr>
      </w:pPr>
      <w:r>
        <w:rPr>
          <w:rFonts w:hint="eastAsia" w:ascii="宋体" w:hAnsi="宋体" w:cs="宋体"/>
          <w:szCs w:val="21"/>
        </w:rPr>
      </w:r>
      <w:r/>
    </w:p>
    <w:p>
      <w:pPr>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p>
    <w:p>
      <w:pPr>
        <w:jc w:val="left"/>
        <w:rPr>
          <w:rFonts w:hint="eastAsia" w:ascii="宋体" w:hAnsi="宋体" w:cs="宋体"/>
          <w:sz w:val="32"/>
          <w:szCs w:val="32"/>
        </w:rPr>
      </w:pPr>
      <w:r>
        <w:rPr>
          <w:rFonts w:hint="eastAsia" w:ascii="宋体" w:hAnsi="宋体" w:cs="宋体"/>
          <w:sz w:val="32"/>
          <w:szCs w:val="32"/>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108" w:firstLine="482"/>
        <w:jc w:val="left"/>
        <w:spacing w:line="480" w:lineRule="exact"/>
        <w:tabs>
          <w:tab w:val="left" w:pos="4785" w:leader="none"/>
        </w:tabs>
        <w:rPr>
          <w:rFonts w:hint="eastAsia" w:ascii="宋体" w:hAnsi="宋体" w:cs="宋体"/>
          <w:b/>
          <w:bCs/>
          <w:sz w:val="24"/>
          <w:szCs w:val="24"/>
        </w:rPr>
        <w:sectPr>
          <w:footerReference w:type="default" r:id="rId14"/>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b/>
          <w:bCs/>
          <w:sz w:val="24"/>
          <w:szCs w:val="24"/>
        </w:rPr>
        <w:t xml:space="preserve">注：</w:t>
      </w:r>
      <w:bookmarkEnd w:id="107"/>
      <w:r>
        <w:rPr>
          <w:rFonts w:hint="eastAsia" w:ascii="宋体" w:hAnsi="宋体" w:cs="宋体"/>
          <w:b/>
          <w:bCs/>
          <w:sz w:val="24"/>
          <w:szCs w:val="24"/>
        </w:rPr>
        <w:t xml:space="preserve">货物类采购合同参考格式，本合同内容条款在正式签署前可具体补充细化，仅作参考，最终合同以采购人法务审查通过的版本为准。</w:t>
      </w:r>
      <w:r/>
    </w:p>
    <w:p>
      <w:pPr>
        <w:ind w:firstLine="293"/>
        <w:spacing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p>
    <w:p>
      <w:pPr>
        <w:ind w:firstLine="293"/>
        <w:spacing w:line="360" w:lineRule="auto"/>
        <w:rPr>
          <w:rFonts w:hint="eastAsia" w:ascii="宋体" w:hAnsi="宋体" w:cs="宋体"/>
          <w:b/>
          <w:bCs/>
          <w:szCs w:val="21"/>
        </w:rPr>
      </w:pPr>
      <w:r>
        <w:rPr>
          <w:rFonts w:hint="eastAsia" w:ascii="宋体" w:hAnsi="宋体" w:cs="宋体"/>
          <w:b/>
          <w:bCs/>
          <w:szCs w:val="21"/>
        </w:rPr>
        <w:t xml:space="preserve">乙方：</w:t>
      </w:r>
      <w:r/>
    </w:p>
    <w:p>
      <w:pPr>
        <w:ind w:firstLine="293"/>
        <w:spacing w:line="360" w:lineRule="auto"/>
        <w:rPr>
          <w:rFonts w:hint="eastAsia" w:ascii="宋体" w:hAnsi="宋体" w:cs="宋体"/>
          <w:b/>
          <w:bCs/>
          <w:szCs w:val="21"/>
        </w:rPr>
      </w:pPr>
      <w:r>
        <w:rPr>
          <w:rFonts w:hint="eastAsia" w:ascii="宋体" w:hAnsi="宋体" w:cs="宋体"/>
          <w:b/>
          <w:bCs/>
          <w:szCs w:val="21"/>
        </w:rPr>
        <w:t xml:space="preserve">采购代理机构：</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江苏省特种设备安全监督检验研究院所需检测设备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）的评审活动，经评委认真严格地评审，确定由乙方成交。</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p>
    <w:p>
      <w:pPr>
        <w:pStyle w:val="1378"/>
        <w:ind w:left="0" w:firstLine="420"/>
        <w:spacing w:line="360" w:lineRule="auto"/>
        <w:tabs>
          <w:tab w:val="left" w:pos="4785" w:leader="none"/>
        </w:tabs>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1.设备名称、型号规格、数量及服务内容。</w:t>
      </w:r>
      <w:r/>
    </w:p>
    <w:tbl>
      <w:tblPr>
        <w:tblStyle w:val="117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1516"/>
        <w:gridCol w:w="1289"/>
        <w:gridCol w:w="1049"/>
        <w:gridCol w:w="940"/>
        <w:gridCol w:w="1603"/>
        <w:gridCol w:w="1526"/>
      </w:tblGrid>
      <w:tr>
        <w:trPr>
          <w:jc w:val="center"/>
          <w:trHeight w:val="19"/>
        </w:trPr>
        <w:tc>
          <w:tcPr>
            <w:tcW w:w="808"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t xml:space="preserve">设备名称</w:t>
            </w:r>
            <w:r/>
          </w:p>
        </w:tc>
        <w:tc>
          <w:tcPr>
            <w:tcW w:w="802"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t xml:space="preserve">品牌</w:t>
            </w:r>
            <w:r/>
          </w:p>
        </w:tc>
        <w:tc>
          <w:tcPr>
            <w:tcW w:w="682"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t xml:space="preserve">型号</w:t>
            </w:r>
            <w:r/>
          </w:p>
        </w:tc>
        <w:tc>
          <w:tcPr>
            <w:tcW w:w="555"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t xml:space="preserve">单位</w:t>
            </w:r>
            <w:r/>
          </w:p>
        </w:tc>
        <w:tc>
          <w:tcPr>
            <w:tcW w:w="497"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t xml:space="preserve">数量</w:t>
            </w:r>
            <w:r/>
          </w:p>
        </w:tc>
        <w:tc>
          <w:tcPr>
            <w:tcW w:w="848"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t xml:space="preserve">单价（元）</w:t>
            </w:r>
            <w:r/>
          </w:p>
        </w:tc>
        <w:tc>
          <w:tcPr>
            <w:tcW w:w="806"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t xml:space="preserve">总价（元）</w:t>
            </w:r>
            <w:r/>
          </w:p>
        </w:tc>
      </w:tr>
      <w:tr>
        <w:trPr>
          <w:jc w:val="center"/>
          <w:trHeight w:val="19"/>
        </w:trPr>
        <w:tc>
          <w:tcPr>
            <w:tcW w:w="80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177"/>
              <w:ind w:firstLine="0"/>
              <w:jc w:val="center"/>
              <w:spacing w:line="360" w:lineRule="auto"/>
              <w:tabs>
                <w:tab w:val="left" w:pos="-235" w:leader="none"/>
              </w:tabs>
              <w:rPr>
                <w:rFonts w:hint="eastAsia" w:ascii="宋体" w:hAnsi="宋体" w:cs="宋体"/>
                <w:bCs/>
                <w:sz w:val="21"/>
                <w:szCs w:val="21"/>
              </w:rPr>
            </w:pPr>
            <w:r>
              <w:rPr>
                <w:rFonts w:hint="eastAsia" w:ascii="宋体" w:hAnsi="宋体" w:cs="宋体"/>
                <w:bCs/>
                <w:sz w:val="21"/>
                <w:szCs w:val="21"/>
              </w:rPr>
            </w:r>
            <w:r/>
          </w:p>
        </w:tc>
        <w:tc>
          <w:tcPr>
            <w:tcW w:w="682" w:type="pct"/>
            <w:vAlign w:val="center"/>
            <w:textDirection w:val="lrTb"/>
            <w:noWrap w:val="false"/>
          </w:tcPr>
          <w:p>
            <w:pPr>
              <w:pStyle w:val="1177"/>
              <w:ind w:firstLine="0"/>
              <w:jc w:val="center"/>
              <w:spacing w:line="360" w:lineRule="auto"/>
              <w:tabs>
                <w:tab w:val="left" w:pos="-235" w:leader="none"/>
              </w:tabs>
              <w:rPr>
                <w:rFonts w:hint="eastAsia" w:ascii="宋体" w:hAnsi="宋体" w:cs="宋体"/>
                <w:bCs/>
                <w:sz w:val="21"/>
                <w:szCs w:val="21"/>
              </w:rPr>
            </w:pPr>
            <w:r>
              <w:rPr>
                <w:rFonts w:hint="eastAsia" w:ascii="宋体" w:hAnsi="宋体" w:cs="宋体"/>
                <w:bCs/>
                <w:sz w:val="21"/>
                <w:szCs w:val="21"/>
              </w:rPr>
            </w:r>
            <w:r/>
          </w:p>
        </w:tc>
        <w:tc>
          <w:tcPr>
            <w:tcW w:w="555"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49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806"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r>
      <w:tr>
        <w:trPr>
          <w:jc w:val="center"/>
          <w:trHeight w:val="19"/>
        </w:trPr>
        <w:tc>
          <w:tcPr>
            <w:tcW w:w="80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682" w:type="pct"/>
            <w:vAlign w:val="center"/>
            <w:textDirection w:val="lrTb"/>
            <w:noWrap w:val="false"/>
          </w:tcPr>
          <w:p>
            <w:pPr>
              <w:pStyle w:val="1177"/>
              <w:ind w:firstLine="0"/>
              <w:jc w:val="center"/>
              <w:spacing w:line="360" w:lineRule="auto"/>
              <w:tabs>
                <w:tab w:val="left" w:pos="-235" w:leader="none"/>
              </w:tabs>
              <w:rPr>
                <w:rFonts w:hint="eastAsia" w:ascii="宋体" w:hAnsi="宋体" w:cs="宋体"/>
                <w:bCs/>
                <w:sz w:val="21"/>
                <w:szCs w:val="21"/>
              </w:rPr>
            </w:pPr>
            <w:r>
              <w:rPr>
                <w:rFonts w:hint="eastAsia" w:ascii="宋体" w:hAnsi="宋体" w:cs="宋体"/>
                <w:bCs/>
                <w:sz w:val="21"/>
                <w:szCs w:val="21"/>
              </w:rPr>
            </w:r>
            <w:r/>
          </w:p>
        </w:tc>
        <w:tc>
          <w:tcPr>
            <w:tcW w:w="555"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49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806"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r>
      <w:tr>
        <w:trPr>
          <w:jc w:val="center"/>
          <w:trHeight w:val="19"/>
        </w:trPr>
        <w:tc>
          <w:tcPr>
            <w:tcW w:w="80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682" w:type="pct"/>
            <w:vAlign w:val="center"/>
            <w:textDirection w:val="lrTb"/>
            <w:noWrap w:val="false"/>
          </w:tcPr>
          <w:p>
            <w:pPr>
              <w:pStyle w:val="1177"/>
              <w:ind w:firstLine="0"/>
              <w:jc w:val="center"/>
              <w:spacing w:line="360" w:lineRule="auto"/>
              <w:tabs>
                <w:tab w:val="left" w:pos="-235" w:leader="none"/>
              </w:tabs>
              <w:rPr>
                <w:rFonts w:hint="eastAsia" w:ascii="宋体" w:hAnsi="宋体" w:cs="宋体"/>
                <w:bCs/>
                <w:sz w:val="21"/>
                <w:szCs w:val="21"/>
              </w:rPr>
            </w:pPr>
            <w:r>
              <w:rPr>
                <w:rFonts w:hint="eastAsia" w:ascii="宋体" w:hAnsi="宋体" w:cs="宋体"/>
                <w:bCs/>
                <w:sz w:val="21"/>
                <w:szCs w:val="21"/>
              </w:rPr>
            </w:r>
            <w:r/>
          </w:p>
        </w:tc>
        <w:tc>
          <w:tcPr>
            <w:tcW w:w="555"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49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806"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r>
      <w:tr>
        <w:trPr>
          <w:jc w:val="center"/>
          <w:trHeight w:val="19"/>
        </w:trPr>
        <w:tc>
          <w:tcPr>
            <w:tcW w:w="80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682" w:type="pct"/>
            <w:vAlign w:val="center"/>
            <w:textDirection w:val="lrTb"/>
            <w:noWrap w:val="false"/>
          </w:tcPr>
          <w:p>
            <w:pPr>
              <w:pStyle w:val="1177"/>
              <w:ind w:firstLine="0"/>
              <w:jc w:val="center"/>
              <w:spacing w:line="360" w:lineRule="auto"/>
              <w:tabs>
                <w:tab w:val="left" w:pos="-235" w:leader="none"/>
              </w:tabs>
              <w:rPr>
                <w:rFonts w:hint="eastAsia" w:ascii="宋体" w:hAnsi="宋体" w:cs="宋体"/>
                <w:bCs/>
                <w:sz w:val="21"/>
                <w:szCs w:val="21"/>
              </w:rPr>
            </w:pPr>
            <w:r>
              <w:rPr>
                <w:rFonts w:hint="eastAsia" w:ascii="宋体" w:hAnsi="宋体" w:cs="宋体"/>
                <w:bCs/>
                <w:sz w:val="21"/>
                <w:szCs w:val="21"/>
              </w:rPr>
            </w:r>
            <w:r/>
          </w:p>
        </w:tc>
        <w:tc>
          <w:tcPr>
            <w:tcW w:w="555"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49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c>
          <w:tcPr>
            <w:tcW w:w="806"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sz w:val="21"/>
                <w:szCs w:val="21"/>
              </w:rPr>
            </w:r>
            <w:r/>
          </w:p>
        </w:tc>
      </w:tr>
      <w:tr>
        <w:trPr>
          <w:jc w:val="center"/>
          <w:trHeight w:val="19"/>
        </w:trPr>
        <w:tc>
          <w:tcPr>
            <w:gridSpan w:val="4"/>
            <w:tcW w:w="2847" w:type="pct"/>
            <w:vAlign w:val="center"/>
            <w:textDirection w:val="lrTb"/>
            <w:noWrap w:val="false"/>
          </w:tcPr>
          <w:p>
            <w:pPr>
              <w:pStyle w:val="1177"/>
              <w:ind w:firstLine="0"/>
              <w:jc w:val="center"/>
              <w:spacing w:line="360" w:lineRule="auto"/>
              <w:tabs>
                <w:tab w:val="left" w:pos="-235" w:leader="none"/>
              </w:tabs>
              <w:rPr>
                <w:rFonts w:hint="eastAsia" w:ascii="宋体" w:hAnsi="宋体" w:cs="宋体"/>
                <w:sz w:val="21"/>
                <w:szCs w:val="21"/>
              </w:rPr>
            </w:pPr>
            <w:r>
              <w:rPr>
                <w:rFonts w:hint="eastAsia" w:ascii="宋体" w:hAnsi="宋体" w:cs="宋体"/>
                <w:bCs/>
                <w:sz w:val="21"/>
                <w:szCs w:val="21"/>
              </w:rPr>
              <w:t xml:space="preserve">合计（元）</w:t>
            </w:r>
            <w:r/>
          </w:p>
        </w:tc>
        <w:tc>
          <w:tcPr>
            <w:gridSpan w:val="3"/>
            <w:tcW w:w="2152" w:type="pct"/>
            <w:vAlign w:val="center"/>
            <w:textDirection w:val="lrTb"/>
            <w:noWrap w:val="false"/>
          </w:tcPr>
          <w:p>
            <w:pPr>
              <w:pStyle w:val="1177"/>
              <w:ind w:firstLine="0"/>
              <w:spacing w:line="360" w:lineRule="auto"/>
              <w:tabs>
                <w:tab w:val="left" w:pos="-235" w:leader="none"/>
              </w:tabs>
              <w:rPr>
                <w:rFonts w:hint="eastAsia" w:ascii="宋体" w:hAnsi="宋体" w:cs="宋体"/>
                <w:sz w:val="21"/>
                <w:szCs w:val="21"/>
              </w:rPr>
            </w:pPr>
            <w:r>
              <w:rPr>
                <w:rFonts w:hint="eastAsia" w:ascii="宋体" w:hAnsi="宋体" w:cs="宋体"/>
                <w:sz w:val="21"/>
                <w:szCs w:val="21"/>
              </w:rPr>
              <w:t xml:space="preserve">￥</w:t>
            </w:r>
            <w:r/>
          </w:p>
        </w:tc>
      </w:tr>
    </w:tbl>
    <w:p>
      <w:pPr>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p>
    <w:p>
      <w:pPr>
        <w:ind w:left="108" w:firstLine="147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2.1合同总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p>
    <w:p>
      <w:pPr>
        <w:ind w:firstLine="525"/>
        <w:spacing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p>
    <w:p>
      <w:pPr>
        <w:pStyle w:val="1177"/>
        <w:ind w:firstLine="527"/>
        <w:spacing w:line="360" w:lineRule="auto"/>
        <w:tabs>
          <w:tab w:val="left" w:pos="-235" w:leader="none"/>
        </w:tabs>
        <w:rPr>
          <w:rFonts w:hint="eastAsia" w:ascii="宋体" w:hAnsi="宋体" w:cs="宋体"/>
          <w:sz w:val="21"/>
          <w:szCs w:val="21"/>
          <w:u w:val="single"/>
        </w:rPr>
      </w:pPr>
      <w:r>
        <w:rPr>
          <w:rFonts w:hint="eastAsia" w:ascii="宋体" w:hAnsi="宋体" w:cs="宋体"/>
          <w:sz w:val="21"/>
          <w:szCs w:val="21"/>
        </w:rPr>
        <w:t xml:space="preserve">5. 交货地点：</w:t>
      </w:r>
      <w:r>
        <w:rPr>
          <w:rFonts w:hint="eastAsia" w:ascii="宋体" w:hAnsi="宋体" w:cs="宋体"/>
          <w:bCs/>
          <w:sz w:val="21"/>
          <w:szCs w:val="21"/>
          <w:u w:val="single"/>
        </w:rPr>
        <w:t xml:space="preserve">甲方指定地点。</w:t>
      </w:r>
      <w:r/>
    </w:p>
    <w:p>
      <w:pPr>
        <w:pStyle w:val="1177"/>
        <w:ind w:firstLine="527"/>
        <w:spacing w:line="360" w:lineRule="auto"/>
        <w:tabs>
          <w:tab w:val="left" w:pos="-235" w:leader="none"/>
        </w:tabs>
        <w:rPr>
          <w:rFonts w:hint="eastAsia" w:ascii="宋体" w:hAnsi="宋体" w:cs="宋体"/>
          <w:sz w:val="21"/>
          <w:szCs w:val="21"/>
          <w:u w:val="single"/>
        </w:rPr>
      </w:pPr>
      <w:r>
        <w:rPr>
          <w:rFonts w:hint="eastAsia" w:ascii="宋体" w:hAnsi="宋体" w:cs="宋体"/>
          <w:sz w:val="21"/>
          <w:szCs w:val="21"/>
        </w:rPr>
        <w:t xml:space="preserve">6. 设备的制造应符合下列标准或规范并据此验收：</w:t>
      </w:r>
      <w:r>
        <w:rPr>
          <w:rFonts w:hint="eastAsia" w:ascii="宋体" w:hAnsi="宋体" w:cs="宋体"/>
          <w:bCs/>
          <w:sz w:val="21"/>
          <w:szCs w:val="21"/>
          <w:u w:val="single"/>
        </w:rPr>
        <w:t xml:space="preserve">招标文件、投标文件、双方签订的技术协议和国家的相关标准。</w:t>
      </w:r>
      <w:r>
        <w:rPr>
          <w:rFonts w:hint="eastAsia" w:ascii="宋体" w:hAnsi="宋体" w:cs="宋体"/>
          <w:sz w:val="21"/>
          <w:szCs w:val="21"/>
        </w:rPr>
        <w:t xml:space="preserve">（上述标准或规范不一致时，则以要求较高者为准。）</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8.2履约保函</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（1）履约保函金额：合同总价10%；</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（2）履约保函的形式：乙方应当以支票、汇票、本票或者金融机构、担保机构出具的保函等非现金形式提交；</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（3）履约保函的退还：在设备通过甲方验收合格且满12个月无质量问题后的15个工作日内，甲方将无息退还乙方的履约保函；</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5"/>
        </w:num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交付和验收</w:t>
      </w:r>
      <w:r/>
    </w:p>
    <w:p>
      <w:pPr>
        <w:ind w:firstLine="63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p>
    <w:p>
      <w:pPr>
        <w:ind w:firstLine="63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p>
    <w:p>
      <w:pPr>
        <w:ind w:firstLine="63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p>
    <w:p>
      <w:pPr>
        <w:ind w:left="108"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设备厂家工程师赶到甲方现场，帮助排除故障、修复或更换零部件，需购买零部件时，仅收取成本费。</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质保期满后，如设备出现故障，乙方在接到甲方通知后，仍应在上述时限内响应、派设备厂家工程师赶到甲方现场，帮助排除故障、修复或更换零部件，需购买零部件时，酌情收取成本费。</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按第四章技术规格、参数及其他要求中的要求提供相关资料（见附件）。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13.2乙方逾期交付的，每逾期1天，乙方应向甲方支付合同总价款的5‰的逾期违约金。</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违约金标准：合同金额50万（含）以下的违约金按照合同总价款的20%计算，合同金额50万至100万（含）的违约金按照合同总价款的10%计算，合同金额超过100万元的违约金按照合同总价款的5%计算）。</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rFonts w:hint="eastAsia" w:ascii="宋体" w:hAnsi="宋体" w:cs="宋体"/>
          <w:szCs w:val="21"/>
        </w:rPr>
      </w:pPr>
      <w:r>
        <w:rPr>
          <w:rFonts w:hint="eastAsia" w:ascii="宋体" w:hAnsi="宋体" w:cs="宋体"/>
          <w:szCs w:val="21"/>
        </w:rPr>
        <w:t xml:space="preserve">13.7乙方所交付的货物或服务不符合合同规定的，甲方有权拒收。甲方拒收的，乙方应向甲方支付违约金</w:t>
      </w:r>
      <w:bookmarkStart w:id="111" w:name="OLE_LINK8"/>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bookmarkEnd w:id="111"/>
      <w:r>
        <w:rPr>
          <w:rFonts w:hint="eastAsia" w:ascii="宋体" w:hAnsi="宋体" w:cs="宋体"/>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rFonts w:hint="eastAsia" w:ascii="宋体" w:hAnsi="宋体" w:cs="宋体"/>
          <w:szCs w:val="21"/>
        </w:rPr>
      </w:pPr>
      <w:r/>
      <w:bookmarkStart w:id="112" w:name="_Toc19018"/>
      <w:r>
        <w:rPr>
          <w:rFonts w:hint="eastAsia" w:ascii="宋体" w:hAnsi="宋体" w:cs="宋体"/>
          <w:szCs w:val="21"/>
        </w:rPr>
        <w:t xml:space="preserve">四、合同权利义务的转让</w:t>
      </w:r>
      <w:bookmarkEnd w:id="112"/>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rFonts w:hint="eastAsia" w:ascii="宋体" w:hAnsi="宋体" w:cs="宋体"/>
          <w:szCs w:val="21"/>
        </w:rPr>
      </w:pPr>
      <w:r/>
      <w:bookmarkStart w:id="113" w:name="_Toc30322"/>
      <w:r>
        <w:rPr>
          <w:rFonts w:hint="eastAsia" w:ascii="宋体" w:hAnsi="宋体" w:cs="宋体"/>
          <w:szCs w:val="21"/>
        </w:rPr>
        <w:t xml:space="preserve">六、争议解决条款</w:t>
      </w:r>
      <w:bookmarkEnd w:id="113"/>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rFonts w:hint="eastAsia" w:ascii="宋体" w:hAnsi="宋体" w:cs="宋体"/>
          <w:szCs w:val="21"/>
        </w:rPr>
      </w:pPr>
      <w:r/>
      <w:bookmarkStart w:id="114" w:name="_Toc20895"/>
      <w:r>
        <w:rPr>
          <w:rFonts w:hint="eastAsia" w:ascii="宋体" w:hAnsi="宋体" w:cs="宋体"/>
          <w:szCs w:val="21"/>
        </w:rPr>
        <w:t xml:space="preserve">七、</w:t>
      </w:r>
      <w:bookmarkEnd w:id="114"/>
      <w:r>
        <w:rPr>
          <w:rFonts w:hint="eastAsia" w:ascii="宋体" w:hAnsi="宋体" w:cs="宋体"/>
          <w:szCs w:val="21"/>
        </w:rPr>
        <w:t xml:space="preserve">廉洁条款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20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九、不可抗力</w:t>
      </w:r>
      <w:r/>
    </w:p>
    <w:p>
      <w:pPr>
        <w:pStyle w:val="120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十、送达条款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20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十一、其他</w:t>
      </w:r>
      <w:r/>
    </w:p>
    <w:p>
      <w:pPr>
        <w:pStyle w:val="120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11.1、合同的生效：本合同一式陆份，自甲乙双方签字并加盖骑缝章之日起生效。</w:t>
      </w:r>
      <w:r/>
    </w:p>
    <w:p>
      <w:pPr>
        <w:pStyle w:val="120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11.2、未尽事宜、双方协商解决，并按《中华人民共和国民法典》及相关法律、法规的规定调整。</w:t>
      </w:r>
      <w:r/>
    </w:p>
    <w:p>
      <w:pPr>
        <w:pStyle w:val="120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p>
    <w:tbl>
      <w:tblPr>
        <w:tblStyle w:val="1174"/>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甲方（盖章）：</w:t>
            </w:r>
            <w:r/>
          </w:p>
          <w:p>
            <w:pPr>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联系方式：</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乙方（盖章）：</w:t>
            </w:r>
            <w:r/>
          </w:p>
          <w:p>
            <w:pPr>
              <w:spacing w:line="400" w:lineRule="exact"/>
              <w:rPr>
                <w:rFonts w:hint="eastAsia" w:ascii="宋体" w:hAnsi="宋体" w:cs="宋体"/>
                <w:szCs w:val="21"/>
              </w:rPr>
            </w:pPr>
            <w:r>
              <w:rPr>
                <w:rFonts w:hint="eastAsia" w:ascii="宋体" w:hAnsi="宋体" w:cs="宋体"/>
                <w:szCs w:val="21"/>
              </w:rPr>
              <w:t xml:space="preserve">单位名称：</w:t>
            </w:r>
            <w:r/>
          </w:p>
          <w:p>
            <w:pPr>
              <w:spacing w:line="400" w:lineRule="exact"/>
              <w:rPr>
                <w:rFonts w:hint="eastAsia" w:ascii="宋体" w:hAnsi="宋体" w:cs="宋体"/>
                <w:szCs w:val="21"/>
              </w:rPr>
            </w:pPr>
            <w:r>
              <w:rPr>
                <w:rFonts w:hint="eastAsia" w:ascii="宋体" w:hAnsi="宋体" w:cs="宋体"/>
                <w:szCs w:val="21"/>
              </w:rPr>
              <w:t xml:space="preserve">单位地址：</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电话：</w:t>
            </w:r>
            <w:r/>
          </w:p>
          <w:p>
            <w:pPr>
              <w:spacing w:line="400" w:lineRule="exact"/>
              <w:rPr>
                <w:rFonts w:hint="eastAsia" w:ascii="宋体" w:hAnsi="宋体" w:cs="宋体"/>
                <w:szCs w:val="21"/>
              </w:rPr>
            </w:pPr>
            <w:r>
              <w:rPr>
                <w:rFonts w:hint="eastAsia" w:ascii="宋体" w:hAnsi="宋体" w:cs="宋体"/>
                <w:szCs w:val="21"/>
              </w:rPr>
              <w:t xml:space="preserve">传真：</w:t>
            </w:r>
            <w:r/>
          </w:p>
          <w:p>
            <w:pPr>
              <w:spacing w:line="400" w:lineRule="exact"/>
              <w:rPr>
                <w:rFonts w:hint="eastAsia" w:ascii="宋体" w:hAnsi="宋体" w:cs="宋体"/>
                <w:szCs w:val="21"/>
              </w:rPr>
            </w:pPr>
            <w:r>
              <w:rPr>
                <w:rFonts w:hint="eastAsia" w:ascii="宋体" w:hAnsi="宋体" w:cs="宋体"/>
                <w:szCs w:val="21"/>
              </w:rPr>
              <w:t xml:space="preserve">开户银行：</w:t>
            </w:r>
            <w:r/>
          </w:p>
          <w:p>
            <w:pPr>
              <w:spacing w:line="400" w:lineRule="exact"/>
              <w:rPr>
                <w:rFonts w:hint="eastAsia" w:ascii="宋体" w:hAnsi="宋体" w:cs="宋体"/>
                <w:szCs w:val="21"/>
              </w:rPr>
            </w:pPr>
            <w:r>
              <w:rPr>
                <w:rFonts w:hint="eastAsia" w:ascii="宋体" w:hAnsi="宋体" w:cs="宋体"/>
                <w:szCs w:val="21"/>
              </w:rPr>
              <w:t xml:space="preserve">帐号：</w:t>
            </w:r>
            <w:r/>
          </w:p>
          <w:p>
            <w:pPr>
              <w:spacing w:line="400" w:lineRule="exact"/>
              <w:rPr>
                <w:rFonts w:hint="eastAsia" w:ascii="宋体" w:hAnsi="宋体" w:cs="宋体"/>
                <w:szCs w:val="21"/>
              </w:rPr>
            </w:pPr>
            <w:r>
              <w:rPr>
                <w:rFonts w:hint="eastAsia" w:ascii="宋体" w:hAnsi="宋体" w:cs="宋体"/>
                <w:szCs w:val="21"/>
              </w:rPr>
              <w:t xml:space="preserve">税号：</w:t>
            </w:r>
            <w:r/>
          </w:p>
          <w:p>
            <w:pPr>
              <w:spacing w:line="400" w:lineRule="exact"/>
              <w:rPr>
                <w:rFonts w:hint="eastAsia" w:ascii="宋体" w:hAnsi="宋体" w:cs="宋体"/>
                <w:szCs w:val="21"/>
              </w:rPr>
            </w:pPr>
            <w:r>
              <w:rPr>
                <w:rFonts w:hint="eastAsia" w:ascii="宋体" w:hAnsi="宋体" w:cs="宋体"/>
                <w:szCs w:val="21"/>
              </w:rPr>
              <w:t xml:space="preserve">签订日期：  年  月  日</w:t>
            </w:r>
            <w:bookmarkEnd w:id="108"/>
            <w:bookmarkEnd w:id="109"/>
            <w:bookmarkEnd w:id="110"/>
            <w:r/>
          </w:p>
        </w:tc>
      </w:tr>
    </w:tbl>
    <w:p>
      <w:pPr>
        <w:rPr>
          <w:b/>
          <w:color w:val="000000"/>
          <w:sz w:val="28"/>
          <w:szCs w:val="28"/>
        </w:rPr>
      </w:pPr>
      <w:r>
        <w:rPr>
          <w:b/>
          <w:color w:val="000000"/>
          <w:sz w:val="28"/>
          <w:szCs w:val="28"/>
        </w:rPr>
        <w:br w:type="page" w:clear="all"/>
      </w:r>
      <w:r/>
    </w:p>
    <w:p>
      <w:pPr>
        <w:ind w:firstLine="3373"/>
        <w:rPr>
          <w:b/>
          <w:color w:val="000000"/>
          <w:sz w:val="28"/>
          <w:szCs w:val="28"/>
        </w:rPr>
        <w:outlineLvl w:val="0"/>
      </w:pPr>
      <w:r/>
      <w:bookmarkStart w:id="115" w:name="_Toc19077"/>
      <w:r>
        <w:rPr>
          <w:b/>
          <w:color w:val="000000"/>
          <w:sz w:val="28"/>
          <w:szCs w:val="28"/>
        </w:rPr>
        <w:t xml:space="preserve">第六章 投标文件格式及附件</w:t>
      </w:r>
      <w:bookmarkEnd w:id="115"/>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first" r:id="rId11"/>
          <w:footerReference w:type="default" r:id="rId15"/>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16" w:name="_Toc496780634"/>
      <w:r/>
      <w:bookmarkStart w:id="117" w:name="_Toc29373"/>
      <w:r/>
      <w:bookmarkStart w:id="118" w:name="_Toc24614"/>
      <w:r/>
      <w:bookmarkStart w:id="119" w:name="_Toc31843"/>
      <w:r/>
      <w:bookmarkStart w:id="120" w:name="_Toc4200"/>
      <w:r>
        <w:rPr>
          <w:b/>
          <w:color w:val="000000"/>
          <w:szCs w:val="21"/>
        </w:rPr>
        <w:t xml:space="preserve">评审索引</w:t>
      </w:r>
      <w:bookmarkEnd w:id="116"/>
      <w:r/>
      <w:bookmarkEnd w:id="117"/>
      <w:r>
        <w:rPr>
          <w:b/>
          <w:color w:val="000000"/>
          <w:szCs w:val="21"/>
        </w:rPr>
        <w:t xml:space="preserve">表</w:t>
      </w:r>
      <w:bookmarkEnd w:id="118"/>
      <w:r/>
      <w:bookmarkEnd w:id="119"/>
      <w:r/>
      <w:bookmarkEnd w:id="120"/>
      <w:r/>
      <w:r/>
    </w:p>
    <w:tbl>
      <w:tblPr>
        <w:tblStyle w:val="1174"/>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21" w:name="_Toc19"/>
      <w:r/>
      <w:bookmarkStart w:id="122" w:name="_Toc15346"/>
      <w:r/>
      <w:bookmarkStart w:id="123" w:name="_Toc28190"/>
      <w:r/>
      <w:bookmarkStart w:id="124" w:name="_Toc4034"/>
      <w:r/>
      <w:bookmarkStart w:id="125" w:name="_Toc24640"/>
      <w:r/>
      <w:bookmarkStart w:id="126" w:name="_Toc9700"/>
      <w:r/>
      <w:bookmarkStart w:id="127" w:name="_Toc1929"/>
      <w:r>
        <w:rPr>
          <w:b/>
          <w:color w:val="000000"/>
          <w:szCs w:val="21"/>
        </w:rPr>
        <w:t xml:space="preserve">附件一 投标函格式</w:t>
      </w:r>
      <w:bookmarkEnd w:id="121"/>
      <w:r/>
      <w:bookmarkEnd w:id="122"/>
      <w:r/>
      <w:bookmarkEnd w:id="123"/>
      <w:r/>
      <w:bookmarkEnd w:id="124"/>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bookmarkEnd w:id="125"/>
      <w:bookmarkEnd w:id="126"/>
      <w:bookmarkEnd w:id="127"/>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28" w:name="_Toc22650"/>
      <w:r>
        <w:rPr>
          <w:b/>
          <w:color w:val="000000"/>
          <w:szCs w:val="21"/>
        </w:rPr>
        <w:t xml:space="preserve">附件二 开标一览表</w:t>
      </w:r>
      <w:bookmarkEnd w:id="128"/>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174"/>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29" w:name="_Toc24465"/>
      <w:r/>
      <w:bookmarkStart w:id="130" w:name="_Toc867"/>
      <w:r/>
      <w:bookmarkStart w:id="131" w:name="_Toc11266"/>
      <w:r/>
      <w:bookmarkStart w:id="132" w:name="_Toc5534"/>
      <w:r>
        <w:rPr>
          <w:b/>
          <w:color w:val="000000"/>
          <w:szCs w:val="21"/>
        </w:rPr>
        <w:t xml:space="preserve">附件三 分项报价表</w:t>
      </w:r>
      <w:bookmarkEnd w:id="129"/>
      <w:r/>
      <w:bookmarkEnd w:id="130"/>
      <w:r/>
      <w:bookmarkEnd w:id="131"/>
      <w:r/>
      <w:bookmarkEnd w:id="132"/>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p>
    <w:tbl>
      <w:tblPr>
        <w:tblStyle w:val="1174"/>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3" w:name="_Toc14830"/>
      <w:r/>
      <w:bookmarkStart w:id="134" w:name="_Toc3775"/>
      <w:r/>
      <w:bookmarkStart w:id="135" w:name="_Toc31821"/>
      <w:r/>
      <w:bookmarkStart w:id="136" w:name="_Toc1916"/>
      <w:r/>
      <w:bookmarkStart w:id="137" w:name="_Toc113527849"/>
      <w:r>
        <w:rPr>
          <w:b/>
          <w:color w:val="000000"/>
          <w:szCs w:val="21"/>
        </w:rPr>
        <w:t xml:space="preserve">附件四 商务条款偏离表</w:t>
      </w:r>
      <w:bookmarkEnd w:id="133"/>
      <w:r/>
      <w:bookmarkEnd w:id="134"/>
      <w:r/>
      <w:bookmarkEnd w:id="135"/>
      <w:r/>
      <w:bookmarkEnd w:id="136"/>
      <w:r/>
      <w:bookmarkEnd w:id="137"/>
      <w:r/>
      <w:r/>
    </w:p>
    <w:tbl>
      <w:tblPr>
        <w:tblStyle w:val="1174"/>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38" w:name="_Toc25057"/>
      <w:r/>
      <w:bookmarkStart w:id="139" w:name="_Toc6138"/>
      <w:r/>
      <w:bookmarkStart w:id="140" w:name="_Toc25051"/>
      <w:r/>
      <w:bookmarkStart w:id="141" w:name="_Toc113527850"/>
      <w:r/>
      <w:bookmarkStart w:id="142" w:name="_Toc7213"/>
      <w:r>
        <w:rPr>
          <w:b/>
          <w:color w:val="000000"/>
          <w:szCs w:val="21"/>
        </w:rPr>
        <w:t xml:space="preserve">附件五 技术条款偏离表</w:t>
      </w:r>
      <w:bookmarkEnd w:id="138"/>
      <w:r/>
      <w:bookmarkEnd w:id="139"/>
      <w:r/>
      <w:bookmarkEnd w:id="140"/>
      <w:r/>
      <w:bookmarkEnd w:id="141"/>
      <w:r/>
      <w:bookmarkEnd w:id="142"/>
      <w:r/>
      <w:r/>
    </w:p>
    <w:tbl>
      <w:tblPr>
        <w:tblStyle w:val="1174"/>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143" w:name="_Toc3639"/>
      <w:r/>
      <w:bookmarkStart w:id="144" w:name="_Toc22252"/>
      <w:r/>
      <w:bookmarkStart w:id="145" w:name="_Toc17724"/>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46" w:name="_Toc19407"/>
      <w:r>
        <w:rPr>
          <w:b/>
          <w:color w:val="000000"/>
          <w:szCs w:val="21"/>
        </w:rPr>
        <w:t xml:space="preserve">附件六 拟参与本项目服务人员一览表</w:t>
      </w:r>
      <w:bookmarkEnd w:id="146"/>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174"/>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47" w:name="_Toc23351"/>
      <w:r>
        <w:rPr>
          <w:b/>
          <w:color w:val="000000"/>
          <w:szCs w:val="21"/>
        </w:rPr>
        <w:t xml:space="preserve">附件七 投标人类似业绩情况表</w:t>
      </w:r>
      <w:bookmarkEnd w:id="147"/>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Style w:val="1174"/>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48" w:name="_Toc113527851"/>
      <w:r>
        <w:rPr>
          <w:b/>
          <w:bCs/>
          <w:color w:val="000000"/>
          <w:szCs w:val="21"/>
        </w:rPr>
        <w:br w:type="page" w:clear="all"/>
      </w:r>
      <w:r/>
    </w:p>
    <w:p>
      <w:pPr>
        <w:jc w:val="left"/>
        <w:spacing w:line="360" w:lineRule="auto"/>
        <w:rPr>
          <w:b/>
          <w:color w:val="000000"/>
          <w:szCs w:val="21"/>
        </w:rPr>
        <w:outlineLvl w:val="1"/>
      </w:pPr>
      <w:r/>
      <w:bookmarkStart w:id="149" w:name="_Toc8148"/>
      <w:r>
        <w:rPr>
          <w:b/>
          <w:color w:val="000000"/>
          <w:szCs w:val="21"/>
        </w:rPr>
        <w:t xml:space="preserve">附件八 政府采购政策</w:t>
      </w:r>
      <w:bookmarkEnd w:id="143"/>
      <w:r/>
      <w:bookmarkEnd w:id="144"/>
      <w:r/>
      <w:bookmarkEnd w:id="145"/>
      <w:r/>
      <w:bookmarkEnd w:id="148"/>
      <w:r/>
      <w:bookmarkEnd w:id="149"/>
      <w:r/>
      <w:r/>
    </w:p>
    <w:p>
      <w:pPr>
        <w:jc w:val="center"/>
        <w:spacing w:line="360" w:lineRule="auto"/>
        <w:rPr>
          <w:b/>
          <w:color w:val="000000"/>
          <w:szCs w:val="21"/>
        </w:rPr>
      </w:pPr>
      <w:r/>
      <w:bookmarkStart w:id="150" w:name="_Toc28798"/>
      <w:r/>
      <w:bookmarkStart w:id="151" w:name="_Toc231820635"/>
      <w:r/>
      <w:bookmarkStart w:id="152" w:name="_Toc17125"/>
      <w:r/>
      <w:bookmarkStart w:id="153" w:name="_Toc21802"/>
      <w:r/>
      <w:bookmarkStart w:id="154" w:name="_Toc92"/>
      <w:r/>
      <w:bookmarkStart w:id="155" w:name="_Toc18700"/>
      <w:r/>
      <w:r/>
    </w:p>
    <w:p>
      <w:pPr>
        <w:jc w:val="center"/>
        <w:spacing w:line="360" w:lineRule="auto"/>
      </w:pPr>
      <w:r>
        <w:rPr>
          <w:b/>
          <w:color w:val="000000"/>
          <w:szCs w:val="21"/>
        </w:rPr>
        <w:t xml:space="preserve">（一）《中小企业声明函》</w:t>
      </w:r>
      <w:bookmarkEnd w:id="150"/>
      <w:r/>
      <w:bookmarkEnd w:id="151"/>
      <w:r/>
      <w:bookmarkEnd w:id="152"/>
      <w:r/>
      <w:bookmarkEnd w:id="153"/>
      <w:r>
        <w:br/>
      </w:r>
      <w:r>
        <w:br/>
      </w:r>
      <w:bookmarkEnd w:id="154"/>
      <w:r/>
      <w:bookmarkEnd w:id="155"/>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6"/>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6"/>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6"/>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56" w:name="_Toc231820636"/>
      <w:r/>
      <w:bookmarkStart w:id="157" w:name="_Toc113527853"/>
      <w:r/>
      <w:bookmarkStart w:id="158" w:name="_Toc17686"/>
      <w:r/>
      <w:bookmarkStart w:id="159" w:name="_Toc13680"/>
      <w:r/>
      <w:bookmarkStart w:id="160" w:name="_Toc17455"/>
      <w:r>
        <w:rPr>
          <w:b/>
          <w:color w:val="000000"/>
          <w:szCs w:val="21"/>
        </w:rPr>
        <w:t xml:space="preserve">（二）残疾人福利性单位声明函</w:t>
      </w:r>
      <w:bookmarkEnd w:id="156"/>
      <w:r/>
      <w:bookmarkEnd w:id="157"/>
      <w:r/>
      <w:bookmarkEnd w:id="158"/>
      <w:r/>
      <w:bookmarkEnd w:id="159"/>
      <w:r/>
      <w:bookmarkEnd w:id="160"/>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jc w:val="center"/>
        <w:rPr>
          <w:b/>
          <w:bCs/>
          <w:color w:val="000000"/>
          <w:szCs w:val="21"/>
        </w:rPr>
      </w:pPr>
      <w:r/>
      <w:bookmarkStart w:id="161" w:name="_Toc231820637"/>
      <w:r/>
      <w:bookmarkStart w:id="162" w:name="_Toc113527854"/>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61"/>
      <w:r/>
      <w:bookmarkEnd w:id="162"/>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63" w:name="_Toc113527855"/>
      <w:r/>
      <w:bookmarkStart w:id="164" w:name="_Toc231820638"/>
      <w:r>
        <w:rPr>
          <w:b/>
          <w:color w:val="000000"/>
          <w:szCs w:val="21"/>
        </w:rPr>
        <w:t xml:space="preserve">（四）节能产品认证证书</w:t>
      </w:r>
      <w:bookmarkEnd w:id="163"/>
      <w:r/>
      <w:bookmarkEnd w:id="164"/>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5" w:name="_Toc231820639"/>
      <w:r/>
      <w:bookmarkStart w:id="166" w:name="_Toc113527856"/>
      <w:r>
        <w:rPr>
          <w:b/>
          <w:color w:val="000000"/>
          <w:szCs w:val="21"/>
        </w:rPr>
        <w:t xml:space="preserve">（五）环境标志产品认证证书</w:t>
      </w:r>
      <w:bookmarkEnd w:id="165"/>
      <w:r/>
      <w:bookmarkEnd w:id="166"/>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7" w:name="_Toc113527857"/>
      <w:r/>
      <w:bookmarkStart w:id="168" w:name="_Toc231820640"/>
      <w:r>
        <w:rPr>
          <w:b/>
          <w:color w:val="000000"/>
          <w:szCs w:val="21"/>
        </w:rPr>
        <w:t xml:space="preserve">（六）进口产品转让技术、消化吸收再创新方案</w:t>
      </w:r>
      <w:bookmarkEnd w:id="167"/>
      <w:r/>
      <w:bookmarkEnd w:id="168"/>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69" w:name="_Toc231820641"/>
      <w:r>
        <w:rPr>
          <w:b/>
          <w:color w:val="000000"/>
          <w:szCs w:val="21"/>
        </w:rPr>
        <w:t xml:space="preserve">（七）本国产品相关资信证明文件</w:t>
      </w:r>
      <w:bookmarkEnd w:id="169"/>
      <w:r/>
      <w:r/>
    </w:p>
    <w:p>
      <w:pPr>
        <w:ind w:firstLine="422"/>
        <w:jc w:val="left"/>
        <w:spacing w:line="360" w:lineRule="auto"/>
        <w:rPr>
          <w:b/>
          <w:color w:val="000000"/>
          <w:szCs w:val="21"/>
        </w:rPr>
      </w:pPr>
      <w:r/>
      <w:bookmarkStart w:id="170" w:name="_Toc231820642"/>
      <w:r>
        <w:rPr>
          <w:b/>
          <w:color w:val="000000"/>
          <w:szCs w:val="21"/>
        </w:rPr>
        <w:t xml:space="preserve">《关于符合本国产品标准的声明函》或财政部会同有关部门规定的有关证明文件</w:t>
      </w:r>
      <w:bookmarkEnd w:id="170"/>
      <w:r/>
      <w:r/>
    </w:p>
    <w:p>
      <w:pPr>
        <w:ind w:firstLine="422"/>
        <w:jc w:val="left"/>
        <w:spacing w:line="360" w:lineRule="auto"/>
        <w:rPr>
          <w:b/>
          <w:color w:val="000000"/>
          <w:szCs w:val="21"/>
        </w:rPr>
      </w:pPr>
      <w:r/>
      <w:bookmarkStart w:id="171" w:name="_Toc231820643"/>
      <w:r>
        <w:rPr>
          <w:b/>
          <w:color w:val="000000"/>
          <w:szCs w:val="21"/>
        </w:rPr>
        <w:t xml:space="preserve">（特别说明：格式如下，请按要求填写，加盖CA电子公章。供应商填写以下具体情况时，序号、产品名称请与招标文件附件《采购清单》各采购包中的序号、产品名称在顺序、内容上均保持一致，供评委现场评审时逐一核对确认，请勿遗漏）</w:t>
      </w:r>
      <w:bookmarkEnd w:id="171"/>
      <w:r/>
      <w:r/>
    </w:p>
    <w:p>
      <w:pPr>
        <w:jc w:val="center"/>
        <w:rPr>
          <w:b/>
          <w:color w:val="000000"/>
          <w:szCs w:val="21"/>
        </w:rPr>
      </w:pPr>
      <w:r/>
      <w:bookmarkStart w:id="172" w:name="_Toc231820644"/>
      <w:r/>
      <w:r/>
    </w:p>
    <w:p>
      <w:pPr>
        <w:jc w:val="center"/>
        <w:rPr>
          <w:b/>
          <w:color w:val="000000"/>
          <w:szCs w:val="21"/>
        </w:rPr>
      </w:pPr>
      <w:r>
        <w:rPr>
          <w:b/>
          <w:color w:val="000000"/>
          <w:szCs w:val="21"/>
        </w:rPr>
      </w:r>
      <w:r/>
    </w:p>
    <w:p>
      <w:pPr>
        <w:jc w:val="center"/>
        <w:rPr>
          <w:b/>
          <w:color w:val="000000"/>
          <w:szCs w:val="21"/>
        </w:rPr>
      </w:pPr>
      <w:r>
        <w:rPr>
          <w:b/>
          <w:color w:val="000000"/>
          <w:szCs w:val="21"/>
        </w:rPr>
        <w:t xml:space="preserve">关于符合本国产品标准的声明函</w:t>
      </w:r>
      <w:bookmarkEnd w:id="172"/>
      <w:r/>
      <w:r/>
    </w:p>
    <w:p>
      <w:pPr>
        <w:ind w:firstLine="420"/>
        <w:spacing w:line="360" w:lineRule="auto"/>
        <w:rPr>
          <w:color w:val="000000"/>
          <w:szCs w:val="21"/>
        </w:rPr>
      </w:pPr>
      <w:r>
        <w:rPr>
          <w:color w:val="000000"/>
          <w:szCs w:val="21"/>
        </w:rPr>
        <w:t xml:space="preserve">本单位郑重声明，根据《国务院办公厅关于在政府采购中实施本国产品标准及相关政策的通知》(国办发〔2025〕34号)的规定，本单位提供的以下产品属于本国产品。具体情况如下：</w:t>
      </w:r>
      <w:r/>
    </w:p>
    <w:p>
      <w:pPr>
        <w:ind w:firstLine="420"/>
        <w:spacing w:line="360" w:lineRule="auto"/>
        <w:rPr>
          <w:color w:val="000000"/>
          <w:szCs w:val="21"/>
        </w:rPr>
      </w:pPr>
      <w:r>
        <w:rPr>
          <w:color w:val="000000"/>
          <w:szCs w:val="21"/>
        </w:rPr>
        <w:t xml:space="preserve">1.(</w:t>
      </w:r>
      <w:r>
        <w:rPr>
          <w:color w:val="000000"/>
          <w:szCs w:val="21"/>
          <w:u w:val="single"/>
        </w:rPr>
        <w:t xml:space="preserve">产品名称1</w:t>
      </w:r>
      <w:r>
        <w:rPr>
          <w:color w:val="000000"/>
          <w:szCs w:val="21"/>
        </w:rPr>
        <w:t xml:space="preserve">)</w:t>
      </w:r>
      <w:r>
        <w:rPr>
          <w:color w:val="000000"/>
          <w:szCs w:val="21"/>
          <w:vertAlign w:val="superscript"/>
        </w:rPr>
        <w:t xml:space="preserve">1</w:t>
      </w:r>
      <w:r>
        <w:rPr>
          <w:color w:val="000000"/>
          <w:szCs w:val="21"/>
        </w:rPr>
        <w:t xml:space="preserve">，生产厂为(</w:t>
      </w:r>
      <w:r>
        <w:rPr>
          <w:color w:val="000000"/>
          <w:szCs w:val="21"/>
          <w:u w:val="single"/>
        </w:rPr>
        <w:t xml:space="preserve">厂名</w:t>
      </w:r>
      <w:r>
        <w:rPr>
          <w:color w:val="000000"/>
          <w:szCs w:val="21"/>
        </w:rPr>
        <w:t xml:space="preserve">)</w:t>
      </w:r>
      <w:r>
        <w:rPr>
          <w:color w:val="000000"/>
          <w:szCs w:val="21"/>
          <w:vertAlign w:val="superscript"/>
        </w:rPr>
        <w:t xml:space="preserve">2</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产品名称1</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vertAlign w:val="superscript"/>
        </w:rPr>
        <w:t xml:space="preserve">3</w:t>
      </w:r>
      <w:r>
        <w:rPr>
          <w:color w:val="000000"/>
          <w:szCs w:val="21"/>
        </w:rPr>
        <w:t xml:space="preserve">。(</w:t>
      </w:r>
      <w:r>
        <w:rPr>
          <w:color w:val="000000"/>
          <w:szCs w:val="21"/>
          <w:u w:val="single"/>
        </w:rPr>
        <w:t xml:space="preserve">产品名称1</w:t>
      </w:r>
      <w:r>
        <w:rPr>
          <w:color w:val="000000"/>
          <w:szCs w:val="21"/>
        </w:rPr>
        <w:t xml:space="preserve">)的(</w:t>
      </w:r>
      <w:r>
        <w:rPr>
          <w:color w:val="000000"/>
          <w:szCs w:val="21"/>
          <w:u w:val="single"/>
        </w:rPr>
        <w:t xml:space="preserve">关键组件)</w:t>
      </w:r>
      <w:r>
        <w:rPr>
          <w:color w:val="000000"/>
          <w:szCs w:val="21"/>
          <w:vertAlign w:val="superscript"/>
        </w:rPr>
        <w:t xml:space="preserve">4</w:t>
      </w:r>
      <w:r>
        <w:rPr>
          <w:color w:val="000000"/>
          <w:szCs w:val="21"/>
        </w:rPr>
        <w:t xml:space="preserve">在中国境内生产。(</w:t>
      </w:r>
      <w:r>
        <w:rPr>
          <w:color w:val="000000"/>
          <w:szCs w:val="21"/>
          <w:u w:val="single"/>
        </w:rPr>
        <w:t xml:space="preserve">产品名称1</w:t>
      </w:r>
      <w:r>
        <w:rPr>
          <w:color w:val="000000"/>
          <w:szCs w:val="21"/>
        </w:rPr>
        <w:t xml:space="preserve">)的(</w:t>
      </w:r>
      <w:r>
        <w:rPr>
          <w:color w:val="000000"/>
          <w:szCs w:val="21"/>
          <w:u w:val="single"/>
        </w:rPr>
        <w:t xml:space="preserve">关键工序</w:t>
      </w:r>
      <w:r>
        <w:rPr>
          <w:color w:val="000000"/>
          <w:szCs w:val="21"/>
        </w:rPr>
        <w:t xml:space="preserve">)</w:t>
      </w:r>
      <w:r>
        <w:rPr>
          <w:color w:val="000000"/>
          <w:szCs w:val="21"/>
          <w:vertAlign w:val="superscript"/>
        </w:rPr>
        <w:t xml:space="preserve">5</w:t>
      </w:r>
      <w:r>
        <w:rPr>
          <w:color w:val="000000"/>
          <w:szCs w:val="21"/>
        </w:rPr>
        <w:t xml:space="preserve">在中国境内完成。</w:t>
      </w:r>
      <w:r/>
    </w:p>
    <w:p>
      <w:pPr>
        <w:ind w:firstLine="420"/>
        <w:spacing w:line="360" w:lineRule="auto"/>
        <w:rPr>
          <w:color w:val="000000"/>
          <w:szCs w:val="21"/>
        </w:rPr>
      </w:pPr>
      <w:r>
        <w:rPr>
          <w:color w:val="000000"/>
          <w:szCs w:val="21"/>
        </w:rPr>
        <w:t xml:space="preserve">2.(</w:t>
      </w:r>
      <w:r>
        <w:rPr>
          <w:color w:val="000000"/>
          <w:szCs w:val="21"/>
          <w:u w:val="single"/>
        </w:rPr>
        <w:t xml:space="preserve">产品名称2</w:t>
      </w:r>
      <w:r>
        <w:rPr>
          <w:color w:val="000000"/>
          <w:szCs w:val="21"/>
        </w:rPr>
        <w:t xml:space="preserve">)，生产厂为(</w:t>
      </w:r>
      <w:r>
        <w:rPr>
          <w:color w:val="000000"/>
          <w:szCs w:val="21"/>
          <w:u w:val="single"/>
        </w:rPr>
        <w:t xml:space="preserve">厂名</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产品名称2</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u w:val="single"/>
        </w:rPr>
        <w:t xml:space="preserve">产品名称2</w:t>
      </w:r>
      <w:r>
        <w:rPr>
          <w:color w:val="000000"/>
          <w:szCs w:val="21"/>
        </w:rPr>
        <w:t xml:space="preserve">)的(</w:t>
      </w:r>
      <w:r>
        <w:rPr>
          <w:color w:val="000000"/>
          <w:szCs w:val="21"/>
          <w:u w:val="single"/>
        </w:rPr>
        <w:t xml:space="preserve">关键组件</w:t>
      </w:r>
      <w:r>
        <w:rPr>
          <w:color w:val="000000"/>
          <w:szCs w:val="21"/>
        </w:rPr>
        <w:t xml:space="preserve">)在中国境内生产。(</w:t>
      </w:r>
      <w:r>
        <w:rPr>
          <w:color w:val="000000"/>
          <w:szCs w:val="21"/>
          <w:u w:val="single"/>
        </w:rPr>
        <w:t xml:space="preserve">产品名称2</w:t>
      </w:r>
      <w:r>
        <w:rPr>
          <w:color w:val="000000"/>
          <w:szCs w:val="21"/>
        </w:rPr>
        <w:t xml:space="preserve">)的(</w:t>
      </w:r>
      <w:r>
        <w:rPr>
          <w:color w:val="000000"/>
          <w:szCs w:val="21"/>
          <w:u w:val="single"/>
        </w:rPr>
        <w:t xml:space="preserve">关键工序</w:t>
      </w:r>
      <w:r>
        <w:rPr>
          <w:color w:val="000000"/>
          <w:szCs w:val="21"/>
        </w:rPr>
        <w:t xml:space="preserve">)在中国境内完成。</w:t>
      </w:r>
      <w:r/>
    </w:p>
    <w:p>
      <w:pPr>
        <w:ind w:firstLine="420"/>
        <w:spacing w:line="360" w:lineRule="auto"/>
        <w:rPr>
          <w:color w:val="000000"/>
          <w:szCs w:val="21"/>
        </w:rPr>
      </w:pPr>
      <w:r>
        <w:rPr>
          <w:color w:val="000000"/>
          <w:szCs w:val="21"/>
        </w:rPr>
        <w:t xml:space="preserve">.....</w:t>
      </w:r>
      <w:r/>
    </w:p>
    <w:p>
      <w:pPr>
        <w:ind w:firstLine="420"/>
        <w:spacing w:line="360" w:lineRule="auto"/>
        <w:rPr>
          <w:color w:val="000000"/>
          <w:szCs w:val="21"/>
        </w:rPr>
      </w:pPr>
      <w:r>
        <w:rPr>
          <w:color w:val="000000"/>
          <w:szCs w:val="21"/>
        </w:rPr>
        <w:t xml:space="preserve">本公司(单位)对上述声明内容的真实性负责。如有虚假，愿承担相应法律责任。</w:t>
      </w:r>
      <w:r/>
    </w:p>
    <w:p>
      <w:pPr>
        <w:ind w:firstLine="1134"/>
        <w:jc w:val="right"/>
        <w:spacing w:line="588" w:lineRule="exact"/>
        <w:tabs>
          <w:tab w:val="left" w:pos="4860" w:leader="none"/>
        </w:tabs>
        <w:rPr>
          <w:color w:val="000000"/>
          <w:szCs w:val="21"/>
        </w:rPr>
      </w:pPr>
      <w:r/>
      <w:bookmarkStart w:id="173" w:name="_Hlk218765471"/>
      <w:r>
        <w:rPr>
          <w:color w:val="000000"/>
          <w:szCs w:val="21"/>
        </w:rPr>
        <w:t xml:space="preserve">供应商全称（加盖公章）：</w:t>
      </w:r>
      <w:r/>
    </w:p>
    <w:p>
      <w:pPr>
        <w:ind w:firstLine="1134"/>
        <w:jc w:val="right"/>
        <w:spacing w:line="360" w:lineRule="auto"/>
        <w:rPr>
          <w:color w:val="000000"/>
          <w:szCs w:val="21"/>
        </w:rPr>
        <w:pBdr>
          <w:bottom w:val="single" w:color="auto" w:sz="6" w:space="1"/>
        </w:pBdr>
      </w:pPr>
      <w:r>
        <w:rPr>
          <w:color w:val="000000"/>
          <w:szCs w:val="21"/>
        </w:rPr>
        <w:t xml:space="preserve">                              日  期：</w:t>
      </w:r>
      <w:bookmarkEnd w:id="173"/>
      <w:r/>
      <w:r/>
    </w:p>
    <w:p>
      <w:pPr>
        <w:spacing w:before="62" w:after="62" w:line="360" w:lineRule="auto"/>
        <w:rPr>
          <w:rFonts w:eastAsiaTheme="minorEastAsia"/>
          <w:color w:val="000000"/>
          <w:szCs w:val="21"/>
        </w:rPr>
      </w:pPr>
      <w:r>
        <w:rPr>
          <w:rFonts w:eastAsiaTheme="minorEastAsia"/>
          <w:color w:val="000000"/>
          <w:szCs w:val="21"/>
        </w:rPr>
        <w:t xml:space="preserve">1.产品如有型号，请在“产品名称”栏一并填写。</w:t>
      </w:r>
      <w:r/>
    </w:p>
    <w:p>
      <w:pPr>
        <w:spacing w:before="62" w:after="62" w:line="360" w:lineRule="auto"/>
        <w:rPr>
          <w:rFonts w:eastAsiaTheme="minorEastAsia"/>
          <w:color w:val="000000"/>
          <w:szCs w:val="21"/>
        </w:rPr>
      </w:pPr>
      <w:r>
        <w:rPr>
          <w:rFonts w:eastAsiaTheme="minorEastAsia"/>
          <w:color w:val="000000"/>
          <w:szCs w:val="21"/>
        </w:rPr>
        <w:t xml:space="preserve">2.生产厂名与厂址应与生产厂营业执照载明的相关信息保持一致。</w:t>
      </w:r>
      <w:r/>
    </w:p>
    <w:p>
      <w:pPr>
        <w:spacing w:before="62" w:after="62" w:line="360" w:lineRule="auto"/>
        <w:rPr>
          <w:rFonts w:eastAsiaTheme="minorEastAsia"/>
          <w:color w:val="000000"/>
          <w:szCs w:val="21"/>
        </w:rPr>
      </w:pPr>
      <w:r>
        <w:rPr>
          <w:rFonts w:eastAsiaTheme="minorEastAsia"/>
          <w:color w:val="000000"/>
          <w:szCs w:val="21"/>
        </w:rPr>
        <w:t xml:space="preserve">3.该产品的中国境内生产的组件成本占比相关要求实施前，“规定比例”栏可不填，下同。</w:t>
      </w:r>
      <w:r/>
    </w:p>
    <w:p>
      <w:pPr>
        <w:spacing w:before="62" w:after="62" w:line="360" w:lineRule="auto"/>
        <w:rPr>
          <w:rFonts w:eastAsiaTheme="minorEastAsia"/>
          <w:color w:val="000000"/>
          <w:szCs w:val="21"/>
        </w:rPr>
      </w:pPr>
      <w:r>
        <w:rPr>
          <w:rFonts w:eastAsiaTheme="minorEastAsia"/>
          <w:color w:val="000000"/>
          <w:szCs w:val="21"/>
        </w:rPr>
        <w:t xml:space="preserve">4.该产品的关键组件要求实施前,“关键组件”栏可不填，下同。</w:t>
      </w:r>
      <w:r/>
    </w:p>
    <w:p>
      <w:pPr>
        <w:spacing w:before="62" w:after="62" w:line="360" w:lineRule="auto"/>
        <w:rPr>
          <w:rFonts w:eastAsiaTheme="minorEastAsia"/>
          <w:color w:val="000000"/>
          <w:szCs w:val="21"/>
        </w:rPr>
      </w:pPr>
      <w:r>
        <w:rPr>
          <w:rFonts w:eastAsiaTheme="minorEastAsia"/>
          <w:color w:val="000000"/>
          <w:szCs w:val="21"/>
        </w:rPr>
        <w:t xml:space="preserve">5.该产品的关键工序要求实施前,“关键工序”栏可不填，下同。</w:t>
      </w:r>
      <w:r/>
    </w:p>
    <w:p>
      <w:pPr>
        <w:spacing w:before="62" w:after="62"/>
        <w:rPr>
          <w:rFonts w:eastAsiaTheme="minorEastAsia"/>
          <w:bCs/>
          <w:color w:val="000000"/>
          <w:szCs w:val="21"/>
        </w:rPr>
      </w:pPr>
      <w:r/>
      <w:bookmarkStart w:id="174" w:name="_Hlk218765485"/>
      <w:r>
        <w:rPr>
          <w:rFonts w:eastAsiaTheme="minorEastAsia"/>
          <w:bCs/>
          <w:color w:val="000000"/>
          <w:szCs w:val="21"/>
        </w:rPr>
        <w:t xml:space="preserve">注：1）投标人如不提供此声明函，价格将不做相应扣除。 </w:t>
      </w:r>
      <w:r/>
    </w:p>
    <w:p>
      <w:pPr>
        <w:ind w:left="420" w:right="597"/>
        <w:spacing w:before="232" w:line="360" w:lineRule="auto"/>
        <w:rPr>
          <w:rFonts w:eastAsiaTheme="minorEastAsia"/>
          <w:color w:val="000000"/>
          <w:spacing w:val="6"/>
          <w:szCs w:val="21"/>
        </w:rPr>
        <w:sectPr>
          <w:footerReference w:type="default" r:id="rId17"/>
          <w:footnotePr/>
          <w:endnotePr/>
          <w:type w:val="nextPage"/>
          <w:pgSz w:w="11906" w:h="16838" w:orient="portrait"/>
          <w:pgMar w:top="1134" w:right="1134" w:bottom="1083" w:left="1134" w:header="850" w:footer="992" w:gutter="0"/>
          <w:cols w:num="1" w:sep="0" w:space="720" w:equalWidth="1"/>
          <w:docGrid w:linePitch="360"/>
        </w:sectPr>
      </w:pPr>
      <w:r>
        <w:rPr>
          <w:rFonts w:eastAsiaTheme="minorEastAsia"/>
          <w:bCs/>
          <w:color w:val="000000"/>
          <w:szCs w:val="21"/>
        </w:rPr>
        <w:t xml:space="preserve">2）此声明函将随中标结果同时公告，接受社会监督。</w:t>
      </w:r>
      <w:bookmarkEnd w:id="174"/>
      <w:r/>
      <w:r/>
    </w:p>
    <w:p>
      <w:pPr>
        <w:spacing w:line="360" w:lineRule="auto"/>
        <w:rPr>
          <w:b/>
          <w:bCs/>
        </w:rPr>
        <w:outlineLvl w:val="1"/>
      </w:pPr>
      <w:r/>
      <w:bookmarkStart w:id="175" w:name="_Toc27256"/>
      <w:r/>
      <w:bookmarkStart w:id="176" w:name="_Toc14428"/>
      <w:r/>
      <w:bookmarkStart w:id="177" w:name="_Toc113527858"/>
      <w:r/>
      <w:bookmarkStart w:id="178" w:name="_Toc3177"/>
      <w:r/>
      <w:bookmarkStart w:id="179" w:name="_Toc10801"/>
      <w:r>
        <w:rPr>
          <w:b/>
          <w:bCs/>
          <w:lang w:val="zh-CN"/>
        </w:rPr>
        <w:t xml:space="preserve">附件</w:t>
      </w:r>
      <w:r>
        <w:rPr>
          <w:b/>
          <w:bCs/>
        </w:rPr>
        <w:t xml:space="preserve">九</w:t>
      </w:r>
      <w:r>
        <w:rPr>
          <w:b/>
          <w:bCs/>
          <w:lang w:val="zh-CN"/>
        </w:rPr>
        <w:t xml:space="preserve"> 资格</w:t>
      </w:r>
      <w:bookmarkEnd w:id="175"/>
      <w:r/>
      <w:bookmarkEnd w:id="176"/>
      <w:r>
        <w:rPr>
          <w:b/>
          <w:bCs/>
          <w:lang w:val="zh-CN"/>
        </w:rPr>
        <w:t xml:space="preserve">证明文件</w:t>
      </w:r>
      <w:bookmarkEnd w:id="177"/>
      <w:r/>
      <w:bookmarkEnd w:id="178"/>
      <w:r/>
      <w:bookmarkEnd w:id="179"/>
      <w:r/>
      <w:r/>
    </w:p>
    <w:p>
      <w:pPr>
        <w:spacing w:line="360" w:lineRule="auto"/>
        <w:rPr>
          <w:b/>
          <w:bCs/>
          <w:lang w:val="zh-CN"/>
        </w:rPr>
      </w:pPr>
      <w:r/>
      <w:bookmarkStart w:id="180" w:name="_Toc13646"/>
      <w:r/>
      <w:bookmarkStart w:id="181" w:name="_Toc12234"/>
      <w:r/>
      <w:bookmarkStart w:id="182" w:name="_Toc231820646"/>
      <w:r/>
      <w:bookmarkStart w:id="183" w:name="_Toc4916"/>
      <w:r/>
      <w:bookmarkStart w:id="184" w:name="_Toc113527859"/>
      <w:r>
        <w:rPr>
          <w:b/>
          <w:bCs/>
          <w:lang w:val="zh-CN"/>
        </w:rPr>
        <w:t xml:space="preserve">1、法人或其他组织的营业执照等证明文件（复印件加盖公章）</w:t>
      </w:r>
      <w:bookmarkEnd w:id="180"/>
      <w:r/>
      <w:bookmarkEnd w:id="181"/>
      <w:r/>
      <w:bookmarkEnd w:id="182"/>
      <w:r/>
      <w:bookmarkEnd w:id="183"/>
      <w:r/>
      <w:bookmarkEnd w:id="184"/>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85" w:name="_Toc1205"/>
      <w:r/>
      <w:bookmarkStart w:id="186" w:name="_Toc26588"/>
      <w:r/>
      <w:bookmarkStart w:id="187" w:name="_Toc24535"/>
      <w:r/>
      <w:bookmarkStart w:id="188" w:name="_Toc231820647"/>
      <w:r>
        <w:rPr>
          <w:b/>
          <w:bCs/>
          <w:lang w:val="zh-CN"/>
        </w:rPr>
        <w:t xml:space="preserve">2、法人代表授权书</w:t>
      </w:r>
      <w:bookmarkEnd w:id="185"/>
      <w:r/>
      <w:bookmarkEnd w:id="186"/>
      <w:r/>
      <w:bookmarkEnd w:id="187"/>
      <w:r>
        <w:rPr>
          <w:b/>
          <w:bCs/>
        </w:rPr>
        <w:t xml:space="preserve">（如果是法定代表人直接参与投标的可以不提供授权书，但须提供法定代表人身份证复印件</w:t>
      </w:r>
      <w:r>
        <w:rPr>
          <w:b/>
          <w:bCs/>
          <w:szCs w:val="21"/>
        </w:rPr>
        <w:t xml:space="preserve">）</w:t>
      </w:r>
      <w:bookmarkEnd w:id="188"/>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174"/>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89" w:name="_Toc1910"/>
      <w:r/>
      <w:bookmarkStart w:id="190" w:name="_Toc3499"/>
      <w:r/>
      <w:bookmarkStart w:id="191" w:name="_Toc231820648"/>
      <w:r/>
      <w:bookmarkStart w:id="192" w:name="_Toc8662"/>
      <w:r>
        <w:rPr>
          <w:b/>
          <w:bCs/>
        </w:rPr>
        <w:t xml:space="preserve">3、制造商授权书（如需）</w:t>
      </w:r>
      <w:bookmarkEnd w:id="189"/>
      <w:r/>
      <w:bookmarkEnd w:id="190"/>
      <w:r/>
      <w:bookmarkEnd w:id="191"/>
      <w:r/>
      <w:bookmarkEnd w:id="192"/>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号竞争性磋商要求提供的由我方制造的产品的有关事宜，并对我方具有约束力。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3" w:name="_Toc19702"/>
      <w:r/>
      <w:bookmarkStart w:id="194" w:name="_Toc3078"/>
      <w:r/>
      <w:bookmarkStart w:id="195" w:name="_Toc24273"/>
      <w:r/>
      <w:bookmarkStart w:id="196" w:name="_Toc113527862"/>
      <w:r/>
      <w:bookmarkStart w:id="197" w:name="_Toc231820649"/>
      <w:r>
        <w:rPr>
          <w:b/>
          <w:bCs/>
        </w:rPr>
        <w:t xml:space="preserve">4、具有良好的商业信誉和健全的财务会计制度</w:t>
      </w:r>
      <w:bookmarkEnd w:id="193"/>
      <w:r/>
      <w:bookmarkEnd w:id="194"/>
      <w:r/>
      <w:bookmarkEnd w:id="195"/>
      <w:r/>
      <w:bookmarkEnd w:id="196"/>
      <w:r/>
      <w:bookmarkEnd w:id="197"/>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8" w:name="_Toc15262"/>
      <w:r/>
      <w:bookmarkStart w:id="199" w:name="_Toc113527863"/>
      <w:r/>
      <w:bookmarkStart w:id="200" w:name="_Toc23961"/>
      <w:r/>
      <w:bookmarkStart w:id="201" w:name="_Toc231820650"/>
      <w:r/>
      <w:bookmarkStart w:id="202" w:name="_Toc385"/>
      <w:r>
        <w:rPr>
          <w:b/>
          <w:bCs/>
        </w:rPr>
        <w:t xml:space="preserve">5、具有履行合同所必需的设备和专业技术能力</w:t>
      </w:r>
      <w:bookmarkEnd w:id="198"/>
      <w:r/>
      <w:bookmarkEnd w:id="199"/>
      <w:r/>
      <w:bookmarkEnd w:id="200"/>
      <w:r/>
      <w:bookmarkEnd w:id="201"/>
      <w:r/>
      <w:bookmarkEnd w:id="202"/>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3" w:name="_Toc113527864"/>
      <w:r/>
      <w:bookmarkStart w:id="204" w:name="_Toc231820651"/>
      <w:r/>
      <w:bookmarkStart w:id="205" w:name="_Toc1099"/>
      <w:r/>
      <w:bookmarkStart w:id="206" w:name="_Toc18889"/>
      <w:r/>
      <w:bookmarkStart w:id="207" w:name="_Toc17836"/>
      <w:r>
        <w:rPr>
          <w:b/>
          <w:bCs/>
        </w:rPr>
        <w:t xml:space="preserve">6、参加政府采购活动近三年内（成立时间不足三年的、自成立时间起），在经营活动中没有重大违法记录</w:t>
      </w:r>
      <w:bookmarkEnd w:id="203"/>
      <w:r/>
      <w:bookmarkEnd w:id="204"/>
      <w:r/>
      <w:bookmarkEnd w:id="205"/>
      <w:r/>
      <w:bookmarkEnd w:id="206"/>
      <w:r/>
      <w:bookmarkEnd w:id="207"/>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08" w:name="_Toc231820652"/>
      <w:r/>
      <w:bookmarkStart w:id="209" w:name="_Toc113527865"/>
      <w:r/>
      <w:bookmarkStart w:id="210" w:name="_Toc18345"/>
      <w:r/>
      <w:bookmarkStart w:id="211" w:name="_Toc3968"/>
      <w:r/>
      <w:bookmarkStart w:id="212" w:name="_Toc13811"/>
      <w:r>
        <w:rPr>
          <w:b/>
          <w:bCs/>
        </w:rPr>
        <w:t xml:space="preserve">7、依法缴纳税收的记录</w:t>
      </w:r>
      <w:bookmarkEnd w:id="208"/>
      <w:r/>
      <w:bookmarkEnd w:id="209"/>
      <w:r/>
      <w:bookmarkEnd w:id="210"/>
      <w:r/>
      <w:bookmarkEnd w:id="211"/>
      <w:r/>
      <w:bookmarkEnd w:id="212"/>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3" w:name="_Toc8843"/>
      <w:r/>
      <w:bookmarkStart w:id="214" w:name="_Toc113527866"/>
      <w:r/>
      <w:bookmarkStart w:id="215" w:name="_Toc17181"/>
      <w:r/>
      <w:bookmarkStart w:id="216" w:name="_Toc28812"/>
      <w:r/>
      <w:bookmarkStart w:id="217" w:name="_Toc231820653"/>
      <w:r>
        <w:rPr>
          <w:b/>
          <w:bCs/>
        </w:rPr>
        <w:t xml:space="preserve">8、依法缴纳社会保障资金的记录</w:t>
      </w:r>
      <w:bookmarkEnd w:id="213"/>
      <w:r/>
      <w:bookmarkEnd w:id="214"/>
      <w:r/>
      <w:bookmarkEnd w:id="215"/>
      <w:r/>
      <w:bookmarkEnd w:id="216"/>
      <w:r/>
      <w:bookmarkEnd w:id="217"/>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8"/>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18" w:name="_Toc9645"/>
      <w:r/>
      <w:bookmarkStart w:id="219" w:name="_Toc23117"/>
      <w:r/>
      <w:bookmarkStart w:id="220" w:name="_Toc113527867"/>
      <w:r/>
      <w:bookmarkStart w:id="221" w:name="_Toc29638"/>
      <w:r/>
      <w:bookmarkStart w:id="222" w:name="_Toc231820654"/>
      <w:r>
        <w:rPr>
          <w:b/>
          <w:bCs/>
        </w:rPr>
        <w:t xml:space="preserve">9、</w:t>
      </w:r>
      <w:bookmarkEnd w:id="218"/>
      <w:r/>
      <w:bookmarkEnd w:id="219"/>
      <w:r/>
      <w:bookmarkEnd w:id="220"/>
      <w:r/>
      <w:bookmarkEnd w:id="221"/>
      <w:r>
        <w:rPr>
          <w:b/>
          <w:bCs/>
        </w:rPr>
        <w:t xml:space="preserve">未被“信用中国”网站(www.creditchina.gov.cn)、“中国政府采购网”(www.ccgp.gov.cn)列入失信被执行人、重大税收违法案件当事人名单、政府采购严重失信行为记录名单的截图。</w:t>
      </w:r>
      <w:bookmarkEnd w:id="222"/>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23" w:name="_Toc20105"/>
      <w:r>
        <w:rPr>
          <w:b/>
          <w:bCs/>
          <w:color w:val="000000"/>
          <w:szCs w:val="21"/>
        </w:rPr>
        <w:br w:type="page" w:clear="all"/>
      </w:r>
      <w:r/>
    </w:p>
    <w:p>
      <w:pPr>
        <w:spacing w:line="360" w:lineRule="auto"/>
        <w:rPr>
          <w:b/>
          <w:bCs/>
        </w:rPr>
      </w:pPr>
      <w:r/>
      <w:bookmarkStart w:id="224" w:name="_Toc231820655"/>
      <w:r/>
      <w:bookmarkStart w:id="225" w:name="_Toc113527868"/>
      <w:r/>
      <w:bookmarkStart w:id="226" w:name="_Toc19453"/>
      <w:r/>
      <w:bookmarkStart w:id="227" w:name="_Toc3374"/>
      <w:r>
        <w:rPr>
          <w:b/>
          <w:bCs/>
        </w:rPr>
        <w:t xml:space="preserve">10、其他资格要求承诺函</w:t>
      </w:r>
      <w:bookmarkEnd w:id="224"/>
      <w:r/>
      <w:r/>
    </w:p>
    <w:p>
      <w:pPr>
        <w:ind w:firstLine="420"/>
        <w:jc w:val="center"/>
        <w:spacing w:line="360" w:lineRule="auto"/>
      </w:pPr>
      <w:r/>
      <w:bookmarkStart w:id="228" w:name="_Toc231820656"/>
      <w:r/>
      <w:r/>
    </w:p>
    <w:p>
      <w:pPr>
        <w:ind w:firstLine="420"/>
        <w:jc w:val="center"/>
        <w:spacing w:line="360" w:lineRule="auto"/>
      </w:pPr>
      <w:r>
        <w:t xml:space="preserve">我单位承诺：</w:t>
      </w:r>
      <w:bookmarkEnd w:id="228"/>
      <w:r/>
      <w:r/>
    </w:p>
    <w:p>
      <w:pPr>
        <w:ind w:firstLine="420"/>
        <w:spacing w:line="360" w:lineRule="auto"/>
      </w:pPr>
      <w:r/>
      <w:bookmarkStart w:id="229" w:name="_Toc231820657"/>
      <w:r>
        <w:t xml:space="preserve">1、 我单位独立参加本项目采购活动，未与其他潜在供应商组成联合体响应。未提供进口产品投标。</w:t>
      </w:r>
      <w:bookmarkEnd w:id="229"/>
      <w:r/>
      <w:r/>
    </w:p>
    <w:p>
      <w:pPr>
        <w:ind w:firstLine="420"/>
        <w:spacing w:line="360" w:lineRule="auto"/>
      </w:pPr>
      <w:r/>
      <w:bookmarkStart w:id="230" w:name="_Toc231820658"/>
      <w:r>
        <w:t xml:space="preserve">2、我单位参加本次采购活动，遵守并符合以下要求：</w:t>
      </w:r>
      <w:bookmarkEnd w:id="230"/>
      <w:r/>
      <w:r/>
    </w:p>
    <w:p>
      <w:pPr>
        <w:ind w:firstLine="420"/>
        <w:spacing w:line="360" w:lineRule="auto"/>
      </w:pPr>
      <w:r/>
      <w:bookmarkStart w:id="231" w:name="_Toc231820659"/>
      <w: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31"/>
      <w:r/>
      <w:r/>
    </w:p>
    <w:p>
      <w:pPr>
        <w:ind w:firstLine="420"/>
        <w:spacing w:line="360" w:lineRule="auto"/>
      </w:pPr>
      <w:r/>
      <w:bookmarkStart w:id="232" w:name="_Toc231820660"/>
      <w:r>
        <w:t xml:space="preserve">（2）凡为采购项目提供整体设计、规范编制或者项目管理、监理、检测等服务的供应商，不得再参加本项目的采购活动；我单位不存在为采购项目提供整体设计、规范编制或者项目管理、监理、检测等服务的情形。</w:t>
      </w:r>
      <w:bookmarkEnd w:id="232"/>
      <w:r/>
      <w:r/>
    </w:p>
    <w:p>
      <w:pPr>
        <w:ind w:firstLine="420"/>
        <w:spacing w:line="360" w:lineRule="auto"/>
      </w:pPr>
      <w:r/>
      <w:bookmarkStart w:id="233" w:name="_Toc231820661"/>
      <w:r>
        <w:t xml:space="preserve">（3）公益一类事业单位、使用事业编制且由财政拨款保障的群团组织，不得参加本项目的采购活动；我单位性质不属于此类情况。</w:t>
      </w:r>
      <w:bookmarkEnd w:id="233"/>
      <w:r/>
      <w:r/>
    </w:p>
    <w:p>
      <w:pPr>
        <w:ind w:firstLine="420"/>
        <w:spacing w:line="360" w:lineRule="auto"/>
      </w:pPr>
      <w:r/>
      <w:bookmarkStart w:id="234" w:name="_Toc231820662"/>
      <w:r>
        <w:t xml:space="preserve">特此承诺。</w:t>
      </w:r>
      <w:bookmarkEnd w:id="234"/>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35" w:name="_Toc231820663"/>
      <w:r>
        <w:rPr>
          <w:b/>
          <w:bCs/>
        </w:rPr>
        <w:t xml:space="preserve">11、供应商认为其需要提供的其他资格证明文件。</w:t>
      </w:r>
      <w:bookmarkEnd w:id="223"/>
      <w:r/>
      <w:bookmarkEnd w:id="225"/>
      <w:r/>
      <w:bookmarkEnd w:id="226"/>
      <w:r/>
      <w:bookmarkEnd w:id="227"/>
      <w:r/>
      <w:bookmarkEnd w:id="235"/>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36" w:name="_Toc22079"/>
      <w:r/>
      <w:bookmarkEnd w:id="236"/>
      <w:r/>
      <w:bookmarkStart w:id="237" w:name="_Toc21790"/>
      <w:r/>
      <w:bookmarkEnd w:id="237"/>
      <w:r/>
      <w:bookmarkStart w:id="238" w:name="_Toc5506"/>
      <w:r/>
      <w:bookmarkEnd w:id="238"/>
      <w:r/>
      <w:r/>
    </w:p>
    <w:p>
      <w:pPr>
        <w:spacing w:line="360" w:lineRule="auto"/>
        <w:rPr>
          <w:b/>
          <w:bCs/>
        </w:rPr>
        <w:outlineLvl w:val="1"/>
      </w:pPr>
      <w:r/>
      <w:bookmarkStart w:id="239" w:name="_Toc12402"/>
      <w:r>
        <w:rPr>
          <w:b/>
          <w:bCs/>
        </w:rPr>
        <w:t xml:space="preserve">附件十 其他相关文件</w:t>
      </w:r>
      <w:bookmarkEnd w:id="239"/>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174"/>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1"/>
      <w:footerReference w:type="first" r:id="rId22"/>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197"/>
                            <w:rPr>
                              <w:rStyle w:val="1216"/>
                            </w:rPr>
                          </w:pPr>
                          <w:r>
                            <w:rPr>
                              <w:rStyle w:val="1216"/>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197"/>
                      <w:rPr>
                        <w:rStyle w:val="1216"/>
                      </w:rPr>
                    </w:pPr>
                    <w:r>
                      <w:rPr>
                        <w:rStyle w:val="1216"/>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19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41529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197"/>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197"/>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v:textbox>
            </v:shape>
          </w:pict>
        </mc:Fallback>
      </mc:AlternateContent>
    </w:r>
    <w:r>
      <w:b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19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9" o:spid="_x0000_s9" o:spt="202" type="#_x0000_t202" style="position:absolute;z-index:-251661312;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10" o:spid="_x0000_s10"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7"/>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7"/>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2" o:spid="_x0000_s12"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197"/>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3" o:spid="_x0000_s13" o:spt="1" type="#_x0000_t1"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197"/>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7"/>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6"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5" o:spid="_x0000_s15" o:spt="202" type="#_x0000_t202" style="position:absolute;z-index:-251663360;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197"/>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6" o:spid="_x0000_s16"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1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167603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67603175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198"/>
      <w:jc w:val="right"/>
      <w:rPr>
        <w:sz w:val="21"/>
      </w:rPr>
    </w:pPr>
    <w:r>
      <w:rPr>
        <w:rFonts w:hint="eastAsia"/>
      </w:rPr>
      <w:t xml:space="preserve">等离子氩弧自动焊机(P+T)等13项设备招标文件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74674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746747741"/>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198"/>
      <w:jc w:val="right"/>
    </w:pPr>
    <w:r>
      <w:t xml:space="preserve">  </w:t>
    </w:r>
    <w:r>
      <w:rPr>
        <w:rFonts w:hint="eastAsia"/>
      </w:rPr>
      <w:t xml:space="preserve">观片灯等23项设备招标文件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96011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60112987"/>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198"/>
      <w:rPr>
        <w:sz w:val="21"/>
      </w:rPr>
    </w:pPr>
    <w:r>
      <w:rPr>
        <w:rFonts w:hint="eastAsia"/>
      </w:rPr>
      <w:t xml:space="preserve">                                                              </w:t>
    </w:r>
    <w:r>
      <w:t xml:space="preserve">         </w:t>
    </w:r>
    <w:r>
      <w:rPr>
        <w:rFonts w:hint="eastAsia"/>
      </w:rPr>
      <w:t xml:space="preserve">观片灯等23项设备招标文件</w:t>
    </w:r>
    <w:r/>
  </w:p>
  <w:p>
    <w:pPr>
      <w:pStyle w:val="1198"/>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pStyle w:val="1371"/>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389"/>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3">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1173"/>
    <w:link w:val="1169"/>
    <w:uiPriority w:val="9"/>
    <w:rPr>
      <w:rFonts w:ascii="Arial" w:hAnsi="Arial" w:eastAsia="Arial" w:cs="Arial"/>
      <w:b/>
      <w:bCs/>
      <w:sz w:val="22"/>
      <w:szCs w:val="22"/>
    </w:rPr>
  </w:style>
  <w:style w:type="character" w:styleId="27">
    <w:name w:val="Heading 8 Char"/>
    <w:basedOn w:val="1173"/>
    <w:link w:val="1171"/>
    <w:uiPriority w:val="9"/>
    <w:rPr>
      <w:rFonts w:ascii="Arial" w:hAnsi="Arial" w:eastAsia="Arial" w:cs="Arial"/>
      <w:i/>
      <w:iCs/>
      <w:sz w:val="22"/>
      <w:szCs w:val="22"/>
    </w:rPr>
  </w:style>
  <w:style w:type="character" w:styleId="29">
    <w:name w:val="Heading 9 Char"/>
    <w:basedOn w:val="1173"/>
    <w:link w:val="1172"/>
    <w:uiPriority w:val="9"/>
    <w:rPr>
      <w:rFonts w:ascii="Arial" w:hAnsi="Arial" w:eastAsia="Arial" w:cs="Arial"/>
      <w:i/>
      <w:iCs/>
      <w:sz w:val="21"/>
      <w:szCs w:val="21"/>
    </w:rPr>
  </w:style>
  <w:style w:type="character" w:styleId="38">
    <w:name w:val="Quote Char"/>
    <w:link w:val="1233"/>
    <w:uiPriority w:val="29"/>
    <w:rPr>
      <w:i/>
    </w:rPr>
  </w:style>
  <w:style w:type="character" w:styleId="40">
    <w:name w:val="Intense Quote Char"/>
    <w:link w:val="1235"/>
    <w:uiPriority w:val="30"/>
    <w:rPr>
      <w:i/>
    </w:rPr>
  </w:style>
  <w:style w:type="table" w:styleId="49">
    <w:name w:val="Plain Table 1"/>
    <w:basedOn w:val="11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1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1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1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1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1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1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1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1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1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1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1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202"/>
    <w:uiPriority w:val="99"/>
    <w:rPr>
      <w:sz w:val="18"/>
    </w:rPr>
  </w:style>
  <w:style w:type="character" w:styleId="178">
    <w:name w:val="Endnote Text Char"/>
    <w:link w:val="1195"/>
    <w:uiPriority w:val="99"/>
    <w:rPr>
      <w:sz w:val="20"/>
    </w:rPr>
  </w:style>
  <w:style w:type="paragraph" w:styleId="189">
    <w:name w:val="TOC Heading"/>
    <w:uiPriority w:val="39"/>
    <w:unhideWhenUsed/>
  </w:style>
  <w:style w:type="paragraph" w:styleId="116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164">
    <w:name w:val="Heading 1"/>
    <w:basedOn w:val="1163"/>
    <w:next w:val="1163"/>
    <w:uiPriority w:val="0"/>
    <w:qFormat/>
    <w:pPr>
      <w:jc w:val="center"/>
      <w:keepNext/>
      <w:spacing w:line="440" w:lineRule="exact"/>
      <w:outlineLvl w:val="0"/>
    </w:pPr>
    <w:rPr>
      <w:rFonts w:ascii="宋体"/>
      <w:sz w:val="28"/>
    </w:rPr>
  </w:style>
  <w:style w:type="paragraph" w:styleId="1165">
    <w:name w:val="Heading 2"/>
    <w:basedOn w:val="1163"/>
    <w:next w:val="1163"/>
    <w:uiPriority w:val="0"/>
    <w:qFormat/>
    <w:pPr>
      <w:keepLines/>
      <w:keepNext/>
      <w:spacing w:line="360" w:lineRule="auto"/>
      <w:outlineLvl w:val="1"/>
    </w:pPr>
    <w:rPr>
      <w:b/>
      <w:szCs w:val="21"/>
    </w:rPr>
  </w:style>
  <w:style w:type="paragraph" w:styleId="1166">
    <w:name w:val="Heading 3"/>
    <w:basedOn w:val="1163"/>
    <w:next w:val="1163"/>
    <w:uiPriority w:val="0"/>
    <w:qFormat/>
    <w:pPr>
      <w:ind w:firstLine="422"/>
      <w:keepNext/>
      <w:spacing w:line="360" w:lineRule="auto"/>
      <w:tabs>
        <w:tab w:val="left" w:pos="480" w:leader="none"/>
      </w:tabs>
      <w:outlineLvl w:val="2"/>
    </w:pPr>
    <w:rPr>
      <w:b/>
      <w:szCs w:val="21"/>
    </w:rPr>
  </w:style>
  <w:style w:type="paragraph" w:styleId="1167">
    <w:name w:val="Heading 4"/>
    <w:basedOn w:val="1163"/>
    <w:next w:val="1163"/>
    <w:uiPriority w:val="0"/>
    <w:qFormat/>
    <w:pPr>
      <w:keepLines/>
      <w:keepNext/>
      <w:spacing w:before="280" w:after="290" w:line="372" w:lineRule="auto"/>
      <w:outlineLvl w:val="3"/>
    </w:pPr>
    <w:rPr>
      <w:rFonts w:ascii="Arial" w:hAnsi="Arial" w:eastAsia="黑体" w:cs="Arial"/>
      <w:b/>
      <w:bCs/>
      <w:sz w:val="28"/>
      <w:szCs w:val="28"/>
    </w:rPr>
  </w:style>
  <w:style w:type="paragraph" w:styleId="1168">
    <w:name w:val="Heading 5"/>
    <w:basedOn w:val="1163"/>
    <w:next w:val="1163"/>
    <w:uiPriority w:val="1"/>
    <w:qFormat/>
    <w:pPr>
      <w:ind w:left="598"/>
      <w:spacing w:before="1"/>
      <w:outlineLvl w:val="4"/>
    </w:pPr>
    <w:rPr>
      <w:rFonts w:ascii="宋体" w:hAnsi="宋体" w:cs="宋体"/>
      <w:b/>
      <w:bCs/>
      <w:sz w:val="24"/>
      <w:szCs w:val="24"/>
      <w:lang w:val="zh-CN" w:bidi="zh-CN"/>
    </w:rPr>
  </w:style>
  <w:style w:type="paragraph" w:styleId="1169">
    <w:name w:val="Heading 6"/>
    <w:basedOn w:val="1163"/>
    <w:next w:val="1163"/>
    <w:link w:val="1226"/>
    <w:uiPriority w:val="9"/>
    <w:unhideWhenUsed/>
    <w:qFormat/>
    <w:pPr>
      <w:keepLines/>
      <w:keepNext/>
      <w:spacing w:before="320" w:after="200"/>
      <w:outlineLvl w:val="5"/>
    </w:pPr>
    <w:rPr>
      <w:rFonts w:ascii="Arial" w:hAnsi="Arial" w:eastAsia="Arial" w:cs="Arial"/>
      <w:b/>
      <w:bCs/>
      <w:sz w:val="22"/>
      <w:szCs w:val="22"/>
    </w:rPr>
  </w:style>
  <w:style w:type="paragraph" w:styleId="1170">
    <w:name w:val="Heading 7"/>
    <w:basedOn w:val="1163"/>
    <w:next w:val="1163"/>
    <w:uiPriority w:val="1"/>
    <w:qFormat/>
    <w:pPr>
      <w:ind w:left="1018"/>
      <w:outlineLvl w:val="6"/>
    </w:pPr>
    <w:rPr>
      <w:rFonts w:ascii="宋体" w:hAnsi="宋体" w:cs="宋体"/>
      <w:b/>
      <w:bCs/>
      <w:szCs w:val="21"/>
      <w:lang w:val="zh-CN" w:bidi="zh-CN"/>
    </w:rPr>
  </w:style>
  <w:style w:type="paragraph" w:styleId="1171">
    <w:name w:val="Heading 8"/>
    <w:basedOn w:val="1163"/>
    <w:next w:val="1163"/>
    <w:link w:val="1228"/>
    <w:uiPriority w:val="9"/>
    <w:unhideWhenUsed/>
    <w:qFormat/>
    <w:pPr>
      <w:keepLines/>
      <w:keepNext/>
      <w:spacing w:before="320" w:after="200"/>
      <w:outlineLvl w:val="7"/>
    </w:pPr>
    <w:rPr>
      <w:rFonts w:ascii="Arial" w:hAnsi="Arial" w:eastAsia="Arial" w:cs="Arial"/>
      <w:i/>
      <w:iCs/>
      <w:sz w:val="22"/>
      <w:szCs w:val="22"/>
    </w:rPr>
  </w:style>
  <w:style w:type="paragraph" w:styleId="1172">
    <w:name w:val="Heading 9"/>
    <w:basedOn w:val="1163"/>
    <w:next w:val="1163"/>
    <w:link w:val="1229"/>
    <w:uiPriority w:val="9"/>
    <w:unhideWhenUsed/>
    <w:qFormat/>
    <w:pPr>
      <w:keepLines/>
      <w:keepNext/>
      <w:spacing w:before="320" w:after="200"/>
      <w:outlineLvl w:val="8"/>
    </w:pPr>
    <w:rPr>
      <w:rFonts w:ascii="Arial" w:hAnsi="Arial" w:eastAsia="Arial" w:cs="Arial"/>
      <w:i/>
      <w:iCs/>
      <w:szCs w:val="21"/>
    </w:rPr>
  </w:style>
  <w:style w:type="character" w:styleId="1173" w:default="1">
    <w:name w:val="Default Paragraph Font"/>
    <w:uiPriority w:val="1"/>
    <w:semiHidden/>
    <w:unhideWhenUsed/>
    <w:qFormat/>
  </w:style>
  <w:style w:type="table" w:styleId="1174" w:default="1">
    <w:name w:val="Normal Table"/>
    <w:uiPriority w:val="99"/>
    <w:semiHidden/>
    <w:unhideWhenUsed/>
    <w:qFormat/>
    <w:tblPr>
      <w:tblCellMar>
        <w:left w:w="108" w:type="dxa"/>
        <w:top w:w="0" w:type="dxa"/>
        <w:right w:w="108" w:type="dxa"/>
        <w:bottom w:w="0" w:type="dxa"/>
      </w:tblCellMar>
    </w:tblPr>
  </w:style>
  <w:style w:type="paragraph" w:styleId="1175">
    <w:name w:val="List 3"/>
    <w:basedOn w:val="1163"/>
    <w:uiPriority w:val="0"/>
    <w:qFormat/>
    <w:pPr>
      <w:contextualSpacing/>
      <w:ind w:left="600" w:hanging="200"/>
    </w:pPr>
  </w:style>
  <w:style w:type="paragraph" w:styleId="1176">
    <w:name w:val="toc 7"/>
    <w:basedOn w:val="1163"/>
    <w:next w:val="1163"/>
    <w:uiPriority w:val="0"/>
    <w:qFormat/>
    <w:pPr>
      <w:ind w:left="1200"/>
    </w:pPr>
  </w:style>
  <w:style w:type="paragraph" w:styleId="1177">
    <w:name w:val="Normal Indent"/>
    <w:basedOn w:val="1163"/>
    <w:uiPriority w:val="0"/>
    <w:qFormat/>
    <w:pPr>
      <w:ind w:firstLine="420"/>
    </w:pPr>
    <w:rPr>
      <w:b/>
      <w:sz w:val="24"/>
    </w:rPr>
  </w:style>
  <w:style w:type="paragraph" w:styleId="1178">
    <w:name w:val="Caption"/>
    <w:basedOn w:val="1163"/>
    <w:next w:val="1163"/>
    <w:uiPriority w:val="0"/>
    <w:qFormat/>
    <w:pPr>
      <w:jc w:val="center"/>
    </w:pPr>
    <w:rPr>
      <w:rFonts w:cs="Arial"/>
    </w:rPr>
  </w:style>
  <w:style w:type="paragraph" w:styleId="1179">
    <w:name w:val="Document Map"/>
    <w:basedOn w:val="1163"/>
    <w:uiPriority w:val="0"/>
    <w:qFormat/>
    <w:rPr>
      <w:rFonts w:ascii="宋体"/>
      <w:sz w:val="18"/>
      <w:szCs w:val="18"/>
    </w:rPr>
  </w:style>
  <w:style w:type="paragraph" w:styleId="1180">
    <w:name w:val="toa heading"/>
    <w:basedOn w:val="1163"/>
    <w:next w:val="1163"/>
    <w:uiPriority w:val="99"/>
    <w:qFormat/>
    <w:pPr>
      <w:spacing w:before="120"/>
    </w:pPr>
    <w:rPr>
      <w:rFonts w:ascii="Cambria" w:hAnsi="Cambria"/>
      <w:sz w:val="24"/>
    </w:rPr>
  </w:style>
  <w:style w:type="paragraph" w:styleId="1181">
    <w:name w:val="annotation text"/>
    <w:basedOn w:val="1163"/>
    <w:link w:val="1424"/>
    <w:uiPriority w:val="99"/>
    <w:qFormat/>
    <w:pPr>
      <w:jc w:val="left"/>
    </w:pPr>
  </w:style>
  <w:style w:type="paragraph" w:styleId="1182">
    <w:name w:val="Body Text"/>
    <w:basedOn w:val="1163"/>
    <w:next w:val="1183"/>
    <w:uiPriority w:val="0"/>
    <w:qFormat/>
    <w:rPr>
      <w:rFonts w:ascii="宋体"/>
      <w:sz w:val="28"/>
    </w:rPr>
  </w:style>
  <w:style w:type="paragraph" w:styleId="1183">
    <w:name w:val="Body Text First Indent"/>
    <w:basedOn w:val="1182"/>
    <w:uiPriority w:val="0"/>
    <w:qFormat/>
    <w:pPr>
      <w:ind w:firstLine="420"/>
    </w:pPr>
  </w:style>
  <w:style w:type="paragraph" w:styleId="1184">
    <w:name w:val="Body Text Indent"/>
    <w:basedOn w:val="1163"/>
    <w:next w:val="1185"/>
    <w:link w:val="1422"/>
    <w:uiPriority w:val="0"/>
    <w:qFormat/>
    <w:pPr>
      <w:ind w:firstLine="420"/>
      <w:spacing w:line="360" w:lineRule="auto"/>
    </w:pPr>
    <w:rPr>
      <w:rFonts w:ascii="宋体"/>
      <w:sz w:val="24"/>
    </w:rPr>
  </w:style>
  <w:style w:type="paragraph" w:styleId="1185">
    <w:name w:val="envelope return"/>
    <w:basedOn w:val="1163"/>
    <w:uiPriority w:val="99"/>
    <w:qFormat/>
    <w:rPr>
      <w:rFonts w:ascii="Arial" w:hAnsi="Arial"/>
    </w:rPr>
  </w:style>
  <w:style w:type="paragraph" w:styleId="1186">
    <w:name w:val="List 2"/>
    <w:basedOn w:val="1163"/>
    <w:uiPriority w:val="0"/>
    <w:qFormat/>
    <w:pPr>
      <w:ind w:left="400" w:hanging="200"/>
    </w:pPr>
  </w:style>
  <w:style w:type="paragraph" w:styleId="1187">
    <w:name w:val="Block Text"/>
    <w:basedOn w:val="1163"/>
    <w:uiPriority w:val="0"/>
    <w:qFormat/>
    <w:pPr>
      <w:ind w:left="540" w:right="26"/>
    </w:pPr>
    <w:rPr>
      <w:sz w:val="24"/>
    </w:rPr>
  </w:style>
  <w:style w:type="paragraph" w:styleId="1188">
    <w:name w:val="index 4"/>
    <w:basedOn w:val="1163"/>
    <w:next w:val="1163"/>
    <w:uiPriority w:val="0"/>
    <w:qFormat/>
    <w:pPr>
      <w:ind w:left="600"/>
    </w:pPr>
    <w:rPr>
      <w:rFonts w:ascii="宋体"/>
      <w:b/>
      <w:position w:val="-10"/>
      <w:sz w:val="24"/>
    </w:rPr>
  </w:style>
  <w:style w:type="paragraph" w:styleId="1189">
    <w:name w:val="toc 5"/>
    <w:basedOn w:val="1163"/>
    <w:next w:val="1163"/>
    <w:uiPriority w:val="0"/>
    <w:qFormat/>
    <w:pPr>
      <w:ind w:left="800"/>
    </w:pPr>
  </w:style>
  <w:style w:type="paragraph" w:styleId="1190">
    <w:name w:val="toc 3"/>
    <w:basedOn w:val="1163"/>
    <w:next w:val="1163"/>
    <w:uiPriority w:val="39"/>
    <w:qFormat/>
    <w:pPr>
      <w:ind w:left="400"/>
    </w:pPr>
  </w:style>
  <w:style w:type="paragraph" w:styleId="1191">
    <w:name w:val="Plain Text"/>
    <w:basedOn w:val="1163"/>
    <w:uiPriority w:val="0"/>
    <w:qFormat/>
    <w:rPr>
      <w:rFonts w:ascii="宋体"/>
    </w:rPr>
  </w:style>
  <w:style w:type="paragraph" w:styleId="1192">
    <w:name w:val="toc 8"/>
    <w:basedOn w:val="1163"/>
    <w:next w:val="1163"/>
    <w:uiPriority w:val="0"/>
    <w:qFormat/>
    <w:pPr>
      <w:ind w:left="1400"/>
    </w:pPr>
  </w:style>
  <w:style w:type="paragraph" w:styleId="1193">
    <w:name w:val="Date"/>
    <w:basedOn w:val="1163"/>
    <w:next w:val="1163"/>
    <w:uiPriority w:val="0"/>
    <w:qFormat/>
    <w:rPr>
      <w:rFonts w:ascii="宋体"/>
    </w:rPr>
  </w:style>
  <w:style w:type="paragraph" w:styleId="1194">
    <w:name w:val="Body Text Indent 2"/>
    <w:basedOn w:val="1163"/>
    <w:uiPriority w:val="0"/>
    <w:qFormat/>
    <w:pPr>
      <w:ind w:firstLine="525"/>
      <w:spacing w:line="420" w:lineRule="exact"/>
    </w:pPr>
    <w:rPr>
      <w:rFonts w:ascii="宋体"/>
    </w:rPr>
  </w:style>
  <w:style w:type="paragraph" w:styleId="1195">
    <w:name w:val="endnote text"/>
    <w:basedOn w:val="1163"/>
    <w:link w:val="1366"/>
    <w:uiPriority w:val="99"/>
    <w:semiHidden/>
    <w:unhideWhenUsed/>
    <w:qFormat/>
    <w:rPr>
      <w:sz w:val="20"/>
    </w:rPr>
  </w:style>
  <w:style w:type="paragraph" w:styleId="1196">
    <w:name w:val="Balloon Text"/>
    <w:basedOn w:val="1163"/>
    <w:uiPriority w:val="0"/>
    <w:qFormat/>
    <w:rPr>
      <w:sz w:val="18"/>
      <w:szCs w:val="18"/>
    </w:rPr>
  </w:style>
  <w:style w:type="paragraph" w:styleId="1197">
    <w:name w:val="Footer"/>
    <w:basedOn w:val="1163"/>
    <w:uiPriority w:val="0"/>
    <w:qFormat/>
    <w:pPr>
      <w:jc w:val="left"/>
      <w:tabs>
        <w:tab w:val="center" w:pos="4153" w:leader="none"/>
        <w:tab w:val="right" w:pos="8306" w:leader="none"/>
      </w:tabs>
    </w:pPr>
    <w:rPr>
      <w:sz w:val="18"/>
    </w:rPr>
  </w:style>
  <w:style w:type="paragraph" w:styleId="1198">
    <w:name w:val="Header"/>
    <w:basedOn w:val="1163"/>
    <w:uiPriority w:val="0"/>
    <w:qFormat/>
    <w:pPr>
      <w:jc w:val="center"/>
      <w:tabs>
        <w:tab w:val="center" w:pos="4153" w:leader="none"/>
        <w:tab w:val="right" w:pos="8306" w:leader="none"/>
      </w:tabs>
      <w:pBdr>
        <w:bottom w:val="single" w:color="auto" w:sz="6" w:space="1"/>
      </w:pBdr>
    </w:pPr>
    <w:rPr>
      <w:sz w:val="18"/>
    </w:rPr>
  </w:style>
  <w:style w:type="paragraph" w:styleId="1199">
    <w:name w:val="toc 1"/>
    <w:basedOn w:val="1163"/>
    <w:next w:val="1163"/>
    <w:uiPriority w:val="39"/>
    <w:qFormat/>
  </w:style>
  <w:style w:type="paragraph" w:styleId="1200">
    <w:name w:val="toc 4"/>
    <w:basedOn w:val="1163"/>
    <w:next w:val="1163"/>
    <w:uiPriority w:val="0"/>
    <w:qFormat/>
    <w:pPr>
      <w:ind w:left="600"/>
    </w:pPr>
  </w:style>
  <w:style w:type="paragraph" w:styleId="1201">
    <w:name w:val="Subtitle"/>
    <w:basedOn w:val="1163"/>
    <w:next w:val="1163"/>
    <w:uiPriority w:val="0"/>
    <w:qFormat/>
    <w:pPr>
      <w:jc w:val="center"/>
      <w:spacing w:before="240" w:after="60" w:line="312" w:lineRule="auto"/>
      <w:outlineLvl w:val="1"/>
    </w:pPr>
    <w:rPr>
      <w:rFonts w:ascii="Cambria" w:hAnsi="Cambria"/>
      <w:b/>
      <w:bCs/>
      <w:sz w:val="32"/>
      <w:szCs w:val="32"/>
    </w:rPr>
  </w:style>
  <w:style w:type="paragraph" w:styleId="1202">
    <w:name w:val="footnote text"/>
    <w:basedOn w:val="1163"/>
    <w:link w:val="1365"/>
    <w:uiPriority w:val="99"/>
    <w:semiHidden/>
    <w:unhideWhenUsed/>
    <w:qFormat/>
    <w:pPr>
      <w:spacing w:after="40"/>
    </w:pPr>
    <w:rPr>
      <w:sz w:val="18"/>
    </w:rPr>
  </w:style>
  <w:style w:type="paragraph" w:styleId="1203">
    <w:name w:val="toc 6"/>
    <w:basedOn w:val="1163"/>
    <w:next w:val="1163"/>
    <w:uiPriority w:val="0"/>
    <w:qFormat/>
    <w:pPr>
      <w:ind w:left="1000"/>
    </w:pPr>
  </w:style>
  <w:style w:type="paragraph" w:styleId="1204">
    <w:name w:val="Body Text Indent 3"/>
    <w:basedOn w:val="1163"/>
    <w:uiPriority w:val="0"/>
    <w:qFormat/>
    <w:pPr>
      <w:ind w:firstLine="100"/>
    </w:pPr>
    <w:rPr>
      <w:rFonts w:eastAsia="华文新魏"/>
      <w:b/>
      <w:bCs/>
      <w:sz w:val="84"/>
    </w:rPr>
  </w:style>
  <w:style w:type="paragraph" w:styleId="1205">
    <w:name w:val="table of figures"/>
    <w:basedOn w:val="1163"/>
    <w:next w:val="1163"/>
    <w:uiPriority w:val="99"/>
    <w:unhideWhenUsed/>
    <w:qFormat/>
  </w:style>
  <w:style w:type="paragraph" w:styleId="1206">
    <w:name w:val="toc 2"/>
    <w:basedOn w:val="1163"/>
    <w:next w:val="1163"/>
    <w:uiPriority w:val="39"/>
    <w:qFormat/>
    <w:pPr>
      <w:ind w:left="200"/>
    </w:pPr>
  </w:style>
  <w:style w:type="paragraph" w:styleId="1207">
    <w:name w:val="toc 9"/>
    <w:basedOn w:val="1163"/>
    <w:next w:val="1163"/>
    <w:uiPriority w:val="0"/>
    <w:qFormat/>
    <w:pPr>
      <w:ind w:left="1600"/>
    </w:pPr>
  </w:style>
  <w:style w:type="paragraph" w:styleId="1208">
    <w:name w:val="HTML Preformatted"/>
    <w:basedOn w:val="11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209">
    <w:name w:val="Normal (Web)"/>
    <w:basedOn w:val="1163"/>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10">
    <w:name w:val="Title"/>
    <w:basedOn w:val="1163"/>
    <w:uiPriority w:val="0"/>
    <w:qFormat/>
    <w:pPr>
      <w:jc w:val="center"/>
    </w:pPr>
    <w:rPr>
      <w:sz w:val="30"/>
      <w:szCs w:val="24"/>
    </w:rPr>
  </w:style>
  <w:style w:type="paragraph" w:styleId="1211">
    <w:name w:val="annotation subject"/>
    <w:basedOn w:val="1181"/>
    <w:next w:val="1181"/>
    <w:uiPriority w:val="0"/>
    <w:qFormat/>
    <w:rPr>
      <w:b/>
      <w:bCs/>
    </w:rPr>
  </w:style>
  <w:style w:type="paragraph" w:styleId="1212">
    <w:name w:val="Body Text First Indent 2"/>
    <w:basedOn w:val="1184"/>
    <w:link w:val="1430"/>
    <w:uiPriority w:val="0"/>
    <w:qFormat/>
    <w:pPr>
      <w:ind w:left="420"/>
      <w:spacing w:after="120" w:line="240" w:lineRule="auto"/>
    </w:pPr>
    <w:rPr>
      <w:sz w:val="21"/>
    </w:rPr>
  </w:style>
  <w:style w:type="table" w:styleId="1213">
    <w:name w:val="Table Grid"/>
    <w:basedOn w:val="117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14">
    <w:name w:val="Strong"/>
    <w:uiPriority w:val="0"/>
    <w:qFormat/>
    <w:rPr>
      <w:b/>
      <w:bCs/>
    </w:rPr>
  </w:style>
  <w:style w:type="character" w:styleId="1215">
    <w:name w:val="endnote reference"/>
    <w:basedOn w:val="1173"/>
    <w:uiPriority w:val="99"/>
    <w:semiHidden/>
    <w:unhideWhenUsed/>
    <w:qFormat/>
    <w:rPr>
      <w:vertAlign w:val="superscript"/>
    </w:rPr>
  </w:style>
  <w:style w:type="character" w:styleId="1216">
    <w:name w:val="page number"/>
    <w:basedOn w:val="1173"/>
    <w:uiPriority w:val="0"/>
    <w:qFormat/>
  </w:style>
  <w:style w:type="character" w:styleId="1217">
    <w:name w:val="Emphasis"/>
    <w:uiPriority w:val="0"/>
    <w:qFormat/>
    <w:rPr>
      <w:i/>
    </w:rPr>
  </w:style>
  <w:style w:type="character" w:styleId="1218">
    <w:name w:val="Hyperlink"/>
    <w:uiPriority w:val="99"/>
    <w:qFormat/>
    <w:rPr>
      <w:color w:val="000000"/>
      <w:sz w:val="18"/>
      <w:szCs w:val="18"/>
      <w:u w:val="none"/>
    </w:rPr>
  </w:style>
  <w:style w:type="character" w:styleId="1219">
    <w:name w:val="annotation reference"/>
    <w:basedOn w:val="1173"/>
    <w:uiPriority w:val="0"/>
    <w:qFormat/>
    <w:rPr>
      <w:sz w:val="21"/>
      <w:szCs w:val="21"/>
    </w:rPr>
  </w:style>
  <w:style w:type="character" w:styleId="1220">
    <w:name w:val="footnote reference"/>
    <w:basedOn w:val="1173"/>
    <w:uiPriority w:val="99"/>
    <w:unhideWhenUsed/>
    <w:qFormat/>
    <w:rPr>
      <w:vertAlign w:val="superscript"/>
    </w:rPr>
  </w:style>
  <w:style w:type="character" w:styleId="1221" w:customStyle="1">
    <w:name w:val="Heading 1 Char"/>
    <w:basedOn w:val="1173"/>
    <w:uiPriority w:val="9"/>
    <w:qFormat/>
    <w:rPr>
      <w:rFonts w:ascii="Arial" w:hAnsi="Arial" w:eastAsia="Arial" w:cs="Arial"/>
      <w:sz w:val="40"/>
      <w:szCs w:val="40"/>
    </w:rPr>
  </w:style>
  <w:style w:type="character" w:styleId="1222" w:customStyle="1">
    <w:name w:val="Heading 2 Char"/>
    <w:basedOn w:val="1173"/>
    <w:uiPriority w:val="9"/>
    <w:qFormat/>
    <w:rPr>
      <w:rFonts w:ascii="Arial" w:hAnsi="Arial" w:eastAsia="Arial" w:cs="Arial"/>
      <w:sz w:val="34"/>
    </w:rPr>
  </w:style>
  <w:style w:type="character" w:styleId="1223" w:customStyle="1">
    <w:name w:val="Heading 3 Char"/>
    <w:basedOn w:val="1173"/>
    <w:uiPriority w:val="9"/>
    <w:qFormat/>
    <w:rPr>
      <w:rFonts w:ascii="Arial" w:hAnsi="Arial" w:eastAsia="Arial" w:cs="Arial"/>
      <w:sz w:val="30"/>
      <w:szCs w:val="30"/>
    </w:rPr>
  </w:style>
  <w:style w:type="character" w:styleId="1224" w:customStyle="1">
    <w:name w:val="Heading 4 Char"/>
    <w:basedOn w:val="1173"/>
    <w:uiPriority w:val="9"/>
    <w:qFormat/>
    <w:rPr>
      <w:rFonts w:ascii="Arial" w:hAnsi="Arial" w:eastAsia="Arial" w:cs="Arial"/>
      <w:b/>
      <w:bCs/>
      <w:sz w:val="26"/>
      <w:szCs w:val="26"/>
    </w:rPr>
  </w:style>
  <w:style w:type="character" w:styleId="1225" w:customStyle="1">
    <w:name w:val="Heading 5 Char"/>
    <w:basedOn w:val="1173"/>
    <w:uiPriority w:val="9"/>
    <w:qFormat/>
    <w:rPr>
      <w:rFonts w:ascii="Arial" w:hAnsi="Arial" w:eastAsia="Arial" w:cs="Arial"/>
      <w:b/>
      <w:bCs/>
      <w:sz w:val="24"/>
      <w:szCs w:val="24"/>
    </w:rPr>
  </w:style>
  <w:style w:type="character" w:styleId="1226" w:customStyle="1">
    <w:name w:val="标题 6 字符"/>
    <w:basedOn w:val="1173"/>
    <w:link w:val="1169"/>
    <w:uiPriority w:val="9"/>
    <w:qFormat/>
    <w:rPr>
      <w:rFonts w:ascii="Arial" w:hAnsi="Arial" w:eastAsia="Arial" w:cs="Arial"/>
      <w:b/>
      <w:bCs/>
      <w:sz w:val="22"/>
      <w:szCs w:val="22"/>
    </w:rPr>
  </w:style>
  <w:style w:type="character" w:styleId="1227" w:customStyle="1">
    <w:name w:val="Heading 7 Char"/>
    <w:basedOn w:val="1173"/>
    <w:uiPriority w:val="9"/>
    <w:qFormat/>
    <w:rPr>
      <w:rFonts w:ascii="Arial" w:hAnsi="Arial" w:eastAsia="Arial" w:cs="Arial"/>
      <w:b/>
      <w:bCs/>
      <w:i/>
      <w:iCs/>
      <w:sz w:val="22"/>
      <w:szCs w:val="22"/>
    </w:rPr>
  </w:style>
  <w:style w:type="character" w:styleId="1228" w:customStyle="1">
    <w:name w:val="标题 8 字符"/>
    <w:basedOn w:val="1173"/>
    <w:link w:val="1171"/>
    <w:uiPriority w:val="9"/>
    <w:qFormat/>
    <w:rPr>
      <w:rFonts w:ascii="Arial" w:hAnsi="Arial" w:eastAsia="Arial" w:cs="Arial"/>
      <w:i/>
      <w:iCs/>
      <w:sz w:val="22"/>
      <w:szCs w:val="22"/>
    </w:rPr>
  </w:style>
  <w:style w:type="character" w:styleId="1229" w:customStyle="1">
    <w:name w:val="标题 9 字符"/>
    <w:basedOn w:val="1173"/>
    <w:link w:val="1172"/>
    <w:uiPriority w:val="9"/>
    <w:qFormat/>
    <w:rPr>
      <w:rFonts w:ascii="Arial" w:hAnsi="Arial" w:eastAsia="Arial" w:cs="Arial"/>
      <w:i/>
      <w:iCs/>
      <w:sz w:val="21"/>
      <w:szCs w:val="21"/>
    </w:rPr>
  </w:style>
  <w:style w:type="paragraph" w:styleId="1230">
    <w:name w:val="No Spacing"/>
    <w:uiPriority w:val="1"/>
    <w:qFormat/>
    <w:rPr>
      <w:rFonts w:ascii="Times New Roman" w:hAnsi="Times New Roman" w:eastAsia="宋体" w:cs="Times New Roman"/>
      <w:lang w:val="en-US" w:eastAsia="zh-CN" w:bidi="ar-SA"/>
    </w:rPr>
  </w:style>
  <w:style w:type="character" w:styleId="1231" w:customStyle="1">
    <w:name w:val="Title Char"/>
    <w:basedOn w:val="1173"/>
    <w:uiPriority w:val="10"/>
    <w:qFormat/>
    <w:rPr>
      <w:sz w:val="48"/>
      <w:szCs w:val="48"/>
    </w:rPr>
  </w:style>
  <w:style w:type="character" w:styleId="1232" w:customStyle="1">
    <w:name w:val="Subtitle Char"/>
    <w:basedOn w:val="1173"/>
    <w:uiPriority w:val="11"/>
    <w:qFormat/>
    <w:rPr>
      <w:sz w:val="24"/>
      <w:szCs w:val="24"/>
    </w:rPr>
  </w:style>
  <w:style w:type="paragraph" w:styleId="1233">
    <w:name w:val="Quote"/>
    <w:basedOn w:val="1163"/>
    <w:next w:val="1163"/>
    <w:link w:val="1234"/>
    <w:uiPriority w:val="29"/>
    <w:qFormat/>
    <w:pPr>
      <w:ind w:left="720" w:right="720"/>
    </w:pPr>
    <w:rPr>
      <w:i/>
    </w:rPr>
  </w:style>
  <w:style w:type="character" w:styleId="1234" w:customStyle="1">
    <w:name w:val="引用 字符"/>
    <w:link w:val="1233"/>
    <w:uiPriority w:val="29"/>
    <w:qFormat/>
    <w:rPr>
      <w:i/>
    </w:rPr>
  </w:style>
  <w:style w:type="paragraph" w:styleId="1235">
    <w:name w:val="Intense Quote"/>
    <w:basedOn w:val="1163"/>
    <w:next w:val="1163"/>
    <w:link w:val="12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6" w:customStyle="1">
    <w:name w:val="明显引用 字符"/>
    <w:link w:val="1235"/>
    <w:uiPriority w:val="30"/>
    <w:qFormat/>
    <w:rPr>
      <w:i/>
    </w:rPr>
  </w:style>
  <w:style w:type="character" w:styleId="1237" w:customStyle="1">
    <w:name w:val="Header Char"/>
    <w:basedOn w:val="1173"/>
    <w:uiPriority w:val="99"/>
    <w:qFormat/>
  </w:style>
  <w:style w:type="character" w:styleId="1238" w:customStyle="1">
    <w:name w:val="Footer Char"/>
    <w:basedOn w:val="1173"/>
    <w:uiPriority w:val="99"/>
    <w:qFormat/>
  </w:style>
  <w:style w:type="character" w:styleId="1239" w:customStyle="1">
    <w:name w:val="Caption Char"/>
    <w:uiPriority w:val="99"/>
    <w:qFormat/>
  </w:style>
  <w:style w:type="table" w:styleId="1240" w:customStyle="1">
    <w:name w:val="Table Grid Light"/>
    <w:basedOn w:val="11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41" w:customStyle="1">
    <w:name w:val="无格式表格 11"/>
    <w:basedOn w:val="11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2" w:customStyle="1">
    <w:name w:val="无格式表格 21"/>
    <w:basedOn w:val="11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3" w:customStyle="1">
    <w:name w:val="无格式表格 31"/>
    <w:basedOn w:val="11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4" w:customStyle="1">
    <w:name w:val="无格式表格 41"/>
    <w:basedOn w:val="11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5" w:customStyle="1">
    <w:name w:val="无格式表格 51"/>
    <w:basedOn w:val="11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6" w:customStyle="1">
    <w:name w:val="网格表 1 浅色1"/>
    <w:basedOn w:val="11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47" w:customStyle="1">
    <w:name w:val="Grid Table 1 Light - Accent 1"/>
    <w:basedOn w:val="11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8" w:customStyle="1">
    <w:name w:val="Grid Table 1 Light - Accent 2"/>
    <w:basedOn w:val="11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49" w:customStyle="1">
    <w:name w:val="Grid Table 1 Light - Accent 3"/>
    <w:basedOn w:val="11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50" w:customStyle="1">
    <w:name w:val="Grid Table 1 Light - Accent 4"/>
    <w:basedOn w:val="11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51" w:customStyle="1">
    <w:name w:val="Grid Table 1 Light - Accent 5"/>
    <w:basedOn w:val="11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52" w:customStyle="1">
    <w:name w:val="Grid Table 1 Light - Accent 6"/>
    <w:basedOn w:val="11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53" w:customStyle="1">
    <w:name w:val="网格表 21"/>
    <w:basedOn w:val="11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54" w:customStyle="1">
    <w:name w:val="Grid Table 2 - Accent 1"/>
    <w:basedOn w:val="11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55" w:customStyle="1">
    <w:name w:val="Grid Table 2 - Accent 2"/>
    <w:basedOn w:val="11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56" w:customStyle="1">
    <w:name w:val="Grid Table 2 - Accent 3"/>
    <w:basedOn w:val="11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7" w:customStyle="1">
    <w:name w:val="Grid Table 2 - Accent 4"/>
    <w:basedOn w:val="11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8" w:customStyle="1">
    <w:name w:val="Grid Table 2 - Accent 5"/>
    <w:basedOn w:val="11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59" w:customStyle="1">
    <w:name w:val="Grid Table 2 - Accent 6"/>
    <w:basedOn w:val="11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60" w:customStyle="1">
    <w:name w:val="网格表 31"/>
    <w:basedOn w:val="11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3 - Accent 1"/>
    <w:basedOn w:val="11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3 - Accent 2"/>
    <w:basedOn w:val="11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3" w:customStyle="1">
    <w:name w:val="Grid Table 3 - Accent 3"/>
    <w:basedOn w:val="11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4" w:customStyle="1">
    <w:name w:val="Grid Table 3 - Accent 4"/>
    <w:basedOn w:val="11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5" w:customStyle="1">
    <w:name w:val="Grid Table 3 - Accent 5"/>
    <w:basedOn w:val="11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6" w:customStyle="1">
    <w:name w:val="Grid Table 3 - Accent 6"/>
    <w:basedOn w:val="11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7" w:customStyle="1">
    <w:name w:val="网格表 41"/>
    <w:basedOn w:val="11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8" w:customStyle="1">
    <w:name w:val="Grid Table 4 - Accent 1"/>
    <w:basedOn w:val="11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69" w:customStyle="1">
    <w:name w:val="Grid Table 4 - Accent 2"/>
    <w:basedOn w:val="11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70" w:customStyle="1">
    <w:name w:val="Grid Table 4 - Accent 3"/>
    <w:basedOn w:val="11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71" w:customStyle="1">
    <w:name w:val="Grid Table 4 - Accent 4"/>
    <w:basedOn w:val="11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2" w:customStyle="1">
    <w:name w:val="Grid Table 4 - Accent 5"/>
    <w:basedOn w:val="11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73" w:customStyle="1">
    <w:name w:val="Grid Table 4 - Accent 6"/>
    <w:basedOn w:val="11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74" w:customStyle="1">
    <w:name w:val="网格表 5 深色1"/>
    <w:basedOn w:val="11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75" w:customStyle="1">
    <w:name w:val="Grid Table 5 Dark- Accent 1"/>
    <w:basedOn w:val="11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76" w:customStyle="1">
    <w:name w:val="Grid Table 5 Dark - Accent 2"/>
    <w:basedOn w:val="11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7" w:customStyle="1">
    <w:name w:val="Grid Table 5 Dark - Accent 3"/>
    <w:basedOn w:val="11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8" w:customStyle="1">
    <w:name w:val="Grid Table 5 Dark- Accent 4"/>
    <w:basedOn w:val="11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79" w:customStyle="1">
    <w:name w:val="Grid Table 5 Dark - Accent 5"/>
    <w:basedOn w:val="117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80" w:customStyle="1">
    <w:name w:val="Grid Table 5 Dark - Accent 6"/>
    <w:basedOn w:val="117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81" w:customStyle="1">
    <w:name w:val="网格表 6 彩色1"/>
    <w:basedOn w:val="1174"/>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82" w:customStyle="1">
    <w:name w:val="Grid Table 6 Colorful - Accent 1"/>
    <w:basedOn w:val="1174"/>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83" w:customStyle="1">
    <w:name w:val="Grid Table 6 Colorful - Accent 2"/>
    <w:basedOn w:val="11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84" w:customStyle="1">
    <w:name w:val="Grid Table 6 Colorful - Accent 3"/>
    <w:basedOn w:val="1174"/>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85" w:customStyle="1">
    <w:name w:val="Grid Table 6 Colorful - Accent 4"/>
    <w:basedOn w:val="117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86" w:customStyle="1">
    <w:name w:val="Grid Table 6 Colorful - Accent 5"/>
    <w:basedOn w:val="1174"/>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7" w:customStyle="1">
    <w:name w:val="Grid Table 6 Colorful - Accent 6"/>
    <w:basedOn w:val="11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8" w:customStyle="1">
    <w:name w:val="网格表 7 彩色1"/>
    <w:basedOn w:val="1174"/>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9" w:customStyle="1">
    <w:name w:val="Grid Table 7 Colorful - Accent 1"/>
    <w:basedOn w:val="1174"/>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90" w:customStyle="1">
    <w:name w:val="Grid Table 7 Colorful - Accent 2"/>
    <w:basedOn w:val="11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1" w:customStyle="1">
    <w:name w:val="Grid Table 7 Colorful - Accent 3"/>
    <w:basedOn w:val="1174"/>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92" w:customStyle="1">
    <w:name w:val="Grid Table 7 Colorful - Accent 4"/>
    <w:basedOn w:val="117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3" w:customStyle="1">
    <w:name w:val="Grid Table 7 Colorful - Accent 5"/>
    <w:basedOn w:val="1174"/>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94" w:customStyle="1">
    <w:name w:val="Grid Table 7 Colorful - Accent 6"/>
    <w:basedOn w:val="1174"/>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95" w:customStyle="1">
    <w:name w:val="清单表 1 浅色1"/>
    <w:basedOn w:val="1174"/>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96" w:customStyle="1">
    <w:name w:val="List Table 1 Light - Accent 1"/>
    <w:basedOn w:val="1174"/>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97" w:customStyle="1">
    <w:name w:val="List Table 1 Light - Accent 2"/>
    <w:basedOn w:val="1174"/>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98" w:customStyle="1">
    <w:name w:val="List Table 1 Light - Accent 3"/>
    <w:basedOn w:val="1174"/>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99" w:customStyle="1">
    <w:name w:val="List Table 1 Light - Accent 4"/>
    <w:basedOn w:val="1174"/>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00" w:customStyle="1">
    <w:name w:val="List Table 1 Light - Accent 5"/>
    <w:basedOn w:val="1174"/>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01" w:customStyle="1">
    <w:name w:val="List Table 1 Light - Accent 6"/>
    <w:basedOn w:val="11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02" w:customStyle="1">
    <w:name w:val="清单表 21"/>
    <w:basedOn w:val="11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03" w:customStyle="1">
    <w:name w:val="List Table 2 - Accent 1"/>
    <w:basedOn w:val="1174"/>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04" w:customStyle="1">
    <w:name w:val="List Table 2 - Accent 2"/>
    <w:basedOn w:val="11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05" w:customStyle="1">
    <w:name w:val="List Table 2 - Accent 3"/>
    <w:basedOn w:val="11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06" w:customStyle="1">
    <w:name w:val="List Table 2 - Accent 4"/>
    <w:basedOn w:val="117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07" w:customStyle="1">
    <w:name w:val="List Table 2 - Accent 5"/>
    <w:basedOn w:val="1174"/>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08" w:customStyle="1">
    <w:name w:val="List Table 2 - Accent 6"/>
    <w:basedOn w:val="1174"/>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09" w:customStyle="1">
    <w:name w:val="清单表 31"/>
    <w:basedOn w:val="117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0" w:customStyle="1">
    <w:name w:val="List Table 3 - Accent 1"/>
    <w:basedOn w:val="1174"/>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1" w:customStyle="1">
    <w:name w:val="List Table 3 - Accent 2"/>
    <w:basedOn w:val="1174"/>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12" w:customStyle="1">
    <w:name w:val="List Table 3 - Accent 3"/>
    <w:basedOn w:val="1174"/>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13" w:customStyle="1">
    <w:name w:val="List Table 3 - Accent 4"/>
    <w:basedOn w:val="117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14" w:customStyle="1">
    <w:name w:val="List Table 3 - Accent 5"/>
    <w:basedOn w:val="11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15" w:customStyle="1">
    <w:name w:val="List Table 3 - Accent 6"/>
    <w:basedOn w:val="1174"/>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16" w:customStyle="1">
    <w:name w:val="清单表 41"/>
    <w:basedOn w:val="117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7" w:customStyle="1">
    <w:name w:val="List Table 4 - Accent 1"/>
    <w:basedOn w:val="11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8" w:customStyle="1">
    <w:name w:val="List Table 4 - Accent 2"/>
    <w:basedOn w:val="11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19" w:customStyle="1">
    <w:name w:val="List Table 4 - Accent 3"/>
    <w:basedOn w:val="11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20" w:customStyle="1">
    <w:name w:val="List Table 4 - Accent 4"/>
    <w:basedOn w:val="11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21" w:customStyle="1">
    <w:name w:val="List Table 4 - Accent 5"/>
    <w:basedOn w:val="11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22" w:customStyle="1">
    <w:name w:val="List Table 4 - Accent 6"/>
    <w:basedOn w:val="11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23" w:customStyle="1">
    <w:name w:val="清单表 5 深色1"/>
    <w:basedOn w:val="11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4" w:customStyle="1">
    <w:name w:val="List Table 5 Dark - Accent 1"/>
    <w:basedOn w:val="1174"/>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5" w:customStyle="1">
    <w:name w:val="List Table 5 Dark - Accent 2"/>
    <w:basedOn w:val="1174"/>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6" w:customStyle="1">
    <w:name w:val="List Table 5 Dark - Accent 3"/>
    <w:basedOn w:val="1174"/>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7" w:customStyle="1">
    <w:name w:val="List Table 5 Dark - Accent 4"/>
    <w:basedOn w:val="117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8" w:customStyle="1">
    <w:name w:val="List Table 5 Dark - Accent 5"/>
    <w:basedOn w:val="1174"/>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9" w:customStyle="1">
    <w:name w:val="List Table 5 Dark - Accent 6"/>
    <w:basedOn w:val="1174"/>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0" w:customStyle="1">
    <w:name w:val="清单表 6 彩色1"/>
    <w:basedOn w:val="1174"/>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31" w:customStyle="1">
    <w:name w:val="List Table 6 Colorful - Accent 1"/>
    <w:basedOn w:val="1174"/>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32" w:customStyle="1">
    <w:name w:val="List Table 6 Colorful - Accent 2"/>
    <w:basedOn w:val="11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33" w:customStyle="1">
    <w:name w:val="List Table 6 Colorful - Accent 3"/>
    <w:basedOn w:val="1174"/>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34" w:customStyle="1">
    <w:name w:val="List Table 6 Colorful - Accent 4"/>
    <w:basedOn w:val="1174"/>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35" w:customStyle="1">
    <w:name w:val="List Table 6 Colorful - Accent 5"/>
    <w:basedOn w:val="1174"/>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36" w:customStyle="1">
    <w:name w:val="List Table 6 Colorful - Accent 6"/>
    <w:basedOn w:val="11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37" w:customStyle="1">
    <w:name w:val="清单表 7 彩色1"/>
    <w:basedOn w:val="1174"/>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8" w:customStyle="1">
    <w:name w:val="List Table 7 Colorful - Accent 1"/>
    <w:basedOn w:val="1174"/>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39" w:customStyle="1">
    <w:name w:val="List Table 7 Colorful - Accent 2"/>
    <w:basedOn w:val="1174"/>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40" w:customStyle="1">
    <w:name w:val="List Table 7 Colorful - Accent 3"/>
    <w:basedOn w:val="1174"/>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41" w:customStyle="1">
    <w:name w:val="List Table 7 Colorful - Accent 4"/>
    <w:basedOn w:val="1174"/>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42" w:customStyle="1">
    <w:name w:val="List Table 7 Colorful - Accent 5"/>
    <w:basedOn w:val="1174"/>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43" w:customStyle="1">
    <w:name w:val="List Table 7 Colorful - Accent 6"/>
    <w:basedOn w:val="1174"/>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44" w:customStyle="1">
    <w:name w:val="Lined - Accent"/>
    <w:basedOn w:val="117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5" w:customStyle="1">
    <w:name w:val="Lined - Accent 1"/>
    <w:basedOn w:val="117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6" w:customStyle="1">
    <w:name w:val="Lined - Accent 2"/>
    <w:basedOn w:val="117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7" w:customStyle="1">
    <w:name w:val="Lined - Accent 3"/>
    <w:basedOn w:val="117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8" w:customStyle="1">
    <w:name w:val="Lined - Accent 4"/>
    <w:basedOn w:val="11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9" w:customStyle="1">
    <w:name w:val="Lined - Accent 5"/>
    <w:basedOn w:val="117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0" w:customStyle="1">
    <w:name w:val="Lined - Accent 6"/>
    <w:basedOn w:val="117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1" w:customStyle="1">
    <w:name w:val="Bordered &amp; Lined - Accent"/>
    <w:basedOn w:val="1174"/>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2" w:customStyle="1">
    <w:name w:val="Bordered &amp; Lined - Accent 1"/>
    <w:basedOn w:val="11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3" w:customStyle="1">
    <w:name w:val="Bordered &amp; Lined - Accent 2"/>
    <w:basedOn w:val="1174"/>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4" w:customStyle="1">
    <w:name w:val="Bordered &amp; Lined - Accent 3"/>
    <w:basedOn w:val="1174"/>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5" w:customStyle="1">
    <w:name w:val="Bordered &amp; Lined - Accent 4"/>
    <w:basedOn w:val="11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6" w:customStyle="1">
    <w:name w:val="Bordered &amp; Lined - Accent 5"/>
    <w:basedOn w:val="1174"/>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7" w:customStyle="1">
    <w:name w:val="Bordered &amp; Lined - Accent 6"/>
    <w:basedOn w:val="1174"/>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8" w:customStyle="1">
    <w:name w:val="Bordered"/>
    <w:basedOn w:val="1174"/>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59" w:customStyle="1">
    <w:name w:val="Bordered - Accent 1"/>
    <w:basedOn w:val="11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60" w:customStyle="1">
    <w:name w:val="Bordered - Accent 2"/>
    <w:basedOn w:val="1174"/>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61" w:customStyle="1">
    <w:name w:val="Bordered - Accent 3"/>
    <w:basedOn w:val="1174"/>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62" w:customStyle="1">
    <w:name w:val="Bordered - Accent 4"/>
    <w:basedOn w:val="117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63" w:customStyle="1">
    <w:name w:val="Bordered - Accent 5"/>
    <w:basedOn w:val="11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64" w:customStyle="1">
    <w:name w:val="Bordered - Accent 6"/>
    <w:basedOn w:val="1174"/>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65" w:customStyle="1">
    <w:name w:val="脚注文本 字符"/>
    <w:link w:val="1202"/>
    <w:uiPriority w:val="99"/>
    <w:rPr>
      <w:sz w:val="18"/>
    </w:rPr>
  </w:style>
  <w:style w:type="character" w:styleId="1366" w:customStyle="1">
    <w:name w:val="尾注文本 字符"/>
    <w:link w:val="1195"/>
    <w:uiPriority w:val="99"/>
    <w:qFormat/>
    <w:rPr>
      <w:sz w:val="20"/>
    </w:rPr>
  </w:style>
  <w:style w:type="paragraph" w:styleId="1367" w:customStyle="1">
    <w:name w:val="TOC 标题1"/>
    <w:uiPriority w:val="39"/>
    <w:unhideWhenUsed/>
    <w:qFormat/>
    <w:rPr>
      <w:rFonts w:ascii="Times New Roman" w:hAnsi="Times New Roman" w:eastAsia="宋体" w:cs="Times New Roman"/>
      <w:lang w:val="en-US" w:eastAsia="zh-CN" w:bidi="ar-SA"/>
    </w:rPr>
  </w:style>
  <w:style w:type="paragraph" w:styleId="1368" w:customStyle="1">
    <w:name w:val="[Normal]"/>
    <w:uiPriority w:val="99"/>
    <w:qFormat/>
    <w:rPr>
      <w:rFonts w:ascii="方正仿宋简体" w:hAnsi="方正仿宋简体" w:eastAsia="方正仿宋简体" w:cs="Courier New"/>
      <w:sz w:val="24"/>
      <w:szCs w:val="22"/>
      <w:lang w:val="zh-CN" w:eastAsia="zh-CN" w:bidi="ar-SA"/>
    </w:rPr>
  </w:style>
  <w:style w:type="paragraph" w:styleId="1369" w:customStyle="1">
    <w:name w:val="二级条标题"/>
    <w:basedOn w:val="1370"/>
    <w:next w:val="1163"/>
    <w:uiPriority w:val="0"/>
    <w:qFormat/>
    <w:pPr>
      <w:outlineLvl w:val="2"/>
    </w:pPr>
    <w:rPr>
      <w:szCs w:val="24"/>
    </w:rPr>
  </w:style>
  <w:style w:type="paragraph" w:styleId="1370" w:customStyle="1">
    <w:name w:val="一级条标题"/>
    <w:basedOn w:val="1371"/>
    <w:next w:val="1163"/>
    <w:uiPriority w:val="0"/>
    <w:qFormat/>
    <w:pPr>
      <w:outlineLvl w:val="1"/>
    </w:pPr>
    <w:rPr>
      <w:sz w:val="24"/>
    </w:rPr>
  </w:style>
  <w:style w:type="paragraph" w:styleId="1371" w:customStyle="1">
    <w:name w:val="章标题"/>
    <w:basedOn w:val="1163"/>
    <w:next w:val="1163"/>
    <w:uiPriority w:val="0"/>
    <w:qFormat/>
    <w:pPr>
      <w:numPr>
        <w:ilvl w:val="0"/>
        <w:numId w:val="1"/>
      </w:numPr>
      <w:jc w:val="left"/>
      <w:outlineLvl w:val="0"/>
    </w:pPr>
    <w:rPr>
      <w:b/>
      <w:sz w:val="28"/>
      <w:szCs w:val="28"/>
    </w:rPr>
  </w:style>
  <w:style w:type="paragraph" w:styleId="1372" w:customStyle="1">
    <w:name w:val="Char Char Char Char Char Char Char"/>
    <w:basedOn w:val="1163"/>
    <w:uiPriority w:val="0"/>
    <w:qFormat/>
    <w:pPr>
      <w:ind w:left="432" w:hanging="432"/>
      <w:jc w:val="center"/>
      <w:tabs>
        <w:tab w:val="left" w:pos="432" w:leader="none"/>
      </w:tabs>
    </w:pPr>
    <w:rPr>
      <w:rFonts w:ascii="仿宋_GB2312" w:hAnsi="仿宋_GB2312" w:eastAsia="仿宋_GB2312"/>
      <w:sz w:val="24"/>
      <w:szCs w:val="24"/>
    </w:rPr>
  </w:style>
  <w:style w:type="paragraph" w:styleId="1373" w:customStyle="1">
    <w:name w:val="Char Char Char Char Char Char Char1"/>
    <w:basedOn w:val="1163"/>
    <w:uiPriority w:val="0"/>
    <w:qFormat/>
    <w:rPr>
      <w:rFonts w:ascii="Tahoma" w:hAnsi="Tahoma" w:cs="仿宋_GB2312"/>
      <w:sz w:val="24"/>
      <w:szCs w:val="28"/>
    </w:rPr>
  </w:style>
  <w:style w:type="paragraph" w:styleId="1374" w:customStyle="1">
    <w:name w:val="正文文本首行缩进1"/>
    <w:basedOn w:val="1182"/>
    <w:uiPriority w:val="0"/>
    <w:qFormat/>
    <w:pPr>
      <w:ind w:firstLine="420"/>
    </w:pPr>
  </w:style>
  <w:style w:type="paragraph" w:styleId="1375" w:customStyle="1">
    <w:name w:val="表中字"/>
    <w:basedOn w:val="1163"/>
    <w:uiPriority w:val="0"/>
    <w:qFormat/>
    <w:pPr>
      <w:jc w:val="center"/>
    </w:pPr>
    <w:rPr>
      <w:szCs w:val="21"/>
    </w:rPr>
  </w:style>
  <w:style w:type="paragraph" w:styleId="1376" w:customStyle="1">
    <w:name w:val="Char Char"/>
    <w:basedOn w:val="1163"/>
    <w:uiPriority w:val="0"/>
    <w:qFormat/>
    <w:pPr>
      <w:ind w:left="360" w:hanging="360"/>
    </w:pPr>
    <w:rPr>
      <w:sz w:val="24"/>
      <w:szCs w:val="24"/>
    </w:rPr>
  </w:style>
  <w:style w:type="paragraph" w:styleId="1377" w:customStyle="1">
    <w:name w:val="正文1"/>
    <w:basedOn w:val="1163"/>
    <w:uiPriority w:val="0"/>
    <w:qFormat/>
    <w:pPr>
      <w:jc w:val="left"/>
      <w:spacing w:after="200" w:line="300" w:lineRule="atLeast"/>
      <w:widowControl/>
    </w:pPr>
    <w:rPr>
      <w:rFonts w:ascii="Calibri" w:hAnsi="Calibri" w:cs="宋体"/>
      <w:sz w:val="22"/>
      <w:szCs w:val="22"/>
    </w:rPr>
  </w:style>
  <w:style w:type="paragraph" w:styleId="1378" w:customStyle="1">
    <w:name w:val="彩色列表 - 强调文字颜色 11"/>
    <w:basedOn w:val="1163"/>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379" w:customStyle="1">
    <w:name w:val="图片格式"/>
    <w:basedOn w:val="1163"/>
    <w:next w:val="1163"/>
    <w:uiPriority w:val="0"/>
    <w:qFormat/>
    <w:pPr>
      <w:jc w:val="center"/>
      <w:keepNext/>
    </w:pPr>
  </w:style>
  <w:style w:type="paragraph" w:styleId="1380" w:customStyle="1">
    <w:name w:val="列表段落1"/>
    <w:basedOn w:val="1163"/>
    <w:uiPriority w:val="0"/>
    <w:qFormat/>
    <w:pPr>
      <w:ind w:firstLine="200"/>
    </w:pPr>
    <w:rPr>
      <w:rFonts w:ascii="Calibri" w:hAnsi="Calibri"/>
      <w:szCs w:val="22"/>
    </w:rPr>
  </w:style>
  <w:style w:type="paragraph" w:styleId="1381" w:customStyle="1">
    <w:name w:val="简单回函地址"/>
    <w:basedOn w:val="1163"/>
    <w:uiPriority w:val="0"/>
    <w:qFormat/>
    <w:rPr>
      <w:szCs w:val="24"/>
    </w:rPr>
  </w:style>
  <w:style w:type="paragraph" w:styleId="1382" w:customStyle="1">
    <w:name w:val="Table Sub Section"/>
    <w:basedOn w:val="1163"/>
    <w:uiPriority w:val="0"/>
    <w:qFormat/>
    <w:pPr>
      <w:jc w:val="left"/>
      <w:keepNext/>
      <w:spacing w:before="160" w:after="160" w:line="276" w:lineRule="auto"/>
      <w:widowControl/>
    </w:pPr>
    <w:rPr>
      <w:rFonts w:ascii="Arial" w:hAnsi="Arial"/>
      <w:b/>
      <w:color w:val="0f0f0f"/>
      <w:sz w:val="20"/>
      <w:lang w:eastAsia="en-US"/>
    </w:rPr>
  </w:style>
  <w:style w:type="paragraph" w:styleId="1383" w:customStyle="1">
    <w:name w:val="yiv1658056056msonormal"/>
    <w:basedOn w:val="1163"/>
    <w:uiPriority w:val="0"/>
    <w:qFormat/>
    <w:pPr>
      <w:jc w:val="left"/>
      <w:spacing w:before="100" w:beforeAutospacing="1" w:after="100" w:afterAutospacing="1"/>
      <w:widowControl/>
    </w:pPr>
    <w:rPr>
      <w:rFonts w:ascii="宋体" w:cs="宋体"/>
      <w:sz w:val="24"/>
      <w:szCs w:val="24"/>
    </w:rPr>
  </w:style>
  <w:style w:type="paragraph" w:styleId="1384" w:customStyle="1">
    <w:name w:val="列出段落1"/>
    <w:basedOn w:val="1163"/>
    <w:uiPriority w:val="0"/>
    <w:qFormat/>
    <w:pPr>
      <w:ind w:firstLine="200"/>
    </w:pPr>
    <w:rPr>
      <w:rFonts w:ascii="Calibri" w:hAnsi="Calibri"/>
      <w:szCs w:val="22"/>
    </w:rPr>
  </w:style>
  <w:style w:type="paragraph" w:styleId="1385" w:customStyle="1">
    <w:name w:val="样式 首行缩进:  2 字符"/>
    <w:basedOn w:val="1163"/>
    <w:uiPriority w:val="0"/>
    <w:qFormat/>
    <w:pPr>
      <w:ind w:firstLine="200"/>
      <w:spacing w:line="400" w:lineRule="exact"/>
    </w:pPr>
    <w:rPr>
      <w:rFonts w:cs="宋体"/>
      <w:sz w:val="24"/>
      <w:szCs w:val="24"/>
    </w:rPr>
  </w:style>
  <w:style w:type="paragraph" w:styleId="1386" w:customStyle="1">
    <w:name w:val="p0"/>
    <w:basedOn w:val="1163"/>
    <w:uiPriority w:val="0"/>
    <w:qFormat/>
    <w:pPr>
      <w:widowControl/>
    </w:pPr>
    <w:rPr>
      <w:szCs w:val="21"/>
    </w:rPr>
  </w:style>
  <w:style w:type="paragraph" w:styleId="1387" w:customStyle="1">
    <w:name w:val="列表段落2"/>
    <w:basedOn w:val="1163"/>
    <w:uiPriority w:val="0"/>
    <w:qFormat/>
    <w:pPr>
      <w:ind w:firstLine="200"/>
      <w:jc w:val="left"/>
      <w:spacing w:line="300" w:lineRule="auto"/>
    </w:pPr>
    <w:rPr>
      <w:szCs w:val="22"/>
    </w:rPr>
  </w:style>
  <w:style w:type="paragraph" w:styleId="1388" w:customStyle="1">
    <w:name w:val="Char Char Char"/>
    <w:basedOn w:val="1163"/>
    <w:uiPriority w:val="0"/>
    <w:qFormat/>
    <w:pPr>
      <w:jc w:val="center"/>
      <w:spacing w:line="400" w:lineRule="exact"/>
      <w:widowControl/>
    </w:pPr>
    <w:rPr>
      <w:szCs w:val="24"/>
    </w:rPr>
  </w:style>
  <w:style w:type="paragraph" w:styleId="1389" w:customStyle="1">
    <w:name w:val="编号一级列项"/>
    <w:basedOn w:val="1163"/>
    <w:uiPriority w:val="0"/>
    <w:qFormat/>
    <w:pPr>
      <w:numPr>
        <w:ilvl w:val="6"/>
        <w:numId w:val="1"/>
      </w:numPr>
      <w:jc w:val="left"/>
      <w:outlineLvl w:val="6"/>
    </w:pPr>
  </w:style>
  <w:style w:type="paragraph" w:styleId="1390"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91" w:customStyle="1">
    <w:name w:val="Normal1"/>
    <w:basedOn w:val="1163"/>
    <w:uiPriority w:val="0"/>
    <w:qFormat/>
    <w:pPr>
      <w:jc w:val="left"/>
      <w:spacing w:after="200" w:line="300" w:lineRule="atLeast"/>
      <w:widowControl/>
    </w:pPr>
    <w:rPr>
      <w:rFonts w:ascii="Calibri" w:hAnsi="Calibri" w:cs="宋体"/>
      <w:sz w:val="22"/>
      <w:szCs w:val="22"/>
    </w:rPr>
  </w:style>
  <w:style w:type="paragraph" w:styleId="1392" w:customStyle="1">
    <w:name w:val="标准文本"/>
    <w:basedOn w:val="1163"/>
    <w:uiPriority w:val="0"/>
    <w:qFormat/>
    <w:pPr>
      <w:ind w:firstLine="200"/>
      <w:spacing w:line="300" w:lineRule="auto"/>
    </w:pPr>
    <w:rPr>
      <w:rFonts w:ascii="宋体" w:cs="宋体"/>
      <w:szCs w:val="21"/>
    </w:rPr>
  </w:style>
  <w:style w:type="paragraph" w:styleId="1393" w:customStyle="1">
    <w:name w:val="正文文本首行缩进 21"/>
    <w:basedOn w:val="1163"/>
    <w:uiPriority w:val="0"/>
    <w:qFormat/>
    <w:pPr>
      <w:ind w:firstLine="200"/>
    </w:pPr>
    <w:rPr>
      <w:sz w:val="24"/>
      <w:szCs w:val="24"/>
    </w:rPr>
  </w:style>
  <w:style w:type="paragraph" w:styleId="1394"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395"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396"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397"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398"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399"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00"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01"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02"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03"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04"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05"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06"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07"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08"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09"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10"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11" w:customStyle="1">
    <w:name w:val="列出段落2"/>
    <w:basedOn w:val="1163"/>
    <w:uiPriority w:val="99"/>
    <w:qFormat/>
    <w:pPr>
      <w:ind w:firstLine="420"/>
    </w:pPr>
    <w:rPr>
      <w:rFonts w:ascii="Calibri" w:hAnsi="Calibri"/>
      <w:szCs w:val="22"/>
    </w:rPr>
  </w:style>
  <w:style w:type="paragraph" w:styleId="1412" w:customStyle="1">
    <w:name w:val="表格"/>
    <w:basedOn w:val="1201"/>
    <w:next w:val="1163"/>
    <w:uiPriority w:val="0"/>
    <w:qFormat/>
    <w:pPr>
      <w:jc w:val="left"/>
      <w:spacing w:line="240" w:lineRule="auto"/>
      <w:widowControl/>
      <w:outlineLvl w:val="9"/>
    </w:pPr>
    <w:rPr>
      <w:rFonts w:eastAsia="仿宋"/>
      <w:b w:val="0"/>
      <w:sz w:val="21"/>
    </w:rPr>
  </w:style>
  <w:style w:type="paragraph" w:styleId="1413" w:customStyle="1">
    <w:name w:val="列表段落3"/>
    <w:basedOn w:val="1163"/>
    <w:uiPriority w:val="34"/>
    <w:qFormat/>
    <w:pPr>
      <w:ind w:firstLine="420"/>
    </w:pPr>
    <w:rPr>
      <w:rFonts w:ascii="Calibri" w:hAnsi="Calibri"/>
      <w:szCs w:val="22"/>
    </w:rPr>
  </w:style>
  <w:style w:type="paragraph" w:styleId="1414"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15" w:customStyle="1">
    <w:name w:val="访问过的超链接1"/>
    <w:uiPriority w:val="0"/>
    <w:qFormat/>
    <w:rPr>
      <w:color w:val="000000"/>
      <w:sz w:val="18"/>
      <w:szCs w:val="18"/>
      <w:u w:val="none"/>
    </w:rPr>
  </w:style>
  <w:style w:type="character" w:styleId="1416" w:customStyle="1">
    <w:name w:val="c lh15"/>
    <w:basedOn w:val="1173"/>
    <w:uiPriority w:val="0"/>
    <w:qFormat/>
  </w:style>
  <w:style w:type="character" w:styleId="1417" w:customStyle="1">
    <w:name w:val="style21"/>
    <w:uiPriority w:val="0"/>
    <w:qFormat/>
    <w:rPr>
      <w:sz w:val="18"/>
      <w:szCs w:val="18"/>
    </w:rPr>
  </w:style>
  <w:style w:type="character" w:styleId="1418" w:customStyle="1">
    <w:name w:val="A13"/>
    <w:uiPriority w:val="0"/>
    <w:qFormat/>
    <w:rPr>
      <w:rFonts w:ascii="Univers LT Std 45 Light" w:eastAsia="Univers LT Std 45 Light" w:cs="Univers LT Std 45 Light"/>
      <w:color w:val="221e1f"/>
      <w:sz w:val="10"/>
      <w:szCs w:val="10"/>
    </w:rPr>
  </w:style>
  <w:style w:type="character" w:styleId="1419" w:customStyle="1">
    <w:name w:val="页脚 字符"/>
    <w:uiPriority w:val="0"/>
    <w:qFormat/>
  </w:style>
  <w:style w:type="character" w:styleId="1420" w:customStyle="1">
    <w:name w:val="font21"/>
    <w:uiPriority w:val="0"/>
    <w:qFormat/>
    <w:rPr>
      <w:rFonts w:ascii="宋体" w:eastAsia="宋体" w:cs="宋体"/>
      <w:color w:val="000000"/>
      <w:sz w:val="20"/>
      <w:szCs w:val="20"/>
      <w:u w:val="none"/>
      <w:lang w:bidi="ar-SA"/>
    </w:rPr>
  </w:style>
  <w:style w:type="character" w:styleId="1421" w:customStyle="1">
    <w:name w:val="font31"/>
    <w:uiPriority w:val="0"/>
    <w:qFormat/>
    <w:rPr>
      <w:rFonts w:ascii="宋体" w:eastAsia="宋体" w:cs="宋体"/>
      <w:color w:val="000000"/>
      <w:sz w:val="20"/>
      <w:szCs w:val="20"/>
      <w:u w:val="none"/>
      <w:lang w:bidi="ar-SA"/>
    </w:rPr>
  </w:style>
  <w:style w:type="character" w:styleId="1422" w:customStyle="1">
    <w:name w:val="正文文本缩进 字符"/>
    <w:link w:val="1184"/>
    <w:uiPriority w:val="0"/>
    <w:qFormat/>
    <w:rPr>
      <w:rFonts w:ascii="宋体"/>
      <w:sz w:val="24"/>
    </w:rPr>
  </w:style>
  <w:style w:type="character" w:styleId="1423" w:customStyle="1">
    <w:name w:val="doctitle"/>
    <w:basedOn w:val="1173"/>
    <w:uiPriority w:val="0"/>
    <w:qFormat/>
  </w:style>
  <w:style w:type="character" w:styleId="1424" w:customStyle="1">
    <w:name w:val="批注文字 字符"/>
    <w:link w:val="1181"/>
    <w:uiPriority w:val="99"/>
    <w:qFormat/>
    <w:rPr>
      <w:sz w:val="21"/>
    </w:rPr>
  </w:style>
  <w:style w:type="paragraph" w:styleId="1425">
    <w:name w:val="List Paragraph"/>
    <w:basedOn w:val="1163"/>
    <w:uiPriority w:val="1"/>
    <w:qFormat/>
    <w:pPr>
      <w:ind w:left="598" w:firstLine="420"/>
    </w:pPr>
    <w:rPr>
      <w:rFonts w:ascii="宋体" w:hAnsi="宋体" w:cs="宋体"/>
      <w:lang w:val="zh-CN" w:bidi="zh-CN"/>
    </w:rPr>
  </w:style>
  <w:style w:type="paragraph" w:styleId="1426" w:customStyle="1">
    <w:name w:val="Table Paragraph"/>
    <w:basedOn w:val="1163"/>
    <w:uiPriority w:val="1"/>
    <w:qFormat/>
    <w:rPr>
      <w:rFonts w:ascii="宋体" w:hAnsi="宋体" w:cs="宋体"/>
      <w:lang w:val="zh-CN" w:bidi="zh-CN"/>
    </w:rPr>
  </w:style>
  <w:style w:type="paragraph" w:styleId="1427" w:customStyle="1">
    <w:name w:val="列表段落31"/>
    <w:basedOn w:val="1163"/>
    <w:uiPriority w:val="34"/>
    <w:qFormat/>
    <w:pPr>
      <w:ind w:firstLine="420"/>
    </w:pPr>
    <w:rPr>
      <w:rFonts w:ascii="Calibri" w:hAnsi="Calibri"/>
      <w:szCs w:val="22"/>
    </w:rPr>
  </w:style>
  <w:style w:type="paragraph" w:styleId="1428" w:customStyle="1">
    <w:name w:val="修订1"/>
    <w:hidden/>
    <w:uiPriority w:val="99"/>
    <w:semiHidden/>
    <w:qFormat/>
    <w:rPr>
      <w:rFonts w:ascii="Times New Roman" w:hAnsi="Times New Roman" w:eastAsia="宋体" w:cs="Times New Roman"/>
      <w:sz w:val="21"/>
      <w:lang w:val="en-US" w:eastAsia="zh-CN" w:bidi="ar-SA"/>
    </w:rPr>
  </w:style>
  <w:style w:type="paragraph" w:styleId="1429" w:customStyle="1">
    <w:name w:val="首行缩进"/>
    <w:basedOn w:val="1163"/>
    <w:uiPriority w:val="0"/>
    <w:qFormat/>
    <w:pPr>
      <w:ind w:firstLine="480"/>
    </w:pPr>
    <w:rPr>
      <w:rFonts w:ascii="Calibri" w:hAnsi="Calibri" w:eastAsia="Calibri" w:cs="宋体"/>
      <w:sz w:val="20"/>
      <w:lang w:val="zh-CN"/>
    </w:rPr>
  </w:style>
  <w:style w:type="character" w:styleId="1430" w:customStyle="1">
    <w:name w:val="正文文本首行缩进 2 字符"/>
    <w:basedOn w:val="1422"/>
    <w:link w:val="1212"/>
    <w:uiPriority w:val="0"/>
    <w:qFormat/>
    <w:rPr>
      <w:rFonts w:ascii="宋体"/>
      <w:sz w:val="21"/>
    </w:rPr>
  </w:style>
  <w:style w:type="paragraph" w:styleId="1431" w:customStyle="1">
    <w:name w:val="修订2"/>
    <w:hidden/>
    <w:uiPriority w:val="99"/>
    <w:unhideWhenUsed/>
    <w:qFormat/>
    <w:rPr>
      <w:rFonts w:ascii="Times New Roman" w:hAnsi="Times New Roman" w:eastAsia="宋体" w:cs="Times New Roman"/>
      <w:sz w:val="21"/>
      <w:lang w:val="en-US" w:eastAsia="zh-CN" w:bidi="ar-SA"/>
    </w:rPr>
  </w:style>
  <w:style w:type="paragraph" w:styleId="1432" w:customStyle="1">
    <w:name w:val="正文缩进1"/>
    <w:basedOn w:val="1163"/>
    <w:uiPriority w:val="0"/>
    <w:qFormat/>
    <w:pPr>
      <w:ind w:firstLine="420"/>
    </w:pPr>
  </w:style>
  <w:style w:type="paragraph" w:styleId="1433" w:customStyle="1">
    <w:name w:val="修订3"/>
    <w:hidden/>
    <w:uiPriority w:val="99"/>
    <w:unhideWhenUsed/>
    <w:qFormat/>
    <w:rPr>
      <w:rFonts w:ascii="Times New Roman" w:hAnsi="Times New Roman" w:eastAsia="宋体" w:cs="Times New Roman"/>
      <w:sz w:val="21"/>
      <w:lang w:val="en-US" w:eastAsia="zh-CN" w:bidi="ar-SA"/>
    </w:rPr>
  </w:style>
  <w:style w:type="paragraph" w:styleId="1434" w:customStyle="1">
    <w:name w:val="正文首行缩进1"/>
    <w:basedOn w:val="1435"/>
    <w:uiPriority w:val="0"/>
    <w:qFormat/>
    <w:pPr>
      <w:ind w:firstLine="420"/>
      <w:spacing w:line="360" w:lineRule="auto"/>
    </w:pPr>
    <w:rPr>
      <w:rFonts w:ascii="Times New Roman"/>
      <w:szCs w:val="21"/>
    </w:rPr>
  </w:style>
  <w:style w:type="paragraph" w:styleId="1435" w:customStyle="1">
    <w:name w:val="正文文本1"/>
    <w:basedOn w:val="1163"/>
    <w:next w:val="1163"/>
    <w:uiPriority w:val="0"/>
    <w:qFormat/>
    <w:rPr>
      <w:rFonts w:ascii="宋体"/>
      <w:sz w:val="28"/>
    </w:rPr>
  </w:style>
  <w:style w:type="paragraph" w:styleId="1436" w:customStyle="1">
    <w:name w:val="页脚1"/>
    <w:basedOn w:val="1163"/>
    <w:uiPriority w:val="99"/>
    <w:qFormat/>
    <w:pPr>
      <w:jc w:val="left"/>
      <w:tabs>
        <w:tab w:val="center" w:pos="4153" w:leader="none"/>
        <w:tab w:val="right" w:pos="8306" w:leader="none"/>
      </w:tabs>
    </w:pPr>
    <w:rPr>
      <w:sz w:val="18"/>
    </w:rPr>
  </w:style>
  <w:style w:type="numbering" w:styleId="166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Birthday</dc:subject>
  <dc:creator>Emotiona</dc:creator>
  <cp:lastModifiedBy>宣家红</cp:lastModifiedBy>
  <cp:revision>9</cp:revision>
  <dcterms:created xsi:type="dcterms:W3CDTF">2026-09-03T09:37:00Z</dcterms:created>
  <dcterms:modified xsi:type="dcterms:W3CDTF">2026-09-04T08:17:17Z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AE94B9B9CD9B414ABD6D2021B55A0D41_13</vt:lpwstr>
  </property>
  <property fmtid="{D5CDD505-2E9C-101B-9397-08002B2CF9AE}" pid="4" name="KSOTemplateDocerSaveRecord">
    <vt:lpwstr>eyJoZGlkIjoiN2ViYTJkY2UzNWI4MmQ0ZTVkMzliYjFjZWRhMDc0MDMiLCJ1c2VySWQiOiIxODAwNDg2ODQ5In0=</vt:lpwstr>
  </property>
</Properties>
</file>