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color w:val="000000"/>
          <w:sz w:val="44"/>
          <w:szCs w:val="44"/>
          <w:u w:val="single"/>
        </w:rPr>
      </w:pPr>
      <w:r>
        <w:rPr>
          <w:color w:val="000000"/>
          <w:sz w:val="44"/>
          <w:szCs w:val="44"/>
          <w:u w:val="single"/>
        </w:rPr>
      </w:r>
      <w:r/>
    </w:p>
    <w:p>
      <w:pPr>
        <w:jc w:val="center"/>
        <w:spacing w:line="360" w:lineRule="auto"/>
        <w:rPr>
          <w:color w:val="000000"/>
          <w:sz w:val="44"/>
          <w:szCs w:val="44"/>
          <w:u w:val="single"/>
        </w:rPr>
      </w:pPr>
      <w:r>
        <w:rPr>
          <w:rFonts w:hint="eastAsia"/>
          <w:color w:val="000000"/>
          <w:sz w:val="44"/>
          <w:szCs w:val="44"/>
          <w:u w:val="single"/>
        </w:rPr>
        <w:t xml:space="preserve">2027年度武进区升级版技防城前端高清</w:t>
      </w:r>
      <w:r/>
    </w:p>
    <w:p>
      <w:pPr>
        <w:jc w:val="center"/>
        <w:spacing w:line="360" w:lineRule="auto"/>
        <w:rPr>
          <w:color w:val="000000"/>
          <w:sz w:val="44"/>
          <w:szCs w:val="44"/>
          <w:u w:val="single"/>
        </w:rPr>
      </w:pPr>
      <w:r>
        <w:rPr>
          <w:rFonts w:hint="eastAsia"/>
          <w:color w:val="000000"/>
          <w:sz w:val="44"/>
          <w:szCs w:val="44"/>
          <w:u w:val="single"/>
        </w:rPr>
        <w:t xml:space="preserve">监控和智能监控二期维保项目</w:t>
      </w:r>
      <w:r/>
    </w:p>
    <w:p>
      <w:pPr>
        <w:jc w:val="center"/>
        <w:rPr>
          <w:b/>
          <w:bCs/>
          <w:color w:val="000000"/>
          <w:sz w:val="60"/>
          <w:szCs w:val="60"/>
        </w:rPr>
      </w:pPr>
      <w:r>
        <w:rPr>
          <w:b/>
          <w:bCs/>
          <w:color w:val="000000"/>
          <w:sz w:val="60"/>
          <w:szCs w:val="60"/>
        </w:rPr>
      </w:r>
      <w:r/>
    </w:p>
    <w:p>
      <w:pPr>
        <w:jc w:val="center"/>
        <w:rPr>
          <w:b/>
          <w:bCs/>
          <w:color w:val="000000"/>
          <w:sz w:val="60"/>
          <w:szCs w:val="60"/>
        </w:rPr>
      </w:pPr>
      <w:r>
        <w:rPr>
          <w:rFonts w:hint="eastAsia"/>
          <w:b/>
          <w:bCs/>
          <w:color w:val="000000"/>
          <w:sz w:val="60"/>
          <w:szCs w:val="60"/>
        </w:rPr>
        <w:t xml:space="preserve">公 开 </w:t>
      </w:r>
      <w:r>
        <w:rPr>
          <w:b/>
          <w:bCs/>
          <w:color w:val="000000"/>
          <w:sz w:val="60"/>
          <w:szCs w:val="60"/>
        </w:rPr>
        <w:t xml:space="preserve">招</w:t>
      </w:r>
      <w:r>
        <w:rPr>
          <w:rFonts w:hint="eastAsia"/>
          <w:b/>
          <w:bCs/>
          <w:color w:val="000000"/>
          <w:sz w:val="60"/>
          <w:szCs w:val="60"/>
        </w:rPr>
        <w:t xml:space="preserve"> </w:t>
      </w:r>
      <w:r>
        <w:rPr>
          <w:b/>
          <w:bCs/>
          <w:color w:val="000000"/>
          <w:sz w:val="60"/>
          <w:szCs w:val="60"/>
        </w:rPr>
        <w:t xml:space="preserve">标</w:t>
      </w:r>
      <w:r>
        <w:rPr>
          <w:rFonts w:hint="eastAsia"/>
          <w:b/>
          <w:bCs/>
          <w:color w:val="000000"/>
          <w:sz w:val="60"/>
          <w:szCs w:val="60"/>
        </w:rPr>
        <w:t xml:space="preserve"> </w:t>
      </w:r>
      <w:r>
        <w:rPr>
          <w:b/>
          <w:bCs/>
          <w:color w:val="000000"/>
          <w:sz w:val="60"/>
          <w:szCs w:val="60"/>
        </w:rPr>
        <w:t xml:space="preserve">文</w:t>
      </w:r>
      <w:r>
        <w:rPr>
          <w:rFonts w:hint="eastAsia"/>
          <w:b/>
          <w:bCs/>
          <w:color w:val="000000"/>
          <w:sz w:val="60"/>
          <w:szCs w:val="60"/>
        </w:rPr>
        <w:t xml:space="preserve"> </w:t>
      </w:r>
      <w:r>
        <w:rPr>
          <w:b/>
          <w:bCs/>
          <w:color w:val="000000"/>
          <w:sz w:val="60"/>
          <w:szCs w:val="60"/>
        </w:rPr>
        <w:t xml:space="preserve">件</w:t>
      </w:r>
      <w:r/>
    </w:p>
    <w:p>
      <w:pPr>
        <w:jc w:val="center"/>
        <w:rPr>
          <w:b/>
          <w:bCs/>
          <w:color w:val="000000"/>
          <w:sz w:val="60"/>
          <w:szCs w:val="60"/>
        </w:rPr>
      </w:pPr>
      <w:r>
        <w:rPr>
          <w:b/>
          <w:bCs/>
          <w:color w:val="000000"/>
          <w:sz w:val="60"/>
          <w:szCs w:val="60"/>
        </w:rPr>
      </w:r>
      <w:r/>
    </w:p>
    <w:p>
      <w:pPr>
        <w:jc w:val="center"/>
        <w:rPr>
          <w:b/>
          <w:bCs/>
          <w:color w:val="000000"/>
          <w:sz w:val="60"/>
          <w:szCs w:val="60"/>
        </w:rPr>
      </w:pPr>
      <w:r>
        <w:rPr>
          <w:b/>
          <w:bCs/>
          <w:color w:val="000000"/>
          <w:sz w:val="60"/>
          <w:szCs w:val="60"/>
        </w:rPr>
      </w:r>
      <w:r/>
    </w:p>
    <w:p>
      <w:pPr>
        <w:jc w:val="center"/>
        <w:rPr>
          <w:b/>
          <w:bCs/>
          <w:color w:val="000000"/>
          <w:sz w:val="60"/>
          <w:szCs w:val="60"/>
        </w:rPr>
      </w:pPr>
      <w:r>
        <w:rPr>
          <w:b/>
          <w:bCs/>
          <w:color w:val="000000"/>
          <w:sz w:val="60"/>
          <w:szCs w:val="60"/>
        </w:rPr>
      </w:r>
      <w:r/>
    </w:p>
    <w:p>
      <w:pPr>
        <w:jc w:val="center"/>
        <w:rPr>
          <w:b/>
          <w:bCs/>
          <w:color w:val="000000"/>
          <w:sz w:val="60"/>
          <w:szCs w:val="60"/>
        </w:rPr>
      </w:pPr>
      <w:r>
        <w:rPr>
          <w:b/>
          <w:bCs/>
          <w:color w:val="000000"/>
          <w:sz w:val="60"/>
          <w:szCs w:val="60"/>
        </w:rPr>
      </w:r>
      <w:r/>
    </w:p>
    <w:p>
      <w:pPr>
        <w:jc w:val="center"/>
        <w:rPr>
          <w:b/>
          <w:bCs/>
          <w:color w:val="000000"/>
          <w:sz w:val="60"/>
          <w:szCs w:val="60"/>
        </w:rPr>
      </w:pPr>
      <w:r>
        <w:rPr>
          <w:b/>
          <w:bCs/>
          <w:color w:val="000000"/>
          <w:sz w:val="60"/>
          <w:szCs w:val="60"/>
        </w:rPr>
      </w:r>
      <w:r/>
    </w:p>
    <w:p>
      <w:pPr>
        <w:jc w:val="center"/>
        <w:rPr>
          <w:b/>
          <w:bCs/>
          <w:color w:val="000000"/>
          <w:sz w:val="60"/>
          <w:szCs w:val="60"/>
        </w:rPr>
      </w:pPr>
      <w:r>
        <w:rPr>
          <w:b/>
          <w:bCs/>
          <w:color w:val="000000"/>
          <w:sz w:val="60"/>
          <w:szCs w:val="60"/>
        </w:rPr>
      </w:r>
      <w:r/>
    </w:p>
    <w:p>
      <w:pPr>
        <w:jc w:val="center"/>
        <w:rPr>
          <w:b/>
          <w:bCs/>
          <w:color w:val="000000"/>
          <w:sz w:val="60"/>
          <w:szCs w:val="60"/>
        </w:rPr>
      </w:pPr>
      <w:r>
        <w:rPr>
          <w:b/>
          <w:bCs/>
          <w:color w:val="000000"/>
          <w:sz w:val="60"/>
          <w:szCs w:val="60"/>
        </w:rPr>
      </w:r>
      <w:r/>
    </w:p>
    <w:p>
      <w:pPr>
        <w:jc w:val="center"/>
        <w:spacing w:line="360" w:lineRule="auto"/>
        <w:rPr>
          <w:color w:val="000000"/>
          <w:sz w:val="60"/>
          <w:szCs w:val="60"/>
        </w:rPr>
      </w:pPr>
      <w:r>
        <w:rPr>
          <w:color w:val="000000"/>
          <w:sz w:val="60"/>
          <w:szCs w:val="60"/>
        </w:rPr>
      </w:r>
      <w:r/>
    </w:p>
    <w:p>
      <w:pPr>
        <w:ind w:left="1905" w:hanging="1800"/>
        <w:jc w:val="left"/>
        <w:spacing w:line="360" w:lineRule="auto"/>
        <w:tabs>
          <w:tab w:val="left" w:pos="3240" w:leader="none"/>
          <w:tab w:val="left" w:pos="3420" w:leader="none"/>
        </w:tabs>
        <w:rPr>
          <w:bCs/>
          <w:color w:val="000000"/>
          <w:sz w:val="36"/>
          <w:szCs w:val="36"/>
        </w:rPr>
      </w:pPr>
      <w:r>
        <w:rPr>
          <w:bCs/>
          <w:color w:val="000000"/>
          <w:sz w:val="36"/>
          <w:szCs w:val="36"/>
        </w:rPr>
        <w:t xml:space="preserve">项目名称：</w:t>
      </w:r>
      <w:r>
        <w:rPr>
          <w:rFonts w:hint="eastAsia"/>
          <w:bCs/>
          <w:color w:val="000000"/>
          <w:sz w:val="36"/>
          <w:szCs w:val="36"/>
        </w:rPr>
        <w:t xml:space="preserve">2027年度武进区升级版技防城前端高清监控和智能监控二期维保项目</w:t>
      </w:r>
      <w:r/>
    </w:p>
    <w:p>
      <w:pPr>
        <w:ind w:firstLine="180"/>
        <w:jc w:val="left"/>
        <w:spacing w:line="360" w:lineRule="auto"/>
        <w:tabs>
          <w:tab w:val="left" w:pos="3240" w:leader="none"/>
          <w:tab w:val="left" w:pos="3420" w:leader="none"/>
        </w:tabs>
        <w:rPr>
          <w:rFonts w:hint="default" w:eastAsia="宋体"/>
          <w:bCs/>
          <w:color w:val="000000"/>
          <w:sz w:val="36"/>
          <w:szCs w:val="36"/>
          <w:lang w:val="en-US" w:eastAsia="zh-CN"/>
        </w:rPr>
      </w:pPr>
      <w:r>
        <w:rPr>
          <w:bCs/>
          <w:color w:val="000000"/>
          <w:sz w:val="36"/>
          <w:szCs w:val="36"/>
        </w:rPr>
        <w:t xml:space="preserve">项目编号：JSZC-320412-JJJC-</w:t>
      </w:r>
      <w:r>
        <w:rPr>
          <w:rFonts w:hint="eastAsia"/>
          <w:bCs/>
          <w:color w:val="000000"/>
          <w:sz w:val="36"/>
          <w:szCs w:val="36"/>
        </w:rPr>
        <w:t xml:space="preserve">G</w:t>
      </w:r>
      <w:r>
        <w:rPr>
          <w:bCs/>
          <w:color w:val="000000"/>
          <w:sz w:val="36"/>
          <w:szCs w:val="36"/>
        </w:rPr>
        <w:t xml:space="preserve">2026-00</w:t>
      </w:r>
      <w:r>
        <w:rPr>
          <w:rFonts w:hint="eastAsia"/>
          <w:bCs/>
          <w:color w:val="000000"/>
          <w:sz w:val="36"/>
          <w:szCs w:val="36"/>
          <w:lang w:val="en-US" w:eastAsia="zh-CN"/>
        </w:rPr>
        <w:t xml:space="preserve">27</w:t>
      </w:r>
      <w:r/>
    </w:p>
    <w:p>
      <w:pPr>
        <w:ind w:firstLine="180"/>
        <w:jc w:val="left"/>
        <w:spacing w:line="360" w:lineRule="auto"/>
        <w:tabs>
          <w:tab w:val="left" w:pos="3240" w:leader="none"/>
          <w:tab w:val="left" w:pos="3420" w:leader="none"/>
        </w:tabs>
        <w:rPr>
          <w:bCs/>
          <w:color w:val="000000"/>
          <w:sz w:val="36"/>
          <w:szCs w:val="36"/>
        </w:rPr>
      </w:pPr>
      <w:r>
        <w:rPr>
          <w:bCs/>
          <w:color w:val="000000"/>
          <w:sz w:val="36"/>
          <w:szCs w:val="36"/>
        </w:rPr>
        <w:t xml:space="preserve">采 购 人：常州市公安局武进分局</w:t>
      </w:r>
      <w:r/>
    </w:p>
    <w:p>
      <w:pPr>
        <w:ind w:firstLine="180"/>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代理机构：江苏嘉加诚工程投资咨询有限公司 </w:t>
      </w:r>
      <w:r/>
    </w:p>
    <w:p>
      <w:pPr>
        <w:jc w:val="center"/>
        <w:spacing w:line="360" w:lineRule="auto"/>
        <w:rPr>
          <w:b/>
          <w:color w:val="000000"/>
          <w:sz w:val="36"/>
          <w:szCs w:val="36"/>
        </w:rPr>
        <w:outlineLvl w:val="0"/>
      </w:pPr>
      <w:r>
        <w:rPr>
          <w:b/>
          <w:bCs/>
          <w:color w:val="000000"/>
          <w:sz w:val="44"/>
        </w:rPr>
        <w:br w:type="page" w:clear="all"/>
      </w:r>
      <w:bookmarkStart w:id="0" w:name="_Toc99301418"/>
      <w:r>
        <w:rPr>
          <w:b/>
          <w:color w:val="000000"/>
          <w:sz w:val="36"/>
          <w:szCs w:val="36"/>
        </w:rPr>
        <w:t xml:space="preserve">目      录</w:t>
      </w:r>
      <w:bookmarkEnd w:id="0"/>
      <w:r/>
      <w:r/>
    </w:p>
    <w:p>
      <w:pPr>
        <w:pStyle w:val="836"/>
        <w:spacing w:line="360" w:lineRule="auto"/>
        <w:rPr>
          <w:rFonts w:ascii="Calibri" w:hAnsi="Calibri"/>
          <w:b w:val="0"/>
          <w:color w:val="000000"/>
          <w:sz w:val="21"/>
          <w:szCs w:val="22"/>
        </w:rPr>
      </w:pPr>
      <w:r>
        <w:rPr>
          <w:rFonts w:ascii="Calibri" w:hAnsi="Calibri"/>
          <w:b w:val="0"/>
          <w:color w:val="000000"/>
          <w:sz w:val="21"/>
          <w:szCs w:val="22"/>
        </w:rPr>
      </w:r>
      <w:r/>
    </w:p>
    <w:p>
      <w:pPr>
        <w:pStyle w:val="836"/>
        <w:numPr>
          <w:ilvl w:val="0"/>
          <w:numId w:val="8"/>
        </w:numPr>
        <w:spacing w:line="240" w:lineRule="auto"/>
        <w:rPr>
          <w:rFonts w:ascii="Times New Roman" w:hAnsi="Times New Roman"/>
          <w:bCs/>
          <w:color w:val="000000"/>
          <w:sz w:val="30"/>
          <w:szCs w:val="30"/>
        </w:rPr>
      </w:pPr>
      <w:r>
        <w:rPr>
          <w:rFonts w:hint="eastAsia" w:ascii="Times New Roman" w:hAnsi="Times New Roman"/>
          <w:bCs/>
          <w:color w:val="000000"/>
          <w:sz w:val="30"/>
          <w:szCs w:val="30"/>
        </w:rPr>
        <w:t xml:space="preserve"> 投标邀请</w:t>
      </w:r>
      <w:r/>
    </w:p>
    <w:p>
      <w:pPr>
        <w:rPr>
          <w:b/>
          <w:bCs/>
          <w:color w:val="000000"/>
          <w:sz w:val="30"/>
          <w:szCs w:val="30"/>
        </w:rPr>
      </w:pPr>
      <w:r>
        <w:rPr>
          <w:b/>
          <w:bCs/>
          <w:color w:val="000000"/>
          <w:sz w:val="30"/>
          <w:szCs w:val="30"/>
        </w:rPr>
      </w:r>
      <w:r/>
    </w:p>
    <w:p>
      <w:pPr>
        <w:numPr>
          <w:ilvl w:val="0"/>
          <w:numId w:val="8"/>
        </w:numPr>
        <w:rPr>
          <w:b/>
          <w:bCs/>
          <w:color w:val="000000"/>
          <w:sz w:val="30"/>
          <w:szCs w:val="30"/>
        </w:rPr>
      </w:pPr>
      <w:r>
        <w:rPr>
          <w:rFonts w:hint="eastAsia"/>
          <w:b/>
          <w:bCs/>
          <w:color w:val="000000"/>
          <w:sz w:val="30"/>
          <w:szCs w:val="30"/>
        </w:rPr>
        <w:t xml:space="preserve"> 投标人须知</w:t>
      </w:r>
      <w:r/>
    </w:p>
    <w:p>
      <w:pPr>
        <w:pStyle w:val="853"/>
        <w:rPr>
          <w:rFonts w:ascii="Times New Roman" w:hAnsi="Times New Roman" w:cs="Times New Roman"/>
          <w:b/>
          <w:bCs/>
          <w:sz w:val="30"/>
          <w:szCs w:val="30"/>
        </w:rPr>
      </w:pPr>
      <w:r>
        <w:rPr>
          <w:rFonts w:ascii="Times New Roman" w:hAnsi="Times New Roman" w:cs="Times New Roman"/>
          <w:b/>
          <w:bCs/>
          <w:sz w:val="30"/>
          <w:szCs w:val="30"/>
        </w:rPr>
      </w:r>
      <w:r/>
    </w:p>
    <w:p>
      <w:pPr>
        <w:pStyle w:val="853"/>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p>
    <w:p>
      <w:pPr>
        <w:pStyle w:val="853"/>
        <w:rPr>
          <w:rFonts w:ascii="Times New Roman" w:hAnsi="Times New Roman" w:cs="Times New Roman"/>
          <w:b/>
          <w:bCs/>
          <w:sz w:val="30"/>
          <w:szCs w:val="30"/>
        </w:rPr>
      </w:pPr>
      <w:r>
        <w:rPr>
          <w:rFonts w:ascii="Times New Roman" w:hAnsi="Times New Roman" w:cs="Times New Roman"/>
          <w:b/>
          <w:bCs/>
          <w:sz w:val="30"/>
          <w:szCs w:val="30"/>
        </w:rPr>
      </w:r>
      <w:r/>
    </w:p>
    <w:p>
      <w:pPr>
        <w:pStyle w:val="853"/>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p>
    <w:p>
      <w:pPr>
        <w:pStyle w:val="853"/>
        <w:rPr>
          <w:rFonts w:ascii="Times New Roman" w:hAnsi="Times New Roman" w:cs="Times New Roman"/>
          <w:b/>
          <w:bCs/>
          <w:sz w:val="30"/>
          <w:szCs w:val="30"/>
        </w:rPr>
      </w:pPr>
      <w:r>
        <w:rPr>
          <w:rFonts w:ascii="Times New Roman" w:hAnsi="Times New Roman" w:cs="Times New Roman"/>
          <w:b/>
          <w:bCs/>
          <w:sz w:val="30"/>
          <w:szCs w:val="30"/>
        </w:rPr>
      </w:r>
      <w:r/>
    </w:p>
    <w:p>
      <w:pPr>
        <w:pStyle w:val="853"/>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p>
    <w:p>
      <w:pPr>
        <w:pStyle w:val="853"/>
        <w:rPr>
          <w:rFonts w:ascii="Times New Roman" w:hAnsi="Times New Roman" w:cs="Times New Roman"/>
          <w:b/>
          <w:bCs/>
          <w:sz w:val="30"/>
          <w:szCs w:val="30"/>
        </w:rPr>
      </w:pPr>
      <w:r>
        <w:rPr>
          <w:rFonts w:ascii="Times New Roman" w:hAnsi="Times New Roman" w:cs="Times New Roman"/>
          <w:b/>
          <w:bCs/>
          <w:sz w:val="30"/>
          <w:szCs w:val="30"/>
        </w:rPr>
      </w:r>
      <w:r/>
    </w:p>
    <w:p>
      <w:pPr>
        <w:pStyle w:val="853"/>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p>
    <w:p>
      <w:pPr>
        <w:pStyle w:val="853"/>
        <w:rPr>
          <w:rFonts w:ascii="Times New Roman" w:hAnsi="Times New Roman" w:cs="Times New Roman"/>
          <w:b/>
          <w:bCs/>
          <w:sz w:val="30"/>
          <w:szCs w:val="30"/>
        </w:rPr>
      </w:pPr>
      <w:r>
        <w:rPr>
          <w:rFonts w:ascii="Times New Roman" w:hAnsi="Times New Roman" w:cs="Times New Roman"/>
          <w:b/>
          <w:bCs/>
          <w:sz w:val="30"/>
          <w:szCs w:val="30"/>
        </w:rPr>
      </w:r>
      <w:r/>
    </w:p>
    <w:p>
      <w:pPr>
        <w:widowControl/>
        <w:rPr>
          <w:b/>
          <w:bCs/>
          <w:color w:val="000000"/>
          <w:sz w:val="30"/>
          <w:szCs w:val="30"/>
        </w:rPr>
      </w:pPr>
      <w:r>
        <w:rPr>
          <w:rFonts w:hint="eastAsia"/>
          <w:b/>
          <w:bCs/>
          <w:color w:val="000000"/>
          <w:sz w:val="30"/>
          <w:szCs w:val="30"/>
        </w:rPr>
        <w:t xml:space="preserve">第七章  投标文件的组成及提交须知</w:t>
      </w:r>
      <w:r/>
    </w:p>
    <w:p>
      <w:pPr>
        <w:pStyle w:val="853"/>
        <w:rPr>
          <w:rFonts w:hint="eastAsia"/>
        </w:rPr>
      </w:pPr>
      <w:r>
        <w:rPr>
          <w:rFonts w:hint="eastAsia"/>
        </w:rPr>
      </w:r>
      <w:r/>
    </w:p>
    <w:p>
      <w:pPr>
        <w:pStyle w:val="853"/>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p>
    <w:p>
      <w:pPr>
        <w:pStyle w:val="853"/>
        <w:spacing w:line="360" w:lineRule="auto"/>
        <w:rPr>
          <w:rFonts w:hint="eastAsia"/>
        </w:rPr>
      </w:pPr>
      <w:r>
        <w:rPr>
          <w:rFonts w:hint="eastAsia"/>
        </w:rPr>
      </w:r>
      <w:r/>
    </w:p>
    <w:p>
      <w:pPr>
        <w:jc w:val="center"/>
        <w:spacing w:line="360" w:lineRule="auto"/>
        <w:rPr>
          <w:b/>
          <w:color w:val="000000"/>
          <w:sz w:val="36"/>
          <w:szCs w:val="36"/>
        </w:rPr>
        <w:outlineLvl w:val="0"/>
      </w:pPr>
      <w:r>
        <w:rPr>
          <w:color w:val="000000"/>
          <w:sz w:val="24"/>
        </w:rPr>
        <w:br w:type="page" w:clear="all"/>
      </w:r>
      <w:bookmarkStart w:id="1" w:name="_Toc99301419"/>
      <w:r>
        <w:rPr>
          <w:b/>
          <w:color w:val="000000"/>
          <w:sz w:val="36"/>
          <w:szCs w:val="36"/>
        </w:rPr>
        <w:t xml:space="preserve">第一章   投标邀请</w:t>
      </w:r>
      <w:bookmarkEnd w:id="1"/>
      <w:r/>
      <w:r/>
    </w:p>
    <w:p>
      <w:pPr>
        <w:ind w:firstLine="480"/>
        <w:jc w:val="left"/>
        <w:spacing w:line="360" w:lineRule="auto"/>
        <w:rPr>
          <w:rFonts w:hint="eastAsia" w:ascii="宋体" w:hAnsi="宋体"/>
          <w:color w:val="000000"/>
          <w:sz w:val="24"/>
        </w:rPr>
      </w:pPr>
      <w:r/>
      <w:bookmarkStart w:id="2" w:name="_Toc28359079"/>
      <w:r/>
      <w:bookmarkStart w:id="3" w:name="_Toc28359002"/>
      <w:r/>
      <w:bookmarkStart w:id="4" w:name="_Toc35393790"/>
      <w:r/>
      <w:bookmarkStart w:id="5" w:name="_Toc35393621"/>
      <w:r/>
      <w:bookmarkStart w:id="6" w:name="_Hlk24379207"/>
      <w:r/>
      <w:bookmarkStart w:id="7" w:name="_Hlk151728086"/>
      <w:r>
        <w:rPr>
          <w:rFonts w:hint="eastAsia" w:ascii="宋体" w:hAnsi="宋体"/>
          <w:color w:val="000000"/>
          <w:sz w:val="24"/>
        </w:rPr>
        <w:t xml:space="preserve">受</w:t>
      </w:r>
      <w:bookmarkStart w:id="8" w:name="OLE_LINK4"/>
      <w:r>
        <w:rPr>
          <w:rFonts w:hint="eastAsia" w:ascii="宋体" w:hAnsi="宋体"/>
          <w:color w:val="000000"/>
          <w:sz w:val="24"/>
        </w:rPr>
        <w:t xml:space="preserve">常州市公安局武进分局</w:t>
      </w:r>
      <w:bookmarkEnd w:id="8"/>
      <w:r>
        <w:rPr>
          <w:rFonts w:hint="eastAsia" w:ascii="宋体" w:hAnsi="宋体"/>
          <w:color w:val="000000"/>
          <w:sz w:val="24"/>
        </w:rPr>
        <w:t xml:space="preserve">的委托，江苏嘉加诚工程投资咨询有限公司就2027年度武进区升级版技防城前端高清监控和智能监控二期维保项目进行公开招标采购，各潜在投标人可在“苏采云”平台自行免费下载招标文件，并于2026</w:t>
      </w:r>
      <w:r>
        <w:rPr>
          <w:rFonts w:hint="eastAsia" w:ascii="宋体" w:hAnsi="宋体"/>
          <w:bCs/>
          <w:color w:val="000000"/>
          <w:sz w:val="24"/>
        </w:rPr>
        <w:t xml:space="preserve">年9月 2 日14:00（北京时间）前递交投标</w:t>
      </w:r>
      <w:r>
        <w:rPr>
          <w:rFonts w:ascii="宋体" w:hAnsi="宋体"/>
          <w:bCs/>
          <w:color w:val="000000"/>
          <w:sz w:val="24"/>
        </w:rPr>
        <w:t xml:space="preserve">文件</w:t>
      </w:r>
      <w:r>
        <w:rPr>
          <w:rFonts w:hint="eastAsia" w:ascii="宋体" w:hAnsi="宋体"/>
          <w:color w:val="000000"/>
          <w:sz w:val="24"/>
        </w:rPr>
        <w:t xml:space="preserve">。</w:t>
      </w:r>
      <w:r/>
    </w:p>
    <w:p>
      <w:pPr>
        <w:pStyle w:val="728"/>
        <w:ind w:firstLine="482"/>
        <w:jc w:val="left"/>
        <w:spacing w:before="0" w:line="360" w:lineRule="auto"/>
        <w:tabs>
          <w:tab w:val="left" w:pos="6504" w:leader="none"/>
        </w:tabs>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2"/>
      <w:r/>
      <w:bookmarkEnd w:id="3"/>
      <w:r/>
      <w:bookmarkEnd w:id="4"/>
      <w:r/>
      <w:bookmarkEnd w:id="5"/>
      <w:r>
        <w:rPr>
          <w:rFonts w:ascii="Times New Roman" w:hAnsi="Times New Roman" w:eastAsia="宋体"/>
          <w:color w:val="000000"/>
          <w:sz w:val="24"/>
          <w:szCs w:val="24"/>
        </w:rPr>
        <w:tab/>
      </w:r>
      <w:bookmarkEnd w:id="6"/>
      <w:r/>
      <w:r/>
    </w:p>
    <w:p>
      <w:pPr>
        <w:ind w:firstLine="480"/>
        <w:spacing w:line="360" w:lineRule="auto"/>
        <w:rPr>
          <w:rFonts w:hint="default" w:eastAsia="宋体"/>
          <w:color w:val="000000"/>
          <w:sz w:val="24"/>
          <w:lang w:val="en-US" w:eastAsia="zh-CN"/>
        </w:rPr>
      </w:pPr>
      <w:r>
        <w:rPr>
          <w:rFonts w:hint="eastAsia"/>
          <w:color w:val="000000"/>
          <w:sz w:val="24"/>
        </w:rPr>
        <w:t xml:space="preserve">1.项目编号：</w:t>
      </w:r>
      <w:bookmarkStart w:id="9" w:name="OLE_LINK5"/>
      <w:r>
        <w:rPr>
          <w:color w:val="000000"/>
          <w:sz w:val="24"/>
        </w:rPr>
        <w:t xml:space="preserve">JSZC-320412-JJJC-G2026-00</w:t>
      </w:r>
      <w:r>
        <w:rPr>
          <w:rFonts w:hint="eastAsia"/>
          <w:color w:val="000000"/>
          <w:sz w:val="24"/>
          <w:lang w:val="en-US" w:eastAsia="zh-CN"/>
        </w:rPr>
        <w:t xml:space="preserve">27</w:t>
      </w:r>
      <w:bookmarkEnd w:id="9"/>
      <w:r/>
      <w:r/>
    </w:p>
    <w:p>
      <w:pPr>
        <w:ind w:left="1860" w:hanging="1440"/>
        <w:spacing w:line="360" w:lineRule="auto"/>
        <w:rPr>
          <w:color w:val="000000"/>
          <w:sz w:val="24"/>
        </w:rPr>
      </w:pPr>
      <w:r>
        <w:rPr>
          <w:rFonts w:hint="eastAsia"/>
          <w:color w:val="000000"/>
          <w:sz w:val="24"/>
        </w:rPr>
        <w:t xml:space="preserve">2.项目名称：</w:t>
      </w:r>
      <w:bookmarkStart w:id="10" w:name="OLE_LINK2"/>
      <w:r>
        <w:rPr>
          <w:rFonts w:hint="eastAsia"/>
          <w:color w:val="000000"/>
          <w:sz w:val="24"/>
        </w:rPr>
        <w:t xml:space="preserve">2027年度武进区升级版技防城前端高清监控和智能监控二期维保项目 </w:t>
      </w:r>
      <w:bookmarkEnd w:id="10"/>
      <w:r/>
      <w:r/>
    </w:p>
    <w:p>
      <w:pPr>
        <w:ind w:firstLine="480"/>
        <w:spacing w:line="360" w:lineRule="auto"/>
        <w:rPr>
          <w:color w:val="000000"/>
          <w:sz w:val="24"/>
        </w:rPr>
      </w:pPr>
      <w:r>
        <w:rPr>
          <w:rFonts w:hint="eastAsia"/>
          <w:color w:val="000000"/>
          <w:sz w:val="24"/>
        </w:rPr>
        <w:t xml:space="preserve">3.项目预算金额：人民</w:t>
      </w:r>
      <w:r>
        <w:rPr>
          <w:rFonts w:hint="eastAsia"/>
          <w:color w:val="000000"/>
          <w:sz w:val="24"/>
        </w:rPr>
        <w:t xml:space="preserve">币175.6</w:t>
      </w:r>
      <w:r>
        <w:rPr>
          <w:rFonts w:hint="eastAsia"/>
          <w:color w:val="000000"/>
          <w:sz w:val="24"/>
          <w:lang w:val="en-US" w:eastAsia="zh-CN"/>
        </w:rPr>
        <w:t xml:space="preserve">8</w:t>
      </w:r>
      <w:r>
        <w:rPr>
          <w:rFonts w:hint="eastAsia"/>
          <w:color w:val="000000"/>
          <w:sz w:val="24"/>
        </w:rPr>
        <w:t xml:space="preserve">万</w:t>
      </w:r>
      <w:r>
        <w:rPr>
          <w:rFonts w:hint="eastAsia"/>
          <w:color w:val="000000"/>
          <w:sz w:val="24"/>
        </w:rPr>
        <w:t xml:space="preserve">元</w:t>
      </w:r>
      <w:r/>
    </w:p>
    <w:p>
      <w:pPr>
        <w:ind w:firstLine="480"/>
        <w:spacing w:line="360" w:lineRule="auto"/>
        <w:rPr>
          <w:color w:val="000000"/>
          <w:sz w:val="24"/>
        </w:rPr>
      </w:pPr>
      <w:r>
        <w:rPr>
          <w:rFonts w:hint="eastAsia"/>
          <w:color w:val="000000"/>
          <w:sz w:val="24"/>
        </w:rPr>
        <w:t xml:space="preserve">4.项目最高限价：人民币164.53万元</w:t>
      </w:r>
      <w:r/>
    </w:p>
    <w:p>
      <w:pPr>
        <w:ind w:firstLine="480"/>
        <w:spacing w:line="360" w:lineRule="auto"/>
        <w:rPr>
          <w:color w:val="000000"/>
          <w:sz w:val="24"/>
        </w:rPr>
      </w:pPr>
      <w:r>
        <w:rPr>
          <w:rFonts w:hint="eastAsia"/>
          <w:color w:val="000000"/>
          <w:sz w:val="24"/>
        </w:rPr>
        <w:t xml:space="preserve">5.采购需求：</w:t>
      </w:r>
      <w:bookmarkStart w:id="11" w:name="OLE_LINK3"/>
      <w:r>
        <w:rPr>
          <w:rFonts w:hint="eastAsia"/>
          <w:color w:val="000000"/>
          <w:sz w:val="24"/>
        </w:rPr>
        <w:t xml:space="preserve">对武进区升级版技防城高清监控和智能监控二期项目进行维保：包括前端高清摄像机、以及配套的前端安装附件(杆件，设备箱等)、网络传输线路、传输设备、中心存储管理设备等进行后续维保和质保。</w:t>
      </w:r>
      <w:bookmarkEnd w:id="11"/>
      <w:r>
        <w:rPr>
          <w:rFonts w:hint="eastAsia"/>
          <w:color w:val="000000"/>
          <w:sz w:val="24"/>
        </w:rPr>
        <w:t xml:space="preserve">具体要求详见采购文件。</w:t>
      </w:r>
      <w:r/>
    </w:p>
    <w:p>
      <w:pPr>
        <w:ind w:firstLine="480"/>
        <w:spacing w:line="360" w:lineRule="auto"/>
        <w:rPr>
          <w:color w:val="000000"/>
          <w:sz w:val="24"/>
        </w:rPr>
      </w:pPr>
      <w:r>
        <w:rPr>
          <w:rFonts w:hint="eastAsia"/>
          <w:color w:val="000000"/>
          <w:sz w:val="24"/>
        </w:rPr>
        <w:t xml:space="preserve">6.合同履行期限：自甲方发出本期维保指令单之日起壹年。</w:t>
      </w:r>
      <w:r/>
    </w:p>
    <w:p>
      <w:pPr>
        <w:ind w:firstLine="480"/>
        <w:spacing w:line="360" w:lineRule="auto"/>
        <w:rPr>
          <w:color w:val="000000"/>
          <w:sz w:val="24"/>
        </w:rPr>
      </w:pPr>
      <w:r>
        <w:rPr>
          <w:rFonts w:hint="eastAsia"/>
          <w:color w:val="000000"/>
          <w:sz w:val="24"/>
        </w:rPr>
        <w:t xml:space="preserve">7</w:t>
      </w:r>
      <w:r>
        <w:rPr>
          <w:color w:val="000000"/>
          <w:sz w:val="24"/>
        </w:rPr>
        <w:t xml:space="preserve">.本项目是否接受联合体投标：否</w:t>
      </w:r>
      <w:r>
        <w:rPr>
          <w:rFonts w:hint="eastAsia"/>
          <w:color w:val="000000"/>
          <w:sz w:val="24"/>
        </w:rPr>
        <w:t xml:space="preserve">。</w:t>
      </w:r>
      <w:r/>
    </w:p>
    <w:p>
      <w:pPr>
        <w:ind w:firstLine="480"/>
        <w:spacing w:line="360" w:lineRule="auto"/>
        <w:rPr>
          <w:color w:val="000000"/>
          <w:sz w:val="24"/>
        </w:rPr>
      </w:pPr>
      <w:r>
        <w:rPr>
          <w:rFonts w:hint="eastAsia"/>
          <w:color w:val="000000"/>
          <w:sz w:val="24"/>
        </w:rPr>
        <w:t xml:space="preserve">8.</w:t>
      </w:r>
      <w:r>
        <w:rPr>
          <w:color w:val="000000"/>
          <w:sz w:val="24"/>
        </w:rPr>
        <w:t xml:space="preserve">本项目是否接受</w:t>
      </w:r>
      <w:r>
        <w:rPr>
          <w:rFonts w:hint="eastAsia"/>
          <w:color w:val="000000"/>
          <w:sz w:val="24"/>
        </w:rPr>
        <w:t xml:space="preserve">进口产品</w:t>
      </w:r>
      <w:r>
        <w:rPr>
          <w:color w:val="000000"/>
          <w:sz w:val="24"/>
        </w:rPr>
        <w:t xml:space="preserve">投标：否</w:t>
      </w:r>
      <w:r>
        <w:rPr>
          <w:rFonts w:hint="eastAsia"/>
          <w:color w:val="000000"/>
          <w:sz w:val="24"/>
        </w:rPr>
        <w:t xml:space="preserve">。</w:t>
      </w:r>
      <w:r/>
    </w:p>
    <w:p>
      <w:pPr>
        <w:pStyle w:val="728"/>
        <w:ind w:firstLine="482"/>
        <w:jc w:val="left"/>
        <w:spacing w:before="0" w:line="360" w:lineRule="auto"/>
        <w:rPr>
          <w:rFonts w:ascii="Times New Roman" w:hAnsi="Times New Roman" w:eastAsia="宋体"/>
          <w:color w:val="000000"/>
          <w:sz w:val="24"/>
          <w:szCs w:val="24"/>
        </w:rPr>
      </w:pPr>
      <w:r/>
      <w:bookmarkStart w:id="12" w:name="_Toc35393791"/>
      <w:r/>
      <w:bookmarkStart w:id="13" w:name="_Toc28359003"/>
      <w:r/>
      <w:bookmarkStart w:id="14" w:name="_Toc35393622"/>
      <w:r/>
      <w:bookmarkStart w:id="15" w:name="_Toc28359080"/>
      <w:r>
        <w:rPr>
          <w:rFonts w:ascii="Times New Roman" w:hAnsi="Times New Roman" w:eastAsia="宋体"/>
          <w:color w:val="000000"/>
          <w:sz w:val="24"/>
          <w:szCs w:val="24"/>
        </w:rPr>
        <w:t xml:space="preserve">二、申请人的资格要求</w:t>
      </w:r>
      <w:bookmarkEnd w:id="12"/>
      <w:r/>
      <w:bookmarkEnd w:id="13"/>
      <w:r/>
      <w:bookmarkEnd w:id="14"/>
      <w:r/>
      <w:bookmarkEnd w:id="15"/>
      <w:r>
        <w:rPr>
          <w:rFonts w:ascii="Times New Roman" w:hAnsi="Times New Roman" w:eastAsia="宋体"/>
          <w:color w:val="000000"/>
          <w:sz w:val="24"/>
          <w:szCs w:val="24"/>
        </w:rPr>
        <w:t xml:space="preserve">（须同时满足）</w:t>
      </w:r>
      <w:r/>
    </w:p>
    <w:p>
      <w:pPr>
        <w:ind w:firstLine="480"/>
        <w:spacing w:line="360" w:lineRule="auto"/>
        <w:rPr>
          <w:color w:val="000000"/>
          <w:sz w:val="24"/>
        </w:rPr>
      </w:pPr>
      <w:r>
        <w:rPr>
          <w:color w:val="000000"/>
          <w:sz w:val="24"/>
        </w:rPr>
        <w:t xml:space="preserve">1.满足《中华人民共和国政府采购法》第二十二条规定</w:t>
      </w:r>
      <w:r>
        <w:rPr>
          <w:rFonts w:hint="eastAsia"/>
          <w:color w:val="000000"/>
          <w:sz w:val="24"/>
        </w:rPr>
        <w:t xml:space="preserve">以及下列情形：</w:t>
      </w:r>
      <w:r/>
    </w:p>
    <w:p>
      <w:pPr>
        <w:ind w:firstLine="480"/>
        <w:spacing w:line="360" w:lineRule="auto"/>
        <w:rPr>
          <w:color w:val="000000"/>
          <w:sz w:val="24"/>
        </w:rPr>
      </w:pPr>
      <w:r>
        <w:rPr>
          <w:rFonts w:hint="eastAsia"/>
          <w:color w:val="000000"/>
          <w:sz w:val="24"/>
        </w:rPr>
        <w:t xml:space="preserve">1.1未被“信用中国”网站或“中国政府采购网”网站列入失信被执行人、重大税收违法案件当事人名单、政府采购严重失信行为记录名单；</w:t>
      </w:r>
      <w:r/>
    </w:p>
    <w:p>
      <w:pPr>
        <w:ind w:firstLine="480"/>
        <w:spacing w:line="360" w:lineRule="auto"/>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sz w:val="24"/>
        </w:rPr>
      </w:pPr>
      <w:r/>
      <w:bookmarkStart w:id="16" w:name="_Toc28359004"/>
      <w:r/>
      <w:bookmarkStart w:id="17" w:name="_Toc28359081"/>
      <w:r>
        <w:rPr>
          <w:color w:val="000000"/>
          <w:sz w:val="24"/>
        </w:rPr>
        <w:t xml:space="preserve">2.落实政府采购政策需满足的资格要求：</w:t>
      </w:r>
      <w:r/>
    </w:p>
    <w:p>
      <w:pPr>
        <w:ind w:firstLine="480"/>
        <w:spacing w:line="360" w:lineRule="auto"/>
        <w:rPr>
          <w:color w:val="000000"/>
          <w:sz w:val="24"/>
        </w:rPr>
      </w:pPr>
      <w:r>
        <w:rPr>
          <w:color w:val="000000"/>
          <w:sz w:val="24"/>
        </w:rPr>
        <w:t xml:space="preserve">2.1中小企业政策</w:t>
      </w:r>
      <w:r/>
    </w:p>
    <w:p>
      <w:pPr>
        <w:ind w:firstLine="482"/>
        <w:spacing w:line="360" w:lineRule="auto"/>
        <w:rPr>
          <w:b/>
          <w:bCs/>
          <w:color w:val="000000"/>
          <w:sz w:val="24"/>
        </w:rPr>
      </w:pPr>
      <w:r>
        <w:rPr>
          <w:b/>
          <w:bCs/>
          <w:color w:val="000000"/>
          <w:sz w:val="24"/>
        </w:rPr>
        <w:t xml:space="preserve">本项目不专门面向中小企业预留采购份额。</w:t>
      </w:r>
      <w:r/>
    </w:p>
    <w:p>
      <w:pPr>
        <w:ind w:firstLine="480"/>
        <w:spacing w:line="360" w:lineRule="auto"/>
        <w:rPr>
          <w:i/>
          <w:iCs/>
          <w:color w:val="000000"/>
          <w:sz w:val="24"/>
          <w:u w:val="single"/>
        </w:rPr>
      </w:pPr>
      <w:r>
        <w:rPr>
          <w:color w:val="000000"/>
          <w:sz w:val="24"/>
        </w:rPr>
        <w:t xml:space="preserve">3.本项目的特定资格要求：</w:t>
      </w:r>
      <w:r/>
    </w:p>
    <w:p>
      <w:pPr>
        <w:ind w:firstLine="480"/>
        <w:spacing w:line="360" w:lineRule="auto"/>
        <w:rPr>
          <w:color w:val="000000"/>
          <w:sz w:val="24"/>
        </w:rPr>
      </w:pPr>
      <w:r>
        <w:rPr>
          <w:color w:val="000000"/>
          <w:sz w:val="24"/>
        </w:rPr>
        <w:t xml:space="preserve">3.1本项目是否接受分支机构参与投标：否</w:t>
      </w:r>
      <w:r>
        <w:rPr>
          <w:rFonts w:hint="eastAsia"/>
          <w:color w:val="000000"/>
          <w:sz w:val="24"/>
        </w:rPr>
        <w:t xml:space="preserve">。</w:t>
      </w:r>
      <w:r/>
    </w:p>
    <w:p>
      <w:pPr>
        <w:ind w:firstLine="480"/>
        <w:spacing w:line="360" w:lineRule="auto"/>
        <w:rPr>
          <w:color w:val="000000"/>
          <w:sz w:val="24"/>
        </w:rPr>
      </w:pPr>
      <w:r>
        <w:rPr>
          <w:color w:val="000000"/>
          <w:sz w:val="24"/>
        </w:rPr>
        <w:t xml:space="preserve">3.2本项目是否属于政府购买服务：</w:t>
      </w:r>
      <w:r>
        <w:rPr>
          <w:rFonts w:hint="eastAsia"/>
          <w:color w:val="000000"/>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i/>
          <w:iCs/>
          <w:color w:val="000000"/>
          <w:sz w:val="24"/>
          <w:u w:val="single"/>
        </w:rPr>
      </w:pPr>
      <w:r>
        <w:rPr>
          <w:color w:val="000000"/>
          <w:sz w:val="24"/>
        </w:rPr>
        <w:t xml:space="preserve">3.3其他特定资格要求：</w:t>
      </w:r>
      <w:r>
        <w:rPr>
          <w:rFonts w:hint="eastAsia"/>
          <w:color w:val="000000"/>
          <w:sz w:val="24"/>
        </w:rPr>
        <w:t xml:space="preserve">无</w:t>
      </w:r>
      <w:r>
        <w:rPr>
          <w:color w:val="000000"/>
          <w:sz w:val="24"/>
        </w:rPr>
        <w:t xml:space="preserve">。</w:t>
      </w:r>
      <w:bookmarkEnd w:id="16"/>
      <w:r/>
      <w:bookmarkEnd w:id="17"/>
      <w:r/>
      <w:r/>
    </w:p>
    <w:p>
      <w:pPr>
        <w:pStyle w:val="728"/>
        <w:ind w:firstLine="482"/>
        <w:jc w:val="left"/>
        <w:spacing w:before="0" w:line="360" w:lineRule="auto"/>
        <w:widowControl/>
        <w:rPr>
          <w:rFonts w:ascii="Times New Roman" w:hAnsi="Times New Roman" w:eastAsia="宋体"/>
          <w:color w:val="000000"/>
          <w:sz w:val="24"/>
          <w:szCs w:val="24"/>
        </w:rPr>
      </w:pPr>
      <w:r/>
      <w:bookmarkStart w:id="18" w:name="_Toc35393792"/>
      <w:r/>
      <w:bookmarkStart w:id="19" w:name="_Toc35393623"/>
      <w:r>
        <w:rPr>
          <w:rFonts w:ascii="Times New Roman" w:hAnsi="Times New Roman" w:eastAsia="宋体"/>
          <w:color w:val="000000"/>
          <w:sz w:val="24"/>
          <w:szCs w:val="24"/>
        </w:rPr>
        <w:t xml:space="preserve">三、获取招标文件</w:t>
      </w:r>
      <w:bookmarkEnd w:id="18"/>
      <w:r/>
      <w:bookmarkEnd w:id="19"/>
      <w:r/>
      <w:r/>
    </w:p>
    <w:p>
      <w:pPr>
        <w:ind w:firstLine="480"/>
        <w:spacing w:line="360" w:lineRule="auto"/>
        <w:rPr>
          <w:rFonts w:hint="eastAsia" w:ascii="宋体" w:hAnsi="宋体" w:cs="宋体"/>
          <w:color w:val="000000"/>
          <w:sz w:val="24"/>
        </w:rPr>
      </w:pPr>
      <w:r/>
      <w:bookmarkStart w:id="20" w:name="_Toc28359005"/>
      <w:r/>
      <w:bookmarkStart w:id="21" w:name="_Toc28359082"/>
      <w:r/>
      <w:bookmarkStart w:id="22" w:name="_Toc35393793"/>
      <w:r/>
      <w:bookmarkStart w:id="23" w:name="_Toc35393624"/>
      <w:r>
        <w:rPr>
          <w:rFonts w:hint="eastAsia" w:ascii="宋体" w:hAnsi="宋体" w:cs="宋体"/>
          <w:color w:val="000000"/>
          <w:sz w:val="24"/>
        </w:rPr>
        <w:t xml:space="preserve">1.时间：</w:t>
      </w:r>
      <w:r>
        <w:rPr>
          <w:rFonts w:hint="eastAsia"/>
          <w:color w:val="000000"/>
          <w:sz w:val="24"/>
          <w:lang w:bidi="ar"/>
        </w:rPr>
        <w:t xml:space="preserve">自招标文件公告发布之日起5个工作日</w:t>
      </w:r>
      <w:r>
        <w:rPr>
          <w:rFonts w:hint="eastAsia" w:ascii="宋体" w:hAnsi="宋体" w:cs="宋体"/>
          <w:color w:val="000000"/>
          <w:sz w:val="24"/>
        </w:rPr>
        <w:t xml:space="preserve">。</w:t>
      </w:r>
      <w:r/>
    </w:p>
    <w:p>
      <w:pPr>
        <w:ind w:firstLine="480"/>
        <w:spacing w:line="360" w:lineRule="auto"/>
        <w:rPr>
          <w:color w:val="000000"/>
          <w:sz w:val="24"/>
          <w:lang w:bidi="ar"/>
        </w:rPr>
      </w:pPr>
      <w:r>
        <w:rPr>
          <w:rFonts w:hint="eastAsia"/>
          <w:color w:val="000000"/>
          <w:sz w:val="24"/>
          <w:lang w:bidi="ar"/>
        </w:rPr>
        <w:t xml:space="preserve">2.地点：</w:t>
      </w:r>
      <w:bookmarkStart w:id="24" w:name="_Toc38985266"/>
      <w:r>
        <w:rPr>
          <w:rFonts w:hint="eastAsia"/>
          <w:color w:val="000000"/>
          <w:sz w:val="24"/>
          <w:lang w:bidi="ar"/>
        </w:rPr>
        <w:t xml:space="preserve">“苏采云”政府采购一体化平台。</w:t>
      </w:r>
      <w:bookmarkEnd w:id="24"/>
      <w:r/>
      <w:r/>
    </w:p>
    <w:p>
      <w:pPr>
        <w:pStyle w:val="853"/>
        <w:ind w:firstLine="480"/>
        <w:spacing w:line="360" w:lineRule="auto"/>
        <w:rPr>
          <w:rFonts w:ascii="Times New Roman" w:hAnsi="Times New Roman" w:cs="Times New Roman"/>
          <w:lang w:bidi="ar"/>
        </w:rPr>
      </w:pPr>
      <w:r>
        <w:rPr>
          <w:rFonts w:ascii="Times New Roman" w:hAnsi="Times New Roman" w:cs="Times New Roman"/>
          <w:lang w:bidi="ar"/>
        </w:rPr>
        <w:t xml:space="preserve">3.</w:t>
      </w:r>
      <w:r>
        <w:rPr>
          <w:rFonts w:hint="eastAsia" w:ascii="Times New Roman" w:hAnsi="Times New Roman" w:cs="Times New Roman"/>
          <w:lang w:bidi="ar"/>
        </w:rPr>
        <w:t xml:space="preserve">方式：在“苏采云”平台自行免费下载采购文件。注：供应商必须登录“苏采云”系统下载电子采购文件方可通过系统进行投标（响应）文件的编制和提交。</w:t>
      </w:r>
      <w:r/>
    </w:p>
    <w:p>
      <w:pPr>
        <w:pStyle w:val="853"/>
        <w:ind w:firstLine="480"/>
        <w:spacing w:line="360" w:lineRule="auto"/>
        <w:rPr>
          <w:rFonts w:ascii="Times New Roman" w:hAnsi="Times New Roman" w:cs="Times New Roman"/>
          <w:lang w:bidi="ar"/>
        </w:rPr>
      </w:pPr>
      <w:r>
        <w:rPr>
          <w:rFonts w:ascii="Times New Roman" w:hAnsi="Times New Roman" w:cs="Times New Roman"/>
          <w:lang w:bidi="ar"/>
        </w:rPr>
        <w:t xml:space="preserve">4</w:t>
      </w:r>
      <w:r>
        <w:rPr>
          <w:rFonts w:hint="eastAsia" w:ascii="Times New Roman" w:hAnsi="Times New Roman" w:cs="Times New Roman"/>
          <w:lang w:bidi="ar"/>
        </w:rPr>
        <w:t xml:space="preserve">.售价：0.00元。</w:t>
      </w:r>
      <w:r/>
    </w:p>
    <w:p>
      <w:pPr>
        <w:pStyle w:val="728"/>
        <w:ind w:firstLine="482"/>
        <w:jc w:val="left"/>
        <w:spacing w:before="0" w:line="360" w:lineRule="auto"/>
        <w:widowControl/>
        <w:rPr>
          <w:rFonts w:ascii="Times New Roman" w:hAnsi="Times New Roman" w:eastAsia="宋体"/>
          <w:color w:val="000000"/>
          <w:sz w:val="24"/>
          <w:szCs w:val="24"/>
        </w:rPr>
      </w:pPr>
      <w:r>
        <w:rPr>
          <w:rFonts w:ascii="Times New Roman" w:hAnsi="Times New Roman" w:eastAsia="宋体"/>
          <w:color w:val="000000"/>
          <w:sz w:val="24"/>
          <w:szCs w:val="24"/>
        </w:rPr>
        <w:t xml:space="preserve">四、提交投标文件</w:t>
      </w:r>
      <w:bookmarkEnd w:id="20"/>
      <w:r/>
      <w:bookmarkEnd w:id="21"/>
      <w:r>
        <w:rPr>
          <w:rFonts w:ascii="Times New Roman" w:hAnsi="Times New Roman" w:eastAsia="宋体"/>
          <w:color w:val="000000"/>
          <w:sz w:val="24"/>
          <w:szCs w:val="24"/>
        </w:rPr>
        <w:t xml:space="preserve">截止时间、开标时间和地点</w:t>
      </w:r>
      <w:bookmarkEnd w:id="22"/>
      <w:r/>
      <w:bookmarkEnd w:id="23"/>
      <w:r/>
      <w:r/>
    </w:p>
    <w:p>
      <w:pPr>
        <w:ind w:firstLine="480"/>
        <w:spacing w:line="360" w:lineRule="auto"/>
        <w:rPr>
          <w:rFonts w:hint="eastAsia" w:ascii="宋体" w:hAnsi="宋体"/>
          <w:bCs/>
          <w:color w:val="000000"/>
          <w:sz w:val="24"/>
          <w:u w:val="single"/>
        </w:rPr>
      </w:pPr>
      <w:r/>
      <w:bookmarkStart w:id="25" w:name="_Toc28359084"/>
      <w:r/>
      <w:bookmarkStart w:id="26" w:name="_Toc28359007"/>
      <w:r/>
      <w:bookmarkStart w:id="27" w:name="_Toc35393794"/>
      <w:r/>
      <w:bookmarkStart w:id="28" w:name="_Toc35393625"/>
      <w:r>
        <w:rPr>
          <w:rFonts w:hint="eastAsia"/>
          <w:color w:val="000000"/>
          <w:sz w:val="24"/>
          <w:lang w:bidi="ar"/>
        </w:rPr>
        <w:t xml:space="preserve">1.</w:t>
      </w:r>
      <w:r>
        <w:rPr>
          <w:color w:val="000000"/>
          <w:sz w:val="24"/>
          <w:lang w:bidi="ar"/>
        </w:rPr>
        <w:t xml:space="preserve">投标截止时间、开标时间：202</w:t>
      </w:r>
      <w:r>
        <w:rPr>
          <w:rFonts w:hint="eastAsia"/>
          <w:color w:val="000000"/>
          <w:sz w:val="24"/>
          <w:lang w:bidi="ar"/>
        </w:rPr>
        <w:t xml:space="preserve">6</w:t>
      </w:r>
      <w:r>
        <w:rPr>
          <w:color w:val="000000"/>
          <w:sz w:val="24"/>
          <w:lang w:bidi="ar"/>
        </w:rPr>
        <w:t xml:space="preserve">年</w:t>
      </w:r>
      <w:r>
        <w:rPr>
          <w:rFonts w:hint="eastAsia"/>
          <w:color w:val="000000"/>
          <w:sz w:val="24"/>
          <w:lang w:bidi="ar"/>
        </w:rPr>
        <w:t xml:space="preserve"> 9 </w:t>
      </w:r>
      <w:r>
        <w:rPr>
          <w:color w:val="000000"/>
          <w:sz w:val="24"/>
          <w:lang w:bidi="ar"/>
        </w:rPr>
        <w:t xml:space="preserve">月</w:t>
      </w:r>
      <w:r>
        <w:rPr>
          <w:rFonts w:hint="eastAsia"/>
          <w:color w:val="000000"/>
          <w:sz w:val="24"/>
          <w:lang w:bidi="ar"/>
        </w:rPr>
        <w:t xml:space="preserve">2</w:t>
      </w:r>
      <w:r>
        <w:rPr>
          <w:color w:val="000000"/>
          <w:sz w:val="24"/>
          <w:lang w:bidi="ar"/>
        </w:rPr>
        <w:t xml:space="preserve">日</w:t>
      </w:r>
      <w:r>
        <w:rPr>
          <w:rFonts w:hint="eastAsia"/>
          <w:color w:val="000000"/>
          <w:sz w:val="24"/>
          <w:lang w:bidi="ar"/>
        </w:rPr>
        <w:t xml:space="preserve">14:</w:t>
      </w:r>
      <w:r>
        <w:rPr>
          <w:color w:val="000000"/>
          <w:sz w:val="24"/>
          <w:lang w:bidi="ar"/>
        </w:rPr>
        <w:t xml:space="preserve">00</w:t>
      </w:r>
      <w:r>
        <w:rPr>
          <w:bCs/>
          <w:color w:val="000000"/>
          <w:sz w:val="24"/>
          <w:lang w:bidi="ar"/>
        </w:rPr>
        <w:t xml:space="preserve">（北京时间）</w:t>
      </w:r>
      <w:r>
        <w:rPr>
          <w:rFonts w:hint="eastAsia" w:ascii="宋体" w:hAnsi="宋体"/>
          <w:bCs/>
          <w:color w:val="000000"/>
          <w:sz w:val="24"/>
        </w:rPr>
        <w:t xml:space="preserve">。</w:t>
      </w:r>
      <w:r/>
    </w:p>
    <w:p>
      <w:pPr>
        <w:ind w:firstLine="480"/>
        <w:spacing w:line="360" w:lineRule="auto"/>
        <w:rPr>
          <w:rFonts w:hint="eastAsia" w:ascii="宋体" w:hAnsi="宋体"/>
          <w:bCs/>
          <w:color w:val="000000"/>
          <w:sz w:val="24"/>
          <w:u w:val="single"/>
        </w:rPr>
      </w:pPr>
      <w:r>
        <w:rPr>
          <w:rFonts w:hint="eastAsia" w:ascii="宋体" w:hAnsi="宋体"/>
          <w:color w:val="000000"/>
          <w:sz w:val="24"/>
        </w:rPr>
        <w:t xml:space="preserve">2.地点：</w:t>
      </w:r>
      <w:r>
        <w:rPr>
          <w:rFonts w:hint="eastAsia"/>
          <w:color w:val="000000"/>
          <w:sz w:val="24"/>
          <w:lang w:bidi="ar"/>
        </w:rPr>
        <w:t xml:space="preserve">“苏采云”政府采购一体化平台</w:t>
      </w:r>
      <w:r>
        <w:rPr>
          <w:color w:val="000000"/>
          <w:sz w:val="24"/>
          <w:lang w:bidi="ar"/>
        </w:rPr>
        <w:t xml:space="preserve"> </w:t>
      </w:r>
      <w:r>
        <w:rPr>
          <w:rFonts w:hint="eastAsia" w:ascii="宋体" w:hAnsi="宋体"/>
          <w:color w:val="000000"/>
          <w:sz w:val="24"/>
        </w:rPr>
        <w:t xml:space="preserve">。</w:t>
      </w:r>
      <w:r/>
    </w:p>
    <w:p>
      <w:pPr>
        <w:pStyle w:val="728"/>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五、公告期限</w:t>
      </w:r>
      <w:bookmarkEnd w:id="25"/>
      <w:r/>
      <w:bookmarkEnd w:id="26"/>
      <w:r/>
      <w:bookmarkEnd w:id="27"/>
      <w:r/>
      <w:bookmarkEnd w:id="28"/>
      <w:r/>
      <w:r/>
    </w:p>
    <w:p>
      <w:pPr>
        <w:ind w:firstLine="480"/>
        <w:spacing w:line="360" w:lineRule="auto"/>
        <w:rPr>
          <w:color w:val="000000"/>
          <w:sz w:val="24"/>
        </w:rPr>
      </w:pPr>
      <w:r>
        <w:rPr>
          <w:color w:val="000000"/>
          <w:sz w:val="24"/>
        </w:rPr>
        <w:t xml:space="preserve">自本公告发布之日起5个工作日。</w:t>
      </w:r>
      <w:r/>
    </w:p>
    <w:p>
      <w:pPr>
        <w:pStyle w:val="728"/>
        <w:ind w:firstLine="482"/>
        <w:jc w:val="left"/>
        <w:spacing w:before="0" w:line="360" w:lineRule="auto"/>
        <w:rPr>
          <w:rFonts w:ascii="Times New Roman" w:hAnsi="Times New Roman" w:eastAsia="宋体"/>
          <w:color w:val="000000"/>
          <w:sz w:val="24"/>
          <w:szCs w:val="24"/>
        </w:rPr>
      </w:pPr>
      <w:r/>
      <w:bookmarkStart w:id="29" w:name="_Toc35393626"/>
      <w:r/>
      <w:bookmarkStart w:id="30" w:name="_Toc35393795"/>
      <w:r>
        <w:rPr>
          <w:rFonts w:ascii="Times New Roman" w:hAnsi="Times New Roman" w:eastAsia="宋体"/>
          <w:color w:val="000000"/>
          <w:sz w:val="24"/>
          <w:szCs w:val="24"/>
        </w:rPr>
        <w:t xml:space="preserve">六、其他补充事宜</w:t>
      </w:r>
      <w:bookmarkEnd w:id="29"/>
      <w:r/>
      <w:bookmarkEnd w:id="30"/>
      <w:r/>
      <w:r/>
    </w:p>
    <w:p>
      <w:pPr>
        <w:ind w:firstLine="480"/>
        <w:spacing w:line="360" w:lineRule="auto"/>
        <w:rPr>
          <w:color w:val="000000"/>
          <w:sz w:val="24"/>
          <w:lang w:bidi="ar"/>
        </w:rPr>
      </w:pPr>
      <w:r/>
      <w:bookmarkStart w:id="31" w:name="_Toc35393627"/>
      <w:r/>
      <w:bookmarkStart w:id="32" w:name="_Toc28359085"/>
      <w:r/>
      <w:bookmarkStart w:id="33" w:name="_Toc28359008"/>
      <w:r/>
      <w:bookmarkStart w:id="34" w:name="_Toc35393796"/>
      <w:r>
        <w:rPr>
          <w:rFonts w:hint="eastAsia"/>
          <w:color w:val="000000"/>
          <w:sz w:val="24"/>
          <w:lang w:bidi="ar"/>
        </w:rPr>
        <w:t xml:space="preserve">1.投标保证金：无需缴纳。</w:t>
      </w:r>
      <w:r/>
    </w:p>
    <w:p>
      <w:pPr>
        <w:ind w:firstLine="480"/>
        <w:spacing w:line="360" w:lineRule="auto"/>
        <w:tabs>
          <w:tab w:val="left" w:pos="900" w:leader="none"/>
        </w:tabs>
        <w:rPr>
          <w:color w:val="000000"/>
          <w:sz w:val="24"/>
          <w:lang w:bidi="ar"/>
        </w:rPr>
      </w:pPr>
      <w:r>
        <w:rPr>
          <w:rFonts w:hint="eastAsia"/>
          <w:color w:val="000000"/>
          <w:sz w:val="24"/>
          <w:lang w:bidi="ar"/>
        </w:rPr>
        <w:t xml:space="preserve">2</w:t>
      </w:r>
      <w:bookmarkStart w:id="35" w:name="_Hlk150161828"/>
      <w:r>
        <w:rPr>
          <w:rFonts w:hint="eastAsia"/>
          <w:color w:val="000000"/>
          <w:sz w:val="24"/>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5"/>
      <w:r/>
      <w:r/>
    </w:p>
    <w:p>
      <w:pPr>
        <w:ind w:firstLine="540"/>
        <w:spacing w:line="360" w:lineRule="auto"/>
        <w:rPr>
          <w:color w:val="000000"/>
          <w:sz w:val="24"/>
          <w:lang w:bidi="ar"/>
        </w:rPr>
      </w:pPr>
      <w:r>
        <w:rPr>
          <w:rFonts w:hint="eastAsia"/>
          <w:color w:val="000000"/>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28"/>
        <w:ind w:firstLine="480"/>
        <w:jc w:val="left"/>
        <w:spacing w:before="0" w:line="360" w:lineRule="auto"/>
        <w:rPr>
          <w:rFonts w:ascii="Times New Roman" w:hAnsi="Times New Roman" w:eastAsia="宋体"/>
          <w:b w:val="0"/>
          <w:color w:val="000000"/>
          <w:sz w:val="24"/>
          <w:szCs w:val="24"/>
          <w:lang w:bidi="ar"/>
        </w:rPr>
      </w:pPr>
      <w:r>
        <w:rPr>
          <w:rFonts w:hint="eastAsia" w:ascii="Times New Roman" w:hAnsi="Times New Roman" w:eastAsia="宋体"/>
          <w:b w:val="0"/>
          <w:color w:val="000000"/>
          <w:sz w:val="24"/>
          <w:szCs w:val="24"/>
          <w:lang w:bidi="ar"/>
        </w:rPr>
        <w:t xml:space="preserve">4.采购公告内容与采购文件不一致的，以采购文件为准。</w:t>
      </w:r>
      <w:r/>
    </w:p>
    <w:p>
      <w:pPr>
        <w:pStyle w:val="853"/>
        <w:ind w:firstLine="482"/>
        <w:spacing w:line="360" w:lineRule="auto"/>
        <w:rPr>
          <w:rFonts w:ascii="Times New Roman" w:hAnsi="Times New Roman" w:cs="Times New Roman"/>
          <w:b/>
        </w:rPr>
      </w:pPr>
      <w:r>
        <w:rPr>
          <w:rFonts w:hint="eastAsia" w:ascii="Times New Roman" w:hAnsi="Times New Roman" w:cs="Times New Roman"/>
          <w:b/>
        </w:rPr>
        <w:t xml:space="preserve">5.电子化招投标技术支持电话：0519-85588210</w:t>
      </w:r>
      <w:r>
        <w:rPr>
          <w:rFonts w:ascii="Times New Roman" w:hAnsi="Times New Roman" w:cs="Times New Roman"/>
          <w:b/>
        </w:rPr>
        <w:t xml:space="preserve">/ 0519-85588163</w:t>
      </w:r>
      <w:r/>
    </w:p>
    <w:p>
      <w:pPr>
        <w:pStyle w:val="728"/>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七、对本次招标提出询问，请按以下方式联系。</w:t>
      </w:r>
      <w:bookmarkEnd w:id="31"/>
      <w:r/>
      <w:bookmarkEnd w:id="32"/>
      <w:r/>
      <w:bookmarkEnd w:id="33"/>
      <w:r/>
      <w:bookmarkEnd w:id="34"/>
      <w:r/>
      <w:r/>
    </w:p>
    <w:p>
      <w:pPr>
        <w:ind w:firstLine="482"/>
        <w:jc w:val="left"/>
        <w:spacing w:line="360" w:lineRule="auto"/>
        <w:widowControl/>
        <w:rPr>
          <w:b/>
          <w:color w:val="000000"/>
          <w:sz w:val="24"/>
        </w:rPr>
      </w:pPr>
      <w:r>
        <w:rPr>
          <w:b/>
          <w:color w:val="000000"/>
          <w:sz w:val="24"/>
        </w:rPr>
        <w:t xml:space="preserve">1</w:t>
      </w:r>
      <w:r>
        <w:rPr>
          <w:rFonts w:hint="eastAsia"/>
          <w:b/>
          <w:color w:val="000000"/>
          <w:sz w:val="24"/>
        </w:rPr>
        <w:t xml:space="preserve">.</w:t>
      </w:r>
      <w:r>
        <w:rPr>
          <w:b/>
          <w:color w:val="000000"/>
          <w:sz w:val="24"/>
        </w:rPr>
        <w:t xml:space="preserve">采购人信息</w:t>
      </w:r>
      <w:r/>
    </w:p>
    <w:p>
      <w:pPr>
        <w:ind w:firstLine="480"/>
        <w:jc w:val="left"/>
        <w:spacing w:line="360" w:lineRule="auto"/>
        <w:rPr>
          <w:color w:val="000000"/>
          <w:sz w:val="24"/>
        </w:rPr>
      </w:pPr>
      <w:r/>
      <w:bookmarkStart w:id="36" w:name="_Toc28359086"/>
      <w:r/>
      <w:bookmarkStart w:id="37" w:name="_Toc28359009"/>
      <w:r>
        <w:rPr>
          <w:color w:val="000000"/>
          <w:sz w:val="24"/>
        </w:rPr>
        <w:t xml:space="preserve">名称：</w:t>
      </w:r>
      <w:r>
        <w:rPr>
          <w:rFonts w:hint="eastAsia"/>
          <w:color w:val="000000"/>
          <w:sz w:val="24"/>
        </w:rPr>
        <w:t xml:space="preserve">常州市公安局武进分局</w:t>
      </w:r>
      <w:r/>
    </w:p>
    <w:p>
      <w:pPr>
        <w:ind w:firstLine="480"/>
        <w:jc w:val="left"/>
        <w:spacing w:line="360" w:lineRule="auto"/>
        <w:rPr>
          <w:color w:val="000000"/>
          <w:sz w:val="24"/>
        </w:rPr>
      </w:pPr>
      <w:r>
        <w:rPr>
          <w:color w:val="000000"/>
          <w:sz w:val="24"/>
        </w:rPr>
        <w:t xml:space="preserve">地址：</w:t>
      </w:r>
      <w:r>
        <w:rPr>
          <w:rFonts w:hint="eastAsia"/>
          <w:color w:val="000000"/>
          <w:sz w:val="24"/>
        </w:rPr>
        <w:t xml:space="preserve">常州市武进区湖塘镇长安路18号</w:t>
      </w:r>
      <w:r/>
    </w:p>
    <w:p>
      <w:pPr>
        <w:pStyle w:val="853"/>
        <w:ind w:firstLine="480"/>
        <w:spacing w:line="360" w:lineRule="auto"/>
        <w:rPr>
          <w:rFonts w:hint="eastAsia"/>
        </w:rPr>
      </w:pPr>
      <w:r>
        <w:rPr>
          <w:rFonts w:hint="eastAsia"/>
        </w:rPr>
        <w:t xml:space="preserve">联系人：</w:t>
      </w:r>
      <w:r>
        <w:rPr>
          <w:rFonts w:hint="eastAsia"/>
          <w:lang w:bidi="ar"/>
        </w:rPr>
        <w:t xml:space="preserve">唐警官</w:t>
      </w:r>
      <w:r>
        <w:t xml:space="preserve"> </w:t>
      </w:r>
      <w:r/>
    </w:p>
    <w:p>
      <w:pPr>
        <w:ind w:firstLine="480"/>
        <w:jc w:val="left"/>
        <w:spacing w:line="360" w:lineRule="auto"/>
        <w:rPr>
          <w:color w:val="000000"/>
          <w:sz w:val="24"/>
          <w:u w:val="single"/>
        </w:rPr>
      </w:pPr>
      <w:r>
        <w:rPr>
          <w:color w:val="000000"/>
          <w:sz w:val="24"/>
        </w:rPr>
        <w:t xml:space="preserve">联系方式：</w:t>
      </w:r>
      <w:bookmarkStart w:id="38" w:name="OLE_LINK1"/>
      <w:r>
        <w:rPr>
          <w:color w:val="000000"/>
          <w:sz w:val="24"/>
          <w:lang w:bidi="ar"/>
        </w:rPr>
        <w:t xml:space="preserve">0519-81992120</w:t>
      </w:r>
      <w:bookmarkEnd w:id="38"/>
      <w:r/>
      <w:r/>
    </w:p>
    <w:p>
      <w:pPr>
        <w:ind w:firstLine="482"/>
        <w:jc w:val="left"/>
        <w:spacing w:line="360" w:lineRule="auto"/>
        <w:rPr>
          <w:b/>
          <w:sz w:val="24"/>
        </w:rPr>
      </w:pPr>
      <w:r>
        <w:rPr>
          <w:b/>
          <w:color w:val="000000"/>
          <w:sz w:val="24"/>
        </w:rPr>
        <w:t xml:space="preserve">2</w:t>
      </w:r>
      <w:r>
        <w:rPr>
          <w:rFonts w:hint="eastAsia"/>
          <w:b/>
          <w:color w:val="000000"/>
          <w:sz w:val="24"/>
        </w:rPr>
        <w:t xml:space="preserve">.</w:t>
      </w:r>
      <w:bookmarkEnd w:id="7"/>
      <w:r/>
      <w:bookmarkEnd w:id="36"/>
      <w:r/>
      <w:bookmarkEnd w:id="37"/>
      <w:r>
        <w:rPr>
          <w:b/>
          <w:sz w:val="24"/>
        </w:rPr>
        <w:t xml:space="preserve"> </w:t>
      </w:r>
      <w:r>
        <w:rPr>
          <w:rFonts w:hint="eastAsia"/>
          <w:b/>
          <w:bCs/>
          <w:sz w:val="24"/>
        </w:rPr>
        <w:t xml:space="preserve">采购</w:t>
      </w:r>
      <w:r>
        <w:rPr>
          <w:rFonts w:hint="eastAsia"/>
          <w:b/>
          <w:sz w:val="24"/>
        </w:rPr>
        <w:t xml:space="preserve">代理机构</w:t>
      </w:r>
      <w:r>
        <w:rPr>
          <w:rFonts w:hint="eastAsia"/>
          <w:b/>
          <w:bCs/>
          <w:sz w:val="24"/>
        </w:rPr>
        <w:t xml:space="preserve">信息</w:t>
      </w:r>
      <w:r/>
    </w:p>
    <w:p>
      <w:pPr>
        <w:ind w:firstLine="480"/>
        <w:jc w:val="left"/>
        <w:spacing w:line="360" w:lineRule="auto"/>
        <w:rPr>
          <w:sz w:val="24"/>
        </w:rPr>
      </w:pPr>
      <w:r>
        <w:rPr>
          <w:rFonts w:hint="eastAsia"/>
          <w:sz w:val="24"/>
        </w:rPr>
        <w:t xml:space="preserve">单位名称：江苏嘉加诚工程投资咨询有限公司</w:t>
      </w:r>
      <w:r/>
    </w:p>
    <w:p>
      <w:pPr>
        <w:ind w:firstLine="480"/>
        <w:jc w:val="left"/>
        <w:spacing w:line="360" w:lineRule="auto"/>
        <w:rPr>
          <w:sz w:val="24"/>
        </w:rPr>
      </w:pPr>
      <w:r>
        <w:rPr>
          <w:rFonts w:hint="eastAsia"/>
          <w:sz w:val="24"/>
        </w:rPr>
        <w:t xml:space="preserve">单位地址</w:t>
      </w:r>
      <w:r>
        <w:rPr>
          <w:sz w:val="24"/>
        </w:rPr>
        <w:t xml:space="preserve">：</w:t>
      </w:r>
      <w:r>
        <w:rPr>
          <w:rFonts w:hint="eastAsia"/>
          <w:sz w:val="24"/>
        </w:rPr>
        <w:t xml:space="preserve">常州市武进区晓柳花苑一期007号</w:t>
      </w:r>
      <w:r/>
    </w:p>
    <w:p>
      <w:pPr>
        <w:ind w:firstLine="480"/>
        <w:jc w:val="left"/>
        <w:spacing w:line="360" w:lineRule="auto"/>
        <w:rPr>
          <w:sz w:val="24"/>
        </w:rPr>
      </w:pPr>
      <w:r>
        <w:rPr>
          <w:rFonts w:hint="eastAsia"/>
          <w:sz w:val="24"/>
        </w:rPr>
        <w:t xml:space="preserve">联系人</w:t>
      </w:r>
      <w:r>
        <w:rPr>
          <w:sz w:val="24"/>
        </w:rPr>
        <w:t xml:space="preserve">：</w:t>
      </w:r>
      <w:r>
        <w:rPr>
          <w:rFonts w:hint="eastAsia"/>
          <w:sz w:val="24"/>
        </w:rPr>
        <w:t xml:space="preserve">王工</w:t>
      </w:r>
      <w:r/>
    </w:p>
    <w:p>
      <w:pPr>
        <w:ind w:firstLine="480"/>
        <w:jc w:val="left"/>
        <w:spacing w:line="360" w:lineRule="auto"/>
        <w:rPr>
          <w:sz w:val="24"/>
        </w:rPr>
      </w:pPr>
      <w:r>
        <w:rPr>
          <w:rFonts w:hint="eastAsia"/>
          <w:sz w:val="24"/>
        </w:rPr>
        <w:t xml:space="preserve">联系电话：0519-88887808   </w:t>
      </w:r>
      <w:r/>
    </w:p>
    <w:p>
      <w:pPr>
        <w:ind w:firstLine="482"/>
        <w:jc w:val="left"/>
        <w:spacing w:line="360" w:lineRule="auto"/>
        <w:rPr>
          <w:color w:val="000000"/>
          <w:sz w:val="24"/>
        </w:rPr>
      </w:pPr>
      <w:r>
        <w:rPr>
          <w:color w:val="000000"/>
          <w:sz w:val="24"/>
        </w:rPr>
      </w:r>
      <w:r/>
    </w:p>
    <w:p>
      <w:pPr>
        <w:jc w:val="center"/>
        <w:spacing w:line="360" w:lineRule="auto"/>
        <w:rPr>
          <w:b/>
          <w:color w:val="000000"/>
          <w:sz w:val="32"/>
          <w:szCs w:val="32"/>
        </w:rPr>
        <w:outlineLvl w:val="0"/>
      </w:pPr>
      <w:r>
        <w:rPr>
          <w:color w:val="000000"/>
          <w:sz w:val="24"/>
        </w:rPr>
        <w:br w:type="page" w:clear="all"/>
      </w:r>
      <w:bookmarkStart w:id="39" w:name="_Toc305158854"/>
      <w:r/>
      <w:bookmarkStart w:id="40" w:name="_Toc353873938"/>
      <w:r/>
      <w:bookmarkStart w:id="41" w:name="_Toc226965856"/>
      <w:r/>
      <w:bookmarkStart w:id="42" w:name="_Toc264969275"/>
      <w:r/>
      <w:bookmarkStart w:id="43" w:name="_Toc353825548"/>
      <w:r/>
      <w:bookmarkStart w:id="44" w:name="_Toc195842950"/>
      <w:r/>
      <w:bookmarkStart w:id="45" w:name="_Toc99301420"/>
      <w:r/>
      <w:bookmarkStart w:id="46" w:name="_Toc265228423"/>
      <w:r/>
      <w:bookmarkStart w:id="47" w:name="_Toc305158928"/>
      <w:r/>
      <w:bookmarkStart w:id="48" w:name="_Toc512937850"/>
      <w:r/>
      <w:bookmarkStart w:id="49" w:name="_Toc150774783"/>
      <w:r/>
      <w:bookmarkStart w:id="50" w:name="_Toc127161488"/>
      <w:r/>
      <w:bookmarkStart w:id="51" w:name="_Toc127151777"/>
      <w:r>
        <w:rPr>
          <w:b/>
          <w:color w:val="000000"/>
          <w:sz w:val="36"/>
          <w:szCs w:val="36"/>
        </w:rPr>
        <w:t xml:space="preserve">第二章   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
    </w:p>
    <w:p>
      <w:pPr>
        <w:pStyle w:val="728"/>
        <w:spacing w:before="0" w:line="360" w:lineRule="auto"/>
        <w:tabs>
          <w:tab w:val="center" w:pos="4592" w:leader="none"/>
          <w:tab w:val="left" w:pos="7860" w:leader="none"/>
        </w:tabs>
        <w:rPr>
          <w:rFonts w:ascii="Times New Roman" w:hAnsi="Times New Roman" w:eastAsia="宋体"/>
          <w:color w:val="000000"/>
          <w:sz w:val="32"/>
          <w:szCs w:val="32"/>
        </w:rPr>
      </w:pPr>
      <w:r/>
      <w:bookmarkStart w:id="52" w:name="_Toc151193907"/>
      <w:r/>
      <w:bookmarkStart w:id="53" w:name="_Toc150774619"/>
      <w:r/>
      <w:bookmarkStart w:id="54" w:name="_Toc150509270"/>
      <w:r/>
      <w:bookmarkStart w:id="55" w:name="_Toc164608788"/>
      <w:r/>
      <w:bookmarkStart w:id="56" w:name="_Toc151193689"/>
      <w:r/>
      <w:bookmarkStart w:id="57" w:name="_Toc164229214"/>
      <w:r/>
      <w:bookmarkStart w:id="58" w:name="_Toc151193617"/>
      <w:r/>
      <w:bookmarkStart w:id="59" w:name="_Toc150774724"/>
      <w:r/>
      <w:bookmarkStart w:id="60" w:name="_Toc195842884"/>
      <w:r/>
      <w:bookmarkStart w:id="61" w:name="_Toc150480757"/>
      <w:r/>
      <w:bookmarkStart w:id="62" w:name="_Toc164608633"/>
      <w:r/>
      <w:bookmarkStart w:id="63" w:name="_Toc226309763"/>
      <w:r/>
      <w:bookmarkStart w:id="64" w:name="_Toc149720812"/>
      <w:r/>
      <w:bookmarkStart w:id="65" w:name="_Toc127151720"/>
      <w:r/>
      <w:bookmarkStart w:id="66" w:name="_Toc127151519"/>
      <w:r/>
      <w:bookmarkStart w:id="67" w:name="_Toc127161433"/>
      <w:r/>
      <w:bookmarkStart w:id="68" w:name="_Toc151193833"/>
      <w:r/>
      <w:bookmarkStart w:id="69" w:name="_Toc151193761"/>
      <w:r/>
      <w:bookmarkStart w:id="70" w:name="_Toc226337215"/>
      <w:r/>
      <w:bookmarkStart w:id="71" w:name="_Toc142311021"/>
      <w:r/>
      <w:bookmarkStart w:id="72" w:name="_Toc520356144"/>
      <w:r/>
      <w:bookmarkStart w:id="73" w:name="_Toc226965709"/>
      <w:r/>
      <w:bookmarkStart w:id="74" w:name="_Toc226965792"/>
      <w:r/>
      <w:bookmarkStart w:id="75" w:name="_Toc164351613"/>
      <w:r/>
      <w:bookmarkStart w:id="76" w:name="_Toc164229360"/>
      <w:r/>
      <w:bookmarkStart w:id="77" w:name="_Toc151190146"/>
      <w:r>
        <w:rPr>
          <w:rFonts w:ascii="Times New Roman" w:hAnsi="Times New Roman" w:eastAsia="宋体"/>
          <w:color w:val="000000"/>
          <w:sz w:val="32"/>
          <w:szCs w:val="32"/>
        </w:rPr>
        <w:t xml:space="preserve">第一节</w:t>
      </w:r>
      <w:r>
        <w:rPr>
          <w:rFonts w:hint="eastAsia" w:ascii="Times New Roman" w:hAnsi="Times New Roman" w:eastAsia="宋体"/>
          <w:color w:val="000000"/>
          <w:sz w:val="32"/>
          <w:szCs w:val="32"/>
        </w:rPr>
        <w:t xml:space="preserve"> </w:t>
      </w:r>
      <w:r>
        <w:rPr>
          <w:rFonts w:ascii="Times New Roman" w:hAnsi="Times New Roman" w:eastAsia="宋体"/>
          <w:color w:val="000000"/>
          <w:sz w:val="32"/>
          <w:szCs w:val="32"/>
        </w:rPr>
        <w:t xml:space="preserve">投标人须知资料表</w:t>
      </w:r>
      <w:r/>
    </w:p>
    <w:tbl>
      <w:tblPr>
        <w:tblStyle w:val="737"/>
        <w:tblW w:w="99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701"/>
        <w:gridCol w:w="7467"/>
      </w:tblGrid>
      <w:tr>
        <w:trPr>
          <w:jc w:val="center"/>
          <w:trHeight w:val="534"/>
          <w:tblHeader/>
        </w:trPr>
        <w:tc>
          <w:tcPr>
            <w:tcW w:w="738" w:type="dxa"/>
            <w:vAlign w:val="center"/>
            <w:textDirection w:val="lrTb"/>
            <w:noWrap w:val="false"/>
          </w:tcPr>
          <w:p>
            <w:pPr>
              <w:jc w:val="center"/>
              <w:rPr>
                <w:b/>
                <w:bCs/>
                <w:color w:val="000000"/>
                <w:sz w:val="24"/>
              </w:rPr>
            </w:pPr>
            <w:r>
              <w:rPr>
                <w:rFonts w:hint="eastAsia"/>
                <w:b/>
                <w:color w:val="000000"/>
                <w:sz w:val="24"/>
              </w:rPr>
              <w:t xml:space="preserve">序号</w:t>
            </w:r>
            <w:r/>
          </w:p>
        </w:tc>
        <w:tc>
          <w:tcPr>
            <w:tcW w:w="1701" w:type="dxa"/>
            <w:vAlign w:val="center"/>
            <w:textDirection w:val="lrTb"/>
            <w:noWrap w:val="false"/>
          </w:tcPr>
          <w:p>
            <w:pPr>
              <w:jc w:val="center"/>
              <w:rPr>
                <w:b/>
                <w:bCs/>
                <w:color w:val="000000"/>
                <w:sz w:val="24"/>
              </w:rPr>
            </w:pPr>
            <w:r>
              <w:rPr>
                <w:b/>
                <w:bCs/>
                <w:color w:val="000000"/>
                <w:sz w:val="24"/>
              </w:rPr>
              <w:t xml:space="preserve">条目</w:t>
            </w:r>
            <w:r/>
          </w:p>
        </w:tc>
        <w:tc>
          <w:tcPr>
            <w:tcW w:w="7467" w:type="dxa"/>
            <w:vAlign w:val="center"/>
            <w:textDirection w:val="lrTb"/>
            <w:noWrap w:val="false"/>
          </w:tcPr>
          <w:p>
            <w:pPr>
              <w:jc w:val="center"/>
              <w:rPr>
                <w:b/>
                <w:bCs/>
                <w:color w:val="000000"/>
                <w:sz w:val="24"/>
              </w:rPr>
            </w:pPr>
            <w:r>
              <w:rPr>
                <w:b/>
                <w:bCs/>
                <w:color w:val="000000"/>
                <w:sz w:val="24"/>
              </w:rPr>
              <w:t xml:space="preserve">内容</w:t>
            </w:r>
            <w:r/>
          </w:p>
        </w:tc>
      </w:tr>
      <w:tr>
        <w:trPr>
          <w:jc w:val="center"/>
          <w:trHeight w:val="479"/>
        </w:trPr>
        <w:tc>
          <w:tcPr>
            <w:tcW w:w="738" w:type="dxa"/>
            <w:vAlign w:val="center"/>
            <w:textDirection w:val="lrTb"/>
            <w:noWrap w:val="false"/>
          </w:tcPr>
          <w:p>
            <w:pPr>
              <w:pStyle w:val="750"/>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w:t>
            </w:r>
            <w:r/>
          </w:p>
        </w:tc>
        <w:tc>
          <w:tcPr>
            <w:tcW w:w="1701" w:type="dxa"/>
            <w:vAlign w:val="center"/>
            <w:textDirection w:val="lrTb"/>
            <w:noWrap w:val="false"/>
          </w:tcPr>
          <w:p>
            <w:pPr>
              <w:jc w:val="center"/>
              <w:spacing w:line="360" w:lineRule="exact"/>
              <w:rPr>
                <w:color w:val="000000"/>
                <w:sz w:val="24"/>
              </w:rPr>
            </w:pPr>
            <w:r>
              <w:rPr>
                <w:color w:val="000000"/>
                <w:sz w:val="24"/>
              </w:rPr>
              <w:t xml:space="preserve">项目属性</w:t>
            </w:r>
            <w:r/>
          </w:p>
        </w:tc>
        <w:tc>
          <w:tcPr>
            <w:tcW w:w="7467" w:type="dxa"/>
            <w:vAlign w:val="center"/>
            <w:textDirection w:val="lrTb"/>
            <w:noWrap w:val="false"/>
          </w:tcPr>
          <w:p>
            <w:pPr>
              <w:jc w:val="left"/>
              <w:spacing w:line="360" w:lineRule="exact"/>
              <w:rPr>
                <w:color w:val="000000"/>
                <w:sz w:val="24"/>
                <w:u w:val="single"/>
              </w:rPr>
            </w:pPr>
            <w:r>
              <w:rPr>
                <w:color w:val="000000"/>
                <w:sz w:val="24"/>
              </w:rPr>
              <w:t xml:space="preserve">项目属性：服务</w:t>
            </w:r>
            <w:r/>
          </w:p>
        </w:tc>
      </w:tr>
      <w:tr>
        <w:trPr>
          <w:jc w:val="center"/>
          <w:trHeight w:val="543"/>
        </w:trPr>
        <w:tc>
          <w:tcPr>
            <w:tcW w:w="738" w:type="dxa"/>
            <w:vAlign w:val="center"/>
            <w:textDirection w:val="lrTb"/>
            <w:noWrap w:val="false"/>
          </w:tcPr>
          <w:p>
            <w:pPr>
              <w:pStyle w:val="750"/>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2</w:t>
            </w:r>
            <w:r/>
          </w:p>
        </w:tc>
        <w:tc>
          <w:tcPr>
            <w:tcW w:w="1701" w:type="dxa"/>
            <w:vAlign w:val="center"/>
            <w:textDirection w:val="lrTb"/>
            <w:noWrap w:val="false"/>
          </w:tcPr>
          <w:p>
            <w:pPr>
              <w:jc w:val="center"/>
              <w:spacing w:line="360" w:lineRule="exact"/>
              <w:rPr>
                <w:color w:val="000000"/>
                <w:sz w:val="24"/>
              </w:rPr>
            </w:pPr>
            <w:r>
              <w:rPr>
                <w:color w:val="000000"/>
                <w:sz w:val="24"/>
              </w:rPr>
              <w:t xml:space="preserve">科研仪器设备</w:t>
            </w:r>
            <w:r/>
          </w:p>
        </w:tc>
        <w:tc>
          <w:tcPr>
            <w:tcW w:w="7467" w:type="dxa"/>
            <w:vAlign w:val="center"/>
            <w:textDirection w:val="lrTb"/>
            <w:noWrap w:val="false"/>
          </w:tcPr>
          <w:p>
            <w:pPr>
              <w:jc w:val="left"/>
              <w:spacing w:line="360" w:lineRule="exact"/>
              <w:rPr>
                <w:color w:val="000000"/>
                <w:sz w:val="24"/>
              </w:rPr>
            </w:pPr>
            <w:r>
              <w:rPr>
                <w:color w:val="000000"/>
                <w:sz w:val="24"/>
              </w:rPr>
              <w:t xml:space="preserve">是否属于科研仪器设备采购项目：否</w:t>
            </w:r>
            <w:r/>
          </w:p>
        </w:tc>
      </w:tr>
      <w:tr>
        <w:trPr>
          <w:jc w:val="center"/>
          <w:trHeight w:val="409"/>
        </w:trPr>
        <w:tc>
          <w:tcPr>
            <w:tcW w:w="738" w:type="dxa"/>
            <w:vAlign w:val="center"/>
            <w:textDirection w:val="lrTb"/>
            <w:noWrap w:val="false"/>
          </w:tcPr>
          <w:p>
            <w:pPr>
              <w:pStyle w:val="750"/>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3</w:t>
            </w:r>
            <w:r/>
          </w:p>
        </w:tc>
        <w:tc>
          <w:tcPr>
            <w:tcW w:w="1701" w:type="dxa"/>
            <w:vAlign w:val="center"/>
            <w:textDirection w:val="lrTb"/>
            <w:noWrap w:val="false"/>
          </w:tcPr>
          <w:p>
            <w:pPr>
              <w:jc w:val="center"/>
              <w:spacing w:line="360" w:lineRule="exact"/>
              <w:rPr>
                <w:color w:val="000000"/>
                <w:sz w:val="24"/>
              </w:rPr>
            </w:pPr>
            <w:r>
              <w:rPr>
                <w:color w:val="000000"/>
                <w:sz w:val="24"/>
              </w:rPr>
              <w:t xml:space="preserve">核心产品</w:t>
            </w:r>
            <w:r/>
          </w:p>
        </w:tc>
        <w:tc>
          <w:tcPr>
            <w:tcW w:w="7467" w:type="dxa"/>
            <w:vAlign w:val="center"/>
            <w:textDirection w:val="lrTb"/>
            <w:noWrap w:val="false"/>
          </w:tcPr>
          <w:p>
            <w:pPr>
              <w:pStyle w:val="750"/>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关于核心产品，本项目：不适用。</w:t>
            </w:r>
            <w:r/>
          </w:p>
        </w:tc>
      </w:tr>
      <w:tr>
        <w:trPr>
          <w:jc w:val="center"/>
          <w:trHeight w:val="416"/>
        </w:trPr>
        <w:tc>
          <w:tcPr>
            <w:tcW w:w="738" w:type="dxa"/>
            <w:vAlign w:val="center"/>
            <w:textDirection w:val="lrTb"/>
            <w:noWrap w:val="false"/>
          </w:tcPr>
          <w:p>
            <w:pPr>
              <w:pStyle w:val="750"/>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4</w:t>
            </w:r>
            <w:r/>
          </w:p>
        </w:tc>
        <w:tc>
          <w:tcPr>
            <w:tcW w:w="1701" w:type="dxa"/>
            <w:vAlign w:val="center"/>
            <w:textDirection w:val="lrTb"/>
            <w:noWrap w:val="false"/>
          </w:tcPr>
          <w:p>
            <w:pPr>
              <w:jc w:val="center"/>
              <w:spacing w:line="360" w:lineRule="exact"/>
              <w:rPr>
                <w:color w:val="000000"/>
                <w:sz w:val="24"/>
              </w:rPr>
            </w:pPr>
            <w:r>
              <w:rPr>
                <w:color w:val="000000"/>
                <w:sz w:val="24"/>
              </w:rPr>
              <w:t xml:space="preserve">现场考察</w:t>
            </w:r>
            <w:r/>
          </w:p>
        </w:tc>
        <w:tc>
          <w:tcPr>
            <w:tcW w:w="7467" w:type="dxa"/>
            <w:vAlign w:val="center"/>
            <w:textDirection w:val="lrTb"/>
            <w:noWrap w:val="false"/>
          </w:tcPr>
          <w:p>
            <w:pPr>
              <w:jc w:val="left"/>
              <w:spacing w:line="360" w:lineRule="exact"/>
              <w:rPr>
                <w:color w:val="000000"/>
                <w:sz w:val="24"/>
              </w:rPr>
            </w:pPr>
            <w:r>
              <w:rPr>
                <w:color w:val="000000"/>
                <w:sz w:val="24"/>
              </w:rPr>
              <w:t xml:space="preserve">不组织</w:t>
            </w:r>
            <w:r/>
          </w:p>
        </w:tc>
      </w:tr>
      <w:tr>
        <w:trPr>
          <w:jc w:val="center"/>
          <w:trHeight w:val="422"/>
        </w:trPr>
        <w:tc>
          <w:tcPr>
            <w:tcW w:w="738" w:type="dxa"/>
            <w:vAlign w:val="center"/>
            <w:textDirection w:val="lrTb"/>
            <w:noWrap w:val="false"/>
          </w:tcPr>
          <w:p>
            <w:pPr>
              <w:pStyle w:val="750"/>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5</w:t>
            </w:r>
            <w:r/>
          </w:p>
        </w:tc>
        <w:tc>
          <w:tcPr>
            <w:tcW w:w="1701" w:type="dxa"/>
            <w:vAlign w:val="center"/>
            <w:textDirection w:val="lrTb"/>
            <w:noWrap w:val="false"/>
          </w:tcPr>
          <w:p>
            <w:pPr>
              <w:jc w:val="center"/>
              <w:spacing w:line="360" w:lineRule="exact"/>
              <w:rPr>
                <w:color w:val="000000"/>
                <w:sz w:val="24"/>
              </w:rPr>
            </w:pPr>
            <w:r>
              <w:rPr>
                <w:color w:val="000000"/>
                <w:sz w:val="24"/>
              </w:rPr>
              <w:t xml:space="preserve">开标前答疑会</w:t>
            </w:r>
            <w:r/>
          </w:p>
        </w:tc>
        <w:tc>
          <w:tcPr>
            <w:tcW w:w="7467" w:type="dxa"/>
            <w:vAlign w:val="center"/>
            <w:textDirection w:val="lrTb"/>
            <w:noWrap w:val="false"/>
          </w:tcPr>
          <w:p>
            <w:pPr>
              <w:jc w:val="left"/>
              <w:spacing w:line="360" w:lineRule="exact"/>
              <w:rPr>
                <w:color w:val="000000"/>
                <w:sz w:val="24"/>
              </w:rPr>
            </w:pPr>
            <w:r>
              <w:rPr>
                <w:color w:val="000000"/>
                <w:sz w:val="24"/>
              </w:rPr>
              <w:t xml:space="preserve">不召开</w:t>
            </w:r>
            <w:r/>
          </w:p>
        </w:tc>
      </w:tr>
      <w:tr>
        <w:trPr>
          <w:jc w:val="center"/>
          <w:trHeight w:val="414"/>
        </w:trPr>
        <w:tc>
          <w:tcPr>
            <w:tcW w:w="738" w:type="dxa"/>
            <w:vAlign w:val="center"/>
            <w:textDirection w:val="lrTb"/>
            <w:noWrap w:val="false"/>
          </w:tcPr>
          <w:p>
            <w:pPr>
              <w:pStyle w:val="750"/>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6</w:t>
            </w:r>
            <w:r/>
          </w:p>
        </w:tc>
        <w:tc>
          <w:tcPr>
            <w:tcW w:w="1701" w:type="dxa"/>
            <w:vAlign w:val="center"/>
            <w:textDirection w:val="lrTb"/>
            <w:noWrap w:val="false"/>
          </w:tcPr>
          <w:p>
            <w:pPr>
              <w:jc w:val="center"/>
              <w:spacing w:line="360" w:lineRule="exact"/>
              <w:rPr>
                <w:color w:val="000000"/>
                <w:sz w:val="24"/>
              </w:rPr>
            </w:pPr>
            <w:r>
              <w:rPr>
                <w:color w:val="000000"/>
                <w:sz w:val="24"/>
              </w:rPr>
              <w:t xml:space="preserve">样品</w:t>
            </w:r>
            <w:r/>
          </w:p>
        </w:tc>
        <w:tc>
          <w:tcPr>
            <w:tcW w:w="7467" w:type="dxa"/>
            <w:vAlign w:val="center"/>
            <w:textDirection w:val="lrTb"/>
            <w:noWrap w:val="false"/>
          </w:tcPr>
          <w:p>
            <w:pPr>
              <w:jc w:val="left"/>
              <w:spacing w:line="360" w:lineRule="exact"/>
              <w:rPr>
                <w:color w:val="000000"/>
                <w:sz w:val="24"/>
              </w:rPr>
            </w:pPr>
            <w:r>
              <w:rPr>
                <w:color w:val="000000"/>
                <w:sz w:val="24"/>
              </w:rPr>
              <w:t xml:space="preserve">投标样品递交：不需要</w:t>
            </w:r>
            <w:r/>
          </w:p>
        </w:tc>
      </w:tr>
      <w:tr>
        <w:trPr>
          <w:jc w:val="center"/>
          <w:trHeight w:val="805"/>
        </w:trPr>
        <w:tc>
          <w:tcPr>
            <w:tcW w:w="738" w:type="dxa"/>
            <w:vAlign w:val="center"/>
            <w:textDirection w:val="lrTb"/>
            <w:noWrap w:val="false"/>
          </w:tcPr>
          <w:p>
            <w:pPr>
              <w:pStyle w:val="750"/>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7</w:t>
            </w:r>
            <w:r/>
          </w:p>
        </w:tc>
        <w:tc>
          <w:tcPr>
            <w:tcW w:w="1701" w:type="dxa"/>
            <w:vAlign w:val="center"/>
            <w:textDirection w:val="lrTb"/>
            <w:noWrap w:val="false"/>
          </w:tcPr>
          <w:p>
            <w:pPr>
              <w:jc w:val="center"/>
              <w:spacing w:line="360" w:lineRule="exact"/>
              <w:rPr>
                <w:color w:val="000000"/>
                <w:sz w:val="24"/>
              </w:rPr>
            </w:pPr>
            <w:r>
              <w:rPr>
                <w:color w:val="000000"/>
                <w:sz w:val="24"/>
              </w:rPr>
              <w:t xml:space="preserve">是否专门面向中小企业</w:t>
            </w:r>
            <w:r/>
          </w:p>
        </w:tc>
        <w:tc>
          <w:tcPr>
            <w:tcW w:w="7467" w:type="dxa"/>
            <w:vAlign w:val="center"/>
            <w:textDirection w:val="lrTb"/>
            <w:noWrap w:val="false"/>
          </w:tcPr>
          <w:p>
            <w:pPr>
              <w:jc w:val="left"/>
              <w:spacing w:line="360" w:lineRule="exact"/>
              <w:rPr>
                <w:color w:val="000000"/>
                <w:sz w:val="24"/>
              </w:rPr>
            </w:pPr>
            <w:r>
              <w:rPr>
                <w:rFonts w:hint="eastAsia"/>
                <w:color w:val="000000"/>
                <w:sz w:val="24"/>
              </w:rPr>
              <w:t xml:space="preserve">本项目非专门面向中小企业采购，对于符合规定的小微企业报价给予</w:t>
            </w:r>
            <w:r>
              <w:rPr>
                <w:rFonts w:hint="eastAsia"/>
                <w:color w:val="000000"/>
                <w:sz w:val="24"/>
                <w:u w:val="single"/>
              </w:rPr>
              <w:t xml:space="preserve">10%</w:t>
            </w:r>
            <w:r>
              <w:rPr>
                <w:rFonts w:hint="eastAsia"/>
                <w:color w:val="000000"/>
                <w:sz w:val="24"/>
              </w:rPr>
              <w:t xml:space="preserve">的扣除，用扣除后的价格参与评审。</w:t>
            </w:r>
            <w:r/>
          </w:p>
        </w:tc>
      </w:tr>
      <w:tr>
        <w:trPr>
          <w:jc w:val="center"/>
          <w:trHeight w:val="776"/>
        </w:trPr>
        <w:tc>
          <w:tcPr>
            <w:tcW w:w="738" w:type="dxa"/>
            <w:vAlign w:val="center"/>
            <w:textDirection w:val="lrTb"/>
            <w:noWrap w:val="false"/>
          </w:tcPr>
          <w:p>
            <w:pPr>
              <w:pStyle w:val="750"/>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8</w:t>
            </w:r>
            <w:r/>
          </w:p>
        </w:tc>
        <w:tc>
          <w:tcPr>
            <w:tcW w:w="1701" w:type="dxa"/>
            <w:vAlign w:val="center"/>
            <w:textDirection w:val="lrTb"/>
            <w:noWrap w:val="false"/>
          </w:tcPr>
          <w:p>
            <w:pPr>
              <w:jc w:val="center"/>
              <w:spacing w:line="360" w:lineRule="exact"/>
              <w:rPr>
                <w:color w:val="000000"/>
                <w:sz w:val="24"/>
              </w:rPr>
            </w:pPr>
            <w:r>
              <w:rPr>
                <w:rFonts w:hint="eastAsia"/>
                <w:color w:val="000000"/>
                <w:sz w:val="24"/>
              </w:rPr>
              <w:t xml:space="preserve">本国产品政策支持</w:t>
            </w:r>
            <w:r/>
          </w:p>
        </w:tc>
        <w:tc>
          <w:tcPr>
            <w:tcW w:w="7467" w:type="dxa"/>
            <w:vAlign w:val="center"/>
            <w:textDirection w:val="lrTb"/>
            <w:noWrap w:val="false"/>
          </w:tcPr>
          <w:p>
            <w:pPr>
              <w:jc w:val="left"/>
              <w:spacing w:line="360" w:lineRule="exact"/>
              <w:rPr>
                <w:color w:val="000000"/>
                <w:sz w:val="24"/>
              </w:rPr>
            </w:pPr>
            <w:r>
              <w:rPr>
                <w:color w:val="000000"/>
                <w:sz w:val="24"/>
              </w:rPr>
              <w:t xml:space="preserve">关于</w:t>
            </w:r>
            <w:r>
              <w:rPr>
                <w:rFonts w:hint="eastAsia"/>
                <w:color w:val="000000"/>
                <w:sz w:val="24"/>
              </w:rPr>
              <w:t xml:space="preserve">对采购本国产品给予政策支持，本项目：不适用。</w:t>
            </w:r>
            <w:r/>
          </w:p>
          <w:p>
            <w:pPr>
              <w:jc w:val="left"/>
              <w:spacing w:line="360" w:lineRule="exact"/>
              <w:rPr>
                <w:color w:val="000000"/>
                <w:sz w:val="24"/>
              </w:rPr>
            </w:pPr>
            <w:r>
              <w:rPr>
                <w:rFonts w:hint="eastAsia"/>
                <w:color w:val="000000"/>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473"/>
        </w:trPr>
        <w:tc>
          <w:tcPr>
            <w:tcW w:w="738" w:type="dxa"/>
            <w:vAlign w:val="center"/>
            <w:textDirection w:val="lrTb"/>
            <w:noWrap w:val="false"/>
          </w:tcPr>
          <w:p>
            <w:pPr>
              <w:pStyle w:val="750"/>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9</w:t>
            </w:r>
            <w:r/>
          </w:p>
        </w:tc>
        <w:tc>
          <w:tcPr>
            <w:tcW w:w="1701" w:type="dxa"/>
            <w:vAlign w:val="center"/>
            <w:textDirection w:val="lrTb"/>
            <w:noWrap w:val="false"/>
          </w:tcPr>
          <w:p>
            <w:pPr>
              <w:jc w:val="center"/>
              <w:spacing w:line="360" w:lineRule="exact"/>
              <w:rPr>
                <w:color w:val="000000"/>
                <w:sz w:val="24"/>
              </w:rPr>
            </w:pPr>
            <w:r>
              <w:rPr>
                <w:color w:val="000000"/>
                <w:sz w:val="24"/>
              </w:rPr>
              <w:t xml:space="preserve">标的所属行业</w:t>
            </w:r>
            <w:r/>
          </w:p>
        </w:tc>
        <w:tc>
          <w:tcPr>
            <w:tcW w:w="7467" w:type="dxa"/>
            <w:vAlign w:val="center"/>
            <w:textDirection w:val="lrTb"/>
            <w:noWrap w:val="false"/>
          </w:tcPr>
          <w:p>
            <w:pPr>
              <w:jc w:val="left"/>
              <w:spacing w:line="360" w:lineRule="exact"/>
              <w:rPr>
                <w:color w:val="000000"/>
                <w:sz w:val="24"/>
              </w:rPr>
            </w:pPr>
            <w:r>
              <w:rPr>
                <w:rFonts w:hint="eastAsia"/>
                <w:color w:val="000000"/>
                <w:sz w:val="24"/>
              </w:rPr>
              <w:t xml:space="preserve">本项目属于</w:t>
            </w:r>
            <w:r>
              <w:rPr>
                <w:rFonts w:hint="eastAsia"/>
                <w:b/>
                <w:bCs/>
                <w:color w:val="000000"/>
                <w:sz w:val="24"/>
                <w:u w:val="single"/>
              </w:rPr>
              <w:t xml:space="preserve">服务类</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b/>
                <w:bCs/>
                <w:color w:val="000000"/>
                <w:sz w:val="24"/>
                <w:u w:val="single"/>
              </w:rPr>
              <w:t xml:space="preserve">软件和信息技术服务业</w:t>
            </w:r>
            <w:r>
              <w:rPr>
                <w:rFonts w:hint="eastAsia"/>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p>
        </w:tc>
      </w:tr>
      <w:tr>
        <w:trPr>
          <w:jc w:val="center"/>
          <w:trHeight w:val="588"/>
        </w:trPr>
        <w:tc>
          <w:tcPr>
            <w:tcW w:w="738" w:type="dxa"/>
            <w:vAlign w:val="center"/>
            <w:textDirection w:val="lrTb"/>
            <w:noWrap w:val="false"/>
          </w:tcPr>
          <w:p>
            <w:pPr>
              <w:pStyle w:val="750"/>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10</w:t>
            </w:r>
            <w:r/>
          </w:p>
        </w:tc>
        <w:tc>
          <w:tcPr>
            <w:tcW w:w="1701" w:type="dxa"/>
            <w:vAlign w:val="center"/>
            <w:textDirection w:val="lrTb"/>
            <w:noWrap w:val="false"/>
          </w:tcPr>
          <w:p>
            <w:pPr>
              <w:jc w:val="center"/>
              <w:spacing w:line="360" w:lineRule="exact"/>
              <w:rPr>
                <w:color w:val="000000"/>
                <w:sz w:val="24"/>
              </w:rPr>
            </w:pPr>
            <w:r>
              <w:rPr>
                <w:rFonts w:hint="eastAsia"/>
                <w:color w:val="000000"/>
                <w:sz w:val="24"/>
              </w:rPr>
              <w:t xml:space="preserve">履约保证金</w:t>
            </w:r>
            <w:r/>
          </w:p>
        </w:tc>
        <w:tc>
          <w:tcPr>
            <w:tcW w:w="7467" w:type="dxa"/>
            <w:vAlign w:val="center"/>
            <w:textDirection w:val="lrTb"/>
            <w:noWrap w:val="false"/>
          </w:tcPr>
          <w:p>
            <w:pPr>
              <w:jc w:val="left"/>
              <w:spacing w:line="360" w:lineRule="exact"/>
              <w:rPr>
                <w:color w:val="000000"/>
                <w:sz w:val="24"/>
              </w:rPr>
            </w:pPr>
            <w:r>
              <w:rPr>
                <w:rFonts w:hint="eastAsia"/>
                <w:color w:val="000000"/>
                <w:sz w:val="24"/>
              </w:rPr>
              <w:t xml:space="preserve">不收取</w:t>
            </w:r>
            <w:r/>
          </w:p>
        </w:tc>
      </w:tr>
      <w:tr>
        <w:trPr>
          <w:jc w:val="center"/>
          <w:trHeight w:val="623"/>
        </w:trPr>
        <w:tc>
          <w:tcPr>
            <w:tcW w:w="738" w:type="dxa"/>
            <w:vAlign w:val="center"/>
            <w:textDirection w:val="lrTb"/>
            <w:noWrap w:val="false"/>
          </w:tcPr>
          <w:p>
            <w:pPr>
              <w:pStyle w:val="750"/>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11</w:t>
            </w:r>
            <w:r/>
          </w:p>
        </w:tc>
        <w:tc>
          <w:tcPr>
            <w:tcW w:w="1701" w:type="dxa"/>
            <w:vAlign w:val="center"/>
            <w:textDirection w:val="lrTb"/>
            <w:noWrap w:val="false"/>
          </w:tcPr>
          <w:p>
            <w:pPr>
              <w:jc w:val="center"/>
              <w:spacing w:line="360" w:lineRule="exact"/>
              <w:rPr>
                <w:color w:val="000000"/>
                <w:sz w:val="24"/>
              </w:rPr>
            </w:pPr>
            <w:r>
              <w:rPr>
                <w:color w:val="000000"/>
                <w:sz w:val="24"/>
              </w:rPr>
              <w:t xml:space="preserve">投标有效期</w:t>
            </w:r>
            <w:r/>
          </w:p>
        </w:tc>
        <w:tc>
          <w:tcPr>
            <w:tcW w:w="7467" w:type="dxa"/>
            <w:vAlign w:val="center"/>
            <w:textDirection w:val="lrTb"/>
            <w:noWrap w:val="false"/>
          </w:tcPr>
          <w:p>
            <w:pPr>
              <w:jc w:val="left"/>
              <w:spacing w:line="360" w:lineRule="exact"/>
              <w:rPr>
                <w:color w:val="000000"/>
                <w:sz w:val="24"/>
              </w:rPr>
            </w:pPr>
            <w:r>
              <w:rPr>
                <w:color w:val="000000"/>
                <w:sz w:val="24"/>
              </w:rPr>
              <w:t xml:space="preserve">自提交投标文件的截止之日起算</w:t>
            </w:r>
            <w:r>
              <w:rPr>
                <w:color w:val="000000"/>
                <w:sz w:val="24"/>
                <w:u w:val="single"/>
              </w:rPr>
              <w:t xml:space="preserve">60</w:t>
            </w:r>
            <w:r>
              <w:rPr>
                <w:color w:val="000000"/>
                <w:sz w:val="24"/>
              </w:rPr>
              <w:t xml:space="preserve">日历天。</w:t>
            </w:r>
            <w:r/>
          </w:p>
        </w:tc>
      </w:tr>
      <w:tr>
        <w:trPr>
          <w:jc w:val="center"/>
          <w:trHeight w:val="625"/>
        </w:trPr>
        <w:tc>
          <w:tcPr>
            <w:tcW w:w="738" w:type="dxa"/>
            <w:vAlign w:val="center"/>
            <w:textDirection w:val="lrTb"/>
            <w:noWrap w:val="false"/>
          </w:tcPr>
          <w:p>
            <w:pPr>
              <w:pStyle w:val="750"/>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12</w:t>
            </w:r>
            <w:r/>
          </w:p>
        </w:tc>
        <w:tc>
          <w:tcPr>
            <w:tcW w:w="1701" w:type="dxa"/>
            <w:vAlign w:val="center"/>
            <w:textDirection w:val="lrTb"/>
            <w:noWrap w:val="false"/>
          </w:tcPr>
          <w:p>
            <w:pPr>
              <w:jc w:val="center"/>
              <w:spacing w:line="360" w:lineRule="exact"/>
              <w:rPr>
                <w:color w:val="000000"/>
                <w:sz w:val="24"/>
              </w:rPr>
            </w:pPr>
            <w:r>
              <w:rPr>
                <w:color w:val="000000"/>
                <w:sz w:val="24"/>
              </w:rPr>
              <w:t xml:space="preserve">分包</w:t>
            </w:r>
            <w:r/>
          </w:p>
        </w:tc>
        <w:tc>
          <w:tcPr>
            <w:tcW w:w="7467" w:type="dxa"/>
            <w:vAlign w:val="center"/>
            <w:textDirection w:val="lrTb"/>
            <w:noWrap w:val="false"/>
          </w:tcPr>
          <w:p>
            <w:pPr>
              <w:jc w:val="left"/>
              <w:spacing w:line="360" w:lineRule="exact"/>
              <w:rPr>
                <w:color w:val="000000"/>
                <w:sz w:val="24"/>
              </w:rPr>
            </w:pPr>
            <w:r>
              <w:rPr>
                <w:color w:val="000000"/>
                <w:sz w:val="24"/>
              </w:rPr>
              <w:t xml:space="preserve">本项目的非主体、非关键性工作是否允许分包：不允许</w:t>
            </w:r>
            <w:r/>
          </w:p>
        </w:tc>
      </w:tr>
      <w:tr>
        <w:trPr>
          <w:jc w:val="center"/>
          <w:trHeight w:val="20"/>
        </w:trPr>
        <w:tc>
          <w:tcPr>
            <w:tcW w:w="738" w:type="dxa"/>
            <w:vAlign w:val="center"/>
            <w:textDirection w:val="lrTb"/>
            <w:noWrap w:val="false"/>
          </w:tcPr>
          <w:p>
            <w:pPr>
              <w:pStyle w:val="750"/>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13</w:t>
            </w:r>
            <w:r/>
          </w:p>
        </w:tc>
        <w:tc>
          <w:tcPr>
            <w:tcW w:w="1701" w:type="dxa"/>
            <w:vAlign w:val="center"/>
            <w:textDirection w:val="lrTb"/>
            <w:noWrap w:val="false"/>
          </w:tcPr>
          <w:p>
            <w:pPr>
              <w:jc w:val="center"/>
              <w:spacing w:line="360" w:lineRule="exact"/>
              <w:rPr>
                <w:color w:val="000000"/>
                <w:sz w:val="24"/>
              </w:rPr>
            </w:pPr>
            <w:r>
              <w:rPr>
                <w:color w:val="000000"/>
                <w:sz w:val="24"/>
              </w:rPr>
              <w:t xml:space="preserve">询问</w:t>
            </w:r>
            <w:r/>
          </w:p>
        </w:tc>
        <w:tc>
          <w:tcPr>
            <w:tcW w:w="7467" w:type="dxa"/>
            <w:vAlign w:val="center"/>
            <w:textDirection w:val="lrTb"/>
            <w:noWrap w:val="false"/>
          </w:tcPr>
          <w:p>
            <w:pPr>
              <w:jc w:val="left"/>
              <w:spacing w:line="360" w:lineRule="exact"/>
              <w:rPr>
                <w:color w:val="000000"/>
                <w:sz w:val="24"/>
              </w:rPr>
            </w:pPr>
            <w:r>
              <w:rPr>
                <w:rFonts w:hint="eastAsia"/>
                <w:color w:val="000000"/>
                <w:sz w:val="24"/>
              </w:rPr>
              <w:t xml:space="preserve">已登记参加本项目的供应商对招标文件如有疑问，可于2026年8月19日17时00分前将相关疑问（格式详见招标文件中“关于招标文件的询问内容”）发送至邮箱（</w:t>
            </w:r>
            <w:r>
              <w:rPr>
                <w:color w:val="000000"/>
                <w:sz w:val="24"/>
              </w:rPr>
              <w:t xml:space="preserve">jjc_cz123@163.com</w:t>
            </w:r>
            <w:r>
              <w:rPr>
                <w:rFonts w:hint="eastAsia"/>
                <w:color w:val="000000"/>
                <w:sz w:val="24"/>
              </w:rPr>
              <w:t xml:space="preserve">）进行咨询，如口头可解释的问题亦可电话咨询（联系电话：13585306881）。未提出疑问将被视为完全认同招标文件，逾期将不接受其对于采购文件的相关异议。如有变更，更正公告将会在江苏省政府采购网、常州市政府采购网公布。</w:t>
            </w:r>
            <w:r/>
          </w:p>
        </w:tc>
      </w:tr>
      <w:tr>
        <w:trPr>
          <w:jc w:val="center"/>
          <w:trHeight w:val="2093"/>
        </w:trPr>
        <w:tc>
          <w:tcPr>
            <w:tcW w:w="738" w:type="dxa"/>
            <w:vAlign w:val="center"/>
            <w:textDirection w:val="lrTb"/>
            <w:noWrap w:val="false"/>
          </w:tcPr>
          <w:p>
            <w:pPr>
              <w:pStyle w:val="750"/>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14</w:t>
            </w:r>
            <w:r/>
          </w:p>
        </w:tc>
        <w:tc>
          <w:tcPr>
            <w:tcW w:w="1701" w:type="dxa"/>
            <w:vAlign w:val="center"/>
            <w:textDirection w:val="lrTb"/>
            <w:noWrap w:val="false"/>
          </w:tcPr>
          <w:p>
            <w:pPr>
              <w:jc w:val="center"/>
              <w:spacing w:line="360" w:lineRule="exact"/>
              <w:rPr>
                <w:color w:val="000000"/>
                <w:sz w:val="24"/>
              </w:rPr>
            </w:pPr>
            <w:r>
              <w:rPr>
                <w:color w:val="000000"/>
                <w:sz w:val="24"/>
              </w:rPr>
              <w:t xml:space="preserve">联系方式</w:t>
            </w:r>
            <w:r/>
          </w:p>
        </w:tc>
        <w:tc>
          <w:tcPr>
            <w:tcW w:w="7467" w:type="dxa"/>
            <w:vAlign w:val="center"/>
            <w:textDirection w:val="lrTb"/>
            <w:noWrap w:val="false"/>
          </w:tcPr>
          <w:p>
            <w:pPr>
              <w:jc w:val="left"/>
              <w:spacing w:line="360" w:lineRule="exact"/>
              <w:rPr>
                <w:color w:val="000000"/>
                <w:sz w:val="24"/>
              </w:rPr>
            </w:pPr>
            <w:r>
              <w:rPr>
                <w:color w:val="000000"/>
                <w:sz w:val="24"/>
              </w:rPr>
              <w:t xml:space="preserve">接收质疑的联系方式</w:t>
            </w:r>
            <w:r>
              <w:rPr>
                <w:rFonts w:hint="eastAsia"/>
                <w:color w:val="000000"/>
                <w:sz w:val="24"/>
              </w:rPr>
              <w:t xml:space="preserve">：</w:t>
            </w:r>
            <w:r/>
          </w:p>
          <w:p>
            <w:pPr>
              <w:pStyle w:val="853"/>
              <w:spacing w:line="360" w:lineRule="exact"/>
              <w:rPr>
                <w:rFonts w:hint="eastAsia"/>
              </w:rPr>
            </w:pPr>
            <w:r>
              <w:t xml:space="preserve">（）采购人联系电话、通讯地址详见《第一章投标邀请》。</w:t>
            </w:r>
            <w:r/>
          </w:p>
          <w:p>
            <w:pPr>
              <w:jc w:val="left"/>
              <w:spacing w:line="360" w:lineRule="exact"/>
              <w:rPr>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）代理机构：江苏嘉加诚工程投资咨询有限公司</w:t>
            </w:r>
            <w:r/>
          </w:p>
          <w:p>
            <w:pPr>
              <w:ind w:firstLine="480"/>
              <w:jc w:val="left"/>
              <w:spacing w:line="360" w:lineRule="exact"/>
              <w:rPr>
                <w:color w:val="000000"/>
                <w:sz w:val="24"/>
              </w:rPr>
            </w:pPr>
            <w:r>
              <w:rPr>
                <w:rFonts w:hint="eastAsia"/>
                <w:color w:val="000000"/>
                <w:sz w:val="24"/>
              </w:rPr>
              <w:t xml:space="preserve">联系部门：江苏嘉加诚工程投资咨询有限公司常州分公司</w:t>
            </w:r>
            <w:r/>
          </w:p>
          <w:p>
            <w:pPr>
              <w:ind w:firstLine="480"/>
              <w:jc w:val="left"/>
              <w:spacing w:line="360" w:lineRule="exact"/>
              <w:rPr>
                <w:color w:val="000000"/>
                <w:sz w:val="24"/>
              </w:rPr>
            </w:pPr>
            <w:r>
              <w:rPr>
                <w:rFonts w:hint="eastAsia"/>
                <w:color w:val="000000"/>
                <w:sz w:val="24"/>
              </w:rPr>
              <w:t xml:space="preserve">联系电话：</w:t>
            </w:r>
            <w:r>
              <w:rPr>
                <w:rFonts w:hint="eastAsia"/>
              </w:rPr>
              <w:t xml:space="preserve">0519-88887808  15961256000</w:t>
            </w:r>
            <w:r>
              <w:rPr>
                <w:rFonts w:hint="eastAsia"/>
                <w:color w:val="000000"/>
                <w:sz w:val="24"/>
              </w:rPr>
              <w:t xml:space="preserve">；</w:t>
            </w:r>
            <w:r/>
          </w:p>
          <w:p>
            <w:pPr>
              <w:ind w:firstLine="480"/>
              <w:jc w:val="left"/>
              <w:spacing w:line="360" w:lineRule="exact"/>
              <w:rPr>
                <w:color w:val="000000"/>
                <w:sz w:val="24"/>
              </w:rPr>
            </w:pPr>
            <w:r>
              <w:rPr>
                <w:rFonts w:hint="eastAsia"/>
                <w:color w:val="000000"/>
                <w:sz w:val="24"/>
              </w:rPr>
              <w:t xml:space="preserve">通讯地址：常州市武进区晓柳花苑一期007号。</w:t>
            </w:r>
            <w:r/>
          </w:p>
        </w:tc>
      </w:tr>
      <w:tr>
        <w:trPr>
          <w:jc w:val="center"/>
          <w:trHeight w:val="1624"/>
        </w:trPr>
        <w:tc>
          <w:tcPr>
            <w:tcW w:w="738" w:type="dxa"/>
            <w:vAlign w:val="center"/>
            <w:textDirection w:val="lrTb"/>
            <w:noWrap w:val="false"/>
          </w:tcPr>
          <w:p>
            <w:pPr>
              <w:pStyle w:val="750"/>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15</w:t>
            </w:r>
            <w:r/>
          </w:p>
        </w:tc>
        <w:tc>
          <w:tcPr>
            <w:tcW w:w="1701" w:type="dxa"/>
            <w:vAlign w:val="center"/>
            <w:textDirection w:val="lrTb"/>
            <w:noWrap w:val="false"/>
          </w:tcPr>
          <w:p>
            <w:pPr>
              <w:jc w:val="center"/>
              <w:spacing w:line="360" w:lineRule="exact"/>
              <w:rPr>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p>
        </w:tc>
        <w:tc>
          <w:tcPr>
            <w:tcW w:w="7467" w:type="dxa"/>
            <w:vAlign w:val="center"/>
            <w:textDirection w:val="lrTb"/>
            <w:noWrap w:val="false"/>
          </w:tcPr>
          <w:p>
            <w:pPr>
              <w:jc w:val="left"/>
              <w:spacing w:line="360" w:lineRule="exact"/>
              <w:rPr>
                <w:color w:val="000000"/>
                <w:sz w:val="24"/>
              </w:rPr>
            </w:pPr>
            <w:r>
              <w:rPr>
                <w:rFonts w:hint="eastAsia"/>
                <w:color w:val="000000"/>
                <w:sz w:val="24"/>
              </w:rPr>
              <w:t xml:space="preserve">中标单位在签订合同前需递交与电子投标文件内容一致的纸质投标文件两份（需打印清晰，标注目录及页码），作为项目归档使用。（递交方式可采用邮寄或现场送达,江苏嘉加诚工程投资咨询有限公司和采购人各一份，联系方式见《第一章 投标邀请》）</w:t>
            </w:r>
            <w:r/>
          </w:p>
        </w:tc>
      </w:tr>
      <w:tr>
        <w:trPr>
          <w:jc w:val="center"/>
          <w:trHeight w:val="1624"/>
        </w:trPr>
        <w:tc>
          <w:tcPr>
            <w:tcW w:w="738" w:type="dxa"/>
            <w:vAlign w:val="center"/>
            <w:textDirection w:val="lrTb"/>
            <w:noWrap w:val="false"/>
          </w:tcPr>
          <w:p>
            <w:pPr>
              <w:pStyle w:val="750"/>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16</w:t>
            </w:r>
            <w:r/>
          </w:p>
        </w:tc>
        <w:tc>
          <w:tcPr>
            <w:tcW w:w="1701" w:type="dxa"/>
            <w:vAlign w:val="center"/>
            <w:textDirection w:val="lrTb"/>
            <w:noWrap w:val="false"/>
          </w:tcPr>
          <w:p>
            <w:pPr>
              <w:jc w:val="center"/>
              <w:spacing w:line="360" w:lineRule="exact"/>
              <w:rPr>
                <w:color w:val="000000"/>
                <w:sz w:val="24"/>
              </w:rPr>
            </w:pPr>
            <w:r>
              <w:rPr>
                <w:rFonts w:hint="eastAsia"/>
                <w:color w:val="000000"/>
                <w:sz w:val="24"/>
              </w:rPr>
              <w:t xml:space="preserve">代理费</w:t>
            </w:r>
            <w:r/>
          </w:p>
        </w:tc>
        <w:tc>
          <w:tcPr>
            <w:tcW w:w="7467" w:type="dxa"/>
            <w:vAlign w:val="center"/>
            <w:textDirection w:val="lrTb"/>
            <w:noWrap w:val="false"/>
          </w:tcPr>
          <w:p>
            <w:pPr>
              <w:jc w:val="left"/>
              <w:spacing w:line="360" w:lineRule="exact"/>
              <w:rPr>
                <w:rFonts w:hint="eastAsia" w:ascii="Symbol" w:hAnsi="Symbol" w:cs="Symbol"/>
                <w:sz w:val="24"/>
              </w:rPr>
            </w:pPr>
            <w:r>
              <w:rPr>
                <w:rFonts w:hint="eastAsia" w:ascii="Symbol" w:hAnsi="Symbol" w:cs="Symbol"/>
                <w:sz w:val="24"/>
              </w:rPr>
              <w:t xml:space="preserve">收费对象：中标（成交）供应商</w:t>
            </w:r>
            <w:r/>
          </w:p>
          <w:p>
            <w:pPr>
              <w:rPr>
                <w:sz w:val="24"/>
              </w:rPr>
            </w:pPr>
            <w:r>
              <w:rPr>
                <w:rFonts w:hint="eastAsia" w:ascii="Symbol" w:hAnsi="Symbol" w:cs="Symbol"/>
                <w:sz w:val="24"/>
              </w:rPr>
              <w:t xml:space="preserve">收费标准：</w:t>
            </w:r>
            <w:r>
              <w:rPr>
                <w:rFonts w:hint="eastAsia"/>
                <w:sz w:val="24"/>
              </w:rPr>
              <w:t xml:space="preserve">按下表计费标准的30%计取 </w:t>
            </w:r>
            <w:r/>
          </w:p>
          <w:tbl>
            <w:tblPr>
              <w:tblStyle w:val="737"/>
              <w:tblW w:w="485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3259"/>
              <w:gridCol w:w="1276"/>
              <w:gridCol w:w="1416"/>
            </w:tblGrid>
            <w:tr>
              <w:trPr>
                <w:trHeight w:val="137"/>
              </w:trPr>
              <w:tc>
                <w:tcPr>
                  <w:tcW w:w="769"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序号</w:t>
                  </w:r>
                  <w:r/>
                </w:p>
              </w:tc>
              <w:tc>
                <w:tcPr>
                  <w:tcW w:w="2317"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中标（成交）金额（万元）</w:t>
                  </w:r>
                  <w:r/>
                </w:p>
              </w:tc>
              <w:tc>
                <w:tcPr>
                  <w:tcW w:w="907"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计费费率</w:t>
                  </w:r>
                  <w:r/>
                </w:p>
              </w:tc>
              <w:tc>
                <w:tcPr>
                  <w:tcW w:w="1007" w:type="pct"/>
                  <w:textDirection w:val="lrTb"/>
                  <w:noWrap w:val="false"/>
                </w:tcPr>
                <w:p>
                  <w:pPr>
                    <w:jc w:val="center"/>
                    <w:rPr>
                      <w:rFonts w:hint="eastAsia" w:ascii="宋体" w:hAnsi="宋体" w:cs="宋体"/>
                      <w:bCs/>
                      <w:sz w:val="24"/>
                    </w:rPr>
                  </w:pPr>
                  <w:r>
                    <w:rPr>
                      <w:rFonts w:hint="eastAsia" w:ascii="宋体" w:hAnsi="宋体" w:cs="宋体"/>
                      <w:bCs/>
                      <w:sz w:val="24"/>
                    </w:rPr>
                    <w:t xml:space="preserve">备注</w:t>
                  </w:r>
                  <w:r/>
                </w:p>
              </w:tc>
            </w:tr>
            <w:tr>
              <w:trPr>
                <w:trHeight w:val="227"/>
              </w:trPr>
              <w:tc>
                <w:tcPr>
                  <w:tcW w:w="769"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w:t>
                  </w:r>
                  <w:r/>
                </w:p>
              </w:tc>
              <w:tc>
                <w:tcPr>
                  <w:tcW w:w="2317"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100以下</w:t>
                  </w:r>
                  <w:r/>
                </w:p>
              </w:tc>
              <w:tc>
                <w:tcPr>
                  <w:tcW w:w="907"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1.5%</w:t>
                  </w:r>
                  <w:r/>
                </w:p>
              </w:tc>
              <w:tc>
                <w:tcPr>
                  <w:tcW w:w="1007" w:type="pct"/>
                  <w:vAlign w:val="center"/>
                  <w:vMerge w:val="restart"/>
                  <w:textDirection w:val="lrTb"/>
                  <w:noWrap w:val="false"/>
                </w:tcPr>
                <w:p>
                  <w:pPr>
                    <w:jc w:val="center"/>
                    <w:rPr>
                      <w:rFonts w:hint="eastAsia" w:ascii="宋体" w:hAnsi="宋体" w:cs="宋体"/>
                      <w:bCs/>
                      <w:sz w:val="24"/>
                    </w:rPr>
                  </w:pPr>
                  <w:r>
                    <w:rPr>
                      <w:rFonts w:hint="eastAsia" w:ascii="宋体" w:hAnsi="宋体" w:cs="宋体"/>
                      <w:bCs/>
                      <w:sz w:val="24"/>
                    </w:rPr>
                    <w:t xml:space="preserve">差额累进制计算</w:t>
                  </w:r>
                  <w:r/>
                </w:p>
              </w:tc>
            </w:tr>
            <w:tr>
              <w:trPr>
                <w:trHeight w:val="135"/>
              </w:trPr>
              <w:tc>
                <w:tcPr>
                  <w:tcW w:w="769"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2</w:t>
                  </w:r>
                  <w:r/>
                </w:p>
              </w:tc>
              <w:tc>
                <w:tcPr>
                  <w:tcW w:w="2317"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100--500</w:t>
                  </w:r>
                  <w:r/>
                </w:p>
              </w:tc>
              <w:tc>
                <w:tcPr>
                  <w:tcW w:w="907"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0.8%</w:t>
                  </w:r>
                  <w:r/>
                </w:p>
              </w:tc>
              <w:tc>
                <w:tcPr>
                  <w:tcW w:w="1007" w:type="pct"/>
                  <w:vMerge w:val="continue"/>
                  <w:textDirection w:val="lrTb"/>
                  <w:noWrap w:val="false"/>
                </w:tcPr>
                <w:p>
                  <w:pPr>
                    <w:jc w:val="center"/>
                    <w:spacing w:line="384" w:lineRule="auto"/>
                    <w:rPr>
                      <w:rFonts w:hint="eastAsia" w:ascii="宋体" w:hAnsi="宋体" w:cs="宋体"/>
                      <w:bCs/>
                      <w:sz w:val="24"/>
                    </w:rPr>
                  </w:pPr>
                  <w:r>
                    <w:rPr>
                      <w:rFonts w:hint="eastAsia" w:ascii="宋体" w:hAnsi="宋体" w:cs="宋体"/>
                      <w:bCs/>
                      <w:sz w:val="24"/>
                    </w:rPr>
                  </w:r>
                  <w:r/>
                </w:p>
              </w:tc>
            </w:tr>
          </w:tbl>
          <w:p>
            <w:pPr>
              <w:jc w:val="left"/>
              <w:spacing w:line="360" w:lineRule="exact"/>
              <w:rPr>
                <w:rFonts w:hint="eastAsia" w:ascii="宋体" w:hAnsi="宋体" w:cs="宋体"/>
                <w:sz w:val="24"/>
              </w:rPr>
            </w:pPr>
            <w:r>
              <w:rPr>
                <w:rFonts w:hint="eastAsia" w:ascii="宋体" w:hAnsi="宋体" w:cs="宋体"/>
                <w:sz w:val="24"/>
              </w:rPr>
              <w:t xml:space="preserve">缴纳时间：</w:t>
            </w:r>
            <w:bookmarkStart w:id="78" w:name="_Hlk227162997"/>
            <w:r>
              <w:rPr>
                <w:rFonts w:hint="eastAsia" w:ascii="宋体" w:hAnsi="宋体" w:cs="宋体"/>
                <w:sz w:val="24"/>
              </w:rPr>
              <w:t xml:space="preserve">中标（成交）通知书发出后10日缴纳至招标代理单位。</w:t>
            </w:r>
            <w:bookmarkEnd w:id="78"/>
            <w:r/>
            <w:r/>
          </w:p>
        </w:tc>
      </w:tr>
    </w:tbl>
    <w:p>
      <w:pPr>
        <w:jc w:val="center"/>
        <w:spacing w:line="360" w:lineRule="auto"/>
        <w:tabs>
          <w:tab w:val="left" w:pos="5580" w:leader="none"/>
        </w:tabs>
        <w:rPr>
          <w:color w:val="000000"/>
          <w:sz w:val="32"/>
          <w:szCs w:val="32"/>
        </w:rPr>
      </w:pPr>
      <w:r>
        <w:rPr>
          <w:color w:val="000000"/>
          <w:sz w:val="24"/>
        </w:rPr>
        <w:br w:type="page" w:clear="all"/>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Start w:id="79" w:name="_Toc127151518"/>
      <w:r/>
      <w:bookmarkStart w:id="80" w:name="_Toc226965708"/>
      <w:r/>
      <w:bookmarkStart w:id="81" w:name="_Toc305158786"/>
      <w:r/>
      <w:bookmarkStart w:id="82" w:name="_Toc150480756"/>
      <w:r/>
      <w:bookmarkStart w:id="83" w:name="_Toc226309762"/>
      <w:r/>
      <w:bookmarkStart w:id="84" w:name="_Toc150509269"/>
      <w:r/>
      <w:bookmarkStart w:id="85" w:name="_Toc151193688"/>
      <w:r/>
      <w:bookmarkStart w:id="86" w:name="_Toc305158860"/>
      <w:r/>
      <w:bookmarkStart w:id="87" w:name="_Toc520356143"/>
      <w:r/>
      <w:bookmarkStart w:id="88" w:name="_Toc151193906"/>
      <w:r/>
      <w:bookmarkStart w:id="89" w:name="_Toc264969208"/>
      <w:r/>
      <w:bookmarkStart w:id="90" w:name="_Toc265228356"/>
      <w:r/>
      <w:bookmarkStart w:id="91" w:name="_Toc142311020"/>
      <w:r/>
      <w:bookmarkStart w:id="92" w:name="_Toc226965791"/>
      <w:r/>
      <w:bookmarkStart w:id="93" w:name="_Toc151190145"/>
      <w:r/>
      <w:bookmarkStart w:id="94" w:name="_Toc195842883"/>
      <w:r/>
      <w:bookmarkStart w:id="95" w:name="_Toc151193832"/>
      <w:r/>
      <w:bookmarkStart w:id="96" w:name="_Toc151193616"/>
      <w:r/>
      <w:bookmarkStart w:id="97" w:name="_Toc226337214"/>
      <w:r/>
      <w:bookmarkStart w:id="98" w:name="_Toc150774618"/>
      <w:r/>
      <w:bookmarkStart w:id="99" w:name="_Toc151193760"/>
      <w:r/>
      <w:bookmarkStart w:id="100" w:name="_Toc150774723"/>
      <w:r/>
      <w:bookmarkStart w:id="101" w:name="_Toc99301424"/>
      <w:r/>
      <w:bookmarkStart w:id="102" w:name="_Toc305158897"/>
      <w:r/>
      <w:bookmarkStart w:id="103" w:name="_Toc142311057"/>
      <w:r/>
      <w:bookmarkStart w:id="104" w:name="_Toc226337251"/>
      <w:r/>
      <w:bookmarkStart w:id="105" w:name="_Toc305158823"/>
      <w:r/>
      <w:bookmarkStart w:id="106" w:name="_Toc127151555"/>
      <w:r/>
      <w:bookmarkStart w:id="107" w:name="_Toc353825545"/>
      <w:r/>
      <w:bookmarkStart w:id="108" w:name="_Toc195842920"/>
      <w:r/>
      <w:bookmarkStart w:id="109" w:name="_Toc150774760"/>
      <w:r/>
      <w:bookmarkStart w:id="110" w:name="_Toc150480793"/>
      <w:r/>
      <w:bookmarkStart w:id="111" w:name="_Toc264969245"/>
      <w:r/>
      <w:bookmarkStart w:id="112" w:name="_Toc226965828"/>
      <w:r/>
      <w:bookmarkStart w:id="113" w:name="_Toc353873935"/>
      <w:r/>
      <w:bookmarkStart w:id="114" w:name="_Toc265228393"/>
      <w:r/>
      <w:bookmarkStart w:id="115" w:name="_Toc353873665"/>
      <w:r>
        <w:rPr>
          <w:rFonts w:hint="eastAsia"/>
          <w:color w:val="000000"/>
          <w:sz w:val="32"/>
          <w:szCs w:val="32"/>
        </w:rPr>
        <w:t xml:space="preserve">第二节 说明</w:t>
      </w:r>
      <w:r/>
    </w:p>
    <w:p>
      <w:pPr>
        <w:pStyle w:val="728"/>
        <w:ind w:firstLine="321"/>
        <w:jc w:val="both"/>
        <w:spacing w:before="0" w:line="500" w:lineRule="exact"/>
        <w:tabs>
          <w:tab w:val="center" w:pos="4592" w:leader="none"/>
          <w:tab w:val="left" w:pos="7860" w:leader="none"/>
        </w:tabs>
        <w:rPr>
          <w:rFonts w:ascii="Times New Roman" w:hAnsi="Times New Roman" w:eastAsia="宋体"/>
          <w:color w:val="000000"/>
          <w:sz w:val="28"/>
        </w:rPr>
      </w:pPr>
      <w:r/>
      <w:bookmarkStart w:id="116" w:name="_Hlk152921964"/>
      <w:r>
        <w:rPr>
          <w:rFonts w:hint="eastAsia" w:ascii="Times New Roman" w:hAnsi="Times New Roman" w:eastAsia="宋体"/>
          <w:color w:val="000000"/>
          <w:sz w:val="32"/>
          <w:szCs w:val="32"/>
        </w:rPr>
        <w:t xml:space="preserve">一、</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Pr>
          <w:rFonts w:hint="eastAsia" w:ascii="Times New Roman" w:hAnsi="Times New Roman" w:eastAsia="宋体"/>
          <w:color w:val="000000"/>
          <w:sz w:val="32"/>
          <w:szCs w:val="32"/>
        </w:rPr>
        <w:t xml:space="preserve">总则</w:t>
      </w:r>
      <w:r/>
    </w:p>
    <w:p>
      <w:pPr>
        <w:ind w:firstLine="420"/>
        <w:keepLines/>
        <w:keepNext/>
        <w:spacing w:line="500" w:lineRule="exact"/>
        <w:rPr>
          <w:rFonts w:ascii="Arial" w:hAnsi="Arial" w:eastAsia="黑体" w:cs="Arial"/>
          <w:color w:val="000000"/>
          <w:sz w:val="28"/>
          <w:szCs w:val="28"/>
        </w:rPr>
        <w:outlineLvl w:val="3"/>
      </w:pPr>
      <w:r/>
      <w:bookmarkStart w:id="117" w:name="_Toc458694821"/>
      <w:r/>
      <w:bookmarkStart w:id="118" w:name="_Toc513029204"/>
      <w:r/>
      <w:bookmarkStart w:id="119" w:name="_Toc20823276"/>
      <w:r/>
      <w:bookmarkStart w:id="120" w:name="_Toc16938520"/>
      <w:r/>
      <w:bookmarkStart w:id="121" w:name="_Toc226965827"/>
      <w:r/>
      <w:bookmarkStart w:id="122" w:name="_Toc353873664"/>
      <w:r/>
      <w:bookmarkStart w:id="123" w:name="_Toc127151554"/>
      <w:r/>
      <w:bookmarkStart w:id="124" w:name="_Toc150480792"/>
      <w:r/>
      <w:bookmarkStart w:id="125" w:name="_Toc142311056"/>
      <w:r/>
      <w:bookmarkStart w:id="126" w:name="_Toc226337250"/>
      <w:r/>
      <w:bookmarkStart w:id="127" w:name="_Toc265228392"/>
      <w:r/>
      <w:bookmarkStart w:id="128" w:name="_Toc150774759"/>
      <w:r/>
      <w:bookmarkStart w:id="129" w:name="_Toc353873934"/>
      <w:r/>
      <w:bookmarkStart w:id="130" w:name="_Toc264969244"/>
      <w:r/>
      <w:bookmarkStart w:id="131" w:name="_Toc353825544"/>
      <w:r/>
      <w:bookmarkStart w:id="132" w:name="_Toc305158896"/>
      <w:r/>
      <w:bookmarkStart w:id="133" w:name="_Toc305158822"/>
      <w:r/>
      <w:bookmarkStart w:id="134" w:name="_Toc99301421"/>
      <w:r>
        <w:rPr>
          <w:rFonts w:hint="eastAsia" w:ascii="Arial" w:hAnsi="Arial" w:eastAsia="黑体" w:cs="Arial"/>
          <w:color w:val="000000"/>
          <w:sz w:val="28"/>
          <w:szCs w:val="28"/>
        </w:rPr>
        <w:t xml:space="preserve">1</w:t>
      </w:r>
      <w:bookmarkEnd w:id="117"/>
      <w:r>
        <w:rPr>
          <w:rFonts w:hint="eastAsia" w:ascii="Arial" w:hAnsi="Arial" w:eastAsia="黑体" w:cs="Arial"/>
          <w:color w:val="000000"/>
          <w:sz w:val="28"/>
          <w:szCs w:val="28"/>
        </w:rPr>
        <w:t xml:space="preserve">、采购方式</w:t>
      </w:r>
      <w:bookmarkEnd w:id="118"/>
      <w:r/>
      <w:bookmarkEnd w:id="119"/>
      <w:r/>
      <w:bookmarkEnd w:id="120"/>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500" w:lineRule="exact"/>
        <w:rPr>
          <w:rFonts w:ascii="Arial" w:hAnsi="Arial" w:eastAsia="黑体" w:cs="Arial"/>
          <w:color w:val="000000"/>
          <w:sz w:val="28"/>
          <w:szCs w:val="28"/>
        </w:rPr>
        <w:outlineLvl w:val="3"/>
      </w:pPr>
      <w:r/>
      <w:bookmarkStart w:id="135" w:name="_Toc16938521"/>
      <w:r/>
      <w:bookmarkStart w:id="136" w:name="_Toc513029205"/>
      <w:r/>
      <w:bookmarkStart w:id="137" w:name="_Toc20823277"/>
      <w:r>
        <w:rPr>
          <w:rFonts w:hint="eastAsia" w:ascii="Arial" w:hAnsi="Arial" w:eastAsia="黑体" w:cs="Arial"/>
          <w:color w:val="000000"/>
          <w:sz w:val="28"/>
          <w:szCs w:val="28"/>
        </w:rPr>
        <w:t xml:space="preserve">2、合格的投标人</w:t>
      </w:r>
      <w:bookmarkEnd w:id="135"/>
      <w:r/>
      <w:bookmarkEnd w:id="136"/>
      <w:r/>
      <w:bookmarkEnd w:id="137"/>
      <w:r/>
      <w:r/>
    </w:p>
    <w:p>
      <w:pPr>
        <w:ind w:firstLine="480"/>
        <w:spacing w:line="500" w:lineRule="exact"/>
        <w:rPr>
          <w:rFonts w:hint="eastAsia" w:ascii="宋体" w:hAnsi="宋体"/>
          <w:color w:val="000000"/>
          <w:sz w:val="24"/>
        </w:rPr>
      </w:pPr>
      <w:r>
        <w:rPr>
          <w:rFonts w:hint="eastAsia" w:ascii="宋体" w:hAnsi="宋体"/>
          <w:color w:val="000000"/>
          <w:sz w:val="24"/>
        </w:rPr>
        <w:t xml:space="preserve">2.1满足招标公告中供应商的资格要求的规定。</w:t>
      </w:r>
      <w:r/>
    </w:p>
    <w:p>
      <w:pPr>
        <w:ind w:firstLine="480"/>
        <w:spacing w:line="500" w:lineRule="exact"/>
        <w:rPr>
          <w:rFonts w:hint="eastAsia" w:ascii="宋体" w:hAnsi="宋体"/>
          <w:color w:val="000000"/>
          <w:sz w:val="24"/>
        </w:rPr>
      </w:pPr>
      <w:r>
        <w:rPr>
          <w:rFonts w:hint="eastAsia" w:ascii="宋体" w:hAnsi="宋体"/>
          <w:color w:val="000000"/>
          <w:sz w:val="24"/>
        </w:rPr>
        <w:t xml:space="preserve">2.2满足本文件实质性要求和条件的规定。</w:t>
      </w:r>
      <w:r/>
    </w:p>
    <w:p>
      <w:pPr>
        <w:ind w:firstLine="420"/>
        <w:keepLines/>
        <w:keepNext/>
        <w:spacing w:line="500" w:lineRule="exact"/>
        <w:rPr>
          <w:rFonts w:ascii="Arial" w:hAnsi="Arial" w:eastAsia="黑体" w:cs="Arial"/>
          <w:color w:val="000000"/>
          <w:sz w:val="28"/>
          <w:szCs w:val="28"/>
        </w:rPr>
        <w:outlineLvl w:val="3"/>
      </w:pPr>
      <w:r/>
      <w:bookmarkStart w:id="138" w:name="_Toc513029206"/>
      <w:r/>
      <w:bookmarkStart w:id="139" w:name="_Toc20823278"/>
      <w:r/>
      <w:bookmarkStart w:id="140" w:name="_Toc16938522"/>
      <w:r>
        <w:rPr>
          <w:rFonts w:hint="eastAsia" w:ascii="Arial" w:hAnsi="Arial" w:eastAsia="黑体" w:cs="Arial"/>
          <w:color w:val="000000"/>
          <w:sz w:val="28"/>
          <w:szCs w:val="28"/>
        </w:rPr>
        <w:t xml:space="preserve">3、适用法律</w:t>
      </w:r>
      <w:bookmarkEnd w:id="138"/>
      <w:r/>
      <w:bookmarkEnd w:id="139"/>
      <w:r/>
      <w:bookmarkEnd w:id="140"/>
      <w:r/>
      <w:r/>
    </w:p>
    <w:p>
      <w:pPr>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500" w:lineRule="exact"/>
        <w:rPr>
          <w:rFonts w:ascii="Arial" w:hAnsi="Arial" w:eastAsia="黑体" w:cs="Arial"/>
          <w:color w:val="000000"/>
          <w:sz w:val="28"/>
          <w:szCs w:val="28"/>
        </w:rPr>
        <w:outlineLvl w:val="3"/>
      </w:pPr>
      <w:r/>
      <w:bookmarkStart w:id="141" w:name="_Toc462564067"/>
      <w:r/>
      <w:bookmarkStart w:id="142" w:name="_Toc513029207"/>
      <w:r/>
      <w:bookmarkStart w:id="143" w:name="_Toc20823279"/>
      <w:r/>
      <w:bookmarkStart w:id="144" w:name="_Toc16938523"/>
      <w:r>
        <w:rPr>
          <w:rFonts w:hint="eastAsia" w:ascii="Arial" w:hAnsi="Arial" w:eastAsia="黑体" w:cs="Arial"/>
          <w:color w:val="000000"/>
          <w:sz w:val="28"/>
          <w:szCs w:val="28"/>
        </w:rPr>
        <w:t xml:space="preserve">4、投标费用</w:t>
      </w:r>
      <w:bookmarkEnd w:id="141"/>
      <w:r/>
      <w:bookmarkEnd w:id="142"/>
      <w:r/>
      <w:bookmarkEnd w:id="143"/>
      <w:r/>
      <w:bookmarkEnd w:id="144"/>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投标人应自行承担所有与参加投标有关的费用，无论投标过程中的做法和结果如何，江苏嘉加诚工程投资咨询有限公司（以下简称代理机构）在任何情况下均无义务和责任承担这些费用。</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4.2本次招标代理机构和采购人不收取标书工本费。</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4.3成交服务费</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（1）代理费由中标供应商支付</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（2）收费标准：见前附表</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（3）代理服务费账户：江苏嘉加诚工程投资咨询有限公司常州分公司</w:t>
      </w:r>
      <w:r/>
    </w:p>
    <w:p>
      <w:pPr>
        <w:ind w:firstLine="1200"/>
        <w:spacing w:line="500" w:lineRule="exact"/>
        <w:rPr>
          <w:rFonts w:hint="eastAsia" w:ascii="宋体" w:hAnsi="宋体"/>
          <w:color w:val="000000"/>
          <w:sz w:val="24"/>
          <w:szCs w:val="21"/>
        </w:rPr>
      </w:pPr>
      <w:r>
        <w:rPr>
          <w:rFonts w:hint="eastAsia" w:ascii="宋体" w:hAnsi="宋体"/>
          <w:color w:val="000000"/>
          <w:sz w:val="24"/>
          <w:szCs w:val="21"/>
        </w:rPr>
        <w:t xml:space="preserve">账号：1032000000001429</w:t>
      </w:r>
      <w:r/>
    </w:p>
    <w:p>
      <w:pPr>
        <w:ind w:firstLine="1200"/>
        <w:spacing w:line="500" w:lineRule="exact"/>
        <w:rPr>
          <w:rFonts w:hint="eastAsia" w:ascii="宋体" w:hAnsi="宋体"/>
          <w:color w:val="000000"/>
          <w:sz w:val="24"/>
          <w:szCs w:val="21"/>
        </w:rPr>
      </w:pPr>
      <w:r>
        <w:rPr>
          <w:rFonts w:hint="eastAsia" w:ascii="宋体" w:hAnsi="宋体"/>
          <w:color w:val="000000"/>
          <w:sz w:val="24"/>
          <w:szCs w:val="21"/>
        </w:rPr>
        <w:t xml:space="preserve">开户银行：江苏江南农村商业银行股份有限公司常州市武进支行</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（4）中标通知书发出后10日内向采购代理机构缴纳。</w:t>
      </w:r>
      <w:r/>
    </w:p>
    <w:p>
      <w:pPr>
        <w:ind w:firstLine="602"/>
        <w:keepLines/>
        <w:keepNext/>
        <w:spacing w:line="5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500" w:lineRule="exact"/>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投标人一旦参加本项目采购活动，即被认为接受了本招标文件的规定和约束。</w:t>
      </w:r>
      <w:r/>
    </w:p>
    <w:p>
      <w:pPr>
        <w:ind w:firstLine="321"/>
        <w:keepLines/>
        <w:keepNext/>
        <w:spacing w:line="500" w:lineRule="exact"/>
        <w:rPr>
          <w:b/>
          <w:bCs/>
          <w:color w:val="000000"/>
          <w:sz w:val="32"/>
          <w:szCs w:val="32"/>
        </w:rPr>
        <w:outlineLvl w:val="2"/>
      </w:pPr>
      <w:r/>
      <w:bookmarkStart w:id="145" w:name="_Toc20823281"/>
      <w:r/>
      <w:bookmarkStart w:id="146" w:name="_Toc513029209"/>
      <w:r/>
      <w:bookmarkStart w:id="147" w:name="_Toc16938525"/>
      <w:r/>
      <w:bookmarkStart w:id="148" w:name="_Toc120614215"/>
      <w:r>
        <w:rPr>
          <w:rFonts w:hint="eastAsia"/>
          <w:b/>
          <w:bCs/>
          <w:color w:val="000000"/>
          <w:sz w:val="32"/>
          <w:szCs w:val="32"/>
        </w:rPr>
        <w:t xml:space="preserve">二、招标文件</w:t>
      </w:r>
      <w:bookmarkEnd w:id="145"/>
      <w:r/>
      <w:bookmarkEnd w:id="146"/>
      <w:r/>
      <w:bookmarkEnd w:id="147"/>
      <w:r/>
      <w:bookmarkEnd w:id="148"/>
      <w:r/>
      <w:r/>
    </w:p>
    <w:p>
      <w:pPr>
        <w:ind w:firstLine="420"/>
        <w:keepLines/>
        <w:keepNext/>
        <w:spacing w:line="500" w:lineRule="exact"/>
        <w:rPr>
          <w:rFonts w:ascii="Arial" w:hAnsi="Arial" w:eastAsia="黑体" w:cs="Arial"/>
          <w:color w:val="000000"/>
          <w:sz w:val="28"/>
          <w:szCs w:val="28"/>
        </w:rPr>
        <w:outlineLvl w:val="3"/>
      </w:pPr>
      <w:r/>
      <w:bookmarkStart w:id="149" w:name="_Toc20823282"/>
      <w:r/>
      <w:bookmarkStart w:id="150" w:name="_Toc513029210"/>
      <w:r/>
      <w:bookmarkStart w:id="151" w:name="_Toc16938526"/>
      <w:r>
        <w:rPr>
          <w:rFonts w:hint="eastAsia" w:ascii="Arial" w:hAnsi="Arial" w:eastAsia="黑体" w:cs="Arial"/>
          <w:color w:val="000000"/>
          <w:sz w:val="28"/>
          <w:szCs w:val="28"/>
        </w:rPr>
        <w:t xml:space="preserve">6、招标文件构成</w:t>
      </w:r>
      <w:bookmarkEnd w:id="149"/>
      <w:r/>
      <w:bookmarkEnd w:id="150"/>
      <w:r/>
      <w:bookmarkEnd w:id="151"/>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招标文件由以下部分组成：</w:t>
      </w:r>
      <w:r/>
    </w:p>
    <w:p>
      <w:pPr>
        <w:ind w:firstLine="360"/>
        <w:spacing w:line="500" w:lineRule="exact"/>
        <w:rPr>
          <w:rFonts w:hint="eastAsia" w:ascii="宋体" w:hAnsi="宋体"/>
          <w:color w:val="000000"/>
          <w:sz w:val="24"/>
        </w:rPr>
      </w:pPr>
      <w:r>
        <w:rPr>
          <w:rFonts w:hint="eastAsia" w:ascii="宋体" w:hAnsi="宋体"/>
          <w:color w:val="000000"/>
          <w:sz w:val="24"/>
        </w:rPr>
        <w:t xml:space="preserve">（1）投标</w:t>
      </w:r>
      <w:r>
        <w:rPr>
          <w:rFonts w:ascii="宋体" w:hAnsi="宋体"/>
          <w:color w:val="000000"/>
          <w:sz w:val="24"/>
        </w:rPr>
        <w:t xml:space="preserve">邀请</w:t>
      </w:r>
      <w:r/>
    </w:p>
    <w:p>
      <w:pPr>
        <w:ind w:firstLine="360"/>
        <w:spacing w:line="500" w:lineRule="exact"/>
        <w:rPr>
          <w:rFonts w:hint="eastAsia" w:ascii="宋体" w:hAnsi="宋体"/>
          <w:color w:val="000000"/>
          <w:sz w:val="24"/>
        </w:rPr>
      </w:pPr>
      <w:r>
        <w:rPr>
          <w:rFonts w:hint="eastAsia" w:ascii="宋体" w:hAnsi="宋体"/>
          <w:color w:val="000000"/>
          <w:sz w:val="24"/>
        </w:rPr>
        <w:t xml:space="preserve">（2）投标人须知</w:t>
      </w:r>
      <w:r/>
    </w:p>
    <w:p>
      <w:pPr>
        <w:ind w:firstLine="360"/>
        <w:spacing w:line="500" w:lineRule="exact"/>
        <w:rPr>
          <w:rFonts w:hint="eastAsia" w:ascii="宋体" w:hAnsi="宋体"/>
          <w:color w:val="000000"/>
          <w:sz w:val="24"/>
        </w:rPr>
      </w:pPr>
      <w:r>
        <w:rPr>
          <w:rFonts w:hint="eastAsia" w:ascii="宋体" w:hAnsi="宋体"/>
          <w:color w:val="000000"/>
          <w:sz w:val="24"/>
        </w:rPr>
        <w:t xml:space="preserve">（3）资格审查</w:t>
      </w:r>
      <w:r/>
    </w:p>
    <w:p>
      <w:pPr>
        <w:ind w:firstLine="360"/>
        <w:spacing w:line="500" w:lineRule="exact"/>
        <w:rPr>
          <w:rFonts w:hint="eastAsia" w:ascii="宋体" w:hAnsi="宋体"/>
          <w:color w:val="000000"/>
          <w:sz w:val="24"/>
        </w:rPr>
      </w:pPr>
      <w:r>
        <w:rPr>
          <w:rFonts w:hint="eastAsia" w:ascii="宋体" w:hAnsi="宋体"/>
          <w:color w:val="000000"/>
          <w:sz w:val="24"/>
        </w:rPr>
        <w:t xml:space="preserve">（4）评标程序、评标方法和评标标准</w:t>
      </w:r>
      <w:r/>
    </w:p>
    <w:p>
      <w:pPr>
        <w:ind w:firstLine="360"/>
        <w:spacing w:line="500" w:lineRule="exact"/>
        <w:rPr>
          <w:color w:val="000000"/>
          <w:sz w:val="24"/>
        </w:rPr>
      </w:pPr>
      <w:r>
        <w:rPr>
          <w:rFonts w:hint="eastAsia" w:ascii="宋体" w:hAnsi="宋体"/>
          <w:color w:val="000000"/>
          <w:sz w:val="24"/>
        </w:rPr>
        <w:t xml:space="preserve">（5）</w:t>
      </w:r>
      <w:r>
        <w:rPr>
          <w:rFonts w:hint="eastAsia" w:hAnsi="宋体"/>
          <w:color w:val="000000"/>
          <w:sz w:val="24"/>
        </w:rPr>
        <w:t xml:space="preserve">采购需求</w:t>
      </w:r>
      <w:r/>
    </w:p>
    <w:p>
      <w:pPr>
        <w:ind w:firstLine="360"/>
        <w:spacing w:line="500" w:lineRule="exact"/>
        <w:rPr>
          <w:rFonts w:hint="eastAsia" w:ascii="宋体" w:hAnsi="宋体"/>
          <w:color w:val="000000"/>
          <w:sz w:val="24"/>
        </w:rPr>
      </w:pPr>
      <w:r>
        <w:rPr>
          <w:rFonts w:hint="eastAsia" w:ascii="宋体" w:hAnsi="宋体"/>
          <w:color w:val="000000"/>
          <w:sz w:val="24"/>
        </w:rPr>
        <w:t xml:space="preserve">（6）拟签订的合同文本</w:t>
      </w:r>
      <w:r/>
    </w:p>
    <w:p>
      <w:pPr>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）投标文件的组成及提交须知</w:t>
      </w:r>
      <w:r/>
    </w:p>
    <w:p>
      <w:pPr>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）投标文件格式</w:t>
      </w:r>
      <w:r/>
    </w:p>
    <w:p>
      <w:pPr>
        <w:ind w:firstLine="480"/>
        <w:spacing w:line="500" w:lineRule="exact"/>
        <w:rPr>
          <w:rFonts w:hint="eastAsia" w:ascii="宋体" w:hAnsi="宋体"/>
          <w:b/>
          <w:bCs/>
          <w:color w:val="000000"/>
          <w:sz w:val="24"/>
          <w:szCs w:val="21"/>
        </w:rPr>
      </w:pPr>
      <w:r>
        <w:rPr>
          <w:rFonts w:hint="eastAsia" w:ascii="宋体" w:hAnsi="宋体"/>
          <w:b/>
          <w:bCs/>
          <w:color w:val="000000"/>
          <w:sz w:val="24"/>
          <w:szCs w:val="21"/>
        </w:rPr>
        <w:t xml:space="preserve">请仔细检查招标文件是否齐全，如有缺漏请立即与代理机构联系解决。</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000000"/>
          <w:sz w:val="28"/>
          <w:szCs w:val="28"/>
        </w:rPr>
        <w:outlineLvl w:val="3"/>
      </w:pPr>
      <w:r/>
      <w:bookmarkStart w:id="152" w:name="_Toc462564070"/>
      <w:r/>
      <w:bookmarkStart w:id="153" w:name="_Toc20823283"/>
      <w:r/>
      <w:bookmarkStart w:id="154" w:name="_Toc16938527"/>
      <w:r/>
      <w:bookmarkStart w:id="155" w:name="_Toc513029211"/>
      <w:r>
        <w:rPr>
          <w:rFonts w:hint="eastAsia" w:ascii="Arial" w:hAnsi="Arial" w:eastAsia="黑体" w:cs="Arial"/>
          <w:color w:val="000000"/>
          <w:sz w:val="28"/>
          <w:szCs w:val="28"/>
        </w:rPr>
        <w:t xml:space="preserve">7、招标文件的澄清</w:t>
      </w:r>
      <w:bookmarkEnd w:id="152"/>
      <w:r/>
      <w:bookmarkEnd w:id="153"/>
      <w:r/>
      <w:bookmarkEnd w:id="154"/>
      <w:r/>
      <w:bookmarkEnd w:id="155"/>
      <w:r/>
      <w:r/>
    </w:p>
    <w:p>
      <w:pPr>
        <w:ind w:firstLine="480"/>
        <w:jc w:val="left"/>
        <w:spacing w:line="500" w:lineRule="exact"/>
        <w:tabs>
          <w:tab w:val="left" w:pos="1080" w:leader="none"/>
          <w:tab w:val="left" w:pos="1561" w:leader="none"/>
          <w:tab w:val="left" w:pos="1589" w:leader="none"/>
          <w:tab w:val="left" w:pos="2014" w:leader="none"/>
        </w:tabs>
        <w:rPr>
          <w:color w:val="000000"/>
          <w:sz w:val="24"/>
        </w:rPr>
      </w:pPr>
      <w:r/>
      <w:bookmarkStart w:id="156" w:name="_Toc513029212"/>
      <w:r/>
      <w:bookmarkStart w:id="157" w:name="_Toc20823284"/>
      <w:r/>
      <w:bookmarkStart w:id="158" w:name="_Toc16938528"/>
      <w:r/>
      <w:bookmarkStart w:id="159" w:name="_Toc462564071"/>
      <w:r>
        <w:rPr>
          <w:rFonts w:hint="eastAsia"/>
          <w:color w:val="000000"/>
          <w:sz w:val="24"/>
        </w:rPr>
        <w:t xml:space="preserve">7</w:t>
      </w:r>
      <w:r>
        <w:rPr>
          <w:color w:val="000000"/>
          <w:sz w:val="24"/>
        </w:rPr>
        <w:t xml:space="preserve">.1</w:t>
      </w:r>
      <w:r>
        <w:rPr>
          <w:rFonts w:hint="eastAsia"/>
          <w:color w:val="000000"/>
          <w:sz w:val="24"/>
        </w:rPr>
        <w:t xml:space="preserve">、</w:t>
      </w:r>
      <w:r>
        <w:rPr>
          <w:color w:val="000000"/>
          <w:sz w:val="24"/>
        </w:rPr>
        <w:t xml:space="preserve">采购人或采购代理机构对已发出的招标文件进行必要澄清或者修改的，将在原公告发布媒体上以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形式通知所有获取招标文件的潜在投标人。</w:t>
      </w:r>
      <w:r/>
    </w:p>
    <w:p>
      <w:pPr>
        <w:ind w:firstLine="56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8、招标文件的修改</w:t>
      </w:r>
      <w:bookmarkEnd w:id="156"/>
      <w:r/>
      <w:bookmarkEnd w:id="157"/>
      <w:r/>
      <w:bookmarkEnd w:id="158"/>
      <w:r/>
      <w:bookmarkEnd w:id="159"/>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，代理机构可以对招标文件进行修改。</w:t>
      </w:r>
      <w:r/>
    </w:p>
    <w:p>
      <w:pPr>
        <w:ind w:firstLine="480"/>
        <w:spacing w:line="500" w:lineRule="exact"/>
        <w:rPr>
          <w:rFonts w:ascii="宋体" w:hAnsi="Arial"/>
          <w:color w:val="000000"/>
          <w:sz w:val="28"/>
          <w:szCs w:val="21"/>
        </w:rPr>
      </w:pPr>
      <w:r>
        <w:rPr>
          <w:rFonts w:hint="eastAsia" w:ascii="宋体" w:hAnsi="宋体"/>
          <w:bCs/>
          <w:color w:val="000000"/>
          <w:sz w:val="24"/>
          <w:szCs w:val="21"/>
        </w:rPr>
        <w:t xml:space="preserve">8.2</w:t>
      </w:r>
      <w:r>
        <w:rPr>
          <w:rFonts w:hint="eastAsia" w:ascii="宋体" w:hAnsi="宋体"/>
          <w:color w:val="000000"/>
          <w:sz w:val="24"/>
          <w:szCs w:val="21"/>
        </w:rPr>
        <w:t xml:space="preserve">代理机构</w:t>
      </w:r>
      <w:r>
        <w:rPr>
          <w:rFonts w:hint="eastAsia" w:ascii="宋体" w:hAnsi="宋体"/>
          <w:color w:val="000000"/>
          <w:sz w:val="24"/>
        </w:rPr>
        <w:t xml:space="preserve">有权按照法定的要求</w:t>
      </w:r>
      <w:r>
        <w:rPr>
          <w:rFonts w:hint="eastAsia" w:ascii="宋体" w:hAnsi="宋体"/>
          <w:color w:val="000000"/>
          <w:sz w:val="24"/>
          <w:szCs w:val="21"/>
        </w:rPr>
        <w:t xml:space="preserve">推迟投标截止日期和开标日期。</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w:t>
      </w:r>
      <w:r>
        <w:rPr>
          <w:rFonts w:hint="eastAsia" w:ascii="宋体" w:hAnsi="宋体"/>
          <w:color w:val="000000"/>
          <w:sz w:val="24"/>
          <w:szCs w:val="21"/>
        </w:rPr>
        <w:t xml:space="preserve">招标文件的修改将在</w:t>
      </w:r>
      <w:bookmarkStart w:id="160" w:name="_Hlk151728132"/>
      <w:r>
        <w:rPr>
          <w:rFonts w:hint="eastAsia" w:ascii="宋体" w:hAnsi="宋体"/>
          <w:color w:val="000000"/>
          <w:sz w:val="24"/>
          <w:szCs w:val="21"/>
        </w:rPr>
        <w:t xml:space="preserve">“江苏省政府采购网”、“常州市政府采购网”</w:t>
      </w:r>
      <w:bookmarkEnd w:id="160"/>
      <w:r>
        <w:rPr>
          <w:rFonts w:hint="eastAsia" w:ascii="宋体" w:hAnsi="宋体"/>
          <w:color w:val="000000"/>
          <w:sz w:val="24"/>
          <w:szCs w:val="21"/>
        </w:rPr>
        <w:t xml:space="preserve">公布，</w:t>
      </w:r>
      <w:r>
        <w:rPr>
          <w:rFonts w:hint="eastAsia" w:ascii="宋体" w:hAnsi="宋体"/>
          <w:color w:val="000000"/>
          <w:sz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line="500" w:lineRule="exact"/>
        <w:rPr>
          <w:b/>
          <w:bCs/>
          <w:color w:val="000000"/>
          <w:sz w:val="32"/>
          <w:szCs w:val="32"/>
        </w:rPr>
        <w:outlineLvl w:val="2"/>
      </w:pPr>
      <w:r/>
      <w:bookmarkStart w:id="161" w:name="_Toc120614216"/>
      <w:r/>
      <w:bookmarkStart w:id="162" w:name="_Toc513029213"/>
      <w:r/>
      <w:bookmarkStart w:id="163" w:name="_Toc20823285"/>
      <w:r/>
      <w:bookmarkStart w:id="164" w:name="_Toc16938529"/>
      <w:r/>
      <w:bookmarkStart w:id="165" w:name="_Toc462564072"/>
      <w:r>
        <w:rPr>
          <w:rFonts w:hint="eastAsia"/>
          <w:b/>
          <w:bCs/>
          <w:color w:val="000000"/>
          <w:sz w:val="32"/>
          <w:szCs w:val="32"/>
        </w:rPr>
        <w:t xml:space="preserve">三、投标文件的编制</w:t>
      </w:r>
      <w:bookmarkEnd w:id="161"/>
      <w:r/>
      <w:bookmarkEnd w:id="162"/>
      <w:r/>
      <w:bookmarkEnd w:id="163"/>
      <w:r/>
      <w:bookmarkEnd w:id="164"/>
      <w:r/>
      <w:bookmarkEnd w:id="165"/>
      <w:r/>
      <w:r/>
    </w:p>
    <w:p>
      <w:pPr>
        <w:ind w:firstLine="560"/>
        <w:keepLines/>
        <w:keepNext/>
        <w:spacing w:line="500" w:lineRule="exact"/>
        <w:rPr>
          <w:rFonts w:ascii="Arial" w:hAnsi="Arial" w:eastAsia="黑体" w:cs="Arial"/>
          <w:b/>
          <w:color w:val="000000"/>
          <w:sz w:val="28"/>
          <w:szCs w:val="28"/>
        </w:rPr>
        <w:outlineLvl w:val="3"/>
      </w:pPr>
      <w:r/>
      <w:bookmarkStart w:id="166" w:name="_Toc462564073"/>
      <w:r/>
      <w:bookmarkStart w:id="167" w:name="_Toc16938530"/>
      <w:r/>
      <w:bookmarkStart w:id="168" w:name="_Toc513029214"/>
      <w:r/>
      <w:bookmarkStart w:id="169" w:name="_Toc20823286"/>
      <w:r>
        <w:rPr>
          <w:rFonts w:hint="eastAsia" w:ascii="Arial" w:hAnsi="Arial" w:eastAsia="黑体" w:cs="Arial"/>
          <w:color w:val="000000"/>
          <w:sz w:val="28"/>
          <w:szCs w:val="28"/>
        </w:rPr>
        <w:t xml:space="preserve">9、投标文件的语言及度量衡单位</w:t>
      </w:r>
      <w:bookmarkEnd w:id="166"/>
      <w:r/>
      <w:bookmarkEnd w:id="167"/>
      <w:r/>
      <w:bookmarkEnd w:id="168"/>
      <w:r/>
      <w:bookmarkEnd w:id="169"/>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投标人提交的投标文件以及投标人与代理机构就有关投标的所有来往通知、函件和文件均应使用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500" w:lineRule="exact"/>
        <w:rPr>
          <w:rFonts w:ascii="Arial" w:hAnsi="Arial" w:eastAsia="黑体" w:cs="Arial"/>
          <w:color w:val="000000"/>
          <w:sz w:val="28"/>
          <w:szCs w:val="28"/>
        </w:rPr>
        <w:outlineLvl w:val="3"/>
      </w:pPr>
      <w:r/>
      <w:bookmarkStart w:id="170" w:name="_Toc462564074"/>
      <w:r/>
      <w:bookmarkStart w:id="171" w:name="_Toc513029215"/>
      <w:r/>
      <w:bookmarkStart w:id="172" w:name="_Toc16938531"/>
      <w:r/>
      <w:bookmarkStart w:id="173" w:name="_Toc20823287"/>
      <w:r>
        <w:rPr>
          <w:rFonts w:hint="eastAsia" w:ascii="Arial" w:hAnsi="Arial" w:eastAsia="黑体" w:cs="Arial"/>
          <w:color w:val="000000"/>
          <w:sz w:val="28"/>
          <w:szCs w:val="28"/>
        </w:rPr>
        <w:t xml:space="preserve">10、投标文件构成</w:t>
      </w:r>
      <w:bookmarkEnd w:id="170"/>
      <w:r/>
      <w:bookmarkEnd w:id="171"/>
      <w:r/>
      <w:bookmarkEnd w:id="172"/>
      <w:r/>
      <w:bookmarkEnd w:id="173"/>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10.2如标书制作工具中格式和内容与“江苏省政府采购网”、“常州市政府采购网”发布的招标文件不一致，请以“江苏省政府采购网”、“常州市政府采购网”发布的招标文件为准。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sz w:val="28"/>
          <w:szCs w:val="28"/>
        </w:rPr>
        <w:outlineLvl w:val="3"/>
      </w:pPr>
      <w:r/>
      <w:bookmarkStart w:id="174" w:name="_Hlt26668975"/>
      <w:r/>
      <w:bookmarkEnd w:id="174"/>
      <w:r/>
      <w:bookmarkStart w:id="175" w:name="_Hlt26954838"/>
      <w:r/>
      <w:bookmarkEnd w:id="175"/>
      <w:r/>
      <w:bookmarkStart w:id="176" w:name="_Hlt26670360"/>
      <w:r/>
      <w:bookmarkEnd w:id="176"/>
      <w:r/>
      <w:bookmarkStart w:id="177" w:name="_Toc49090509"/>
      <w:r/>
      <w:bookmarkStart w:id="178" w:name="_Toc14577357"/>
      <w:r/>
      <w:bookmarkStart w:id="179" w:name="_Toc513029219"/>
      <w:r/>
      <w:bookmarkStart w:id="180" w:name="_Toc513029216"/>
      <w:r/>
      <w:bookmarkStart w:id="181" w:name="_Toc14577354"/>
      <w:r/>
      <w:bookmarkStart w:id="182" w:name="_Toc49090507"/>
      <w:r/>
      <w:bookmarkStart w:id="183" w:name="_Toc49090508"/>
      <w:r/>
      <w:bookmarkStart w:id="184" w:name="_Toc14577355"/>
      <w:r>
        <w:rPr>
          <w:rFonts w:hint="eastAsia" w:ascii="Arial" w:hAnsi="Arial" w:eastAsia="黑体" w:cs="Arial"/>
          <w:color w:val="000000"/>
          <w:sz w:val="28"/>
          <w:szCs w:val="28"/>
        </w:rPr>
        <w:t xml:space="preserve">11、证明投标人及投标标的符合招标文件规定的文件</w:t>
      </w:r>
      <w:bookmarkEnd w:id="177"/>
      <w:r/>
      <w:bookmarkEnd w:id="178"/>
      <w:r/>
      <w:bookmarkEnd w:id="179"/>
      <w:r/>
      <w:bookmarkEnd w:id="180"/>
      <w:r/>
      <w:bookmarkEnd w:id="181"/>
      <w:r/>
      <w:bookmarkEnd w:id="182"/>
      <w:r/>
      <w:r/>
    </w:p>
    <w:p>
      <w:pPr>
        <w:spacing w:line="500" w:lineRule="exact"/>
        <w:rPr>
          <w:rFonts w:hint="eastAsia" w:ascii="宋体" w:hAnsi="宋体"/>
          <w:color w:val="000000"/>
          <w:sz w:val="24"/>
        </w:rPr>
      </w:pPr>
      <w:r>
        <w:rPr>
          <w:rFonts w:hint="eastAsia" w:ascii="宋体" w:hAnsi="宋体"/>
          <w:color w:val="000000"/>
          <w:sz w:val="24"/>
        </w:rPr>
        <w:t xml:space="preserve">    11.1投标人应按照招标文件要求提交证明文件，证明其及投标标的符合招标文件规定。</w:t>
      </w:r>
      <w:r/>
    </w:p>
    <w:p>
      <w:pPr>
        <w:ind w:firstLine="480"/>
        <w:spacing w:line="500" w:lineRule="exact"/>
        <w:rPr>
          <w:rFonts w:hint="eastAsia"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bookmarkEnd w:id="183"/>
      <w:r/>
      <w:bookmarkEnd w:id="184"/>
      <w:r/>
      <w:r/>
    </w:p>
    <w:p>
      <w:pPr>
        <w:ind w:firstLine="42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12、投标报价明细表</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投标人应按照招标文件规定格式填报投标报价明细表。</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spacing w:line="500" w:lineRule="exact"/>
        <w:rPr>
          <w:rFonts w:ascii="Arial" w:hAnsi="Arial" w:eastAsia="黑体" w:cs="Arial"/>
          <w:color w:val="000000"/>
          <w:sz w:val="28"/>
          <w:szCs w:val="28"/>
        </w:rPr>
        <w:outlineLvl w:val="3"/>
      </w:pPr>
      <w:r/>
      <w:bookmarkStart w:id="185" w:name="_Hlt26670482"/>
      <w:r/>
      <w:bookmarkEnd w:id="185"/>
      <w:r/>
      <w:bookmarkStart w:id="186" w:name="_Hlt26954731"/>
      <w:r/>
      <w:bookmarkEnd w:id="186"/>
      <w:r/>
      <w:bookmarkStart w:id="187" w:name="_Hlt26670486"/>
      <w:r/>
      <w:bookmarkEnd w:id="187"/>
      <w:r/>
      <w:bookmarkStart w:id="188" w:name="_Hlt26954848"/>
      <w:r/>
      <w:bookmarkEnd w:id="188"/>
      <w:r/>
      <w:bookmarkStart w:id="189" w:name="_Hlt26954846"/>
      <w:r/>
      <w:bookmarkEnd w:id="189"/>
      <w:r>
        <w:rPr>
          <w:rFonts w:hint="eastAsia" w:ascii="Arial" w:hAnsi="Arial" w:eastAsia="黑体" w:cs="Arial"/>
          <w:color w:val="000000"/>
          <w:sz w:val="28"/>
          <w:szCs w:val="28"/>
        </w:rPr>
        <w:t xml:space="preserve">13、技术要求响应及偏离表、商务要求响应及偏离表</w:t>
      </w:r>
      <w:r/>
    </w:p>
    <w:p>
      <w:pPr>
        <w:ind w:firstLine="480"/>
        <w:spacing w:line="500" w:lineRule="exact"/>
        <w:rPr>
          <w:rFonts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color w:val="000000"/>
          <w:sz w:val="24"/>
          <w:szCs w:val="21"/>
          <w:lang w:val="zh-CN"/>
        </w:rPr>
        <w:t xml:space="preserve">投标人需对招标文件中的技术要求逐项作出响应或偏离，并说明原因。</w:t>
      </w:r>
      <w:r/>
    </w:p>
    <w:p>
      <w:pPr>
        <w:ind w:firstLine="480"/>
        <w:spacing w:line="500" w:lineRule="exact"/>
        <w:rPr>
          <w:rFonts w:ascii="宋体" w:hAnsi="Arial" w:cs="宋体"/>
          <w:color w:val="000000"/>
          <w:sz w:val="24"/>
          <w:szCs w:val="21"/>
          <w:lang w:val="zh-CN"/>
        </w:rPr>
      </w:pPr>
      <w:r>
        <w:rPr>
          <w:rFonts w:hint="eastAsia" w:ascii="宋体" w:hAnsi="Arial" w:cs="宋体"/>
          <w:color w:val="000000"/>
          <w:sz w:val="24"/>
          <w:szCs w:val="21"/>
          <w:lang w:val="zh-CN"/>
        </w:rPr>
        <w:t xml:space="preserve">13.2投标人可在投标文件中提供认为需要的其他技术文件或说明。</w:t>
      </w:r>
      <w:r/>
    </w:p>
    <w:p>
      <w:pPr>
        <w:ind w:firstLine="42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ind w:firstLine="480"/>
        <w:spacing w:line="500" w:lineRule="exact"/>
        <w:rPr>
          <w:rFonts w:hint="eastAsia" w:ascii="宋体" w:hAnsi="宋体"/>
          <w:color w:val="000000"/>
          <w:sz w:val="24"/>
        </w:rPr>
      </w:pPr>
      <w:r>
        <w:rPr>
          <w:rFonts w:hint="eastAsia" w:ascii="宋体" w:hAnsi="宋体"/>
          <w:bCs/>
          <w:color w:val="000000"/>
          <w:sz w:val="24"/>
        </w:rPr>
        <w:t xml:space="preserve">14.1</w:t>
      </w:r>
      <w:r>
        <w:rPr>
          <w:rFonts w:hint="eastAsia" w:ascii="宋体" w:hAnsi="宋体"/>
          <w:color w:val="000000"/>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sz w:val="24"/>
        </w:rPr>
      </w:pPr>
      <w:r>
        <w:rPr>
          <w:rFonts w:hint="eastAsia" w:ascii="宋体" w:hAnsi="宋体"/>
          <w:color w:val="000000"/>
          <w:sz w:val="24"/>
        </w:rPr>
        <w:t xml:space="preserve">14.2投标人需根据招标文件要求提供培训计划。</w:t>
      </w:r>
      <w:r/>
    </w:p>
    <w:p>
      <w:pPr>
        <w:ind w:firstLine="480"/>
        <w:spacing w:line="500" w:lineRule="exact"/>
        <w:rPr>
          <w:rFonts w:hint="eastAsia" w:ascii="宋体" w:hAnsi="宋体"/>
          <w:color w:val="000000"/>
          <w:sz w:val="24"/>
        </w:rPr>
      </w:pPr>
      <w:r>
        <w:rPr>
          <w:rFonts w:hint="eastAsia" w:ascii="宋体" w:hAnsi="宋体"/>
          <w:color w:val="000000"/>
          <w:sz w:val="24"/>
        </w:rPr>
        <w:t xml:space="preserve">14.3投标人需根据招标文件要求提供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000000"/>
          <w:sz w:val="28"/>
          <w:szCs w:val="28"/>
        </w:rPr>
        <w:outlineLvl w:val="3"/>
      </w:pPr>
      <w:r/>
      <w:bookmarkStart w:id="190" w:name="_Toc49090510"/>
      <w:r/>
      <w:bookmarkStart w:id="191" w:name="_Toc14577359"/>
      <w:r>
        <w:rPr>
          <w:rFonts w:hint="eastAsia" w:ascii="Arial" w:hAnsi="Arial" w:eastAsia="黑体" w:cs="Arial"/>
          <w:color w:val="000000"/>
          <w:sz w:val="28"/>
          <w:szCs w:val="28"/>
        </w:rPr>
        <w:t xml:space="preserve">15、投标函和开标一览表</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投标人应按照招标文件中提供的格式完整、正确填写投标函、开标一览表。</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15.2对于采用货币报价的项目，开标一览表中的投标总报价应与报价明细表中的投标总报价一致，如不一致，不作为无效报价处理，但评标时按开标一览表中价格为准。</w:t>
      </w:r>
      <w:bookmarkEnd w:id="190"/>
      <w:r/>
      <w:bookmarkEnd w:id="191"/>
      <w:r/>
      <w:r/>
    </w:p>
    <w:p>
      <w:pPr>
        <w:ind w:firstLine="420"/>
        <w:keepLines/>
        <w:keepNext/>
        <w:spacing w:line="500" w:lineRule="exact"/>
        <w:rPr>
          <w:rFonts w:ascii="Arial" w:hAnsi="Arial" w:eastAsia="黑体" w:cs="Arial"/>
          <w:color w:val="000000"/>
          <w:sz w:val="28"/>
          <w:szCs w:val="28"/>
        </w:rPr>
        <w:outlineLvl w:val="3"/>
      </w:pPr>
      <w:r/>
      <w:bookmarkStart w:id="192" w:name="_Toc14577360"/>
      <w:r/>
      <w:bookmarkStart w:id="193" w:name="_Toc49090511"/>
      <w:r>
        <w:rPr>
          <w:rFonts w:hint="eastAsia" w:ascii="Arial" w:hAnsi="Arial" w:eastAsia="黑体" w:cs="Arial"/>
          <w:color w:val="000000"/>
          <w:sz w:val="28"/>
          <w:szCs w:val="28"/>
        </w:rPr>
        <w:t xml:space="preserve">16、投标有效期</w:t>
      </w:r>
      <w:bookmarkEnd w:id="192"/>
      <w:r/>
      <w:bookmarkEnd w:id="193"/>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16.1投标有效期为代理机构规定的开标之日后</w:t>
      </w:r>
      <w:r>
        <w:rPr>
          <w:rFonts w:hint="eastAsia" w:ascii="宋体" w:hAnsi="宋体"/>
          <w:b/>
          <w:color w:val="000000"/>
          <w:sz w:val="24"/>
          <w:szCs w:val="21"/>
          <w:u w:val="single"/>
        </w:rPr>
        <w:t xml:space="preserve">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ind w:firstLine="643"/>
        <w:keepLines/>
        <w:keepNext/>
        <w:spacing w:line="500" w:lineRule="exact"/>
        <w:rPr>
          <w:b/>
          <w:bCs/>
          <w:color w:val="000000"/>
          <w:sz w:val="32"/>
          <w:szCs w:val="32"/>
        </w:rPr>
        <w:outlineLvl w:val="2"/>
      </w:pPr>
      <w:r/>
      <w:bookmarkStart w:id="194" w:name="_Hlt26954739"/>
      <w:r/>
      <w:bookmarkEnd w:id="194"/>
      <w:r/>
      <w:bookmarkStart w:id="195" w:name="_Hlt26954852"/>
      <w:r/>
      <w:bookmarkEnd w:id="195"/>
      <w:r/>
      <w:bookmarkStart w:id="196" w:name="_Toc513029224"/>
      <w:r/>
      <w:bookmarkStart w:id="197" w:name="_Toc120614217"/>
      <w:r/>
      <w:bookmarkStart w:id="198" w:name="_Toc16938540"/>
      <w:r/>
      <w:bookmarkStart w:id="199" w:name="_Toc20823296"/>
      <w:r>
        <w:rPr>
          <w:rFonts w:hint="eastAsia"/>
          <w:b/>
          <w:bCs/>
          <w:color w:val="000000"/>
          <w:sz w:val="32"/>
          <w:szCs w:val="32"/>
        </w:rPr>
        <w:t xml:space="preserve">四、投标文件的递交</w:t>
      </w:r>
      <w:bookmarkEnd w:id="196"/>
      <w:r/>
      <w:bookmarkEnd w:id="197"/>
      <w:r/>
      <w:bookmarkEnd w:id="198"/>
      <w:r/>
      <w:bookmarkEnd w:id="199"/>
      <w:r/>
      <w:r/>
    </w:p>
    <w:p>
      <w:pPr>
        <w:ind w:firstLine="420"/>
        <w:keepLines/>
        <w:keepNext/>
        <w:spacing w:line="500" w:lineRule="exact"/>
        <w:rPr>
          <w:rFonts w:ascii="黑体" w:hAnsi="Arial" w:eastAsia="黑体" w:cs="Arial"/>
          <w:color w:val="000000"/>
          <w:sz w:val="28"/>
          <w:szCs w:val="28"/>
        </w:rPr>
        <w:outlineLvl w:val="3"/>
      </w:pPr>
      <w:r/>
      <w:bookmarkStart w:id="200" w:name="_Toc462564084"/>
      <w:r/>
      <w:bookmarkStart w:id="201" w:name="_Toc20823297"/>
      <w:r/>
      <w:bookmarkStart w:id="202" w:name="_Toc513029225"/>
      <w:r/>
      <w:bookmarkStart w:id="203"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200"/>
      <w:r/>
      <w:bookmarkEnd w:id="201"/>
      <w:r/>
      <w:bookmarkEnd w:id="202"/>
      <w:r/>
      <w:bookmarkEnd w:id="203"/>
      <w:r>
        <w:rPr>
          <w:rFonts w:hint="eastAsia" w:ascii="黑体" w:hAnsi="Arial" w:eastAsia="黑体" w:cs="Arial"/>
          <w:color w:val="000000"/>
          <w:sz w:val="28"/>
          <w:szCs w:val="28"/>
        </w:rPr>
        <w:t xml:space="preserve">的递交</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204" w:name="_Toc16938542"/>
      <w:r/>
      <w:bookmarkStart w:id="205" w:name="_Toc513029226"/>
      <w:r/>
      <w:bookmarkStart w:id="206" w:name="_Toc20823298"/>
      <w:r/>
      <w:r/>
    </w:p>
    <w:p>
      <w:pPr>
        <w:ind w:firstLine="420"/>
        <w:keepLines/>
        <w:keepNext/>
        <w:spacing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204"/>
      <w:r/>
      <w:bookmarkEnd w:id="205"/>
      <w:r/>
      <w:bookmarkEnd w:id="206"/>
      <w:r/>
      <w:r/>
    </w:p>
    <w:p>
      <w:pPr>
        <w:ind w:firstLine="480"/>
        <w:spacing w:line="500" w:lineRule="exact"/>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投标人上传电子投标文件的时间不得迟于招标公告中规定的投标截止时间。</w:t>
      </w: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000000"/>
          <w:sz w:val="28"/>
          <w:szCs w:val="28"/>
        </w:rPr>
        <w:outlineLvl w:val="3"/>
      </w:pPr>
      <w:r/>
      <w:bookmarkStart w:id="207" w:name="_Toc20823299"/>
      <w:r/>
      <w:bookmarkStart w:id="208" w:name="_Toc16938543"/>
      <w:r/>
      <w:bookmarkStart w:id="209"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207"/>
      <w:r/>
      <w:bookmarkEnd w:id="208"/>
      <w:r/>
      <w:bookmarkEnd w:id="209"/>
      <w:r>
        <w:rPr>
          <w:rFonts w:hint="eastAsia" w:ascii="Arial" w:hAnsi="Arial" w:eastAsia="黑体" w:cs="Arial"/>
          <w:color w:val="000000"/>
          <w:sz w:val="28"/>
          <w:szCs w:val="28"/>
        </w:rPr>
        <w:t xml:space="preserve">的拒收</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20.1代理机构拒绝接收在其规定的投标截止时间后上传的任何投标文件。</w:t>
      </w:r>
      <w:r/>
    </w:p>
    <w:p>
      <w:pPr>
        <w:ind w:firstLine="420"/>
        <w:keepLines/>
        <w:keepNext/>
        <w:spacing w:line="500" w:lineRule="exact"/>
        <w:rPr>
          <w:rFonts w:ascii="Arial" w:hAnsi="Arial" w:eastAsia="黑体" w:cs="Arial"/>
          <w:color w:val="000000"/>
          <w:sz w:val="28"/>
          <w:szCs w:val="28"/>
        </w:rPr>
        <w:outlineLvl w:val="3"/>
      </w:pPr>
      <w:r/>
      <w:bookmarkStart w:id="210" w:name="_Toc16938544"/>
      <w:r/>
      <w:bookmarkStart w:id="211" w:name="_Toc513029228"/>
      <w:r/>
      <w:bookmarkStart w:id="212"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210"/>
      <w:r/>
      <w:bookmarkEnd w:id="211"/>
      <w:r/>
      <w:bookmarkEnd w:id="212"/>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.1投标文件的撤回</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.1.1电子投标文件的撤回</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投标人撤回电子投标文件，则认为其不再参与本项目投标活动。</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.2投标文件的修改</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2"/>
        <w:keepLines/>
        <w:keepNext/>
        <w:spacing w:line="500" w:lineRule="exact"/>
        <w:rPr>
          <w:b/>
          <w:bCs/>
          <w:color w:val="000000"/>
          <w:sz w:val="32"/>
          <w:szCs w:val="32"/>
        </w:rPr>
        <w:outlineLvl w:val="2"/>
      </w:pPr>
      <w:r/>
      <w:bookmarkStart w:id="213" w:name="_Toc16938545"/>
      <w:r/>
      <w:bookmarkStart w:id="214" w:name="_Toc20823301"/>
      <w:r/>
      <w:bookmarkStart w:id="215" w:name="_Toc513029229"/>
      <w:r/>
      <w:bookmarkStart w:id="216" w:name="_Toc120614218"/>
      <w:r>
        <w:rPr>
          <w:rFonts w:hint="eastAsia"/>
          <w:b/>
          <w:bCs/>
          <w:color w:val="000000"/>
          <w:sz w:val="32"/>
          <w:szCs w:val="32"/>
        </w:rPr>
        <w:t xml:space="preserve">五、开标与评标</w:t>
      </w:r>
      <w:bookmarkEnd w:id="213"/>
      <w:r/>
      <w:bookmarkEnd w:id="214"/>
      <w:r/>
      <w:bookmarkEnd w:id="215"/>
      <w:r/>
      <w:bookmarkEnd w:id="216"/>
      <w:r/>
      <w:r/>
    </w:p>
    <w:p>
      <w:pPr>
        <w:ind w:firstLine="420"/>
        <w:keepLines/>
        <w:keepNext/>
        <w:spacing w:line="500" w:lineRule="exact"/>
        <w:rPr>
          <w:rFonts w:ascii="Arial" w:hAnsi="Arial" w:eastAsia="黑体" w:cs="Arial"/>
          <w:color w:val="000000"/>
          <w:sz w:val="28"/>
          <w:szCs w:val="28"/>
        </w:rPr>
        <w:outlineLvl w:val="3"/>
      </w:pPr>
      <w:r/>
      <w:bookmarkStart w:id="217" w:name="_Toc513029230"/>
      <w:r/>
      <w:bookmarkStart w:id="218" w:name="_Toc20823302"/>
      <w:r/>
      <w:bookmarkStart w:id="219" w:name="_Toc16938546"/>
      <w:r>
        <w:rPr>
          <w:rFonts w:hint="eastAsia" w:ascii="Arial" w:hAnsi="Arial" w:eastAsia="黑体" w:cs="Arial"/>
          <w:color w:val="000000"/>
          <w:sz w:val="28"/>
          <w:szCs w:val="28"/>
        </w:rPr>
        <w:t xml:space="preserve">22、开标</w:t>
      </w:r>
      <w:bookmarkEnd w:id="217"/>
      <w:r/>
      <w:bookmarkEnd w:id="218"/>
      <w:r/>
      <w:bookmarkEnd w:id="219"/>
      <w:r/>
      <w:r/>
    </w:p>
    <w:p>
      <w:pPr>
        <w:ind w:firstLine="360"/>
        <w:spacing w:line="500" w:lineRule="exact"/>
        <w:rPr>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代理机构将在招标公告中规定的时间和地点组织公开开标</w:t>
      </w:r>
      <w:r>
        <w:rPr>
          <w:rFonts w:hint="eastAsia" w:ascii="宋体" w:hAnsi="宋体"/>
          <w:color w:val="000000"/>
          <w:sz w:val="24"/>
        </w:rPr>
        <w:t xml:space="preserve">。投标人应当按照《操作手册》规定，</w:t>
      </w:r>
      <w:r>
        <w:rPr>
          <w:rFonts w:ascii="宋体" w:hAnsi="宋体"/>
          <w:color w:val="000000"/>
          <w:sz w:val="24"/>
        </w:rPr>
        <w:t xml:space="preserve">参加开标活动</w:t>
      </w:r>
      <w:r>
        <w:rPr>
          <w:rFonts w:hint="eastAsia" w:ascii="宋体" w:hAnsi="宋体"/>
          <w:color w:val="000000"/>
          <w:sz w:val="24"/>
        </w:rPr>
        <w:t xml:space="preserve">和在苏采云系统规定的时间内对投标文件进行解密。</w:t>
      </w:r>
      <w:r/>
    </w:p>
    <w:p>
      <w:pPr>
        <w:ind w:firstLine="480"/>
        <w:spacing w:line="500" w:lineRule="exact"/>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.2</w:t>
      </w:r>
      <w:r>
        <w:rPr>
          <w:rFonts w:hint="eastAsia" w:ascii="宋体" w:hAnsi="宋体"/>
          <w:color w:val="000000"/>
          <w:sz w:val="24"/>
        </w:rPr>
        <w:t xml:space="preserve">开标仪式由代理机构组织。苏采云系统将自动对</w:t>
      </w:r>
      <w:r>
        <w:rPr>
          <w:rFonts w:ascii="宋体" w:hAnsi="宋体"/>
          <w:color w:val="000000"/>
          <w:sz w:val="24"/>
        </w:rPr>
        <w:t xml:space="preserve">项目进行开标，</w:t>
      </w:r>
      <w:r>
        <w:rPr>
          <w:rFonts w:hint="eastAsia" w:ascii="宋体" w:hAnsi="宋体"/>
          <w:color w:val="000000"/>
          <w:sz w:val="24"/>
        </w:rPr>
        <w:t xml:space="preserve">并宣布各投标人名称和投标价格。</w:t>
      </w:r>
      <w:r/>
    </w:p>
    <w:p>
      <w:pPr>
        <w:ind w:firstLine="480"/>
        <w:spacing w:line="500" w:lineRule="exact"/>
        <w:rPr>
          <w:rFonts w:hint="eastAsia" w:ascii="宋体" w:hAnsi="宋体"/>
          <w:color w:val="000000"/>
          <w:sz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000000"/>
          <w:sz w:val="28"/>
          <w:szCs w:val="28"/>
        </w:rPr>
        <w:outlineLvl w:val="3"/>
      </w:pPr>
      <w:r/>
      <w:bookmarkStart w:id="220" w:name="_Toc20823303"/>
      <w:r/>
      <w:bookmarkStart w:id="221" w:name="_Toc16938547"/>
      <w:r/>
      <w:bookmarkStart w:id="222" w:name="_Toc513029231"/>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spacing w:line="500" w:lineRule="exact"/>
        <w:rPr>
          <w:rFonts w:hint="eastAsia" w:ascii="宋体" w:hAnsi="宋体"/>
          <w:b/>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.1开标后，代理机构将立即组织评标委员会（以下简称评委会）进行评标。</w:t>
      </w:r>
      <w:r/>
    </w:p>
    <w:p>
      <w:pPr>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.2评委会由采购人代表和有关技术、经济等方面的专家组成，且人员构成符合政府采购有关规定。</w:t>
      </w:r>
      <w:r/>
    </w:p>
    <w:p>
      <w:pPr>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.3评委会独立工作，负责评审所有投标文件并确定中标候选人。</w:t>
      </w:r>
      <w:r/>
    </w:p>
    <w:p>
      <w:pPr>
        <w:ind w:firstLine="420"/>
        <w:keepLines/>
        <w:keepNext/>
        <w:spacing w:line="5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220"/>
      <w:r/>
      <w:bookmarkEnd w:id="221"/>
      <w:r/>
      <w:bookmarkEnd w:id="222"/>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代理机构和评标委员会不向未中标的投标人解释未中标原因，也不公布评标过程中的相关细节。</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000000"/>
          <w:sz w:val="28"/>
          <w:szCs w:val="28"/>
        </w:rPr>
        <w:outlineLvl w:val="3"/>
      </w:pPr>
      <w:r/>
      <w:bookmarkStart w:id="223" w:name="_Toc513029232"/>
      <w:r/>
      <w:bookmarkStart w:id="224" w:name="_Toc16938548"/>
      <w:r/>
      <w:bookmarkStart w:id="225"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223"/>
      <w:r/>
      <w:bookmarkEnd w:id="224"/>
      <w:r/>
      <w:bookmarkEnd w:id="225"/>
      <w:r/>
      <w:r/>
    </w:p>
    <w:p>
      <w:pPr>
        <w:ind w:firstLine="480"/>
        <w:spacing w:line="500" w:lineRule="exact"/>
        <w:rPr>
          <w:rFonts w:hint="eastAsia" w:ascii="宋体" w:hAnsi="宋体"/>
          <w:color w:val="000000"/>
          <w:sz w:val="24"/>
        </w:rPr>
      </w:pPr>
      <w:r/>
      <w:bookmarkStart w:id="226" w:name="_Toc513029233"/>
      <w:r/>
      <w:bookmarkStart w:id="227" w:name="_Toc16938549"/>
      <w:r/>
      <w:bookmarkStart w:id="228" w:name="_Toc20823305"/>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，有权要求投标人作出必要的澄清、说明或者补正。</w:t>
      </w:r>
      <w:r/>
    </w:p>
    <w:p>
      <w:pPr>
        <w:ind w:firstLine="480"/>
        <w:spacing w:line="500" w:lineRule="exact"/>
        <w:rPr>
          <w:rFonts w:hint="eastAsia"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226"/>
      <w:r/>
      <w:bookmarkEnd w:id="227"/>
      <w:r/>
      <w:bookmarkEnd w:id="228"/>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w:t>
      </w:r>
      <w:r>
        <w:rPr>
          <w:rFonts w:hint="eastAsia"/>
          <w:color w:val="000000"/>
          <w:sz w:val="24"/>
        </w:rPr>
        <w:t xml:space="preserve">“信用中国”网站或“中国政府采购网”网站</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.1.3未通过资格审查或符合性审查的投标人，代理机构将在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sz w:val="24"/>
          <w:szCs w:val="21"/>
        </w:rPr>
      </w:pPr>
      <w:r/>
      <w:bookmarkStart w:id="229" w:name="_Toc16938550"/>
      <w:r/>
      <w:bookmarkStart w:id="230" w:name="_Toc20823306"/>
      <w:r/>
      <w:bookmarkStart w:id="231"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500" w:lineRule="exact"/>
        <w:rPr>
          <w:rFonts w:hint="eastAsia"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5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并安排专人与代理机构及评标委员会联系。</w:t>
      </w:r>
      <w:r/>
    </w:p>
    <w:p>
      <w:pPr>
        <w:ind w:firstLine="42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229"/>
      <w:r/>
      <w:bookmarkEnd w:id="230"/>
      <w:r/>
      <w:bookmarkEnd w:id="231"/>
      <w:r>
        <w:rPr>
          <w:rFonts w:hint="eastAsia" w:ascii="Arial" w:hAnsi="Arial" w:eastAsia="黑体" w:cs="Arial"/>
          <w:color w:val="000000"/>
          <w:sz w:val="28"/>
          <w:szCs w:val="28"/>
        </w:rPr>
        <w:t xml:space="preserve">无效投标条款和废标条款</w:t>
      </w:r>
      <w:r/>
    </w:p>
    <w:p>
      <w:pPr>
        <w:ind w:firstLine="480"/>
        <w:spacing w:line="500" w:lineRule="exact"/>
        <w:rPr>
          <w:rFonts w:hint="eastAsia" w:ascii="宋体" w:hAnsi="宋体"/>
          <w:bCs/>
          <w:color w:val="000000"/>
          <w:sz w:val="24"/>
          <w:szCs w:val="21"/>
        </w:rPr>
      </w:pPr>
      <w:r/>
      <w:bookmarkStart w:id="232" w:name="_Toc513029235"/>
      <w:r/>
      <w:bookmarkStart w:id="233" w:name="_Toc20823307"/>
      <w:r/>
      <w:bookmarkStart w:id="234"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.1.1投标人在</w:t>
      </w:r>
      <w:r>
        <w:rPr>
          <w:rFonts w:hint="eastAsia" w:ascii="宋体" w:hAnsi="宋体"/>
          <w:color w:val="000000"/>
          <w:sz w:val="24"/>
        </w:rPr>
        <w:t xml:space="preserve">苏采云系统</w:t>
      </w:r>
      <w:r>
        <w:rPr>
          <w:rFonts w:hint="eastAsia" w:ascii="宋体" w:hAnsi="宋体"/>
          <w:bCs/>
          <w:color w:val="000000"/>
          <w:sz w:val="24"/>
          <w:szCs w:val="21"/>
        </w:rPr>
        <w:t xml:space="preserve">规定的时间内未成功解密电子投标文件的。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投标人未按照招标文件要求上传电子投标文件的。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500" w:lineRule="exact"/>
        <w:rPr>
          <w:rFonts w:hint="eastAsia" w:ascii="宋体" w:hAnsi="宋体"/>
          <w:bCs/>
          <w:iCs/>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投标人被</w:t>
      </w:r>
      <w:r>
        <w:rPr>
          <w:rFonts w:hint="eastAsia"/>
          <w:color w:val="000000"/>
          <w:sz w:val="24"/>
        </w:rPr>
        <w:t xml:space="preserve">“信用中国”网站或“中国政府采购网”网站</w:t>
      </w:r>
      <w:r>
        <w:rPr>
          <w:rFonts w:hint="eastAsia" w:ascii="宋体" w:hAnsi="宋体"/>
          <w:bCs/>
          <w:color w:val="000000"/>
          <w:sz w:val="24"/>
          <w:szCs w:val="21"/>
        </w:rPr>
        <w:t xml:space="preserve">列入失信被执行人或重大税收违法案件当事人名单或政府采购严重失信行为记录名单。或查询</w:t>
      </w:r>
      <w:r>
        <w:rPr>
          <w:rFonts w:hint="eastAsia"/>
          <w:color w:val="000000"/>
          <w:sz w:val="24"/>
        </w:rPr>
        <w:t xml:space="preserve">“信用中国”网站或“中国政府采购网”</w:t>
      </w:r>
      <w:r>
        <w:rPr>
          <w:rFonts w:hint="eastAsia" w:ascii="宋体" w:hAnsi="宋体"/>
          <w:bCs/>
          <w:color w:val="000000"/>
          <w:sz w:val="24"/>
          <w:szCs w:val="21"/>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投标文件含有采购人不能接受的附加条件的。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.1.11投标文件未按照招标文件要求加盖CA电子公章的。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.1.12其他法律、法规及本招标文件规定的属无效投标的情形。</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.2.5因</w:t>
      </w:r>
      <w:r>
        <w:rPr>
          <w:rFonts w:hint="eastAsia" w:ascii="宋体" w:hAnsi="宋体"/>
          <w:color w:val="000000"/>
          <w:sz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.3投标截止时间结束后参加投标的供应商不足三家的处理：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000000"/>
          <w:sz w:val="32"/>
          <w:szCs w:val="32"/>
        </w:rPr>
        <w:outlineLvl w:val="2"/>
      </w:pPr>
      <w:r/>
      <w:bookmarkStart w:id="235" w:name="_Toc120614219"/>
      <w:r>
        <w:rPr>
          <w:rFonts w:hint="eastAsia"/>
          <w:b/>
          <w:bCs/>
          <w:color w:val="000000"/>
          <w:sz w:val="32"/>
          <w:szCs w:val="32"/>
        </w:rPr>
        <w:t xml:space="preserve">六、</w:t>
      </w:r>
      <w:bookmarkEnd w:id="232"/>
      <w:r/>
      <w:bookmarkEnd w:id="233"/>
      <w:r/>
      <w:bookmarkEnd w:id="234"/>
      <w:r>
        <w:rPr>
          <w:rFonts w:hint="eastAsia"/>
          <w:b/>
          <w:bCs/>
          <w:color w:val="000000"/>
          <w:sz w:val="32"/>
          <w:szCs w:val="32"/>
        </w:rPr>
        <w:t xml:space="preserve">定标</w:t>
      </w:r>
      <w:bookmarkEnd w:id="235"/>
      <w:r/>
      <w:r/>
    </w:p>
    <w:p>
      <w:pPr>
        <w:ind w:firstLine="600"/>
        <w:keepLines/>
        <w:keepNext/>
        <w:spacing w:line="500" w:lineRule="exact"/>
        <w:rPr>
          <w:rFonts w:hint="eastAsia" w:ascii="黑体" w:hAnsi="宋体" w:eastAsia="黑体"/>
          <w:bCs/>
          <w:color w:val="000000"/>
          <w:sz w:val="30"/>
          <w:szCs w:val="30"/>
        </w:rPr>
        <w:outlineLvl w:val="3"/>
      </w:pPr>
      <w:r/>
      <w:bookmarkStart w:id="236" w:name="_Toc513029238"/>
      <w:r/>
      <w:bookmarkStart w:id="237" w:name="_Toc20823310"/>
      <w:r/>
      <w:bookmarkStart w:id="23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236"/>
      <w:r>
        <w:rPr>
          <w:rFonts w:hint="eastAsia" w:ascii="黑体" w:hAnsi="宋体" w:eastAsia="黑体"/>
          <w:bCs/>
          <w:color w:val="000000"/>
          <w:sz w:val="30"/>
          <w:szCs w:val="30"/>
        </w:rPr>
        <w:t xml:space="preserve">确定</w:t>
      </w:r>
      <w:bookmarkEnd w:id="237"/>
      <w:r/>
      <w:bookmarkEnd w:id="238"/>
      <w:r>
        <w:rPr>
          <w:rFonts w:hint="eastAsia" w:ascii="黑体" w:hAnsi="宋体" w:eastAsia="黑体"/>
          <w:bCs/>
          <w:color w:val="000000"/>
          <w:sz w:val="30"/>
          <w:szCs w:val="30"/>
        </w:rPr>
        <w:t xml:space="preserve">中标单位</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.1中标候选人的选取原则和数量见招标文件第四章规定。 </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.2采购人应根据评委会推荐的中标候选人确定中标人。</w:t>
      </w:r>
      <w:r/>
    </w:p>
    <w:p>
      <w:pPr>
        <w:ind w:firstLine="480"/>
        <w:spacing w:line="500" w:lineRule="exact"/>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w:t>
      </w:r>
      <w:r>
        <w:rPr>
          <w:rFonts w:hint="eastAsia" w:ascii="宋体" w:hAnsi="宋体"/>
          <w:color w:val="000000"/>
          <w:sz w:val="24"/>
        </w:rPr>
        <w:t xml:space="preserve">代理机构将在</w:t>
      </w:r>
      <w:r>
        <w:rPr>
          <w:rFonts w:hint="eastAsia" w:ascii="宋体" w:hAnsi="宋体"/>
          <w:color w:val="000000"/>
          <w:sz w:val="24"/>
          <w:szCs w:val="21"/>
        </w:rPr>
        <w:t xml:space="preserve">“江苏省政府采购网”、“常州市政府采购网”</w:t>
      </w:r>
      <w:r>
        <w:rPr>
          <w:rFonts w:hint="eastAsia" w:ascii="宋体" w:hAnsi="宋体"/>
          <w:color w:val="000000"/>
          <w:sz w:val="24"/>
        </w:rPr>
        <w:t xml:space="preserve">发布中标公告，公告期限为1个工作日。</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.4若有充分证据证明，中标人出现下列情况之一的，一经查实，将被取消中标资格：</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.4.1提供虚假材料谋取中标的。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.4.2向采购人、代理机构行贿或者提供其他不正当利益的。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.4.3属于本文件规定的无效条件，但在评标过程中又未被评委会发现的。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.4.4与采购人或者其他供应商恶意串通的。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.4.5采取不正当手段诋毁、排挤其他供应商的。</w:t>
      </w:r>
      <w:r/>
    </w:p>
    <w:p>
      <w:pPr>
        <w:ind w:firstLine="480"/>
        <w:spacing w:line="500" w:lineRule="exact"/>
        <w:rPr>
          <w:rFonts w:hint="eastAsia" w:ascii="宋体" w:hAnsi="宋体"/>
          <w:color w:val="000000"/>
          <w:sz w:val="24"/>
        </w:rPr>
      </w:pPr>
      <w:r/>
      <w:bookmarkStart w:id="239"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.5.1不同投标人的投标文件由同一单位或者个人编制；</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.5.2不同投标人委托同一单位或者个人办理投标事宜；</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.5.3不同投标人的投标文件载明的项目管理成员或者联系人员为同一人；</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239"/>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p>
    <w:p>
      <w:pPr>
        <w:ind w:firstLine="480"/>
        <w:spacing w:line="500" w:lineRule="exact"/>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供应商应当在法定质疑期内一次性提出针对同一采购程序环节的质疑。供应商如在法定期限内对同一采购程序环节提出多次质疑的，代理机构、</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.4供应商（含潜在</w:t>
      </w:r>
      <w:r>
        <w:rPr>
          <w:rFonts w:ascii="宋体" w:hAnsi="宋体"/>
          <w:color w:val="000000"/>
          <w:sz w:val="24"/>
        </w:rPr>
        <w:t xml:space="preserve">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招标文件中采购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评标方法</w:t>
      </w:r>
      <w:r>
        <w:rPr>
          <w:rFonts w:ascii="宋体" w:hAnsi="宋体"/>
          <w:color w:val="000000"/>
          <w:sz w:val="24"/>
        </w:rPr>
        <w:t xml:space="preserve">和评标标准、合同文本</w:t>
      </w:r>
      <w:r>
        <w:rPr>
          <w:rFonts w:hint="eastAsia" w:ascii="宋体" w:hAnsi="宋体"/>
          <w:color w:val="000000"/>
          <w:sz w:val="24"/>
        </w:rPr>
        <w:t xml:space="preserve">及</w:t>
      </w:r>
      <w:r>
        <w:rPr>
          <w:rFonts w:ascii="宋体" w:hAnsi="宋体"/>
          <w:color w:val="000000"/>
          <w:sz w:val="24"/>
        </w:rPr>
        <w:t xml:space="preserve">资格</w:t>
      </w:r>
      <w:r>
        <w:rPr>
          <w:rFonts w:hint="eastAsia" w:ascii="宋体" w:hAnsi="宋体"/>
          <w:color w:val="000000"/>
          <w:sz w:val="24"/>
        </w:rPr>
        <w:t xml:space="preserve">审查结果的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、质疑请向代理机构提出，由代理机构</w:t>
      </w:r>
      <w:r>
        <w:rPr>
          <w:rFonts w:hint="eastAsia" w:ascii="宋体" w:hAnsi="宋体"/>
          <w:color w:val="000000"/>
          <w:sz w:val="24"/>
        </w:rPr>
        <w:t xml:space="preserve">负责</w:t>
      </w:r>
      <w:r>
        <w:rPr>
          <w:rFonts w:ascii="宋体" w:hAnsi="宋体"/>
          <w:color w:val="000000"/>
          <w:sz w:val="24"/>
        </w:rPr>
        <w:t xml:space="preserve">答复。</w:t>
      </w:r>
      <w:r/>
    </w:p>
    <w:p>
      <w:pPr>
        <w:ind w:firstLine="480"/>
        <w:spacing w:line="500" w:lineRule="exact"/>
        <w:rPr>
          <w:rFonts w:hint="eastAsia" w:ascii="Symbol" w:hAnsi="Symbol" w:cs="Symbol"/>
          <w:color w:val="000000"/>
          <w:sz w:val="24"/>
        </w:rPr>
      </w:pPr>
      <w:r/>
      <w:bookmarkStart w:id="240" w:name="_Hlk149903315"/>
      <w:r>
        <w:rPr>
          <w:rFonts w:hint="eastAsia" w:ascii="Symbol" w:hAnsi="Symbol" w:cs="Symbol"/>
          <w:color w:val="000000"/>
          <w:sz w:val="24"/>
        </w:rPr>
        <w:t xml:space="preserve">根据《政府采购质疑和投诉办法》</w:t>
      </w:r>
      <w:r>
        <w:rPr>
          <w:rFonts w:ascii="Symbol" w:hAnsi="Symbol" w:cs="Symbol"/>
          <w:color w:val="000000"/>
          <w:sz w:val="24"/>
        </w:rPr>
        <w:t xml:space="preserve">(</w:t>
      </w:r>
      <w:r>
        <w:rPr>
          <w:rFonts w:hint="eastAsia" w:ascii="Symbol" w:hAnsi="Symbol" w:cs="Symbol"/>
          <w:color w:val="000000"/>
          <w:sz w:val="24"/>
        </w:rPr>
        <w:t xml:space="preserve">财政部第</w:t>
      </w:r>
      <w:r>
        <w:rPr>
          <w:rFonts w:ascii="Symbol" w:hAnsi="Symbol" w:cs="Symbol"/>
          <w:color w:val="000000"/>
          <w:sz w:val="24"/>
        </w:rPr>
        <w:t xml:space="preserve"> 94 </w:t>
      </w:r>
      <w:r>
        <w:rPr>
          <w:rFonts w:hint="eastAsia" w:ascii="Symbol" w:hAnsi="Symbol" w:cs="Symbol"/>
          <w:color w:val="000000"/>
          <w:sz w:val="24"/>
        </w:rPr>
        <w:t xml:space="preserve">号令</w:t>
      </w:r>
      <w:r>
        <w:rPr>
          <w:rFonts w:ascii="Symbol" w:hAnsi="Symbol" w:cs="Symbol"/>
          <w:color w:val="000000"/>
          <w:sz w:val="24"/>
        </w:rPr>
        <w:t xml:space="preserve">)</w:t>
      </w:r>
      <w:r>
        <w:rPr>
          <w:rFonts w:hint="eastAsia" w:ascii="Symbol" w:hAnsi="Symbol" w:cs="Symbol"/>
          <w:color w:val="000000"/>
          <w:sz w:val="24"/>
        </w:rPr>
        <w:t xml:space="preserve">第十一条规定，提出质疑的供应商应当是参与所质疑项目采购活动的供应商。</w:t>
      </w:r>
      <w:r>
        <w:rPr>
          <w:rFonts w:hint="eastAsia" w:ascii="Symbol" w:hAnsi="Symbol" w:cs="Symbol"/>
          <w:b/>
          <w:bCs/>
          <w:color w:val="000000"/>
          <w:sz w:val="24"/>
        </w:rPr>
        <w:t xml:space="preserve">因此凡是对招标文件提出质疑的供应商，必须是依法获取招标文件的供应商，请将合法获取招标文件的证明材料</w:t>
      </w:r>
      <w:r>
        <w:rPr>
          <w:rFonts w:ascii="Symbol" w:hAnsi="Symbol" w:cs="Symbol"/>
          <w:b/>
          <w:bCs/>
          <w:color w:val="000000"/>
          <w:sz w:val="24"/>
        </w:rPr>
        <w:t xml:space="preserve">(</w:t>
      </w:r>
      <w:r>
        <w:rPr>
          <w:rFonts w:hint="eastAsia" w:ascii="Symbol" w:hAnsi="Symbol" w:cs="Symbol"/>
          <w:b/>
          <w:bCs/>
          <w:color w:val="000000"/>
          <w:sz w:val="24"/>
        </w:rPr>
        <w:t xml:space="preserve">即《投标供应商确认函》</w:t>
      </w:r>
      <w:r>
        <w:rPr>
          <w:rFonts w:ascii="Symbol" w:hAnsi="Symbol" w:cs="Symbol"/>
          <w:b/>
          <w:bCs/>
          <w:color w:val="000000"/>
          <w:sz w:val="24"/>
        </w:rPr>
        <w:t xml:space="preserve">)</w:t>
      </w:r>
      <w:r>
        <w:rPr>
          <w:rFonts w:hint="eastAsia" w:ascii="Symbol" w:hAnsi="Symbol" w:cs="Symbol"/>
          <w:b/>
          <w:bCs/>
          <w:color w:val="000000"/>
          <w:sz w:val="24"/>
        </w:rPr>
        <w:t xml:space="preserve">与质疑函一起递交，否则不子受理。</w:t>
      </w:r>
      <w:r/>
    </w:p>
    <w:p>
      <w:pPr>
        <w:ind w:firstLine="480"/>
        <w:spacing w:line="500" w:lineRule="exact"/>
        <w:rPr>
          <w:rFonts w:hint="eastAsia" w:ascii="宋体" w:hAnsi="宋体"/>
          <w:color w:val="000000"/>
          <w:sz w:val="24"/>
        </w:rPr>
      </w:pPr>
      <w:r>
        <w:rPr>
          <w:rFonts w:hint="eastAsia" w:ascii="宋体" w:hAnsi="宋体"/>
          <w:color w:val="000000"/>
          <w:sz w:val="24"/>
        </w:rPr>
        <w:t xml:space="preserve">采购人及代理机构只接收以纸质原件形式送达的质疑,建议供应商尽量通过现场递交或邮寄方式提交质疑（采购人和代理机构不接受未填写快递运单的快件）。</w:t>
      </w:r>
      <w:r/>
    </w:p>
    <w:p>
      <w:pPr>
        <w:ind w:firstLine="480"/>
        <w:jc w:val="left"/>
        <w:spacing w:line="500" w:lineRule="exact"/>
        <w:rPr>
          <w:rFonts w:hint="eastAsia" w:ascii="宋体" w:hAnsi="宋体"/>
          <w:color w:val="000000"/>
          <w:sz w:val="24"/>
        </w:rPr>
      </w:pPr>
      <w:r>
        <w:rPr>
          <w:rFonts w:hint="eastAsia" w:ascii="宋体" w:hAnsi="宋体"/>
          <w:color w:val="000000"/>
          <w:sz w:val="24"/>
        </w:rPr>
        <w:t xml:space="preserve">代理机构质疑接收部门为：江苏嘉加诚工程投资咨询有限公司常州分公司</w:t>
      </w:r>
      <w:r/>
    </w:p>
    <w:p>
      <w:pPr>
        <w:ind w:firstLine="480"/>
        <w:jc w:val="left"/>
        <w:spacing w:line="500" w:lineRule="exact"/>
        <w:rPr>
          <w:color w:val="000000"/>
          <w:sz w:val="24"/>
        </w:rPr>
      </w:pPr>
      <w:r>
        <w:rPr>
          <w:rFonts w:hint="eastAsia" w:ascii="宋体" w:hAnsi="宋体"/>
          <w:color w:val="000000"/>
          <w:sz w:val="24"/>
        </w:rPr>
        <w:t xml:space="preserve">联系地址</w:t>
      </w:r>
      <w:r>
        <w:rPr>
          <w:color w:val="000000"/>
          <w:sz w:val="24"/>
        </w:rPr>
        <w:t xml:space="preserve">：</w:t>
      </w:r>
      <w:r>
        <w:rPr>
          <w:rFonts w:hint="eastAsia" w:ascii="宋体" w:hAnsi="宋体" w:cs="宋体"/>
          <w:color w:val="000000"/>
          <w:sz w:val="24"/>
        </w:rPr>
        <w:t xml:space="preserve">常州市武进区晓柳花苑一期007号</w:t>
      </w:r>
      <w:r>
        <w:rPr>
          <w:color w:val="000000"/>
          <w:sz w:val="24"/>
        </w:rPr>
        <w:t xml:space="preserve">；</w:t>
      </w:r>
      <w:r/>
    </w:p>
    <w:p>
      <w:pPr>
        <w:ind w:firstLine="480"/>
        <w:jc w:val="left"/>
        <w:spacing w:line="500" w:lineRule="exact"/>
        <w:rPr>
          <w:color w:val="000000"/>
          <w:sz w:val="24"/>
        </w:rPr>
      </w:pPr>
      <w:r>
        <w:rPr>
          <w:color w:val="000000"/>
          <w:sz w:val="24"/>
        </w:rPr>
        <w:t xml:space="preserve">联系电话：0519-88887808   15961256000；</w:t>
      </w:r>
      <w:bookmarkEnd w:id="240"/>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.5以下情形的质疑不予受理：</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.5.1内容不符合《政府采购质疑和投诉办法》第十二条规定的质疑。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.5.2超出政府采购法定期限的质疑。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.5.3以传真、电子邮件等方式递交的非原件形式的质疑。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.5.4未参加投标活动的供应商或在投标活动中自身权益未受到损害的供应商所提出的质疑。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ind w:firstLine="600"/>
        <w:spacing w:line="500" w:lineRule="exact"/>
        <w:rPr>
          <w:rFonts w:hint="eastAsia" w:ascii="宋体" w:hAnsi="宋体"/>
          <w:color w:val="000000"/>
          <w:sz w:val="24"/>
        </w:rPr>
      </w:pPr>
      <w:r>
        <w:rPr>
          <w:rFonts w:ascii="宋体" w:hAnsi="宋体"/>
          <w:color w:val="000000"/>
          <w:sz w:val="24"/>
        </w:rPr>
        <w:t xml:space="preserve">30</w:t>
      </w:r>
      <w:r>
        <w:rPr>
          <w:rFonts w:hint="eastAsia" w:ascii="宋体" w:hAnsi="宋体"/>
          <w:color w:val="000000"/>
          <w:sz w:val="24"/>
        </w:rPr>
        <w:t xml:space="preserve">.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sz w:val="32"/>
          <w:szCs w:val="32"/>
        </w:rPr>
        <w:outlineLvl w:val="2"/>
      </w:pPr>
      <w:r/>
      <w:bookmarkStart w:id="241" w:name="_Toc120614220"/>
      <w:r/>
      <w:bookmarkStart w:id="242" w:name="_Toc16938552"/>
      <w:r/>
      <w:bookmarkStart w:id="243" w:name="_Toc513029236"/>
      <w:r/>
      <w:bookmarkStart w:id="244" w:name="_Toc20823308"/>
      <w:r>
        <w:rPr>
          <w:rFonts w:hint="eastAsia"/>
          <w:b/>
          <w:bCs/>
          <w:color w:val="000000"/>
          <w:sz w:val="32"/>
          <w:szCs w:val="32"/>
        </w:rPr>
        <w:t xml:space="preserve">七、授予合同</w:t>
      </w:r>
      <w:bookmarkEnd w:id="241"/>
      <w:r/>
      <w:bookmarkEnd w:id="242"/>
      <w:r/>
      <w:bookmarkEnd w:id="243"/>
      <w:r/>
      <w:bookmarkEnd w:id="244"/>
      <w:r/>
      <w:r/>
    </w:p>
    <w:p>
      <w:pPr>
        <w:ind w:firstLine="600"/>
        <w:keepLines/>
        <w:keepNext/>
        <w:spacing w:line="500" w:lineRule="exact"/>
        <w:rPr>
          <w:rFonts w:hint="eastAsia" w:ascii="黑体" w:hAnsi="宋体" w:eastAsia="黑体"/>
          <w:bCs/>
          <w:color w:val="000000"/>
          <w:sz w:val="30"/>
          <w:szCs w:val="30"/>
        </w:rPr>
        <w:outlineLvl w:val="3"/>
      </w:pPr>
      <w:r/>
      <w:bookmarkStart w:id="245" w:name="_Toc20823309"/>
      <w:r/>
      <w:bookmarkStart w:id="246" w:name="_Toc513029237"/>
      <w:r/>
      <w:bookmarkStart w:id="247"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.签订合同</w:t>
      </w:r>
      <w:r/>
    </w:p>
    <w:p>
      <w:pPr>
        <w:ind w:firstLine="600"/>
        <w:spacing w:line="500" w:lineRule="exact"/>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.2招标文件、中标人的投标文件及招标过程中有关澄清、承诺文件均应作为合同附件。</w:t>
      </w:r>
      <w:r/>
    </w:p>
    <w:p>
      <w:pPr>
        <w:ind w:firstLine="600"/>
        <w:spacing w:line="500" w:lineRule="exact"/>
        <w:rPr>
          <w:rFonts w:hint="eastAsia" w:ascii="宋体" w:hAnsi="宋体"/>
          <w:color w:val="000000"/>
          <w:sz w:val="24"/>
        </w:rPr>
      </w:pPr>
      <w:r>
        <w:rPr>
          <w:rFonts w:hint="eastAsia" w:ascii="宋体" w:hAnsi="宋体"/>
          <w:color w:val="000000"/>
          <w:sz w:val="24"/>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firstLine="480"/>
        <w:spacing w:line="500" w:lineRule="exact"/>
        <w:rPr>
          <w:rFonts w:hint="eastAsia"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3"/>
        <w:ind w:firstLine="600"/>
        <w:spacing w:line="500" w:lineRule="exact"/>
        <w:rPr>
          <w:rFonts w:hint="eastAsia"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p>
    <w:p>
      <w:pPr>
        <w:ind w:firstLine="480"/>
        <w:jc w:val="left"/>
        <w:spacing w:line="500" w:lineRule="exact"/>
        <w:tabs>
          <w:tab w:val="left" w:pos="1980" w:leader="none"/>
        </w:tabs>
        <w:rPr>
          <w:color w:val="000000"/>
          <w:sz w:val="24"/>
        </w:rPr>
      </w:pPr>
      <w:r>
        <w:rPr>
          <w:color w:val="000000"/>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000000"/>
          <w:sz w:val="24"/>
        </w:rPr>
      </w:pPr>
      <w:r>
        <w:rPr>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000000"/>
          <w:sz w:val="24"/>
        </w:rPr>
      </w:pPr>
      <w:r>
        <w:rPr>
          <w:b/>
          <w:color w:val="000000"/>
          <w:sz w:val="24"/>
        </w:rPr>
        <w:t xml:space="preserve">33.2.3如本项目采购产品属于实施政府强制采购品目清单范围的节能产品，则投标人所报产品必须获得国家确定的认证机构出具的、处于有效期之内的节能产品认证证书，否则投标无效；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color w:val="000000"/>
          <w:sz w:val="24"/>
        </w:rPr>
      </w:pPr>
      <w:r>
        <w:rPr>
          <w:color w:val="000000"/>
          <w:sz w:val="24"/>
        </w:rPr>
        <w:t xml:space="preserve">33.2.</w:t>
      </w:r>
      <w:r>
        <w:rPr>
          <w:rFonts w:hint="eastAsia"/>
          <w:color w:val="000000"/>
          <w:sz w:val="24"/>
        </w:rPr>
        <w:t xml:space="preserve">4</w:t>
      </w:r>
      <w:r>
        <w:rPr>
          <w:color w:val="000000"/>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t xml:space="preserve">：</w:t>
      </w: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rPr>
          <w:rFonts w:hint="eastAsia" w:ascii="宋体" w:hAnsi="宋体"/>
          <w:b/>
          <w:bCs/>
          <w:color w:val="000000"/>
          <w:sz w:val="24"/>
        </w:rPr>
        <w:t xml:space="preserve">：</w:t>
      </w:r>
      <w:r>
        <w:rPr>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rPr>
          <w:rFonts w:hint="eastAsia" w:ascii="宋体" w:hAnsi="宋体"/>
          <w:b/>
          <w:bCs/>
          <w:color w:val="000000"/>
          <w:sz w:val="24"/>
        </w:rPr>
        <w:t xml:space="preserve">：</w:t>
      </w: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3.6信息安全产品</w:t>
      </w:r>
      <w:r>
        <w:rPr>
          <w:rFonts w:hint="eastAsia" w:ascii="宋体" w:hAnsi="宋体"/>
          <w:b/>
          <w:bCs/>
          <w:color w:val="000000"/>
          <w:sz w:val="24"/>
        </w:rPr>
        <w:t xml:space="preserve">：</w:t>
      </w:r>
      <w:r>
        <w:rPr>
          <w:rFonts w:hint="eastAsia"/>
          <w:color w:val="000000"/>
          <w:sz w:val="24"/>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53"/>
        <w:ind w:firstLine="482"/>
        <w:spacing w:line="500" w:lineRule="exact"/>
        <w:rPr>
          <w:rFonts w:hint="eastAsia"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绿色采购政策：</w:t>
      </w:r>
      <w:r/>
    </w:p>
    <w:p>
      <w:pPr>
        <w:ind w:firstLine="482"/>
        <w:spacing w:line="480" w:lineRule="exact"/>
        <w:rPr>
          <w:color w:val="000000"/>
          <w:sz w:val="24"/>
        </w:rPr>
      </w:pPr>
      <w:r>
        <w:rPr>
          <w:rFonts w:hint="eastAsia" w:ascii="宋体" w:hAnsi="宋体"/>
          <w:b/>
          <w:bCs/>
          <w:color w:val="000000"/>
          <w:sz w:val="24"/>
        </w:rPr>
        <w:t xml:space="preserve">3</w:t>
      </w:r>
      <w:r>
        <w:rPr>
          <w:rFonts w:ascii="宋体" w:hAnsi="宋体"/>
          <w:b/>
          <w:bCs/>
          <w:color w:val="000000"/>
          <w:sz w:val="24"/>
        </w:rPr>
        <w:t xml:space="preserve">3.8.1</w:t>
      </w:r>
      <w:r>
        <w:rPr>
          <w:rFonts w:hint="eastAsia" w:ascii="宋体" w:hAnsi="宋体"/>
          <w:b/>
          <w:bCs/>
          <w:color w:val="000000"/>
          <w:sz w:val="24"/>
        </w:rPr>
        <w:t xml:space="preserve">绿色数据中心政策：</w:t>
      </w:r>
      <w:r>
        <w:rPr>
          <w:rFonts w:hint="eastAsia"/>
          <w:color w:val="000000"/>
          <w:sz w:val="24"/>
        </w:rPr>
        <w:t xml:space="preserve">依据《绿色数据中心政府采购需求标准（试行）》（财办库〔2023〕7 号）文件精神，采购</w:t>
      </w:r>
      <w:r>
        <w:rPr>
          <w:rFonts w:hint="eastAsia"/>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color w:val="000000"/>
          <w:sz w:val="24"/>
        </w:rPr>
      </w:pPr>
      <w:r>
        <w:rPr>
          <w:rFonts w:hint="eastAsia" w:ascii="宋体" w:hAnsi="宋体"/>
          <w:b/>
          <w:bCs/>
          <w:color w:val="000000"/>
          <w:sz w:val="24"/>
        </w:rPr>
        <w:t xml:space="preserve">3</w:t>
      </w:r>
      <w:r>
        <w:rPr>
          <w:rFonts w:ascii="宋体" w:hAnsi="宋体"/>
          <w:b/>
          <w:bCs/>
          <w:color w:val="000000"/>
          <w:sz w:val="24"/>
        </w:rPr>
        <w:t xml:space="preserve">3.8.2</w:t>
      </w:r>
      <w:r>
        <w:rPr>
          <w:rFonts w:hint="eastAsia" w:ascii="宋体" w:hAnsi="宋体"/>
          <w:b/>
          <w:bCs/>
          <w:color w:val="000000"/>
          <w:sz w:val="24"/>
        </w:rPr>
        <w:t xml:space="preserve">推广应用绿色建材：</w:t>
      </w:r>
      <w:r>
        <w:rPr>
          <w:rFonts w:hint="eastAsia"/>
          <w:color w:val="000000"/>
          <w:sz w:val="24"/>
        </w:rPr>
        <w:t xml:space="preserve">采购人实施政府采购工程项目，要按照《常州市政府采购支持绿色建材促进建筑品质提升试点工作方案》（常财购</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号</w:t>
      </w:r>
      <w:r>
        <w:rPr>
          <w:rFonts w:hint="eastAsia"/>
          <w:color w:val="000000"/>
          <w:sz w:val="24"/>
        </w:rPr>
        <w:t xml:space="preserve">）总体要求，落实《绿色建筑和绿色建材政府采购需求标准》（</w:t>
      </w:r>
      <w:r>
        <w:rPr>
          <w:color w:val="000000"/>
          <w:sz w:val="24"/>
        </w:rPr>
        <w:t xml:space="preserve">财库〔20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号</w:t>
      </w:r>
      <w:r>
        <w:rPr>
          <w:rFonts w:hint="eastAsia"/>
          <w:color w:val="000000"/>
          <w:sz w:val="24"/>
        </w:rPr>
        <w:t xml:space="preserve">）和《政府采购支持绿色建材促进建筑品质提升政策项目实施指南》（财办库</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号</w:t>
      </w:r>
      <w:r>
        <w:rPr>
          <w:rFonts w:hint="eastAsia"/>
          <w:color w:val="000000"/>
          <w:sz w:val="24"/>
        </w:rPr>
        <w:t xml:space="preserve">）,依据相关需求标准确定采购需求，在采购文件和采购合同中载明具体需求、履约验收条款和违约责任。</w:t>
      </w:r>
      <w:r/>
    </w:p>
    <w:p>
      <w:pPr>
        <w:ind w:firstLine="482"/>
        <w:spacing w:line="480" w:lineRule="exact"/>
        <w:rPr>
          <w:color w:val="000000"/>
          <w:sz w:val="24"/>
        </w:rPr>
      </w:pPr>
      <w:r>
        <w:rPr>
          <w:rFonts w:hint="eastAsia" w:ascii="宋体" w:hAnsi="宋体"/>
          <w:b/>
          <w:bCs/>
          <w:color w:val="000000"/>
          <w:sz w:val="24"/>
        </w:rPr>
        <w:t xml:space="preserve">3</w:t>
      </w:r>
      <w:r>
        <w:rPr>
          <w:rFonts w:ascii="宋体" w:hAnsi="宋体"/>
          <w:b/>
          <w:bCs/>
          <w:color w:val="000000"/>
          <w:sz w:val="24"/>
        </w:rPr>
        <w:t xml:space="preserve">3.8.3</w:t>
      </w:r>
      <w:r>
        <w:rPr>
          <w:rFonts w:hint="eastAsia" w:ascii="宋体" w:hAnsi="宋体"/>
          <w:b/>
          <w:bCs/>
          <w:color w:val="000000"/>
          <w:sz w:val="24"/>
        </w:rPr>
        <w:t xml:space="preserve">优先使用低挥发性有机化合物产品：</w:t>
      </w:r>
      <w:r>
        <w:rPr>
          <w:rFonts w:hint="eastAsia"/>
          <w:color w:val="000000"/>
          <w:sz w:val="24"/>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p>
    <w:p>
      <w:pPr>
        <w:ind w:firstLine="420"/>
        <w:spacing w:line="500" w:lineRule="exact"/>
        <w:rPr>
          <w:rFonts w:hint="eastAsia" w:ascii="宋体" w:hAnsi="宋体"/>
          <w:b/>
          <w:bCs/>
          <w:color w:val="000000"/>
          <w:sz w:val="24"/>
        </w:rPr>
      </w:pPr>
      <w:r>
        <w:rPr>
          <w:rFonts w:hint="eastAsia" w:ascii="宋体" w:hAnsi="宋体"/>
          <w:b/>
          <w:bCs/>
          <w:color w:val="000000"/>
          <w:sz w:val="24"/>
        </w:rPr>
        <w:t xml:space="preserve">33.9电子履约保函政策</w:t>
      </w:r>
      <w:r/>
    </w:p>
    <w:p>
      <w:pPr>
        <w:ind w:firstLine="480"/>
        <w:spacing w:line="480" w:lineRule="exact"/>
        <w:rPr>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ind w:firstLine="420"/>
        <w:spacing w:line="480" w:lineRule="exact"/>
        <w:rPr>
          <w:rFonts w:hint="eastAsia" w:ascii="宋体" w:hAnsi="宋体"/>
          <w:b/>
          <w:bCs/>
          <w:color w:val="000000"/>
          <w:sz w:val="24"/>
        </w:rPr>
      </w:pPr>
      <w:r>
        <w:rPr>
          <w:rFonts w:hint="eastAsia" w:ascii="宋体" w:hAnsi="宋体"/>
          <w:b/>
          <w:bCs/>
          <w:color w:val="000000"/>
          <w:sz w:val="24"/>
        </w:rPr>
        <w:t xml:space="preserve">33.10政府采购中实施本国产品标准及相关政策</w:t>
      </w:r>
      <w:r/>
    </w:p>
    <w:p>
      <w:pPr>
        <w:pStyle w:val="768"/>
        <w:ind w:firstLine="480"/>
        <w:jc w:val="both"/>
        <w:spacing w:before="0" w:beforeAutospacing="0" w:after="0" w:afterAutospacing="0" w:line="480" w:lineRule="exact"/>
        <w:shd w:val="clear" w:color="auto" w:fill="ffffff"/>
        <w:rPr>
          <w:rFonts w:ascii="Times New Roman" w:hAnsi="Times New Roman" w:cs="Times New Roman"/>
          <w:color w:val="000000"/>
        </w:rPr>
      </w:pPr>
      <w:r>
        <w:rPr>
          <w:rFonts w:hint="eastAsia" w:ascii="Times New Roman" w:hAnsi="Times New Roman" w:cs="Times New Roman"/>
          <w:color w:val="000000"/>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bookmarkEnd w:id="245"/>
      <w:r/>
      <w:bookmarkEnd w:id="246"/>
      <w:r/>
      <w:bookmarkEnd w:id="247"/>
      <w:r/>
      <w:bookmarkEnd w:id="116"/>
      <w:r/>
      <w:r/>
    </w:p>
    <w:p>
      <w:pPr>
        <w:jc w:val="center"/>
        <w:spacing w:line="360" w:lineRule="auto"/>
        <w:rPr>
          <w:b/>
          <w:color w:val="000000"/>
          <w:sz w:val="36"/>
          <w:szCs w:val="36"/>
        </w:rPr>
        <w:outlineLvl w:val="0"/>
      </w:pPr>
      <w:r>
        <w:rPr>
          <w:b/>
          <w:color w:val="000000"/>
          <w:sz w:val="36"/>
          <w:szCs w:val="36"/>
        </w:rPr>
        <w:br w:type="page" w:clear="all"/>
      </w:r>
      <w:r>
        <w:rPr>
          <w:b/>
          <w:color w:val="000000"/>
          <w:sz w:val="36"/>
          <w:szCs w:val="36"/>
        </w:rPr>
        <w:t xml:space="preserve">第三章  </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b/>
          <w:color w:val="000000"/>
          <w:sz w:val="36"/>
          <w:szCs w:val="36"/>
        </w:rPr>
        <w:t xml:space="preserve">资格审查</w:t>
      </w:r>
      <w:bookmarkEnd w:id="134"/>
      <w:r/>
      <w:bookmarkStart w:id="248" w:name="_Toc487900382"/>
      <w:r/>
      <w:r/>
    </w:p>
    <w:p>
      <w:pPr>
        <w:ind w:firstLine="2891"/>
        <w:spacing w:line="360" w:lineRule="auto"/>
        <w:tabs>
          <w:tab w:val="left" w:pos="360" w:leader="none"/>
          <w:tab w:val="left" w:pos="900" w:leader="none"/>
        </w:tabs>
        <w:rPr>
          <w:b/>
          <w:color w:val="000000"/>
          <w:sz w:val="32"/>
          <w:szCs w:val="32"/>
        </w:rPr>
        <w:outlineLvl w:val="1"/>
      </w:pPr>
      <w:r/>
      <w:bookmarkStart w:id="249" w:name="_Toc99301422"/>
      <w:r>
        <w:rPr>
          <w:rFonts w:hint="eastAsia"/>
          <w:b/>
          <w:color w:val="000000"/>
          <w:sz w:val="32"/>
          <w:szCs w:val="32"/>
        </w:rPr>
        <w:t xml:space="preserve">第一节 </w:t>
      </w:r>
      <w:r>
        <w:rPr>
          <w:b/>
          <w:color w:val="000000"/>
          <w:sz w:val="32"/>
          <w:szCs w:val="32"/>
        </w:rPr>
        <w:t xml:space="preserve">资格审查程序</w:t>
      </w:r>
      <w:bookmarkEnd w:id="249"/>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一、</w:t>
      </w:r>
      <w:r>
        <w:rPr>
          <w:color w:val="000000"/>
          <w:sz w:val="24"/>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二、</w:t>
      </w:r>
      <w:r>
        <w:rPr>
          <w:color w:val="000000"/>
          <w:sz w:val="24"/>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三、</w:t>
      </w:r>
      <w:r>
        <w:rPr>
          <w:color w:val="000000"/>
          <w:sz w:val="24"/>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四、</w:t>
      </w:r>
      <w:r>
        <w:rPr>
          <w:color w:val="000000"/>
          <w:sz w:val="24"/>
        </w:rPr>
        <w:t xml:space="preserve">资格审查合格的投标人不足3家的，不进行评标。</w:t>
      </w:r>
      <w:r/>
    </w:p>
    <w:p>
      <w:pPr>
        <w:ind w:firstLine="2891"/>
        <w:spacing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资格审查要求</w:t>
      </w:r>
      <w:r/>
    </w:p>
    <w:tbl>
      <w:tblPr>
        <w:tblStyle w:val="73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819"/>
        <w:gridCol w:w="4429"/>
        <w:gridCol w:w="1504"/>
      </w:tblGrid>
      <w:tr>
        <w:trPr>
          <w:cantSplit/>
          <w:trHeight w:val="468"/>
          <w:tblHeader/>
        </w:trPr>
        <w:tc>
          <w:tcPr>
            <w:tcW w:w="776" w:type="dxa"/>
            <w:vAlign w:val="center"/>
            <w:textDirection w:val="lrTb"/>
            <w:noWrap w:val="false"/>
          </w:tcPr>
          <w:p>
            <w:pPr>
              <w:jc w:val="center"/>
              <w:tabs>
                <w:tab w:val="left" w:pos="1080" w:leader="none"/>
              </w:tabs>
              <w:rPr>
                <w:b/>
                <w:color w:val="000000"/>
                <w:sz w:val="24"/>
              </w:rPr>
            </w:pPr>
            <w:r/>
            <w:bookmarkStart w:id="250" w:name="_Hlt487972895"/>
            <w:r/>
            <w:bookmarkEnd w:id="250"/>
            <w:r>
              <w:rPr>
                <w:b/>
                <w:color w:val="000000"/>
                <w:sz w:val="24"/>
              </w:rPr>
              <w:t xml:space="preserve">序号</w:t>
            </w:r>
            <w:r/>
          </w:p>
        </w:tc>
        <w:tc>
          <w:tcPr>
            <w:tcW w:w="1819" w:type="dxa"/>
            <w:vAlign w:val="center"/>
            <w:textDirection w:val="lrTb"/>
            <w:noWrap w:val="false"/>
          </w:tcPr>
          <w:p>
            <w:pPr>
              <w:jc w:val="center"/>
              <w:tabs>
                <w:tab w:val="left" w:pos="1080" w:leader="none"/>
              </w:tabs>
              <w:rPr>
                <w:b/>
                <w:color w:val="000000"/>
                <w:sz w:val="24"/>
              </w:rPr>
            </w:pPr>
            <w:r>
              <w:rPr>
                <w:b/>
                <w:color w:val="000000"/>
                <w:sz w:val="24"/>
              </w:rPr>
              <w:t xml:space="preserve">审查因素</w:t>
            </w:r>
            <w:r/>
          </w:p>
        </w:tc>
        <w:tc>
          <w:tcPr>
            <w:tcW w:w="4429" w:type="dxa"/>
            <w:vAlign w:val="center"/>
            <w:textDirection w:val="lrTb"/>
            <w:noWrap w:val="false"/>
          </w:tcPr>
          <w:p>
            <w:pPr>
              <w:jc w:val="center"/>
              <w:tabs>
                <w:tab w:val="left" w:pos="1080" w:leader="none"/>
              </w:tabs>
              <w:rPr>
                <w:b/>
                <w:color w:val="000000"/>
                <w:sz w:val="24"/>
              </w:rPr>
            </w:pPr>
            <w:r>
              <w:rPr>
                <w:b/>
                <w:color w:val="000000"/>
                <w:sz w:val="24"/>
              </w:rPr>
              <w:t xml:space="preserve">审查内容</w:t>
            </w:r>
            <w:r/>
          </w:p>
        </w:tc>
        <w:tc>
          <w:tcPr>
            <w:tcW w:w="1504" w:type="dxa"/>
            <w:vAlign w:val="center"/>
            <w:textDirection w:val="lrTb"/>
            <w:noWrap w:val="false"/>
          </w:tcPr>
          <w:p>
            <w:pPr>
              <w:jc w:val="center"/>
              <w:tabs>
                <w:tab w:val="left" w:pos="1080" w:leader="none"/>
              </w:tabs>
              <w:rPr>
                <w:b/>
                <w:color w:val="000000"/>
                <w:sz w:val="24"/>
              </w:rPr>
            </w:pPr>
            <w:r>
              <w:rPr>
                <w:b/>
                <w:color w:val="000000"/>
                <w:sz w:val="24"/>
              </w:rPr>
              <w:t xml:space="preserve">格式要求</w:t>
            </w:r>
            <w:r/>
          </w:p>
        </w:tc>
      </w:tr>
      <w:tr>
        <w:trPr>
          <w:cantSplit/>
          <w:trHeight w:val="468"/>
        </w:trPr>
        <w:tc>
          <w:tcPr>
            <w:tcW w:w="776" w:type="dxa"/>
            <w:vAlign w:val="center"/>
            <w:textDirection w:val="lrTb"/>
            <w:noWrap w:val="false"/>
          </w:tcPr>
          <w:p>
            <w:pPr>
              <w:jc w:val="center"/>
              <w:tabs>
                <w:tab w:val="left" w:pos="1080" w:leader="none"/>
              </w:tabs>
              <w:rPr>
                <w:color w:val="000000"/>
                <w:sz w:val="24"/>
              </w:rPr>
            </w:pPr>
            <w:r>
              <w:rPr>
                <w:color w:val="000000"/>
                <w:sz w:val="24"/>
              </w:rPr>
              <w:t xml:space="preserve">1</w:t>
            </w:r>
            <w:r/>
          </w:p>
        </w:tc>
        <w:tc>
          <w:tcPr>
            <w:tcW w:w="1819" w:type="dxa"/>
            <w:vAlign w:val="center"/>
            <w:textDirection w:val="lrTb"/>
            <w:noWrap w:val="false"/>
          </w:tcPr>
          <w:p>
            <w:pPr>
              <w:tabs>
                <w:tab w:val="left" w:pos="1080" w:leader="none"/>
              </w:tabs>
              <w:rPr>
                <w:color w:val="000000"/>
                <w:sz w:val="24"/>
              </w:rPr>
            </w:pPr>
            <w:r>
              <w:rPr>
                <w:rFonts w:hint="eastAsia" w:ascii="宋体" w:hAnsi="宋体"/>
                <w:bCs/>
                <w:color w:val="000000"/>
                <w:sz w:val="24"/>
              </w:rPr>
              <w:t xml:space="preserve">营业执照副本（事业单位法人证书）</w:t>
            </w:r>
            <w:r/>
          </w:p>
        </w:tc>
        <w:tc>
          <w:tcPr>
            <w:tcW w:w="4429" w:type="dxa"/>
            <w:vAlign w:val="center"/>
            <w:textDirection w:val="lrTb"/>
            <w:noWrap w:val="false"/>
          </w:tcPr>
          <w:p>
            <w:pPr>
              <w:tabs>
                <w:tab w:val="left" w:pos="1080" w:leader="none"/>
              </w:tabs>
              <w:rPr>
                <w:color w:val="000000"/>
                <w:sz w:val="24"/>
              </w:rPr>
            </w:pPr>
            <w:r>
              <w:rPr>
                <w:rFonts w:hint="eastAsia" w:ascii="宋体" w:hAnsi="宋体"/>
                <w:bCs/>
                <w:color w:val="000000"/>
                <w:sz w:val="24"/>
              </w:rPr>
              <w:t xml:space="preserve">营业执照副本和税务登记证副本(或“三证合一”的营业执照副本）或事业单位法人证书</w:t>
            </w:r>
            <w:r/>
          </w:p>
        </w:tc>
        <w:tc>
          <w:tcPr>
            <w:tcW w:w="1504" w:type="dxa"/>
            <w:vAlign w:val="center"/>
            <w:textDirection w:val="lrTb"/>
            <w:noWrap w:val="false"/>
          </w:tcPr>
          <w:p>
            <w:pPr>
              <w:ind w:firstLine="720"/>
              <w:tabs>
                <w:tab w:val="left" w:pos="1080" w:leader="none"/>
              </w:tabs>
              <w:rPr>
                <w:color w:val="000000"/>
                <w:sz w:val="24"/>
              </w:rPr>
            </w:pPr>
            <w:r>
              <w:rPr>
                <w:rFonts w:hint="eastAsia"/>
                <w:color w:val="000000"/>
                <w:sz w:val="24"/>
              </w:rPr>
              <w:t xml:space="preserve">/</w:t>
            </w:r>
            <w:r/>
          </w:p>
        </w:tc>
      </w:tr>
      <w:tr>
        <w:trPr>
          <w:cantSplit/>
          <w:trHeight w:val="468"/>
        </w:trPr>
        <w:tc>
          <w:tcPr>
            <w:tcW w:w="776" w:type="dxa"/>
            <w:vAlign w:val="center"/>
            <w:textDirection w:val="lrTb"/>
            <w:noWrap w:val="false"/>
          </w:tcPr>
          <w:p>
            <w:pPr>
              <w:jc w:val="center"/>
              <w:tabs>
                <w:tab w:val="left" w:pos="1080" w:leader="none"/>
              </w:tabs>
              <w:rPr>
                <w:color w:val="000000"/>
                <w:sz w:val="24"/>
              </w:rPr>
            </w:pPr>
            <w:r>
              <w:rPr>
                <w:rFonts w:hint="eastAsia"/>
                <w:color w:val="000000"/>
                <w:sz w:val="24"/>
              </w:rPr>
              <w:t xml:space="preserve">2</w:t>
            </w:r>
            <w:r/>
          </w:p>
        </w:tc>
        <w:tc>
          <w:tcPr>
            <w:tcW w:w="1819" w:type="dxa"/>
            <w:vAlign w:val="center"/>
            <w:textDirection w:val="lrTb"/>
            <w:noWrap w:val="false"/>
          </w:tcPr>
          <w:p>
            <w:pPr>
              <w:tabs>
                <w:tab w:val="left" w:pos="1080" w:leader="none"/>
              </w:tabs>
              <w:rPr>
                <w:color w:val="000000"/>
                <w:sz w:val="24"/>
              </w:rPr>
            </w:pPr>
            <w:r>
              <w:rPr>
                <w:rFonts w:hint="eastAsia" w:ascii="宋体" w:hAnsi="宋体"/>
                <w:bCs/>
                <w:color w:val="000000"/>
                <w:sz w:val="24"/>
              </w:rPr>
              <w:t xml:space="preserve">法人授权书</w:t>
            </w:r>
            <w:r/>
          </w:p>
        </w:tc>
        <w:tc>
          <w:tcPr>
            <w:tcW w:w="4429" w:type="dxa"/>
            <w:vAlign w:val="center"/>
            <w:textDirection w:val="lrTb"/>
            <w:noWrap w:val="false"/>
          </w:tcPr>
          <w:p>
            <w:pPr>
              <w:jc w:val="left"/>
              <w:spacing w:line="360" w:lineRule="auto"/>
              <w:widowControl/>
              <w:rPr>
                <w:color w:val="000000"/>
                <w:sz w:val="24"/>
              </w:rPr>
            </w:pPr>
            <w:r>
              <w:rPr>
                <w:rFonts w:hint="eastAsia" w:ascii="宋体" w:hAnsi="宋体"/>
                <w:bCs/>
                <w:color w:val="000000"/>
                <w:sz w:val="24"/>
              </w:rPr>
              <w:t xml:space="preserve">法人授权书、法定代表人身份证及被授权人身份证</w:t>
            </w:r>
            <w:r/>
          </w:p>
        </w:tc>
        <w:tc>
          <w:tcPr>
            <w:tcW w:w="1504" w:type="dxa"/>
            <w:vAlign w:val="center"/>
            <w:textDirection w:val="lrTb"/>
            <w:noWrap w:val="false"/>
          </w:tcPr>
          <w:p>
            <w:pPr>
              <w:tabs>
                <w:tab w:val="left" w:pos="1080" w:leader="none"/>
              </w:tabs>
              <w:rPr>
                <w:color w:val="000000"/>
                <w:sz w:val="24"/>
              </w:rPr>
            </w:pPr>
            <w:r>
              <w:rPr>
                <w:color w:val="000000"/>
                <w:sz w:val="24"/>
              </w:rPr>
              <w:t xml:space="preserve">格式见《投标文件格式》</w:t>
            </w:r>
            <w:r/>
          </w:p>
        </w:tc>
      </w:tr>
      <w:tr>
        <w:trPr>
          <w:cantSplit/>
          <w:trHeight w:val="468"/>
        </w:trPr>
        <w:tc>
          <w:tcPr>
            <w:tcW w:w="776" w:type="dxa"/>
            <w:vAlign w:val="center"/>
            <w:textDirection w:val="lrTb"/>
            <w:noWrap w:val="false"/>
          </w:tcPr>
          <w:p>
            <w:pPr>
              <w:jc w:val="center"/>
              <w:tabs>
                <w:tab w:val="left" w:pos="1080" w:leader="none"/>
              </w:tabs>
              <w:rPr>
                <w:color w:val="000000"/>
                <w:sz w:val="24"/>
              </w:rPr>
            </w:pPr>
            <w:r>
              <w:rPr>
                <w:rFonts w:hint="eastAsia"/>
                <w:color w:val="000000"/>
                <w:sz w:val="24"/>
              </w:rPr>
              <w:t xml:space="preserve">3</w:t>
            </w:r>
            <w:r/>
          </w:p>
        </w:tc>
        <w:tc>
          <w:tcPr>
            <w:tcW w:w="1819" w:type="dxa"/>
            <w:vAlign w:val="center"/>
            <w:textDirection w:val="lrTb"/>
            <w:noWrap w:val="false"/>
          </w:tcPr>
          <w:p>
            <w:pPr>
              <w:tabs>
                <w:tab w:val="left" w:pos="1080" w:leader="none"/>
              </w:tabs>
              <w:rPr>
                <w:color w:val="000000"/>
                <w:sz w:val="24"/>
              </w:rPr>
            </w:pPr>
            <w:r>
              <w:rPr>
                <w:rFonts w:hint="eastAsia"/>
                <w:color w:val="000000"/>
                <w:sz w:val="24"/>
              </w:rPr>
              <w:t xml:space="preserve">投标人资格声明</w:t>
            </w:r>
            <w:r/>
          </w:p>
        </w:tc>
        <w:tc>
          <w:tcPr>
            <w:tcW w:w="4429" w:type="dxa"/>
            <w:vAlign w:val="center"/>
            <w:textDirection w:val="lrTb"/>
            <w:noWrap w:val="false"/>
          </w:tcPr>
          <w:p>
            <w:pPr>
              <w:spacing w:line="570" w:lineRule="exact"/>
              <w:rPr>
                <w:rFonts w:eastAsia="黑体"/>
                <w:color w:val="000000"/>
                <w:sz w:val="36"/>
                <w:szCs w:val="36"/>
              </w:rPr>
            </w:pPr>
            <w:r>
              <w:rPr>
                <w:rFonts w:ascii="宋体" w:hAnsi="宋体"/>
                <w:bCs/>
                <w:color w:val="000000"/>
                <w:sz w:val="24"/>
              </w:rPr>
              <w:t xml:space="preserve">《</w:t>
            </w:r>
            <w:r>
              <w:rPr>
                <w:rFonts w:hint="eastAsia" w:ascii="宋体" w:hAnsi="宋体"/>
                <w:bCs/>
                <w:color w:val="000000"/>
                <w:sz w:val="24"/>
              </w:rPr>
              <w:t xml:space="preserve">资格承诺声明函</w:t>
            </w:r>
            <w:r>
              <w:rPr>
                <w:rFonts w:ascii="宋体" w:hAnsi="宋体"/>
                <w:bCs/>
                <w:color w:val="000000"/>
                <w:sz w:val="24"/>
              </w:rPr>
              <w:t xml:space="preserve">》</w:t>
            </w:r>
            <w:r/>
          </w:p>
        </w:tc>
        <w:tc>
          <w:tcPr>
            <w:tcW w:w="1504" w:type="dxa"/>
            <w:vAlign w:val="center"/>
            <w:textDirection w:val="lrTb"/>
            <w:noWrap w:val="false"/>
          </w:tcPr>
          <w:p>
            <w:pPr>
              <w:tabs>
                <w:tab w:val="left" w:pos="1080" w:leader="none"/>
              </w:tabs>
              <w:rPr>
                <w:color w:val="000000"/>
                <w:sz w:val="24"/>
              </w:rPr>
            </w:pPr>
            <w:r>
              <w:rPr>
                <w:color w:val="000000"/>
                <w:sz w:val="24"/>
              </w:rPr>
              <w:t xml:space="preserve">格式见《投标文件格式》</w:t>
            </w:r>
            <w:r/>
          </w:p>
        </w:tc>
      </w:tr>
      <w:tr>
        <w:trPr>
          <w:cantSplit/>
          <w:trHeight w:val="468"/>
        </w:trPr>
        <w:tc>
          <w:tcPr>
            <w:tcW w:w="776" w:type="dxa"/>
            <w:vAlign w:val="center"/>
            <w:textDirection w:val="lrTb"/>
            <w:noWrap w:val="false"/>
          </w:tcPr>
          <w:p>
            <w:pPr>
              <w:jc w:val="center"/>
              <w:tabs>
                <w:tab w:val="left" w:pos="1080" w:leader="none"/>
              </w:tabs>
              <w:rPr>
                <w:color w:val="000000"/>
                <w:sz w:val="24"/>
              </w:rPr>
            </w:pPr>
            <w:r>
              <w:rPr>
                <w:rFonts w:hint="eastAsia"/>
                <w:color w:val="000000"/>
                <w:sz w:val="24"/>
              </w:rPr>
              <w:t xml:space="preserve">4</w:t>
            </w:r>
            <w:r/>
          </w:p>
        </w:tc>
        <w:tc>
          <w:tcPr>
            <w:tcW w:w="1819" w:type="dxa"/>
            <w:vAlign w:val="center"/>
            <w:textDirection w:val="lrTb"/>
            <w:noWrap w:val="false"/>
          </w:tcPr>
          <w:p>
            <w:pPr>
              <w:tabs>
                <w:tab w:val="left" w:pos="1080" w:leader="none"/>
              </w:tabs>
              <w:rPr>
                <w:color w:val="000000"/>
                <w:sz w:val="24"/>
              </w:rPr>
            </w:pPr>
            <w:r>
              <w:rPr>
                <w:color w:val="000000"/>
                <w:sz w:val="24"/>
              </w:rPr>
              <w:t xml:space="preserve">投标人信用记录</w:t>
            </w:r>
            <w:r/>
          </w:p>
        </w:tc>
        <w:tc>
          <w:tcPr>
            <w:tcW w:w="4429" w:type="dxa"/>
            <w:vAlign w:val="center"/>
            <w:textDirection w:val="lrTb"/>
            <w:noWrap w:val="false"/>
          </w:tcPr>
          <w:p>
            <w:pPr>
              <w:tabs>
                <w:tab w:val="left" w:pos="1080" w:leader="none"/>
              </w:tabs>
              <w:rPr>
                <w:color w:val="000000"/>
                <w:sz w:val="24"/>
              </w:rPr>
            </w:pPr>
            <w:r>
              <w:rPr>
                <w:rFonts w:hint="eastAsia"/>
                <w:color w:val="000000"/>
                <w:sz w:val="24"/>
              </w:rPr>
              <w:t xml:space="preserve">1、</w:t>
            </w: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p>
          <w:p>
            <w:pPr>
              <w:tabs>
                <w:tab w:val="left" w:pos="900" w:leader="none"/>
                <w:tab w:val="left" w:pos="1980" w:leader="none"/>
              </w:tabs>
              <w:rPr>
                <w:color w:val="000000"/>
                <w:sz w:val="24"/>
              </w:rPr>
            </w:pPr>
            <w:r>
              <w:rPr>
                <w:rFonts w:hint="eastAsia"/>
                <w:color w:val="000000"/>
                <w:sz w:val="24"/>
              </w:rPr>
              <w:t xml:space="preserve">2、</w:t>
            </w:r>
            <w:r>
              <w:rPr>
                <w:color w:val="000000"/>
                <w:sz w:val="24"/>
              </w:rPr>
              <w:t xml:space="preserve">截止时点：投标截止时间以后、</w:t>
            </w:r>
            <w:r>
              <w:rPr>
                <w:rFonts w:hint="eastAsia"/>
                <w:color w:val="000000"/>
                <w:sz w:val="24"/>
              </w:rPr>
              <w:t xml:space="preserve">资格审查阶段采购人或</w:t>
            </w:r>
            <w:r>
              <w:rPr>
                <w:color w:val="000000"/>
                <w:sz w:val="24"/>
              </w:rPr>
              <w:t xml:space="preserve">采购代理机构的实际查询时间；</w:t>
            </w:r>
            <w:r/>
          </w:p>
          <w:p>
            <w:pPr>
              <w:tabs>
                <w:tab w:val="left" w:pos="900" w:leader="none"/>
                <w:tab w:val="left" w:pos="1980" w:leader="none"/>
              </w:tabs>
              <w:rPr>
                <w:color w:val="000000"/>
                <w:sz w:val="24"/>
              </w:rPr>
            </w:pPr>
            <w:r>
              <w:rPr>
                <w:rFonts w:hint="eastAsia"/>
                <w:color w:val="000000"/>
                <w:sz w:val="24"/>
              </w:rPr>
              <w:t xml:space="preserve">3、</w:t>
            </w:r>
            <w:r>
              <w:rPr>
                <w:color w:val="000000"/>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sz w:val="24"/>
              </w:rPr>
            </w:pPr>
            <w:r>
              <w:rPr>
                <w:rFonts w:hint="eastAsia"/>
                <w:color w:val="000000"/>
                <w:sz w:val="24"/>
              </w:rPr>
              <w:t xml:space="preserve">4、</w:t>
            </w:r>
            <w:r>
              <w:rPr>
                <w:color w:val="000000"/>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504" w:type="dxa"/>
            <w:vAlign w:val="center"/>
            <w:textDirection w:val="lrTb"/>
            <w:noWrap w:val="false"/>
          </w:tcPr>
          <w:p>
            <w:pPr>
              <w:tabs>
                <w:tab w:val="left" w:pos="1080" w:leader="none"/>
              </w:tabs>
              <w:rPr>
                <w:color w:val="000000"/>
                <w:sz w:val="24"/>
              </w:rPr>
            </w:pPr>
            <w:r>
              <w:rPr>
                <w:color w:val="000000"/>
                <w:sz w:val="24"/>
              </w:rPr>
              <w:t xml:space="preserve">无须投标人提供，由采购人查询。</w:t>
            </w:r>
            <w:r/>
          </w:p>
        </w:tc>
      </w:tr>
      <w:tr>
        <w:trPr>
          <w:cantSplit/>
          <w:trHeight w:val="468"/>
        </w:trPr>
        <w:tc>
          <w:tcPr>
            <w:tcW w:w="776" w:type="dxa"/>
            <w:vAlign w:val="center"/>
            <w:textDirection w:val="lrTb"/>
            <w:noWrap w:val="false"/>
          </w:tcPr>
          <w:p>
            <w:pPr>
              <w:jc w:val="center"/>
              <w:tabs>
                <w:tab w:val="left" w:pos="1080" w:leader="none"/>
              </w:tabs>
              <w:rPr>
                <w:color w:val="000000"/>
                <w:sz w:val="24"/>
              </w:rPr>
            </w:pPr>
            <w:r>
              <w:rPr>
                <w:rFonts w:hint="eastAsia"/>
                <w:color w:val="000000"/>
                <w:sz w:val="24"/>
              </w:rPr>
              <w:t xml:space="preserve">5</w:t>
            </w:r>
            <w:r/>
          </w:p>
        </w:tc>
        <w:tc>
          <w:tcPr>
            <w:tcW w:w="1819" w:type="dxa"/>
            <w:vAlign w:val="center"/>
            <w:textDirection w:val="lrTb"/>
            <w:noWrap w:val="false"/>
          </w:tcPr>
          <w:p>
            <w:pPr>
              <w:ind w:firstLine="240"/>
              <w:tabs>
                <w:tab w:val="left" w:pos="1080" w:leader="none"/>
              </w:tabs>
              <w:rPr>
                <w:color w:val="000000"/>
                <w:sz w:val="24"/>
              </w:rPr>
            </w:pPr>
            <w:r>
              <w:rPr>
                <w:rFonts w:hint="eastAsia"/>
                <w:color w:val="000000"/>
                <w:sz w:val="24"/>
              </w:rPr>
              <w:t xml:space="preserve">信用承诺</w:t>
            </w:r>
            <w:r/>
          </w:p>
        </w:tc>
        <w:tc>
          <w:tcPr>
            <w:tcW w:w="4429" w:type="dxa"/>
            <w:vAlign w:val="center"/>
            <w:textDirection w:val="lrTb"/>
            <w:noWrap w:val="false"/>
          </w:tcPr>
          <w:p>
            <w:pPr>
              <w:tabs>
                <w:tab w:val="left" w:pos="1080" w:leader="none"/>
              </w:tabs>
              <w:rPr>
                <w:rFonts w:hint="eastAsia" w:ascii="宋体" w:hAnsi="宋体"/>
                <w:bCs/>
                <w:color w:val="000000"/>
                <w:sz w:val="24"/>
              </w:rPr>
            </w:pPr>
            <w:r>
              <w:rPr>
                <w:rFonts w:hint="eastAsia"/>
                <w:color w:val="000000"/>
                <w:sz w:val="24"/>
              </w:rPr>
              <w:t xml:space="preserve">《政府采购供应商信用承诺书》</w:t>
            </w:r>
            <w:r/>
          </w:p>
        </w:tc>
        <w:tc>
          <w:tcPr>
            <w:tcW w:w="1504" w:type="dxa"/>
            <w:vAlign w:val="center"/>
            <w:textDirection w:val="lrTb"/>
            <w:noWrap w:val="false"/>
          </w:tcPr>
          <w:p>
            <w:pPr>
              <w:tabs>
                <w:tab w:val="left" w:pos="1080" w:leader="none"/>
              </w:tabs>
              <w:rPr>
                <w:color w:val="000000"/>
                <w:sz w:val="24"/>
              </w:rPr>
            </w:pPr>
            <w:r>
              <w:rPr>
                <w:color w:val="000000"/>
                <w:sz w:val="24"/>
              </w:rPr>
              <w:t xml:space="preserve">格式见《投标文件格式》</w:t>
            </w:r>
            <w:r/>
          </w:p>
        </w:tc>
      </w:tr>
      <w:tr>
        <w:trPr>
          <w:cantSplit/>
          <w:trHeight w:val="468"/>
        </w:trPr>
        <w:tc>
          <w:tcPr>
            <w:tcW w:w="776" w:type="dxa"/>
            <w:vAlign w:val="center"/>
            <w:textDirection w:val="lrTb"/>
            <w:noWrap w:val="false"/>
          </w:tcPr>
          <w:p>
            <w:pPr>
              <w:jc w:val="center"/>
              <w:tabs>
                <w:tab w:val="left" w:pos="1080" w:leader="none"/>
              </w:tabs>
              <w:rPr>
                <w:color w:val="000000"/>
                <w:sz w:val="24"/>
              </w:rPr>
            </w:pPr>
            <w:r>
              <w:rPr>
                <w:rFonts w:hint="eastAsia"/>
                <w:color w:val="000000"/>
                <w:sz w:val="24"/>
              </w:rPr>
              <w:t xml:space="preserve">6</w:t>
            </w:r>
            <w:r/>
          </w:p>
        </w:tc>
        <w:tc>
          <w:tcPr>
            <w:tcW w:w="1819" w:type="dxa"/>
            <w:vAlign w:val="center"/>
            <w:textDirection w:val="lrTb"/>
            <w:noWrap w:val="false"/>
          </w:tcPr>
          <w:p>
            <w:pPr>
              <w:tabs>
                <w:tab w:val="left" w:pos="1080" w:leader="none"/>
              </w:tabs>
              <w:rPr>
                <w:color w:val="000000"/>
                <w:sz w:val="24"/>
              </w:rPr>
            </w:pPr>
            <w:r>
              <w:rPr>
                <w:color w:val="000000"/>
                <w:sz w:val="24"/>
              </w:rPr>
              <w:t xml:space="preserve">落实政府采购政策需满足的资格要求</w:t>
            </w:r>
            <w:r/>
          </w:p>
        </w:tc>
        <w:tc>
          <w:tcPr>
            <w:tcW w:w="4429" w:type="dxa"/>
            <w:vAlign w:val="center"/>
            <w:textDirection w:val="lrTb"/>
            <w:noWrap w:val="false"/>
          </w:tcPr>
          <w:p>
            <w:pPr>
              <w:tabs>
                <w:tab w:val="left" w:pos="1080" w:leader="none"/>
              </w:tabs>
              <w:rPr>
                <w:color w:val="000000"/>
                <w:sz w:val="24"/>
              </w:rPr>
            </w:pPr>
            <w:r>
              <w:rPr>
                <w:rFonts w:hint="eastAsia"/>
                <w:color w:val="000000"/>
                <w:sz w:val="24"/>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color w:val="000000"/>
                <w:sz w:val="24"/>
              </w:rPr>
            </w:pPr>
            <w:r>
              <w:rPr>
                <w:rFonts w:hint="eastAsia"/>
                <w:color w:val="000000"/>
                <w:sz w:val="24"/>
              </w:rPr>
              <w:t xml:space="preserve">《中小企业声明函》、</w:t>
            </w:r>
            <w:r>
              <w:rPr>
                <w:color w:val="000000"/>
                <w:sz w:val="24"/>
              </w:rPr>
              <w:t xml:space="preserve">《残疾人福利性单位声明函》格式见《投标文件格式》</w:t>
            </w:r>
            <w:r/>
          </w:p>
        </w:tc>
      </w:tr>
      <w:tr>
        <w:trPr>
          <w:cantSplit/>
          <w:trHeight w:val="468"/>
        </w:trPr>
        <w:tc>
          <w:tcPr>
            <w:tcW w:w="776" w:type="dxa"/>
            <w:vAlign w:val="center"/>
            <w:textDirection w:val="lrTb"/>
            <w:noWrap w:val="false"/>
          </w:tcPr>
          <w:p>
            <w:pPr>
              <w:jc w:val="center"/>
              <w:tabs>
                <w:tab w:val="left" w:pos="1080" w:leader="none"/>
              </w:tabs>
              <w:rPr>
                <w:b/>
                <w:color w:val="000000"/>
                <w:sz w:val="24"/>
              </w:rPr>
            </w:pPr>
            <w:r>
              <w:rPr>
                <w:rFonts w:hint="eastAsia"/>
                <w:b/>
                <w:color w:val="000000"/>
                <w:sz w:val="24"/>
              </w:rPr>
              <w:t xml:space="preserve">7</w:t>
            </w:r>
            <w:r/>
          </w:p>
        </w:tc>
        <w:tc>
          <w:tcPr>
            <w:tcW w:w="1819" w:type="dxa"/>
            <w:vAlign w:val="center"/>
            <w:textDirection w:val="lrTb"/>
            <w:noWrap w:val="false"/>
          </w:tcPr>
          <w:p>
            <w:pPr>
              <w:tabs>
                <w:tab w:val="left" w:pos="1080" w:leader="none"/>
              </w:tabs>
              <w:rPr>
                <w:b/>
                <w:color w:val="000000"/>
                <w:sz w:val="24"/>
              </w:rPr>
            </w:pPr>
            <w:r>
              <w:rPr>
                <w:b/>
                <w:color w:val="000000"/>
                <w:sz w:val="24"/>
              </w:rPr>
              <w:t xml:space="preserve">本项目的特定资格要求</w:t>
            </w:r>
            <w:r/>
          </w:p>
        </w:tc>
        <w:tc>
          <w:tcPr>
            <w:tcW w:w="4429" w:type="dxa"/>
            <w:vAlign w:val="center"/>
            <w:textDirection w:val="lrTb"/>
            <w:noWrap w:val="false"/>
          </w:tcPr>
          <w:p>
            <w:pPr>
              <w:jc w:val="left"/>
              <w:spacing w:line="360" w:lineRule="auto"/>
              <w:widowControl/>
              <w:rPr>
                <w:rFonts w:hint="eastAsia" w:ascii="宋体" w:hAnsi="宋体"/>
                <w:b/>
                <w:bCs/>
                <w:color w:val="000000"/>
                <w:sz w:val="24"/>
              </w:rPr>
            </w:pPr>
            <w:r>
              <w:rPr>
                <w:rFonts w:hint="eastAsia" w:ascii="宋体" w:hAnsi="宋体"/>
                <w:b/>
                <w:bCs/>
                <w:color w:val="000000"/>
                <w:sz w:val="24"/>
              </w:rPr>
              <w:t xml:space="preserve">无</w:t>
            </w:r>
            <w:r/>
          </w:p>
        </w:tc>
        <w:tc>
          <w:tcPr>
            <w:tcW w:w="1504" w:type="dxa"/>
            <w:vAlign w:val="center"/>
            <w:textDirection w:val="lrTb"/>
            <w:noWrap w:val="false"/>
          </w:tcPr>
          <w:p>
            <w:pPr>
              <w:tabs>
                <w:tab w:val="left" w:pos="1080" w:leader="none"/>
              </w:tabs>
              <w:rPr>
                <w:color w:val="000000"/>
                <w:sz w:val="24"/>
              </w:rPr>
            </w:pPr>
            <w:r>
              <w:rPr>
                <w:color w:val="000000"/>
                <w:sz w:val="24"/>
              </w:rPr>
            </w:r>
            <w:r/>
          </w:p>
        </w:tc>
      </w:tr>
      <w:tr>
        <w:trPr>
          <w:cantSplit/>
          <w:trHeight w:val="4548"/>
        </w:trPr>
        <w:tc>
          <w:tcPr>
            <w:tcW w:w="776" w:type="dxa"/>
            <w:vAlign w:val="center"/>
            <w:textDirection w:val="lrTb"/>
            <w:noWrap w:val="false"/>
          </w:tcPr>
          <w:p>
            <w:pPr>
              <w:jc w:val="center"/>
              <w:tabs>
                <w:tab w:val="left" w:pos="1080" w:leader="none"/>
              </w:tabs>
              <w:rPr>
                <w:color w:val="000000"/>
                <w:sz w:val="24"/>
              </w:rPr>
            </w:pPr>
            <w:r>
              <w:rPr>
                <w:rFonts w:hint="eastAsia"/>
                <w:color w:val="000000"/>
                <w:sz w:val="24"/>
              </w:rPr>
              <w:t xml:space="preserve">8</w:t>
            </w:r>
            <w:r/>
          </w:p>
        </w:tc>
        <w:tc>
          <w:tcPr>
            <w:tcW w:w="1819" w:type="dxa"/>
            <w:vAlign w:val="center"/>
            <w:textDirection w:val="lrTb"/>
            <w:noWrap w:val="false"/>
          </w:tcPr>
          <w:p>
            <w:pPr>
              <w:tabs>
                <w:tab w:val="left" w:pos="1080" w:leader="none"/>
              </w:tabs>
              <w:rPr>
                <w:color w:val="000000"/>
                <w:sz w:val="24"/>
              </w:rPr>
            </w:pPr>
            <w:r>
              <w:rPr>
                <w:color w:val="000000"/>
                <w:sz w:val="24"/>
              </w:rPr>
              <w:t xml:space="preserve">联合体</w:t>
            </w:r>
            <w:r>
              <w:rPr>
                <w:rFonts w:hint="eastAsia"/>
                <w:color w:val="000000"/>
                <w:sz w:val="24"/>
              </w:rPr>
              <w:t xml:space="preserve">协议（如有）</w:t>
            </w:r>
            <w:r/>
          </w:p>
        </w:tc>
        <w:tc>
          <w:tcPr>
            <w:tcW w:w="4429" w:type="dxa"/>
            <w:vAlign w:val="center"/>
            <w:textDirection w:val="lrTb"/>
            <w:noWrap w:val="false"/>
          </w:tcPr>
          <w:p>
            <w:pPr>
              <w:tabs>
                <w:tab w:val="left" w:pos="1080" w:leader="none"/>
              </w:tabs>
              <w:rPr>
                <w:color w:val="000000"/>
                <w:sz w:val="24"/>
              </w:rPr>
            </w:pPr>
            <w:r>
              <w:rPr>
                <w:color w:val="000000"/>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rPr>
              <w:t xml:space="preserve">牵头</w:t>
            </w:r>
            <w:r>
              <w:rPr>
                <w:color w:val="000000"/>
                <w:sz w:val="24"/>
              </w:rPr>
              <w:t xml:space="preserve">、协调工作。该联合协议应当作为投标文件的组成部分，与投标文件其他内容同时递交。</w:t>
            </w:r>
            <w:r/>
          </w:p>
          <w:p>
            <w:pPr>
              <w:tabs>
                <w:tab w:val="left" w:pos="1080" w:leader="none"/>
              </w:tabs>
              <w:rPr>
                <w:color w:val="000000"/>
                <w:sz w:val="24"/>
              </w:rPr>
            </w:pPr>
            <w:r>
              <w:rPr>
                <w:color w:val="000000"/>
                <w:sz w:val="24"/>
              </w:rPr>
              <w:t xml:space="preserve">2、</w:t>
            </w:r>
            <w:r>
              <w:rPr>
                <w:rFonts w:hint="eastAsia"/>
                <w:color w:val="000000"/>
                <w:sz w:val="24"/>
              </w:rPr>
              <w:t xml:space="preserve">联合体各成员单位均须提供本表中序号第</w:t>
            </w:r>
            <w:r>
              <w:rPr>
                <w:color w:val="000000"/>
                <w:sz w:val="24"/>
              </w:rPr>
              <w:t xml:space="preserve">1</w:t>
            </w:r>
            <w:r>
              <w:rPr>
                <w:rFonts w:hint="eastAsia"/>
                <w:color w:val="000000"/>
                <w:sz w:val="24"/>
              </w:rPr>
              <w:t xml:space="preserve">、3、5、6项的证明文件。</w:t>
            </w:r>
            <w:r/>
          </w:p>
          <w:p>
            <w:pPr>
              <w:tabs>
                <w:tab w:val="left" w:pos="1080" w:leader="none"/>
              </w:tabs>
              <w:rPr>
                <w:color w:val="000000"/>
                <w:sz w:val="24"/>
              </w:rPr>
            </w:pPr>
            <w:r>
              <w:rPr>
                <w:rFonts w:hint="eastAsia"/>
                <w:color w:val="000000"/>
                <w:sz w:val="24"/>
              </w:rPr>
              <w:t xml:space="preserve">3、本表序号第</w:t>
            </w:r>
            <w:r>
              <w:rPr>
                <w:color w:val="000000"/>
                <w:sz w:val="24"/>
              </w:rPr>
              <w:t xml:space="preserve">7</w:t>
            </w:r>
            <w:r>
              <w:rPr>
                <w:rFonts w:hint="eastAsia"/>
                <w:color w:val="000000"/>
                <w:sz w:val="24"/>
              </w:rPr>
              <w:t xml:space="preserve">项规定的其他特定资格要求中的每一小项要求，联合体各方中至少应当有一方符合本表中其他资格要求并提供证明文件。</w:t>
            </w:r>
            <w:r/>
          </w:p>
          <w:p>
            <w:pPr>
              <w:tabs>
                <w:tab w:val="left" w:pos="1080" w:leader="none"/>
              </w:tabs>
              <w:rPr>
                <w:color w:val="000000"/>
                <w:sz w:val="24"/>
              </w:rPr>
            </w:pPr>
            <w:r>
              <w:rPr>
                <w:rFonts w:hint="eastAsia"/>
                <w:color w:val="000000"/>
                <w:sz w:val="24"/>
              </w:rPr>
              <w:t xml:space="preserve">4</w:t>
            </w:r>
            <w:r>
              <w:rPr>
                <w:color w:val="000000"/>
                <w:sz w:val="24"/>
              </w:rPr>
              <w:t xml:space="preserve">、联合体中有同类资质的供应商按照联合体分工承担相同工作的，应当按照资质等级较低的供应商确定资质等级。</w:t>
            </w:r>
            <w:r/>
          </w:p>
          <w:p>
            <w:pPr>
              <w:tabs>
                <w:tab w:val="left" w:pos="1080" w:leader="none"/>
              </w:tabs>
              <w:rPr>
                <w:color w:val="000000"/>
                <w:sz w:val="24"/>
              </w:rPr>
            </w:pPr>
            <w:r>
              <w:rPr>
                <w:color w:val="000000"/>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000000"/>
                <w:sz w:val="24"/>
              </w:rPr>
            </w:pPr>
            <w:r>
              <w:rPr>
                <w:color w:val="000000"/>
                <w:sz w:val="24"/>
              </w:rPr>
              <w:t xml:space="preserve">6、若联合体中任一成员单位中途退出，则该联合体的投标无效。</w:t>
            </w:r>
            <w:r/>
          </w:p>
          <w:p>
            <w:pPr>
              <w:tabs>
                <w:tab w:val="left" w:pos="1080" w:leader="none"/>
              </w:tabs>
              <w:rPr>
                <w:color w:val="000000"/>
                <w:sz w:val="24"/>
              </w:rPr>
            </w:pPr>
            <w:r>
              <w:rPr>
                <w:color w:val="000000"/>
                <w:sz w:val="24"/>
              </w:rPr>
              <w:t xml:space="preserve">7、本项目不接受联合体投标</w:t>
            </w:r>
            <w:r>
              <w:rPr>
                <w:rFonts w:hint="eastAsia"/>
                <w:color w:val="000000"/>
                <w:sz w:val="24"/>
              </w:rPr>
              <w:t xml:space="preserve">时</w:t>
            </w:r>
            <w:r>
              <w:rPr>
                <w:color w:val="000000"/>
                <w:sz w:val="24"/>
              </w:rPr>
              <w:t xml:space="preserve">，</w:t>
            </w:r>
            <w:r>
              <w:rPr>
                <w:rFonts w:hint="eastAsia"/>
                <w:color w:val="000000"/>
                <w:sz w:val="24"/>
              </w:rPr>
              <w:t xml:space="preserve">投标人不得为联合体</w:t>
            </w:r>
            <w:r>
              <w:rPr>
                <w:color w:val="000000"/>
                <w:sz w:val="24"/>
              </w:rPr>
              <w:t xml:space="preserve">。</w:t>
            </w:r>
            <w:r/>
          </w:p>
        </w:tc>
        <w:tc>
          <w:tcPr>
            <w:tcW w:w="1504" w:type="dxa"/>
            <w:vAlign w:val="center"/>
            <w:textDirection w:val="lrTb"/>
            <w:noWrap w:val="false"/>
          </w:tcPr>
          <w:p>
            <w:pPr>
              <w:tabs>
                <w:tab w:val="left" w:pos="1080" w:leader="none"/>
              </w:tabs>
              <w:rPr>
                <w:color w:val="000000"/>
                <w:sz w:val="24"/>
              </w:rPr>
            </w:pPr>
            <w:r>
              <w:rPr>
                <w:color w:val="000000"/>
                <w:sz w:val="24"/>
              </w:rPr>
              <w:t xml:space="preserve">格式见《投标文件格式》 </w:t>
            </w:r>
            <w:bookmarkEnd w:id="248"/>
            <w:r/>
            <w:r/>
          </w:p>
        </w:tc>
      </w:tr>
    </w:tbl>
    <w:p>
      <w:pPr>
        <w:jc w:val="left"/>
        <w:widowControl/>
        <w:rPr>
          <w:color w:val="000000"/>
          <w:sz w:val="24"/>
        </w:rPr>
      </w:pPr>
      <w:r/>
      <w:bookmarkStart w:id="251" w:name="_Toc127151779"/>
      <w:r/>
      <w:bookmarkStart w:id="252" w:name="_Toc353873940"/>
      <w:r/>
      <w:bookmarkStart w:id="253" w:name="_Toc127161490"/>
      <w:r/>
      <w:bookmarkStart w:id="254" w:name="_Toc226965858"/>
      <w:r/>
      <w:bookmarkStart w:id="255" w:name="_Toc353825550"/>
      <w:r>
        <w:rPr>
          <w:color w:val="000000"/>
          <w:sz w:val="24"/>
        </w:rPr>
        <w:br w:type="page" w:clear="all"/>
      </w:r>
      <w:r/>
    </w:p>
    <w:p>
      <w:pPr>
        <w:jc w:val="center"/>
        <w:spacing w:line="360" w:lineRule="auto"/>
        <w:rPr>
          <w:b/>
          <w:color w:val="000000"/>
          <w:sz w:val="36"/>
          <w:szCs w:val="36"/>
        </w:rPr>
        <w:outlineLvl w:val="0"/>
      </w:pPr>
      <w:r/>
      <w:bookmarkStart w:id="256" w:name="_Toc99301423"/>
      <w:r>
        <w:rPr>
          <w:b/>
          <w:color w:val="000000"/>
          <w:sz w:val="36"/>
          <w:szCs w:val="36"/>
        </w:rPr>
        <w:t xml:space="preserve">第四章   </w:t>
      </w:r>
      <w:bookmarkEnd w:id="251"/>
      <w:r/>
      <w:bookmarkEnd w:id="252"/>
      <w:r/>
      <w:bookmarkEnd w:id="253"/>
      <w:r/>
      <w:bookmarkEnd w:id="254"/>
      <w:r/>
      <w:bookmarkEnd w:id="255"/>
      <w:r/>
      <w:bookmarkStart w:id="257" w:name="_Hlt164229061"/>
      <w:r/>
      <w:bookmarkEnd w:id="257"/>
      <w:r>
        <w:rPr>
          <w:b/>
          <w:color w:val="000000"/>
          <w:sz w:val="36"/>
          <w:szCs w:val="36"/>
        </w:rPr>
        <w:t xml:space="preserve">评标程序、评标方法和评标标准</w:t>
      </w:r>
      <w:bookmarkEnd w:id="256"/>
      <w:r/>
      <w:r/>
    </w:p>
    <w:p>
      <w:pPr>
        <w:ind w:firstLine="2570"/>
        <w:jc w:val="left"/>
        <w:spacing w:line="360" w:lineRule="auto"/>
        <w:tabs>
          <w:tab w:val="left" w:pos="360" w:leader="none"/>
          <w:tab w:val="left" w:pos="900" w:leader="none"/>
        </w:tabs>
        <w:rPr>
          <w:b/>
          <w:color w:val="000000"/>
          <w:sz w:val="32"/>
          <w:szCs w:val="32"/>
        </w:rPr>
        <w:outlineLvl w:val="1"/>
      </w:pPr>
      <w:r>
        <w:rPr>
          <w:rFonts w:hint="eastAsia"/>
          <w:b/>
          <w:color w:val="000000"/>
          <w:sz w:val="32"/>
          <w:szCs w:val="32"/>
        </w:rPr>
        <w:t xml:space="preserve">第一节 符合性审查程序</w:t>
      </w:r>
      <w:r/>
    </w:p>
    <w:p>
      <w:pPr>
        <w:ind w:firstLine="480"/>
        <w:spacing w:line="360" w:lineRule="auto"/>
        <w:tabs>
          <w:tab w:val="left" w:pos="360" w:leader="none"/>
        </w:tabs>
        <w:rPr>
          <w:color w:val="000000"/>
          <w:sz w:val="24"/>
        </w:rPr>
        <w:outlineLvl w:val="1"/>
      </w:pPr>
      <w:r/>
      <w:bookmarkStart w:id="258" w:name="_Toc353873941"/>
      <w:r/>
      <w:bookmarkStart w:id="259" w:name="_Toc353825551"/>
      <w:r>
        <w:rPr>
          <w:rFonts w:ascii="Symbol" w:hAnsi="Symbol" w:cs="Symbol"/>
          <w:color w:val="000000"/>
          <w:sz w:val="24"/>
        </w:rPr>
        <w:t xml:space="preserve">一、</w:t>
      </w:r>
      <w:r>
        <w:rPr>
          <w:color w:val="000000"/>
          <w:sz w:val="24"/>
        </w:rPr>
        <w:t xml:space="preserve">评标委员会对资格审查合格的投标人的投标文件进行符合性审查，以确定其是否满足招标文件的实质性要求。</w:t>
      </w:r>
      <w:bookmarkStart w:id="260" w:name="_Toc520356167"/>
      <w:r/>
      <w:r/>
    </w:p>
    <w:p>
      <w:pPr>
        <w:ind w:firstLine="480"/>
        <w:spacing w:line="360" w:lineRule="auto"/>
        <w:tabs>
          <w:tab w:val="left" w:pos="1080" w:leader="none"/>
        </w:tabs>
        <w:rPr>
          <w:color w:val="000000"/>
          <w:sz w:val="24"/>
        </w:rPr>
      </w:pPr>
      <w:r>
        <w:rPr>
          <w:rFonts w:ascii="Symbol" w:hAnsi="Symbol" w:cs="Symbol"/>
          <w:color w:val="000000"/>
          <w:sz w:val="24"/>
        </w:rPr>
        <w:t xml:space="preserve">二、</w:t>
      </w:r>
      <w:r>
        <w:rPr>
          <w:color w:val="000000"/>
          <w:sz w:val="24"/>
        </w:rPr>
        <w:t xml:space="preserve">评标委员会根据《符合性审查</w:t>
      </w:r>
      <w:r>
        <w:rPr>
          <w:rFonts w:hint="eastAsia"/>
          <w:color w:val="000000"/>
          <w:sz w:val="24"/>
        </w:rPr>
        <w:t xml:space="preserve">要求</w:t>
      </w:r>
      <w:r>
        <w:rPr>
          <w:color w:val="000000"/>
          <w:sz w:val="24"/>
        </w:rPr>
        <w:t xml:space="preserve">》中规定的审查因素和审查内容，对投标人的投标文件是否实质上响应招标文件进行符合性审查，并形成符合性审查评审结果。</w:t>
      </w:r>
      <w:r>
        <w:rPr>
          <w:rFonts w:hint="eastAsia"/>
          <w:color w:val="000000"/>
          <w:sz w:val="24"/>
        </w:rPr>
        <w:t xml:space="preserve">投标文件不符合《</w:t>
      </w:r>
      <w:r>
        <w:rPr>
          <w:color w:val="000000"/>
          <w:sz w:val="24"/>
        </w:rPr>
        <w:t xml:space="preserve">符合性审查</w:t>
      </w:r>
      <w:r>
        <w:rPr>
          <w:rFonts w:hint="eastAsia"/>
          <w:color w:val="000000"/>
          <w:sz w:val="24"/>
        </w:rPr>
        <w:t xml:space="preserve">要求》</w:t>
      </w:r>
      <w:bookmarkEnd w:id="260"/>
      <w:r>
        <w:rPr>
          <w:rFonts w:hint="eastAsia"/>
          <w:color w:val="000000"/>
          <w:sz w:val="24"/>
        </w:rPr>
        <w:t xml:space="preserve">的，投标无效。</w:t>
      </w:r>
      <w:r/>
    </w:p>
    <w:p>
      <w:pPr>
        <w:ind w:firstLine="2249"/>
        <w:spacing w:line="360" w:lineRule="auto"/>
        <w:tabs>
          <w:tab w:val="left" w:pos="900" w:leader="none"/>
          <w:tab w:val="left" w:pos="1080" w:leader="none"/>
          <w:tab w:val="left" w:pos="1589" w:leader="none"/>
        </w:tabs>
        <w:rPr>
          <w:b/>
          <w:color w:val="000000"/>
          <w:sz w:val="32"/>
          <w:szCs w:val="32"/>
        </w:rPr>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符合性审查及评审</w:t>
      </w:r>
      <w:r>
        <w:rPr>
          <w:rFonts w:hint="eastAsia"/>
          <w:b/>
          <w:color w:val="000000"/>
          <w:sz w:val="32"/>
          <w:szCs w:val="32"/>
        </w:rPr>
        <w:t xml:space="preserve">要求</w:t>
      </w:r>
      <w:r/>
    </w:p>
    <w:p>
      <w:pPr>
        <w:pStyle w:val="853"/>
        <w:ind w:firstLine="602"/>
        <w:rPr>
          <w:rFonts w:hint="eastAsia"/>
        </w:rPr>
      </w:pPr>
      <w:r>
        <w:rPr>
          <w:b/>
          <w:sz w:val="30"/>
          <w:szCs w:val="30"/>
        </w:rPr>
        <w:t xml:space="preserve">一、符合性审查要求</w:t>
      </w:r>
      <w:r/>
    </w:p>
    <w:tbl>
      <w:tblPr>
        <w:tblStyle w:val="737"/>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481" w:type="dxa"/>
            <w:vAlign w:val="center"/>
            <w:textDirection w:val="lrTb"/>
            <w:noWrap w:val="false"/>
          </w:tcPr>
          <w:p>
            <w:pPr>
              <w:jc w:val="center"/>
              <w:widowControl/>
              <w:rPr>
                <w:b/>
                <w:color w:val="000000"/>
                <w:sz w:val="24"/>
              </w:rPr>
            </w:pPr>
            <w:r>
              <w:rPr>
                <w:b/>
                <w:color w:val="000000"/>
                <w:sz w:val="24"/>
              </w:rPr>
              <w:t xml:space="preserve">序号</w:t>
            </w:r>
            <w:r/>
          </w:p>
        </w:tc>
        <w:tc>
          <w:tcPr>
            <w:tcW w:w="946" w:type="dxa"/>
            <w:vAlign w:val="center"/>
            <w:textDirection w:val="lrTb"/>
            <w:noWrap w:val="false"/>
          </w:tcPr>
          <w:p>
            <w:pPr>
              <w:jc w:val="center"/>
              <w:widowControl/>
              <w:rPr>
                <w:b/>
                <w:color w:val="000000"/>
                <w:sz w:val="24"/>
              </w:rPr>
            </w:pPr>
            <w:r>
              <w:rPr>
                <w:b/>
                <w:color w:val="000000"/>
                <w:sz w:val="24"/>
              </w:rPr>
              <w:t xml:space="preserve">审查因素</w:t>
            </w:r>
            <w:r/>
          </w:p>
        </w:tc>
        <w:tc>
          <w:tcPr>
            <w:tcW w:w="2403" w:type="dxa"/>
            <w:vAlign w:val="center"/>
            <w:textDirection w:val="lrTb"/>
            <w:noWrap w:val="false"/>
          </w:tcPr>
          <w:p>
            <w:pPr>
              <w:jc w:val="center"/>
              <w:widowControl/>
              <w:rPr>
                <w:b/>
                <w:color w:val="000000"/>
                <w:sz w:val="24"/>
              </w:rPr>
            </w:pPr>
            <w:r>
              <w:rPr>
                <w:b/>
                <w:color w:val="000000"/>
                <w:sz w:val="24"/>
              </w:rPr>
              <w:t xml:space="preserve">审查内容</w:t>
            </w:r>
            <w:r/>
          </w:p>
        </w:tc>
        <w:tc>
          <w:tcPr>
            <w:tcW w:w="1168" w:type="dxa"/>
            <w:vAlign w:val="center"/>
            <w:textDirection w:val="lrTb"/>
            <w:noWrap w:val="false"/>
          </w:tcPr>
          <w:p>
            <w:pPr>
              <w:jc w:val="center"/>
              <w:widowControl/>
              <w:rPr>
                <w:b/>
                <w:color w:val="000000"/>
                <w:sz w:val="24"/>
              </w:rPr>
            </w:pPr>
            <w:r>
              <w:rPr>
                <w:rFonts w:hint="eastAsia"/>
                <w:b/>
                <w:color w:val="000000"/>
                <w:sz w:val="24"/>
              </w:rPr>
              <w:t xml:space="preserve">格式要求</w:t>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1</w:t>
            </w:r>
            <w:r/>
          </w:p>
        </w:tc>
        <w:tc>
          <w:tcPr>
            <w:tcW w:w="946" w:type="dxa"/>
            <w:vAlign w:val="center"/>
            <w:textDirection w:val="lrTb"/>
            <w:noWrap w:val="false"/>
          </w:tcPr>
          <w:p>
            <w:pPr>
              <w:jc w:val="left"/>
              <w:widowControl/>
              <w:rPr>
                <w:color w:val="000000"/>
                <w:sz w:val="24"/>
              </w:rPr>
            </w:pPr>
            <w:r>
              <w:rPr>
                <w:rFonts w:hint="eastAsia"/>
                <w:color w:val="000000"/>
                <w:sz w:val="24"/>
              </w:rPr>
              <w:t xml:space="preserve">投标函</w:t>
            </w:r>
            <w:r/>
          </w:p>
        </w:tc>
        <w:tc>
          <w:tcPr>
            <w:tcW w:w="2403" w:type="dxa"/>
            <w:vAlign w:val="center"/>
            <w:textDirection w:val="lrTb"/>
            <w:noWrap w:val="false"/>
          </w:tcPr>
          <w:p>
            <w:pPr>
              <w:jc w:val="left"/>
              <w:widowControl/>
              <w:rPr>
                <w:color w:val="000000"/>
                <w:sz w:val="24"/>
              </w:rPr>
            </w:pPr>
            <w:r>
              <w:rPr>
                <w:rFonts w:hint="eastAsia"/>
                <w:color w:val="000000"/>
                <w:sz w:val="24"/>
              </w:rPr>
              <w:t xml:space="preserve">投标函</w:t>
            </w:r>
            <w:r>
              <w:rPr>
                <w:color w:val="000000"/>
                <w:sz w:val="24"/>
              </w:rPr>
              <w:t xml:space="preserve">；</w:t>
            </w:r>
            <w:r/>
          </w:p>
        </w:tc>
        <w:tc>
          <w:tcPr>
            <w:tcW w:w="1168" w:type="dxa"/>
            <w:vAlign w:val="center"/>
            <w:textDirection w:val="lrTb"/>
            <w:noWrap w:val="false"/>
          </w:tcPr>
          <w:p>
            <w:pPr>
              <w:jc w:val="left"/>
              <w:widowControl/>
              <w:rPr>
                <w:color w:val="000000"/>
                <w:sz w:val="24"/>
              </w:rPr>
            </w:pPr>
            <w:r>
              <w:rPr>
                <w:color w:val="000000"/>
                <w:sz w:val="24"/>
              </w:rPr>
              <w:t xml:space="preserve">格式见《投标文件格式》</w:t>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2</w:t>
            </w:r>
            <w:r/>
          </w:p>
        </w:tc>
        <w:tc>
          <w:tcPr>
            <w:tcW w:w="946" w:type="dxa"/>
            <w:vAlign w:val="center"/>
            <w:textDirection w:val="lrTb"/>
            <w:noWrap w:val="false"/>
          </w:tcPr>
          <w:p>
            <w:pPr>
              <w:jc w:val="left"/>
              <w:widowControl/>
              <w:rPr>
                <w:color w:val="000000"/>
                <w:sz w:val="24"/>
              </w:rPr>
            </w:pPr>
            <w:r>
              <w:rPr>
                <w:color w:val="000000"/>
                <w:sz w:val="24"/>
              </w:rPr>
              <w:t xml:space="preserve">投标完整性</w:t>
            </w:r>
            <w:r/>
          </w:p>
        </w:tc>
        <w:tc>
          <w:tcPr>
            <w:tcW w:w="2403" w:type="dxa"/>
            <w:vAlign w:val="center"/>
            <w:textDirection w:val="lrTb"/>
            <w:noWrap w:val="false"/>
          </w:tcPr>
          <w:p>
            <w:pPr>
              <w:jc w:val="left"/>
              <w:widowControl/>
              <w:rPr>
                <w:color w:val="000000"/>
                <w:sz w:val="24"/>
              </w:rPr>
            </w:pPr>
            <w:r>
              <w:rPr>
                <w:rFonts w:hint="eastAsia"/>
                <w:color w:val="000000"/>
                <w:sz w:val="24"/>
              </w:rPr>
              <w:t xml:space="preserve">报价明细表未有缺项、漏项；</w:t>
            </w:r>
            <w:r/>
          </w:p>
        </w:tc>
        <w:tc>
          <w:tcPr>
            <w:tcW w:w="1168" w:type="dxa"/>
            <w:vAlign w:val="center"/>
            <w:textDirection w:val="lrTb"/>
            <w:noWrap w:val="false"/>
          </w:tcPr>
          <w:p>
            <w:pPr>
              <w:jc w:val="left"/>
              <w:widowControl/>
              <w:rPr>
                <w:color w:val="000000"/>
                <w:sz w:val="24"/>
              </w:rPr>
            </w:pPr>
            <w:r>
              <w:rPr>
                <w:color w:val="000000"/>
                <w:sz w:val="24"/>
              </w:rPr>
              <w:t xml:space="preserve">格式见《</w:t>
            </w:r>
            <w:r>
              <w:rPr>
                <w:rFonts w:hint="eastAsia"/>
                <w:color w:val="000000"/>
                <w:sz w:val="24"/>
              </w:rPr>
              <w:t xml:space="preserve">报价</w:t>
            </w:r>
            <w:r>
              <w:rPr>
                <w:color w:val="000000"/>
                <w:sz w:val="24"/>
              </w:rPr>
              <w:t xml:space="preserve">明细表》</w:t>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3</w:t>
            </w:r>
            <w:r/>
          </w:p>
        </w:tc>
        <w:tc>
          <w:tcPr>
            <w:tcW w:w="946" w:type="dxa"/>
            <w:vAlign w:val="center"/>
            <w:textDirection w:val="lrTb"/>
            <w:noWrap w:val="false"/>
          </w:tcPr>
          <w:p>
            <w:pPr>
              <w:jc w:val="left"/>
              <w:widowControl/>
              <w:rPr>
                <w:color w:val="000000"/>
                <w:sz w:val="24"/>
              </w:rPr>
            </w:pPr>
            <w:r>
              <w:rPr>
                <w:color w:val="000000"/>
                <w:sz w:val="24"/>
              </w:rPr>
              <w:t xml:space="preserve">投标报价</w:t>
            </w:r>
            <w:r/>
          </w:p>
        </w:tc>
        <w:tc>
          <w:tcPr>
            <w:tcW w:w="2403" w:type="dxa"/>
            <w:vAlign w:val="center"/>
            <w:textDirection w:val="lrTb"/>
            <w:noWrap w:val="false"/>
          </w:tcPr>
          <w:p>
            <w:pPr>
              <w:jc w:val="left"/>
              <w:widowControl/>
              <w:rPr>
                <w:color w:val="000000"/>
                <w:sz w:val="24"/>
              </w:rPr>
            </w:pPr>
            <w:r>
              <w:rPr>
                <w:rFonts w:hint="eastAsia"/>
                <w:color w:val="000000"/>
                <w:sz w:val="24"/>
              </w:rPr>
              <w:t xml:space="preserve">投标报价未超过最高限价（总价最高限价及单价最高限价）或预算价的</w:t>
            </w:r>
            <w:r>
              <w:rPr>
                <w:color w:val="000000"/>
                <w:sz w:val="24"/>
              </w:rPr>
              <w:t xml:space="preserve">；</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4</w:t>
            </w:r>
            <w:r/>
          </w:p>
        </w:tc>
        <w:tc>
          <w:tcPr>
            <w:tcW w:w="946" w:type="dxa"/>
            <w:vAlign w:val="center"/>
            <w:textDirection w:val="lrTb"/>
            <w:noWrap w:val="false"/>
          </w:tcPr>
          <w:p>
            <w:pPr>
              <w:jc w:val="left"/>
              <w:widowControl/>
              <w:rPr>
                <w:color w:val="000000"/>
                <w:sz w:val="24"/>
              </w:rPr>
            </w:pPr>
            <w:r>
              <w:rPr>
                <w:color w:val="000000"/>
                <w:sz w:val="24"/>
              </w:rPr>
              <w:t xml:space="preserve">报价唯一性</w:t>
            </w:r>
            <w:r/>
          </w:p>
        </w:tc>
        <w:tc>
          <w:tcPr>
            <w:tcW w:w="2403" w:type="dxa"/>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未出现可选择性或可调整的报价（招标文件另有规定的除外）</w:t>
            </w:r>
            <w:r>
              <w:rPr>
                <w:color w:val="000000"/>
                <w:sz w:val="24"/>
              </w:rPr>
              <w:t xml:space="preserve">；</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5</w:t>
            </w:r>
            <w:r/>
          </w:p>
        </w:tc>
        <w:tc>
          <w:tcPr>
            <w:tcW w:w="946" w:type="dxa"/>
            <w:vAlign w:val="center"/>
            <w:textDirection w:val="lrTb"/>
            <w:noWrap w:val="false"/>
          </w:tcPr>
          <w:p>
            <w:pPr>
              <w:jc w:val="left"/>
              <w:widowControl/>
              <w:rPr>
                <w:color w:val="000000"/>
                <w:sz w:val="24"/>
              </w:rPr>
            </w:pPr>
            <w:r>
              <w:rPr>
                <w:color w:val="000000"/>
                <w:sz w:val="24"/>
              </w:rPr>
              <w:t xml:space="preserve">投标有效期</w:t>
            </w:r>
            <w:r/>
          </w:p>
        </w:tc>
        <w:tc>
          <w:tcPr>
            <w:tcW w:w="2403" w:type="dxa"/>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6</w:t>
            </w:r>
            <w:r/>
          </w:p>
        </w:tc>
        <w:tc>
          <w:tcPr>
            <w:tcW w:w="946" w:type="dxa"/>
            <w:vAlign w:val="center"/>
            <w:textDirection w:val="lrTb"/>
            <w:noWrap w:val="false"/>
          </w:tcPr>
          <w:p>
            <w:pPr>
              <w:jc w:val="left"/>
              <w:widowControl/>
              <w:rPr>
                <w:color w:val="000000"/>
                <w:sz w:val="24"/>
              </w:rPr>
            </w:pPr>
            <w:r>
              <w:rPr>
                <w:color w:val="000000"/>
                <w:sz w:val="24"/>
              </w:rPr>
              <w:t xml:space="preserve">签署、加盖公章</w:t>
            </w:r>
            <w:r/>
          </w:p>
        </w:tc>
        <w:tc>
          <w:tcPr>
            <w:tcW w:w="2403" w:type="dxa"/>
            <w:vAlign w:val="center"/>
            <w:textDirection w:val="lrTb"/>
            <w:noWrap w:val="false"/>
          </w:tcPr>
          <w:p>
            <w:pPr>
              <w:jc w:val="left"/>
              <w:widowControl/>
              <w:rPr>
                <w:color w:val="000000"/>
                <w:sz w:val="24"/>
              </w:rPr>
            </w:pPr>
            <w:r>
              <w:rPr>
                <w:color w:val="000000"/>
                <w:sz w:val="24"/>
              </w:rPr>
              <w:t xml:space="preserve">按照招标文件要求签署、加盖公章的；</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rFonts w:hint="eastAsia"/>
                <w:color w:val="000000"/>
                <w:sz w:val="24"/>
              </w:rPr>
              <w:t xml:space="preserve">7</w:t>
            </w:r>
            <w:r/>
          </w:p>
        </w:tc>
        <w:tc>
          <w:tcPr>
            <w:tcW w:w="946" w:type="dxa"/>
            <w:vAlign w:val="center"/>
            <w:textDirection w:val="lrTb"/>
            <w:noWrap w:val="false"/>
          </w:tcPr>
          <w:p>
            <w:pPr>
              <w:jc w:val="left"/>
              <w:widowControl/>
              <w:rPr>
                <w:color w:val="000000"/>
                <w:sz w:val="24"/>
              </w:rPr>
            </w:pPr>
            <w:r>
              <w:rPr>
                <w:rFonts w:hint="eastAsia"/>
                <w:color w:val="000000"/>
                <w:sz w:val="24"/>
              </w:rPr>
              <w:t xml:space="preserve">实质性格式</w:t>
            </w:r>
            <w:r/>
          </w:p>
        </w:tc>
        <w:tc>
          <w:tcPr>
            <w:tcW w:w="2403" w:type="dxa"/>
            <w:vAlign w:val="center"/>
            <w:textDirection w:val="lrTb"/>
            <w:noWrap w:val="false"/>
          </w:tcPr>
          <w:p>
            <w:pPr>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招标文件</w:t>
            </w:r>
            <w:r>
              <w:rPr>
                <w:rFonts w:hint="eastAsia"/>
                <w:color w:val="000000"/>
                <w:sz w:val="24"/>
              </w:rPr>
              <w:t xml:space="preserve">要求提供；</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8</w:t>
            </w:r>
            <w:r/>
          </w:p>
        </w:tc>
        <w:tc>
          <w:tcPr>
            <w:tcW w:w="946" w:type="dxa"/>
            <w:vAlign w:val="center"/>
            <w:textDirection w:val="lrTb"/>
            <w:noWrap w:val="false"/>
          </w:tcPr>
          <w:p>
            <w:pPr>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2403" w:type="dxa"/>
            <w:vAlign w:val="center"/>
            <w:textDirection w:val="lrTb"/>
            <w:noWrap w:val="false"/>
          </w:tcPr>
          <w:p>
            <w:pPr>
              <w:jc w:val="left"/>
              <w:widowControl/>
              <w:rPr>
                <w:color w:val="000000"/>
                <w:sz w:val="24"/>
              </w:rPr>
            </w:pPr>
            <w:r>
              <w:rPr>
                <w:color w:val="000000"/>
                <w:sz w:val="24"/>
              </w:rPr>
              <w:t xml:space="preserve">投标文件满足招标文件第五章《采购需求》中</w:t>
            </w:r>
            <w:r>
              <w:rPr>
                <w:rFonts w:ascii="Segoe UI Symbol" w:hAnsi="Segoe UI Symbol" w:cs="Segoe UI Symbol"/>
                <w:color w:val="000000"/>
                <w:sz w:val="24"/>
              </w:rPr>
              <w:t xml:space="preserve">★</w:t>
            </w:r>
            <w:r>
              <w:rPr>
                <w:color w:val="000000"/>
                <w:sz w:val="24"/>
              </w:rPr>
              <w:t xml:space="preserve">号条款要求的；</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9</w:t>
            </w:r>
            <w:r/>
          </w:p>
        </w:tc>
        <w:tc>
          <w:tcPr>
            <w:tcW w:w="946" w:type="dxa"/>
            <w:vAlign w:val="center"/>
            <w:textDirection w:val="lrTb"/>
            <w:noWrap w:val="false"/>
          </w:tcPr>
          <w:p>
            <w:pPr>
              <w:jc w:val="left"/>
              <w:widowControl/>
              <w:rPr>
                <w:color w:val="000000"/>
                <w:sz w:val="24"/>
              </w:rPr>
            </w:pPr>
            <w:r>
              <w:rPr>
                <w:color w:val="000000"/>
                <w:sz w:val="24"/>
              </w:rPr>
              <w:t xml:space="preserve">分包承担主体资质（如有）</w:t>
            </w:r>
            <w:r/>
          </w:p>
        </w:tc>
        <w:tc>
          <w:tcPr>
            <w:tcW w:w="2403" w:type="dxa"/>
            <w:vAlign w:val="center"/>
            <w:textDirection w:val="lrTb"/>
            <w:noWrap w:val="false"/>
          </w:tcPr>
          <w:p>
            <w:pPr>
              <w:jc w:val="left"/>
              <w:widowControl/>
              <w:rPr>
                <w:color w:val="000000"/>
                <w:sz w:val="24"/>
              </w:rPr>
            </w:pPr>
            <w:r>
              <w:rPr>
                <w:color w:val="000000"/>
                <w:sz w:val="24"/>
              </w:rPr>
              <w:t xml:space="preserve">分包承担主体具备《投标人须知资料表》载明的资质条件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10</w:t>
            </w:r>
            <w:r/>
          </w:p>
        </w:tc>
        <w:tc>
          <w:tcPr>
            <w:tcW w:w="946" w:type="dxa"/>
            <w:vAlign w:val="center"/>
            <w:textDirection w:val="lrTb"/>
            <w:noWrap w:val="false"/>
          </w:tcPr>
          <w:p>
            <w:pPr>
              <w:jc w:val="left"/>
              <w:widowControl/>
              <w:rPr>
                <w:color w:val="000000"/>
                <w:sz w:val="24"/>
              </w:rPr>
            </w:pPr>
            <w:r>
              <w:rPr>
                <w:color w:val="000000"/>
                <w:sz w:val="24"/>
              </w:rPr>
              <w:t xml:space="preserve">分包意向协议（如有）</w:t>
            </w:r>
            <w:r/>
          </w:p>
        </w:tc>
        <w:tc>
          <w:tcPr>
            <w:tcW w:w="2403" w:type="dxa"/>
            <w:vAlign w:val="center"/>
            <w:textDirection w:val="lrTb"/>
            <w:noWrap w:val="false"/>
          </w:tcPr>
          <w:p>
            <w:pPr>
              <w:jc w:val="left"/>
              <w:widowControl/>
              <w:rPr>
                <w:color w:val="000000"/>
                <w:sz w:val="24"/>
              </w:rPr>
            </w:pPr>
            <w:r>
              <w:rPr>
                <w:color w:val="000000"/>
                <w:sz w:val="24"/>
              </w:rPr>
              <w:t xml:space="preserve">按招标文件规定签订并提供分包意向协议原件的电子件的；</w:t>
            </w:r>
            <w:r>
              <w:rPr>
                <w:rFonts w:hint="eastAsia"/>
                <w:color w:val="000000"/>
                <w:sz w:val="24"/>
              </w:rPr>
              <w:t xml:space="preserve">（如有）</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11</w:t>
            </w:r>
            <w:r/>
          </w:p>
        </w:tc>
        <w:tc>
          <w:tcPr>
            <w:tcW w:w="946" w:type="dxa"/>
            <w:vAlign w:val="center"/>
            <w:textDirection w:val="lrTb"/>
            <w:noWrap w:val="false"/>
          </w:tcPr>
          <w:p>
            <w:pPr>
              <w:jc w:val="left"/>
              <w:widowControl/>
              <w:rPr>
                <w:color w:val="000000"/>
                <w:sz w:val="24"/>
              </w:rPr>
            </w:pPr>
            <w:r>
              <w:rPr>
                <w:color w:val="000000"/>
                <w:sz w:val="24"/>
              </w:rPr>
              <w:t xml:space="preserve">报价的修正（如有）</w:t>
            </w:r>
            <w:r/>
          </w:p>
        </w:tc>
        <w:tc>
          <w:tcPr>
            <w:tcW w:w="2403" w:type="dxa"/>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12</w:t>
            </w:r>
            <w:r/>
          </w:p>
        </w:tc>
        <w:tc>
          <w:tcPr>
            <w:tcW w:w="946" w:type="dxa"/>
            <w:vAlign w:val="center"/>
            <w:textDirection w:val="lrTb"/>
            <w:noWrap w:val="false"/>
          </w:tcPr>
          <w:p>
            <w:pPr>
              <w:jc w:val="left"/>
              <w:widowControl/>
              <w:rPr>
                <w:color w:val="000000"/>
                <w:sz w:val="24"/>
              </w:rPr>
            </w:pPr>
            <w:r>
              <w:rPr>
                <w:color w:val="000000"/>
                <w:sz w:val="24"/>
              </w:rPr>
              <w:t xml:space="preserve">报价合理性</w:t>
            </w:r>
            <w:r/>
          </w:p>
        </w:tc>
        <w:tc>
          <w:tcPr>
            <w:tcW w:w="2403" w:type="dxa"/>
            <w:vAlign w:val="center"/>
            <w:textDirection w:val="lrTb"/>
            <w:noWrap w:val="false"/>
          </w:tcPr>
          <w:p>
            <w:pPr>
              <w:ind w:firstLine="480"/>
              <w:jc w:val="left"/>
              <w:widowControl/>
              <w:rPr>
                <w:color w:val="000000"/>
                <w:sz w:val="24"/>
              </w:rPr>
            </w:pPr>
            <w:r>
              <w:rPr>
                <w:rFonts w:hint="eastAsia"/>
                <w:color w:val="000000"/>
                <w:sz w:val="24"/>
              </w:rPr>
              <w:t xml:space="preserve">根据财政部《关于推动解决政府采购异常低价问题的通知》财库〔2026〕2号文件之规定：当评审过程中出现下列情形之一的，评审委员会应当启 动异常低价投标（响应）审查程序： </w:t>
            </w:r>
            <w:r/>
          </w:p>
          <w:p>
            <w:pPr>
              <w:ind w:firstLine="480"/>
              <w:jc w:val="left"/>
              <w:widowControl/>
              <w:rPr>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1.投标（响应）报价低于全部通过符合性审查供应商投标（响应）报价平均值50%的，即投标（响应）报价&lt;全部通过符合性审查供应商投标（响应）报价平均值×50%；</w:t>
            </w:r>
            <w:r/>
          </w:p>
          <w:p>
            <w:pPr>
              <w:ind w:firstLine="480"/>
              <w:jc w:val="left"/>
              <w:widowControl/>
              <w:rPr>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w:t>
            </w:r>
            <w:r/>
          </w:p>
          <w:p>
            <w:pPr>
              <w:ind w:firstLine="480"/>
              <w:jc w:val="left"/>
              <w:widowControl/>
              <w:rPr>
                <w:color w:val="000000"/>
                <w:sz w:val="24"/>
              </w:rPr>
            </w:pPr>
            <w:r>
              <w:rPr>
                <w:rFonts w:hint="eastAsia"/>
                <w:color w:val="000000"/>
                <w:sz w:val="24"/>
              </w:rPr>
              <w:t xml:space="preserve">3.投标（响应）报价低于采购项目最高限价45%的，即投标（响应）报价&lt;采购项目最高限价×45%；</w:t>
            </w:r>
            <w:r/>
          </w:p>
          <w:p>
            <w:pPr>
              <w:ind w:firstLine="480"/>
              <w:jc w:val="left"/>
              <w:widowControl/>
              <w:rPr>
                <w:color w:val="000000"/>
                <w:sz w:val="24"/>
              </w:rPr>
            </w:pPr>
            <w:r>
              <w:rPr>
                <w:rFonts w:hint="eastAsia"/>
                <w:color w:val="000000"/>
                <w:sz w:val="24"/>
              </w:rPr>
              <w:t xml:space="preserve">4.评审委员会基于专业判断，认为供应商报价过低，有可能影响产品质量或者不能诚信履约的其他情形。</w:t>
            </w:r>
            <w:r/>
          </w:p>
          <w:p>
            <w:pPr>
              <w:ind w:firstLine="480"/>
              <w:jc w:val="left"/>
              <w:widowControl/>
              <w:rPr>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color w:val="000000"/>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13</w:t>
            </w:r>
            <w:r/>
          </w:p>
        </w:tc>
        <w:tc>
          <w:tcPr>
            <w:tcW w:w="946" w:type="dxa"/>
            <w:vAlign w:val="center"/>
            <w:textDirection w:val="lrTb"/>
            <w:noWrap w:val="false"/>
          </w:tcPr>
          <w:p>
            <w:pPr>
              <w:jc w:val="left"/>
              <w:widowControl/>
              <w:rPr>
                <w:color w:val="000000"/>
                <w:sz w:val="24"/>
              </w:rPr>
            </w:pPr>
            <w:r>
              <w:rPr>
                <w:color w:val="000000"/>
                <w:sz w:val="24"/>
              </w:rPr>
              <w:t xml:space="preserve">进口产品</w:t>
            </w:r>
            <w:r/>
          </w:p>
          <w:p>
            <w:pPr>
              <w:jc w:val="left"/>
              <w:widowControl/>
              <w:rPr>
                <w:color w:val="000000"/>
                <w:sz w:val="24"/>
              </w:rPr>
            </w:pPr>
            <w:r>
              <w:rPr>
                <w:color w:val="000000"/>
                <w:sz w:val="24"/>
              </w:rPr>
              <w:t xml:space="preserve">（如有）</w:t>
            </w:r>
            <w:r/>
          </w:p>
        </w:tc>
        <w:tc>
          <w:tcPr>
            <w:tcW w:w="2403" w:type="dxa"/>
            <w:vAlign w:val="center"/>
            <w:textDirection w:val="lrTb"/>
            <w:noWrap w:val="false"/>
          </w:tcPr>
          <w:p>
            <w:pPr>
              <w:jc w:val="left"/>
              <w:widowControl/>
              <w:rPr>
                <w:color w:val="000000"/>
                <w:sz w:val="24"/>
              </w:rPr>
            </w:pPr>
            <w:r>
              <w:rPr>
                <w:rFonts w:hint="eastAsia" w:ascii="宋体" w:hAnsi="宋体"/>
                <w:color w:val="000000"/>
                <w:sz w:val="24"/>
              </w:rPr>
              <w:t xml:space="preserve">招标文件</w:t>
            </w:r>
            <w:r>
              <w:rPr>
                <w:rFonts w:ascii="宋体" w:hAnsi="宋体"/>
                <w:color w:val="000000"/>
                <w:sz w:val="24"/>
              </w:rPr>
              <w:t xml:space="preserve">不接受进口产品投标</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投标人所投产品为非进口产品；</w:t>
            </w:r>
            <w:r/>
          </w:p>
        </w:tc>
        <w:tc>
          <w:tcPr>
            <w:tcW w:w="1168" w:type="dxa"/>
            <w:vAlign w:val="center"/>
            <w:textDirection w:val="lrTb"/>
            <w:noWrap w:val="false"/>
          </w:tcPr>
          <w:p>
            <w:pPr>
              <w:jc w:val="left"/>
              <w:widowControl/>
              <w:rPr>
                <w:rFonts w:hint="eastAsia" w:ascii="宋体" w:hAnsi="宋体"/>
                <w:color w:val="000000"/>
                <w:sz w:val="24"/>
              </w:rPr>
            </w:pPr>
            <w:r>
              <w:rPr>
                <w:rFonts w:hint="eastAsia" w:ascii="宋体" w:hAnsi="宋体"/>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14</w:t>
            </w:r>
            <w:r/>
          </w:p>
        </w:tc>
        <w:tc>
          <w:tcPr>
            <w:tcW w:w="946" w:type="dxa"/>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w:t>
            </w:r>
            <w:r/>
          </w:p>
        </w:tc>
        <w:tc>
          <w:tcPr>
            <w:tcW w:w="2403" w:type="dxa"/>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15</w:t>
            </w:r>
            <w:r/>
          </w:p>
        </w:tc>
        <w:tc>
          <w:tcPr>
            <w:tcW w:w="946" w:type="dxa"/>
            <w:vAlign w:val="center"/>
            <w:textDirection w:val="lrTb"/>
            <w:noWrap w:val="false"/>
          </w:tcPr>
          <w:p>
            <w:pPr>
              <w:jc w:val="left"/>
              <w:widowControl/>
              <w:rPr>
                <w:color w:val="000000"/>
                <w:sz w:val="24"/>
              </w:rPr>
            </w:pPr>
            <w:r>
              <w:rPr>
                <w:color w:val="000000"/>
                <w:sz w:val="24"/>
              </w:rPr>
              <w:t xml:space="preserve">公平竞争</w:t>
            </w:r>
            <w:r/>
          </w:p>
        </w:tc>
        <w:tc>
          <w:tcPr>
            <w:tcW w:w="2403" w:type="dxa"/>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16</w:t>
            </w:r>
            <w:r/>
          </w:p>
        </w:tc>
        <w:tc>
          <w:tcPr>
            <w:tcW w:w="946" w:type="dxa"/>
            <w:vAlign w:val="center"/>
            <w:textDirection w:val="lrTb"/>
            <w:noWrap w:val="false"/>
          </w:tcPr>
          <w:p>
            <w:pPr>
              <w:jc w:val="left"/>
              <w:widowControl/>
              <w:rPr>
                <w:color w:val="000000"/>
                <w:sz w:val="24"/>
              </w:rPr>
            </w:pPr>
            <w:r>
              <w:rPr>
                <w:color w:val="000000"/>
                <w:sz w:val="24"/>
              </w:rPr>
              <w:t xml:space="preserve">串通投标</w:t>
            </w:r>
            <w:r/>
          </w:p>
        </w:tc>
        <w:tc>
          <w:tcPr>
            <w:tcW w:w="2403" w:type="dxa"/>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rPr>
              <w:t xml:space="preserve">；</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color w:val="000000"/>
                <w:sz w:val="24"/>
              </w:rPr>
              <w:t xml:space="preserve">17</w:t>
            </w:r>
            <w:r/>
          </w:p>
        </w:tc>
        <w:tc>
          <w:tcPr>
            <w:tcW w:w="946" w:type="dxa"/>
            <w:vAlign w:val="center"/>
            <w:textDirection w:val="lrTb"/>
            <w:noWrap w:val="false"/>
          </w:tcPr>
          <w:p>
            <w:pPr>
              <w:jc w:val="left"/>
              <w:widowControl/>
              <w:rPr>
                <w:color w:val="000000"/>
                <w:sz w:val="24"/>
              </w:rPr>
            </w:pPr>
            <w:r>
              <w:rPr>
                <w:color w:val="000000"/>
                <w:sz w:val="24"/>
              </w:rPr>
              <w:t xml:space="preserve">附加条件</w:t>
            </w:r>
            <w:r/>
          </w:p>
        </w:tc>
        <w:tc>
          <w:tcPr>
            <w:tcW w:w="2403" w:type="dxa"/>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dxa"/>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46" w:type="dxa"/>
            <w:vAlign w:val="center"/>
            <w:textDirection w:val="lrTb"/>
            <w:noWrap w:val="false"/>
          </w:tcPr>
          <w:p>
            <w:pPr>
              <w:jc w:val="left"/>
              <w:widowControl/>
              <w:rPr>
                <w:color w:val="000000"/>
                <w:sz w:val="24"/>
              </w:rPr>
            </w:pPr>
            <w:r>
              <w:rPr>
                <w:color w:val="000000"/>
                <w:sz w:val="24"/>
              </w:rPr>
              <w:t xml:space="preserve">其他无效情形</w:t>
            </w:r>
            <w:r/>
          </w:p>
        </w:tc>
        <w:tc>
          <w:tcPr>
            <w:tcW w:w="2403" w:type="dxa"/>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c>
          <w:tcPr>
            <w:tcW w:w="1168" w:type="dxa"/>
            <w:vAlign w:val="center"/>
            <w:textDirection w:val="lrTb"/>
            <w:noWrap w:val="false"/>
          </w:tcPr>
          <w:p>
            <w:pPr>
              <w:jc w:val="left"/>
              <w:widowControl/>
              <w:rPr>
                <w:color w:val="000000"/>
                <w:sz w:val="24"/>
              </w:rPr>
            </w:pPr>
            <w:r>
              <w:rPr>
                <w:color w:val="000000"/>
                <w:sz w:val="24"/>
              </w:rPr>
            </w:r>
            <w:r/>
          </w:p>
        </w:tc>
      </w:tr>
    </w:tbl>
    <w:p>
      <w:pPr>
        <w:ind w:firstLine="602"/>
        <w:spacing w:line="360" w:lineRule="auto"/>
        <w:tabs>
          <w:tab w:val="left" w:pos="360" w:leader="none"/>
        </w:tabs>
        <w:rPr>
          <w:b/>
          <w:color w:val="000000"/>
          <w:sz w:val="30"/>
          <w:szCs w:val="30"/>
        </w:rPr>
        <w:outlineLvl w:val="1"/>
      </w:pPr>
      <w:r>
        <w:rPr>
          <w:rFonts w:hint="eastAsia"/>
          <w:b/>
          <w:color w:val="000000"/>
          <w:sz w:val="30"/>
          <w:szCs w:val="30"/>
        </w:rPr>
        <w:t xml:space="preserve">二、</w:t>
      </w:r>
      <w:r>
        <w:rPr>
          <w:b/>
          <w:color w:val="000000"/>
          <w:sz w:val="30"/>
          <w:szCs w:val="30"/>
        </w:rPr>
        <w:t xml:space="preserve">投标文件有关事项的澄清或者说明</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评标过程中，评标委员会将</w:t>
      </w:r>
      <w:r>
        <w:rPr>
          <w:rFonts w:hint="eastAsia"/>
          <w:color w:val="000000"/>
          <w:sz w:val="24"/>
        </w:rPr>
        <w:t xml:space="preserve">通过苏采云系统</w:t>
      </w:r>
      <w:r>
        <w:rPr>
          <w:color w:val="000000"/>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rPr>
        <w:t xml:space="preserve">电子</w:t>
      </w:r>
      <w:r>
        <w:rPr>
          <w:color w:val="000000"/>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投标报价须包含招标文件全部内容，如报价明细表有缺漏视为已含在其他各项报价中，将不对投标总价进行调整。评标委员会有权要求投标人在</w:t>
      </w:r>
      <w:r>
        <w:rPr>
          <w:rFonts w:hint="eastAsia"/>
          <w:color w:val="000000"/>
          <w:sz w:val="24"/>
        </w:rPr>
        <w:t xml:space="preserve">规定</w:t>
      </w:r>
      <w:r>
        <w:rPr>
          <w:color w:val="000000"/>
          <w:sz w:val="24"/>
        </w:rPr>
        <w:t xml:space="preserve">的时间内对此进行书面确认，投标人不确认的，视为将一个采购包中的内容拆开投标，其</w:t>
      </w:r>
      <w:r>
        <w:rPr>
          <w:b/>
          <w:color w:val="000000"/>
          <w:sz w:val="24"/>
        </w:rPr>
        <w:t xml:space="preserve">投标无效</w:t>
      </w:r>
      <w:r>
        <w:rPr>
          <w:color w:val="000000"/>
          <w:sz w:val="24"/>
        </w:rPr>
        <w:t xml:space="preserve">。</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w:t>
      </w:r>
      <w:r>
        <w:rPr>
          <w:rFonts w:hint="eastAsia" w:ascii="Symbol" w:hAnsi="Symbol" w:cs="Symbol"/>
          <w:color w:val="000000"/>
          <w:sz w:val="24"/>
        </w:rPr>
        <w:t xml:space="preserve">三</w:t>
      </w:r>
      <w:r>
        <w:rPr>
          <w:rFonts w:ascii="Symbol" w:hAnsi="Symbol" w:cs="Symbol"/>
          <w:color w:val="000000"/>
          <w:sz w:val="24"/>
        </w:rPr>
        <w:t xml:space="preserve">）</w:t>
      </w:r>
      <w:r>
        <w:rPr>
          <w:color w:val="000000"/>
          <w:sz w:val="24"/>
        </w:rPr>
        <w:t xml:space="preserve">投标文件报价出现前后不一致的，按照</w:t>
      </w:r>
      <w:r>
        <w:rPr>
          <w:rFonts w:hint="eastAsia"/>
          <w:color w:val="000000"/>
          <w:sz w:val="24"/>
        </w:rPr>
        <w:t xml:space="preserve">第二章2</w:t>
      </w:r>
      <w:r>
        <w:rPr>
          <w:color w:val="000000"/>
          <w:sz w:val="24"/>
        </w:rPr>
        <w:t xml:space="preserve">6</w:t>
      </w:r>
      <w:r>
        <w:rPr>
          <w:rFonts w:hint="eastAsia"/>
          <w:color w:val="000000"/>
          <w:sz w:val="24"/>
        </w:rPr>
        <w:t xml:space="preserve">.</w:t>
      </w:r>
      <w:r>
        <w:rPr>
          <w:color w:val="000000"/>
          <w:sz w:val="24"/>
        </w:rPr>
        <w:t xml:space="preserve">4</w:t>
      </w:r>
      <w:r>
        <w:rPr>
          <w:rFonts w:hint="eastAsia"/>
          <w:color w:val="000000"/>
          <w:sz w:val="24"/>
        </w:rPr>
        <w:t xml:space="preserve">之</w:t>
      </w:r>
      <w:r>
        <w:rPr>
          <w:color w:val="000000"/>
          <w:sz w:val="24"/>
        </w:rPr>
        <w:t xml:space="preserve">规定</w:t>
      </w:r>
      <w:r>
        <w:rPr>
          <w:rFonts w:hint="eastAsia"/>
          <w:color w:val="000000"/>
          <w:sz w:val="24"/>
        </w:rPr>
        <w:t xml:space="preserve">处理，</w:t>
      </w:r>
      <w:r>
        <w:rPr>
          <w:color w:val="000000"/>
          <w:sz w:val="24"/>
        </w:rPr>
        <w:t xml:space="preserve">修正后的报价经投标人书面确认后产生约束力，投标人不确认的，其</w:t>
      </w:r>
      <w:r>
        <w:rPr>
          <w:b/>
          <w:color w:val="000000"/>
          <w:sz w:val="24"/>
        </w:rPr>
        <w:t xml:space="preserve">投标无效</w:t>
      </w:r>
      <w:r>
        <w:rPr>
          <w:color w:val="000000"/>
          <w:sz w:val="24"/>
        </w:rPr>
        <w:t xml:space="preserve">。</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w:t>
      </w:r>
      <w:r>
        <w:rPr>
          <w:rFonts w:hint="eastAsia" w:ascii="Symbol" w:hAnsi="Symbol" w:cs="Symbol"/>
          <w:color w:val="000000"/>
          <w:sz w:val="24"/>
        </w:rPr>
        <w:t xml:space="preserve">四</w:t>
      </w:r>
      <w:r>
        <w:rPr>
          <w:rFonts w:ascii="Symbol" w:hAnsi="Symbol" w:cs="Symbol"/>
          <w:color w:val="000000"/>
          <w:sz w:val="24"/>
        </w:rPr>
        <w:t xml:space="preserve">）</w:t>
      </w:r>
      <w:r>
        <w:rPr>
          <w:color w:val="000000"/>
          <w:sz w:val="24"/>
        </w:rPr>
        <w:t xml:space="preserve">落实政府采购政策的价格调整</w:t>
      </w:r>
      <w:bookmarkStart w:id="261" w:name="_Hlk149904856"/>
      <w:r>
        <w:rPr>
          <w:rFonts w:hint="eastAsia"/>
          <w:color w:val="000000"/>
          <w:sz w:val="24"/>
        </w:rPr>
        <w:t xml:space="preserve">：详见第三节评标办法中的</w:t>
      </w:r>
      <w:r>
        <w:rPr>
          <w:rFonts w:hint="eastAsia" w:ascii="宋体" w:hAnsi="宋体"/>
          <w:b/>
          <w:color w:val="000000"/>
          <w:sz w:val="24"/>
        </w:rPr>
        <w:t xml:space="preserve">政府采购政策功能落实。</w:t>
      </w:r>
      <w:bookmarkEnd w:id="261"/>
      <w:r/>
      <w:r/>
    </w:p>
    <w:p>
      <w:pPr>
        <w:ind w:firstLine="602"/>
        <w:spacing w:line="360" w:lineRule="auto"/>
        <w:tabs>
          <w:tab w:val="left" w:pos="360" w:leader="none"/>
        </w:tabs>
        <w:rPr>
          <w:b/>
          <w:color w:val="000000"/>
          <w:sz w:val="30"/>
          <w:szCs w:val="30"/>
        </w:rPr>
        <w:outlineLvl w:val="1"/>
      </w:pPr>
      <w:r>
        <w:rPr>
          <w:rFonts w:hint="eastAsia"/>
          <w:b/>
          <w:color w:val="000000"/>
          <w:sz w:val="30"/>
          <w:szCs w:val="30"/>
        </w:rPr>
        <w:t xml:space="preserve">三、</w:t>
      </w:r>
      <w:r>
        <w:rPr>
          <w:b/>
          <w:color w:val="000000"/>
          <w:sz w:val="30"/>
          <w:szCs w:val="30"/>
        </w:rPr>
        <w:t xml:space="preserve">投标文件的比较和评价</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评标方法和评标标准</w:t>
      </w:r>
      <w:r/>
    </w:p>
    <w:p>
      <w:pPr>
        <w:ind w:firstLine="480"/>
        <w:jc w:val="left"/>
        <w:spacing w:line="360" w:lineRule="auto"/>
        <w:widowControl/>
        <w:rPr>
          <w:color w:val="000000"/>
          <w:sz w:val="24"/>
        </w:rPr>
      </w:pPr>
      <w:r>
        <w:rPr>
          <w:color w:val="000000"/>
          <w:sz w:val="24"/>
        </w:rPr>
        <w:t xml:space="preserve">1</w:t>
      </w:r>
      <w:r>
        <w:rPr>
          <w:rFonts w:hint="eastAsia"/>
          <w:color w:val="000000"/>
          <w:sz w:val="24"/>
        </w:rPr>
        <w:t xml:space="preserve">、</w:t>
      </w:r>
      <w:r>
        <w:rPr>
          <w:color w:val="000000"/>
          <w:sz w:val="24"/>
        </w:rPr>
        <w:t xml:space="preserve">本项目采用的评标方法详见《</w:t>
      </w:r>
      <w:r>
        <w:rPr>
          <w:rFonts w:hint="eastAsia"/>
          <w:color w:val="000000"/>
          <w:sz w:val="24"/>
        </w:rPr>
        <w:t xml:space="preserve">第三节 评标方法</w:t>
      </w:r>
      <w:r>
        <w:rPr>
          <w:color w:val="000000"/>
          <w:sz w:val="24"/>
        </w:rPr>
        <w:t xml:space="preserve">》</w:t>
      </w:r>
      <w:r>
        <w:rPr>
          <w:rFonts w:hint="eastAsia"/>
          <w:color w:val="000000"/>
          <w:sz w:val="24"/>
        </w:rPr>
        <w:t xml:space="preserve">，</w:t>
      </w:r>
      <w:r>
        <w:rPr>
          <w:color w:val="000000"/>
          <w:sz w:val="24"/>
        </w:rPr>
        <w:t xml:space="preserve">本项目采用的评标标准详见《</w:t>
      </w:r>
      <w:r>
        <w:rPr>
          <w:rFonts w:hint="eastAsia"/>
          <w:color w:val="000000"/>
          <w:sz w:val="24"/>
        </w:rPr>
        <w:t xml:space="preserve">第四节 评标标准</w:t>
      </w:r>
      <w:r>
        <w:rPr>
          <w:color w:val="000000"/>
          <w:sz w:val="24"/>
        </w:rPr>
        <w:t xml:space="preserve">》</w:t>
      </w:r>
      <w:r>
        <w:rPr>
          <w:rFonts w:hint="eastAsia"/>
          <w:color w:val="000000"/>
          <w:sz w:val="24"/>
        </w:rPr>
        <w:t xml:space="preserve">。</w:t>
      </w:r>
      <w:r/>
    </w:p>
    <w:p>
      <w:pPr>
        <w:ind w:firstLine="602"/>
        <w:spacing w:line="360" w:lineRule="auto"/>
        <w:tabs>
          <w:tab w:val="left" w:pos="360" w:leader="none"/>
        </w:tabs>
        <w:rPr>
          <w:b/>
          <w:color w:val="000000"/>
          <w:sz w:val="30"/>
          <w:szCs w:val="30"/>
        </w:rPr>
        <w:outlineLvl w:val="1"/>
      </w:pPr>
      <w:r>
        <w:rPr>
          <w:rFonts w:hint="eastAsia"/>
          <w:b/>
          <w:color w:val="000000"/>
          <w:sz w:val="30"/>
          <w:szCs w:val="30"/>
        </w:rPr>
        <w:t xml:space="preserve">四、</w:t>
      </w:r>
      <w:r>
        <w:rPr>
          <w:b/>
          <w:color w:val="000000"/>
          <w:sz w:val="30"/>
          <w:szCs w:val="30"/>
        </w:rPr>
        <w:t xml:space="preserve">确定</w:t>
      </w:r>
      <w:bookmarkStart w:id="262" w:name="_Toc264969236"/>
      <w:r/>
      <w:bookmarkStart w:id="263" w:name="_Toc305158814"/>
      <w:r/>
      <w:bookmarkStart w:id="264" w:name="_Toc226965819"/>
      <w:r/>
      <w:bookmarkStart w:id="265" w:name="_Toc305158888"/>
      <w:r/>
      <w:bookmarkStart w:id="266" w:name="_Toc142311048"/>
      <w:r/>
      <w:bookmarkStart w:id="267" w:name="_Toc127151546"/>
      <w:r/>
      <w:bookmarkStart w:id="268" w:name="_Toc151190173"/>
      <w:r/>
      <w:bookmarkStart w:id="269" w:name="_Toc164351640"/>
      <w:r/>
      <w:bookmarkStart w:id="270" w:name="_Toc164229241"/>
      <w:r/>
      <w:bookmarkStart w:id="271" w:name="_Toc151193716"/>
      <w:r/>
      <w:bookmarkStart w:id="272" w:name="_Toc150774751"/>
      <w:r/>
      <w:bookmarkStart w:id="273" w:name="_Toc226309790"/>
      <w:r/>
      <w:bookmarkStart w:id="274" w:name="_Toc226337242"/>
      <w:r/>
      <w:bookmarkStart w:id="275" w:name="_Toc127161460"/>
      <w:r/>
      <w:bookmarkStart w:id="276" w:name="_Toc226965736"/>
      <w:r/>
      <w:bookmarkStart w:id="277" w:name="_Toc164608660"/>
      <w:r/>
      <w:bookmarkStart w:id="278" w:name="_Toc265228384"/>
      <w:r/>
      <w:bookmarkStart w:id="279" w:name="_Toc149720839"/>
      <w:r/>
      <w:bookmarkStart w:id="280" w:name="_Toc164229387"/>
      <w:r/>
      <w:bookmarkStart w:id="281" w:name="_Ref467307010"/>
      <w:r/>
      <w:bookmarkStart w:id="282" w:name="_Toc150774646"/>
      <w:r/>
      <w:bookmarkStart w:id="283" w:name="_Toc164608815"/>
      <w:r/>
      <w:bookmarkStart w:id="284" w:name="_Toc151193644"/>
      <w:r/>
      <w:bookmarkStart w:id="285" w:name="_Toc151193788"/>
      <w:r/>
      <w:bookmarkStart w:id="286" w:name="_Toc151193860"/>
      <w:r/>
      <w:bookmarkStart w:id="287" w:name="_Toc520356170"/>
      <w:r/>
      <w:bookmarkStart w:id="288" w:name="_Toc150480784"/>
      <w:r/>
      <w:bookmarkStart w:id="289" w:name="_Toc151193934"/>
      <w:r/>
      <w:bookmarkStart w:id="290" w:name="_Toc127151747"/>
      <w:r/>
      <w:bookmarkStart w:id="291" w:name="_Toc150509297"/>
      <w:r/>
      <w:bookmarkStart w:id="292" w:name="_Toc195842911"/>
      <w:r>
        <w:rPr>
          <w:b/>
          <w:color w:val="000000"/>
          <w:sz w:val="30"/>
          <w:szCs w:val="30"/>
        </w:rPr>
        <w:t xml:space="preserve">中标候选人名单</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评标委员会要对评分汇总情况进行复核，特别是对排名第一的、报价最低的、投标或</w:t>
      </w:r>
      <w:r>
        <w:rPr>
          <w:rFonts w:hint="eastAsia"/>
          <w:color w:val="000000"/>
          <w:sz w:val="24"/>
        </w:rPr>
        <w:t xml:space="preserve">响应</w:t>
      </w:r>
      <w:r>
        <w:rPr>
          <w:color w:val="000000"/>
          <w:sz w:val="24"/>
        </w:rPr>
        <w:t xml:space="preserve">文件被认定为无效的情形进行重点复核。</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评标委员会将根据各投标人的评标排序，依次推荐本项目（</w:t>
      </w:r>
      <w:r>
        <w:rPr>
          <w:rFonts w:hint="eastAsia"/>
          <w:color w:val="000000"/>
          <w:sz w:val="24"/>
        </w:rPr>
        <w:t xml:space="preserve">各</w:t>
      </w:r>
      <w:r>
        <w:rPr>
          <w:color w:val="000000"/>
          <w:sz w:val="24"/>
        </w:rPr>
        <w:t xml:space="preserve">采购包）的中标候选人，起草并签署评标报告。本项目（</w:t>
      </w:r>
      <w:r>
        <w:rPr>
          <w:rFonts w:hint="eastAsia"/>
          <w:color w:val="000000"/>
          <w:sz w:val="24"/>
        </w:rPr>
        <w:t xml:space="preserve">各标段或</w:t>
      </w:r>
      <w:r>
        <w:rPr>
          <w:color w:val="000000"/>
          <w:sz w:val="24"/>
        </w:rPr>
        <w:t xml:space="preserve">采购包）评标委员会共（各）推荐</w:t>
      </w:r>
      <w:r>
        <w:rPr>
          <w:rFonts w:hint="eastAsia"/>
          <w:color w:val="000000"/>
          <w:sz w:val="24"/>
        </w:rPr>
        <w:t xml:space="preserve">不少于3</w:t>
      </w:r>
      <w:r>
        <w:rPr>
          <w:color w:val="000000"/>
          <w:sz w:val="24"/>
        </w:rPr>
        <w:t xml:space="preserve">名中标候选人。</w:t>
      </w:r>
      <w:r/>
    </w:p>
    <w:p>
      <w:pPr>
        <w:ind w:firstLine="602"/>
        <w:spacing w:line="360" w:lineRule="auto"/>
        <w:tabs>
          <w:tab w:val="left" w:pos="360" w:leader="none"/>
        </w:tabs>
        <w:rPr>
          <w:b/>
          <w:color w:val="000000"/>
          <w:sz w:val="30"/>
          <w:szCs w:val="30"/>
        </w:rPr>
        <w:outlineLvl w:val="1"/>
      </w:pPr>
      <w:r>
        <w:rPr>
          <w:rFonts w:hint="eastAsia"/>
          <w:b/>
          <w:color w:val="000000"/>
          <w:sz w:val="30"/>
          <w:szCs w:val="30"/>
        </w:rPr>
        <w:t xml:space="preserve">五、</w:t>
      </w:r>
      <w:r>
        <w:rPr>
          <w:b/>
          <w:color w:val="000000"/>
          <w:sz w:val="30"/>
          <w:szCs w:val="30"/>
        </w:rPr>
        <w:t xml:space="preserve">报告违法行为</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评标委员会在评标过程中发现投标人有行贿、提供虚假材料或者串通等违法行为时，有向采购人、采购代理机构或者有关部门报告的职责。</w:t>
      </w:r>
      <w:r/>
    </w:p>
    <w:p>
      <w:pPr>
        <w:ind w:firstLine="2891"/>
        <w:jc w:val="left"/>
        <w:spacing w:line="360" w:lineRule="auto"/>
        <w:widowControl/>
        <w:rPr>
          <w:rFonts w:hint="eastAsia" w:ascii="宋体" w:hAnsi="宋体"/>
          <w:b/>
          <w:bCs/>
          <w:color w:val="000000"/>
          <w:sz w:val="32"/>
          <w:szCs w:val="32"/>
        </w:rPr>
      </w:pPr>
      <w:r>
        <w:rPr>
          <w:rFonts w:hint="eastAsia" w:ascii="宋体" w:hAnsi="宋体"/>
          <w:b/>
          <w:bCs/>
          <w:color w:val="000000"/>
          <w:sz w:val="32"/>
          <w:szCs w:val="32"/>
        </w:rPr>
        <w:t xml:space="preserve">第三节 评标方法</w:t>
      </w:r>
      <w:r/>
    </w:p>
    <w:p>
      <w:pPr>
        <w:ind w:firstLine="480"/>
        <w:spacing w:line="360" w:lineRule="auto"/>
        <w:tabs>
          <w:tab w:val="left" w:pos="360" w:leader="none"/>
        </w:tabs>
        <w:rPr>
          <w:color w:val="000000"/>
          <w:sz w:val="24"/>
        </w:rPr>
        <w:outlineLvl w:val="1"/>
      </w:pPr>
      <w:r>
        <w:rPr>
          <w:rFonts w:hint="eastAsia"/>
          <w:color w:val="000000"/>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color w:val="000000"/>
          <w:sz w:val="24"/>
        </w:rPr>
        <w:outlineLvl w:val="1"/>
      </w:pPr>
      <w:r>
        <w:rPr>
          <w:rFonts w:hint="eastAsia"/>
          <w:color w:val="000000"/>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000000"/>
          <w:sz w:val="24"/>
        </w:rPr>
        <w:outlineLvl w:val="1"/>
      </w:pPr>
      <w:r>
        <w:rPr>
          <w:rFonts w:hint="eastAsia"/>
          <w:color w:val="000000"/>
          <w:sz w:val="24"/>
        </w:rPr>
        <w:t xml:space="preserve">三、每部分的得分保留小数点后两位，合计得分保留小数点后两位</w:t>
      </w:r>
      <w:r>
        <w:rPr>
          <w:color w:val="000000"/>
          <w:sz w:val="24"/>
        </w:rPr>
        <w:t xml:space="preserve">，第三位四舍五入</w:t>
      </w:r>
      <w:r>
        <w:rPr>
          <w:rFonts w:hint="eastAsia"/>
          <w:color w:val="000000"/>
          <w:sz w:val="24"/>
        </w:rPr>
        <w:t xml:space="preserve">。</w:t>
      </w:r>
      <w:r/>
    </w:p>
    <w:p>
      <w:pPr>
        <w:ind w:firstLine="441"/>
        <w:jc w:val="left"/>
        <w:spacing w:line="360" w:lineRule="auto"/>
        <w:rPr>
          <w:rFonts w:hint="eastAsia" w:ascii="宋体" w:hAnsi="宋体"/>
          <w:b/>
          <w:color w:val="000000"/>
          <w:sz w:val="24"/>
        </w:rPr>
      </w:pPr>
      <w:r/>
      <w:bookmarkStart w:id="293" w:name="_Hlk149904248"/>
      <w:r>
        <w:rPr>
          <w:rFonts w:hint="eastAsia" w:ascii="宋体" w:hAnsi="宋体"/>
          <w:b/>
          <w:color w:val="000000"/>
          <w:sz w:val="24"/>
        </w:rPr>
        <w:t xml:space="preserve">四、政府采购政策功能落实</w:t>
      </w:r>
      <w:r/>
    </w:p>
    <w:p>
      <w:pPr>
        <w:ind w:firstLine="480"/>
        <w:jc w:val="left"/>
        <w:spacing w:line="360" w:lineRule="auto"/>
        <w:rPr>
          <w:rFonts w:hint="eastAsia" w:ascii="宋体" w:hAnsi="宋体"/>
          <w:color w:val="000000"/>
          <w:sz w:val="24"/>
        </w:rPr>
      </w:pPr>
      <w:r/>
      <w:bookmarkStart w:id="294" w:name="_Hlk152922042"/>
      <w:r>
        <w:rPr>
          <w:rFonts w:hint="eastAsia" w:ascii="宋体" w:hAnsi="宋体"/>
          <w:color w:val="000000"/>
          <w:sz w:val="24"/>
        </w:rPr>
        <w:t xml:space="preserve">1、小微型企业价格扣除</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（1）供应商需按照采购文件的要求提供相应的《中小企业声明函》。</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2、残疾人福利单位价格扣除</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（1）残疾人福利性单位视同小型、微型企业。</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（2）残疾人福利单位需按照采购文件的要求提供《残疾人福利性单位声明函》。</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3、监狱和戒毒企业价格扣除</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（1）监狱和戒毒企业（简称监狱企业）视同小型、微型企业。</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财库[2014]68号</w:t>
      </w:r>
      <w:r>
        <w:rPr>
          <w:rFonts w:hint="eastAsia" w:ascii="宋体" w:hAnsi="宋体"/>
          <w:color w:val="000000"/>
          <w:sz w:val="24"/>
        </w:rPr>
        <w:t xml:space="preserve">）。</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u w:val="single"/>
        </w:rPr>
        <w:t xml:space="preserve">4%</w:t>
      </w:r>
      <w:r>
        <w:rPr>
          <w:rFonts w:hint="eastAsia" w:ascii="宋体" w:hAnsi="宋体"/>
          <w:color w:val="000000"/>
          <w:sz w:val="24"/>
        </w:rPr>
        <w:t xml:space="preserve">的价格扣除，用扣除后的价格参与评审。</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hint="eastAsia" w:ascii="宋体" w:hAnsi="宋体"/>
          <w:color w:val="000000"/>
          <w:sz w:val="24"/>
          <w:u w:val="single"/>
        </w:rPr>
        <w:t xml:space="preserve">10%</w:t>
      </w:r>
      <w:r>
        <w:rPr>
          <w:rFonts w:hint="eastAsia" w:ascii="宋体" w:hAnsi="宋体"/>
          <w:color w:val="000000"/>
          <w:sz w:val="24"/>
        </w:rPr>
        <w:t xml:space="preserve">价格扣除，用扣除后的价格参与评审。</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7、政府采购中实施本国产品标准及相关政策：</w:t>
      </w:r>
      <w:bookmarkEnd w:id="293"/>
      <w:r/>
      <w:bookmarkEnd w:id="294"/>
      <w:r/>
      <w:r/>
    </w:p>
    <w:p>
      <w:pPr>
        <w:ind w:firstLine="480"/>
        <w:jc w:val="left"/>
        <w:spacing w:line="360" w:lineRule="auto"/>
        <w:rPr>
          <w:color w:val="000000"/>
          <w:sz w:val="24"/>
        </w:rPr>
      </w:pPr>
      <w:r>
        <w:rPr>
          <w:rFonts w:hint="eastAsia"/>
          <w:color w:val="000000"/>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68"/>
        <w:ind w:firstLine="420"/>
        <w:spacing w:before="0" w:beforeAutospacing="0" w:after="0" w:afterAutospacing="0" w:line="360" w:lineRule="auto"/>
        <w:shd w:val="clear" w:color="auto" w:fill="ffffff"/>
        <w:rPr>
          <w:rFonts w:ascii="Times New Roman" w:hAnsi="Times New Roman" w:cs="Times New Roman"/>
          <w:color w:val="000000"/>
        </w:rPr>
      </w:pPr>
      <w:r>
        <w:rPr>
          <w:rFonts w:hint="eastAsia" w:ascii="Times New Roman" w:hAnsi="Times New Roman" w:cs="Times New Roman"/>
          <w:color w:val="000000"/>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cs="Times New Roman"/>
          <w:color w:val="000000"/>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color w:val="000000"/>
          <w:sz w:val="24"/>
        </w:rPr>
      </w:pPr>
      <w:r>
        <w:rPr>
          <w:rFonts w:hint="eastAsia"/>
          <w:color w:val="000000"/>
          <w:sz w:val="24"/>
        </w:rPr>
        <w:t xml:space="preserve">7.3、供应商需按照招标文件的要求提供《关于符合本国产品标准的声明函》（以下简称《声明函》），如不提供将不享受本国产品价格评审优惠。</w:t>
      </w:r>
      <w:r/>
    </w:p>
    <w:p>
      <w:pPr>
        <w:ind w:firstLine="480"/>
        <w:jc w:val="left"/>
        <w:spacing w:line="360" w:lineRule="auto"/>
        <w:rPr>
          <w:color w:val="000000"/>
          <w:sz w:val="24"/>
        </w:rPr>
      </w:pPr>
      <w:r>
        <w:rPr>
          <w:rFonts w:hint="eastAsia"/>
          <w:color w:val="000000"/>
          <w:sz w:val="24"/>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olor w:val="000000"/>
          <w:sz w:val="24"/>
        </w:rPr>
      </w:pPr>
      <w:r>
        <w:rPr>
          <w:rFonts w:hint="eastAsia"/>
          <w:color w:val="000000"/>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853"/>
        <w:ind w:firstLine="2891"/>
        <w:spacing w:after="120"/>
        <w:rPr>
          <w:rFonts w:hint="eastAsia" w:ascii="宋体" w:hAnsi="宋体" w:cs="Times New Roman"/>
          <w:b/>
          <w:bCs/>
          <w:sz w:val="32"/>
          <w:szCs w:val="32"/>
        </w:rPr>
      </w:pPr>
      <w:r>
        <w:rPr>
          <w:rFonts w:hint="eastAsia" w:ascii="宋体" w:hAnsi="宋体" w:cs="Times New Roman"/>
          <w:b/>
          <w:bCs/>
          <w:sz w:val="32"/>
          <w:szCs w:val="32"/>
        </w:rPr>
        <w:br w:type="page" w:clear="all"/>
      </w:r>
      <w:r>
        <w:rPr>
          <w:rFonts w:hint="eastAsia" w:ascii="宋体" w:hAnsi="宋体" w:cs="Times New Roman"/>
          <w:b/>
          <w:bCs/>
          <w:sz w:val="32"/>
          <w:szCs w:val="32"/>
        </w:rPr>
        <w:t xml:space="preserve">第四节 评标标准</w:t>
      </w:r>
      <w:r/>
    </w:p>
    <w:tbl>
      <w:tblPr>
        <w:tblStyle w:val="737"/>
        <w:tblW w:w="94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73"/>
        <w:gridCol w:w="6237"/>
        <w:gridCol w:w="709"/>
        <w:gridCol w:w="1531"/>
      </w:tblGrid>
      <w:tr>
        <w:trPr>
          <w:jc w:val="center"/>
          <w:trHeight w:val="20"/>
        </w:trPr>
        <w:tc>
          <w:tcPr>
            <w:tcW w:w="973"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评审因素</w:t>
            </w:r>
            <w:r/>
          </w:p>
        </w:tc>
        <w:tc>
          <w:tcPr>
            <w:tcW w:w="6237"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评分细则</w:t>
            </w:r>
            <w:r/>
          </w:p>
        </w:tc>
        <w:tc>
          <w:tcPr>
            <w:tcW w:w="709"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分值（分）</w:t>
            </w:r>
            <w:r/>
          </w:p>
        </w:tc>
        <w:tc>
          <w:tcPr>
            <w:tcW w:w="1531"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提供材料要求及备注</w:t>
            </w:r>
            <w:r/>
          </w:p>
        </w:tc>
      </w:tr>
      <w:tr>
        <w:trPr>
          <w:jc w:val="center"/>
          <w:trHeight w:val="984"/>
        </w:trPr>
        <w:tc>
          <w:tcPr>
            <w:tcW w:w="973" w:type="dxa"/>
            <w:vAlign w:val="center"/>
            <w:textDirection w:val="lrTb"/>
            <w:noWrap w:val="false"/>
          </w:tcPr>
          <w:p>
            <w:pPr>
              <w:jc w:val="left"/>
              <w:spacing w:line="340" w:lineRule="exact"/>
              <w:rPr>
                <w:rFonts w:hint="eastAsia" w:ascii="宋体" w:hAnsi="宋体" w:cs="宋体"/>
                <w:szCs w:val="21"/>
              </w:rPr>
            </w:pPr>
            <w:r>
              <w:rPr>
                <w:rFonts w:hint="eastAsia" w:ascii="宋体" w:hAnsi="宋体" w:cs="宋体"/>
                <w:szCs w:val="21"/>
              </w:rPr>
              <w:t xml:space="preserve">价格分</w:t>
            </w:r>
            <w:r/>
          </w:p>
          <w:p>
            <w:pPr>
              <w:jc w:val="left"/>
              <w:spacing w:line="340" w:lineRule="exact"/>
              <w:rPr>
                <w:rFonts w:hint="eastAsia" w:ascii="宋体" w:hAnsi="宋体" w:cs="宋体"/>
                <w:szCs w:val="21"/>
              </w:rPr>
            </w:pPr>
            <w:r>
              <w:rPr>
                <w:rFonts w:hint="eastAsia" w:ascii="宋体" w:hAnsi="宋体" w:cs="宋体"/>
                <w:szCs w:val="21"/>
              </w:rPr>
              <w:t xml:space="preserve">（30分）</w:t>
            </w:r>
            <w:r/>
          </w:p>
        </w:tc>
        <w:tc>
          <w:tcPr>
            <w:tcW w:w="6237" w:type="dxa"/>
            <w:vAlign w:val="center"/>
            <w:textDirection w:val="lrTb"/>
            <w:noWrap w:val="false"/>
          </w:tcPr>
          <w:p>
            <w:pPr>
              <w:jc w:val="left"/>
              <w:spacing w:line="340" w:lineRule="exact"/>
              <w:rPr>
                <w:rFonts w:hint="eastAsia" w:ascii="宋体" w:hAnsi="宋体" w:cs="宋体"/>
                <w:szCs w:val="21"/>
              </w:rPr>
            </w:pPr>
            <w:r>
              <w:rPr>
                <w:rFonts w:hint="eastAsia" w:ascii="宋体" w:hAnsi="宋体" w:cs="宋体"/>
                <w:szCs w:val="21"/>
              </w:rPr>
              <w:t xml:space="preserve">1、用低价优先法计算，即满足招标文件要求且投标价格最低的投标报价为评标基准价，其价格分为满分。其他投标人的价格分统一按照下列公式计算： 投标报价得分=(评标基准价／投标报价)×30。</w:t>
            </w:r>
            <w:r/>
          </w:p>
        </w:tc>
        <w:tc>
          <w:tcPr>
            <w:tcW w:w="709" w:type="dxa"/>
            <w:vAlign w:val="center"/>
            <w:textDirection w:val="lrTb"/>
            <w:noWrap w:val="false"/>
          </w:tcPr>
          <w:p>
            <w:pPr>
              <w:ind w:firstLine="210"/>
              <w:jc w:val="left"/>
              <w:spacing w:line="340" w:lineRule="exact"/>
              <w:rPr>
                <w:rFonts w:hint="eastAsia" w:ascii="宋体" w:hAnsi="宋体" w:cs="宋体"/>
                <w:szCs w:val="21"/>
              </w:rPr>
            </w:pPr>
            <w:r>
              <w:rPr>
                <w:rFonts w:hint="eastAsia" w:ascii="宋体" w:hAnsi="宋体" w:cs="宋体"/>
                <w:szCs w:val="21"/>
              </w:rPr>
              <w:t xml:space="preserve">30</w:t>
            </w:r>
            <w:r/>
          </w:p>
        </w:tc>
        <w:tc>
          <w:tcPr>
            <w:tcW w:w="1531" w:type="dxa"/>
            <w:vAlign w:val="center"/>
            <w:textDirection w:val="lrTb"/>
            <w:noWrap w:val="false"/>
          </w:tcPr>
          <w:p>
            <w:pPr>
              <w:jc w:val="left"/>
              <w:spacing w:line="300" w:lineRule="exact"/>
              <w:widowControl/>
            </w:pPr>
            <w:r/>
            <w:r/>
          </w:p>
        </w:tc>
      </w:tr>
      <w:tr>
        <w:trPr>
          <w:cantSplit/>
          <w:jc w:val="center"/>
          <w:trHeight w:val="20"/>
        </w:trPr>
        <w:tc>
          <w:tcPr>
            <w:tcW w:w="973" w:type="dxa"/>
            <w:vAlign w:val="center"/>
            <w:vMerge w:val="restart"/>
            <w:textDirection w:val="lrTb"/>
            <w:noWrap w:val="false"/>
          </w:tcPr>
          <w:p>
            <w:pPr>
              <w:jc w:val="left"/>
              <w:spacing w:line="340" w:lineRule="exact"/>
              <w:rPr>
                <w:rFonts w:hint="eastAsia" w:ascii="宋体" w:hAnsi="宋体" w:cs="宋体"/>
                <w:szCs w:val="21"/>
              </w:rPr>
            </w:pPr>
            <w:r>
              <w:rPr>
                <w:rFonts w:hint="eastAsia" w:ascii="宋体" w:hAnsi="宋体" w:cs="宋体"/>
                <w:szCs w:val="21"/>
              </w:rPr>
              <w:t xml:space="preserve">主观分</w:t>
            </w:r>
            <w:r/>
          </w:p>
          <w:p>
            <w:pPr>
              <w:jc w:val="left"/>
              <w:spacing w:line="340" w:lineRule="exact"/>
              <w:rPr>
                <w:rFonts w:hint="eastAsia" w:ascii="宋体" w:hAnsi="宋体" w:cs="宋体"/>
                <w:szCs w:val="21"/>
              </w:rPr>
            </w:pPr>
            <w:r>
              <w:rPr>
                <w:rFonts w:hint="eastAsia" w:ascii="宋体" w:hAnsi="宋体" w:cs="宋体"/>
                <w:szCs w:val="21"/>
              </w:rPr>
              <w:t xml:space="preserve">（42分） </w:t>
            </w:r>
            <w:r/>
          </w:p>
        </w:tc>
        <w:tc>
          <w:tcPr>
            <w:tcW w:w="6237" w:type="dxa"/>
            <w:vAlign w:val="center"/>
            <w:textDirection w:val="lrTb"/>
            <w:noWrap w:val="false"/>
          </w:tcPr>
          <w:p>
            <w:pPr>
              <w:jc w:val="left"/>
              <w:spacing w:line="340" w:lineRule="exact"/>
              <w:rPr>
                <w:rFonts w:hint="eastAsia" w:ascii="宋体" w:hAnsi="宋体" w:cs="宋体"/>
                <w:szCs w:val="21"/>
              </w:rPr>
            </w:pPr>
            <w:r>
              <w:rPr>
                <w:rFonts w:hint="eastAsia" w:ascii="宋体" w:hAnsi="宋体" w:cs="宋体"/>
                <w:szCs w:val="21"/>
              </w:rPr>
              <w:t xml:space="preserve">2.1、针对投标人提供的维保服务实施方案及措施进行综合评审：</w:t>
            </w:r>
            <w:r/>
          </w:p>
          <w:p>
            <w:pPr>
              <w:jc w:val="left"/>
              <w:spacing w:line="340" w:lineRule="exact"/>
              <w:rPr>
                <w:rFonts w:hint="eastAsia" w:ascii="宋体" w:hAnsi="宋体" w:cs="宋体"/>
                <w:szCs w:val="21"/>
              </w:rPr>
            </w:pPr>
            <w:r>
              <w:rPr>
                <w:rFonts w:hint="eastAsia" w:ascii="宋体" w:hAnsi="宋体" w:cs="宋体"/>
                <w:szCs w:val="21"/>
              </w:rPr>
              <w:t xml:space="preserve">方案全面、详细，措施合理且操作性强得6分；方案较全面，措施较合理且相对可行的得4分；方案简单，措施不够明确且操作性一般的得2分；没有不得分。</w:t>
            </w:r>
            <w:r/>
          </w:p>
        </w:tc>
        <w:tc>
          <w:tcPr>
            <w:tcW w:w="709" w:type="dxa"/>
            <w:vAlign w:val="center"/>
            <w:textDirection w:val="lrTb"/>
            <w:noWrap w:val="false"/>
          </w:tcPr>
          <w:p>
            <w:pPr>
              <w:ind w:firstLine="210"/>
              <w:jc w:val="left"/>
              <w:spacing w:line="340" w:lineRule="exact"/>
              <w:rPr>
                <w:rFonts w:hint="eastAsia" w:ascii="宋体" w:hAnsi="宋体" w:cs="宋体"/>
                <w:szCs w:val="21"/>
              </w:rPr>
            </w:pPr>
            <w:r>
              <w:rPr>
                <w:rFonts w:hint="eastAsia" w:ascii="宋体" w:hAnsi="宋体" w:cs="宋体"/>
                <w:szCs w:val="21"/>
              </w:rPr>
              <w:t xml:space="preserve">6</w:t>
            </w:r>
            <w:r/>
          </w:p>
        </w:tc>
        <w:tc>
          <w:tcPr>
            <w:tcW w:w="1531" w:type="dxa"/>
            <w:vAlign w:val="center"/>
            <w:vMerge w:val="restart"/>
            <w:textDirection w:val="lrTb"/>
            <w:noWrap w:val="false"/>
          </w:tcPr>
          <w:p>
            <w:pPr>
              <w:jc w:val="left"/>
              <w:spacing w:line="300" w:lineRule="exact"/>
              <w:widowControl/>
            </w:pPr>
            <w:r>
              <w:rPr>
                <w:rFonts w:hint="eastAsia"/>
              </w:rPr>
              <w:t xml:space="preserve">评分项（2.1—2.8）属于暗标评审项，各供应商提供的文字内容、图片均不得出现供应商的名称及标志标记，否则暗标项均不得分。</w:t>
            </w:r>
            <w:r/>
          </w:p>
          <w:p>
            <w:pPr>
              <w:jc w:val="left"/>
              <w:spacing w:line="300" w:lineRule="exact"/>
              <w:widowControl/>
            </w:pPr>
            <w:r/>
            <w:r/>
          </w:p>
        </w:tc>
      </w:tr>
      <w:tr>
        <w:trPr>
          <w:cantSplit/>
          <w:jc w:val="center"/>
          <w:trHeight w:val="20"/>
        </w:trPr>
        <w:tc>
          <w:tcPr>
            <w:tcW w:w="973" w:type="dxa"/>
            <w:vAlign w:val="center"/>
            <w:vMerge w:val="continue"/>
            <w:textDirection w:val="lrTb"/>
            <w:noWrap w:val="false"/>
          </w:tcPr>
          <w:p>
            <w:pPr>
              <w:jc w:val="left"/>
              <w:spacing w:line="340" w:lineRule="exact"/>
              <w:rPr>
                <w:rFonts w:hint="eastAsia" w:ascii="宋体" w:hAnsi="宋体" w:cs="宋体"/>
                <w:szCs w:val="21"/>
              </w:rPr>
            </w:pPr>
            <w:r>
              <w:rPr>
                <w:rFonts w:hint="eastAsia" w:ascii="宋体" w:hAnsi="宋体" w:cs="宋体"/>
                <w:szCs w:val="21"/>
              </w:rPr>
            </w:r>
            <w:r/>
          </w:p>
        </w:tc>
        <w:tc>
          <w:tcPr>
            <w:tcW w:w="6237" w:type="dxa"/>
            <w:vAlign w:val="center"/>
            <w:textDirection w:val="lrTb"/>
            <w:noWrap w:val="false"/>
          </w:tcPr>
          <w:p>
            <w:pPr>
              <w:jc w:val="left"/>
              <w:spacing w:line="340" w:lineRule="exact"/>
              <w:rPr>
                <w:rFonts w:hint="eastAsia" w:ascii="宋体" w:hAnsi="宋体" w:cs="宋体"/>
                <w:szCs w:val="21"/>
              </w:rPr>
            </w:pPr>
            <w:r>
              <w:rPr>
                <w:rFonts w:hint="eastAsia" w:ascii="宋体" w:hAnsi="宋体" w:cs="宋体"/>
                <w:szCs w:val="21"/>
              </w:rPr>
              <w:t xml:space="preserve">2.2、针对投标人提供项目的维保服务点设置、人员车辆配置、服务时间响应等方案及相关保证措施进行综合评审：维保服务点设置、人员及车辆等配置全面详细，相关保证措施合理且操作性强得6分；维保服务点设置、人员及车辆等配置较全面，相关保证措施较合理且操作性相对可行的得4分；维保服务点设置、人员及车辆等配置一般，相关保证措施简单且操作性一般的得2分；没有不得分。</w:t>
            </w:r>
            <w:r/>
          </w:p>
        </w:tc>
        <w:tc>
          <w:tcPr>
            <w:tcW w:w="709" w:type="dxa"/>
            <w:vAlign w:val="center"/>
            <w:textDirection w:val="lrTb"/>
            <w:noWrap w:val="false"/>
          </w:tcPr>
          <w:p>
            <w:pPr>
              <w:ind w:firstLine="210"/>
              <w:jc w:val="left"/>
              <w:spacing w:line="340" w:lineRule="exact"/>
              <w:rPr>
                <w:rFonts w:hint="eastAsia" w:ascii="宋体" w:hAnsi="宋体" w:cs="宋体"/>
                <w:szCs w:val="21"/>
              </w:rPr>
            </w:pPr>
            <w:r>
              <w:rPr>
                <w:rFonts w:hint="eastAsia" w:ascii="宋体" w:hAnsi="宋体" w:cs="宋体"/>
                <w:szCs w:val="21"/>
              </w:rPr>
              <w:t xml:space="preserve">6</w:t>
            </w:r>
            <w:r/>
          </w:p>
        </w:tc>
        <w:tc>
          <w:tcPr>
            <w:tcW w:w="1531" w:type="dxa"/>
            <w:vAlign w:val="center"/>
            <w:vMerge w:val="continue"/>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r>
            <w:r/>
          </w:p>
        </w:tc>
      </w:tr>
      <w:tr>
        <w:trPr>
          <w:cantSplit/>
          <w:jc w:val="center"/>
          <w:trHeight w:val="20"/>
        </w:trPr>
        <w:tc>
          <w:tcPr>
            <w:tcW w:w="973"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W w:w="6237" w:type="dxa"/>
            <w:vAlign w:val="center"/>
            <w:textDirection w:val="lrTb"/>
            <w:noWrap w:val="false"/>
          </w:tcPr>
          <w:p>
            <w:pPr>
              <w:jc w:val="left"/>
              <w:spacing w:line="340" w:lineRule="exact"/>
              <w:rPr>
                <w:rFonts w:hint="eastAsia" w:ascii="宋体" w:hAnsi="宋体" w:cs="宋体"/>
                <w:szCs w:val="21"/>
              </w:rPr>
            </w:pPr>
            <w:r>
              <w:rPr>
                <w:rFonts w:hint="eastAsia" w:ascii="宋体" w:hAnsi="宋体" w:cs="宋体"/>
                <w:szCs w:val="21"/>
              </w:rPr>
              <w:t xml:space="preserve">2.3、针对投标人提供的维保服务重点难点保障措施和有效的解决方案进行综合评审：措施和方案考虑周全、切实可行的得5分；措施和方案比较周全和可行的得3分；措施和方案一般，缺乏可操作性的得1分；没有不得分。</w:t>
            </w:r>
            <w:r/>
          </w:p>
        </w:tc>
        <w:tc>
          <w:tcPr>
            <w:tcW w:w="709"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5</w:t>
            </w:r>
            <w:r/>
          </w:p>
        </w:tc>
        <w:tc>
          <w:tcPr>
            <w:tcW w:w="1531" w:type="dxa"/>
            <w:vAlign w:val="center"/>
            <w:vMerge w:val="continue"/>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r>
            <w:r/>
          </w:p>
        </w:tc>
      </w:tr>
      <w:tr>
        <w:trPr>
          <w:cantSplit/>
          <w:jc w:val="center"/>
          <w:trHeight w:val="20"/>
        </w:trPr>
        <w:tc>
          <w:tcPr>
            <w:tcW w:w="973"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W w:w="6237"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2.4、根据投标人针对本项目拟采取的质量、安全保障措施进行综合评审：</w:t>
            </w:r>
            <w:r>
              <w:rPr>
                <w:rFonts w:ascii="宋体" w:hAnsi="宋体" w:cs="宋体"/>
                <w:szCs w:val="21"/>
              </w:rPr>
              <w:t xml:space="preserve">质量、安全保障措施完善具体、可行性强，得</w:t>
            </w:r>
            <w:r>
              <w:rPr>
                <w:rFonts w:hint="eastAsia" w:ascii="宋体" w:hAnsi="宋体" w:cs="宋体"/>
                <w:szCs w:val="21"/>
              </w:rPr>
              <w:t xml:space="preserve">5</w:t>
            </w:r>
            <w:r>
              <w:rPr>
                <w:rFonts w:ascii="宋体" w:hAnsi="宋体" w:cs="宋体"/>
                <w:szCs w:val="21"/>
              </w:rPr>
              <w:t xml:space="preserve">分；质量、安全保障措施</w:t>
            </w:r>
            <w:r>
              <w:rPr>
                <w:rFonts w:hint="eastAsia" w:ascii="宋体" w:hAnsi="宋体" w:cs="宋体"/>
                <w:szCs w:val="21"/>
              </w:rPr>
              <w:t xml:space="preserve">较</w:t>
            </w:r>
            <w:r>
              <w:rPr>
                <w:rFonts w:ascii="宋体" w:hAnsi="宋体" w:cs="宋体"/>
                <w:szCs w:val="21"/>
              </w:rPr>
              <w:t xml:space="preserve">完善、可行性</w:t>
            </w:r>
            <w:r>
              <w:rPr>
                <w:rFonts w:hint="eastAsia" w:ascii="宋体" w:hAnsi="宋体" w:cs="宋体"/>
                <w:szCs w:val="21"/>
              </w:rPr>
              <w:t xml:space="preserve">较强</w:t>
            </w:r>
            <w:r>
              <w:rPr>
                <w:rFonts w:ascii="宋体" w:hAnsi="宋体" w:cs="宋体"/>
                <w:szCs w:val="21"/>
              </w:rPr>
              <w:t xml:space="preserve">，得</w:t>
            </w:r>
            <w:r>
              <w:rPr>
                <w:rFonts w:hint="eastAsia" w:ascii="宋体" w:hAnsi="宋体" w:cs="宋体"/>
                <w:szCs w:val="21"/>
              </w:rPr>
              <w:t xml:space="preserve">3</w:t>
            </w:r>
            <w:r>
              <w:rPr>
                <w:rFonts w:ascii="宋体" w:hAnsi="宋体" w:cs="宋体"/>
                <w:szCs w:val="21"/>
              </w:rPr>
              <w:t xml:space="preserve">分；质量、安全保障措施不够具体、可行性</w:t>
            </w:r>
            <w:r>
              <w:rPr>
                <w:rFonts w:hint="eastAsia" w:ascii="宋体" w:hAnsi="宋体" w:cs="宋体"/>
                <w:szCs w:val="21"/>
              </w:rPr>
              <w:t xml:space="preserve">一般</w:t>
            </w:r>
            <w:r>
              <w:rPr>
                <w:rFonts w:ascii="宋体" w:hAnsi="宋体" w:cs="宋体"/>
                <w:szCs w:val="21"/>
              </w:rPr>
              <w:t xml:space="preserve">，得</w:t>
            </w:r>
            <w:r>
              <w:rPr>
                <w:rFonts w:hint="eastAsia" w:ascii="宋体" w:hAnsi="宋体" w:cs="宋体"/>
                <w:szCs w:val="21"/>
              </w:rPr>
              <w:t xml:space="preserve">1</w:t>
            </w:r>
            <w:r>
              <w:rPr>
                <w:rFonts w:ascii="宋体" w:hAnsi="宋体" w:cs="宋体"/>
                <w:szCs w:val="21"/>
              </w:rPr>
              <w:t xml:space="preserve">分</w:t>
            </w:r>
            <w:r>
              <w:rPr>
                <w:rFonts w:hint="eastAsia" w:ascii="宋体" w:hAnsi="宋体" w:cs="宋体"/>
                <w:szCs w:val="21"/>
              </w:rPr>
              <w:t xml:space="preserve">；没有不得分。</w:t>
            </w:r>
            <w:r/>
          </w:p>
        </w:tc>
        <w:tc>
          <w:tcPr>
            <w:tcW w:w="709"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5</w:t>
            </w:r>
            <w:r/>
          </w:p>
        </w:tc>
        <w:tc>
          <w:tcPr>
            <w:tcW w:w="1531" w:type="dxa"/>
            <w:vAlign w:val="center"/>
            <w:vMerge w:val="continue"/>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r>
            <w:r/>
          </w:p>
        </w:tc>
      </w:tr>
      <w:tr>
        <w:trPr>
          <w:cantSplit/>
          <w:jc w:val="center"/>
          <w:trHeight w:val="980"/>
        </w:trPr>
        <w:tc>
          <w:tcPr>
            <w:tcW w:w="973"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W w:w="6237"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2.5、投标人对机房现状及设备了解详细全面，对设备维护了解深入，得5分；投标人对机房现状了解较全面，对设备维护了解较深入，得3分；投标人对机房现状了解不够全面、对设备维护缺乏了解，得1分；没有不得分。</w:t>
            </w:r>
            <w:r/>
          </w:p>
        </w:tc>
        <w:tc>
          <w:tcPr>
            <w:tcW w:w="709"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5</w:t>
            </w:r>
            <w:r/>
          </w:p>
        </w:tc>
        <w:tc>
          <w:tcPr>
            <w:tcW w:w="1531" w:type="dxa"/>
            <w:vAlign w:val="center"/>
            <w:vMerge w:val="continue"/>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r>
            <w:r/>
          </w:p>
        </w:tc>
      </w:tr>
      <w:tr>
        <w:trPr>
          <w:cantSplit/>
          <w:jc w:val="center"/>
          <w:trHeight w:val="20"/>
        </w:trPr>
        <w:tc>
          <w:tcPr>
            <w:tcW w:w="973"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W w:w="6237"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2.6、前端点位供电线路的勘察方案：点位供电线路资料详细全面、内容清晰直观，对线路现状了解深入得5分;点位供电线路资料全面，内容简单直观，对线路现状基本了解得3分；点位供电线路资料不全面、内容简单，对线路维护了解有限得1分；没有不得分。</w:t>
            </w:r>
            <w:r/>
          </w:p>
        </w:tc>
        <w:tc>
          <w:tcPr>
            <w:tcW w:w="709"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5</w:t>
            </w:r>
            <w:r/>
          </w:p>
        </w:tc>
        <w:tc>
          <w:tcPr>
            <w:tcW w:w="1531" w:type="dxa"/>
            <w:vAlign w:val="center"/>
            <w:vMerge w:val="continue"/>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r>
            <w:r/>
          </w:p>
        </w:tc>
      </w:tr>
      <w:tr>
        <w:trPr>
          <w:cantSplit/>
          <w:jc w:val="center"/>
          <w:trHeight w:val="20"/>
        </w:trPr>
        <w:tc>
          <w:tcPr>
            <w:tcW w:w="973"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W w:w="6237"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2.7、前端点位杆件及机箱的勘察方案：前端点位杆件及机箱资料详细全面、内容清晰直观，对杆件点位现状了解深入得 5分；前端点位杆件及机箱资料比较全面，内容简单直观，对杆件点位现状基本了解得 3分；前端点位杆件及机箱资料不全面、内容简单，对杆件点位维护了解有限得1分；没有不得分。</w:t>
            </w:r>
            <w:r/>
          </w:p>
        </w:tc>
        <w:tc>
          <w:tcPr>
            <w:tcW w:w="709"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5</w:t>
            </w:r>
            <w:r/>
          </w:p>
        </w:tc>
        <w:tc>
          <w:tcPr>
            <w:tcW w:w="1531" w:type="dxa"/>
            <w:vAlign w:val="center"/>
            <w:vMerge w:val="continue"/>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r>
            <w:r/>
          </w:p>
        </w:tc>
      </w:tr>
      <w:tr>
        <w:trPr>
          <w:cantSplit/>
          <w:jc w:val="center"/>
          <w:trHeight w:val="20"/>
        </w:trPr>
        <w:tc>
          <w:tcPr>
            <w:tcW w:w="973"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W w:w="6237"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2.8、前端点位设备现状的勘察方案：点位设备资料详细全面、内容清晰直观，对设备维护了解深入得5分；点位设备资料详细全面、内容简单直观，设备维护有所了解得3分；点位设备现状资料不全面、内容简单，设备维护缺乏了解得1分；没有不得分。</w:t>
            </w:r>
            <w:r/>
          </w:p>
        </w:tc>
        <w:tc>
          <w:tcPr>
            <w:tcW w:w="709"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5</w:t>
            </w:r>
            <w:r/>
          </w:p>
        </w:tc>
        <w:tc>
          <w:tcPr>
            <w:tcW w:w="1531" w:type="dxa"/>
            <w:vAlign w:val="center"/>
            <w:vMerge w:val="continue"/>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r>
            <w:r/>
          </w:p>
        </w:tc>
      </w:tr>
      <w:tr>
        <w:trPr>
          <w:cantSplit/>
          <w:jc w:val="center"/>
          <w:trHeight w:val="20"/>
        </w:trPr>
        <w:tc>
          <w:tcPr>
            <w:tcW w:w="973" w:type="dxa"/>
            <w:vAlign w:val="center"/>
            <w:vMerge w:val="restart"/>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客观分</w:t>
            </w:r>
            <w:r/>
          </w:p>
          <w:p>
            <w:pPr>
              <w:jc w:val="center"/>
              <w:spacing w:line="300" w:lineRule="exact"/>
              <w:widowControl/>
              <w:rPr>
                <w:rFonts w:hint="eastAsia" w:ascii="宋体" w:hAnsi="宋体" w:cs="宋体"/>
                <w:szCs w:val="21"/>
              </w:rPr>
            </w:pPr>
            <w:r>
              <w:rPr>
                <w:rFonts w:hint="eastAsia" w:ascii="宋体" w:hAnsi="宋体" w:cs="宋体"/>
                <w:szCs w:val="21"/>
              </w:rPr>
              <w:t xml:space="preserve">（28分）</w:t>
            </w:r>
            <w:r/>
          </w:p>
        </w:tc>
        <w:tc>
          <w:tcPr>
            <w:tcW w:w="6237"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3.1、业绩要求：投标人提供自2023年7月1日以来承接过监控建设或维保的业绩，每提供一个合同得2分，最多得8分。</w:t>
            </w:r>
            <w:r/>
          </w:p>
        </w:tc>
        <w:tc>
          <w:tcPr>
            <w:tcW w:w="709"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8</w:t>
            </w:r>
            <w:r/>
          </w:p>
        </w:tc>
        <w:tc>
          <w:tcPr>
            <w:tcW w:w="153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提供业绩合同（时间以合同签订时间为准，并精确到年月日）</w:t>
            </w:r>
            <w:r/>
          </w:p>
        </w:tc>
      </w:tr>
      <w:tr>
        <w:trPr>
          <w:cantSplit/>
          <w:jc w:val="center"/>
          <w:trHeight w:val="20"/>
        </w:trPr>
        <w:tc>
          <w:tcPr>
            <w:tcW w:w="973"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W w:w="6237"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3.2、投标人具有有效的质量管理体系、职业健康安全管理体系、环境管理体系、业务连续性管理体系认证、隐私信息管理体系认证证书的，每提供一项证书得1分，最高得5分。</w:t>
            </w:r>
            <w:r/>
          </w:p>
        </w:tc>
        <w:tc>
          <w:tcPr>
            <w:tcW w:w="709"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5</w:t>
            </w:r>
            <w:r/>
          </w:p>
        </w:tc>
        <w:tc>
          <w:tcPr>
            <w:tcW w:w="153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提供证书（证书须在国家认监委网站查询状态为“有效”）。</w:t>
            </w:r>
            <w:r/>
          </w:p>
        </w:tc>
      </w:tr>
      <w:tr>
        <w:trPr>
          <w:cantSplit/>
          <w:jc w:val="center"/>
          <w:trHeight w:val="20"/>
        </w:trPr>
        <w:tc>
          <w:tcPr>
            <w:tcW w:w="973"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W w:w="6237"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3.3、投标人具有信息技术服务运行维护标准符合性证书（ITSS），二级及以上的得3分，三级得2分，四级得1分。</w:t>
            </w:r>
            <w:r/>
          </w:p>
        </w:tc>
        <w:tc>
          <w:tcPr>
            <w:tcW w:w="709" w:type="dxa"/>
            <w:vAlign w:val="center"/>
            <w:textDirection w:val="lrTb"/>
            <w:noWrap w:val="false"/>
          </w:tcPr>
          <w:p>
            <w:pPr>
              <w:jc w:val="center"/>
              <w:spacing w:line="300" w:lineRule="exact"/>
              <w:widowControl/>
            </w:pPr>
            <w:r>
              <w:rPr>
                <w:rFonts w:hint="eastAsia" w:ascii="宋体" w:hAnsi="宋体" w:cs="宋体"/>
                <w:szCs w:val="21"/>
              </w:rPr>
              <w:t xml:space="preserve">3</w:t>
            </w:r>
            <w:r/>
          </w:p>
        </w:tc>
        <w:tc>
          <w:tcPr>
            <w:tcW w:w="1531" w:type="dxa"/>
            <w:vAlign w:val="center"/>
            <w:textDirection w:val="lrTb"/>
            <w:noWrap w:val="false"/>
          </w:tcPr>
          <w:p>
            <w:pPr>
              <w:jc w:val="left"/>
              <w:spacing w:line="300" w:lineRule="exact"/>
              <w:widowControl/>
            </w:pPr>
            <w:r>
              <w:rPr>
                <w:rFonts w:hint="eastAsia"/>
              </w:rPr>
              <w:t xml:space="preserve">提供证书</w:t>
            </w:r>
            <w:r/>
          </w:p>
        </w:tc>
      </w:tr>
      <w:tr>
        <w:trPr>
          <w:cantSplit/>
          <w:jc w:val="center"/>
          <w:trHeight w:val="2100"/>
        </w:trPr>
        <w:tc>
          <w:tcPr>
            <w:tcW w:w="973"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W w:w="6237"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3.4、项目组成员：</w:t>
            </w:r>
            <w:r/>
          </w:p>
          <w:p>
            <w:pPr>
              <w:jc w:val="left"/>
              <w:spacing w:line="300" w:lineRule="exact"/>
              <w:widowControl/>
              <w:rPr>
                <w:rFonts w:hint="eastAsia" w:ascii="宋体" w:hAnsi="宋体" w:cs="宋体"/>
                <w:szCs w:val="21"/>
              </w:rPr>
            </w:pPr>
            <w:r>
              <w:rPr>
                <w:rFonts w:hint="eastAsia" w:ascii="宋体" w:hAnsi="宋体" w:cs="宋体"/>
                <w:szCs w:val="21"/>
              </w:rPr>
              <w:t xml:space="preserve">（1）具有一级建造师（机电类）资格证书的得4分，二级建造师（机电类）资格证书的得2分。本项限评1人，最高得4分；</w:t>
            </w:r>
            <w:r/>
          </w:p>
          <w:p>
            <w:pPr>
              <w:jc w:val="left"/>
              <w:spacing w:line="300" w:lineRule="exact"/>
              <w:widowControl/>
              <w:rPr>
                <w:rFonts w:hint="eastAsia" w:ascii="宋体" w:hAnsi="宋体" w:cs="宋体"/>
                <w:szCs w:val="21"/>
              </w:rPr>
            </w:pPr>
            <w:r>
              <w:rPr>
                <w:rFonts w:hint="eastAsia" w:ascii="宋体" w:hAnsi="宋体" w:cs="宋体"/>
                <w:szCs w:val="21"/>
              </w:rPr>
              <w:t xml:space="preserve">（2）具备电子信息工程师（高级）职称证书得2分，</w:t>
            </w:r>
            <w:r>
              <w:rPr>
                <w:rFonts w:hint="eastAsia" w:ascii="宋体" w:hAnsi="宋体" w:cs="宋体"/>
                <w:szCs w:val="21"/>
                <w:lang w:bidi="ar"/>
              </w:rPr>
              <w:t xml:space="preserve">具备电子信息工程师(中级)职称证书得1分。本项限评2人，</w:t>
            </w:r>
            <w:r>
              <w:rPr>
                <w:rFonts w:hint="eastAsia" w:ascii="宋体" w:hAnsi="宋体" w:cs="宋体"/>
                <w:szCs w:val="21"/>
              </w:rPr>
              <w:t xml:space="preserve">最高得4分；</w:t>
            </w:r>
            <w:r/>
          </w:p>
          <w:p>
            <w:pPr>
              <w:jc w:val="left"/>
              <w:spacing w:line="300" w:lineRule="exact"/>
              <w:widowControl/>
              <w:rPr>
                <w:rFonts w:hint="eastAsia" w:ascii="宋体" w:hAnsi="宋体" w:cs="宋体"/>
                <w:szCs w:val="21"/>
              </w:rPr>
            </w:pPr>
            <w:r>
              <w:rPr>
                <w:rFonts w:hint="eastAsia" w:ascii="宋体" w:hAnsi="宋体" w:cs="宋体"/>
                <w:szCs w:val="21"/>
              </w:rPr>
              <w:t xml:space="preserve">（3）具备信息安全专业人员证书（CISP），每有1人得2分，最高得4分。</w:t>
            </w:r>
            <w:r/>
          </w:p>
        </w:tc>
        <w:tc>
          <w:tcPr>
            <w:tcW w:w="70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12</w:t>
            </w:r>
            <w:r/>
          </w:p>
        </w:tc>
        <w:tc>
          <w:tcPr>
            <w:tcW w:w="153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1、提供人员证书、投标单位为其缴纳的2026年4月-2026年6月连续三个月的社保缴纳证明。</w:t>
            </w:r>
            <w:r/>
          </w:p>
        </w:tc>
      </w:tr>
    </w:tbl>
    <w:p>
      <w:pPr>
        <w:ind w:firstLine="482"/>
        <w:spacing w:before="120" w:line="360" w:lineRule="auto"/>
        <w:tabs>
          <w:tab w:val="left" w:pos="360" w:leader="none"/>
        </w:tabs>
        <w:rPr>
          <w:b/>
          <w:bCs/>
          <w:color w:val="000000"/>
          <w:sz w:val="24"/>
        </w:rPr>
        <w:outlineLvl w:val="1"/>
      </w:pPr>
      <w:r>
        <w:rPr>
          <w:rFonts w:hint="eastAsia"/>
          <w:b/>
          <w:bCs/>
          <w:color w:val="000000"/>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8"/>
      <w:r/>
      <w:bookmarkEnd w:id="259"/>
      <w:r/>
      <w:r/>
    </w:p>
    <w:p>
      <w:pPr>
        <w:jc w:val="center"/>
        <w:spacing w:line="360" w:lineRule="auto"/>
        <w:rPr>
          <w:color w:val="000000"/>
          <w:sz w:val="24"/>
        </w:rPr>
        <w:outlineLvl w:val="0"/>
      </w:pPr>
      <w:r>
        <w:rPr>
          <w:b/>
          <w:color w:val="000000"/>
          <w:sz w:val="36"/>
          <w:szCs w:val="36"/>
        </w:rPr>
        <w:br w:type="page" w:clear="all"/>
      </w:r>
      <w:r>
        <w:rPr>
          <w:b/>
          <w:color w:val="000000"/>
          <w:sz w:val="36"/>
          <w:szCs w:val="36"/>
        </w:rPr>
        <w:t xml:space="preserve">第五章   采购需求</w:t>
      </w:r>
      <w:bookmarkEnd w:id="101"/>
      <w:r/>
      <w:r/>
    </w:p>
    <w:p>
      <w:pPr>
        <w:contextualSpacing/>
        <w:ind w:firstLine="482"/>
        <w:spacing w:line="360" w:lineRule="auto"/>
        <w:rPr>
          <w:b/>
          <w:color w:val="000000"/>
          <w:sz w:val="24"/>
        </w:rPr>
      </w:pPr>
      <w:r/>
      <w:bookmarkStart w:id="295" w:name="_Toc99301425"/>
      <w:r>
        <w:rPr>
          <w:rFonts w:hint="eastAsia"/>
          <w:b/>
          <w:color w:val="000000"/>
          <w:sz w:val="24"/>
        </w:rPr>
        <w:t xml:space="preserve">一、项目概况</w:t>
      </w:r>
      <w:r/>
    </w:p>
    <w:p>
      <w:pPr>
        <w:ind w:firstLine="480"/>
        <w:spacing w:line="360" w:lineRule="auto"/>
        <w:rPr>
          <w:bCs/>
          <w:color w:val="000000"/>
          <w:sz w:val="24"/>
        </w:rPr>
      </w:pPr>
      <w:r>
        <w:rPr>
          <w:rFonts w:hint="eastAsia"/>
          <w:bCs/>
          <w:color w:val="000000"/>
          <w:sz w:val="24"/>
        </w:rPr>
        <w:t xml:space="preserve">（一）</w:t>
      </w:r>
      <w:r>
        <w:rPr>
          <w:bCs/>
          <w:color w:val="000000"/>
          <w:sz w:val="24"/>
        </w:rPr>
        <w:t xml:space="preserve"> 采购标的</w:t>
      </w:r>
      <w:r>
        <w:rPr>
          <w:rFonts w:hint="eastAsia"/>
          <w:bCs/>
          <w:color w:val="000000"/>
          <w:sz w:val="24"/>
        </w:rPr>
        <w:t xml:space="preserve">：2027年度</w:t>
      </w:r>
      <w:bookmarkStart w:id="296" w:name="_Hlk214001707"/>
      <w:r>
        <w:rPr>
          <w:rFonts w:hint="eastAsia"/>
          <w:bCs/>
          <w:color w:val="000000"/>
          <w:sz w:val="24"/>
        </w:rPr>
        <w:t xml:space="preserve">武进区升级版技防城前端高清监控和智能监控二期</w:t>
      </w:r>
      <w:bookmarkEnd w:id="296"/>
      <w:r>
        <w:rPr>
          <w:rFonts w:hint="eastAsia"/>
          <w:bCs/>
          <w:color w:val="000000"/>
          <w:sz w:val="24"/>
        </w:rPr>
        <w:t xml:space="preserve">维保服务</w:t>
      </w:r>
      <w:r/>
    </w:p>
    <w:p>
      <w:pPr>
        <w:ind w:firstLine="480"/>
        <w:spacing w:line="360" w:lineRule="auto"/>
        <w:rPr>
          <w:bCs/>
          <w:color w:val="000000"/>
          <w:sz w:val="24"/>
        </w:rPr>
      </w:pPr>
      <w:r>
        <w:rPr>
          <w:rFonts w:hint="eastAsia"/>
          <w:bCs/>
          <w:color w:val="000000"/>
          <w:sz w:val="24"/>
        </w:rPr>
        <w:t xml:space="preserve">（二）项目概况</w:t>
      </w:r>
      <w:r>
        <w:rPr>
          <w:bCs/>
          <w:color w:val="000000"/>
          <w:sz w:val="24"/>
        </w:rPr>
        <w:t xml:space="preserve"> </w:t>
      </w:r>
      <w:r/>
    </w:p>
    <w:p>
      <w:pPr>
        <w:ind w:firstLine="480"/>
        <w:spacing w:line="360" w:lineRule="auto"/>
        <w:rPr>
          <w:bCs/>
          <w:color w:val="000000"/>
          <w:sz w:val="24"/>
        </w:rPr>
      </w:pPr>
      <w:r>
        <w:rPr>
          <w:rFonts w:hint="eastAsia"/>
          <w:bCs/>
          <w:color w:val="000000"/>
          <w:sz w:val="24"/>
        </w:rPr>
        <w:t xml:space="preserve">1、武进升级版技防城高清监控和智能监控项目（二期），自2020年起建设，2021年竣工。目前项目5年质保维保期已满，需要对本项目运行在用的2799套视频监控点位及系统，包括2779套前端高清摄像机、以及配套的前端安装附件（杆件，设备箱等）、网络传输线路、传输设备、中心存储管理设备进行后续维保。</w:t>
      </w:r>
      <w:r/>
    </w:p>
    <w:p>
      <w:pPr>
        <w:ind w:firstLine="480"/>
        <w:spacing w:line="360" w:lineRule="auto"/>
        <w:rPr>
          <w:bCs/>
          <w:color w:val="000000"/>
          <w:sz w:val="24"/>
        </w:rPr>
      </w:pPr>
      <w:r>
        <w:rPr>
          <w:rFonts w:hint="eastAsia"/>
          <w:bCs/>
          <w:color w:val="000000"/>
          <w:sz w:val="24"/>
        </w:rPr>
        <w:t xml:space="preserve">2、本项目的专线光纤链路、中心设备机房及乡镇节点机房为租赁模式，现使用的专线光纤链路、中心设备机房及乡镇节点机房均为江苏省广电有线信息网络股份有限公司常州分公司所有。本维保监控点位分布在武进区9个乡镇15个派出所辖区，中心机房位于武进区湖塘镇花园街200号传媒大厦。</w:t>
      </w:r>
      <w:r/>
    </w:p>
    <w:p>
      <w:pPr>
        <w:ind w:firstLine="480"/>
        <w:spacing w:line="360" w:lineRule="auto"/>
        <w:rPr>
          <w:bCs/>
          <w:color w:val="000000"/>
          <w:sz w:val="24"/>
        </w:rPr>
      </w:pPr>
      <w:r>
        <w:rPr>
          <w:rFonts w:hint="eastAsia"/>
          <w:bCs/>
          <w:color w:val="000000"/>
          <w:sz w:val="24"/>
        </w:rPr>
        <w:t xml:space="preserve">3、</w:t>
      </w:r>
      <w:bookmarkStart w:id="297" w:name="_Toc14311"/>
      <w:r>
        <w:rPr>
          <w:rFonts w:hint="eastAsia"/>
          <w:bCs/>
          <w:color w:val="000000"/>
          <w:sz w:val="24"/>
        </w:rPr>
        <w:t xml:space="preserve">维保设备</w:t>
      </w:r>
      <w:bookmarkEnd w:id="297"/>
      <w:r>
        <w:rPr>
          <w:rFonts w:hint="eastAsia"/>
          <w:bCs/>
          <w:color w:val="000000"/>
          <w:sz w:val="24"/>
        </w:rPr>
        <w:t xml:space="preserve">概况一览表：</w:t>
      </w:r>
      <w:r/>
    </w:p>
    <w:tbl>
      <w:tblPr>
        <w:tblStyle w:val="737"/>
        <w:tblW w:w="8159" w:type="dxa"/>
        <w:jc w:val="center"/>
        <w:tblLayout w:type="fixed"/>
        <w:tblCellMar>
          <w:left w:w="108" w:type="dxa"/>
          <w:top w:w="0" w:type="dxa"/>
          <w:right w:w="108" w:type="dxa"/>
          <w:bottom w:w="0" w:type="dxa"/>
        </w:tblCellMar>
        <w:tblLook w:val="04A0" w:firstRow="1" w:lastRow="0" w:firstColumn="1" w:lastColumn="0" w:noHBand="0" w:noVBand="1"/>
      </w:tblPr>
      <w:tblGrid>
        <w:gridCol w:w="735"/>
        <w:gridCol w:w="2648"/>
        <w:gridCol w:w="966"/>
        <w:gridCol w:w="2263"/>
        <w:gridCol w:w="697"/>
        <w:gridCol w:w="850"/>
      </w:tblGrid>
      <w:tr>
        <w:trPr>
          <w:jc w:val="center"/>
          <w:trHeight w:val="547"/>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型号</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单位</w:t>
            </w:r>
            <w:r/>
          </w:p>
        </w:tc>
      </w:tr>
      <w:tr>
        <w:trPr>
          <w:jc w:val="center"/>
          <w:trHeight w:val="552"/>
        </w:trPr>
        <w:tc>
          <w:tcPr>
            <w:gridSpan w:val="5"/>
            <w:shd w:val="clear" w:color="auto" w:fill="ffffff"/>
            <w:tcBorders>
              <w:top w:val="single" w:color="000000" w:sz="4" w:space="0"/>
              <w:left w:val="single" w:color="000000" w:sz="4" w:space="0"/>
              <w:bottom w:val="single" w:color="000000" w:sz="4" w:space="0"/>
              <w:right w:val="single" w:color="000000" w:sz="4" w:space="0"/>
            </w:tcBorders>
            <w:tcW w:w="7309"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前端主要设备</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szCs w:val="21"/>
              </w:rPr>
            </w:r>
            <w:r/>
          </w:p>
        </w:tc>
      </w:tr>
      <w:tr>
        <w:trPr>
          <w:jc w:val="center"/>
          <w:trHeight w:val="306"/>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szCs w:val="21"/>
              </w:rPr>
            </w:pPr>
            <w:r>
              <w:rPr>
                <w:rFonts w:hint="eastAsia" w:ascii="宋体" w:hAnsi="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200</w:t>
            </w:r>
            <w:r>
              <w:rPr>
                <w:rFonts w:hint="eastAsia" w:ascii="宋体" w:hAnsi="宋体" w:cs="宋体"/>
                <w:szCs w:val="21"/>
              </w:rPr>
              <w:t xml:space="preserve">万像素全彩筒型摄像机</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widowControl/>
              <w:rPr>
                <w:rFonts w:hint="eastAsia" w:ascii="宋体" w:hAnsi="宋体"/>
                <w:szCs w:val="21"/>
              </w:rPr>
            </w:pPr>
            <w:r>
              <w:rPr>
                <w:rFonts w:hint="eastAsia" w:ascii="宋体" w:hAnsi="宋体" w:cs="仿宋"/>
                <w:szCs w:val="21"/>
              </w:rPr>
              <w:t xml:space="preserve">DH-IPC-HFW7248K-AS-LED</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szCs w:val="21"/>
              </w:rPr>
            </w:pPr>
            <w:r>
              <w:rPr>
                <w:rFonts w:hint="eastAsia" w:ascii="宋体" w:hAnsi="宋体"/>
                <w:szCs w:val="21"/>
              </w:rPr>
              <w:t xml:space="preserve">1875</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台</w:t>
            </w:r>
            <w:r/>
          </w:p>
        </w:tc>
      </w:tr>
      <w:tr>
        <w:trPr>
          <w:jc w:val="center"/>
          <w:trHeight w:val="613"/>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szCs w:val="21"/>
              </w:rPr>
            </w:pPr>
            <w:r>
              <w:rPr>
                <w:rFonts w:hint="eastAsia" w:ascii="宋体" w:hAnsi="宋体"/>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200</w:t>
            </w:r>
            <w:r>
              <w:rPr>
                <w:rFonts w:hint="eastAsia" w:ascii="宋体" w:hAnsi="宋体" w:cs="宋体"/>
                <w:szCs w:val="21"/>
              </w:rPr>
              <w:t xml:space="preserve">万像素红外网络高清球型摄像机</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rPr>
              <w:t xml:space="preserve">DH-SD-6C3269UB-HNI</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szCs w:val="21"/>
              </w:rPr>
            </w:pPr>
            <w:r>
              <w:rPr>
                <w:rFonts w:hint="eastAsia" w:ascii="宋体" w:hAnsi="宋体"/>
                <w:szCs w:val="21"/>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台</w:t>
            </w:r>
            <w:r/>
          </w:p>
        </w:tc>
      </w:tr>
      <w:tr>
        <w:trPr>
          <w:jc w:val="center"/>
          <w:trHeight w:val="306"/>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szCs w:val="21"/>
              </w:rPr>
            </w:pPr>
            <w:r>
              <w:rPr>
                <w:rFonts w:hint="eastAsia" w:ascii="宋体" w:hAnsi="宋体"/>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400</w:t>
            </w:r>
            <w:r>
              <w:rPr>
                <w:rFonts w:hint="eastAsia" w:ascii="宋体" w:hAnsi="宋体" w:cs="宋体"/>
                <w:szCs w:val="21"/>
              </w:rPr>
              <w:t xml:space="preserve">万像素结构化</w:t>
            </w:r>
            <w:r>
              <w:rPr>
                <w:rFonts w:hint="eastAsia" w:ascii="宋体" w:hAnsi="宋体"/>
                <w:szCs w:val="21"/>
              </w:rPr>
              <w:t xml:space="preserve">AI</w:t>
            </w:r>
            <w:r>
              <w:rPr>
                <w:rFonts w:hint="eastAsia" w:ascii="宋体" w:hAnsi="宋体" w:cs="宋体"/>
                <w:szCs w:val="21"/>
              </w:rPr>
              <w:t xml:space="preserve">智能摄像机</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rPr>
              <w:t xml:space="preserve">DH-IPC-HFW8448K-ZRL-LED</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szCs w:val="21"/>
              </w:rPr>
            </w:pPr>
            <w:r>
              <w:rPr>
                <w:rFonts w:hint="eastAsia" w:ascii="宋体" w:hAnsi="宋体"/>
                <w:szCs w:val="21"/>
              </w:rPr>
              <w:t xml:space="preserve">557</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台</w:t>
            </w:r>
            <w:r/>
          </w:p>
        </w:tc>
      </w:tr>
      <w:tr>
        <w:trPr>
          <w:jc w:val="center"/>
          <w:trHeight w:val="613"/>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szCs w:val="21"/>
              </w:rPr>
            </w:pPr>
            <w:r>
              <w:rPr>
                <w:rFonts w:hint="eastAsia" w:ascii="宋体" w:hAnsi="宋体"/>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800</w:t>
            </w:r>
            <w:r>
              <w:rPr>
                <w:rFonts w:hint="eastAsia" w:ascii="宋体" w:hAnsi="宋体" w:cs="宋体"/>
                <w:szCs w:val="21"/>
              </w:rPr>
              <w:t xml:space="preserve">万像素全结构化</w:t>
            </w:r>
            <w:r>
              <w:rPr>
                <w:rFonts w:hint="eastAsia" w:ascii="宋体" w:hAnsi="宋体"/>
                <w:szCs w:val="21"/>
              </w:rPr>
              <w:t xml:space="preserve">AI</w:t>
            </w:r>
            <w:r>
              <w:rPr>
                <w:rFonts w:hint="eastAsia" w:ascii="宋体" w:hAnsi="宋体" w:cs="宋体"/>
                <w:szCs w:val="21"/>
              </w:rPr>
              <w:t xml:space="preserve">智能摄像机</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rPr>
              <w:t xml:space="preserve">DS-2CD7287WDHE2/LZ</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szCs w:val="21"/>
              </w:rPr>
            </w:pPr>
            <w:r>
              <w:rPr>
                <w:rFonts w:hint="eastAsia" w:ascii="宋体" w:hAnsi="宋体"/>
                <w:szCs w:val="21"/>
              </w:rPr>
              <w:t xml:space="preserve">303</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台</w:t>
            </w:r>
            <w:r/>
          </w:p>
        </w:tc>
      </w:tr>
      <w:tr>
        <w:trPr>
          <w:jc w:val="center"/>
          <w:trHeight w:val="613"/>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szCs w:val="21"/>
              </w:rPr>
            </w:pPr>
            <w:r>
              <w:rPr>
                <w:rFonts w:hint="eastAsia" w:ascii="宋体" w:hAnsi="宋体"/>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双目</w:t>
            </w:r>
            <w:r>
              <w:rPr>
                <w:rFonts w:hint="eastAsia" w:ascii="宋体" w:hAnsi="宋体"/>
                <w:szCs w:val="21"/>
              </w:rPr>
              <w:t xml:space="preserve">400</w:t>
            </w:r>
            <w:r>
              <w:rPr>
                <w:rFonts w:hint="eastAsia" w:ascii="宋体" w:hAnsi="宋体" w:cs="宋体"/>
                <w:szCs w:val="21"/>
              </w:rPr>
              <w:t xml:space="preserve">万</w:t>
            </w:r>
            <w:r>
              <w:rPr>
                <w:rFonts w:hint="eastAsia" w:ascii="宋体" w:hAnsi="宋体"/>
                <w:szCs w:val="21"/>
              </w:rPr>
              <w:t xml:space="preserve">+400</w:t>
            </w:r>
            <w:r>
              <w:rPr>
                <w:rFonts w:hint="eastAsia" w:ascii="宋体" w:hAnsi="宋体" w:cs="宋体"/>
                <w:szCs w:val="21"/>
              </w:rPr>
              <w:t xml:space="preserve">万像素结构化</w:t>
            </w:r>
            <w:r>
              <w:rPr>
                <w:rFonts w:hint="eastAsia" w:ascii="宋体" w:hAnsi="宋体"/>
                <w:szCs w:val="21"/>
              </w:rPr>
              <w:t xml:space="preserve">AI</w:t>
            </w:r>
            <w:r>
              <w:rPr>
                <w:rFonts w:hint="eastAsia" w:ascii="宋体" w:hAnsi="宋体" w:cs="宋体"/>
                <w:szCs w:val="21"/>
              </w:rPr>
              <w:t xml:space="preserve">智能球型摄像机</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rPr>
              <w:t xml:space="preserve">DH-SDT-5A418WA-C4F</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szCs w:val="21"/>
              </w:rPr>
            </w:pPr>
            <w:r>
              <w:rPr>
                <w:rFonts w:hint="eastAsia" w:ascii="宋体" w:hAnsi="宋体"/>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台</w:t>
            </w:r>
            <w:r/>
          </w:p>
        </w:tc>
      </w:tr>
      <w:tr>
        <w:trPr>
          <w:jc w:val="center"/>
          <w:trHeight w:val="561"/>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szCs w:val="21"/>
              </w:rPr>
            </w:pPr>
            <w:r>
              <w:rPr>
                <w:rFonts w:hint="eastAsia" w:ascii="宋体" w:hAnsi="宋体"/>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800</w:t>
            </w:r>
            <w:r>
              <w:rPr>
                <w:rFonts w:hint="eastAsia" w:ascii="宋体" w:hAnsi="宋体" w:cs="宋体"/>
                <w:szCs w:val="21"/>
              </w:rPr>
              <w:t xml:space="preserve">万像素智能分析球机</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rPr>
              <w:t xml:space="preserve">DH-SD-8A1826VC-HNI</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szCs w:val="21"/>
              </w:rPr>
            </w:pPr>
            <w:r>
              <w:rPr>
                <w:rFonts w:hint="eastAsia" w:ascii="宋体" w:hAnsi="宋体"/>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台</w:t>
            </w:r>
            <w:r/>
          </w:p>
        </w:tc>
      </w:tr>
      <w:tr>
        <w:trPr>
          <w:jc w:val="center"/>
          <w:trHeight w:val="569"/>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szCs w:val="21"/>
              </w:rPr>
            </w:pPr>
            <w:r>
              <w:rPr>
                <w:rFonts w:hint="eastAsia" w:ascii="宋体" w:hAnsi="宋体"/>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高空球形摄像机</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rPr>
              <w:t xml:space="preserve">DH-SD-9A1250VC-HNI</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szCs w:val="21"/>
              </w:rPr>
            </w:pPr>
            <w:r>
              <w:rPr>
                <w:rFonts w:hint="eastAsia" w:ascii="宋体" w:hAnsi="宋体"/>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台</w:t>
            </w:r>
            <w:r/>
          </w:p>
        </w:tc>
      </w:tr>
      <w:tr>
        <w:trPr>
          <w:jc w:val="center"/>
          <w:trHeight w:val="549"/>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szCs w:val="21"/>
              </w:rPr>
            </w:pPr>
            <w:r>
              <w:rPr>
                <w:rFonts w:hint="eastAsia" w:ascii="宋体" w:hAnsi="宋体"/>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widowControl/>
              <w:rPr>
                <w:rFonts w:hint="eastAsia" w:ascii="宋体" w:hAnsi="宋体"/>
                <w:szCs w:val="21"/>
              </w:rPr>
            </w:pPr>
            <w:r>
              <w:rPr>
                <w:rFonts w:hint="eastAsia" w:ascii="宋体" w:hAnsi="宋体"/>
                <w:szCs w:val="21"/>
              </w:rPr>
              <w:t xml:space="preserve">4</w:t>
            </w:r>
            <w:r>
              <w:rPr>
                <w:rFonts w:hint="eastAsia" w:ascii="宋体" w:hAnsi="宋体" w:cs="宋体"/>
                <w:szCs w:val="21"/>
              </w:rPr>
              <w:t xml:space="preserve">路百兆视频光交换机</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华龙</w:t>
            </w:r>
            <w:r/>
          </w:p>
        </w:tc>
        <w:tc>
          <w:tcPr>
            <w:shd w:val="clear" w:color="auto" w:fill="ffffff"/>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FTMC-400E</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szCs w:val="21"/>
              </w:rPr>
            </w:pPr>
            <w:r>
              <w:rPr>
                <w:rFonts w:hint="eastAsia" w:ascii="宋体" w:hAnsi="宋体"/>
                <w:szCs w:val="21"/>
              </w:rPr>
              <w:t xml:space="preserve">2733</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台</w:t>
            </w:r>
            <w:r/>
          </w:p>
        </w:tc>
      </w:tr>
      <w:tr>
        <w:trPr>
          <w:jc w:val="center"/>
          <w:trHeight w:val="306"/>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szCs w:val="21"/>
              </w:rPr>
            </w:pPr>
            <w:r>
              <w:rPr>
                <w:rFonts w:hint="eastAsia" w:ascii="宋体" w:hAnsi="宋体"/>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widowControl/>
              <w:rPr>
                <w:rFonts w:hint="eastAsia" w:ascii="宋体" w:hAnsi="宋体"/>
                <w:szCs w:val="21"/>
              </w:rPr>
            </w:pPr>
            <w:r>
              <w:rPr>
                <w:rFonts w:hint="eastAsia" w:ascii="宋体" w:hAnsi="宋体"/>
                <w:szCs w:val="21"/>
              </w:rPr>
              <w:t xml:space="preserve">24</w:t>
            </w:r>
            <w:r>
              <w:rPr>
                <w:rFonts w:hint="eastAsia" w:ascii="宋体" w:hAnsi="宋体" w:cs="宋体"/>
                <w:szCs w:val="21"/>
              </w:rPr>
              <w:t xml:space="preserve">路以太网光纤汇聚网管型光交换机</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华龙</w:t>
            </w:r>
            <w:r/>
          </w:p>
        </w:tc>
        <w:tc>
          <w:tcPr>
            <w:shd w:val="clear" w:color="auto" w:fill="ffffff"/>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FSA-5B732</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szCs w:val="21"/>
              </w:rPr>
            </w:pPr>
            <w:r>
              <w:rPr>
                <w:rFonts w:hint="eastAsia" w:ascii="宋体" w:hAnsi="宋体"/>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台</w:t>
            </w:r>
            <w:r/>
          </w:p>
        </w:tc>
      </w:tr>
      <w:tr>
        <w:trPr>
          <w:jc w:val="center"/>
          <w:trHeight w:val="416"/>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szCs w:val="21"/>
              </w:rPr>
            </w:pPr>
            <w:r>
              <w:rPr>
                <w:rFonts w:hint="eastAsia" w:ascii="宋体" w:hAnsi="宋体"/>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widowControl/>
              <w:rPr>
                <w:rFonts w:hint="eastAsia" w:ascii="宋体" w:hAnsi="宋体"/>
                <w:szCs w:val="21"/>
              </w:rPr>
            </w:pPr>
            <w:r>
              <w:rPr>
                <w:rFonts w:hint="eastAsia" w:ascii="宋体" w:hAnsi="宋体"/>
                <w:szCs w:val="21"/>
              </w:rPr>
              <w:t xml:space="preserve">4.5</w:t>
            </w:r>
            <w:r>
              <w:rPr>
                <w:rFonts w:hint="eastAsia" w:ascii="宋体" w:hAnsi="宋体" w:cs="宋体"/>
                <w:szCs w:val="21"/>
              </w:rPr>
              <w:t xml:space="preserve">米杆件</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hint="eastAsia" w:ascii="宋体" w:hAnsi="宋体"/>
                <w:szCs w:val="21"/>
              </w:rPr>
            </w:pPr>
            <w:r>
              <w:rPr>
                <w:rFonts w:hint="eastAsia" w:ascii="宋体" w:hAnsi="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widowControl/>
              <w:rPr>
                <w:rFonts w:hint="eastAsia" w:ascii="宋体" w:hAnsi="宋体" w:cs="仿宋"/>
                <w:szCs w:val="21"/>
              </w:rPr>
            </w:pPr>
            <w:r>
              <w:rPr>
                <w:rFonts w:hint="eastAsia" w:ascii="宋体" w:hAnsi="宋体" w:cs="仿宋"/>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szCs w:val="21"/>
              </w:rPr>
            </w:pPr>
            <w:r>
              <w:rPr>
                <w:rFonts w:hint="eastAsia" w:ascii="宋体" w:hAnsi="宋体"/>
                <w:szCs w:val="21"/>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根</w:t>
            </w:r>
            <w:r/>
          </w:p>
        </w:tc>
      </w:tr>
      <w:tr>
        <w:trPr>
          <w:jc w:val="center"/>
          <w:trHeight w:val="408"/>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szCs w:val="21"/>
              </w:rPr>
            </w:pPr>
            <w:r>
              <w:rPr>
                <w:rFonts w:hint="eastAsia" w:ascii="宋体" w:hAnsi="宋体"/>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widowControl/>
              <w:rPr>
                <w:rFonts w:hint="eastAsia" w:ascii="宋体" w:hAnsi="宋体"/>
                <w:szCs w:val="21"/>
              </w:rPr>
            </w:pPr>
            <w:r>
              <w:rPr>
                <w:rFonts w:hint="eastAsia" w:ascii="宋体" w:hAnsi="宋体"/>
                <w:szCs w:val="21"/>
              </w:rPr>
              <w:t xml:space="preserve">4.5</w:t>
            </w:r>
            <w:r>
              <w:rPr>
                <w:rFonts w:hint="eastAsia" w:ascii="宋体" w:hAnsi="宋体" w:cs="宋体"/>
                <w:szCs w:val="21"/>
              </w:rPr>
              <w:t xml:space="preserve">米杆件</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hint="eastAsia" w:ascii="宋体" w:hAnsi="宋体"/>
                <w:szCs w:val="21"/>
              </w:rPr>
            </w:pPr>
            <w:r>
              <w:rPr>
                <w:rFonts w:hint="eastAsia" w:ascii="宋体" w:hAnsi="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widowControl/>
              <w:rPr>
                <w:rFonts w:hint="eastAsia" w:ascii="宋体" w:hAnsi="宋体" w:cs="仿宋"/>
                <w:szCs w:val="21"/>
              </w:rPr>
            </w:pPr>
            <w:r>
              <w:rPr>
                <w:rFonts w:hint="eastAsia" w:ascii="宋体" w:hAnsi="宋体" w:cs="仿宋"/>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szCs w:val="21"/>
              </w:rPr>
            </w:pPr>
            <w:r>
              <w:rPr>
                <w:rFonts w:hint="eastAsia" w:ascii="宋体" w:hAnsi="宋体"/>
                <w:szCs w:val="21"/>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根</w:t>
            </w:r>
            <w:r/>
          </w:p>
        </w:tc>
      </w:tr>
      <w:tr>
        <w:trPr>
          <w:jc w:val="center"/>
          <w:trHeight w:val="427"/>
        </w:trPr>
        <w:tc>
          <w:tcPr>
            <w:gridSpan w:val="5"/>
            <w:shd w:val="clear" w:color="auto" w:fill="ffffff"/>
            <w:tcBorders>
              <w:top w:val="single" w:color="000000" w:sz="4" w:space="0"/>
              <w:left w:val="single" w:color="000000" w:sz="4" w:space="0"/>
              <w:bottom w:val="single" w:color="000000" w:sz="4" w:space="0"/>
              <w:right w:val="single" w:color="000000" w:sz="4" w:space="0"/>
            </w:tcBorders>
            <w:tcW w:w="7309" w:type="dxa"/>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中心机房主要设备</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szCs w:val="21"/>
              </w:rPr>
            </w:r>
            <w:r/>
          </w:p>
        </w:tc>
      </w:tr>
      <w:tr>
        <w:trPr>
          <w:jc w:val="center"/>
          <w:trHeight w:val="405"/>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szCs w:val="21"/>
              </w:rPr>
            </w:pPr>
            <w:r>
              <w:rPr>
                <w:rFonts w:hint="eastAsia" w:ascii="宋体" w:hAnsi="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widowControl/>
              <w:rPr>
                <w:rFonts w:hint="eastAsia" w:ascii="宋体" w:hAnsi="宋体"/>
                <w:szCs w:val="21"/>
              </w:rPr>
            </w:pPr>
            <w:r>
              <w:rPr>
                <w:rFonts w:hint="eastAsia" w:ascii="宋体" w:hAnsi="宋体"/>
                <w:szCs w:val="21"/>
              </w:rPr>
              <w:t xml:space="preserve">32</w:t>
            </w:r>
            <w:r>
              <w:rPr>
                <w:rFonts w:hint="eastAsia" w:ascii="宋体" w:hAnsi="宋体" w:cs="宋体"/>
                <w:szCs w:val="21"/>
              </w:rPr>
              <w:t xml:space="preserve">路硬盘录像机</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大华</w:t>
            </w:r>
            <w:r/>
          </w:p>
        </w:tc>
        <w:tc>
          <w:tcPr>
            <w:shd w:val="clear" w:color="auto" w:fill="ffffff"/>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DH-NVR5832-4KS2</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szCs w:val="21"/>
              </w:rPr>
            </w:pPr>
            <w:r>
              <w:rPr>
                <w:rFonts w:hint="eastAsia" w:ascii="宋体" w:hAnsi="宋体"/>
                <w:szCs w:val="21"/>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台</w:t>
            </w:r>
            <w:r/>
          </w:p>
        </w:tc>
      </w:tr>
      <w:tr>
        <w:trPr>
          <w:jc w:val="center"/>
          <w:trHeight w:val="425"/>
        </w:trPr>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szCs w:val="21"/>
              </w:rPr>
            </w:pPr>
            <w:r>
              <w:rPr>
                <w:rFonts w:hint="eastAsia" w:ascii="宋体" w:hAnsi="宋体"/>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jc w:val="center"/>
              <w:widowControl/>
              <w:rPr>
                <w:rFonts w:hint="eastAsia" w:ascii="宋体" w:hAnsi="宋体"/>
                <w:szCs w:val="21"/>
              </w:rPr>
            </w:pPr>
            <w:r>
              <w:rPr>
                <w:rFonts w:hint="eastAsia" w:ascii="宋体" w:hAnsi="宋体"/>
                <w:szCs w:val="21"/>
              </w:rPr>
              <w:t xml:space="preserve">6T</w:t>
            </w:r>
            <w:r>
              <w:rPr>
                <w:rFonts w:hint="eastAsia" w:ascii="宋体" w:hAnsi="宋体" w:cs="宋体"/>
                <w:szCs w:val="21"/>
              </w:rPr>
              <w:t xml:space="preserve">存储硬盘</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西数</w:t>
            </w:r>
            <w:r/>
          </w:p>
        </w:tc>
        <w:tc>
          <w:tcPr>
            <w:shd w:val="clear" w:color="auto" w:fill="ffffff"/>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widowControl/>
              <w:rPr>
                <w:rFonts w:hint="eastAsia" w:ascii="宋体" w:hAnsi="宋体" w:cs="仿宋"/>
                <w:szCs w:val="21"/>
              </w:rPr>
            </w:pPr>
            <w:r>
              <w:rPr>
                <w:rFonts w:hint="eastAsia" w:ascii="宋体" w:hAnsi="宋体" w:cs="仿宋"/>
                <w:szCs w:val="21"/>
              </w:rPr>
              <w:t xml:space="preserve">WD60PURX</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widowControl/>
              <w:rPr>
                <w:rFonts w:hint="eastAsia" w:ascii="宋体" w:hAnsi="宋体"/>
                <w:szCs w:val="21"/>
              </w:rPr>
            </w:pPr>
            <w:r>
              <w:rPr>
                <w:rFonts w:hint="eastAsia" w:ascii="宋体" w:hAnsi="宋体"/>
                <w:szCs w:val="21"/>
              </w:rPr>
              <w:t xml:space="preserve">764</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cs="宋体"/>
                <w:szCs w:val="21"/>
              </w:rPr>
              <w:t xml:space="preserve">只</w:t>
            </w:r>
            <w:r/>
          </w:p>
        </w:tc>
      </w:tr>
    </w:tbl>
    <w:p>
      <w:pPr>
        <w:ind w:firstLine="480"/>
        <w:spacing w:line="360" w:lineRule="auto"/>
        <w:rPr>
          <w:bCs/>
          <w:sz w:val="24"/>
        </w:rPr>
      </w:pPr>
      <w:r>
        <w:rPr>
          <w:rFonts w:hint="eastAsia"/>
          <w:bCs/>
          <w:sz w:val="24"/>
        </w:rPr>
        <w:t xml:space="preserve">4、项目中心机房</w:t>
      </w:r>
      <w:r/>
    </w:p>
    <w:p>
      <w:pPr>
        <w:ind w:firstLine="480"/>
        <w:spacing w:line="360" w:lineRule="auto"/>
        <w:rPr>
          <w:bCs/>
          <w:sz w:val="24"/>
        </w:rPr>
      </w:pPr>
      <w:r>
        <w:rPr>
          <w:rFonts w:hint="eastAsia"/>
          <w:bCs/>
          <w:sz w:val="24"/>
        </w:rPr>
        <w:t xml:space="preserve">项目中心机房按照下列标准建设，维保单位应按照该标准保持机房原有环境：</w:t>
      </w:r>
      <w:r/>
    </w:p>
    <w:p>
      <w:pPr>
        <w:ind w:firstLine="480"/>
        <w:spacing w:line="360" w:lineRule="auto"/>
        <w:rPr>
          <w:bCs/>
          <w:sz w:val="24"/>
        </w:rPr>
      </w:pPr>
      <w:r>
        <w:rPr>
          <w:rFonts w:hint="eastAsia"/>
          <w:bCs/>
          <w:sz w:val="24"/>
        </w:rPr>
        <w:t xml:space="preserve">中心机房采用租用运营商IDC机房的方式，有独立房间区域，统一集中管理，24小时专人值守。</w:t>
      </w:r>
      <w:r/>
    </w:p>
    <w:p>
      <w:pPr>
        <w:ind w:firstLine="480"/>
        <w:spacing w:line="360" w:lineRule="auto"/>
        <w:rPr>
          <w:bCs/>
          <w:sz w:val="24"/>
        </w:rPr>
      </w:pPr>
      <w:r>
        <w:rPr>
          <w:rFonts w:hint="eastAsia"/>
          <w:bCs/>
          <w:sz w:val="24"/>
        </w:rPr>
        <w:t xml:space="preserve">机房应满足监控设备对温度、湿度、供电质量、接地、电磁场和静电等技术要求，同时也满足对现场照度、安全防范的功能要求，视频线路、报警线路、控制线路、联网线路应统一标识，并通过端子排上架，还需满足下列要求：</w:t>
      </w:r>
      <w:r/>
    </w:p>
    <w:p>
      <w:pPr>
        <w:ind w:firstLine="480"/>
        <w:spacing w:line="360" w:lineRule="auto"/>
        <w:rPr>
          <w:bCs/>
          <w:sz w:val="24"/>
        </w:rPr>
      </w:pPr>
      <w:r>
        <w:rPr>
          <w:rFonts w:hint="eastAsia"/>
          <w:bCs/>
          <w:sz w:val="24"/>
        </w:rPr>
        <w:t xml:space="preserve">（1）供配电需求：机房配电系统必须满足系统运行的要求，并有一定的余量。采用机房配电柜来对系统供配电，保证机房供配电系统的可靠、安全、合理。同时需要配置UPS电源，使系统在紧急情况停电时系统处于受控状态，其标称功率大于系统使用总功率的1.5倍，UPS电源容量至少能保证机房系统正常工作不小于2小时，采用双回路供电的方式。电压变化范围为220V±5%；频率变化范围为50Hz±0.5Hz，波形失真率≤8%。因特殊原因断电超过UPS供电时间上限时间应提供备用发电机供电，确保机房设备不断电。</w:t>
      </w:r>
      <w:r/>
    </w:p>
    <w:p>
      <w:pPr>
        <w:ind w:firstLine="480"/>
        <w:spacing w:line="360" w:lineRule="auto"/>
        <w:rPr>
          <w:bCs/>
          <w:sz w:val="24"/>
        </w:rPr>
      </w:pPr>
      <w:r>
        <w:rPr>
          <w:rFonts w:hint="eastAsia"/>
          <w:bCs/>
          <w:sz w:val="24"/>
        </w:rPr>
        <w:t xml:space="preserve">（2）机房环境需求：机房内温度宜为15-30℃，相对湿度宜为30%--75%。同时机房应有专门的隔离空间，需设立独立门禁，机房配备无死角监控视频，经专业机构及政府职能部门检测合格的消防设施，环境空调。</w:t>
      </w:r>
      <w:r/>
    </w:p>
    <w:p>
      <w:pPr>
        <w:ind w:firstLine="480"/>
        <w:spacing w:line="360" w:lineRule="auto"/>
        <w:rPr>
          <w:bCs/>
          <w:sz w:val="24"/>
        </w:rPr>
      </w:pPr>
      <w:r>
        <w:rPr>
          <w:rFonts w:hint="eastAsia"/>
          <w:bCs/>
          <w:sz w:val="24"/>
        </w:rPr>
        <w:t xml:space="preserve">（3）防雷接地需求：配电柜应安装电源浪涌抑制器，保护负载和设备的运行安全同时机房应有专门的接地，设备接地和机架接地需要分开，器接地电阻≤1欧姆，采用联合接地网时，其接地电阻≤1欧姆。由于中心系统的设备非常重要，且价格昂贵，因此一个完善的监控中心必须要建设完善的防雷系统，避免自然灾害对系统的破坏而造成不必要的经济损失，必须建设三级防雷系统。</w:t>
      </w:r>
      <w:r/>
    </w:p>
    <w:p>
      <w:pPr>
        <w:ind w:firstLine="480"/>
        <w:spacing w:line="360" w:lineRule="auto"/>
        <w:rPr>
          <w:bCs/>
          <w:sz w:val="24"/>
        </w:rPr>
      </w:pPr>
      <w:r>
        <w:rPr>
          <w:bCs/>
          <w:sz w:val="24"/>
        </w:rPr>
        <w:fldChar w:fldCharType="begin"/>
      </w:r>
      <w:r>
        <w:rPr>
          <w:bCs/>
          <w:sz w:val="24"/>
        </w:rPr>
        <w:instrText xml:space="preserve"> </w:instrText>
      </w:r>
      <w:r>
        <w:rPr>
          <w:rFonts w:hint="eastAsia"/>
          <w:bCs/>
          <w:sz w:val="24"/>
        </w:rPr>
        <w:instrText xml:space="preserve">= 1 \* GB3</w:instrText>
      </w:r>
      <w:r>
        <w:rPr>
          <w:bCs/>
          <w:sz w:val="24"/>
        </w:rPr>
        <w:instrText xml:space="preserve"> </w:instrText>
      </w:r>
      <w:r>
        <w:rPr>
          <w:bCs/>
          <w:sz w:val="24"/>
        </w:rPr>
        <w:fldChar w:fldCharType="separate"/>
      </w:r>
      <w:r>
        <w:rPr>
          <w:rFonts w:hint="eastAsia"/>
          <w:bCs/>
          <w:sz w:val="24"/>
        </w:rPr>
        <w:t xml:space="preserve">①</w:t>
      </w:r>
      <w:r>
        <w:rPr>
          <w:bCs/>
          <w:sz w:val="24"/>
        </w:rPr>
        <w:fldChar w:fldCharType="end"/>
      </w:r>
      <w:r>
        <w:rPr>
          <w:rFonts w:hint="eastAsia"/>
          <w:bCs/>
          <w:sz w:val="24"/>
        </w:rPr>
        <w:t xml:space="preserve">一级防雷设计主要是指电源配电箱的防雷设计，通过加装防雷装置实现系统第一道安全屏障。</w:t>
      </w:r>
      <w:r/>
    </w:p>
    <w:p>
      <w:pPr>
        <w:ind w:firstLine="480"/>
        <w:spacing w:line="360" w:lineRule="auto"/>
        <w:rPr>
          <w:bCs/>
          <w:sz w:val="24"/>
        </w:rPr>
      </w:pPr>
      <w:r>
        <w:rPr>
          <w:bCs/>
          <w:sz w:val="24"/>
        </w:rPr>
        <w:fldChar w:fldCharType="begin"/>
      </w:r>
      <w:r>
        <w:rPr>
          <w:bCs/>
          <w:sz w:val="24"/>
        </w:rPr>
        <w:instrText xml:space="preserve"> </w:instrText>
      </w:r>
      <w:r>
        <w:rPr>
          <w:rFonts w:hint="eastAsia"/>
          <w:bCs/>
          <w:sz w:val="24"/>
        </w:rPr>
        <w:instrText xml:space="preserve">= 2 \* GB3</w:instrText>
      </w:r>
      <w:r>
        <w:rPr>
          <w:bCs/>
          <w:sz w:val="24"/>
        </w:rPr>
        <w:instrText xml:space="preserve"> </w:instrText>
      </w:r>
      <w:r>
        <w:rPr>
          <w:bCs/>
          <w:sz w:val="24"/>
        </w:rPr>
        <w:fldChar w:fldCharType="separate"/>
      </w:r>
      <w:r>
        <w:rPr>
          <w:rFonts w:hint="eastAsia"/>
          <w:bCs/>
          <w:sz w:val="24"/>
        </w:rPr>
        <w:t xml:space="preserve">②</w:t>
      </w:r>
      <w:r>
        <w:rPr>
          <w:bCs/>
          <w:sz w:val="24"/>
        </w:rPr>
        <w:fldChar w:fldCharType="end"/>
      </w:r>
      <w:r>
        <w:rPr>
          <w:rFonts w:hint="eastAsia"/>
          <w:bCs/>
          <w:sz w:val="24"/>
        </w:rPr>
        <w:t xml:space="preserve">二级防雷设计主要是指UPS电源的防雷设计，通过加装防雷插座实现系统第二道安全屏障。</w:t>
      </w:r>
      <w:r/>
    </w:p>
    <w:p>
      <w:pPr>
        <w:ind w:firstLine="480"/>
        <w:spacing w:line="360" w:lineRule="auto"/>
        <w:rPr>
          <w:bCs/>
          <w:sz w:val="24"/>
        </w:rPr>
      </w:pPr>
      <w:r>
        <w:rPr>
          <w:bCs/>
          <w:sz w:val="24"/>
        </w:rPr>
        <w:fldChar w:fldCharType="begin"/>
      </w:r>
      <w:r>
        <w:rPr>
          <w:bCs/>
          <w:sz w:val="24"/>
        </w:rPr>
        <w:instrText xml:space="preserve"> </w:instrText>
      </w:r>
      <w:r>
        <w:rPr>
          <w:rFonts w:hint="eastAsia"/>
          <w:bCs/>
          <w:sz w:val="24"/>
        </w:rPr>
        <w:instrText xml:space="preserve">= 3 \* GB3</w:instrText>
      </w:r>
      <w:r>
        <w:rPr>
          <w:bCs/>
          <w:sz w:val="24"/>
        </w:rPr>
        <w:instrText xml:space="preserve"> </w:instrText>
      </w:r>
      <w:r>
        <w:rPr>
          <w:bCs/>
          <w:sz w:val="24"/>
        </w:rPr>
        <w:fldChar w:fldCharType="separate"/>
      </w:r>
      <w:r>
        <w:rPr>
          <w:rFonts w:hint="eastAsia"/>
          <w:bCs/>
          <w:sz w:val="24"/>
        </w:rPr>
        <w:t xml:space="preserve">③</w:t>
      </w:r>
      <w:r>
        <w:rPr>
          <w:bCs/>
          <w:sz w:val="24"/>
        </w:rPr>
        <w:fldChar w:fldCharType="end"/>
      </w:r>
      <w:r>
        <w:rPr>
          <w:rFonts w:hint="eastAsia"/>
          <w:bCs/>
          <w:sz w:val="24"/>
        </w:rPr>
        <w:t xml:space="preserve">三级防雷设计主要是指将所有的中心设备进行联合接地或单独接地，实现系统的第三道安全屏障。</w:t>
      </w:r>
      <w:r/>
    </w:p>
    <w:p>
      <w:pPr>
        <w:ind w:firstLine="480"/>
        <w:spacing w:line="360" w:lineRule="auto"/>
        <w:rPr>
          <w:bCs/>
          <w:sz w:val="24"/>
        </w:rPr>
      </w:pPr>
      <w:r>
        <w:rPr>
          <w:rFonts w:hint="eastAsia"/>
          <w:bCs/>
          <w:sz w:val="24"/>
        </w:rPr>
        <w:t xml:space="preserve">（4）机房环境监控需求。机房应配备温湿度、烟感、电压、电流、功率、视频监控、UPS状态、消防状态、空调状态、人脸视频门禁状态等检测系统，相关系统要建立统一的监控平台，并提供数据接口，相关数据要按照武进公安局社会治理视频云平台要求进行免费对接。</w:t>
      </w:r>
      <w:r/>
    </w:p>
    <w:p>
      <w:pPr>
        <w:ind w:firstLine="480"/>
        <w:spacing w:line="360" w:lineRule="auto"/>
        <w:rPr>
          <w:bCs/>
          <w:sz w:val="24"/>
        </w:rPr>
      </w:pPr>
      <w:r>
        <w:rPr>
          <w:rFonts w:hint="eastAsia"/>
          <w:bCs/>
          <w:sz w:val="24"/>
        </w:rPr>
        <w:t xml:space="preserve">（5）机房机柜需求</w:t>
      </w:r>
      <w:r/>
    </w:p>
    <w:p>
      <w:pPr>
        <w:ind w:firstLine="480"/>
        <w:spacing w:line="360" w:lineRule="auto"/>
        <w:rPr>
          <w:rFonts w:hint="eastAsia"/>
          <w:sz w:val="24"/>
          <w:szCs w:val="24"/>
          <w:highlight w:val="none"/>
        </w:rPr>
      </w:pPr>
      <w:r>
        <w:rPr>
          <w:rFonts w:hint="eastAsia"/>
          <w:bCs/>
          <w:sz w:val="24"/>
        </w:rPr>
        <w:t xml:space="preserve">按照后端NVR录像机数量，机房内配备机柜6台。</w:t>
      </w:r>
      <w:r/>
    </w:p>
    <w:p>
      <w:pPr>
        <w:ind w:firstLine="480"/>
        <w:spacing w:line="360" w:lineRule="auto"/>
        <w:rPr>
          <w:sz w:val="24"/>
          <w:szCs w:val="24"/>
        </w:rPr>
      </w:pPr>
      <w:r>
        <w:rPr>
          <w:rFonts w:hint="eastAsia"/>
          <w:bCs/>
          <w:sz w:val="24"/>
          <w:highlight w:val="none"/>
        </w:rPr>
        <w:t xml:space="preserve">（6）</w:t>
      </w:r>
      <w:r>
        <w:rPr>
          <w:rFonts w:hint="eastAsia"/>
          <w:bCs/>
          <w:sz w:val="24"/>
          <w:highlight w:val="none"/>
        </w:rPr>
        <w:t xml:space="preserve">点位</w:t>
      </w:r>
      <w:r>
        <w:rPr>
          <w:rFonts w:hint="eastAsia"/>
          <w:bCs/>
          <w:sz w:val="24"/>
          <w:highlight w:val="none"/>
        </w:rPr>
        <w:t xml:space="preserve">清单</w:t>
      </w:r>
      <w:r>
        <w:rPr>
          <w:rFonts w:hint="eastAsia"/>
          <w:bCs/>
          <w:sz w:val="24"/>
          <w:highlight w:val="none"/>
        </w:rPr>
        <w:t xml:space="preserve">详见</w:t>
      </w:r>
      <w:r>
        <w:rPr>
          <w:rFonts w:hint="eastAsia"/>
          <w:bCs/>
          <w:sz w:val="24"/>
          <w:highlight w:val="none"/>
        </w:rPr>
        <w:t xml:space="preserve">公告</w:t>
      </w:r>
      <w:r>
        <w:rPr>
          <w:rFonts w:hint="eastAsia"/>
          <w:bCs/>
          <w:sz w:val="24"/>
          <w:highlight w:val="none"/>
        </w:rPr>
        <w:t xml:space="preserve">附件</w:t>
      </w:r>
      <w:r>
        <w:rPr>
          <w:rFonts w:hint="eastAsia"/>
          <w:bCs/>
          <w:sz w:val="24"/>
          <w:highlight w:val="none"/>
        </w:rPr>
        <w:t xml:space="preserve">。</w:t>
      </w:r>
      <w:r>
        <w:rPr>
          <w:rFonts w:hint="eastAsia"/>
          <w:bCs/>
          <w:sz w:val="24"/>
          <w:highlight w:val="none"/>
        </w:rPr>
      </w:r>
      <w:r>
        <w:rPr>
          <w:rFonts w:hint="eastAsia"/>
          <w:bCs/>
          <w:sz w:val="24"/>
          <w:highlight w:val="none"/>
        </w:rPr>
      </w:r>
    </w:p>
    <w:p>
      <w:pPr>
        <w:contextualSpacing/>
        <w:ind w:firstLine="482"/>
        <w:spacing w:line="360" w:lineRule="auto"/>
        <w:rPr>
          <w:rFonts w:ascii="Calibri" w:hAnsi="Calibri"/>
          <w:b/>
          <w:color w:val="000000"/>
          <w:sz w:val="24"/>
          <w:szCs w:val="22"/>
        </w:rPr>
      </w:pPr>
      <w:r>
        <w:rPr>
          <w:rFonts w:ascii="Calibri" w:hAnsi="Calibri"/>
          <w:b/>
          <w:color w:val="000000"/>
          <w:sz w:val="24"/>
          <w:szCs w:val="22"/>
        </w:rPr>
        <w:t xml:space="preserve">二</w:t>
      </w:r>
      <w:r>
        <w:rPr>
          <w:rFonts w:hint="eastAsia" w:ascii="Calibri" w:hAnsi="Calibri"/>
          <w:b/>
          <w:color w:val="000000"/>
          <w:sz w:val="24"/>
          <w:szCs w:val="22"/>
        </w:rPr>
        <w:t xml:space="preserve">、技术</w:t>
      </w:r>
      <w:r>
        <w:rPr>
          <w:rFonts w:ascii="Calibri" w:hAnsi="Calibri"/>
          <w:b/>
          <w:color w:val="000000"/>
          <w:sz w:val="24"/>
          <w:szCs w:val="22"/>
        </w:rPr>
        <w:t xml:space="preserve">要求</w:t>
      </w:r>
      <w:r/>
    </w:p>
    <w:p>
      <w:pPr>
        <w:contextualSpacing/>
        <w:ind w:firstLine="480"/>
        <w:spacing w:line="360" w:lineRule="auto"/>
        <w:rPr>
          <w:rFonts w:hint="eastAsia" w:ascii="宋体" w:hAnsi="宋体"/>
          <w:bCs/>
          <w:color w:val="000000"/>
          <w:sz w:val="24"/>
        </w:rPr>
      </w:pPr>
      <w:r>
        <w:rPr>
          <w:rFonts w:hint="eastAsia" w:ascii="宋体" w:hAnsi="宋体"/>
          <w:bCs/>
          <w:color w:val="000000"/>
          <w:sz w:val="24"/>
        </w:rPr>
        <w:t xml:space="preserve">（一）采购清单详见报价明细表。</w:t>
      </w:r>
      <w:r/>
    </w:p>
    <w:p>
      <w:pPr>
        <w:contextualSpacing/>
        <w:ind w:firstLine="482"/>
        <w:spacing w:line="360" w:lineRule="auto"/>
        <w:rPr>
          <w:rFonts w:hint="eastAsia" w:ascii="宋体" w:hAnsi="宋体"/>
          <w:bCs/>
          <w:color w:val="000000"/>
          <w:sz w:val="24"/>
        </w:rPr>
      </w:pPr>
      <w:r>
        <w:rPr>
          <w:rFonts w:hint="eastAsia" w:ascii="宋体" w:hAnsi="宋体"/>
          <w:bCs/>
          <w:color w:val="000000"/>
          <w:sz w:val="24"/>
        </w:rPr>
        <w:t xml:space="preserve">（二）合同服务期限：自甲方发出本期维保指令单之日起壹年。</w:t>
      </w:r>
      <w:r/>
    </w:p>
    <w:p>
      <w:pPr>
        <w:contextualSpacing/>
        <w:ind w:firstLine="482"/>
        <w:spacing w:line="360" w:lineRule="auto"/>
        <w:rPr>
          <w:rFonts w:hint="eastAsia" w:ascii="宋体" w:hAnsi="宋体"/>
          <w:bCs/>
          <w:color w:val="000000"/>
          <w:sz w:val="24"/>
        </w:rPr>
      </w:pPr>
      <w:r>
        <w:rPr>
          <w:rFonts w:hint="eastAsia" w:ascii="宋体" w:hAnsi="宋体"/>
          <w:bCs/>
          <w:color w:val="000000"/>
          <w:sz w:val="24"/>
        </w:rPr>
        <w:t xml:space="preserve">（三）服务地点：常州市武进区。</w:t>
      </w:r>
      <w:r/>
    </w:p>
    <w:p>
      <w:pPr>
        <w:ind w:firstLine="482"/>
        <w:jc w:val="left"/>
        <w:spacing w:line="360" w:lineRule="auto"/>
        <w:rPr>
          <w:rFonts w:hint="eastAsia" w:ascii="宋体" w:hAnsi="宋体"/>
          <w:bCs/>
          <w:color w:val="000000"/>
          <w:sz w:val="24"/>
        </w:rPr>
      </w:pPr>
      <w:r>
        <w:rPr>
          <w:rFonts w:hint="eastAsia" w:ascii="宋体" w:hAnsi="宋体"/>
          <w:bCs/>
          <w:color w:val="000000"/>
          <w:sz w:val="24"/>
        </w:rPr>
        <w:t xml:space="preserve">（四）</w:t>
      </w:r>
      <w:r>
        <w:rPr>
          <w:rFonts w:ascii="宋体" w:hAnsi="宋体"/>
          <w:bCs/>
          <w:color w:val="000000"/>
          <w:sz w:val="24"/>
        </w:rPr>
        <w:t xml:space="preserve">付款</w:t>
      </w:r>
      <w:r>
        <w:rPr>
          <w:rFonts w:hint="eastAsia" w:ascii="宋体" w:hAnsi="宋体"/>
          <w:bCs/>
          <w:color w:val="000000"/>
          <w:sz w:val="24"/>
        </w:rPr>
        <w:t xml:space="preserve">方式：合同签订并提供有效付款手续后30天内支付合同价的30%作为预付款。服务期满验收合格后，按照考评结果并经审计后付清余款（不计息）。</w:t>
      </w:r>
      <w:r>
        <w:rPr>
          <w:rFonts w:ascii="宋体" w:hAnsi="宋体"/>
          <w:bCs/>
          <w:color w:val="000000"/>
          <w:sz w:val="24"/>
        </w:rPr>
        <w:t xml:space="preserve">审计结束，即开具审定价的全额发票。</w:t>
      </w:r>
      <w:r/>
    </w:p>
    <w:p>
      <w:pPr>
        <w:contextualSpacing/>
        <w:ind w:firstLine="480"/>
        <w:spacing w:line="360" w:lineRule="auto"/>
        <w:rPr>
          <w:bCs/>
          <w:color w:val="000000"/>
          <w:sz w:val="24"/>
        </w:rPr>
      </w:pPr>
      <w:r>
        <w:rPr>
          <w:rFonts w:hint="eastAsia"/>
          <w:bCs/>
          <w:color w:val="000000"/>
          <w:sz w:val="24"/>
        </w:rPr>
        <w:t xml:space="preserve">（五）服务要求</w:t>
      </w:r>
      <w:r/>
    </w:p>
    <w:p>
      <w:pPr>
        <w:contextualSpacing/>
        <w:ind w:firstLine="480"/>
        <w:spacing w:line="360" w:lineRule="auto"/>
        <w:rPr>
          <w:rFonts w:hint="eastAsia" w:ascii="宋体" w:hAnsi="宋体" w:cs="宋体"/>
          <w:bCs/>
          <w:color w:val="000000"/>
          <w:sz w:val="24"/>
        </w:rPr>
      </w:pPr>
      <w:r>
        <w:rPr>
          <w:rFonts w:hint="eastAsia"/>
          <w:bCs/>
          <w:color w:val="000000"/>
          <w:sz w:val="24"/>
        </w:rPr>
        <w:t xml:space="preserve">供应商针对本项目需提供7*24小时常武地区技术、维护保养服务，提供保证系统正常运行所需要的维护保养及备品备件配件。中标供应商应对本项目前后端设备提供包含软件漏洞修补、故障排除、性能调优、摄像机和存储系统软件升级和增补、功能调优、图像抓拍性能提升、范围扩展、嵌入式软件定制修改、各项后端软件业务流程调整和功能性能升级等内容在内的持续升级服务；本项目视频和图像、数据传</w:t>
      </w:r>
      <w:r>
        <w:rPr>
          <w:rFonts w:hint="eastAsia"/>
          <w:bCs/>
          <w:color w:val="000000"/>
          <w:sz w:val="24"/>
        </w:rPr>
        <w:t xml:space="preserve">输接口、数据结构、传输内容应当符合武进公安本地数据接收规范，具备定制和持续更新能力；摄像机画面字符字体、字号、位置等文字叠加参数应按照武进公安规范进行定制，支持全寿命周期调整升级；摄像机内置软件支持持续升级，并能根据用户需求进行抓拍软件性能提升，按用户要求不断提高图片抓拍率、重复率、优选率和图像质量；以上各项定制、升级响应并现场部署完成至项目实施方确认的时间不得超过30日。中标供应商应对由于设备质量、项目实施质量、设计选型失误及其他由于供应商原因造成的损坏、故障进行修复。若供应商不履行维护保养义务和责任，则</w:t>
      </w:r>
      <w:r>
        <w:rPr>
          <w:rFonts w:hint="eastAsia" w:ascii="宋体" w:hAnsi="宋体" w:cs="宋体"/>
          <w:bCs/>
          <w:color w:val="000000"/>
          <w:sz w:val="24"/>
        </w:rPr>
        <w:t xml:space="preserve">应承担由于违约造成的法律后果。由于设备质量、项目实施质量、设计选型失误及其他由于供应商原因而导致或发生与此有关的人身伤亡、财产损失、环境损害及其他意外事件，以及产生的诉讼、索赔、损失补偿、行政处罚及其他费用，以及其他一切违约责任的后果，应由供应商承担。</w:t>
      </w:r>
      <w:r/>
    </w:p>
    <w:p>
      <w:pPr>
        <w:contextualSpacing/>
        <w:ind w:firstLine="482"/>
        <w:spacing w:line="360" w:lineRule="auto"/>
        <w:rPr>
          <w:rFonts w:hint="eastAsia" w:ascii="宋体" w:hAnsi="宋体" w:cs="宋体"/>
          <w:bCs/>
          <w:color w:val="000000"/>
          <w:sz w:val="24"/>
        </w:rPr>
      </w:pPr>
      <w:r/>
      <w:bookmarkStart w:id="298" w:name="OLE_LINK9"/>
      <w:r>
        <w:rPr>
          <w:rFonts w:hint="eastAsia"/>
          <w:b/>
          <w:color w:val="000000"/>
          <w:sz w:val="24"/>
        </w:rPr>
        <w:t xml:space="preserve">1、</w:t>
      </w:r>
      <w:r>
        <w:rPr>
          <w:rFonts w:hint="eastAsia" w:ascii="宋体" w:hAnsi="宋体" w:cs="宋体"/>
          <w:b/>
          <w:color w:val="000000"/>
          <w:sz w:val="24"/>
        </w:rPr>
        <w:t xml:space="preserve">维保责任界面</w:t>
      </w:r>
      <w:r/>
    </w:p>
    <w:p>
      <w:pPr>
        <w:contextualSpacing/>
        <w:ind w:firstLine="482"/>
        <w:spacing w:line="360" w:lineRule="auto"/>
        <w:rPr>
          <w:rFonts w:hint="eastAsia" w:ascii="宋体" w:hAnsi="宋体" w:cs="宋体"/>
          <w:bCs/>
          <w:color w:val="000000"/>
          <w:sz w:val="24"/>
        </w:rPr>
      </w:pPr>
      <w:r>
        <w:rPr>
          <w:rFonts w:hint="eastAsia" w:ascii="宋体" w:hAnsi="宋体" w:cs="宋体"/>
          <w:b/>
          <w:color w:val="000000"/>
          <w:sz w:val="24"/>
        </w:rPr>
        <w:t xml:space="preserve">本次维护采取包工包料的全包方式。</w:t>
      </w:r>
      <w:r>
        <w:rPr>
          <w:rFonts w:hint="eastAsia" w:ascii="宋体" w:hAnsi="宋体" w:cs="宋体"/>
          <w:bCs/>
          <w:color w:val="000000"/>
          <w:sz w:val="24"/>
        </w:rPr>
        <w:t xml:space="preserve">供应商应通过预警信息、软件巡查、数据比对分析、人工巡检和复核等多种方式，开展保养、巡检、维修等工作，实现维保工作全面、准确、高效。具体责任界面要求如下：</w:t>
      </w:r>
      <w:r/>
    </w:p>
    <w:p>
      <w:pPr>
        <w:contextualSpacing/>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（1）前端设备保养与巡检责任界面</w:t>
      </w:r>
      <w:r/>
    </w:p>
    <w:p>
      <w:pPr>
        <w:contextualSpacing/>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供应商对维护范围内的前端设备（杆件、机箱、硬件设备、线缆、通讯传输设备等）及前端软件等运行情况按项目要求进行保养、巡检。保养包含但不仅限于必要的耗材更换、设备清洁、机箱清洁整理、运行情况检查和安全隐患排查；巡检包含但不仅限于人员、车辆轨迹采集识别率、图片效果、视频存储情况、实时视频清晰度、设备通讯联网情况等。</w:t>
      </w:r>
      <w:r/>
    </w:p>
    <w:p>
      <w:pPr>
        <w:contextualSpacing/>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（2）前端设备维修与更换责任界面</w:t>
      </w:r>
      <w:r/>
    </w:p>
    <w:p>
      <w:pPr>
        <w:contextualSpacing/>
        <w:ind w:firstLine="482"/>
        <w:spacing w:line="360" w:lineRule="auto"/>
        <w:rPr>
          <w:rFonts w:hint="eastAsia" w:ascii="宋体" w:hAnsi="宋体" w:cs="宋体"/>
          <w:bCs/>
          <w:color w:val="000000"/>
          <w:sz w:val="24"/>
        </w:rPr>
      </w:pPr>
      <w:r>
        <w:rPr>
          <w:rFonts w:hint="eastAsia" w:ascii="宋体" w:hAnsi="宋体" w:cs="宋体"/>
          <w:b/>
          <w:color w:val="000000"/>
          <w:sz w:val="24"/>
        </w:rPr>
        <w:t xml:space="preserve">供应商在维护范围内的前端设备（杆件、机箱、硬件设备、线缆、通讯传输设备等）及前端软件等发生故障时（含效果优化、参数调整）进行维修，如维修效果不能满足使用需求，需更换全新设备，所有费用包含在本次报价内，不再增加额外费用</w:t>
      </w:r>
      <w:r>
        <w:rPr>
          <w:rFonts w:hint="eastAsia" w:ascii="宋体" w:hAnsi="宋体" w:cs="宋体"/>
          <w:bCs/>
          <w:color w:val="000000"/>
          <w:sz w:val="24"/>
        </w:rPr>
        <w:t xml:space="preserve">。</w:t>
      </w:r>
      <w:r/>
    </w:p>
    <w:p>
      <w:pPr>
        <w:contextualSpacing/>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供应商在维护范围内需按采购人需求调整杆件上设备，包括但不限于设备拆除、入库、清洗、移机等。</w:t>
      </w:r>
      <w:r/>
    </w:p>
    <w:p>
      <w:pPr>
        <w:contextualSpacing/>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（3）中心设备维修与更换责任界面</w:t>
      </w:r>
      <w:r/>
    </w:p>
    <w:p>
      <w:pPr>
        <w:contextualSpacing/>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中标供应商在维护范围内的中心设备、中心软件等发生故障时（含效果优化、参数调整）进行维修及中心到前端裸光纤链路数据传输正常。如维修效果不能满足使用需求，需更换全新设备，所有费用包含在本次报价内，</w:t>
      </w:r>
      <w:r>
        <w:rPr>
          <w:rFonts w:hint="eastAsia" w:ascii="宋体" w:hAnsi="宋体" w:cs="宋体"/>
          <w:b/>
          <w:color w:val="000000"/>
          <w:sz w:val="24"/>
        </w:rPr>
        <w:t xml:space="preserve">不再增加额外费用</w:t>
      </w:r>
      <w:r>
        <w:rPr>
          <w:rFonts w:hint="eastAsia" w:ascii="宋体" w:hAnsi="宋体" w:cs="宋体"/>
          <w:bCs/>
          <w:color w:val="000000"/>
          <w:sz w:val="24"/>
        </w:rPr>
        <w:t xml:space="preserve">。</w:t>
      </w:r>
      <w:bookmarkEnd w:id="298"/>
      <w:r/>
      <w:r/>
    </w:p>
    <w:p>
      <w:pPr>
        <w:contextualSpacing/>
        <w:ind w:firstLine="482"/>
        <w:spacing w:line="360" w:lineRule="auto"/>
        <w:rPr>
          <w:b/>
          <w:color w:val="000000"/>
          <w:sz w:val="24"/>
        </w:rPr>
      </w:pPr>
      <w:r>
        <w:rPr>
          <w:rFonts w:hint="eastAsia"/>
          <w:b/>
          <w:color w:val="000000"/>
          <w:sz w:val="24"/>
        </w:rPr>
        <w:t xml:space="preserve">2、运维服务团队及设备要求</w:t>
      </w:r>
      <w:r/>
    </w:p>
    <w:p>
      <w:pPr>
        <w:contextualSpacing/>
        <w:ind w:firstLine="480"/>
        <w:spacing w:line="360" w:lineRule="auto"/>
        <w:rPr>
          <w:b/>
          <w:color w:val="000000"/>
          <w:sz w:val="24"/>
        </w:rPr>
      </w:pPr>
      <w:r>
        <w:rPr>
          <w:rFonts w:hint="eastAsia"/>
          <w:b/>
          <w:sz w:val="24"/>
        </w:rPr>
        <w:t xml:space="preserve">（1）维保单位针对本维保项目配备以下维护人员和车辆：不少于1名内场维护工程师、2名外场维护工程师和1辆维护面</w:t>
      </w:r>
      <w:r>
        <w:rPr>
          <w:rFonts w:hint="eastAsia"/>
          <w:b/>
          <w:color w:val="000000"/>
          <w:sz w:val="24"/>
        </w:rPr>
        <w:t xml:space="preserve">包车或轻型卡车。项目管理团队及现场</w:t>
      </w:r>
      <w:r>
        <w:rPr>
          <w:b/>
          <w:color w:val="000000"/>
          <w:sz w:val="24"/>
        </w:rPr>
        <w:t xml:space="preserve">维护人员需经武进公安局科技信息大队培训</w:t>
      </w:r>
      <w:r>
        <w:rPr>
          <w:rFonts w:hint="eastAsia"/>
          <w:b/>
          <w:color w:val="000000"/>
          <w:sz w:val="24"/>
        </w:rPr>
        <w:t xml:space="preserve">并签订相关的信息保密协议</w:t>
      </w:r>
      <w:r>
        <w:rPr>
          <w:b/>
          <w:color w:val="000000"/>
          <w:sz w:val="24"/>
        </w:rPr>
        <w:t xml:space="preserve">后方可上岗</w:t>
      </w:r>
      <w:r>
        <w:rPr>
          <w:rFonts w:hint="eastAsia"/>
          <w:b/>
          <w:color w:val="000000"/>
          <w:sz w:val="24"/>
        </w:rPr>
        <w:t xml:space="preserve">。</w:t>
      </w:r>
      <w:r/>
    </w:p>
    <w:p>
      <w:pPr>
        <w:contextualSpacing/>
        <w:ind w:firstLine="480"/>
        <w:spacing w:line="360" w:lineRule="auto"/>
        <w:rPr>
          <w:bCs/>
          <w:color w:val="000000"/>
          <w:sz w:val="24"/>
        </w:rPr>
      </w:pPr>
      <w:r>
        <w:rPr>
          <w:rFonts w:hint="eastAsia"/>
          <w:bCs/>
          <w:color w:val="000000"/>
          <w:sz w:val="24"/>
        </w:rPr>
        <w:t xml:space="preserve">（</w:t>
      </w:r>
      <w:r>
        <w:rPr>
          <w:rFonts w:hint="eastAsia" w:ascii="宋体" w:hAnsi="宋体" w:cs="宋体"/>
          <w:bCs/>
          <w:color w:val="000000"/>
          <w:sz w:val="24"/>
        </w:rPr>
        <w:t xml:space="preserve">2）内场维护工程师应在常州市公安局武进分局科信大队开展驻场服务，服从常州市公安局武进分局科信大队日常勤务制度管理，按各自承担后端视频图像在线状态、录像状态、图像质量、各业务平台、后端硬件系统、机房环境动力系统的巡查和维护任务分配、维护报告编制和维护质量管理；外场维护工程师负责外场现场维修、设备调试优化和日常巡检工作。如内场维护工程师、外场维护工程师、维护车辆发生变动，必须事先征得</w:t>
      </w:r>
      <w:r>
        <w:rPr>
          <w:rFonts w:hint="eastAsia"/>
          <w:bCs/>
          <w:color w:val="000000"/>
          <w:sz w:val="24"/>
        </w:rPr>
        <w:t xml:space="preserve">采购人同意，接替人员必须符合上述人员要求，提前1个月到常州市公安局武进分局进行工作交接。若供应商维护工程师不符合建设单位要求，采购人有权要求供应商重新提供符合要求的维护工程师，接替人员上岗后工作交接1个月后，原</w:t>
      </w:r>
      <w:r>
        <w:rPr>
          <w:rFonts w:hint="eastAsia"/>
          <w:bCs/>
          <w:color w:val="000000"/>
          <w:sz w:val="24"/>
        </w:rPr>
        <w:t xml:space="preserve">维护工程师方可离开。同时供应商应认真对维护工程师进行技术培训、查勤考核，确保运行维护保养工作到位。若供应商违约，采购人每次可视情扣缴供应商违约金，每次扣缴违约金不超过1万元。采购人只提供供应商内场维护工程师基本的办公条件，维护的软硬件设备需供应商自行提供且需满足公安标准要求，如采购人认为需要，可派供应商内场维护工程师进行非本项目以外的工作，供应商不得拒绝。供应商内场、外场维护工程师是供应商单位的人员，如发生一切自身及其他人身伤害、事故，相应一切法律责任、经济责任、社会责任由供应商承担，采购人不承担任何责任。</w:t>
      </w:r>
      <w:r/>
    </w:p>
    <w:p>
      <w:pPr>
        <w:contextualSpacing/>
        <w:ind w:firstLine="480"/>
        <w:spacing w:line="360" w:lineRule="auto"/>
        <w:rPr>
          <w:bCs/>
          <w:sz w:val="24"/>
        </w:rPr>
      </w:pPr>
      <w:r>
        <w:rPr>
          <w:rFonts w:hint="eastAsia"/>
          <w:bCs/>
          <w:sz w:val="24"/>
        </w:rPr>
        <w:t xml:space="preserve">（3）采购人重大安保活动及其它特殊情况，供应商应提供不限于以上维护人员和设备以外的技术人员和设备，根据采购人要求提前到武进当地进行技术保障、事前巡检及故障修复，确保重大安保活动及其它特殊情况时设备的完好使用，采购人不另行支付费用。</w:t>
      </w:r>
      <w:r/>
    </w:p>
    <w:p>
      <w:pPr>
        <w:contextualSpacing/>
        <w:ind w:firstLine="480"/>
        <w:spacing w:line="360" w:lineRule="auto"/>
        <w:rPr>
          <w:bCs/>
          <w:sz w:val="24"/>
        </w:rPr>
      </w:pPr>
      <w:r/>
      <w:bookmarkStart w:id="299" w:name="_Hlk235565914"/>
      <w:r>
        <w:rPr>
          <w:rFonts w:hint="eastAsia"/>
          <w:bCs/>
          <w:sz w:val="24"/>
        </w:rPr>
        <w:t xml:space="preserve">（4）供应商在项目实施过程中因设备老化导致性能不达标，经维修后符合性能指标，若发现与其配套的设备无法与上述设备兼容时，须将不兼容设备同时更换以满足整体兼容性使用要求。更换的设备应不得低于原设备参数标准，且视频画面、图像数据等要求需满足采购人要求。</w:t>
      </w:r>
      <w:bookmarkEnd w:id="299"/>
      <w:r/>
      <w:r/>
    </w:p>
    <w:p>
      <w:pPr>
        <w:contextualSpacing/>
        <w:ind w:firstLine="480"/>
        <w:spacing w:line="360" w:lineRule="auto"/>
        <w:rPr>
          <w:bCs/>
          <w:sz w:val="24"/>
        </w:rPr>
      </w:pPr>
      <w:r>
        <w:rPr>
          <w:rFonts w:hint="eastAsia"/>
          <w:bCs/>
          <w:sz w:val="24"/>
        </w:rPr>
        <w:t xml:space="preserve">（5）供应商</w:t>
      </w:r>
      <w:r>
        <w:rPr>
          <w:bCs/>
          <w:sz w:val="24"/>
        </w:rPr>
        <w:t xml:space="preserve">应</w:t>
      </w:r>
      <w:r>
        <w:rPr>
          <w:rFonts w:hint="eastAsia"/>
          <w:bCs/>
          <w:sz w:val="24"/>
        </w:rPr>
        <w:t xml:space="preserve">配备一定数量</w:t>
      </w:r>
      <w:r>
        <w:rPr>
          <w:bCs/>
          <w:sz w:val="24"/>
        </w:rPr>
        <w:t xml:space="preserve">的备品备件，具体包括：摄像机、</w:t>
      </w:r>
      <w:r>
        <w:rPr>
          <w:rFonts w:hint="eastAsia"/>
          <w:bCs/>
          <w:sz w:val="24"/>
        </w:rPr>
        <w:t xml:space="preserve">接入</w:t>
      </w:r>
      <w:r>
        <w:rPr>
          <w:bCs/>
          <w:sz w:val="24"/>
        </w:rPr>
        <w:t xml:space="preserve">交换机、硬盘、电源、</w:t>
      </w:r>
      <w:r>
        <w:rPr>
          <w:rFonts w:hint="eastAsia"/>
          <w:bCs/>
          <w:sz w:val="24"/>
        </w:rPr>
        <w:t xml:space="preserve">录像机</w:t>
      </w:r>
      <w:r>
        <w:rPr>
          <w:bCs/>
          <w:sz w:val="24"/>
        </w:rPr>
        <w:t xml:space="preserve">等设备（以下统称</w:t>
      </w:r>
      <w:r>
        <w:rPr>
          <w:rFonts w:hint="eastAsia"/>
          <w:bCs/>
          <w:sz w:val="24"/>
        </w:rPr>
        <w:t xml:space="preserve">“</w:t>
      </w:r>
      <w:r>
        <w:rPr>
          <w:bCs/>
          <w:sz w:val="24"/>
        </w:rPr>
        <w:t xml:space="preserve">备品备件</w:t>
      </w:r>
      <w:r>
        <w:rPr>
          <w:rFonts w:hint="eastAsia"/>
          <w:bCs/>
          <w:sz w:val="24"/>
        </w:rPr>
        <w:t xml:space="preserve">”</w:t>
      </w:r>
      <w:r>
        <w:rPr>
          <w:bCs/>
          <w:sz w:val="24"/>
        </w:rPr>
        <w:t xml:space="preserve">）。备品备件的品牌、型号、规格须与</w:t>
      </w:r>
      <w:r>
        <w:rPr>
          <w:rFonts w:hint="eastAsia"/>
          <w:bCs/>
          <w:sz w:val="24"/>
        </w:rPr>
        <w:t xml:space="preserve">维保设备</w:t>
      </w:r>
      <w:r>
        <w:rPr>
          <w:bCs/>
          <w:sz w:val="24"/>
        </w:rPr>
        <w:t xml:space="preserve">清单中对应主设备完全一致，</w:t>
      </w:r>
      <w:r>
        <w:rPr>
          <w:rFonts w:hint="eastAsia"/>
          <w:bCs/>
          <w:sz w:val="24"/>
        </w:rPr>
        <w:t xml:space="preserve">备品备件应不得低于原设备参数标准</w:t>
      </w:r>
      <w:r>
        <w:rPr>
          <w:bCs/>
          <w:sz w:val="24"/>
        </w:rPr>
        <w:t xml:space="preserve">。备品备件数量以</w:t>
      </w:r>
      <w:r>
        <w:rPr>
          <w:rFonts w:hint="eastAsia"/>
          <w:bCs/>
          <w:sz w:val="24"/>
        </w:rPr>
        <w:t xml:space="preserve">维保</w:t>
      </w:r>
      <w:r>
        <w:rPr>
          <w:bCs/>
          <w:sz w:val="24"/>
        </w:rPr>
        <w:t xml:space="preserve">设备清单中每类设备的同型号数量为基数，按该基数数量的3%计算备品备件数量</w:t>
      </w:r>
      <w:r>
        <w:rPr>
          <w:rFonts w:hint="eastAsia"/>
          <w:bCs/>
          <w:sz w:val="24"/>
        </w:rPr>
        <w:t xml:space="preserve">，</w:t>
      </w:r>
      <w:r>
        <w:rPr>
          <w:bCs/>
          <w:sz w:val="24"/>
        </w:rPr>
        <w:t xml:space="preserve">计算结果若出现小数，则采用</w:t>
      </w:r>
      <w:r>
        <w:rPr>
          <w:rFonts w:hint="eastAsia"/>
          <w:bCs/>
          <w:sz w:val="24"/>
        </w:rPr>
        <w:t xml:space="preserve">“</w:t>
      </w:r>
      <w:r>
        <w:rPr>
          <w:bCs/>
          <w:sz w:val="24"/>
        </w:rPr>
        <w:t xml:space="preserve">向上取整</w:t>
      </w:r>
      <w:r>
        <w:rPr>
          <w:rFonts w:hint="eastAsia"/>
          <w:bCs/>
          <w:sz w:val="24"/>
        </w:rPr>
        <w:t xml:space="preserve">”</w:t>
      </w:r>
      <w:r>
        <w:rPr>
          <w:bCs/>
          <w:sz w:val="24"/>
        </w:rPr>
        <w:t xml:space="preserve">原则，即小数点后数值大于零时均进一位取整</w:t>
      </w:r>
      <w:r>
        <w:rPr>
          <w:rFonts w:hint="eastAsia"/>
          <w:bCs/>
          <w:sz w:val="24"/>
        </w:rPr>
        <w:t xml:space="preserve">。</w:t>
      </w:r>
      <w:r>
        <w:rPr>
          <w:bCs/>
          <w:sz w:val="24"/>
        </w:rPr>
        <w:t xml:space="preserve">备品备件的质量标准、性能参数、保修期限等均须与主设备一致</w:t>
      </w:r>
      <w:r>
        <w:rPr>
          <w:rFonts w:hint="eastAsia"/>
          <w:bCs/>
          <w:sz w:val="24"/>
        </w:rPr>
        <w:t xml:space="preserve">，</w:t>
      </w:r>
      <w:r>
        <w:rPr>
          <w:bCs/>
          <w:sz w:val="24"/>
        </w:rPr>
        <w:t xml:space="preserve">并提供独立包装及明确标识</w:t>
      </w:r>
      <w:r>
        <w:rPr>
          <w:rFonts w:hint="eastAsia"/>
          <w:bCs/>
          <w:sz w:val="24"/>
        </w:rPr>
        <w:t xml:space="preserve">，</w:t>
      </w:r>
      <w:r>
        <w:rPr>
          <w:bCs/>
          <w:sz w:val="24"/>
        </w:rPr>
        <w:t xml:space="preserve">备品备件的运输、安装及验收程序参照主设备条款执行。备品备件的费用已包含在本合同总价中，</w:t>
      </w:r>
      <w:r>
        <w:rPr>
          <w:rFonts w:hint="eastAsia"/>
          <w:bCs/>
          <w:sz w:val="24"/>
        </w:rPr>
        <w:t xml:space="preserve">供应商</w:t>
      </w:r>
      <w:r>
        <w:rPr>
          <w:bCs/>
          <w:sz w:val="24"/>
        </w:rPr>
        <w:t xml:space="preserve">不得以任何理由要求</w:t>
      </w:r>
      <w:r>
        <w:rPr>
          <w:rFonts w:hint="eastAsia"/>
          <w:bCs/>
          <w:sz w:val="24"/>
        </w:rPr>
        <w:t xml:space="preserve">采购人</w:t>
      </w:r>
      <w:r>
        <w:rPr>
          <w:bCs/>
          <w:sz w:val="24"/>
        </w:rPr>
        <w:t xml:space="preserve">额外支付费用。</w:t>
      </w:r>
      <w:r/>
    </w:p>
    <w:p>
      <w:pPr>
        <w:contextualSpacing/>
        <w:ind w:firstLine="480"/>
        <w:spacing w:line="360" w:lineRule="auto"/>
        <w:rPr>
          <w:bCs/>
          <w:sz w:val="24"/>
        </w:rPr>
      </w:pPr>
      <w:r>
        <w:rPr>
          <w:rFonts w:hint="eastAsia"/>
          <w:bCs/>
          <w:sz w:val="24"/>
        </w:rPr>
        <w:t xml:space="preserve">（6）点位校准APP：武进公安按照技防基础设施数据治理要求，通过移动端和 PC 端相结合的方式，建成了点位校准APP，以基础数据现场采集、后端采集、人工审核三步走的方式，开展完整的资产属性数据全面治理，确保感知类资产基础属性准</w:t>
      </w:r>
      <w:r>
        <w:rPr>
          <w:rFonts w:hint="eastAsia"/>
          <w:bCs/>
          <w:sz w:val="24"/>
        </w:rPr>
        <w:t xml:space="preserve">确、清晰资产前端数据治理层面，重点应用移动终端信息采集手段，对各类感知设施基础信息进行现场采集和核对；依托移动终端高精度经纬度采集能力，采集较为稳定和精确的前端经纬度；依托移动终端电子罗盘采集能力，现场采集不可转动视频类感知设备朝向方位角度，为上图标注和智能化图像分析提供基础支撑；现场同时采集设备外观、安装位置、安装承载物、设备类型、补光灯属性、杆件和机柜、取电方式等项目结构化信息，采集设备安装地点、安装位置、安装支架、立杆机柜、取电借网等项目的图像，采集安装环境全景图像和视频，满足长期管理的基础信息需求；</w:t>
      </w:r>
      <w:r/>
    </w:p>
    <w:p>
      <w:pPr>
        <w:contextualSpacing/>
        <w:ind w:firstLine="480"/>
        <w:spacing w:line="360" w:lineRule="auto"/>
        <w:rPr>
          <w:bCs/>
          <w:color w:val="000000"/>
          <w:sz w:val="24"/>
        </w:rPr>
      </w:pPr>
      <w:r>
        <w:rPr>
          <w:rFonts w:hint="eastAsia"/>
          <w:bCs/>
          <w:sz w:val="24"/>
        </w:rPr>
        <w:t xml:space="preserve">现场还需采集设备安装所在地的重点单位、关键部位属性标签，满足设备分类标识和智能关联应用需求。资产后端数据治理层面，提供后端技术类属性数据治理能力，满足设备国标编码、类型管理、入网控制等业务需求：后端采集项目包括网络标识、IP地址、MAC地址，采集设备品牌、型号、序列号、录像机地址、录像机通道号、校时源地址、设备使用状态等信息，并采集能够印证以上项目正确填写的设备管理界面截图，确保截图内容与采集人员填写的内容一致；同时，后端采集视频类设备</w:t>
      </w:r>
      <w:r>
        <w:rPr>
          <w:rFonts w:hint="eastAsia"/>
          <w:bCs/>
          <w:color w:val="000000"/>
          <w:sz w:val="24"/>
        </w:rPr>
        <w:t xml:space="preserve">实时预览画面，以审核流程约束，确保图像上字符叠加内容、方式、位置符合国家标准和上级技术要求。本项目在施工、运维阶段，应当按照武进公安要求，进行全流程点位校准APP使用及监管。</w:t>
      </w:r>
      <w:r/>
    </w:p>
    <w:p>
      <w:pPr>
        <w:contextualSpacing/>
        <w:ind w:firstLine="482"/>
        <w:spacing w:line="360" w:lineRule="auto"/>
        <w:rPr>
          <w:b/>
          <w:color w:val="000000"/>
          <w:sz w:val="24"/>
        </w:rPr>
      </w:pPr>
      <w:r>
        <w:rPr>
          <w:rFonts w:hint="eastAsia"/>
          <w:b/>
          <w:color w:val="000000"/>
          <w:sz w:val="24"/>
        </w:rPr>
        <w:t xml:space="preserve">3、巡检要求</w:t>
      </w:r>
      <w:r/>
    </w:p>
    <w:p>
      <w:pPr>
        <w:contextualSpacing/>
        <w:ind w:firstLine="480"/>
        <w:spacing w:line="360" w:lineRule="auto"/>
        <w:rPr>
          <w:bCs/>
          <w:color w:val="000000"/>
          <w:sz w:val="24"/>
        </w:rPr>
      </w:pPr>
      <w:r>
        <w:rPr>
          <w:rFonts w:hint="eastAsia"/>
          <w:bCs/>
          <w:color w:val="000000"/>
          <w:sz w:val="24"/>
        </w:rPr>
        <w:t xml:space="preserve">（1）中标供应商应对前后端系统进行每日巡检，及时发现可能解决引发故障的风险和修复存在的故障，同时每日巡检工作应详细记录形成详细报告（一式两份）并经采购人确认，若中标供应商违约，采购人每次可视情扣缴中标供应商违约金，每次扣缴中标供应商违约金不超过1000元。</w:t>
      </w:r>
      <w:r/>
    </w:p>
    <w:p>
      <w:pPr>
        <w:contextualSpacing/>
        <w:ind w:firstLine="480"/>
        <w:spacing w:line="360" w:lineRule="auto"/>
        <w:rPr>
          <w:bCs/>
          <w:color w:val="000000"/>
          <w:sz w:val="24"/>
        </w:rPr>
      </w:pPr>
      <w:r>
        <w:rPr>
          <w:rFonts w:hint="eastAsia"/>
          <w:bCs/>
          <w:color w:val="000000"/>
          <w:sz w:val="24"/>
        </w:rPr>
        <w:t xml:space="preserve">（2）每日巡检内容包括但不限于前后端系统在线状态、资产在位状态、各类视频图像和数据质量、各类数据数量波动情况、后端环境动力系统及供配电系统运行状态、消防系统运行状态、系统内各服务保活状态、内部系统与外部系统数据交互服务保活状态，其他需要巡检的事项和异常信息。</w:t>
      </w:r>
      <w:r/>
    </w:p>
    <w:p>
      <w:pPr>
        <w:contextualSpacing/>
        <w:ind w:firstLine="480"/>
        <w:spacing w:line="360" w:lineRule="auto"/>
        <w:rPr>
          <w:bCs/>
          <w:color w:val="000000"/>
          <w:sz w:val="24"/>
        </w:rPr>
      </w:pPr>
      <w:r>
        <w:rPr>
          <w:rFonts w:hint="eastAsia"/>
          <w:bCs/>
          <w:color w:val="000000"/>
          <w:sz w:val="24"/>
        </w:rPr>
        <w:t xml:space="preserve">（3）供应商应提供月度例行巡检，对前端设施安全性、可用性进行检查，对发现的问题及时处理；对全部补光灯进行无遗漏检查，对发现的故障灯具及时更换；对前端设备箱及箱内设备进行检查和清洁，确保箱内整洁、环境可控、设备稳定运行。</w:t>
      </w:r>
      <w:r/>
    </w:p>
    <w:p>
      <w:pPr>
        <w:contextualSpacing/>
        <w:ind w:firstLine="480"/>
        <w:spacing w:line="360" w:lineRule="auto"/>
        <w:rPr>
          <w:bCs/>
          <w:color w:val="000000"/>
          <w:sz w:val="24"/>
        </w:rPr>
      </w:pPr>
      <w:r>
        <w:rPr>
          <w:rFonts w:hint="eastAsia"/>
          <w:bCs/>
          <w:color w:val="000000"/>
          <w:sz w:val="24"/>
        </w:rPr>
        <w:t xml:space="preserve">（4）供应商应提供季度例行巡检，对后端设施可用性进行检查，对发现的问题及时处理；对供配电系统进行测试，对存在隐患的环节进行维修和更换；</w:t>
      </w:r>
      <w:r/>
    </w:p>
    <w:p>
      <w:pPr>
        <w:contextualSpacing/>
        <w:ind w:firstLine="480"/>
        <w:spacing w:line="360" w:lineRule="auto"/>
        <w:rPr>
          <w:bCs/>
          <w:color w:val="000000"/>
          <w:sz w:val="24"/>
        </w:rPr>
      </w:pPr>
      <w:r>
        <w:rPr>
          <w:rFonts w:hint="eastAsia"/>
          <w:bCs/>
          <w:color w:val="000000"/>
          <w:sz w:val="24"/>
        </w:rPr>
        <w:t xml:space="preserve">（5）供应商应按以上巡检要求开展巡检工作，并撰写维护保养周报、月报、季报和年度报告，详细记录相关设备维护保养、故障修复、维修人员及其它情况，并在每周一、月后的第一天、季度的第一天、次年第一天内提供给采购人。</w:t>
      </w:r>
      <w:r/>
    </w:p>
    <w:tbl>
      <w:tblPr>
        <w:tblStyle w:val="737"/>
        <w:tblpPr w:horzAnchor="page" w:tblpXSpec="center" w:vertAnchor="text" w:tblpY="460" w:leftFromText="180" w:topFromText="0" w:rightFromText="180" w:bottomFromText="0"/>
        <w:tblW w:w="841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5"/>
        <w:gridCol w:w="7730"/>
      </w:tblGrid>
      <w:tr>
        <w:trPr>
          <w:trHeight w:val="507"/>
        </w:trPr>
        <w:tc>
          <w:tcPr>
            <w:tcW w:w="685" w:type="dxa"/>
            <w:vAlign w:val="center"/>
            <w:textDirection w:val="lrTb"/>
            <w:noWrap w:val="false"/>
          </w:tcPr>
          <w:p>
            <w:pPr>
              <w:contextualSpacing/>
              <w:jc w:val="center"/>
              <w:rPr>
                <w:rFonts w:ascii="Calibri" w:hAnsi="Calibri"/>
                <w:bCs/>
                <w:color w:val="000000"/>
                <w:sz w:val="24"/>
                <w:lang w:eastAsia="en-US"/>
              </w:rPr>
            </w:pPr>
            <w:r/>
            <w:bookmarkStart w:id="300" w:name="_Hlk223164955"/>
            <w:r/>
            <w:bookmarkStart w:id="301" w:name="OLE_LINK11"/>
            <w:r/>
            <w:bookmarkStart w:id="302" w:name="OLE_LINK10"/>
            <w:r>
              <w:rPr>
                <w:rFonts w:hint="eastAsia" w:ascii="Calibri" w:hAnsi="Calibri"/>
                <w:bCs/>
                <w:color w:val="000000"/>
                <w:sz w:val="24"/>
                <w:lang w:eastAsia="en-US"/>
              </w:rPr>
              <w:t xml:space="preserve">序号</w:t>
            </w:r>
            <w:r/>
          </w:p>
        </w:tc>
        <w:tc>
          <w:tcPr>
            <w:tcW w:w="7730" w:type="dxa"/>
            <w:vAlign w:val="center"/>
            <w:textDirection w:val="lrTb"/>
            <w:noWrap w:val="false"/>
          </w:tcPr>
          <w:p>
            <w:pPr>
              <w:contextualSpacing/>
              <w:jc w:val="center"/>
              <w:rPr>
                <w:rFonts w:ascii="Calibri" w:hAnsi="Calibri"/>
                <w:bCs/>
                <w:color w:val="000000"/>
                <w:sz w:val="24"/>
                <w:lang w:eastAsia="en-US"/>
              </w:rPr>
            </w:pPr>
            <w:r>
              <w:rPr>
                <w:rFonts w:hint="eastAsia" w:ascii="Calibri" w:hAnsi="Calibri"/>
                <w:b/>
                <w:color w:val="000000"/>
                <w:sz w:val="24"/>
                <w:lang w:eastAsia="en-US"/>
              </w:rPr>
              <w:t xml:space="preserve">月巡检内容</w:t>
            </w:r>
            <w:r/>
          </w:p>
        </w:tc>
      </w:tr>
      <w:tr>
        <w:trPr>
          <w:trHeight w:val="557"/>
        </w:trPr>
        <w:tc>
          <w:tcPr>
            <w:tcW w:w="685" w:type="dxa"/>
            <w:vAlign w:val="center"/>
            <w:textDirection w:val="lrTb"/>
            <w:noWrap w:val="false"/>
          </w:tcPr>
          <w:p>
            <w:pPr>
              <w:contextualSpacing/>
              <w:jc w:val="center"/>
              <w:rPr>
                <w:rFonts w:ascii="Calibri" w:hAnsi="Calibri"/>
                <w:bCs/>
                <w:color w:val="000000"/>
                <w:sz w:val="24"/>
                <w:lang w:eastAsia="en-US"/>
              </w:rPr>
            </w:pPr>
            <w:r>
              <w:rPr>
                <w:rFonts w:hint="eastAsia" w:ascii="Calibri" w:hAnsi="Calibri"/>
                <w:bCs/>
                <w:color w:val="000000"/>
                <w:sz w:val="24"/>
                <w:lang w:eastAsia="en-US"/>
              </w:rPr>
              <w:t xml:space="preserve">1</w:t>
            </w:r>
            <w:r/>
          </w:p>
        </w:tc>
        <w:tc>
          <w:tcPr>
            <w:tcW w:w="7730" w:type="dxa"/>
            <w:vAlign w:val="center"/>
            <w:textDirection w:val="lrTb"/>
            <w:noWrap w:val="false"/>
          </w:tcPr>
          <w:p>
            <w:pPr>
              <w:contextualSpacing/>
              <w:rPr>
                <w:rFonts w:ascii="Calibri" w:hAnsi="Calibri"/>
                <w:bCs/>
                <w:color w:val="000000"/>
                <w:sz w:val="24"/>
              </w:rPr>
            </w:pPr>
            <w:r>
              <w:rPr>
                <w:rFonts w:hint="eastAsia" w:ascii="Calibri" w:hAnsi="Calibri"/>
                <w:bCs/>
                <w:color w:val="000000"/>
                <w:sz w:val="24"/>
              </w:rPr>
              <w:t xml:space="preserve">对设备外观、运行状态、安全性进行检查，及时发现和解决故障。</w:t>
            </w:r>
            <w:r/>
          </w:p>
        </w:tc>
      </w:tr>
      <w:tr>
        <w:trPr>
          <w:trHeight w:val="411"/>
        </w:trPr>
        <w:tc>
          <w:tcPr>
            <w:tcW w:w="685" w:type="dxa"/>
            <w:vAlign w:val="center"/>
            <w:textDirection w:val="lrTb"/>
            <w:noWrap w:val="false"/>
          </w:tcPr>
          <w:p>
            <w:pPr>
              <w:contextualSpacing/>
              <w:jc w:val="center"/>
              <w:rPr>
                <w:rFonts w:ascii="Calibri" w:hAnsi="Calibri"/>
                <w:bCs/>
                <w:color w:val="000000"/>
                <w:sz w:val="24"/>
                <w:lang w:eastAsia="en-US"/>
              </w:rPr>
            </w:pPr>
            <w:r>
              <w:rPr>
                <w:rFonts w:hint="eastAsia" w:ascii="Calibri" w:hAnsi="Calibri"/>
                <w:bCs/>
                <w:color w:val="000000"/>
                <w:sz w:val="24"/>
                <w:lang w:eastAsia="en-US"/>
              </w:rPr>
              <w:t xml:space="preserve">2</w:t>
            </w:r>
            <w:r/>
          </w:p>
        </w:tc>
        <w:tc>
          <w:tcPr>
            <w:tcW w:w="7730" w:type="dxa"/>
            <w:vAlign w:val="center"/>
            <w:textDirection w:val="lrTb"/>
            <w:noWrap w:val="false"/>
          </w:tcPr>
          <w:p>
            <w:pPr>
              <w:contextualSpacing/>
              <w:rPr>
                <w:rFonts w:ascii="Calibri" w:hAnsi="Calibri"/>
                <w:bCs/>
                <w:color w:val="000000"/>
                <w:sz w:val="24"/>
              </w:rPr>
            </w:pPr>
            <w:r>
              <w:rPr>
                <w:rFonts w:hint="eastAsia" w:ascii="Calibri" w:hAnsi="Calibri"/>
                <w:bCs/>
                <w:color w:val="000000"/>
                <w:sz w:val="24"/>
              </w:rPr>
              <w:t xml:space="preserve">对设备、杆件、机箱进行清理，设备、杆件、机箱自然老化严重的影响安全的，向采购人提出更换申请；道路监控等视频类设备应根据实际情况清洗防雨罩或防雨镜片；维保期内，对易损耗材进行更换，保证维保期内设备正常运行，所更换配件型号及质量须等同或者高于原品牌。</w:t>
            </w:r>
            <w:r/>
          </w:p>
        </w:tc>
      </w:tr>
      <w:tr>
        <w:trPr>
          <w:trHeight w:val="513"/>
        </w:trPr>
        <w:tc>
          <w:tcPr>
            <w:tcW w:w="685" w:type="dxa"/>
            <w:vAlign w:val="center"/>
            <w:textDirection w:val="lrTb"/>
            <w:noWrap w:val="false"/>
          </w:tcPr>
          <w:p>
            <w:pPr>
              <w:contextualSpacing/>
              <w:jc w:val="center"/>
              <w:rPr>
                <w:rFonts w:ascii="Calibri" w:hAnsi="Calibri"/>
                <w:bCs/>
                <w:color w:val="000000"/>
                <w:sz w:val="24"/>
                <w:lang w:eastAsia="en-US"/>
              </w:rPr>
            </w:pPr>
            <w:r>
              <w:rPr>
                <w:rFonts w:hint="eastAsia" w:ascii="Calibri" w:hAnsi="Calibri"/>
                <w:bCs/>
                <w:color w:val="000000"/>
                <w:sz w:val="24"/>
                <w:lang w:eastAsia="en-US"/>
              </w:rPr>
              <w:t xml:space="preserve">3</w:t>
            </w:r>
            <w:r/>
          </w:p>
        </w:tc>
        <w:tc>
          <w:tcPr>
            <w:tcW w:w="7730" w:type="dxa"/>
            <w:vAlign w:val="center"/>
            <w:textDirection w:val="lrTb"/>
            <w:noWrap w:val="false"/>
          </w:tcPr>
          <w:p>
            <w:pPr>
              <w:contextualSpacing/>
              <w:rPr>
                <w:rFonts w:ascii="Calibri" w:hAnsi="Calibri"/>
                <w:bCs/>
                <w:color w:val="000000"/>
                <w:sz w:val="24"/>
              </w:rPr>
            </w:pPr>
            <w:r>
              <w:rPr>
                <w:rFonts w:hint="eastAsia" w:ascii="Calibri" w:hAnsi="Calibri"/>
                <w:bCs/>
                <w:color w:val="000000"/>
                <w:sz w:val="24"/>
              </w:rPr>
              <w:t xml:space="preserve">对管线、通讯井进行检查，及时发现和消除隐患。</w:t>
            </w:r>
            <w:r/>
          </w:p>
        </w:tc>
      </w:tr>
      <w:tr>
        <w:trPr>
          <w:trHeight w:val="708"/>
        </w:trPr>
        <w:tc>
          <w:tcPr>
            <w:tcW w:w="685" w:type="dxa"/>
            <w:vAlign w:val="center"/>
            <w:textDirection w:val="lrTb"/>
            <w:noWrap w:val="false"/>
          </w:tcPr>
          <w:p>
            <w:pPr>
              <w:contextualSpacing/>
              <w:jc w:val="center"/>
              <w:rPr>
                <w:rFonts w:ascii="Calibri" w:hAnsi="Calibri"/>
                <w:bCs/>
                <w:color w:val="000000"/>
                <w:sz w:val="24"/>
                <w:lang w:eastAsia="en-US"/>
              </w:rPr>
            </w:pPr>
            <w:r>
              <w:rPr>
                <w:rFonts w:hint="eastAsia" w:ascii="Calibri" w:hAnsi="Calibri"/>
                <w:bCs/>
                <w:color w:val="000000"/>
                <w:sz w:val="24"/>
                <w:lang w:eastAsia="en-US"/>
              </w:rPr>
              <w:t xml:space="preserve">4</w:t>
            </w:r>
            <w:r/>
          </w:p>
        </w:tc>
        <w:tc>
          <w:tcPr>
            <w:tcW w:w="7730" w:type="dxa"/>
            <w:vAlign w:val="center"/>
            <w:textDirection w:val="lrTb"/>
            <w:noWrap w:val="false"/>
          </w:tcPr>
          <w:p>
            <w:pPr>
              <w:contextualSpacing/>
              <w:rPr>
                <w:rFonts w:ascii="Calibri" w:hAnsi="Calibri"/>
                <w:bCs/>
                <w:color w:val="000000"/>
                <w:sz w:val="24"/>
              </w:rPr>
            </w:pPr>
            <w:r>
              <w:rPr>
                <w:rFonts w:hint="eastAsia" w:ascii="Calibri" w:hAnsi="Calibri"/>
                <w:bCs/>
                <w:color w:val="000000"/>
                <w:sz w:val="24"/>
              </w:rPr>
              <w:t xml:space="preserve">对设备参数进行检查和调整，保障设备在最优状态运行；对设备口令、隐藏账户、漏洞进行检查，及时完善安全机制。</w:t>
            </w:r>
            <w:r/>
          </w:p>
        </w:tc>
      </w:tr>
      <w:tr>
        <w:trPr>
          <w:trHeight w:val="712"/>
        </w:trPr>
        <w:tc>
          <w:tcPr>
            <w:tcW w:w="685" w:type="dxa"/>
            <w:vAlign w:val="center"/>
            <w:textDirection w:val="lrTb"/>
            <w:noWrap w:val="false"/>
          </w:tcPr>
          <w:p>
            <w:pPr>
              <w:contextualSpacing/>
              <w:jc w:val="center"/>
              <w:rPr>
                <w:rFonts w:ascii="Calibri" w:hAnsi="Calibri"/>
                <w:bCs/>
                <w:color w:val="000000"/>
                <w:sz w:val="24"/>
                <w:lang w:eastAsia="en-US"/>
              </w:rPr>
            </w:pPr>
            <w:r>
              <w:rPr>
                <w:rFonts w:hint="eastAsia" w:ascii="Calibri" w:hAnsi="Calibri"/>
                <w:bCs/>
                <w:color w:val="000000"/>
                <w:sz w:val="24"/>
                <w:lang w:eastAsia="en-US"/>
              </w:rPr>
              <w:t xml:space="preserve">5</w:t>
            </w:r>
            <w:r/>
          </w:p>
        </w:tc>
        <w:tc>
          <w:tcPr>
            <w:tcW w:w="7730" w:type="dxa"/>
            <w:vAlign w:val="center"/>
            <w:textDirection w:val="lrTb"/>
            <w:noWrap w:val="false"/>
          </w:tcPr>
          <w:p>
            <w:pPr>
              <w:contextualSpacing/>
              <w:rPr>
                <w:rFonts w:ascii="Calibri" w:hAnsi="Calibri"/>
                <w:bCs/>
                <w:color w:val="000000"/>
                <w:sz w:val="24"/>
              </w:rPr>
            </w:pPr>
            <w:r>
              <w:rPr>
                <w:rFonts w:hint="eastAsia" w:ascii="Calibri" w:hAnsi="Calibri"/>
                <w:bCs/>
                <w:color w:val="000000"/>
                <w:sz w:val="24"/>
              </w:rPr>
              <w:t xml:space="preserve">对影响设备及系统运行的标志标线变更、道路施工、重大活动等环境因素进行记录，并上报至采购人。</w:t>
            </w:r>
            <w:r/>
          </w:p>
        </w:tc>
      </w:tr>
      <w:tr>
        <w:trPr>
          <w:trHeight w:val="728"/>
        </w:trPr>
        <w:tc>
          <w:tcPr>
            <w:tcW w:w="685" w:type="dxa"/>
            <w:vAlign w:val="center"/>
            <w:textDirection w:val="lrTb"/>
            <w:noWrap w:val="false"/>
          </w:tcPr>
          <w:p>
            <w:pPr>
              <w:contextualSpacing/>
              <w:jc w:val="center"/>
              <w:rPr>
                <w:rFonts w:ascii="Calibri" w:hAnsi="Calibri"/>
                <w:bCs/>
                <w:color w:val="000000"/>
                <w:sz w:val="24"/>
                <w:lang w:eastAsia="en-US"/>
              </w:rPr>
            </w:pPr>
            <w:r>
              <w:rPr>
                <w:rFonts w:hint="eastAsia" w:ascii="Calibri" w:hAnsi="Calibri"/>
                <w:bCs/>
                <w:color w:val="000000"/>
                <w:sz w:val="24"/>
                <w:lang w:eastAsia="en-US"/>
              </w:rPr>
              <w:t xml:space="preserve">6</w:t>
            </w:r>
            <w:r/>
          </w:p>
        </w:tc>
        <w:tc>
          <w:tcPr>
            <w:tcW w:w="7730" w:type="dxa"/>
            <w:vAlign w:val="center"/>
            <w:textDirection w:val="lrTb"/>
            <w:noWrap w:val="false"/>
          </w:tcPr>
          <w:p>
            <w:pPr>
              <w:contextualSpacing/>
              <w:rPr>
                <w:rFonts w:ascii="Calibri" w:hAnsi="Calibri"/>
                <w:bCs/>
                <w:color w:val="000000"/>
                <w:sz w:val="24"/>
              </w:rPr>
            </w:pPr>
            <w:r>
              <w:rPr>
                <w:rFonts w:hint="eastAsia" w:ascii="Calibri" w:hAnsi="Calibri"/>
                <w:bCs/>
                <w:color w:val="000000"/>
                <w:sz w:val="24"/>
              </w:rPr>
              <w:t xml:space="preserve">建立并实时更新前端设备保养档案；做好记录等台帐资料，在机箱内对保养情况进行登记，由采购人进行检查。</w:t>
            </w:r>
            <w:r/>
          </w:p>
        </w:tc>
      </w:tr>
      <w:tr>
        <w:trPr>
          <w:trHeight w:val="728"/>
        </w:trPr>
        <w:tc>
          <w:tcPr>
            <w:tcW w:w="685" w:type="dxa"/>
            <w:vAlign w:val="center"/>
            <w:textDirection w:val="lrTb"/>
            <w:noWrap w:val="false"/>
          </w:tcPr>
          <w:p>
            <w:pPr>
              <w:contextualSpacing/>
              <w:jc w:val="center"/>
              <w:rPr>
                <w:rFonts w:ascii="Calibri" w:hAnsi="Calibri"/>
                <w:bCs/>
                <w:color w:val="000000"/>
                <w:sz w:val="24"/>
                <w:lang w:eastAsia="en-US"/>
              </w:rPr>
            </w:pPr>
            <w:r>
              <w:rPr>
                <w:rFonts w:hint="eastAsia" w:ascii="Calibri" w:hAnsi="Calibri"/>
                <w:bCs/>
                <w:color w:val="000000"/>
                <w:sz w:val="24"/>
                <w:lang w:eastAsia="en-US"/>
              </w:rPr>
              <w:t xml:space="preserve">7</w:t>
            </w:r>
            <w:r/>
          </w:p>
        </w:tc>
        <w:tc>
          <w:tcPr>
            <w:tcW w:w="7730" w:type="dxa"/>
            <w:vAlign w:val="center"/>
            <w:textDirection w:val="lrTb"/>
            <w:noWrap w:val="false"/>
          </w:tcPr>
          <w:p>
            <w:pPr>
              <w:contextualSpacing/>
              <w:rPr>
                <w:rFonts w:ascii="Calibri" w:hAnsi="Calibri"/>
                <w:bCs/>
                <w:color w:val="000000"/>
                <w:sz w:val="24"/>
              </w:rPr>
            </w:pPr>
            <w:r>
              <w:rPr>
                <w:rFonts w:hint="eastAsia" w:ascii="Calibri" w:hAnsi="Calibri"/>
                <w:bCs/>
                <w:color w:val="000000"/>
                <w:sz w:val="24"/>
              </w:rPr>
              <w:t xml:space="preserve">设备原厂技术服务工程师每月到现场对前、后端硬件设备状态检测功能检测，并形成质态分析报告。</w:t>
            </w:r>
            <w:bookmarkEnd w:id="300"/>
            <w:r/>
            <w:bookmarkEnd w:id="301"/>
            <w:r/>
            <w:bookmarkEnd w:id="302"/>
            <w:r/>
            <w:r/>
          </w:p>
        </w:tc>
      </w:tr>
    </w:tbl>
    <w:p>
      <w:pPr>
        <w:contextualSpacing/>
        <w:ind w:firstLine="482"/>
        <w:spacing w:line="360" w:lineRule="auto"/>
        <w:rPr>
          <w:b/>
          <w:color w:val="000000"/>
          <w:sz w:val="24"/>
        </w:rPr>
      </w:pPr>
      <w:r>
        <w:rPr>
          <w:rFonts w:hint="eastAsia"/>
          <w:b/>
          <w:color w:val="000000"/>
          <w:sz w:val="24"/>
        </w:rPr>
        <w:t xml:space="preserve">4、服务响应时间要求</w:t>
      </w:r>
      <w:r/>
    </w:p>
    <w:p>
      <w:pPr>
        <w:contextualSpacing/>
        <w:ind w:firstLine="480"/>
        <w:spacing w:line="360" w:lineRule="auto"/>
        <w:rPr>
          <w:bCs/>
          <w:color w:val="000000"/>
          <w:sz w:val="24"/>
        </w:rPr>
      </w:pPr>
      <w:r>
        <w:rPr>
          <w:rFonts w:hint="eastAsia"/>
          <w:bCs/>
          <w:color w:val="000000"/>
          <w:sz w:val="24"/>
        </w:rPr>
        <w:t xml:space="preserve">供应商应为采购人提供24小时“随传”服务，在接到采购人故障通知后的工作时间应2小时内到达故障现场维修，非工作时间应在4小时内到达故障现场维修，并能在8小时内排除故障；软硬件故障不能修复的，应替换同类</w:t>
      </w:r>
      <w:r>
        <w:rPr>
          <w:rFonts w:hint="eastAsia"/>
          <w:bCs/>
          <w:color w:val="000000"/>
          <w:sz w:val="24"/>
        </w:rPr>
        <w:t xml:space="preserve">型软硬件，保证系统运转正常，维护结束恢复正常后须由采购人书面确认，并形成维护维修记录（一式两份）。若供应商在8小时内未修复，采购人每次可视情扣缴供应商违约金，每次扣缴供应商违约金不超过1000元，若供应商在24小时内未修复，采购人每次可视情扣缴供应商违约金，每次扣缴供应商违约金不超过1万元，若供应商数天内未修复，则采购人每次可视情扣缴供应商违约金，每次扣缴供应商违约金不超过故障天数*1万元。同时采购人有权根据实际情况另行聘请其他单位进行维修，供应商应提供技术支持，在此期间发生的一切维护保养费用由供应商承担。</w:t>
      </w:r>
      <w:r/>
    </w:p>
    <w:p>
      <w:pPr>
        <w:contextualSpacing/>
        <w:ind w:firstLine="480"/>
        <w:spacing w:line="360" w:lineRule="auto"/>
        <w:rPr>
          <w:b/>
          <w:color w:val="000000"/>
          <w:sz w:val="24"/>
        </w:rPr>
      </w:pPr>
      <w:r>
        <w:rPr>
          <w:rFonts w:hint="eastAsia"/>
          <w:b/>
          <w:color w:val="000000"/>
          <w:sz w:val="24"/>
        </w:rPr>
        <w:t xml:space="preserve">5、设备完好率要求</w:t>
      </w:r>
      <w:r/>
    </w:p>
    <w:p>
      <w:pPr>
        <w:contextualSpacing/>
        <w:ind w:firstLine="480"/>
        <w:spacing w:line="360" w:lineRule="auto"/>
        <w:rPr>
          <w:bCs/>
          <w:color w:val="000000"/>
          <w:sz w:val="24"/>
        </w:rPr>
      </w:pPr>
      <w:r>
        <w:rPr>
          <w:rFonts w:hint="eastAsia"/>
          <w:bCs/>
          <w:color w:val="000000"/>
          <w:sz w:val="24"/>
        </w:rPr>
        <w:t xml:space="preserve">（1）本项目监控设施视频（含实时视频和录像）和图像、数据完好要求为视频连续、稳定、清晰，画面无遮挡、抖动、偏色，视频画面效果符合同类新设备质量状态，录像无中断、抖动或其他异常；设备输出的图像、数据连续，物体捕获率、重复率、优选率符合项目建设单位要求，图像清晰锐利、画面稳定、色彩准确，数据传输延迟在质量限值内，各类数据无前端积压，回传的图片完整、MD5校验无偏差。以上各项质量要求中，同一设备存在任一故障均视为设备不完好。</w:t>
      </w:r>
      <w:r/>
    </w:p>
    <w:p>
      <w:pPr>
        <w:contextualSpacing/>
        <w:ind w:firstLine="480"/>
        <w:spacing w:line="360" w:lineRule="auto"/>
        <w:rPr>
          <w:bCs/>
          <w:sz w:val="24"/>
        </w:rPr>
      </w:pPr>
      <w:r>
        <w:rPr>
          <w:rFonts w:hint="eastAsia"/>
          <w:bCs/>
          <w:color w:val="000000"/>
          <w:sz w:val="24"/>
        </w:rPr>
        <w:t xml:space="preserve">本项目监控设施视频（含实时视频和录像）和图像、数据完好率应达到以下要求：①日完好率应不低于99%（完好监控相机设备数/监控相机设备总数）；②周完好率应不低于98%（日完好率平均值）；③月完好率和年完好率应不低于97%（周完好率平均值）。</w:t>
      </w:r>
      <w:r>
        <w:rPr>
          <w:rFonts w:hint="eastAsia"/>
          <w:bCs/>
          <w:sz w:val="24"/>
        </w:rPr>
        <w:t xml:space="preserve">④本项目设备使用的第三方供电、第三方网络、第三方杆件等发生故障时，第三方故障诱发的本项目设备故障同等计入故障设备数量和故障率统计。</w:t>
      </w:r>
      <w:bookmarkStart w:id="303" w:name="_Hlk235565954"/>
      <w:r>
        <w:rPr>
          <w:rFonts w:hint="eastAsia"/>
          <w:bCs/>
          <w:sz w:val="24"/>
        </w:rPr>
        <w:t xml:space="preserve">⑤本项目如发生市政道路施工、交通事故、片区停电、管线损坏、路面沉降、设备停电、自然灾害等不可抗力导致设备故障时，经采购人同意后，可不计算到完好率中。</w:t>
      </w:r>
      <w:bookmarkEnd w:id="303"/>
      <w:r/>
      <w:r/>
    </w:p>
    <w:p>
      <w:pPr>
        <w:contextualSpacing/>
        <w:ind w:firstLine="480"/>
        <w:spacing w:line="360" w:lineRule="auto"/>
        <w:rPr>
          <w:bCs/>
          <w:color w:val="000000"/>
          <w:sz w:val="24"/>
        </w:rPr>
      </w:pPr>
      <w:r>
        <w:rPr>
          <w:rFonts w:hint="eastAsia"/>
          <w:bCs/>
          <w:color w:val="000000"/>
          <w:sz w:val="24"/>
        </w:rPr>
        <w:t xml:space="preserve">设备完好率达不到要求，采购人每次可视情况扣缴供应商违约金，每次扣缴供应商违约金不超过1万元。</w:t>
      </w:r>
      <w:r/>
    </w:p>
    <w:p>
      <w:pPr>
        <w:contextualSpacing/>
        <w:ind w:firstLine="480"/>
        <w:spacing w:line="360" w:lineRule="auto"/>
        <w:rPr>
          <w:bCs/>
          <w:color w:val="000000"/>
          <w:sz w:val="24"/>
        </w:rPr>
      </w:pPr>
      <w:r>
        <w:rPr>
          <w:rFonts w:hint="eastAsia"/>
          <w:bCs/>
          <w:color w:val="000000"/>
          <w:sz w:val="24"/>
        </w:rPr>
        <w:t xml:space="preserve">（2）本项目后端各业务平台、机房各类硬件系统、机房环境动力系统完好要求为平台和系统正常在线、</w:t>
      </w:r>
      <w:bookmarkStart w:id="304" w:name="OLE_LINK6"/>
      <w:r>
        <w:rPr>
          <w:rFonts w:hint="eastAsia"/>
          <w:bCs/>
          <w:color w:val="000000"/>
          <w:sz w:val="24"/>
        </w:rPr>
        <w:t xml:space="preserve">充分有效的发挥各自业务和服务能力</w:t>
      </w:r>
      <w:bookmarkEnd w:id="304"/>
      <w:r>
        <w:rPr>
          <w:rFonts w:hint="eastAsia"/>
          <w:bCs/>
          <w:color w:val="000000"/>
          <w:sz w:val="24"/>
        </w:rPr>
        <w:t xml:space="preserve">，提供符合项目设计要求并与验收时系统质态一致的性能指标和整体、分项运行效率。</w:t>
      </w:r>
      <w:r/>
    </w:p>
    <w:p>
      <w:pPr>
        <w:contextualSpacing/>
        <w:ind w:firstLine="480"/>
        <w:spacing w:line="360" w:lineRule="auto"/>
        <w:rPr>
          <w:bCs/>
          <w:color w:val="000000"/>
          <w:sz w:val="24"/>
        </w:rPr>
      </w:pPr>
      <w:r>
        <w:rPr>
          <w:rFonts w:hint="eastAsia"/>
          <w:bCs/>
          <w:color w:val="000000"/>
          <w:sz w:val="24"/>
        </w:rPr>
        <w:t xml:space="preserve">本项目后端各业务平台、机房各类硬件系统、机房环境动力系统完好状态应达到以下要求：各系统平台年度累计故障时间不超过48小时，单次故障时间不超过8小时，累计故障次数不超过6次。</w:t>
      </w:r>
      <w:r/>
    </w:p>
    <w:p>
      <w:pPr>
        <w:contextualSpacing/>
        <w:ind w:firstLine="480"/>
        <w:spacing w:line="360" w:lineRule="auto"/>
        <w:rPr>
          <w:bCs/>
          <w:color w:val="000000"/>
          <w:sz w:val="24"/>
        </w:rPr>
      </w:pPr>
      <w:r>
        <w:rPr>
          <w:rFonts w:hint="eastAsia"/>
          <w:bCs/>
          <w:color w:val="000000"/>
          <w:sz w:val="24"/>
        </w:rPr>
        <w:t xml:space="preserve">设备完好状态达不到要求，采购人每次可视情况扣缴供应商违约金，每次扣缴供应商违约金不超过2万元。</w:t>
      </w:r>
      <w:r/>
    </w:p>
    <w:p>
      <w:pPr>
        <w:contextualSpacing/>
        <w:ind w:firstLine="480"/>
        <w:spacing w:line="360" w:lineRule="auto"/>
        <w:rPr>
          <w:bCs/>
          <w:color w:val="000000"/>
          <w:sz w:val="24"/>
        </w:rPr>
      </w:pPr>
      <w:r>
        <w:rPr>
          <w:rFonts w:hint="eastAsia"/>
          <w:bCs/>
          <w:color w:val="000000"/>
          <w:sz w:val="24"/>
        </w:rPr>
        <w:t xml:space="preserve">（3）对于不能及时修复的故障和该型号的设备完好率达不到采购人要求的，供应商应及时增加相应维护保养人员及备品备件到武进本地进行维护保养，确保维护保养达到采购人要求，采购人不另行支付费用。</w:t>
      </w:r>
      <w:r/>
    </w:p>
    <w:p>
      <w:pPr>
        <w:contextualSpacing/>
        <w:ind w:firstLine="480"/>
        <w:spacing w:line="360" w:lineRule="auto"/>
        <w:rPr>
          <w:bCs/>
          <w:color w:val="000000"/>
          <w:sz w:val="24"/>
        </w:rPr>
      </w:pPr>
      <w:r>
        <w:rPr>
          <w:rFonts w:hint="eastAsia"/>
          <w:bCs/>
          <w:color w:val="000000"/>
          <w:sz w:val="24"/>
        </w:rPr>
        <w:t xml:space="preserve">（4）本项目前端监控设施、视频（含实时视频和录像）、图像、数据、各后端平台、后端硬件系统、机房各分项系统修复率应达到以下要求：①维护人员发现故障后，工作时间内4小时到达现场，一般故障8小时修复，特殊故障24小时内修复；网络、供电或设备事故、丢失等重大故障7日内修复；②24小时修复率应达到90%（24小时内修复故障设备数÷24小时故障设备数）；③7日修复率应达到98%（7日内累计修复故障设备数÷7日内累计故障设备数，7日按周循环计算）</w:t>
      </w:r>
      <w:r/>
    </w:p>
    <w:p>
      <w:pPr>
        <w:contextualSpacing/>
        <w:ind w:firstLine="482"/>
        <w:spacing w:line="360" w:lineRule="auto"/>
        <w:rPr>
          <w:b/>
          <w:color w:val="000000"/>
          <w:sz w:val="24"/>
        </w:rPr>
      </w:pPr>
      <w:r>
        <w:rPr>
          <w:rFonts w:hint="eastAsia"/>
          <w:b/>
          <w:color w:val="000000"/>
          <w:sz w:val="24"/>
        </w:rPr>
        <w:t xml:space="preserve">6、设备修复的特殊故障</w:t>
      </w:r>
      <w:r/>
    </w:p>
    <w:p>
      <w:pPr>
        <w:contextualSpacing/>
        <w:ind w:firstLine="480"/>
        <w:spacing w:line="360" w:lineRule="auto"/>
        <w:rPr>
          <w:bCs/>
          <w:color w:val="000000"/>
          <w:sz w:val="24"/>
        </w:rPr>
      </w:pPr>
      <w:r>
        <w:rPr>
          <w:rFonts w:hint="eastAsia"/>
          <w:bCs/>
          <w:color w:val="000000"/>
          <w:sz w:val="24"/>
        </w:rPr>
        <w:t xml:space="preserve">（1）供应商提供的所有设备不得出现周期性或者定期、不定期死机现象，若出现上述故障，应无条件更换同品牌、同型号的新设备，如原型号设备停产可用高于原型号参数的设备替换。</w:t>
      </w:r>
      <w:r/>
    </w:p>
    <w:p>
      <w:pPr>
        <w:contextualSpacing/>
        <w:ind w:firstLine="480"/>
        <w:spacing w:line="360" w:lineRule="auto"/>
        <w:rPr>
          <w:bCs/>
          <w:color w:val="000000"/>
          <w:sz w:val="24"/>
        </w:rPr>
      </w:pPr>
      <w:r>
        <w:rPr>
          <w:rFonts w:hint="eastAsia"/>
          <w:bCs/>
          <w:color w:val="000000"/>
          <w:sz w:val="24"/>
        </w:rPr>
        <w:t xml:space="preserve">（2）同一设备如发生三次同一故障，出现第三次故障时，无条件更换同品牌、同型号的新设备，如原型号设备停产可用高于原型号参数的设备替换。</w:t>
      </w:r>
      <w:r/>
    </w:p>
    <w:p>
      <w:pPr>
        <w:contextualSpacing/>
        <w:ind w:firstLine="480"/>
        <w:spacing w:line="360" w:lineRule="auto"/>
        <w:rPr>
          <w:bCs/>
          <w:color w:val="000000"/>
          <w:sz w:val="24"/>
        </w:rPr>
      </w:pPr>
      <w:r>
        <w:rPr>
          <w:rFonts w:hint="eastAsia"/>
          <w:bCs/>
          <w:color w:val="000000"/>
          <w:sz w:val="24"/>
        </w:rPr>
        <w:t xml:space="preserve">（3）设备的硬件、软件及配置发生故障，导致不能正常运行或运行错误，均视为故障，供应商要进行维修或调试，并参与完好率考核。</w:t>
      </w:r>
      <w:r/>
    </w:p>
    <w:p>
      <w:pPr>
        <w:contextualSpacing/>
        <w:ind w:firstLine="482"/>
        <w:spacing w:line="360" w:lineRule="auto"/>
        <w:rPr>
          <w:b/>
          <w:color w:val="000000"/>
          <w:sz w:val="24"/>
        </w:rPr>
      </w:pPr>
      <w:r>
        <w:rPr>
          <w:rFonts w:hint="eastAsia"/>
          <w:b/>
          <w:color w:val="000000"/>
          <w:sz w:val="24"/>
        </w:rPr>
        <w:t xml:space="preserve">7、信息安全要求</w:t>
      </w:r>
      <w:r/>
    </w:p>
    <w:p>
      <w:pPr>
        <w:contextualSpacing/>
        <w:ind w:firstLine="480"/>
        <w:spacing w:line="360" w:lineRule="auto"/>
        <w:rPr>
          <w:bCs/>
          <w:color w:val="000000"/>
          <w:sz w:val="24"/>
        </w:rPr>
      </w:pPr>
      <w:r>
        <w:rPr>
          <w:rFonts w:hint="eastAsia"/>
          <w:bCs/>
          <w:color w:val="000000"/>
          <w:sz w:val="24"/>
        </w:rPr>
        <w:t xml:space="preserve">（1）供应商保证其公司人员在服务期间所接触的采购人各种文件、数据、资料、系统操作等严格遵守招标人保密制度，不得向第三方泄露。</w:t>
      </w:r>
      <w:r/>
    </w:p>
    <w:p>
      <w:pPr>
        <w:contextualSpacing/>
        <w:ind w:firstLine="480"/>
        <w:spacing w:line="360" w:lineRule="auto"/>
        <w:rPr>
          <w:bCs/>
          <w:color w:val="000000"/>
          <w:sz w:val="24"/>
        </w:rPr>
      </w:pPr>
      <w:r>
        <w:rPr>
          <w:rFonts w:hint="eastAsia"/>
          <w:bCs/>
          <w:color w:val="000000"/>
          <w:sz w:val="24"/>
        </w:rPr>
        <w:t xml:space="preserve">（2）公安业务系统数据属于公安秘密，供应商应当严格遵守相关规定，严禁泄漏公安秘密，未经采购人确认，供应商的其公司人员不得对采购人业务系统作任何操作，参与项目维保人员必须做到以下几点：</w:t>
      </w:r>
      <w:r/>
    </w:p>
    <w:p>
      <w:pPr>
        <w:contextualSpacing/>
        <w:ind w:firstLine="480"/>
        <w:spacing w:line="360" w:lineRule="auto"/>
        <w:rPr>
          <w:bCs/>
          <w:color w:val="000000"/>
          <w:sz w:val="24"/>
        </w:rPr>
      </w:pPr>
      <w:r>
        <w:rPr>
          <w:rFonts w:hint="eastAsia"/>
          <w:bCs/>
          <w:color w:val="000000"/>
          <w:sz w:val="24"/>
        </w:rPr>
        <w:t xml:space="preserve">a、只在规定的区域实行规定的工作，不得进入与之无关的工作区域；</w:t>
      </w:r>
      <w:r/>
    </w:p>
    <w:p>
      <w:pPr>
        <w:contextualSpacing/>
        <w:ind w:firstLine="480"/>
        <w:spacing w:line="360" w:lineRule="auto"/>
        <w:rPr>
          <w:bCs/>
          <w:color w:val="000000"/>
          <w:sz w:val="24"/>
        </w:rPr>
      </w:pPr>
      <w:r>
        <w:rPr>
          <w:rFonts w:hint="eastAsia"/>
          <w:bCs/>
          <w:color w:val="000000"/>
          <w:sz w:val="24"/>
        </w:rPr>
        <w:t xml:space="preserve">b、不得在任何设备上建立与工作无关的网站、网页和服务；不得在设备中传输、粘贴有害信息或与工作无关的信息；</w:t>
      </w:r>
      <w:r/>
    </w:p>
    <w:p>
      <w:pPr>
        <w:contextualSpacing/>
        <w:ind w:firstLine="480"/>
        <w:spacing w:line="360" w:lineRule="auto"/>
        <w:rPr>
          <w:bCs/>
          <w:color w:val="000000"/>
          <w:sz w:val="24"/>
        </w:rPr>
      </w:pPr>
      <w:r>
        <w:rPr>
          <w:rFonts w:hint="eastAsia"/>
          <w:bCs/>
          <w:color w:val="000000"/>
          <w:sz w:val="24"/>
        </w:rPr>
        <w:t xml:space="preserve">c、不得擅自对设备进行扫描、探测和入侵信息系统；</w:t>
      </w:r>
      <w:r/>
    </w:p>
    <w:p>
      <w:pPr>
        <w:contextualSpacing/>
        <w:ind w:firstLine="480"/>
        <w:spacing w:line="360" w:lineRule="auto"/>
        <w:rPr>
          <w:bCs/>
          <w:color w:val="000000"/>
          <w:sz w:val="24"/>
        </w:rPr>
      </w:pPr>
      <w:r>
        <w:rPr>
          <w:rFonts w:hint="eastAsia"/>
          <w:bCs/>
          <w:color w:val="000000"/>
          <w:sz w:val="24"/>
        </w:rPr>
        <w:t xml:space="preserve">d、不得对工作信息和资源越权访问、违规使用；</w:t>
      </w:r>
      <w:r/>
    </w:p>
    <w:p>
      <w:pPr>
        <w:contextualSpacing/>
        <w:ind w:firstLine="480"/>
        <w:spacing w:line="360" w:lineRule="auto"/>
        <w:rPr>
          <w:bCs/>
          <w:color w:val="000000"/>
          <w:sz w:val="24"/>
        </w:rPr>
      </w:pPr>
      <w:r>
        <w:rPr>
          <w:rFonts w:hint="eastAsia"/>
          <w:bCs/>
          <w:color w:val="000000"/>
          <w:sz w:val="24"/>
        </w:rPr>
        <w:t xml:space="preserve">e、不得私自允许无关人员接触和使用设备；</w:t>
      </w:r>
      <w:r/>
    </w:p>
    <w:p>
      <w:pPr>
        <w:contextualSpacing/>
        <w:ind w:firstLine="480"/>
        <w:spacing w:line="360" w:lineRule="auto"/>
        <w:rPr>
          <w:bCs/>
          <w:color w:val="000000"/>
          <w:sz w:val="24"/>
        </w:rPr>
      </w:pPr>
      <w:r>
        <w:rPr>
          <w:rFonts w:hint="eastAsia"/>
          <w:bCs/>
          <w:color w:val="000000"/>
          <w:sz w:val="24"/>
        </w:rPr>
        <w:t xml:space="preserve">f、严禁擅自将工作用设备和文件带离采购人指定地点；</w:t>
      </w:r>
      <w:r/>
    </w:p>
    <w:p>
      <w:pPr>
        <w:contextualSpacing/>
        <w:ind w:firstLine="480"/>
        <w:spacing w:line="360" w:lineRule="auto"/>
        <w:rPr>
          <w:bCs/>
          <w:color w:val="000000"/>
          <w:sz w:val="24"/>
        </w:rPr>
      </w:pPr>
      <w:r>
        <w:rPr>
          <w:rFonts w:hint="eastAsia"/>
          <w:bCs/>
          <w:color w:val="000000"/>
          <w:sz w:val="24"/>
        </w:rPr>
        <w:t xml:space="preserve">g、未经采购人同意，严禁以任何方式和介质拷贝任何信息及项目中涉及的信息；</w:t>
      </w:r>
      <w:r/>
    </w:p>
    <w:p>
      <w:pPr>
        <w:contextualSpacing/>
        <w:ind w:firstLine="480"/>
        <w:spacing w:line="360" w:lineRule="auto"/>
        <w:rPr>
          <w:bCs/>
          <w:color w:val="000000"/>
          <w:sz w:val="24"/>
        </w:rPr>
      </w:pPr>
      <w:r>
        <w:rPr>
          <w:rFonts w:hint="eastAsia"/>
          <w:bCs/>
          <w:color w:val="000000"/>
          <w:sz w:val="24"/>
        </w:rPr>
        <w:t xml:space="preserve">h、对工作中接触到的信息做到保密；</w:t>
      </w:r>
      <w:r/>
    </w:p>
    <w:p>
      <w:pPr>
        <w:contextualSpacing/>
        <w:ind w:firstLine="480"/>
        <w:spacing w:line="360" w:lineRule="auto"/>
        <w:rPr>
          <w:bCs/>
          <w:color w:val="000000"/>
          <w:sz w:val="24"/>
        </w:rPr>
      </w:pPr>
      <w:r>
        <w:rPr>
          <w:rFonts w:hint="eastAsia"/>
          <w:bCs/>
          <w:color w:val="000000"/>
          <w:sz w:val="24"/>
        </w:rPr>
        <w:t xml:space="preserve">i、不准擅自摘抄、下载、复制、拍摄、提供、销毁或私自留存相关文件、资料（含电子文档）；严禁违反“一机两用”规定；不准在私人交往中谈论相关工作；</w:t>
      </w:r>
      <w:r/>
    </w:p>
    <w:p>
      <w:pPr>
        <w:contextualSpacing/>
        <w:ind w:firstLine="480"/>
        <w:spacing w:line="360" w:lineRule="auto"/>
        <w:rPr>
          <w:bCs/>
          <w:color w:val="000000"/>
          <w:sz w:val="24"/>
        </w:rPr>
      </w:pPr>
      <w:r>
        <w:rPr>
          <w:rFonts w:hint="eastAsia"/>
          <w:bCs/>
          <w:color w:val="000000"/>
          <w:sz w:val="24"/>
        </w:rPr>
        <w:t xml:space="preserve">j、不得有其他任何危害公安信息安全的行为。</w:t>
      </w:r>
      <w:r/>
    </w:p>
    <w:p>
      <w:pPr>
        <w:contextualSpacing/>
        <w:ind w:firstLine="480"/>
        <w:spacing w:line="360" w:lineRule="auto"/>
        <w:rPr>
          <w:bCs/>
          <w:color w:val="000000"/>
          <w:sz w:val="24"/>
        </w:rPr>
      </w:pPr>
      <w:r>
        <w:rPr>
          <w:rFonts w:hint="eastAsia"/>
          <w:bCs/>
          <w:color w:val="000000"/>
          <w:sz w:val="24"/>
        </w:rPr>
        <w:t xml:space="preserve">（3）按照各级公安机关对公安信息网络的安全要求，由供应商与采购人签订安全保密协议，落实公安网络安全及信息保密的各项规定。供应商对本项目配备人员必须进行相关安全保密教育，与采购人签订保密协议，有履行保密的责任和义务。</w:t>
      </w:r>
      <w:r/>
    </w:p>
    <w:p>
      <w:pPr>
        <w:contextualSpacing/>
        <w:ind w:firstLine="480"/>
        <w:spacing w:line="360" w:lineRule="auto"/>
        <w:rPr>
          <w:bCs/>
          <w:color w:val="000000"/>
          <w:sz w:val="24"/>
        </w:rPr>
      </w:pPr>
      <w:r>
        <w:rPr>
          <w:rFonts w:hint="eastAsia"/>
          <w:bCs/>
          <w:color w:val="000000"/>
          <w:sz w:val="24"/>
        </w:rPr>
        <w:t xml:space="preserve">（4）凡以直接、间接、口头或书面等形式提供涉及保密内容的行为均属泄密，将追究当事人及维保单位的责任。</w:t>
      </w:r>
      <w:r/>
    </w:p>
    <w:p>
      <w:pPr>
        <w:contextualSpacing/>
        <w:ind w:firstLine="480"/>
        <w:spacing w:line="360" w:lineRule="auto"/>
        <w:rPr>
          <w:bCs/>
          <w:color w:val="000000"/>
          <w:sz w:val="24"/>
        </w:rPr>
      </w:pPr>
      <w:r>
        <w:rPr>
          <w:rFonts w:hint="eastAsia"/>
          <w:bCs/>
          <w:color w:val="000000"/>
          <w:sz w:val="24"/>
        </w:rPr>
        <w:t xml:space="preserve">（5）项目结束后，所有资料全部移交给采购人。</w:t>
      </w:r>
      <w:r/>
    </w:p>
    <w:p>
      <w:pPr>
        <w:contextualSpacing/>
        <w:ind w:firstLine="482"/>
        <w:spacing w:line="360" w:lineRule="auto"/>
        <w:rPr>
          <w:b/>
          <w:color w:val="000000"/>
          <w:sz w:val="24"/>
        </w:rPr>
      </w:pPr>
      <w:r>
        <w:rPr>
          <w:rFonts w:hint="eastAsia"/>
          <w:b/>
          <w:color w:val="000000"/>
          <w:sz w:val="24"/>
        </w:rPr>
        <w:t xml:space="preserve">8、维保文档要求</w:t>
      </w:r>
      <w:r/>
    </w:p>
    <w:p>
      <w:pPr>
        <w:contextualSpacing/>
        <w:ind w:firstLine="480"/>
        <w:spacing w:line="360" w:lineRule="auto"/>
        <w:rPr>
          <w:bCs/>
          <w:color w:val="000000"/>
          <w:sz w:val="24"/>
        </w:rPr>
      </w:pPr>
      <w:r>
        <w:rPr>
          <w:rFonts w:hint="eastAsia"/>
          <w:bCs/>
          <w:color w:val="000000"/>
          <w:sz w:val="24"/>
        </w:rPr>
        <w:t xml:space="preserve">（1）供应商应在项目完工后分别按照国家有关部门的相关规定及采购人的有关要求编制竣工资料。工程的竣工图须在工程竣工验收通过后在国家规定的时间内提交甲方审查，全部工程完工后，供应商须向甲方提交3整套采购人认为完整、合格的纸质竣工文件及3套竣工文件光盘（内容与纸质文件内容一致）。</w:t>
      </w:r>
      <w:r/>
    </w:p>
    <w:p>
      <w:pPr>
        <w:contextualSpacing/>
        <w:ind w:firstLine="480"/>
        <w:spacing w:line="360" w:lineRule="auto"/>
        <w:rPr>
          <w:bCs/>
          <w:color w:val="000000"/>
          <w:sz w:val="24"/>
        </w:rPr>
      </w:pPr>
      <w:r>
        <w:rPr>
          <w:rFonts w:hint="eastAsia"/>
          <w:bCs/>
          <w:color w:val="000000"/>
          <w:sz w:val="24"/>
        </w:rPr>
        <w:t xml:space="preserve">（2）供应商应在项目完工后分别按照国家有关部门的相关规定及采购人的有关要求编制竣工资料。工程的竣工图须在工程竣工验收通过后在国家规定的时间内提交采购人审查，全部工程完工后，供应商须向采购人提交3整套采购人认为完整、合格的纸质竣工文件及3套竣工文件光盘（内容与纸质文件内容一致）。</w:t>
      </w:r>
      <w:r/>
    </w:p>
    <w:p>
      <w:pPr>
        <w:contextualSpacing/>
        <w:ind w:firstLine="480"/>
        <w:spacing w:line="360" w:lineRule="auto"/>
        <w:rPr>
          <w:bCs/>
          <w:color w:val="000000"/>
          <w:sz w:val="24"/>
        </w:rPr>
      </w:pPr>
      <w:r>
        <w:rPr>
          <w:rFonts w:hint="eastAsia"/>
          <w:bCs/>
          <w:color w:val="000000"/>
          <w:sz w:val="24"/>
        </w:rPr>
        <w:t xml:space="preserve">（3）供应商应根据采购人要求提供不限于以上的售后文档。</w:t>
      </w:r>
      <w:r/>
    </w:p>
    <w:p>
      <w:pPr>
        <w:contextualSpacing/>
        <w:ind w:firstLine="482"/>
        <w:spacing w:line="360" w:lineRule="auto"/>
        <w:rPr>
          <w:b/>
          <w:color w:val="000000"/>
          <w:sz w:val="24"/>
        </w:rPr>
      </w:pPr>
      <w:r>
        <w:rPr>
          <w:rFonts w:hint="eastAsia"/>
          <w:b/>
          <w:color w:val="000000"/>
          <w:sz w:val="24"/>
        </w:rPr>
        <w:t xml:space="preserve">9、其他要求</w:t>
      </w:r>
      <w:r/>
    </w:p>
    <w:p>
      <w:pPr>
        <w:contextualSpacing/>
        <w:ind w:firstLine="482"/>
        <w:spacing w:line="360" w:lineRule="auto"/>
        <w:rPr>
          <w:bCs/>
          <w:color w:val="000000"/>
          <w:sz w:val="24"/>
        </w:rPr>
      </w:pPr>
      <w:r>
        <w:rPr>
          <w:rFonts w:hint="eastAsia"/>
          <w:bCs/>
          <w:color w:val="000000"/>
          <w:sz w:val="24"/>
        </w:rPr>
        <w:t xml:space="preserve">（1）供应商负责系统整体维护，以及合同范围内项目的保护，并购买相应的保险，在维护期间，供应商承担照管与维护责任，若发生人为或非人为损坏及被盗、被抢、意外撞击、火灾、水灾、台风、地震等自然灾害及其他一切的损害，由供应商自行予以修复，采购人不再另行支付任何费用。</w:t>
      </w:r>
      <w:r/>
    </w:p>
    <w:p>
      <w:pPr>
        <w:contextualSpacing/>
        <w:ind w:firstLine="482"/>
        <w:spacing w:line="360" w:lineRule="auto"/>
        <w:rPr>
          <w:bCs/>
          <w:color w:val="000000"/>
          <w:sz w:val="24"/>
        </w:rPr>
      </w:pPr>
      <w:r>
        <w:rPr>
          <w:rFonts w:hint="eastAsia"/>
          <w:bCs/>
          <w:color w:val="000000"/>
          <w:sz w:val="24"/>
        </w:rPr>
        <w:t xml:space="preserve">（2）在运行维护期内对于非设备质量、非项目实施质量、非设计选型失误及其他非供应商原因造成的损坏，供应商在采购人要求下应进行维修。供应商不收取任何服务费，设备的成本费、项目实施所需的其他材料成本费及项目实施费，相关维修费用由供应商购买商业保险赔付承担，相关费用采购人不另行支付。</w:t>
      </w:r>
      <w:r/>
    </w:p>
    <w:p>
      <w:pPr>
        <w:contextualSpacing/>
        <w:ind w:firstLine="482"/>
        <w:spacing w:line="360" w:lineRule="auto"/>
        <w:rPr>
          <w:bCs/>
          <w:color w:val="000000"/>
          <w:sz w:val="24"/>
        </w:rPr>
      </w:pPr>
      <w:r>
        <w:rPr>
          <w:rFonts w:hint="eastAsia"/>
          <w:bCs/>
          <w:color w:val="000000"/>
          <w:sz w:val="24"/>
        </w:rPr>
        <w:t xml:space="preserve">（3）对于采购人提供的符合系统设计需求的全新硬件设备，供应商不得拒绝使用，并应负责设备后期维护保养，合理解决在设备接入、使用、维护保养中出现的问题，相关费用采购人不另行支付。</w:t>
      </w:r>
      <w:r/>
    </w:p>
    <w:p>
      <w:pPr>
        <w:contextualSpacing/>
        <w:ind w:firstLine="482"/>
        <w:spacing w:line="360" w:lineRule="auto"/>
        <w:rPr>
          <w:bCs/>
          <w:color w:val="000000"/>
          <w:sz w:val="24"/>
        </w:rPr>
      </w:pPr>
      <w:r>
        <w:rPr>
          <w:rFonts w:hint="eastAsia"/>
          <w:bCs/>
          <w:color w:val="000000"/>
          <w:sz w:val="24"/>
        </w:rPr>
        <w:t xml:space="preserve">（4）涉及结构部分（如杆件、基础）的各组成部分全寿命周期内，如出现结构性损坏或因质量、施工等一切问题引发的第三方损失、事故、诉讼、赔偿，相关法律、经济、社会等一切责任均由供应商承担，由此产生的费用由供应商承担，相关设备由供应商修复。</w:t>
      </w:r>
      <w:r/>
    </w:p>
    <w:p>
      <w:pPr>
        <w:contextualSpacing/>
        <w:ind w:firstLine="482"/>
        <w:spacing w:line="360" w:lineRule="auto"/>
        <w:rPr>
          <w:bCs/>
          <w:color w:val="000000"/>
          <w:sz w:val="24"/>
        </w:rPr>
      </w:pPr>
      <w:r>
        <w:rPr>
          <w:rFonts w:hint="eastAsia"/>
          <w:bCs/>
          <w:color w:val="000000"/>
          <w:sz w:val="24"/>
        </w:rPr>
        <w:t xml:space="preserve">（5）在运行维护期内所有设备因触电、漏电、设备掉落或倒塌、井盖缺失损坏、机箱门未关等一切原因造成的第三方损失、事故、诉讼、赔偿，相关法律、经济、社会等一切责任均由供应商承担，由此产生的费用由供应商承担，相关设备由供应商修复，采购人不支付任何费用。</w:t>
      </w:r>
      <w:r/>
    </w:p>
    <w:p>
      <w:pPr>
        <w:contextualSpacing/>
        <w:ind w:firstLine="482"/>
        <w:jc w:val="center"/>
        <w:spacing w:line="360" w:lineRule="auto"/>
        <w:rPr>
          <w:b/>
          <w:color w:val="000000"/>
          <w:sz w:val="36"/>
          <w:szCs w:val="36"/>
        </w:rPr>
      </w:pPr>
      <w:r>
        <w:rPr>
          <w:rFonts w:hint="eastAsia"/>
          <w:bCs/>
          <w:sz w:val="24"/>
        </w:rPr>
        <w:t xml:space="preserve">（6）维保期内，涉及到采购人要求的监控点位迁移，供应商应完全响应并执行，迁移点位总数不超过维保点位总数的5%，相关费用采购人不另行支付。</w:t>
      </w:r>
      <w:r>
        <w:rPr>
          <w:b/>
          <w:color w:val="000000"/>
          <w:sz w:val="36"/>
          <w:szCs w:val="36"/>
        </w:rPr>
        <w:br w:type="page" w:clear="all"/>
      </w:r>
      <w:r>
        <w:rPr>
          <w:b/>
          <w:color w:val="000000"/>
          <w:sz w:val="36"/>
          <w:szCs w:val="36"/>
        </w:rPr>
        <w:t xml:space="preserve">第六章   拟签订的合同文本</w:t>
      </w:r>
      <w:bookmarkEnd w:id="295"/>
      <w:r/>
      <w:r/>
    </w:p>
    <w:p>
      <w:pPr>
        <w:spacing w:line="300" w:lineRule="auto"/>
        <w:rPr>
          <w:rFonts w:hint="eastAsia" w:ascii="宋体" w:hAnsi="宋体"/>
          <w:color w:val="000000"/>
          <w:sz w:val="24"/>
          <w:lang w:val="zh-CN"/>
        </w:rPr>
      </w:pPr>
      <w:r>
        <w:rPr>
          <w:rFonts w:hint="eastAsia" w:ascii="宋体" w:hAnsi="宋体"/>
          <w:color w:val="000000"/>
          <w:sz w:val="24"/>
          <w:lang w:val="zh-CN"/>
        </w:rPr>
        <w:t xml:space="preserve">甲方：</w:t>
      </w:r>
      <w:r>
        <w:rPr>
          <w:rFonts w:hint="eastAsia" w:ascii="宋体" w:hAnsi="宋体"/>
          <w:color w:val="000000"/>
          <w:sz w:val="24"/>
          <w:u w:val="single"/>
          <w:lang w:val="zh-CN"/>
        </w:rPr>
        <w:t xml:space="preserve">常州市公安局武进分局          </w:t>
      </w:r>
      <w:r>
        <w:rPr>
          <w:rFonts w:hint="eastAsia" w:ascii="宋体" w:hAnsi="宋体"/>
          <w:color w:val="000000"/>
          <w:sz w:val="24"/>
          <w:lang w:val="zh-CN"/>
        </w:rPr>
        <w:t xml:space="preserve">（以下简称甲方）</w:t>
      </w:r>
      <w:r/>
    </w:p>
    <w:p>
      <w:pPr>
        <w:spacing w:line="300" w:lineRule="auto"/>
        <w:rPr>
          <w:rFonts w:hint="eastAsia" w:ascii="宋体" w:hAnsi="宋体"/>
          <w:color w:val="000000"/>
          <w:sz w:val="24"/>
          <w:lang w:val="zh-CN"/>
        </w:rPr>
      </w:pPr>
      <w:r>
        <w:rPr>
          <w:rFonts w:hint="eastAsia" w:ascii="宋体" w:hAnsi="宋体"/>
          <w:color w:val="000000"/>
          <w:sz w:val="24"/>
          <w:lang w:val="zh-CN"/>
        </w:rPr>
        <w:t xml:space="preserve">乙方：</w:t>
      </w:r>
      <w:r>
        <w:rPr>
          <w:rFonts w:hint="eastAsia" w:ascii="宋体" w:hAnsi="宋体"/>
          <w:color w:val="000000"/>
          <w:sz w:val="24"/>
          <w:u w:val="single"/>
          <w:lang w:val="zh-CN"/>
        </w:rPr>
        <w:t xml:space="preserve">（中标单位全称）              </w:t>
      </w:r>
      <w:r>
        <w:rPr>
          <w:rFonts w:ascii="宋体" w:hAnsi="宋体"/>
          <w:color w:val="000000"/>
          <w:sz w:val="24"/>
          <w:u w:val="single"/>
          <w:lang w:val="zh-CN"/>
        </w:rPr>
        <w:t xml:space="preserve"> </w:t>
      </w:r>
      <w:r>
        <w:rPr>
          <w:rFonts w:hint="eastAsia" w:ascii="宋体" w:hAnsi="宋体"/>
          <w:color w:val="000000"/>
          <w:sz w:val="24"/>
          <w:u w:val="single"/>
          <w:lang w:val="zh-CN"/>
        </w:rPr>
        <w:t xml:space="preserve">      </w:t>
      </w:r>
      <w:r>
        <w:rPr>
          <w:rFonts w:hint="eastAsia" w:ascii="宋体" w:hAnsi="宋体"/>
          <w:color w:val="000000"/>
          <w:sz w:val="24"/>
          <w:lang w:val="zh-CN"/>
        </w:rPr>
        <w:t xml:space="preserve">（以下简称乙方）</w:t>
      </w:r>
      <w:r/>
    </w:p>
    <w:p>
      <w:pPr>
        <w:ind w:firstLine="480"/>
        <w:jc w:val="left"/>
        <w:spacing w:line="300" w:lineRule="auto"/>
        <w:widowControl/>
        <w:rPr>
          <w:rFonts w:hint="eastAsia" w:ascii="宋体" w:hAnsi="宋体"/>
          <w:color w:val="000000"/>
          <w:sz w:val="24"/>
        </w:rPr>
      </w:pPr>
      <w:r>
        <w:rPr>
          <w:rFonts w:hint="eastAsia" w:ascii="宋体" w:hAnsi="宋体"/>
          <w:color w:val="000000"/>
          <w:sz w:val="24"/>
          <w:lang w:val="zh-CN"/>
        </w:rPr>
        <w:t xml:space="preserve">根据《中华人民共和国政府采购法》、《中华人民共和国民法典》等法律法规的规定，甲乙双方按照代理机构的采购结果签订本合同。</w:t>
      </w:r>
      <w:r/>
    </w:p>
    <w:p>
      <w:pPr>
        <w:spacing w:before="120" w:line="300" w:lineRule="auto"/>
        <w:tabs>
          <w:tab w:val="left" w:pos="567" w:leader="none"/>
        </w:tabs>
        <w:rPr>
          <w:rFonts w:hint="eastAsia" w:ascii="宋体" w:hAnsi="宋体" w:cs="宋体"/>
          <w:b/>
          <w:bCs/>
          <w:color w:val="000000"/>
          <w:sz w:val="24"/>
          <w:szCs w:val="20"/>
          <w:lang w:val="zh-CN"/>
        </w:rPr>
      </w:pPr>
      <w:r>
        <w:rPr>
          <w:rFonts w:hint="eastAsia" w:ascii="宋体" w:hAnsi="宋体" w:cs="宋体"/>
          <w:b/>
          <w:bCs/>
          <w:color w:val="000000"/>
          <w:sz w:val="24"/>
          <w:szCs w:val="20"/>
          <w:lang w:val="zh-CN"/>
        </w:rPr>
        <w:t xml:space="preserve">第一条　采购内容</w:t>
      </w:r>
      <w:r/>
    </w:p>
    <w:p>
      <w:pPr>
        <w:ind w:firstLine="480"/>
        <w:spacing w:line="300" w:lineRule="auto"/>
        <w:rPr>
          <w:rFonts w:hint="eastAsia" w:ascii="宋体" w:hAnsi="宋体" w:cs="宋体"/>
          <w:color w:val="000000"/>
          <w:sz w:val="24"/>
          <w:u w:val="single"/>
        </w:rPr>
      </w:pPr>
      <w:r>
        <w:rPr>
          <w:rFonts w:hint="eastAsia" w:ascii="宋体" w:hAnsi="宋体" w:cs="宋体"/>
          <w:color w:val="000000"/>
          <w:sz w:val="24"/>
          <w:lang w:bidi="ar"/>
        </w:rPr>
        <w:t xml:space="preserve">1、项目名称（项目编号）：</w:t>
      </w:r>
      <w:r>
        <w:rPr>
          <w:rFonts w:hint="eastAsia" w:ascii="宋体" w:hAnsi="宋体" w:cs="宋体"/>
          <w:color w:val="000000"/>
          <w:sz w:val="24"/>
          <w:u w:val="single"/>
          <w:lang w:bidi="ar"/>
        </w:rPr>
        <w:t xml:space="preserve">　　　　　　　　　　　　　　　　　　　　 </w:t>
      </w:r>
      <w:r/>
    </w:p>
    <w:p>
      <w:pPr>
        <w:ind w:firstLine="480"/>
        <w:spacing w:line="300" w:lineRule="auto"/>
        <w:rPr>
          <w:rFonts w:hint="eastAsia" w:ascii="宋体" w:hAnsi="宋体" w:cs="宋体"/>
          <w:color w:val="000000"/>
          <w:sz w:val="24"/>
          <w:u w:val="single"/>
        </w:rPr>
      </w:pPr>
      <w:r>
        <w:rPr>
          <w:rFonts w:hint="eastAsia" w:ascii="宋体" w:hAnsi="宋体" w:cs="宋体"/>
          <w:color w:val="000000"/>
          <w:sz w:val="24"/>
          <w:lang w:bidi="ar"/>
        </w:rPr>
        <w:t xml:space="preserve">2、采购内容：</w:t>
      </w:r>
      <w:r>
        <w:rPr>
          <w:rFonts w:hint="eastAsia" w:ascii="宋体" w:hAnsi="宋体" w:cs="宋体"/>
          <w:color w:val="000000"/>
          <w:sz w:val="24"/>
          <w:u w:val="single"/>
          <w:lang w:bidi="ar"/>
        </w:rPr>
        <w:t xml:space="preserve">                                                    </w:t>
      </w:r>
      <w:r/>
    </w:p>
    <w:p>
      <w:pPr>
        <w:ind w:firstLine="480"/>
        <w:spacing w:line="300" w:lineRule="auto"/>
        <w:rPr>
          <w:rFonts w:hint="eastAsia" w:ascii="宋体" w:hAnsi="宋体" w:cs="宋体"/>
          <w:color w:val="000000"/>
          <w:sz w:val="24"/>
        </w:rPr>
      </w:pPr>
      <w:r>
        <w:rPr>
          <w:rFonts w:hint="eastAsia" w:ascii="宋体" w:hAnsi="宋体" w:cs="宋体"/>
          <w:color w:val="000000"/>
          <w:sz w:val="24"/>
          <w:lang w:bidi="ar"/>
        </w:rPr>
        <w:t xml:space="preserve">3、服务范围：</w:t>
      </w:r>
      <w:r>
        <w:rPr>
          <w:rFonts w:hint="eastAsia" w:ascii="宋体" w:hAnsi="宋体" w:cs="宋体"/>
          <w:color w:val="000000"/>
          <w:sz w:val="24"/>
          <w:u w:val="single"/>
          <w:lang w:bidi="ar"/>
        </w:rPr>
        <w:t xml:space="preserve">　　　　　　　　　　　　　　　　　　　　　　　　　　</w:t>
      </w:r>
      <w:r/>
    </w:p>
    <w:p>
      <w:pPr>
        <w:ind w:firstLine="480"/>
        <w:spacing w:line="300" w:lineRule="auto"/>
        <w:rPr>
          <w:rFonts w:hint="eastAsia" w:ascii="宋体" w:hAnsi="宋体" w:cs="宋体"/>
          <w:color w:val="000000"/>
          <w:sz w:val="24"/>
        </w:rPr>
      </w:pPr>
      <w:r>
        <w:rPr>
          <w:rFonts w:hint="eastAsia" w:ascii="宋体" w:hAnsi="宋体" w:cs="宋体"/>
          <w:color w:val="000000"/>
          <w:sz w:val="24"/>
          <w:lang w:bidi="ar"/>
        </w:rPr>
        <w:t xml:space="preserve">4、服务期限：</w:t>
      </w:r>
      <w:r>
        <w:rPr>
          <w:rFonts w:hint="eastAsia" w:ascii="宋体" w:hAnsi="宋体" w:cs="宋体"/>
          <w:color w:val="000000"/>
          <w:sz w:val="24"/>
          <w:u w:val="single"/>
          <w:lang w:bidi="ar"/>
        </w:rPr>
        <w:t xml:space="preserve">　　　　　　　　　　　　　　　　　　　　　　　　　　</w:t>
      </w:r>
      <w:r/>
    </w:p>
    <w:p>
      <w:pPr>
        <w:ind w:firstLine="480"/>
        <w:spacing w:line="300" w:lineRule="auto"/>
        <w:rPr>
          <w:rFonts w:hint="eastAsia" w:ascii="宋体" w:hAnsi="宋体" w:cs="宋体"/>
          <w:color w:val="000000"/>
          <w:sz w:val="24"/>
          <w:u w:val="single"/>
        </w:rPr>
      </w:pPr>
      <w:r>
        <w:rPr>
          <w:rFonts w:hint="eastAsia" w:ascii="宋体" w:hAnsi="宋体" w:cs="宋体"/>
          <w:color w:val="000000"/>
          <w:sz w:val="24"/>
          <w:lang w:bidi="ar"/>
        </w:rPr>
        <w:t xml:space="preserve">5、其他：</w:t>
      </w:r>
      <w:r>
        <w:rPr>
          <w:rFonts w:hint="eastAsia" w:ascii="宋体" w:hAnsi="宋体" w:cs="宋体"/>
          <w:color w:val="000000"/>
          <w:sz w:val="24"/>
          <w:u w:val="single"/>
          <w:lang w:bidi="ar"/>
        </w:rPr>
        <w:t xml:space="preserve">　　　　　　　　　　　　　　　　　　　　　　　　　　　　</w:t>
      </w:r>
      <w:r/>
    </w:p>
    <w:p>
      <w:pPr>
        <w:spacing w:before="120" w:line="300" w:lineRule="auto"/>
        <w:tabs>
          <w:tab w:val="left" w:pos="567" w:leader="none"/>
        </w:tabs>
        <w:rPr>
          <w:rFonts w:hint="eastAsia" w:ascii="宋体" w:hAnsi="宋体" w:cs="宋体"/>
          <w:b/>
          <w:bCs/>
          <w:color w:val="000000"/>
          <w:sz w:val="24"/>
          <w:szCs w:val="20"/>
          <w:lang w:val="zh-CN"/>
        </w:rPr>
      </w:pPr>
      <w:r>
        <w:rPr>
          <w:rFonts w:hint="eastAsia" w:ascii="宋体" w:hAnsi="宋体" w:cs="宋体"/>
          <w:b/>
          <w:bCs/>
          <w:color w:val="000000"/>
          <w:sz w:val="24"/>
          <w:szCs w:val="20"/>
          <w:lang w:val="zh-CN"/>
        </w:rPr>
        <w:t xml:space="preserve">第二条　合同总价款及履约担保</w:t>
      </w:r>
      <w:r/>
    </w:p>
    <w:p>
      <w:pPr>
        <w:ind w:firstLine="480"/>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本合同人民币总价款为</w:t>
      </w:r>
      <w:r>
        <w:rPr>
          <w:rFonts w:hint="eastAsia" w:ascii="宋体" w:hAnsi="宋体" w:cs="宋体"/>
          <w:color w:val="000000"/>
          <w:sz w:val="24"/>
          <w:szCs w:val="20"/>
          <w:u w:val="single"/>
          <w:lang w:val="zh-CN"/>
        </w:rPr>
        <w:t xml:space="preserve">　　　　　　</w:t>
      </w:r>
      <w:r>
        <w:rPr>
          <w:rFonts w:hint="eastAsia" w:ascii="宋体" w:hAnsi="宋体" w:cs="宋体"/>
          <w:color w:val="000000"/>
          <w:sz w:val="24"/>
          <w:szCs w:val="20"/>
          <w:lang w:val="zh-CN"/>
        </w:rPr>
        <w:t xml:space="preserve">（小写），</w:t>
      </w:r>
      <w:r>
        <w:rPr>
          <w:rFonts w:hint="eastAsia" w:ascii="宋体" w:hAnsi="宋体" w:cs="宋体"/>
          <w:color w:val="000000"/>
          <w:sz w:val="24"/>
          <w:szCs w:val="20"/>
          <w:u w:val="single"/>
          <w:lang w:val="zh-CN"/>
        </w:rPr>
        <w:t xml:space="preserve">　　　　　</w:t>
      </w:r>
      <w:r>
        <w:rPr>
          <w:rFonts w:hint="eastAsia" w:ascii="宋体" w:hAnsi="宋体" w:cs="宋体"/>
          <w:color w:val="000000"/>
          <w:sz w:val="24"/>
          <w:szCs w:val="20"/>
          <w:lang w:val="zh-CN"/>
        </w:rPr>
        <w:t xml:space="preserve">（大写）。</w:t>
      </w:r>
      <w:r/>
    </w:p>
    <w:p>
      <w:pPr>
        <w:ind w:firstLine="480"/>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本合同服务期限内合同总价款不变。（有另行规定的除外。）</w:t>
      </w:r>
      <w:r/>
    </w:p>
    <w:p>
      <w:pPr>
        <w:ind w:firstLine="480"/>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本项目采用固定单价合同。本项目按实结算，项目的结算金额以项目完成后审计部门的审计结果作为结算依据。</w:t>
      </w:r>
      <w:r/>
    </w:p>
    <w:p>
      <w:pPr>
        <w:ind w:firstLine="480"/>
        <w:jc w:val="left"/>
        <w:spacing w:line="300" w:lineRule="auto"/>
        <w:rPr>
          <w:rFonts w:hint="eastAsia" w:ascii="宋体" w:hAnsi="宋体"/>
          <w:bCs/>
          <w:color w:val="000000"/>
          <w:sz w:val="24"/>
        </w:rPr>
      </w:pPr>
      <w:r>
        <w:rPr>
          <w:rFonts w:hint="eastAsia" w:ascii="宋体" w:hAnsi="宋体"/>
          <w:bCs/>
          <w:color w:val="000000"/>
          <w:sz w:val="24"/>
        </w:rPr>
        <w:t xml:space="preserve">本项目合同签订并提供有效付款手续后30天内支付合同价的30%作为预付款。服务期满验收合格后，按照考评结果付清余款（不计息）。</w:t>
      </w:r>
      <w:r/>
    </w:p>
    <w:p>
      <w:pPr>
        <w:ind w:firstLine="480"/>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本合同项下所有款项均以人民币支付，乙方向甲方开具发票。审计结束，乙方即开具审定价的全额发票）。</w:t>
      </w:r>
      <w:r/>
    </w:p>
    <w:p>
      <w:pPr>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第三条  合同履行期限： </w:t>
      </w:r>
      <w:r/>
    </w:p>
    <w:p>
      <w:pPr>
        <w:spacing w:before="120" w:line="300" w:lineRule="auto"/>
        <w:tabs>
          <w:tab w:val="left" w:pos="567" w:leader="none"/>
        </w:tabs>
        <w:rPr>
          <w:rFonts w:hint="eastAsia" w:ascii="宋体" w:hAnsi="宋体" w:cs="宋体"/>
          <w:color w:val="000000"/>
          <w:sz w:val="24"/>
          <w:szCs w:val="20"/>
          <w:lang w:val="zh-CN"/>
        </w:rPr>
      </w:pPr>
      <w:r>
        <w:rPr>
          <w:rFonts w:hint="eastAsia" w:ascii="宋体" w:hAnsi="宋体" w:cs="宋体"/>
          <w:b/>
          <w:bCs/>
          <w:color w:val="000000"/>
          <w:sz w:val="24"/>
          <w:szCs w:val="20"/>
          <w:lang w:val="zh-CN"/>
        </w:rPr>
        <w:t xml:space="preserve">第四条　组成本合同的有关文件</w:t>
      </w:r>
      <w:r/>
    </w:p>
    <w:p>
      <w:pPr>
        <w:ind w:firstLine="480"/>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下列关于本次采购活动方式相适应的文件及有关附件是本合同不可分割的组成部分，与本合同具有同等法律效力，这些文件包括但不限于：</w:t>
      </w:r>
      <w:r/>
    </w:p>
    <w:p>
      <w:pPr>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（1）招标文件；</w:t>
      </w:r>
      <w:r/>
    </w:p>
    <w:p>
      <w:pPr>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（2）投标文件；</w:t>
      </w:r>
      <w:r/>
    </w:p>
    <w:p>
      <w:pPr>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（3）中标通知书；</w:t>
      </w:r>
      <w:r/>
    </w:p>
    <w:p>
      <w:pPr>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（4）乙方在投标、评标过程中所作其它有关承诺、声明、书面澄清；</w:t>
      </w:r>
      <w:r/>
    </w:p>
    <w:p>
      <w:pPr>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（5）甲乙双方商定的其他文件等。</w:t>
      </w:r>
      <w:r/>
    </w:p>
    <w:p>
      <w:pPr>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2"/>
          <w:lang w:val="zh-CN"/>
        </w:rPr>
        <w:t xml:space="preserve">（</w:t>
      </w:r>
      <w:r>
        <w:rPr>
          <w:rFonts w:hint="eastAsia" w:ascii="宋体" w:hAnsi="宋体" w:cs="宋体"/>
          <w:color w:val="000000"/>
          <w:sz w:val="24"/>
          <w:szCs w:val="20"/>
          <w:lang w:val="zh-CN"/>
        </w:rPr>
        <w:t xml:space="preserve">6）本合同附件</w:t>
      </w:r>
      <w:r/>
    </w:p>
    <w:p>
      <w:pPr>
        <w:ind w:firstLine="480"/>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招标文件、投标文件、合同条款及中标通知书，乙方在投标、评标过程中所作其它有关承诺、声明、书面澄清等均为合同不可分割的部分，与主合同具有同等法律效力。</w:t>
      </w:r>
      <w:r/>
    </w:p>
    <w:p>
      <w:pPr>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第五条　权利保证</w:t>
      </w:r>
      <w:r/>
    </w:p>
    <w:p>
      <w:pPr>
        <w:ind w:firstLine="480"/>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乙方应保证甲方在合同履行期限内不受第三方提出侵犯其专利权、版权、商标权或其他权利的起诉。一旦出现侵权，乙方应承担全部责任。</w:t>
      </w:r>
      <w:r/>
    </w:p>
    <w:p>
      <w:pPr>
        <w:spacing w:before="120" w:line="300" w:lineRule="auto"/>
        <w:tabs>
          <w:tab w:val="left" w:pos="567" w:leader="none"/>
        </w:tabs>
        <w:rPr>
          <w:rFonts w:hint="eastAsia" w:ascii="宋体" w:hAnsi="宋体" w:cs="宋体"/>
          <w:b/>
          <w:bCs/>
          <w:color w:val="000000"/>
          <w:sz w:val="24"/>
          <w:szCs w:val="20"/>
          <w:lang w:val="zh-CN"/>
        </w:rPr>
      </w:pPr>
      <w:r>
        <w:rPr>
          <w:rFonts w:hint="eastAsia" w:ascii="宋体" w:hAnsi="宋体" w:cs="宋体"/>
          <w:b/>
          <w:bCs/>
          <w:color w:val="000000"/>
          <w:sz w:val="24"/>
          <w:szCs w:val="20"/>
          <w:lang w:val="zh-CN"/>
        </w:rPr>
        <w:t xml:space="preserve">第</w:t>
      </w:r>
      <w:r>
        <w:rPr>
          <w:rFonts w:hint="eastAsia" w:ascii="宋体" w:hAnsi="宋体" w:cs="宋体"/>
          <w:b/>
          <w:bCs/>
          <w:color w:val="000000"/>
          <w:sz w:val="24"/>
          <w:szCs w:val="20"/>
        </w:rPr>
        <w:t xml:space="preserve">六</w:t>
      </w:r>
      <w:r>
        <w:rPr>
          <w:rFonts w:hint="eastAsia" w:ascii="宋体" w:hAnsi="宋体" w:cs="宋体"/>
          <w:b/>
          <w:bCs/>
          <w:color w:val="000000"/>
          <w:sz w:val="24"/>
          <w:szCs w:val="20"/>
          <w:lang w:val="zh-CN"/>
        </w:rPr>
        <w:t xml:space="preserve">条、项目结算：</w:t>
      </w:r>
      <w:r/>
    </w:p>
    <w:p>
      <w:pPr>
        <w:ind w:firstLine="480"/>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1、本项目采用固定单价合同。</w:t>
      </w:r>
      <w:r/>
    </w:p>
    <w:p>
      <w:pPr>
        <w:ind w:firstLine="480"/>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2、项目结算价包括：结算时单价按合同单价固定不变，数量根据实际完成的工作量并经甲方、审计审核的合格数量确定；完成甲方要求的合同以外的项目或发生非乙方责任事件的项目量按甲乙双方、审计确认。</w:t>
      </w:r>
      <w:r/>
    </w:p>
    <w:p>
      <w:pPr>
        <w:ind w:firstLine="480"/>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3、本项目的最终结算费用以审计单位审定的金额为准。</w:t>
      </w:r>
      <w:r/>
    </w:p>
    <w:p>
      <w:pPr>
        <w:ind w:firstLine="480"/>
        <w:spacing w:line="300" w:lineRule="auto"/>
        <w:tabs>
          <w:tab w:val="left" w:pos="567" w:leader="none"/>
        </w:tabs>
        <w:rPr>
          <w:rFonts w:hint="eastAsia" w:ascii="宋体" w:hAnsi="宋体" w:cs="宋体"/>
          <w:color w:val="000000"/>
          <w:sz w:val="24"/>
          <w:szCs w:val="20"/>
          <w:lang w:val="zh-CN"/>
        </w:rPr>
      </w:pPr>
      <w:r>
        <w:rPr>
          <w:rFonts w:hint="eastAsia" w:ascii="宋体" w:hAnsi="宋体" w:cs="宋体"/>
          <w:color w:val="000000"/>
          <w:sz w:val="24"/>
          <w:szCs w:val="20"/>
          <w:lang w:val="zh-CN"/>
        </w:rPr>
        <w:t xml:space="preserve">4、结算审计费用按以下方式支付：核减额在项目送审价10%以下，乙方不承担审计费用；核减额超过项目送审价10%-20%，超出10%部分的审计费用由乙方承担；核减额超过项目送审价20%以上，超过10%部分审计费由乙方承担，并按同等额度扣除项目款，并由建设主管部门进行通报。</w:t>
      </w:r>
      <w:r/>
    </w:p>
    <w:p>
      <w:pPr>
        <w:ind w:firstLine="482"/>
        <w:spacing w:before="120" w:line="300" w:lineRule="auto"/>
        <w:tabs>
          <w:tab w:val="left" w:pos="567" w:leader="none"/>
        </w:tabs>
        <w:rPr>
          <w:rFonts w:hint="eastAsia" w:ascii="宋体" w:hAnsi="宋体" w:cs="宋体"/>
          <w:b/>
          <w:bCs/>
          <w:color w:val="000000"/>
          <w:sz w:val="24"/>
          <w:szCs w:val="20"/>
          <w:lang w:val="zh-CN"/>
        </w:rPr>
      </w:pPr>
      <w:r>
        <w:rPr>
          <w:rFonts w:hint="eastAsia" w:ascii="宋体" w:hAnsi="宋体" w:cs="宋体"/>
          <w:b/>
          <w:bCs/>
          <w:color w:val="000000"/>
          <w:sz w:val="24"/>
          <w:szCs w:val="20"/>
          <w:lang w:val="zh-CN"/>
        </w:rPr>
        <w:t xml:space="preserve">第七条、服务要求</w:t>
      </w:r>
      <w:r/>
    </w:p>
    <w:p>
      <w:pPr>
        <w:contextualSpacing/>
        <w:ind w:firstLine="480"/>
        <w:spacing w:line="300" w:lineRule="auto"/>
        <w:rPr>
          <w:rFonts w:hint="eastAsia" w:ascii="宋体" w:hAnsi="宋体" w:cs="宋体"/>
          <w:bCs/>
          <w:sz w:val="24"/>
        </w:rPr>
      </w:pPr>
      <w:r>
        <w:rPr>
          <w:rFonts w:hint="eastAsia"/>
          <w:bCs/>
          <w:color w:val="000000"/>
          <w:sz w:val="24"/>
        </w:rPr>
        <w:t xml:space="preserve">供应商针对本项目需提供7*24小时常武地区技术、维护保养服务，提供保证系统正常运行所需要的维护保养及备品备件配件。中标供应商应对本项目前后端设备提供包含软件漏洞修补、故障排除、性能调优、摄像机和存储系统软件升级和增补、功能调优、图像抓拍性能提升、范围扩展、嵌入式软件定制修改、各项后端软件业务流程调整和功能性能升级等内容在内的持续升级服务；本项目视频和图像、数据</w:t>
      </w:r>
      <w:r>
        <w:rPr>
          <w:rFonts w:hint="eastAsia"/>
          <w:bCs/>
          <w:color w:val="000000"/>
          <w:sz w:val="24"/>
        </w:rPr>
        <w:t xml:space="preserve">传输接口、数据结构、传输内容应当符合武进公安本地数据接收规范，具备定制和持续更新能力；摄像机画面字符字体、字号、位置等文字叠加参数应按照武进公安规范进行定制，支持全寿命周期调整升级；摄像机内置软件支持持续升级，并能根据用户需求进行抓拍软件性能提升，按用户要求不断提高图片抓拍率、重复率、优选率和图像质量；以上各项定制、升级响应并现场布署完成至项目实施方确认时间不得超过30日。中标供应商应对由于设备质量、项目实施质量、设计选型失误及其他由于供应商原因造成的损坏、故障进行修复。若供应商不履行维护保养义务和责任，则</w:t>
      </w:r>
      <w:r>
        <w:rPr>
          <w:rFonts w:hint="eastAsia" w:ascii="宋体" w:hAnsi="宋体" w:cs="宋体"/>
          <w:bCs/>
          <w:sz w:val="24"/>
        </w:rPr>
        <w:t xml:space="preserve">应承担由于违约造成的法律后果。由于设备质量、项目实施质量、设计选型失误及其他由于供应商原因而导致或发生与此有关的人身伤亡、财产损失、环境损害及其他意外事件，以及产生的诉讼、索赔、损失补偿、行政处罚及其他费用，以及其他一切违约责任的后果，应由供应商承担。</w:t>
      </w:r>
      <w:r/>
    </w:p>
    <w:p>
      <w:pPr>
        <w:contextualSpacing/>
        <w:ind w:firstLine="482"/>
        <w:spacing w:line="300" w:lineRule="auto"/>
        <w:rPr>
          <w:rFonts w:hint="eastAsia" w:ascii="宋体" w:hAnsi="宋体" w:cs="宋体"/>
          <w:bCs/>
          <w:sz w:val="24"/>
        </w:rPr>
      </w:pPr>
      <w:r>
        <w:rPr>
          <w:rFonts w:hint="eastAsia"/>
          <w:b/>
          <w:sz w:val="24"/>
        </w:rPr>
        <w:t xml:space="preserve">1、</w:t>
      </w:r>
      <w:r>
        <w:rPr>
          <w:rFonts w:hint="eastAsia" w:ascii="宋体" w:hAnsi="宋体" w:cs="宋体"/>
          <w:b/>
          <w:sz w:val="24"/>
        </w:rPr>
        <w:t xml:space="preserve">维保责任界面</w:t>
      </w:r>
      <w:r/>
    </w:p>
    <w:p>
      <w:pPr>
        <w:contextualSpacing/>
        <w:ind w:firstLine="482"/>
        <w:spacing w:line="300" w:lineRule="auto"/>
        <w:rPr>
          <w:rFonts w:hint="eastAsia" w:ascii="宋体" w:hAnsi="宋体" w:cs="宋体"/>
          <w:bCs/>
          <w:sz w:val="24"/>
        </w:rPr>
      </w:pPr>
      <w:r>
        <w:rPr>
          <w:rFonts w:hint="eastAsia" w:ascii="宋体" w:hAnsi="宋体" w:cs="宋体"/>
          <w:b/>
          <w:sz w:val="24"/>
        </w:rPr>
        <w:t xml:space="preserve">本次维护采取包工包料的全包方式。</w:t>
      </w:r>
      <w:r>
        <w:rPr>
          <w:rFonts w:hint="eastAsia" w:ascii="宋体" w:hAnsi="宋体" w:cs="宋体"/>
          <w:bCs/>
          <w:sz w:val="24"/>
        </w:rPr>
        <w:t xml:space="preserve">供应商应通过预警信息、软件巡查、数据比对分析、人工巡检和复核等多种方式，开展保养、巡检、维修等工作，实现维保工作全面、准确、高效。具体责任界面要求如下：</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（1）前端设备保养与巡检责任界面</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供应商对维护范围内的前端设备（杆件、机箱、硬件设备、线缆、通讯传输设备等）及前端软件等运行情况按项目要求进行保养、巡检。保养包含但不仅限于必要的耗材更换、设备清洁、机箱清洁整理、运行情况检查和安全隐患排查；巡检包含但不仅限于人员、车辆轨迹采集识别率、图片效果、视频存储情况、实时视频清晰度、设备通讯联网情况等。</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（2）前端设备维修与更换责任界面</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供应商在维护范围内的前端设备（杆件、机箱、硬件设备、线缆、通讯传输设备等）及前端软件等发生故障时（含效果优化、参数调整）进行维修，如维修效果不能满足使用需求，需更换全新设备，所有费用包含在本次报价内，</w:t>
      </w:r>
      <w:r>
        <w:rPr>
          <w:rFonts w:hint="eastAsia" w:ascii="宋体" w:hAnsi="宋体" w:cs="宋体"/>
          <w:b/>
          <w:sz w:val="24"/>
        </w:rPr>
        <w:t xml:space="preserve">不再增加额外费用</w:t>
      </w:r>
      <w:r>
        <w:rPr>
          <w:rFonts w:hint="eastAsia" w:ascii="宋体" w:hAnsi="宋体" w:cs="宋体"/>
          <w:bCs/>
          <w:sz w:val="24"/>
        </w:rPr>
        <w:t xml:space="preserve">。</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供应商在维护范围内需按采购人需求调整杆件上设备，包括但不限于设备拆除、入库、清洗、移机等。</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（3）中心设备维修与更换责任界面</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中标供应商在维护范围内的中心设备、中心软件等发生故障时（含效果优化、参数调整）进行维修及中心到前端裸光纤链路数据传输正常。如维修效果不能满足使用需求，需更换全新设备，所有费用包含在本次报价内，</w:t>
      </w:r>
      <w:r>
        <w:rPr>
          <w:rFonts w:hint="eastAsia" w:ascii="宋体" w:hAnsi="宋体" w:cs="宋体"/>
          <w:b/>
          <w:sz w:val="24"/>
        </w:rPr>
        <w:t xml:space="preserve">不再增加额外费用</w:t>
      </w:r>
      <w:r>
        <w:rPr>
          <w:rFonts w:hint="eastAsia" w:ascii="宋体" w:hAnsi="宋体" w:cs="宋体"/>
          <w:bCs/>
          <w:sz w:val="24"/>
        </w:rPr>
        <w:t xml:space="preserve">。</w:t>
      </w:r>
      <w:r/>
    </w:p>
    <w:p>
      <w:pPr>
        <w:contextualSpacing/>
        <w:ind w:firstLine="480"/>
        <w:spacing w:line="300" w:lineRule="auto"/>
        <w:rPr>
          <w:b/>
          <w:color w:val="000000"/>
          <w:sz w:val="24"/>
        </w:rPr>
      </w:pPr>
      <w:r>
        <w:rPr>
          <w:rFonts w:hint="eastAsia"/>
          <w:b/>
          <w:color w:val="000000"/>
          <w:sz w:val="24"/>
        </w:rPr>
        <w:t xml:space="preserve">2、运维服务团队及设备要求</w:t>
      </w:r>
      <w:r/>
    </w:p>
    <w:p>
      <w:pPr>
        <w:contextualSpacing/>
        <w:ind w:firstLine="482"/>
        <w:spacing w:line="300" w:lineRule="auto"/>
        <w:rPr>
          <w:bCs/>
          <w:color w:val="000000"/>
          <w:sz w:val="24"/>
        </w:rPr>
      </w:pPr>
      <w:r>
        <w:rPr>
          <w:rFonts w:hint="eastAsia"/>
          <w:bCs/>
          <w:color w:val="000000"/>
          <w:sz w:val="24"/>
        </w:rPr>
        <w:t xml:space="preserve">（1）维保单位针对本维保项目配备以下维护人员和车辆：不少于1名内场维护工程师、2名外场维护工程师和1辆维护面包车或轻型卡车。项目管理团队及现场</w:t>
      </w:r>
      <w:r>
        <w:rPr>
          <w:bCs/>
          <w:color w:val="000000"/>
          <w:sz w:val="24"/>
        </w:rPr>
        <w:t xml:space="preserve">维护人员需经武进公安局科技信息大队培训</w:t>
      </w:r>
      <w:r>
        <w:rPr>
          <w:rFonts w:hint="eastAsia"/>
          <w:bCs/>
          <w:color w:val="000000"/>
          <w:sz w:val="24"/>
        </w:rPr>
        <w:t xml:space="preserve">并签订相关的信息保密协议</w:t>
      </w:r>
      <w:r>
        <w:rPr>
          <w:bCs/>
          <w:color w:val="000000"/>
          <w:sz w:val="24"/>
        </w:rPr>
        <w:t xml:space="preserve">后方可上岗</w:t>
      </w:r>
      <w:r>
        <w:rPr>
          <w:rFonts w:hint="eastAsia"/>
          <w:bCs/>
          <w:color w:val="000000"/>
          <w:sz w:val="24"/>
        </w:rPr>
        <w:t xml:space="preserve">。</w:t>
      </w:r>
      <w:r/>
    </w:p>
    <w:p>
      <w:pPr>
        <w:contextualSpacing/>
        <w:ind w:firstLine="482"/>
        <w:spacing w:line="300" w:lineRule="auto"/>
        <w:rPr>
          <w:bCs/>
          <w:color w:val="000000"/>
          <w:sz w:val="24"/>
        </w:rPr>
      </w:pPr>
      <w:r>
        <w:rPr>
          <w:rFonts w:hint="eastAsia"/>
          <w:bCs/>
          <w:color w:val="000000"/>
          <w:sz w:val="24"/>
        </w:rPr>
        <w:t xml:space="preserve">（2）内场维护工程师应在常州市公安局武进分局科信大队开展驻场服务，服从常州市公安局</w:t>
      </w:r>
      <w:r>
        <w:rPr>
          <w:rFonts w:hint="eastAsia"/>
          <w:bCs/>
          <w:color w:val="000000"/>
          <w:sz w:val="24"/>
        </w:rPr>
        <w:t xml:space="preserve">武进分局科信大队日常勤务制度管理，按各自承担后端视频图像在线状态、录像状态、图像质量、各业务平台、后端硬件系统、机房环境动力系统的巡查和维护任务分配、维护报告编制和维护质量管理；外场维护工程师负责外场现场维修、设备调试优化和日常巡检工作。如内场维护工程师、外场维护工程师、维护车辆发生变动，必须事先征得采购人同意，接替人员必须符合上述人员要求，提前1个月到常州市公安局武进分局进行工作交接。若供应商维护工程师不符合建设单位要求，采购人有权要求供应商重新提供符合要求的维护工程师，接替人员上岗后工作交接1个月后，原</w:t>
      </w:r>
      <w:r>
        <w:rPr>
          <w:rFonts w:hint="eastAsia"/>
          <w:bCs/>
          <w:color w:val="000000"/>
          <w:sz w:val="24"/>
        </w:rPr>
        <w:t xml:space="preserve">维护工程师方可离开。同时供应商应认真对维护工程师进行技术培训、查勤考核，确保运行维护保养工作到位。若供应商违约，采购人每次可视情扣缴供应商违约金，每次扣缴违约金不超过1万元。采购人只提供供应商内场维护工程师基本的办公条件，维护的软硬件设备需供应商自行提供且需满足公安标准要求，如采购人认为需要，可派供应商内场维护工程师进行非本项目以外的工作，供应商不得拒绝。供应商内场、外场维护工程师是供应商单位的人员，如发生一切自身及其他人身伤害、事故，相应一切法律责任、经济责任、社会责任由供应商承担，采购人不承担任何责任。</w:t>
      </w:r>
      <w:r/>
    </w:p>
    <w:p>
      <w:pPr>
        <w:contextualSpacing/>
        <w:ind w:firstLine="482"/>
        <w:spacing w:line="300" w:lineRule="auto"/>
        <w:rPr>
          <w:bCs/>
          <w:color w:val="000000"/>
          <w:sz w:val="24"/>
        </w:rPr>
      </w:pPr>
      <w:r>
        <w:rPr>
          <w:rFonts w:hint="eastAsia"/>
          <w:bCs/>
          <w:color w:val="000000"/>
          <w:sz w:val="24"/>
        </w:rPr>
        <w:t xml:space="preserve">（3）采购人重大安保活动及其它特殊情况，供应商应提供不限于以上维护人员和设备以外的技术人员和设备，根据采购人要求提前到武进当地进行技术保障、事前巡检及故障修复，确保重大安保活动及其它特殊情况时设备的完好使用，采购人不另行支付费用。</w:t>
      </w:r>
      <w:r/>
    </w:p>
    <w:p>
      <w:pPr>
        <w:contextualSpacing/>
        <w:ind w:firstLine="482"/>
        <w:spacing w:line="300" w:lineRule="auto"/>
        <w:rPr>
          <w:bCs/>
          <w:color w:val="000000"/>
          <w:sz w:val="24"/>
        </w:rPr>
      </w:pPr>
      <w:r>
        <w:rPr>
          <w:rFonts w:hint="eastAsia"/>
          <w:bCs/>
          <w:color w:val="000000"/>
          <w:sz w:val="24"/>
        </w:rPr>
        <w:t xml:space="preserve">（4）供应商在项目实施过程中因设备老化导致性能不达标，经维修后符合性能指标，若发现与其配套的设备无法与上述设备兼容时，须将不兼容设备同时更换以满足整体兼容性使用要求。更换的设备应不得低于原设备参数标准，且视频画面、图像数据等要求需满足采购人要求。</w:t>
      </w:r>
      <w:r/>
    </w:p>
    <w:p>
      <w:pPr>
        <w:contextualSpacing/>
        <w:ind w:firstLine="482"/>
        <w:spacing w:line="300" w:lineRule="auto"/>
        <w:rPr>
          <w:bCs/>
          <w:color w:val="000000"/>
          <w:sz w:val="24"/>
        </w:rPr>
      </w:pPr>
      <w:r>
        <w:rPr>
          <w:rFonts w:hint="eastAsia"/>
          <w:bCs/>
          <w:color w:val="000000"/>
          <w:sz w:val="24"/>
        </w:rPr>
        <w:t xml:space="preserve">（5）供应商</w:t>
      </w:r>
      <w:r>
        <w:rPr>
          <w:bCs/>
          <w:color w:val="000000"/>
          <w:sz w:val="24"/>
        </w:rPr>
        <w:t xml:space="preserve">应</w:t>
      </w:r>
      <w:r>
        <w:rPr>
          <w:rFonts w:hint="eastAsia"/>
          <w:bCs/>
          <w:color w:val="000000"/>
          <w:sz w:val="24"/>
        </w:rPr>
        <w:t xml:space="preserve">配备一定数量</w:t>
      </w:r>
      <w:r>
        <w:rPr>
          <w:bCs/>
          <w:color w:val="000000"/>
          <w:sz w:val="24"/>
        </w:rPr>
        <w:t xml:space="preserve">的备品备件，具体包括：摄像机、</w:t>
      </w:r>
      <w:r>
        <w:rPr>
          <w:rFonts w:hint="eastAsia"/>
          <w:bCs/>
          <w:color w:val="000000"/>
          <w:sz w:val="24"/>
        </w:rPr>
        <w:t xml:space="preserve">接入</w:t>
      </w:r>
      <w:r>
        <w:rPr>
          <w:bCs/>
          <w:color w:val="000000"/>
          <w:sz w:val="24"/>
        </w:rPr>
        <w:t xml:space="preserve">交换机、硬盘、电源、</w:t>
      </w:r>
      <w:r>
        <w:rPr>
          <w:rFonts w:hint="eastAsia"/>
          <w:bCs/>
          <w:color w:val="000000"/>
          <w:sz w:val="24"/>
        </w:rPr>
        <w:t xml:space="preserve">录像机</w:t>
      </w:r>
      <w:r>
        <w:rPr>
          <w:bCs/>
          <w:color w:val="000000"/>
          <w:sz w:val="24"/>
        </w:rPr>
        <w:t xml:space="preserve">等设备（以下统称“备品备件”）。备品备件的品牌、型号、规格须与</w:t>
      </w:r>
      <w:r>
        <w:rPr>
          <w:rFonts w:hint="eastAsia"/>
          <w:bCs/>
          <w:color w:val="000000"/>
          <w:sz w:val="24"/>
        </w:rPr>
        <w:t xml:space="preserve">维保设备</w:t>
      </w:r>
      <w:r>
        <w:rPr>
          <w:bCs/>
          <w:color w:val="000000"/>
          <w:sz w:val="24"/>
        </w:rPr>
        <w:t xml:space="preserve">清单中对应主设备完全一致，且为全新未使用的原厂正品。备品备件数量以</w:t>
      </w:r>
      <w:r>
        <w:rPr>
          <w:rFonts w:hint="eastAsia"/>
          <w:bCs/>
          <w:color w:val="000000"/>
          <w:sz w:val="24"/>
        </w:rPr>
        <w:t xml:space="preserve">维保</w:t>
      </w:r>
      <w:r>
        <w:rPr>
          <w:bCs/>
          <w:color w:val="000000"/>
          <w:sz w:val="24"/>
        </w:rPr>
        <w:t xml:space="preserve">设备清单中每类设备的同型号数量为基数，按该基数数量的3%计算备品备件数量</w:t>
      </w:r>
      <w:r>
        <w:rPr>
          <w:rFonts w:hint="eastAsia"/>
          <w:bCs/>
          <w:color w:val="000000"/>
          <w:sz w:val="24"/>
        </w:rPr>
        <w:t xml:space="preserve">，</w:t>
      </w:r>
      <w:r>
        <w:rPr>
          <w:bCs/>
          <w:color w:val="000000"/>
          <w:sz w:val="24"/>
        </w:rPr>
        <w:t xml:space="preserve">计算结果若出现小数，则采用“向上取整”原则，即小数点后数值大于零时均进一位取整</w:t>
      </w:r>
      <w:r>
        <w:rPr>
          <w:rFonts w:hint="eastAsia"/>
          <w:bCs/>
          <w:color w:val="000000"/>
          <w:sz w:val="24"/>
        </w:rPr>
        <w:t xml:space="preserve">。</w:t>
      </w:r>
      <w:r>
        <w:rPr>
          <w:bCs/>
          <w:color w:val="000000"/>
          <w:sz w:val="24"/>
        </w:rPr>
        <w:t xml:space="preserve">备品备件的质量标准、性能参数、保修期限等均须与主设备一致</w:t>
      </w:r>
      <w:r>
        <w:rPr>
          <w:rFonts w:hint="eastAsia"/>
          <w:bCs/>
          <w:color w:val="000000"/>
          <w:sz w:val="24"/>
        </w:rPr>
        <w:t xml:space="preserve">，</w:t>
      </w:r>
      <w:r>
        <w:rPr>
          <w:bCs/>
          <w:color w:val="000000"/>
          <w:sz w:val="24"/>
        </w:rPr>
        <w:t xml:space="preserve">并提供独立包装及明确标识</w:t>
      </w:r>
      <w:r>
        <w:rPr>
          <w:rFonts w:hint="eastAsia"/>
          <w:bCs/>
          <w:color w:val="000000"/>
          <w:sz w:val="24"/>
        </w:rPr>
        <w:t xml:space="preserve">，</w:t>
      </w:r>
      <w:r>
        <w:rPr>
          <w:bCs/>
          <w:color w:val="000000"/>
          <w:sz w:val="24"/>
        </w:rPr>
        <w:t xml:space="preserve">备品备件的运输、安装及验收程序参照主设备条款执行。备品备件的费用已包含在本合同总价中，</w:t>
      </w:r>
      <w:r>
        <w:rPr>
          <w:rFonts w:hint="eastAsia"/>
          <w:bCs/>
          <w:color w:val="000000"/>
          <w:sz w:val="24"/>
        </w:rPr>
        <w:t xml:space="preserve">供应商</w:t>
      </w:r>
      <w:r>
        <w:rPr>
          <w:bCs/>
          <w:color w:val="000000"/>
          <w:sz w:val="24"/>
        </w:rPr>
        <w:t xml:space="preserve">不得以任何理由要求</w:t>
      </w:r>
      <w:r>
        <w:rPr>
          <w:rFonts w:hint="eastAsia"/>
          <w:bCs/>
          <w:color w:val="000000"/>
          <w:sz w:val="24"/>
        </w:rPr>
        <w:t xml:space="preserve">采购人</w:t>
      </w:r>
      <w:r>
        <w:rPr>
          <w:bCs/>
          <w:color w:val="000000"/>
          <w:sz w:val="24"/>
        </w:rPr>
        <w:t xml:space="preserve">额外支付费用。</w:t>
      </w:r>
      <w:r/>
    </w:p>
    <w:p>
      <w:pPr>
        <w:contextualSpacing/>
        <w:ind w:firstLine="482"/>
        <w:spacing w:line="300" w:lineRule="auto"/>
        <w:rPr>
          <w:bCs/>
          <w:color w:val="000000"/>
          <w:sz w:val="24"/>
        </w:rPr>
      </w:pPr>
      <w:r>
        <w:rPr>
          <w:rFonts w:hint="eastAsia"/>
          <w:bCs/>
          <w:color w:val="000000"/>
          <w:sz w:val="24"/>
        </w:rPr>
        <w:t xml:space="preserve">（5）点位校准APP：武进公安按照技防基础设施数据治理要求，通过移动端和 PC 端相结合的方式，建成了点位校准APP，以基础数据现场采集、后端采集、人工审核三步走的方式，开展完整的资产属性数据全面治理，确保感知类资产基础属性准</w:t>
      </w:r>
      <w:r>
        <w:rPr>
          <w:rFonts w:hint="eastAsia"/>
          <w:bCs/>
          <w:color w:val="000000"/>
          <w:sz w:val="24"/>
        </w:rPr>
        <w:t xml:space="preserve">确、清晰资产前端数据治理层面，重点应用移动终端信息采集手段，对各类感知设施基础信息进行现场采集和核对：依托移动终端高精度经纬度采集能力，采集较为稳定和精确的前端经纬度；依托移动终端电子罗盘采集能力，现场采集不可转动视频类感知设备朝向方位角度，为上图标注和智能化图像分析提供基础支撑；现场同时采集设备外观、安装位置、安装承载物、设备类型、补光灯属性、杆件和机柜、取电方式等项目结构化信息，采集设备安装地点、安装位置、安装支架、立杆机柜、取电借网等项目的图像，采集安装环境全景图像和视频，满足长期管理的基础信息需求；</w:t>
      </w:r>
      <w:r/>
    </w:p>
    <w:p>
      <w:pPr>
        <w:contextualSpacing/>
        <w:ind w:firstLine="482"/>
        <w:spacing w:line="300" w:lineRule="auto"/>
        <w:rPr>
          <w:bCs/>
          <w:color w:val="000000"/>
          <w:sz w:val="24"/>
        </w:rPr>
      </w:pPr>
      <w:r>
        <w:rPr>
          <w:rFonts w:hint="eastAsia"/>
          <w:bCs/>
          <w:color w:val="000000"/>
          <w:sz w:val="24"/>
        </w:rPr>
        <w:t xml:space="preserve">现场还需采集设备安装所在地的重点单位、关键部位属性标签，满足设备分类标识和智能关联应用需求。资产后端数据治</w:t>
      </w:r>
      <w:r>
        <w:rPr>
          <w:rFonts w:hint="eastAsia"/>
          <w:bCs/>
          <w:color w:val="000000"/>
          <w:sz w:val="24"/>
        </w:rPr>
        <w:t xml:space="preserve">理层面，提供后端技术类属性数据治理能力，满足设备国标编码、类型管理、入网控制等业务需求：后端采集项目包括网络标识、IP 地址、MAC 地址，采集设备品牌、型号、序列号、录像机地址、录像机通道号、校时源地址、设备使用状态等信息，并采集能够印证以上项目正确填写的设备管理界面截图，确保截图内容与采集人员填写的内容一致；同时，后端采集视频类设备实时预览画面，以审核流程约束，确保图像上字符叠加内容、方式、位置符合国家标准和上级技术要求。本项目在施工、运维阶段，应当按照武进公安要求，进行全流程点位校准APP使用及监管。</w:t>
      </w:r>
      <w:r/>
    </w:p>
    <w:p>
      <w:pPr>
        <w:contextualSpacing/>
        <w:ind w:firstLine="480"/>
        <w:spacing w:line="300" w:lineRule="auto"/>
        <w:rPr>
          <w:b/>
          <w:color w:val="000000"/>
          <w:sz w:val="24"/>
        </w:rPr>
      </w:pPr>
      <w:r>
        <w:rPr>
          <w:rFonts w:hint="eastAsia"/>
          <w:b/>
          <w:color w:val="000000"/>
          <w:sz w:val="24"/>
        </w:rPr>
        <w:t xml:space="preserve">3、巡检要求</w:t>
      </w:r>
      <w:r/>
    </w:p>
    <w:p>
      <w:pPr>
        <w:contextualSpacing/>
        <w:ind w:firstLine="480"/>
        <w:spacing w:line="300" w:lineRule="auto"/>
        <w:rPr>
          <w:bCs/>
          <w:color w:val="000000"/>
          <w:sz w:val="24"/>
        </w:rPr>
      </w:pPr>
      <w:r>
        <w:rPr>
          <w:rFonts w:hint="eastAsia"/>
          <w:bCs/>
          <w:color w:val="000000"/>
          <w:sz w:val="24"/>
        </w:rPr>
        <w:t xml:space="preserve">（1）中标供应商应对前后端系统进行每日巡检，及时发现可能解决引发故障的风险和修复存在的故障，同时每日巡检工作应详细记录形成详细报告（一式两份）并经采购人确认，若中标供应商违约，采购人每次可视情扣缴中标供应商违约金，每次扣缴中标供应商违约金不超过1000元。</w:t>
      </w:r>
      <w:r/>
    </w:p>
    <w:p>
      <w:pPr>
        <w:contextualSpacing/>
        <w:ind w:firstLine="480"/>
        <w:spacing w:line="300" w:lineRule="auto"/>
        <w:rPr>
          <w:bCs/>
          <w:color w:val="000000"/>
          <w:sz w:val="24"/>
        </w:rPr>
      </w:pPr>
      <w:r>
        <w:rPr>
          <w:rFonts w:hint="eastAsia"/>
          <w:bCs/>
          <w:color w:val="000000"/>
          <w:sz w:val="24"/>
        </w:rPr>
        <w:t xml:space="preserve">（2）每日巡检内容包括但不限于前后端系统在线状态、资产在位状态、各类视频图像和数据质量、各类数据数量波动情况、后端环境动力系统及供配电系统运行状态、消防系统运行状态、系统内各服务保活状态、内部系统与外部系统数据交互服务保活状态，其他需要巡检的事项和异常信息。</w:t>
      </w:r>
      <w:r/>
    </w:p>
    <w:p>
      <w:pPr>
        <w:contextualSpacing/>
        <w:ind w:firstLine="480"/>
        <w:spacing w:line="300" w:lineRule="auto"/>
        <w:rPr>
          <w:bCs/>
          <w:color w:val="000000"/>
          <w:sz w:val="24"/>
        </w:rPr>
      </w:pPr>
      <w:r>
        <w:rPr>
          <w:rFonts w:hint="eastAsia"/>
          <w:bCs/>
          <w:color w:val="000000"/>
          <w:sz w:val="24"/>
        </w:rPr>
        <w:t xml:space="preserve">（3）供应商应提供月度例行巡检，对前端设施安全性、可用性进行检查，对发现的问题及时处理；对全部补光灯进行无遗漏检查，对发现的故障灯具及时更换；对前端设备箱及箱内设备进行检查和清洁，确保箱内整洁、环境可控、设备稳定运行。</w:t>
      </w:r>
      <w:r/>
    </w:p>
    <w:p>
      <w:pPr>
        <w:contextualSpacing/>
        <w:ind w:firstLine="480"/>
        <w:spacing w:line="300" w:lineRule="auto"/>
        <w:rPr>
          <w:bCs/>
          <w:color w:val="000000"/>
          <w:sz w:val="24"/>
        </w:rPr>
      </w:pPr>
      <w:r>
        <w:rPr>
          <w:rFonts w:hint="eastAsia"/>
          <w:bCs/>
          <w:color w:val="000000"/>
          <w:sz w:val="24"/>
        </w:rPr>
        <w:t xml:space="preserve">（4）供应商应提供季度例行巡检，对后端设施可用性进行检查，对发现的问题及时处理；对供配电系统进行测试，对存在隐患的环节进行维修和更换；</w:t>
      </w:r>
      <w:r/>
    </w:p>
    <w:p>
      <w:pPr>
        <w:contextualSpacing/>
        <w:ind w:firstLine="480"/>
        <w:spacing w:line="300" w:lineRule="auto"/>
        <w:rPr>
          <w:bCs/>
          <w:color w:val="000000"/>
          <w:sz w:val="24"/>
        </w:rPr>
      </w:pPr>
      <w:r>
        <w:rPr>
          <w:rFonts w:hint="eastAsia"/>
          <w:bCs/>
          <w:color w:val="000000"/>
          <w:sz w:val="24"/>
        </w:rPr>
        <w:t xml:space="preserve">（5）供应商应按以上巡检要求开展巡检工作，并撰写维护保养周报、月报、季报和年度报告，详细记录相关设备维护保养、故障修复、维修人员及其它情况，并在每周一、月后的第一天、季度的第一天、次年第一天内提供给采购人。</w:t>
      </w:r>
      <w:r/>
    </w:p>
    <w:tbl>
      <w:tblPr>
        <w:tblStyle w:val="737"/>
        <w:tblpPr w:horzAnchor="page" w:tblpXSpec="center" w:vertAnchor="text" w:tblpY="460" w:leftFromText="180" w:topFromText="0" w:rightFromText="180" w:bottomFromText="0"/>
        <w:tblW w:w="841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5"/>
        <w:gridCol w:w="7730"/>
      </w:tblGrid>
      <w:tr>
        <w:trPr>
          <w:trHeight w:val="507"/>
        </w:trPr>
        <w:tc>
          <w:tcPr>
            <w:tcBorders>
              <w:left w:val="single" w:color="000000" w:sz="6" w:space="0"/>
              <w:right w:val="single" w:color="000000" w:sz="8" w:space="0"/>
            </w:tcBorders>
            <w:tcW w:w="685" w:type="dxa"/>
            <w:vAlign w:val="center"/>
            <w:textDirection w:val="lrTb"/>
            <w:noWrap w:val="false"/>
          </w:tcPr>
          <w:p>
            <w:pPr>
              <w:contextualSpacing/>
              <w:jc w:val="center"/>
              <w:rPr>
                <w:rFonts w:ascii="Calibri" w:hAnsi="Calibri"/>
                <w:bCs/>
                <w:sz w:val="24"/>
                <w:lang w:eastAsia="en-US"/>
              </w:rPr>
            </w:pPr>
            <w:r>
              <w:rPr>
                <w:rFonts w:hint="eastAsia" w:ascii="Calibri" w:hAnsi="Calibri"/>
                <w:bCs/>
                <w:sz w:val="24"/>
                <w:lang w:eastAsia="en-US"/>
              </w:rPr>
              <w:t xml:space="preserve">序号</w:t>
            </w:r>
            <w:r/>
          </w:p>
        </w:tc>
        <w:tc>
          <w:tcPr>
            <w:tcBorders>
              <w:top w:val="single" w:color="000000" w:sz="6" w:space="0"/>
              <w:left w:val="single" w:color="000000" w:sz="8" w:space="0"/>
              <w:bottom w:val="single" w:color="000000" w:sz="6" w:space="0"/>
            </w:tcBorders>
            <w:tcW w:w="7730" w:type="dxa"/>
            <w:vAlign w:val="center"/>
            <w:textDirection w:val="lrTb"/>
            <w:noWrap w:val="false"/>
          </w:tcPr>
          <w:p>
            <w:pPr>
              <w:contextualSpacing/>
              <w:jc w:val="center"/>
              <w:rPr>
                <w:rFonts w:ascii="Calibri" w:hAnsi="Calibri"/>
                <w:bCs/>
                <w:sz w:val="24"/>
                <w:lang w:eastAsia="en-US"/>
              </w:rPr>
            </w:pPr>
            <w:r>
              <w:rPr>
                <w:rFonts w:hint="eastAsia" w:ascii="Calibri" w:hAnsi="Calibri"/>
                <w:b/>
                <w:sz w:val="24"/>
                <w:lang w:eastAsia="en-US"/>
              </w:rPr>
              <w:t xml:space="preserve">月巡检内容</w:t>
            </w:r>
            <w:r/>
          </w:p>
        </w:tc>
      </w:tr>
      <w:tr>
        <w:trPr>
          <w:trHeight w:val="557"/>
        </w:trPr>
        <w:tc>
          <w:tcPr>
            <w:tcBorders>
              <w:left w:val="single" w:color="000000" w:sz="6" w:space="0"/>
              <w:right w:val="single" w:color="000000" w:sz="8" w:space="0"/>
            </w:tcBorders>
            <w:tcW w:w="685" w:type="dxa"/>
            <w:vAlign w:val="center"/>
            <w:textDirection w:val="lrTb"/>
            <w:noWrap w:val="false"/>
          </w:tcPr>
          <w:p>
            <w:pPr>
              <w:contextualSpacing/>
              <w:jc w:val="center"/>
              <w:rPr>
                <w:rFonts w:ascii="Calibri" w:hAnsi="Calibri"/>
                <w:bCs/>
                <w:color w:val="000000"/>
                <w:sz w:val="24"/>
                <w:lang w:eastAsia="en-US"/>
              </w:rPr>
            </w:pPr>
            <w:r>
              <w:rPr>
                <w:rFonts w:hint="eastAsia" w:ascii="Calibri" w:hAnsi="Calibri"/>
                <w:bCs/>
                <w:color w:val="000000"/>
                <w:sz w:val="24"/>
                <w:lang w:eastAsia="en-US"/>
              </w:rPr>
              <w:t xml:space="preserve">1</w:t>
            </w:r>
            <w:r/>
          </w:p>
        </w:tc>
        <w:tc>
          <w:tcPr>
            <w:tcBorders>
              <w:top w:val="single" w:color="000000" w:sz="6" w:space="0"/>
              <w:left w:val="single" w:color="000000" w:sz="8" w:space="0"/>
              <w:bottom w:val="single" w:color="000000" w:sz="6" w:space="0"/>
            </w:tcBorders>
            <w:tcW w:w="7730" w:type="dxa"/>
            <w:vAlign w:val="center"/>
            <w:textDirection w:val="lrTb"/>
            <w:noWrap w:val="false"/>
          </w:tcPr>
          <w:p>
            <w:pPr>
              <w:contextualSpacing/>
              <w:rPr>
                <w:rFonts w:ascii="Calibri" w:hAnsi="Calibri"/>
                <w:bCs/>
                <w:color w:val="000000"/>
                <w:sz w:val="24"/>
              </w:rPr>
            </w:pPr>
            <w:r>
              <w:rPr>
                <w:rFonts w:hint="eastAsia" w:ascii="Calibri" w:hAnsi="Calibri"/>
                <w:bCs/>
                <w:color w:val="000000"/>
                <w:sz w:val="24"/>
              </w:rPr>
              <w:t xml:space="preserve">对设备外观、运行状态、安全性进行检查，及时发现和解决故障</w:t>
            </w:r>
            <w:r/>
          </w:p>
        </w:tc>
      </w:tr>
      <w:tr>
        <w:trPr>
          <w:trHeight w:val="411"/>
        </w:trPr>
        <w:tc>
          <w:tcPr>
            <w:tcBorders>
              <w:left w:val="single" w:color="000000" w:sz="6" w:space="0"/>
              <w:right w:val="single" w:color="000000" w:sz="8" w:space="0"/>
            </w:tcBorders>
            <w:tcW w:w="685" w:type="dxa"/>
            <w:vAlign w:val="center"/>
            <w:textDirection w:val="lrTb"/>
            <w:noWrap w:val="false"/>
          </w:tcPr>
          <w:p>
            <w:pPr>
              <w:contextualSpacing/>
              <w:jc w:val="center"/>
              <w:rPr>
                <w:rFonts w:ascii="Calibri" w:hAnsi="Calibri"/>
                <w:bCs/>
                <w:color w:val="000000"/>
                <w:sz w:val="24"/>
                <w:lang w:eastAsia="en-US"/>
              </w:rPr>
            </w:pPr>
            <w:r>
              <w:rPr>
                <w:rFonts w:hint="eastAsia" w:ascii="Calibri" w:hAnsi="Calibri"/>
                <w:bCs/>
                <w:color w:val="000000"/>
                <w:sz w:val="24"/>
                <w:lang w:eastAsia="en-US"/>
              </w:rPr>
              <w:t xml:space="preserve">2</w:t>
            </w:r>
            <w:r/>
          </w:p>
        </w:tc>
        <w:tc>
          <w:tcPr>
            <w:tcBorders>
              <w:top w:val="single" w:color="000000" w:sz="6" w:space="0"/>
              <w:left w:val="single" w:color="000000" w:sz="8" w:space="0"/>
              <w:bottom w:val="single" w:color="000000" w:sz="6" w:space="0"/>
            </w:tcBorders>
            <w:tcW w:w="7730" w:type="dxa"/>
            <w:vAlign w:val="center"/>
            <w:textDirection w:val="lrTb"/>
            <w:noWrap w:val="false"/>
          </w:tcPr>
          <w:p>
            <w:pPr>
              <w:contextualSpacing/>
              <w:rPr>
                <w:rFonts w:ascii="Calibri" w:hAnsi="Calibri"/>
                <w:bCs/>
                <w:color w:val="000000"/>
                <w:sz w:val="24"/>
              </w:rPr>
            </w:pPr>
            <w:r>
              <w:rPr>
                <w:rFonts w:hint="eastAsia" w:ascii="Calibri" w:hAnsi="Calibri"/>
                <w:bCs/>
                <w:color w:val="000000"/>
                <w:sz w:val="24"/>
              </w:rPr>
              <w:t xml:space="preserve">对设备、杆件、机箱进行清理，设备、杆件、机箱自然老化严重的影响安全的，向采购人提出更换申请；道路监控等视频类设备应根据实际情况清洗防雨罩或防雨镜片；维保期内，对易损耗材进行、更换，保证维保期内设备正常运行，所更换配件型号及质量须等同或者高于原品牌。</w:t>
            </w:r>
            <w:r/>
          </w:p>
        </w:tc>
      </w:tr>
      <w:tr>
        <w:trPr>
          <w:trHeight w:val="513"/>
        </w:trPr>
        <w:tc>
          <w:tcPr>
            <w:tcBorders>
              <w:left w:val="single" w:color="000000" w:sz="6" w:space="0"/>
              <w:right w:val="single" w:color="000000" w:sz="8" w:space="0"/>
            </w:tcBorders>
            <w:tcW w:w="685" w:type="dxa"/>
            <w:vAlign w:val="center"/>
            <w:textDirection w:val="lrTb"/>
            <w:noWrap w:val="false"/>
          </w:tcPr>
          <w:p>
            <w:pPr>
              <w:contextualSpacing/>
              <w:jc w:val="center"/>
              <w:rPr>
                <w:rFonts w:ascii="Calibri" w:hAnsi="Calibri"/>
                <w:bCs/>
                <w:color w:val="000000"/>
                <w:sz w:val="24"/>
                <w:lang w:eastAsia="en-US"/>
              </w:rPr>
            </w:pPr>
            <w:r>
              <w:rPr>
                <w:rFonts w:hint="eastAsia" w:ascii="Calibri" w:hAnsi="Calibri"/>
                <w:bCs/>
                <w:color w:val="000000"/>
                <w:sz w:val="24"/>
                <w:lang w:eastAsia="en-US"/>
              </w:rPr>
              <w:t xml:space="preserve">3</w:t>
            </w:r>
            <w:r/>
          </w:p>
        </w:tc>
        <w:tc>
          <w:tcPr>
            <w:tcBorders>
              <w:top w:val="single" w:color="000000" w:sz="6" w:space="0"/>
              <w:left w:val="single" w:color="000000" w:sz="8" w:space="0"/>
              <w:bottom w:val="single" w:color="000000" w:sz="6" w:space="0"/>
            </w:tcBorders>
            <w:tcW w:w="7730" w:type="dxa"/>
            <w:vAlign w:val="center"/>
            <w:textDirection w:val="lrTb"/>
            <w:noWrap w:val="false"/>
          </w:tcPr>
          <w:p>
            <w:pPr>
              <w:contextualSpacing/>
              <w:rPr>
                <w:rFonts w:ascii="Calibri" w:hAnsi="Calibri"/>
                <w:bCs/>
                <w:color w:val="000000"/>
                <w:sz w:val="24"/>
              </w:rPr>
            </w:pPr>
            <w:r>
              <w:rPr>
                <w:rFonts w:hint="eastAsia" w:ascii="Calibri" w:hAnsi="Calibri"/>
                <w:bCs/>
                <w:color w:val="000000"/>
                <w:sz w:val="24"/>
              </w:rPr>
              <w:t xml:space="preserve">对管线、通讯井进行检查，及时发现和消除隐患</w:t>
            </w:r>
            <w:r/>
          </w:p>
        </w:tc>
      </w:tr>
      <w:tr>
        <w:trPr>
          <w:trHeight w:val="708"/>
        </w:trPr>
        <w:tc>
          <w:tcPr>
            <w:tcBorders>
              <w:left w:val="single" w:color="000000" w:sz="6" w:space="0"/>
              <w:right w:val="single" w:color="000000" w:sz="8" w:space="0"/>
            </w:tcBorders>
            <w:tcW w:w="685" w:type="dxa"/>
            <w:vAlign w:val="center"/>
            <w:textDirection w:val="lrTb"/>
            <w:noWrap w:val="false"/>
          </w:tcPr>
          <w:p>
            <w:pPr>
              <w:contextualSpacing/>
              <w:jc w:val="center"/>
              <w:rPr>
                <w:rFonts w:ascii="Calibri" w:hAnsi="Calibri"/>
                <w:bCs/>
                <w:color w:val="000000"/>
                <w:sz w:val="24"/>
                <w:lang w:eastAsia="en-US"/>
              </w:rPr>
            </w:pPr>
            <w:r>
              <w:rPr>
                <w:rFonts w:hint="eastAsia" w:ascii="Calibri" w:hAnsi="Calibri"/>
                <w:bCs/>
                <w:color w:val="000000"/>
                <w:sz w:val="24"/>
                <w:lang w:eastAsia="en-US"/>
              </w:rPr>
              <w:t xml:space="preserve">4</w:t>
            </w:r>
            <w:r/>
          </w:p>
        </w:tc>
        <w:tc>
          <w:tcPr>
            <w:tcBorders>
              <w:top w:val="single" w:color="000000" w:sz="6" w:space="0"/>
              <w:left w:val="single" w:color="000000" w:sz="8" w:space="0"/>
              <w:bottom w:val="single" w:color="000000" w:sz="6" w:space="0"/>
            </w:tcBorders>
            <w:tcW w:w="7730" w:type="dxa"/>
            <w:vAlign w:val="center"/>
            <w:textDirection w:val="lrTb"/>
            <w:noWrap w:val="false"/>
          </w:tcPr>
          <w:p>
            <w:pPr>
              <w:contextualSpacing/>
              <w:rPr>
                <w:rFonts w:ascii="Calibri" w:hAnsi="Calibri"/>
                <w:bCs/>
                <w:color w:val="000000"/>
                <w:sz w:val="24"/>
              </w:rPr>
            </w:pPr>
            <w:r>
              <w:rPr>
                <w:rFonts w:hint="eastAsia" w:ascii="Calibri" w:hAnsi="Calibri"/>
                <w:bCs/>
                <w:color w:val="000000"/>
                <w:sz w:val="24"/>
              </w:rPr>
              <w:t xml:space="preserve">对设备参数进行检查和调整，保障设备在最优状态运行；对设备口令、隐藏账户、 漏洞进行检查，及时完善安全机制。</w:t>
            </w:r>
            <w:r/>
          </w:p>
        </w:tc>
      </w:tr>
      <w:tr>
        <w:trPr>
          <w:trHeight w:val="712"/>
        </w:trPr>
        <w:tc>
          <w:tcPr>
            <w:tcBorders>
              <w:left w:val="single" w:color="000000" w:sz="6" w:space="0"/>
              <w:right w:val="single" w:color="000000" w:sz="8" w:space="0"/>
            </w:tcBorders>
            <w:tcW w:w="685" w:type="dxa"/>
            <w:vAlign w:val="center"/>
            <w:textDirection w:val="lrTb"/>
            <w:noWrap w:val="false"/>
          </w:tcPr>
          <w:p>
            <w:pPr>
              <w:contextualSpacing/>
              <w:jc w:val="center"/>
              <w:rPr>
                <w:rFonts w:ascii="Calibri" w:hAnsi="Calibri"/>
                <w:bCs/>
                <w:color w:val="000000"/>
                <w:sz w:val="24"/>
                <w:lang w:eastAsia="en-US"/>
              </w:rPr>
            </w:pPr>
            <w:r>
              <w:rPr>
                <w:rFonts w:hint="eastAsia" w:ascii="Calibri" w:hAnsi="Calibri"/>
                <w:bCs/>
                <w:color w:val="000000"/>
                <w:sz w:val="24"/>
                <w:lang w:eastAsia="en-US"/>
              </w:rPr>
              <w:t xml:space="preserve">5</w:t>
            </w:r>
            <w:r/>
          </w:p>
        </w:tc>
        <w:tc>
          <w:tcPr>
            <w:tcBorders>
              <w:top w:val="single" w:color="000000" w:sz="6" w:space="0"/>
              <w:left w:val="single" w:color="000000" w:sz="8" w:space="0"/>
            </w:tcBorders>
            <w:tcW w:w="7730" w:type="dxa"/>
            <w:vAlign w:val="center"/>
            <w:textDirection w:val="lrTb"/>
            <w:noWrap w:val="false"/>
          </w:tcPr>
          <w:p>
            <w:pPr>
              <w:contextualSpacing/>
              <w:rPr>
                <w:rFonts w:ascii="Calibri" w:hAnsi="Calibri"/>
                <w:bCs/>
                <w:color w:val="000000"/>
                <w:sz w:val="24"/>
              </w:rPr>
            </w:pPr>
            <w:r>
              <w:rPr>
                <w:rFonts w:hint="eastAsia" w:ascii="Calibri" w:hAnsi="Calibri"/>
                <w:bCs/>
                <w:color w:val="000000"/>
                <w:sz w:val="24"/>
              </w:rPr>
              <w:t xml:space="preserve">对影响设备及系统运行的标志标线变更、道路施工、重大活动等环境因素进行记 录，并上报至采购人。</w:t>
            </w:r>
            <w:r/>
          </w:p>
        </w:tc>
      </w:tr>
      <w:tr>
        <w:trPr>
          <w:trHeight w:val="728"/>
        </w:trPr>
        <w:tc>
          <w:tcPr>
            <w:tcW w:w="685" w:type="dxa"/>
            <w:vAlign w:val="center"/>
            <w:textDirection w:val="lrTb"/>
            <w:noWrap w:val="false"/>
          </w:tcPr>
          <w:p>
            <w:pPr>
              <w:contextualSpacing/>
              <w:jc w:val="center"/>
              <w:rPr>
                <w:rFonts w:ascii="Calibri" w:hAnsi="Calibri"/>
                <w:bCs/>
                <w:color w:val="000000"/>
                <w:sz w:val="24"/>
                <w:lang w:eastAsia="en-US"/>
              </w:rPr>
            </w:pPr>
            <w:r>
              <w:rPr>
                <w:rFonts w:hint="eastAsia" w:ascii="Calibri" w:hAnsi="Calibri"/>
                <w:bCs/>
                <w:color w:val="000000"/>
                <w:sz w:val="24"/>
                <w:lang w:eastAsia="en-US"/>
              </w:rPr>
              <w:t xml:space="preserve">6</w:t>
            </w:r>
            <w:r/>
          </w:p>
        </w:tc>
        <w:tc>
          <w:tcPr>
            <w:tcW w:w="7730" w:type="dxa"/>
            <w:vAlign w:val="center"/>
            <w:textDirection w:val="lrTb"/>
            <w:noWrap w:val="false"/>
          </w:tcPr>
          <w:p>
            <w:pPr>
              <w:contextualSpacing/>
              <w:rPr>
                <w:rFonts w:ascii="Calibri" w:hAnsi="Calibri"/>
                <w:bCs/>
                <w:color w:val="000000"/>
                <w:sz w:val="24"/>
              </w:rPr>
            </w:pPr>
            <w:r>
              <w:rPr>
                <w:rFonts w:hint="eastAsia" w:ascii="Calibri" w:hAnsi="Calibri"/>
                <w:bCs/>
                <w:color w:val="000000"/>
                <w:sz w:val="24"/>
              </w:rPr>
              <w:t xml:space="preserve">建立并实时更新前端设备保养档案；做好记录等台帐资料，在机箱内对保养情况 进行登记，由采购人进行检查。</w:t>
            </w:r>
            <w:r/>
          </w:p>
        </w:tc>
      </w:tr>
      <w:tr>
        <w:trPr>
          <w:trHeight w:val="728"/>
        </w:trPr>
        <w:tc>
          <w:tcPr>
            <w:tcW w:w="685" w:type="dxa"/>
            <w:vAlign w:val="center"/>
            <w:textDirection w:val="lrTb"/>
            <w:noWrap w:val="false"/>
          </w:tcPr>
          <w:p>
            <w:pPr>
              <w:contextualSpacing/>
              <w:jc w:val="center"/>
              <w:rPr>
                <w:rFonts w:ascii="Calibri" w:hAnsi="Calibri"/>
                <w:bCs/>
                <w:color w:val="000000"/>
                <w:sz w:val="24"/>
                <w:lang w:eastAsia="en-US"/>
              </w:rPr>
            </w:pPr>
            <w:r>
              <w:rPr>
                <w:rFonts w:hint="eastAsia" w:ascii="Calibri" w:hAnsi="Calibri"/>
                <w:bCs/>
                <w:color w:val="000000"/>
                <w:sz w:val="24"/>
                <w:lang w:eastAsia="en-US"/>
              </w:rPr>
              <w:t xml:space="preserve">7</w:t>
            </w:r>
            <w:r/>
          </w:p>
        </w:tc>
        <w:tc>
          <w:tcPr>
            <w:tcW w:w="7730" w:type="dxa"/>
            <w:vAlign w:val="center"/>
            <w:textDirection w:val="lrTb"/>
            <w:noWrap w:val="false"/>
          </w:tcPr>
          <w:p>
            <w:pPr>
              <w:contextualSpacing/>
              <w:rPr>
                <w:rFonts w:ascii="Calibri" w:hAnsi="Calibri"/>
                <w:bCs/>
                <w:color w:val="000000"/>
                <w:sz w:val="24"/>
              </w:rPr>
            </w:pPr>
            <w:r>
              <w:rPr>
                <w:rFonts w:hint="eastAsia" w:ascii="Calibri" w:hAnsi="Calibri"/>
                <w:bCs/>
                <w:color w:val="000000"/>
                <w:sz w:val="24"/>
              </w:rPr>
              <w:t xml:space="preserve">设备原厂技术服务工程师每月到现场前、后端硬件设备状态检测功能检测，并形成质态分析报告。</w:t>
            </w:r>
            <w:r/>
          </w:p>
        </w:tc>
      </w:tr>
    </w:tbl>
    <w:p>
      <w:pPr>
        <w:contextualSpacing/>
        <w:ind w:firstLine="482"/>
        <w:spacing w:line="300" w:lineRule="auto"/>
        <w:rPr>
          <w:b/>
          <w:color w:val="000000"/>
          <w:sz w:val="24"/>
        </w:rPr>
      </w:pPr>
      <w:r>
        <w:rPr>
          <w:rFonts w:hint="eastAsia"/>
          <w:b/>
          <w:color w:val="000000"/>
          <w:sz w:val="24"/>
        </w:rPr>
        <w:t xml:space="preserve">4、服务响应时间要求</w:t>
      </w:r>
      <w:r/>
    </w:p>
    <w:p>
      <w:pPr>
        <w:contextualSpacing/>
        <w:ind w:firstLine="482"/>
        <w:spacing w:line="300" w:lineRule="auto"/>
        <w:rPr>
          <w:bCs/>
          <w:color w:val="000000"/>
          <w:sz w:val="24"/>
        </w:rPr>
      </w:pPr>
      <w:r>
        <w:rPr>
          <w:rFonts w:hint="eastAsia"/>
          <w:bCs/>
          <w:color w:val="000000"/>
          <w:sz w:val="24"/>
        </w:rPr>
        <w:t xml:space="preserve">供应商应为采购人提供24小时“随传”服务，在接到采购人故障通知后的工作时间应2小时内到达故障现场维修，非工作时间应在4小时内到达故障现场维修，并能在8小时内排除故障；软硬件故障不能修复的，应替换同类</w:t>
      </w:r>
      <w:r>
        <w:rPr>
          <w:rFonts w:hint="eastAsia"/>
          <w:bCs/>
          <w:color w:val="000000"/>
          <w:sz w:val="24"/>
        </w:rPr>
        <w:t xml:space="preserve">型软硬件，保证系统运转正常，维护结束恢复正常后须由采购人书面确认，并形成维护维修记录（一式两份）。若供应商在8小时内未修复，采购人每次可视情扣缴供应商违约金，每次扣缴供应商违约金不超过1000元，若供应商在24小时内未修复，采购人每次可视情扣缴供应商违约金，每次扣缴供应商违约金不超过1万元，若供应商数天内未修复，则采购人每次可视情扣缴供应商违约金，每次扣缴供应商违约金不超过故障天数*1万元。同时采购人有权根据实际情况另行聘请其他单位进行维修，供应商应提供技术支持，在此期间发生的一切维护保养费用由供应商承担。</w:t>
      </w:r>
      <w:r/>
    </w:p>
    <w:p>
      <w:pPr>
        <w:contextualSpacing/>
        <w:ind w:firstLine="482"/>
        <w:spacing w:line="300" w:lineRule="auto"/>
        <w:rPr>
          <w:bCs/>
          <w:color w:val="000000"/>
          <w:sz w:val="24"/>
        </w:rPr>
      </w:pPr>
      <w:r>
        <w:rPr>
          <w:rFonts w:hint="eastAsia"/>
          <w:bCs/>
          <w:color w:val="000000"/>
          <w:sz w:val="24"/>
        </w:rPr>
        <w:t xml:space="preserve">5、设备完好率要求</w:t>
      </w:r>
      <w:r/>
    </w:p>
    <w:p>
      <w:pPr>
        <w:contextualSpacing/>
        <w:ind w:firstLine="482"/>
        <w:spacing w:line="300" w:lineRule="auto"/>
        <w:rPr>
          <w:bCs/>
          <w:color w:val="000000"/>
          <w:sz w:val="24"/>
        </w:rPr>
      </w:pPr>
      <w:r>
        <w:rPr>
          <w:rFonts w:hint="eastAsia"/>
          <w:bCs/>
          <w:color w:val="000000"/>
          <w:sz w:val="24"/>
        </w:rPr>
        <w:t xml:space="preserve"> （1）本项目监控设施视频（含实时视频和录像）和图像、数据完好要求为视频连续、稳定、清晰，画面无遮挡、抖动、偏色，视频画面效果符合同类新设备质量状态，录像无中断、抖动或其他异常；设备输出的图像、数据连续，物体捕获率、重复率、优选率符合项目建设单位要求，图像清晰锐利、画面稳定、色彩准确，数据传输延迟在质量限值内，各类数据无前端积压，回传的图片完整、MD5校验无偏差。以上各项质量要求中，同一设备存在任一故障均视为设备不完好。</w:t>
      </w:r>
      <w:r/>
    </w:p>
    <w:p>
      <w:pPr>
        <w:contextualSpacing/>
        <w:ind w:firstLine="480"/>
        <w:spacing w:after="80" w:line="300" w:lineRule="auto"/>
        <w:rPr>
          <w:bCs/>
          <w:sz w:val="24"/>
        </w:rPr>
      </w:pPr>
      <w:r>
        <w:rPr>
          <w:rFonts w:hint="eastAsia"/>
          <w:bCs/>
          <w:color w:val="000000"/>
          <w:sz w:val="24"/>
        </w:rPr>
        <w:t xml:space="preserve">本项目监控设施视频（含实时视频和录像）和图像、数据完好率应达到以下要求：①日完好率应不低于99%（完好监控相机设备数/监控相机设备总数）；②周完好率应不低于98%（日完好率平均值）；③月完好率和年完好率应不低于97%（周完好率平均值）。④本项目设备使用的第三方供电、第三方网络、第三方杆件等发生故障时，第三方故障诱发的本项目设备故障同等计入故障设备数量和故障率统计。</w:t>
      </w:r>
      <w:r>
        <w:rPr>
          <w:rFonts w:hint="eastAsia"/>
          <w:bCs/>
          <w:sz w:val="24"/>
        </w:rPr>
        <w:t xml:space="preserve">⑤本项目如发生市政道路施工、交通事故、片区停电、管线损坏、路面沉降、设备停电、自然灾害等不可抗力导致设备故障时，经采购人同意后，可不计算到完好率中。</w:t>
      </w:r>
      <w:r/>
    </w:p>
    <w:p>
      <w:pPr>
        <w:contextualSpacing/>
        <w:ind w:firstLine="482"/>
        <w:spacing w:line="300" w:lineRule="auto"/>
        <w:rPr>
          <w:bCs/>
          <w:color w:val="000000"/>
          <w:sz w:val="24"/>
        </w:rPr>
      </w:pPr>
      <w:r>
        <w:rPr>
          <w:rFonts w:hint="eastAsia"/>
          <w:bCs/>
          <w:color w:val="000000"/>
          <w:sz w:val="24"/>
        </w:rPr>
        <w:t xml:space="preserve">设备完好率达不到要求，采购人每次可视情况扣缴供应商违约金，每次扣缴供应商违约金不超过1万元。</w:t>
      </w:r>
      <w:r/>
    </w:p>
    <w:p>
      <w:pPr>
        <w:contextualSpacing/>
        <w:ind w:firstLine="482"/>
        <w:spacing w:line="300" w:lineRule="auto"/>
        <w:rPr>
          <w:bCs/>
          <w:color w:val="000000"/>
          <w:sz w:val="24"/>
        </w:rPr>
      </w:pPr>
      <w:r>
        <w:rPr>
          <w:rFonts w:hint="eastAsia"/>
          <w:bCs/>
          <w:color w:val="000000"/>
          <w:sz w:val="24"/>
        </w:rPr>
        <w:t xml:space="preserve">本项目后端各业务平台、机房各类硬件系统、机房环境动力系统完好要求为平台和系统正常在线、充分有效的发挥各自业务和服务能力，提供符合项目设计要求并与验收时系统质态一至的性能指标和整体、分项运行效率。</w:t>
      </w:r>
      <w:r/>
    </w:p>
    <w:p>
      <w:pPr>
        <w:contextualSpacing/>
        <w:ind w:firstLine="482"/>
        <w:spacing w:line="300" w:lineRule="auto"/>
        <w:rPr>
          <w:bCs/>
          <w:color w:val="000000"/>
          <w:sz w:val="24"/>
        </w:rPr>
      </w:pPr>
      <w:r>
        <w:rPr>
          <w:rFonts w:hint="eastAsia"/>
          <w:bCs/>
          <w:color w:val="000000"/>
          <w:sz w:val="24"/>
        </w:rPr>
        <w:t xml:space="preserve">本项目后端各业务平台、机房各类硬件系统、机房环境动力系统完好状态应达到以下要求：各系统平台年度累计故障时间不超过48小时，单次故障时间不超过8小时，累计故障次数不超过6次。</w:t>
      </w:r>
      <w:r/>
    </w:p>
    <w:p>
      <w:pPr>
        <w:contextualSpacing/>
        <w:ind w:firstLine="482"/>
        <w:spacing w:line="300" w:lineRule="auto"/>
        <w:rPr>
          <w:bCs/>
          <w:color w:val="000000"/>
          <w:sz w:val="24"/>
        </w:rPr>
      </w:pPr>
      <w:r>
        <w:rPr>
          <w:rFonts w:hint="eastAsia"/>
          <w:bCs/>
          <w:color w:val="000000"/>
          <w:sz w:val="24"/>
        </w:rPr>
        <w:t xml:space="preserve">设备完好状态达不到要求，采购人每次可视情况扣缴供应商违约金，每次扣缴供应商违约金不超过2万元。</w:t>
      </w:r>
      <w:r/>
    </w:p>
    <w:p>
      <w:pPr>
        <w:contextualSpacing/>
        <w:ind w:firstLine="482"/>
        <w:spacing w:line="300" w:lineRule="auto"/>
        <w:rPr>
          <w:bCs/>
          <w:color w:val="000000"/>
          <w:sz w:val="24"/>
        </w:rPr>
      </w:pPr>
      <w:r>
        <w:rPr>
          <w:rFonts w:hint="eastAsia"/>
          <w:bCs/>
          <w:color w:val="000000"/>
          <w:sz w:val="24"/>
        </w:rPr>
        <w:t xml:space="preserve">对于不能及时修复的故障和该型号的设备完好率达不到采购人要求的，供应商应及时增加相应维护保养人员及备品备件到武进本地进行维护保养，确保维护保养达到采购人要求，采购人不另行支付费用。</w:t>
      </w:r>
      <w:r/>
    </w:p>
    <w:p>
      <w:pPr>
        <w:contextualSpacing/>
        <w:ind w:firstLine="482"/>
        <w:spacing w:line="300" w:lineRule="auto"/>
        <w:rPr>
          <w:bCs/>
          <w:color w:val="000000"/>
          <w:sz w:val="24"/>
        </w:rPr>
      </w:pPr>
      <w:r>
        <w:rPr>
          <w:rFonts w:hint="eastAsia"/>
          <w:bCs/>
          <w:color w:val="000000"/>
          <w:sz w:val="24"/>
        </w:rPr>
        <w:t xml:space="preserve">本项目前端监控设施、视频（含实时视频和录像）、图像、数据、各后端平台、后端硬件系统、机房各分项系统修复率应达到以下要求：①维护人员发现故障后，工作时间内4小时到达现场，一般故障8小时修复，特殊故障24小时内修复；网络、供电或设备事故、丢失等重大故障7日内修复；②24小时修复率应达到90%（24小时内修复故障设备数÷24小时故障设备数）；③7日修复率应达到98%（7日内累计修复故障设备数÷7日内累计故障设备数，7日按周循环计算）</w:t>
      </w:r>
      <w:r/>
    </w:p>
    <w:p>
      <w:pPr>
        <w:contextualSpacing/>
        <w:ind w:firstLine="482"/>
        <w:spacing w:line="300" w:lineRule="auto"/>
        <w:rPr>
          <w:b/>
          <w:color w:val="000000"/>
          <w:sz w:val="24"/>
        </w:rPr>
      </w:pPr>
      <w:r>
        <w:rPr>
          <w:rFonts w:hint="eastAsia"/>
          <w:b/>
          <w:color w:val="000000"/>
          <w:sz w:val="24"/>
        </w:rPr>
        <w:t xml:space="preserve">6、 设备修复的特殊故障</w:t>
      </w:r>
      <w:r/>
    </w:p>
    <w:p>
      <w:pPr>
        <w:contextualSpacing/>
        <w:ind w:firstLine="482"/>
        <w:spacing w:line="300" w:lineRule="auto"/>
        <w:rPr>
          <w:bCs/>
          <w:color w:val="000000"/>
          <w:sz w:val="24"/>
        </w:rPr>
      </w:pPr>
      <w:r>
        <w:rPr>
          <w:rFonts w:hint="eastAsia"/>
          <w:bCs/>
          <w:color w:val="000000"/>
          <w:sz w:val="24"/>
        </w:rPr>
        <w:t xml:space="preserve">供应商提供的所有设备不得出现周期性或者定期、不定期死机现象，若出现上述故障，应无条件更换同品牌、同型号的新设备，如原型号设备停产可用高于原型号参数的设备替换。</w:t>
      </w:r>
      <w:r/>
    </w:p>
    <w:p>
      <w:pPr>
        <w:contextualSpacing/>
        <w:ind w:firstLine="482"/>
        <w:spacing w:line="300" w:lineRule="auto"/>
        <w:rPr>
          <w:bCs/>
          <w:color w:val="000000"/>
          <w:sz w:val="24"/>
        </w:rPr>
      </w:pPr>
      <w:r>
        <w:rPr>
          <w:rFonts w:hint="eastAsia"/>
          <w:bCs/>
          <w:color w:val="000000"/>
          <w:sz w:val="24"/>
        </w:rPr>
        <w:t xml:space="preserve">（2）同一设备如发生三次同一故障，出现第三次故障时，无条件更换同品牌、同型号的新设备，如原型号设备停产可用高于原型号参数的设备替换。</w:t>
      </w:r>
      <w:r/>
    </w:p>
    <w:p>
      <w:pPr>
        <w:contextualSpacing/>
        <w:ind w:firstLine="482"/>
        <w:spacing w:line="300" w:lineRule="auto"/>
        <w:rPr>
          <w:bCs/>
          <w:color w:val="000000"/>
          <w:sz w:val="24"/>
        </w:rPr>
      </w:pPr>
      <w:r>
        <w:rPr>
          <w:rFonts w:hint="eastAsia"/>
          <w:bCs/>
          <w:color w:val="000000"/>
          <w:sz w:val="24"/>
        </w:rPr>
        <w:t xml:space="preserve">（3）设备的硬件、软件及配置发生故障，导致不能正常运行或运行错误，均视为故障，供应商要进行维修或调试，并参与完好率考核。</w:t>
      </w:r>
      <w:r/>
    </w:p>
    <w:p>
      <w:pPr>
        <w:contextualSpacing/>
        <w:ind w:firstLine="482"/>
        <w:spacing w:line="300" w:lineRule="auto"/>
        <w:rPr>
          <w:b/>
          <w:sz w:val="24"/>
        </w:rPr>
      </w:pPr>
      <w:r>
        <w:rPr>
          <w:rFonts w:hint="eastAsia"/>
          <w:b/>
          <w:sz w:val="24"/>
        </w:rPr>
        <w:t xml:space="preserve">7、信息安全要求</w:t>
      </w:r>
      <w:r/>
    </w:p>
    <w:p>
      <w:pPr>
        <w:contextualSpacing/>
        <w:ind w:firstLine="482"/>
        <w:spacing w:line="300" w:lineRule="auto"/>
        <w:rPr>
          <w:bCs/>
          <w:color w:val="000000"/>
          <w:sz w:val="24"/>
        </w:rPr>
      </w:pPr>
      <w:r>
        <w:rPr>
          <w:rFonts w:hint="eastAsia"/>
          <w:bCs/>
          <w:color w:val="000000"/>
          <w:sz w:val="24"/>
        </w:rPr>
        <w:t xml:space="preserve">（1）供应商保证其公司人员在服务期间所接触的采购人各种文件、数据、资料、系统操作等严格遵守招标人保密制度，不得向第三方泄露。</w:t>
      </w:r>
      <w:r/>
    </w:p>
    <w:p>
      <w:pPr>
        <w:contextualSpacing/>
        <w:ind w:firstLine="482"/>
        <w:spacing w:line="300" w:lineRule="auto"/>
        <w:rPr>
          <w:bCs/>
          <w:color w:val="000000"/>
          <w:sz w:val="24"/>
        </w:rPr>
      </w:pPr>
      <w:r>
        <w:rPr>
          <w:rFonts w:hint="eastAsia"/>
          <w:bCs/>
          <w:color w:val="000000"/>
          <w:sz w:val="24"/>
        </w:rPr>
        <w:t xml:space="preserve">（2）公安业务系统数据属于公安秘密，供应商应当严格遵守相关规定，严禁泄漏公安秘密，未经采购人确认，供应商的其公司人员不得对采购人业务系统作任何操作，参与项目维保人员必须做到以下几点：</w:t>
      </w:r>
      <w:r/>
    </w:p>
    <w:p>
      <w:pPr>
        <w:contextualSpacing/>
        <w:ind w:firstLine="482"/>
        <w:spacing w:line="300" w:lineRule="auto"/>
        <w:rPr>
          <w:bCs/>
          <w:color w:val="000000"/>
          <w:sz w:val="24"/>
        </w:rPr>
      </w:pPr>
      <w:r>
        <w:rPr>
          <w:rFonts w:hint="eastAsia"/>
          <w:bCs/>
          <w:color w:val="000000"/>
          <w:sz w:val="24"/>
        </w:rPr>
        <w:t xml:space="preserve">a、只在规定的区域实行规定的工作，不得进入与之无关的工作区域；</w:t>
      </w:r>
      <w:r/>
    </w:p>
    <w:p>
      <w:pPr>
        <w:contextualSpacing/>
        <w:ind w:firstLine="482"/>
        <w:spacing w:line="300" w:lineRule="auto"/>
        <w:rPr>
          <w:bCs/>
          <w:color w:val="000000"/>
          <w:sz w:val="24"/>
        </w:rPr>
      </w:pPr>
      <w:r>
        <w:rPr>
          <w:rFonts w:hint="eastAsia"/>
          <w:bCs/>
          <w:color w:val="000000"/>
          <w:sz w:val="24"/>
        </w:rPr>
        <w:t xml:space="preserve">b、不得在任何设备上建立与工作无关的网站、网页和服务；不得在设备中传输、粘贴有害信息或与工作无关的信息；</w:t>
      </w:r>
      <w:r/>
    </w:p>
    <w:p>
      <w:pPr>
        <w:contextualSpacing/>
        <w:ind w:firstLine="482"/>
        <w:spacing w:line="300" w:lineRule="auto"/>
        <w:rPr>
          <w:bCs/>
          <w:color w:val="000000"/>
          <w:sz w:val="24"/>
        </w:rPr>
      </w:pPr>
      <w:r>
        <w:rPr>
          <w:rFonts w:hint="eastAsia"/>
          <w:bCs/>
          <w:color w:val="000000"/>
          <w:sz w:val="24"/>
        </w:rPr>
        <w:t xml:space="preserve">c、不得擅自对设备进行扫描、探测和入侵信息系统；</w:t>
      </w:r>
      <w:r/>
    </w:p>
    <w:p>
      <w:pPr>
        <w:contextualSpacing/>
        <w:ind w:firstLine="482"/>
        <w:spacing w:line="300" w:lineRule="auto"/>
        <w:rPr>
          <w:bCs/>
          <w:color w:val="000000"/>
          <w:sz w:val="24"/>
        </w:rPr>
      </w:pPr>
      <w:r>
        <w:rPr>
          <w:rFonts w:hint="eastAsia"/>
          <w:bCs/>
          <w:color w:val="000000"/>
          <w:sz w:val="24"/>
        </w:rPr>
        <w:t xml:space="preserve">d、不得对工作信息和资源越权访问、违规使用；</w:t>
      </w:r>
      <w:r/>
    </w:p>
    <w:p>
      <w:pPr>
        <w:contextualSpacing/>
        <w:ind w:firstLine="482"/>
        <w:spacing w:line="300" w:lineRule="auto"/>
        <w:rPr>
          <w:bCs/>
          <w:color w:val="000000"/>
          <w:sz w:val="24"/>
        </w:rPr>
      </w:pPr>
      <w:r>
        <w:rPr>
          <w:rFonts w:hint="eastAsia"/>
          <w:bCs/>
          <w:color w:val="000000"/>
          <w:sz w:val="24"/>
        </w:rPr>
        <w:t xml:space="preserve">e、不得私自允许无关人员接触和使用设备；</w:t>
      </w:r>
      <w:r/>
    </w:p>
    <w:p>
      <w:pPr>
        <w:contextualSpacing/>
        <w:ind w:firstLine="482"/>
        <w:spacing w:line="300" w:lineRule="auto"/>
        <w:rPr>
          <w:bCs/>
          <w:color w:val="000000"/>
          <w:sz w:val="24"/>
        </w:rPr>
      </w:pPr>
      <w:r>
        <w:rPr>
          <w:rFonts w:hint="eastAsia"/>
          <w:bCs/>
          <w:color w:val="000000"/>
          <w:sz w:val="24"/>
        </w:rPr>
        <w:t xml:space="preserve">f、严禁擅自将工作用设备和文件带离采购人指定地点；</w:t>
      </w:r>
      <w:r/>
    </w:p>
    <w:p>
      <w:pPr>
        <w:contextualSpacing/>
        <w:ind w:firstLine="482"/>
        <w:spacing w:line="300" w:lineRule="auto"/>
        <w:rPr>
          <w:bCs/>
          <w:color w:val="000000"/>
          <w:sz w:val="24"/>
        </w:rPr>
      </w:pPr>
      <w:r>
        <w:rPr>
          <w:rFonts w:hint="eastAsia"/>
          <w:bCs/>
          <w:color w:val="000000"/>
          <w:sz w:val="24"/>
        </w:rPr>
        <w:t xml:space="preserve">g、未经采购人同意，严禁以任何方式和介质拷贝任何信息及项目中涉及的信息；</w:t>
      </w:r>
      <w:r/>
    </w:p>
    <w:p>
      <w:pPr>
        <w:contextualSpacing/>
        <w:ind w:firstLine="482"/>
        <w:spacing w:line="300" w:lineRule="auto"/>
        <w:rPr>
          <w:bCs/>
          <w:color w:val="000000"/>
          <w:sz w:val="24"/>
        </w:rPr>
      </w:pPr>
      <w:r>
        <w:rPr>
          <w:rFonts w:hint="eastAsia"/>
          <w:bCs/>
          <w:color w:val="000000"/>
          <w:sz w:val="24"/>
        </w:rPr>
        <w:t xml:space="preserve">h、对工作中接触到的信息做到保密；</w:t>
      </w:r>
      <w:r/>
    </w:p>
    <w:p>
      <w:pPr>
        <w:contextualSpacing/>
        <w:ind w:firstLine="482"/>
        <w:spacing w:line="300" w:lineRule="auto"/>
        <w:rPr>
          <w:bCs/>
          <w:color w:val="000000"/>
          <w:sz w:val="24"/>
        </w:rPr>
      </w:pPr>
      <w:r>
        <w:rPr>
          <w:rFonts w:hint="eastAsia"/>
          <w:bCs/>
          <w:color w:val="000000"/>
          <w:sz w:val="24"/>
        </w:rPr>
        <w:t xml:space="preserve">i、不准擅自摘抄、下载、复制、拍摄、提供、销毁或私自留存相关文件、资料（含电子文档）；严禁违反“一机两用”规定；不准在私人交往中谈论相关工作；</w:t>
      </w:r>
      <w:r/>
    </w:p>
    <w:p>
      <w:pPr>
        <w:contextualSpacing/>
        <w:ind w:firstLine="482"/>
        <w:spacing w:line="300" w:lineRule="auto"/>
        <w:rPr>
          <w:bCs/>
          <w:color w:val="000000"/>
          <w:sz w:val="24"/>
        </w:rPr>
      </w:pPr>
      <w:r>
        <w:rPr>
          <w:rFonts w:hint="eastAsia"/>
          <w:bCs/>
          <w:color w:val="000000"/>
          <w:sz w:val="24"/>
        </w:rPr>
        <w:t xml:space="preserve">j、不得有其他任何危害公安信息安全的行为。</w:t>
      </w:r>
      <w:r/>
    </w:p>
    <w:p>
      <w:pPr>
        <w:contextualSpacing/>
        <w:ind w:firstLine="482"/>
        <w:spacing w:line="300" w:lineRule="auto"/>
        <w:rPr>
          <w:bCs/>
          <w:color w:val="000000"/>
          <w:sz w:val="24"/>
        </w:rPr>
      </w:pPr>
      <w:r>
        <w:rPr>
          <w:rFonts w:hint="eastAsia"/>
          <w:bCs/>
          <w:color w:val="000000"/>
          <w:sz w:val="24"/>
        </w:rPr>
        <w:t xml:space="preserve">（3）按照各级公安机关对公安信息网络的安全要求，由供应商与采购人签定安全保密协议，落实公安网络安全及信息保密的各项规定。供应商对本项目配备人员必须进行相关安全保密教育，与采购人签订保密协议，有履行保密的责任和义务。</w:t>
      </w:r>
      <w:r/>
    </w:p>
    <w:p>
      <w:pPr>
        <w:contextualSpacing/>
        <w:ind w:firstLine="482"/>
        <w:spacing w:line="300" w:lineRule="auto"/>
        <w:rPr>
          <w:bCs/>
          <w:color w:val="000000"/>
          <w:sz w:val="24"/>
        </w:rPr>
      </w:pPr>
      <w:r>
        <w:rPr>
          <w:rFonts w:hint="eastAsia"/>
          <w:bCs/>
          <w:color w:val="000000"/>
          <w:sz w:val="24"/>
        </w:rPr>
        <w:t xml:space="preserve">（4）凡以直接、间接、口头或书面等形式提供涉及保密内容的行为均属泄密，将追究当事人及维保单位的责任。</w:t>
      </w:r>
      <w:r/>
    </w:p>
    <w:p>
      <w:pPr>
        <w:contextualSpacing/>
        <w:ind w:firstLine="482"/>
        <w:spacing w:line="300" w:lineRule="auto"/>
        <w:rPr>
          <w:bCs/>
          <w:color w:val="000000"/>
          <w:sz w:val="24"/>
        </w:rPr>
      </w:pPr>
      <w:r>
        <w:rPr>
          <w:rFonts w:hint="eastAsia"/>
          <w:bCs/>
          <w:color w:val="000000"/>
          <w:sz w:val="24"/>
        </w:rPr>
        <w:t xml:space="preserve">（5）项目结束后，所有资料全部移交给采购人。</w:t>
      </w:r>
      <w:r/>
    </w:p>
    <w:p>
      <w:pPr>
        <w:contextualSpacing/>
        <w:ind w:firstLine="482"/>
        <w:spacing w:line="300" w:lineRule="auto"/>
        <w:rPr>
          <w:b/>
          <w:sz w:val="24"/>
        </w:rPr>
      </w:pPr>
      <w:r>
        <w:rPr>
          <w:rFonts w:hint="eastAsia"/>
          <w:b/>
          <w:sz w:val="24"/>
        </w:rPr>
        <w:t xml:space="preserve">8、维保文档要求</w:t>
      </w:r>
      <w:r/>
    </w:p>
    <w:p>
      <w:pPr>
        <w:contextualSpacing/>
        <w:ind w:firstLine="482"/>
        <w:spacing w:line="300" w:lineRule="auto"/>
        <w:rPr>
          <w:bCs/>
          <w:color w:val="000000"/>
          <w:sz w:val="24"/>
        </w:rPr>
      </w:pPr>
      <w:r>
        <w:rPr>
          <w:rFonts w:hint="eastAsia"/>
          <w:bCs/>
          <w:color w:val="000000"/>
          <w:sz w:val="24"/>
        </w:rPr>
        <w:t xml:space="preserve">（1）供应商应在项目完工后分别按照国家有关部门的相关规定及采购人的有关要求编制竣工资料。工程的竣工图须在工程竣工验收通过后在国家规定的时间内提交甲方审查，全部工程完工后，供应商须向甲方提交3整套采购人认为完整、合格的纸质竣工文件及3套竣工文件光盘（内容与纸质文件内容一致）。</w:t>
      </w:r>
      <w:r/>
    </w:p>
    <w:p>
      <w:pPr>
        <w:contextualSpacing/>
        <w:ind w:firstLine="482"/>
        <w:spacing w:line="300" w:lineRule="auto"/>
        <w:rPr>
          <w:bCs/>
          <w:color w:val="000000"/>
          <w:sz w:val="24"/>
        </w:rPr>
      </w:pPr>
      <w:r>
        <w:rPr>
          <w:rFonts w:hint="eastAsia"/>
          <w:bCs/>
          <w:color w:val="000000"/>
          <w:sz w:val="24"/>
        </w:rPr>
        <w:t xml:space="preserve">（2）供应商应在项目完工后分别按照国家有关部门的相关规定及采购人的有关要求编制竣工资料。工程的竣工图须在工程竣工验收通过后在国家规定的时间内提交采购人审查，全部工程完工后，供应商须向采购人提交3整套采购人认为完整、合格的纸质竣工文件及3套竣工文件光盘（内容与纸质文件内容一致）。</w:t>
      </w:r>
      <w:r/>
    </w:p>
    <w:p>
      <w:pPr>
        <w:contextualSpacing/>
        <w:ind w:firstLine="482"/>
        <w:spacing w:line="300" w:lineRule="auto"/>
        <w:rPr>
          <w:bCs/>
          <w:color w:val="000000"/>
          <w:sz w:val="24"/>
        </w:rPr>
      </w:pPr>
      <w:r>
        <w:rPr>
          <w:rFonts w:hint="eastAsia"/>
          <w:bCs/>
          <w:color w:val="000000"/>
          <w:sz w:val="24"/>
        </w:rPr>
        <w:t xml:space="preserve">（3）供应商应根据采购人要求提供不限于以上的售后文档。</w:t>
      </w:r>
      <w:r/>
    </w:p>
    <w:p>
      <w:pPr>
        <w:contextualSpacing/>
        <w:ind w:firstLine="482"/>
        <w:spacing w:line="300" w:lineRule="auto"/>
        <w:rPr>
          <w:b/>
          <w:color w:val="000000"/>
          <w:sz w:val="24"/>
        </w:rPr>
      </w:pPr>
      <w:r>
        <w:rPr>
          <w:rFonts w:hint="eastAsia"/>
          <w:b/>
          <w:color w:val="000000"/>
          <w:sz w:val="24"/>
        </w:rPr>
        <w:t xml:space="preserve">9、其他要求</w:t>
      </w:r>
      <w:r/>
    </w:p>
    <w:p>
      <w:pPr>
        <w:contextualSpacing/>
        <w:ind w:firstLine="482"/>
        <w:spacing w:line="300" w:lineRule="auto"/>
        <w:rPr>
          <w:bCs/>
          <w:color w:val="000000"/>
          <w:sz w:val="24"/>
        </w:rPr>
      </w:pPr>
      <w:r>
        <w:rPr>
          <w:rFonts w:hint="eastAsia"/>
          <w:bCs/>
          <w:color w:val="000000"/>
          <w:sz w:val="24"/>
        </w:rPr>
        <w:t xml:space="preserve">（1）供应商负责系统整体维护，以及合同范围内项目的保护，并购买相应的保险，在维护期间，供应商承担照管与维护责任，若发生人为或非人为损坏及被盗、被抢、意外撞击、火灾、水灾、台风、地震等自然灾害及其他一切的损害，由供应商自行予以修复，采购人不再支付任何费用。</w:t>
      </w:r>
      <w:r/>
    </w:p>
    <w:p>
      <w:pPr>
        <w:contextualSpacing/>
        <w:ind w:firstLine="482"/>
        <w:spacing w:line="300" w:lineRule="auto"/>
        <w:rPr>
          <w:bCs/>
          <w:color w:val="000000"/>
          <w:sz w:val="24"/>
        </w:rPr>
      </w:pPr>
      <w:r>
        <w:rPr>
          <w:rFonts w:hint="eastAsia"/>
          <w:bCs/>
          <w:color w:val="000000"/>
          <w:sz w:val="24"/>
        </w:rPr>
        <w:t xml:space="preserve">（2）在运行维护期内对于非设备质量、非项目实施质量、非设计选型失误及其他非供应商原因造成的损坏，供应商在采购人要求下应进行维修。供应商不收取任何服务费，设备的成本费、项目实施所需的其他材料成本费及项目实施费，相关维修费用由供应商购买商业保险赔付承担，相关费用采购人不另行支付。</w:t>
      </w:r>
      <w:r/>
    </w:p>
    <w:p>
      <w:pPr>
        <w:contextualSpacing/>
        <w:ind w:firstLine="482"/>
        <w:spacing w:line="300" w:lineRule="auto"/>
        <w:rPr>
          <w:bCs/>
          <w:color w:val="000000"/>
          <w:sz w:val="24"/>
        </w:rPr>
      </w:pPr>
      <w:r>
        <w:rPr>
          <w:rFonts w:hint="eastAsia"/>
          <w:bCs/>
          <w:color w:val="000000"/>
          <w:sz w:val="24"/>
        </w:rPr>
        <w:t xml:space="preserve">（3）对于采购人提供的符合系统设计需求的全新硬件设备，供应商不得拒绝使用，并应负责设备后期维护保养，合理解决在设备接入、使用、维护保养中出现的问题，相关费用采购人不另行支付。</w:t>
      </w:r>
      <w:r/>
    </w:p>
    <w:p>
      <w:pPr>
        <w:contextualSpacing/>
        <w:ind w:firstLine="482"/>
        <w:spacing w:line="300" w:lineRule="auto"/>
        <w:rPr>
          <w:bCs/>
          <w:color w:val="000000"/>
          <w:sz w:val="24"/>
        </w:rPr>
      </w:pPr>
      <w:r>
        <w:rPr>
          <w:rFonts w:hint="eastAsia"/>
          <w:bCs/>
          <w:color w:val="000000"/>
          <w:sz w:val="24"/>
        </w:rPr>
        <w:t xml:space="preserve">（4）涉及结构部分（如杆件、基础）的各组成部分全寿命周期内，如出现结构性损坏或因质量、施工等一切问题引发的第三方损失、事故、诉讼、赔偿，相关法律、经济、社会等一切责任均由供应商承担，由此产生的费用由供应商承担，相关设备由供应商修复。</w:t>
      </w:r>
      <w:r/>
    </w:p>
    <w:p>
      <w:pPr>
        <w:contextualSpacing/>
        <w:ind w:firstLine="482"/>
        <w:spacing w:line="300" w:lineRule="auto"/>
        <w:rPr>
          <w:bCs/>
          <w:color w:val="000000"/>
          <w:sz w:val="24"/>
        </w:rPr>
      </w:pPr>
      <w:r>
        <w:rPr>
          <w:rFonts w:hint="eastAsia"/>
          <w:bCs/>
          <w:color w:val="000000"/>
          <w:sz w:val="24"/>
        </w:rPr>
        <w:t xml:space="preserve">(5) 在运行维护期内所有设备因触电、漏电、设备掉落或倒塌、井盖缺失损坏、机箱门未关等一切原因造成的第三方损失、事故、诉讼、赔偿，相关法律、经济、社会等一切责任均由供应商承担，由此产生的费用由供应商承担，相关设备由供应商修复，采购人不支付任何费用。</w:t>
      </w:r>
      <w:r/>
    </w:p>
    <w:p>
      <w:pPr>
        <w:contextualSpacing/>
        <w:ind w:firstLine="482"/>
        <w:spacing w:line="300" w:lineRule="auto"/>
        <w:rPr>
          <w:bCs/>
          <w:color w:val="000000"/>
          <w:sz w:val="24"/>
        </w:rPr>
      </w:pPr>
      <w:r>
        <w:rPr>
          <w:rFonts w:hint="eastAsia"/>
          <w:bCs/>
          <w:color w:val="000000"/>
          <w:sz w:val="24"/>
        </w:rPr>
        <w:t xml:space="preserve">（6）维保期内，涉及到采购人要求的监控点位迁移，供应商应完全响应并执行，迁移点位总数不超过维保点位总数的5%，相关费用采购人不另行支付。</w:t>
      </w:r>
      <w:r/>
    </w:p>
    <w:p>
      <w:pPr>
        <w:ind w:firstLine="482"/>
        <w:spacing w:line="300" w:lineRule="auto"/>
        <w:rPr>
          <w:rFonts w:hint="eastAsia" w:ascii="宋体" w:hAnsi="宋体" w:cs="宋体"/>
          <w:b/>
          <w:bCs/>
          <w:color w:val="000000"/>
          <w:sz w:val="24"/>
          <w:szCs w:val="22"/>
        </w:rPr>
        <w:outlineLvl w:val="2"/>
      </w:pPr>
      <w:r>
        <w:rPr>
          <w:rFonts w:hint="eastAsia" w:ascii="宋体" w:hAnsi="宋体" w:cs="宋体"/>
          <w:b/>
          <w:bCs/>
          <w:color w:val="000000"/>
          <w:sz w:val="24"/>
          <w:szCs w:val="22"/>
        </w:rPr>
        <w:t xml:space="preserve">第八条、质量保证</w:t>
      </w:r>
      <w:r/>
    </w:p>
    <w:p>
      <w:pPr>
        <w:contextualSpacing/>
        <w:ind w:firstLine="482"/>
        <w:spacing w:line="300" w:lineRule="auto"/>
        <w:rPr>
          <w:bCs/>
          <w:color w:val="000000"/>
          <w:sz w:val="24"/>
        </w:rPr>
      </w:pPr>
      <w:r>
        <w:rPr>
          <w:rFonts w:hint="eastAsia"/>
          <w:bCs/>
          <w:color w:val="000000"/>
          <w:sz w:val="24"/>
        </w:rPr>
        <w:t xml:space="preserve">乙方所提供的服务必须符合国家有关标准和招标文件（含技术要求）和报价文件的要求。乙方应当对项目实体质量实施全程有效监控，确保项目质量合格，并随时向甲方通报项目质量问题。甲方、审计单位将派人员对乙方的项目进行审计、检查、抽查、监督、记录、拍摄项目实施情况及质量情况，乙方应积极配合检查工作。</w:t>
      </w:r>
      <w:r/>
    </w:p>
    <w:p>
      <w:pPr>
        <w:contextualSpacing/>
        <w:ind w:firstLine="482"/>
        <w:spacing w:line="300" w:lineRule="auto"/>
        <w:rPr>
          <w:bCs/>
          <w:color w:val="000000"/>
          <w:sz w:val="24"/>
        </w:rPr>
      </w:pPr>
      <w:r>
        <w:rPr>
          <w:rFonts w:hint="eastAsia"/>
          <w:bCs/>
          <w:color w:val="000000"/>
          <w:sz w:val="24"/>
        </w:rPr>
        <w:t xml:space="preserve">1、在项目实施过程中原材料、构配件及设备到货后须及时（5天内）报验。如发现有未经报验的材料及设备进场实施的，对不符合采购技术参术、规格型号的设备有权责令退场。发生的相关费用及由此产生的损失由乙方自行承担。</w:t>
      </w:r>
      <w:r/>
    </w:p>
    <w:p>
      <w:pPr>
        <w:contextualSpacing/>
        <w:ind w:firstLine="482"/>
        <w:spacing w:line="300" w:lineRule="auto"/>
        <w:rPr>
          <w:bCs/>
          <w:color w:val="000000"/>
          <w:sz w:val="24"/>
        </w:rPr>
      </w:pPr>
      <w:r>
        <w:rPr>
          <w:rFonts w:hint="eastAsia"/>
          <w:bCs/>
          <w:color w:val="000000"/>
          <w:sz w:val="24"/>
        </w:rPr>
        <w:t xml:space="preserve">2、项目质量应当达到协议书约定的质量标准，质量标准的评定以国家或行业的质量检验评定标准为依据。因乙方原因项目质量达不到约定的质量标准，乙方承担违约责任。</w:t>
      </w:r>
      <w:r/>
    </w:p>
    <w:p>
      <w:pPr>
        <w:contextualSpacing/>
        <w:ind w:firstLine="482"/>
        <w:spacing w:line="300" w:lineRule="auto"/>
        <w:rPr>
          <w:bCs/>
          <w:color w:val="000000"/>
          <w:sz w:val="24"/>
        </w:rPr>
      </w:pPr>
      <w:r>
        <w:rPr>
          <w:rFonts w:hint="eastAsia"/>
          <w:bCs/>
          <w:color w:val="000000"/>
          <w:sz w:val="24"/>
        </w:rPr>
        <w:t xml:space="preserve">3、双方对项目质量有争议，由双方同意的具有资质的质量检测机构鉴定，所需费用及因此造成的损失，由责任方承担。双方均有责任，由双方根据其责任分别承担。</w:t>
      </w:r>
      <w:r/>
    </w:p>
    <w:p>
      <w:pPr>
        <w:contextualSpacing/>
        <w:ind w:firstLine="482"/>
        <w:spacing w:line="300" w:lineRule="auto"/>
        <w:rPr>
          <w:bCs/>
          <w:color w:val="000000"/>
          <w:sz w:val="24"/>
        </w:rPr>
      </w:pPr>
      <w:r>
        <w:rPr>
          <w:rFonts w:hint="eastAsia"/>
          <w:bCs/>
          <w:color w:val="000000"/>
          <w:sz w:val="24"/>
        </w:rPr>
        <w:t xml:space="preserve">4、在项目实施过程中乙方保证本项目所涉设备及其各部件应为全新、未曾使用过之优质产品，与规定的质量、规格和性能相符，并保证该产品确系原厂制造，同时提供原厂承诺的产品质量保证书、技术性能说明书、有关部门的检测测试报告、质量标准认证证书等相关材料。在合同履行过程中一旦发现不能满足技术要求的产品，成交供应商应无条件更换符合甲方及本项目技术要求的产品。</w:t>
      </w:r>
      <w:r/>
    </w:p>
    <w:p>
      <w:pPr>
        <w:contextualSpacing/>
        <w:ind w:firstLine="482"/>
        <w:spacing w:line="300" w:lineRule="auto"/>
        <w:rPr>
          <w:bCs/>
          <w:color w:val="000000"/>
          <w:sz w:val="24"/>
        </w:rPr>
      </w:pPr>
      <w:r>
        <w:rPr>
          <w:rFonts w:hint="eastAsia"/>
          <w:bCs/>
          <w:color w:val="000000"/>
          <w:sz w:val="24"/>
        </w:rPr>
        <w:t xml:space="preserve">5、该项目实施过程中，服从常州市公安局武进分局的统一协调。对项目实施过程中出现的不配合导致项目推进困难的，甲方有权协同其它相关部门提请终止合作，重新选择合作单位，并保留追究赔偿责任的权力。</w:t>
      </w:r>
      <w:r/>
    </w:p>
    <w:p>
      <w:pPr>
        <w:contextualSpacing/>
        <w:ind w:firstLine="482"/>
        <w:spacing w:line="300" w:lineRule="auto"/>
        <w:rPr>
          <w:bCs/>
          <w:color w:val="000000"/>
          <w:sz w:val="24"/>
        </w:rPr>
      </w:pPr>
      <w:r>
        <w:rPr>
          <w:rFonts w:hint="eastAsia"/>
          <w:bCs/>
          <w:color w:val="000000"/>
          <w:sz w:val="24"/>
        </w:rPr>
        <w:t xml:space="preserve">6、该项目的前端摄像机因技术相对复杂，为确保抓拍效果最佳化，需提供不限次数全时段的前端摄像机原厂人员及乙方人员现场调试服务，确保智能摄像机达到最佳抓拍效果，若未满足最佳抓拍效果则视作质量不合格。</w:t>
      </w:r>
      <w:r/>
    </w:p>
    <w:p>
      <w:pPr>
        <w:contextualSpacing/>
        <w:ind w:firstLine="482"/>
        <w:spacing w:line="300" w:lineRule="auto"/>
        <w:rPr>
          <w:bCs/>
          <w:color w:val="000000"/>
          <w:sz w:val="24"/>
        </w:rPr>
      </w:pPr>
      <w:r>
        <w:rPr>
          <w:rFonts w:hint="eastAsia"/>
          <w:bCs/>
          <w:color w:val="000000"/>
          <w:sz w:val="24"/>
        </w:rPr>
        <w:t xml:space="preserve">7、乙方在拆除原有设备前需做好拆除方案，并报甲方审批。方案中要写明项目管理人员职责，实施人员安排，机械设备安排，拆除顺序等。</w:t>
      </w:r>
      <w:r/>
    </w:p>
    <w:p>
      <w:pPr>
        <w:contextualSpacing/>
        <w:ind w:firstLine="482"/>
        <w:spacing w:line="300" w:lineRule="auto"/>
        <w:rPr>
          <w:bCs/>
          <w:color w:val="000000"/>
          <w:sz w:val="24"/>
        </w:rPr>
      </w:pPr>
      <w:r>
        <w:rPr>
          <w:rFonts w:hint="eastAsia"/>
          <w:bCs/>
          <w:color w:val="000000"/>
          <w:sz w:val="24"/>
        </w:rPr>
        <w:t xml:space="preserve">8、兼容性要求：</w:t>
      </w:r>
      <w:r/>
    </w:p>
    <w:p>
      <w:pPr>
        <w:contextualSpacing/>
        <w:ind w:firstLine="482"/>
        <w:spacing w:line="300" w:lineRule="auto"/>
        <w:rPr>
          <w:bCs/>
          <w:color w:val="000000"/>
          <w:sz w:val="24"/>
        </w:rPr>
      </w:pPr>
      <w:r>
        <w:rPr>
          <w:rFonts w:hint="eastAsia"/>
          <w:bCs/>
          <w:color w:val="000000"/>
          <w:sz w:val="24"/>
        </w:rPr>
        <w:t xml:space="preserve">前、后端硬件无论利旧或更换均支持全部前、后端在用的各型号监控设备（不论何厂商）数据缓存、图像拼接、违法数据生成和图像数据转发功能。</w:t>
      </w:r>
      <w:r/>
    </w:p>
    <w:p>
      <w:pPr>
        <w:spacing w:line="300" w:lineRule="auto"/>
        <w:rPr>
          <w:rFonts w:hint="eastAsia" w:ascii="宋体" w:hAnsi="宋体" w:cs="宋体"/>
          <w:b/>
          <w:bCs/>
          <w:color w:val="000000"/>
          <w:sz w:val="24"/>
        </w:rPr>
        <w:outlineLvl w:val="1"/>
      </w:pPr>
      <w:r>
        <w:rPr>
          <w:rFonts w:hint="eastAsia" w:ascii="宋体" w:hAnsi="宋体" w:cs="宋体"/>
          <w:b/>
          <w:bCs/>
          <w:color w:val="000000"/>
          <w:sz w:val="24"/>
        </w:rPr>
        <w:t xml:space="preserve">第九条、合同生效</w:t>
      </w:r>
      <w:r/>
    </w:p>
    <w:p>
      <w:pPr>
        <w:contextualSpacing/>
        <w:ind w:firstLine="482"/>
        <w:spacing w:line="300" w:lineRule="auto"/>
        <w:rPr>
          <w:bCs/>
          <w:color w:val="000000"/>
          <w:sz w:val="24"/>
        </w:rPr>
      </w:pPr>
      <w:r>
        <w:rPr>
          <w:rFonts w:hint="eastAsia"/>
          <w:bCs/>
          <w:color w:val="000000"/>
          <w:sz w:val="24"/>
        </w:rPr>
        <w:t xml:space="preserve">本合同为附条件生效合同，除甲乙双方签章，代理机构见证外，还应满足以下条件时合同生效：</w:t>
      </w:r>
      <w:r/>
    </w:p>
    <w:p>
      <w:pPr>
        <w:spacing w:line="300" w:lineRule="auto"/>
        <w:rPr>
          <w:rFonts w:hint="eastAsia" w:ascii="宋体" w:hAnsi="宋体" w:cs="宋体"/>
          <w:b/>
          <w:bCs/>
          <w:color w:val="000000"/>
          <w:sz w:val="24"/>
        </w:rPr>
        <w:outlineLvl w:val="1"/>
      </w:pPr>
      <w:r>
        <w:rPr>
          <w:rFonts w:hint="eastAsia" w:ascii="宋体" w:hAnsi="宋体" w:cs="宋体"/>
          <w:b/>
          <w:bCs/>
          <w:color w:val="000000"/>
          <w:sz w:val="24"/>
        </w:rPr>
        <w:t xml:space="preserve">第十条、</w:t>
      </w:r>
      <w:r>
        <w:rPr>
          <w:rFonts w:hint="eastAsia" w:ascii="宋体" w:hAnsi="宋体" w:cs="宋体"/>
          <w:b/>
          <w:color w:val="000000"/>
          <w:sz w:val="24"/>
        </w:rPr>
        <w:t xml:space="preserve">双方责任</w:t>
      </w:r>
      <w:r/>
    </w:p>
    <w:p>
      <w:pPr>
        <w:contextualSpacing/>
        <w:ind w:firstLine="482"/>
        <w:spacing w:line="300" w:lineRule="auto"/>
        <w:rPr>
          <w:bCs/>
          <w:color w:val="000000"/>
          <w:sz w:val="24"/>
        </w:rPr>
      </w:pPr>
      <w:r>
        <w:rPr>
          <w:rFonts w:hint="eastAsia"/>
          <w:bCs/>
          <w:color w:val="000000"/>
          <w:sz w:val="24"/>
        </w:rPr>
        <w:t xml:space="preserve">1、甲方的责任：</w:t>
      </w:r>
      <w:r/>
    </w:p>
    <w:p>
      <w:pPr>
        <w:contextualSpacing/>
        <w:ind w:firstLine="482"/>
        <w:spacing w:line="300" w:lineRule="auto"/>
        <w:rPr>
          <w:bCs/>
          <w:color w:val="000000"/>
          <w:sz w:val="24"/>
        </w:rPr>
      </w:pPr>
      <w:r>
        <w:rPr>
          <w:rFonts w:hint="eastAsia"/>
          <w:bCs/>
          <w:color w:val="000000"/>
          <w:sz w:val="24"/>
        </w:rPr>
        <w:t xml:space="preserve">（1）甲方应妥善保管和合理使用设备，并按规范进行机房设备的日常管理，如遇意外事故出现问题或故障，甲方应及时通知乙方，并配合乙方按协议约定的内容检查线路设备和系统。</w:t>
      </w:r>
      <w:r/>
    </w:p>
    <w:p>
      <w:pPr>
        <w:contextualSpacing/>
        <w:ind w:firstLine="482"/>
        <w:spacing w:line="300" w:lineRule="auto"/>
        <w:rPr>
          <w:bCs/>
          <w:color w:val="000000"/>
          <w:sz w:val="24"/>
        </w:rPr>
      </w:pPr>
      <w:r>
        <w:rPr>
          <w:rFonts w:hint="eastAsia"/>
          <w:bCs/>
          <w:color w:val="000000"/>
          <w:sz w:val="24"/>
        </w:rPr>
        <w:t xml:space="preserve">（2）甲方应按本合同约定向乙方支付合同所述支付款项；甲方应积极向政府财政部门报告将其建设并经审计后的经费总额列入财政预算，按时办理支付手续。</w:t>
      </w:r>
      <w:r/>
    </w:p>
    <w:p>
      <w:pPr>
        <w:contextualSpacing/>
        <w:ind w:firstLine="482"/>
        <w:spacing w:line="300" w:lineRule="auto"/>
        <w:rPr>
          <w:bCs/>
          <w:color w:val="000000"/>
          <w:sz w:val="24"/>
        </w:rPr>
      </w:pPr>
      <w:r>
        <w:rPr>
          <w:rFonts w:hint="eastAsia"/>
          <w:bCs/>
          <w:color w:val="000000"/>
          <w:sz w:val="24"/>
        </w:rPr>
        <w:t xml:space="preserve">（3）按需组织并进行项目阶段验收工作，经甲方认可、签字确认后作为后续终验的有效组成部分。</w:t>
      </w:r>
      <w:r/>
    </w:p>
    <w:p>
      <w:pPr>
        <w:contextualSpacing/>
        <w:ind w:firstLine="482"/>
        <w:spacing w:line="300" w:lineRule="auto"/>
        <w:rPr>
          <w:bCs/>
          <w:color w:val="000000"/>
          <w:sz w:val="24"/>
        </w:rPr>
      </w:pPr>
      <w:r>
        <w:rPr>
          <w:rFonts w:hint="eastAsia"/>
          <w:bCs/>
          <w:color w:val="000000"/>
          <w:sz w:val="24"/>
        </w:rPr>
        <w:t xml:space="preserve">2、乙方的责任：</w:t>
      </w:r>
      <w:r/>
    </w:p>
    <w:p>
      <w:pPr>
        <w:contextualSpacing/>
        <w:ind w:firstLine="482"/>
        <w:spacing w:line="300" w:lineRule="auto"/>
        <w:rPr>
          <w:bCs/>
          <w:color w:val="000000"/>
          <w:sz w:val="24"/>
        </w:rPr>
      </w:pPr>
      <w:r>
        <w:rPr>
          <w:rFonts w:hint="eastAsia"/>
          <w:bCs/>
          <w:color w:val="000000"/>
          <w:sz w:val="24"/>
        </w:rPr>
        <w:t xml:space="preserve">（1）乙方负责对本合同相关设备的采购及维保服务。</w:t>
      </w:r>
      <w:r/>
    </w:p>
    <w:p>
      <w:pPr>
        <w:contextualSpacing/>
        <w:ind w:firstLine="482"/>
        <w:spacing w:line="300" w:lineRule="auto"/>
        <w:rPr>
          <w:bCs/>
          <w:color w:val="000000"/>
          <w:sz w:val="24"/>
        </w:rPr>
      </w:pPr>
      <w:r>
        <w:rPr>
          <w:rFonts w:hint="eastAsia"/>
          <w:bCs/>
          <w:color w:val="000000"/>
          <w:sz w:val="24"/>
        </w:rPr>
        <w:t xml:space="preserve">（2）乙方保证所提供设备符合报价文件内容并达到整套系统的运行质量要求，达到招标文件要求。</w:t>
      </w:r>
      <w:r/>
    </w:p>
    <w:p>
      <w:pPr>
        <w:contextualSpacing/>
        <w:ind w:firstLine="482"/>
        <w:spacing w:line="300" w:lineRule="auto"/>
        <w:rPr>
          <w:bCs/>
          <w:color w:val="000000"/>
          <w:sz w:val="24"/>
        </w:rPr>
      </w:pPr>
      <w:r>
        <w:rPr>
          <w:rFonts w:hint="eastAsia"/>
          <w:bCs/>
          <w:color w:val="000000"/>
          <w:sz w:val="24"/>
        </w:rPr>
        <w:t xml:space="preserve">（3）乙方所提供的设备质量应符合国家主管部门的质量标准和技术要求，满足甲方招标文件技术要求所规定的参数需求。</w:t>
      </w:r>
      <w:r/>
    </w:p>
    <w:p>
      <w:pPr>
        <w:contextualSpacing/>
        <w:ind w:firstLine="482"/>
        <w:spacing w:line="300" w:lineRule="auto"/>
        <w:rPr>
          <w:bCs/>
          <w:color w:val="000000"/>
          <w:sz w:val="24"/>
        </w:rPr>
      </w:pPr>
      <w:r>
        <w:rPr>
          <w:rFonts w:hint="eastAsia"/>
          <w:bCs/>
          <w:color w:val="000000"/>
          <w:sz w:val="24"/>
        </w:rPr>
        <w:t xml:space="preserve">（4）乙方负责合同范围内项目的运维服务，乙方承担照管与维护责任，若发生人为或非人为损坏及被盗、被抢、意外撞击、火灾、水灾、台风、地震等自然灾害及其他一切的损害，由乙方修复。</w:t>
      </w:r>
      <w:r/>
    </w:p>
    <w:p>
      <w:pPr>
        <w:contextualSpacing/>
        <w:ind w:firstLine="482"/>
        <w:spacing w:line="300" w:lineRule="auto"/>
        <w:rPr>
          <w:bCs/>
          <w:color w:val="000000"/>
          <w:sz w:val="24"/>
        </w:rPr>
      </w:pPr>
      <w:r>
        <w:rPr>
          <w:rFonts w:hint="eastAsia"/>
          <w:bCs/>
          <w:color w:val="000000"/>
          <w:sz w:val="24"/>
        </w:rPr>
        <w:t xml:space="preserve">（5）乙方应遵守项目建设安全生产有关管理规定，严格按安全管理规定项目实施，负责对项目实施人员进行安全教育，在项目实施过程中遵守安全操作规程。现场人员高空作业应穿防滑鞋、系好安全带，配带齐有效安全防护用器。并随时接受行业安全人员依法监督检查，采取必要安全防护措施，消除事故隐患。在项目维护过程，如因乙方自身原因造成事故，责任由乙方承担。</w:t>
      </w:r>
      <w:r/>
    </w:p>
    <w:p>
      <w:pPr>
        <w:contextualSpacing/>
        <w:ind w:firstLine="482"/>
        <w:spacing w:line="300" w:lineRule="auto"/>
        <w:rPr>
          <w:bCs/>
          <w:color w:val="000000"/>
          <w:sz w:val="24"/>
        </w:rPr>
      </w:pPr>
      <w:r>
        <w:rPr>
          <w:rFonts w:hint="eastAsia"/>
          <w:bCs/>
          <w:color w:val="000000"/>
          <w:sz w:val="24"/>
        </w:rPr>
        <w:t xml:space="preserve">（6）乙方在项目实施过程中必须遵守甲方制定的项目管理制度。</w:t>
      </w:r>
      <w:r/>
    </w:p>
    <w:p>
      <w:pPr>
        <w:contextualSpacing/>
        <w:ind w:firstLine="482"/>
        <w:spacing w:line="300" w:lineRule="auto"/>
        <w:rPr>
          <w:bCs/>
          <w:color w:val="000000"/>
          <w:sz w:val="24"/>
        </w:rPr>
      </w:pPr>
      <w:r>
        <w:rPr>
          <w:rFonts w:hint="eastAsia"/>
          <w:bCs/>
          <w:color w:val="000000"/>
          <w:sz w:val="24"/>
        </w:rPr>
        <w:t xml:space="preserve">（7）乙方应对项目实施现场工作人员进行安全教育，并对其安全负责，甲方不得要求乙方违反安全管理的规范进行项目实施。</w:t>
      </w:r>
      <w:r/>
    </w:p>
    <w:p>
      <w:pPr>
        <w:contextualSpacing/>
        <w:ind w:firstLine="482"/>
        <w:spacing w:line="300" w:lineRule="auto"/>
        <w:rPr>
          <w:bCs/>
          <w:color w:val="000000"/>
          <w:sz w:val="24"/>
        </w:rPr>
      </w:pPr>
      <w:r>
        <w:rPr>
          <w:rFonts w:hint="eastAsia"/>
          <w:bCs/>
          <w:color w:val="000000"/>
          <w:sz w:val="24"/>
        </w:rPr>
        <w:t xml:space="preserve">（8）合同期满后，甲方根据需要使用、调整、变更系统设备等，乙方应予积极配合，按成本价优惠计收变更项目的项目实施、新增设备、材料费。</w:t>
      </w:r>
      <w:r/>
    </w:p>
    <w:p>
      <w:pPr>
        <w:contextualSpacing/>
        <w:ind w:firstLine="482"/>
        <w:spacing w:line="300" w:lineRule="auto"/>
        <w:rPr>
          <w:bCs/>
          <w:color w:val="000000"/>
          <w:sz w:val="24"/>
        </w:rPr>
      </w:pPr>
      <w:r>
        <w:rPr>
          <w:rFonts w:hint="eastAsia"/>
          <w:bCs/>
          <w:color w:val="000000"/>
          <w:sz w:val="24"/>
        </w:rPr>
        <w:t xml:space="preserve">（9）乙方应严格按照招标文件中所约定的整体性能指标要求、技术参数指标及要求给予实施、落实。</w:t>
      </w:r>
      <w:r/>
    </w:p>
    <w:p>
      <w:pPr>
        <w:contextualSpacing/>
        <w:ind w:firstLine="482"/>
        <w:spacing w:line="300" w:lineRule="auto"/>
        <w:rPr>
          <w:bCs/>
          <w:color w:val="000000"/>
          <w:sz w:val="24"/>
        </w:rPr>
      </w:pPr>
      <w:r>
        <w:rPr>
          <w:rFonts w:hint="eastAsia"/>
          <w:bCs/>
          <w:color w:val="000000"/>
          <w:sz w:val="24"/>
        </w:rPr>
        <w:t xml:space="preserve">（10）乙方负责编制规范的利旧资产、设备拆除方案，制定安全措施，制定设备成品保护措施，并由专业技术人员现场监督。</w:t>
      </w:r>
      <w:r/>
    </w:p>
    <w:p>
      <w:pPr>
        <w:contextualSpacing/>
        <w:ind w:firstLine="482"/>
        <w:spacing w:line="300" w:lineRule="auto"/>
        <w:rPr>
          <w:bCs/>
          <w:color w:val="000000"/>
          <w:sz w:val="24"/>
        </w:rPr>
      </w:pPr>
      <w:r>
        <w:rPr>
          <w:rFonts w:hint="eastAsia"/>
          <w:bCs/>
          <w:color w:val="000000"/>
          <w:sz w:val="24"/>
        </w:rPr>
        <w:t xml:space="preserve">（11）乙方在进行拆除过程中，严格遵守安全操作规范进行作业，做好安全防范措施，确保安全作业。凡因乙方拆除过程中发生的人身伤害、火灾等一切事故，均由乙方承担一切经济责任和法律责任，因事故给甲方造成经济，由乙方按实际损失赔偿给甲方。</w:t>
      </w:r>
      <w:r/>
    </w:p>
    <w:p>
      <w:pPr>
        <w:contextualSpacing/>
        <w:ind w:firstLine="482"/>
        <w:spacing w:line="300" w:lineRule="auto"/>
        <w:rPr>
          <w:bCs/>
          <w:color w:val="000000"/>
          <w:sz w:val="24"/>
        </w:rPr>
      </w:pPr>
      <w:r>
        <w:rPr>
          <w:rFonts w:hint="eastAsia"/>
          <w:bCs/>
          <w:color w:val="000000"/>
          <w:sz w:val="24"/>
        </w:rPr>
        <w:t xml:space="preserve">（12）乙方在项目实施阶段需对拆除设备进行成品保护，如有损坏需进行修复或照价赔偿。拆除设备需放置在乙方租赁的仓库内统一保管，对需要报废的设备，按照甲方要求登记造册后移交甲方指定单位进行报废，并办理相关移交手续；对能继续使用的设备，按照甲方要求登记造册，在质保、运维服务期内，根据需要安装至相应的位置并调试至最佳的效果，确保各项功能完好并接入系统正常使用。上述相关费用包含在综合单价中，不另行计价，如有遗失需照价赔偿。</w:t>
      </w:r>
      <w:r/>
    </w:p>
    <w:p>
      <w:pPr>
        <w:contextualSpacing/>
        <w:ind w:firstLine="482"/>
        <w:spacing w:line="300" w:lineRule="auto"/>
        <w:rPr>
          <w:bCs/>
          <w:color w:val="000000"/>
          <w:sz w:val="24"/>
        </w:rPr>
      </w:pPr>
      <w:r>
        <w:rPr>
          <w:rFonts w:hint="eastAsia"/>
          <w:bCs/>
          <w:color w:val="000000"/>
          <w:sz w:val="24"/>
        </w:rPr>
        <w:t xml:space="preserve">（13）乙方禁止转包。</w:t>
      </w:r>
      <w:r/>
    </w:p>
    <w:p>
      <w:pPr>
        <w:contextualSpacing/>
        <w:ind w:firstLine="482"/>
        <w:spacing w:line="300" w:lineRule="auto"/>
        <w:rPr>
          <w:bCs/>
          <w:color w:val="000000"/>
          <w:sz w:val="24"/>
        </w:rPr>
      </w:pPr>
      <w:r>
        <w:rPr>
          <w:rFonts w:hint="eastAsia"/>
          <w:bCs/>
          <w:color w:val="000000"/>
          <w:sz w:val="24"/>
        </w:rPr>
        <w:t xml:space="preserve">（14）乙方应及时支付各项费用及材料等款项，如有拖欠投诉且情况属实，甲方将从下一次支付项目款中扣除拖欠金额，并按有关规定直接支付投诉方，支付金额纳入乙方总项目款中结算。</w:t>
      </w:r>
      <w:r/>
    </w:p>
    <w:p>
      <w:pPr>
        <w:contextualSpacing/>
        <w:ind w:firstLine="482"/>
        <w:spacing w:line="300" w:lineRule="auto"/>
        <w:rPr>
          <w:bCs/>
          <w:color w:val="000000"/>
          <w:sz w:val="24"/>
        </w:rPr>
      </w:pPr>
      <w:r>
        <w:rPr>
          <w:rFonts w:hint="eastAsia"/>
          <w:bCs/>
          <w:color w:val="000000"/>
          <w:sz w:val="24"/>
        </w:rPr>
        <w:t xml:space="preserve">（15）乙方应做好相关部门（供电、市政、城管、建设、环保、交通、通信、乡镇等及上级公安机关科技、信通、技防等部门）的协调工作。</w:t>
      </w:r>
      <w:r/>
    </w:p>
    <w:p>
      <w:pPr>
        <w:contextualSpacing/>
        <w:ind w:firstLine="482"/>
        <w:spacing w:line="300" w:lineRule="auto"/>
        <w:rPr>
          <w:bCs/>
          <w:color w:val="000000"/>
          <w:sz w:val="24"/>
        </w:rPr>
      </w:pPr>
      <w:r>
        <w:rPr>
          <w:rFonts w:hint="eastAsia"/>
          <w:bCs/>
          <w:color w:val="000000"/>
          <w:sz w:val="24"/>
        </w:rPr>
        <w:t xml:space="preserve">（16）乙方在项目实施阶段需对甲方原有设备进行成品保护，如有损坏需进行修复或照价赔偿。</w:t>
      </w:r>
      <w:r/>
    </w:p>
    <w:p>
      <w:pPr>
        <w:contextualSpacing/>
        <w:ind w:firstLine="482"/>
        <w:spacing w:line="300" w:lineRule="auto"/>
        <w:rPr>
          <w:bCs/>
          <w:color w:val="000000"/>
          <w:sz w:val="24"/>
        </w:rPr>
      </w:pPr>
      <w:r>
        <w:rPr>
          <w:rFonts w:hint="eastAsia"/>
          <w:bCs/>
          <w:color w:val="000000"/>
          <w:sz w:val="24"/>
        </w:rPr>
        <w:t xml:space="preserve">（17）在项目实施过程中行政事业单位收费由乙方承担。</w:t>
      </w:r>
      <w:r/>
    </w:p>
    <w:p>
      <w:pPr>
        <w:contextualSpacing/>
        <w:ind w:firstLine="482"/>
        <w:spacing w:line="300" w:lineRule="auto"/>
        <w:rPr>
          <w:bCs/>
          <w:color w:val="000000"/>
          <w:sz w:val="24"/>
        </w:rPr>
      </w:pPr>
      <w:r>
        <w:rPr>
          <w:rFonts w:hint="eastAsia"/>
          <w:bCs/>
          <w:color w:val="000000"/>
          <w:sz w:val="24"/>
        </w:rPr>
        <w:t xml:space="preserve">合同一方不履行合同义务或者履行合同义务不符合约定的，应当承担继续履行、采取补救措施或者赔偿损失等违约责任。</w:t>
      </w:r>
      <w:r/>
    </w:p>
    <w:p>
      <w:pPr>
        <w:contextualSpacing/>
        <w:ind w:firstLine="482"/>
        <w:spacing w:line="300" w:lineRule="auto"/>
        <w:rPr>
          <w:bCs/>
          <w:color w:val="000000"/>
          <w:sz w:val="24"/>
        </w:rPr>
      </w:pPr>
      <w:r>
        <w:rPr>
          <w:rFonts w:hint="eastAsia"/>
          <w:bCs/>
          <w:color w:val="000000"/>
          <w:sz w:val="24"/>
        </w:rPr>
        <w:t xml:space="preserve">3、甲方违约责任</w:t>
      </w:r>
      <w:r/>
    </w:p>
    <w:p>
      <w:pPr>
        <w:contextualSpacing/>
        <w:ind w:firstLine="482"/>
        <w:spacing w:line="300" w:lineRule="auto"/>
        <w:rPr>
          <w:bCs/>
          <w:color w:val="000000"/>
          <w:sz w:val="24"/>
        </w:rPr>
      </w:pPr>
      <w:r>
        <w:rPr>
          <w:rFonts w:hint="eastAsia"/>
          <w:bCs/>
          <w:color w:val="000000"/>
          <w:sz w:val="24"/>
        </w:rPr>
        <w:t xml:space="preserve">（1）在合同生效后，甲方无正当理由要求取消或解除合同的，应向乙方偿付合同总价款的5%作为违约金，违约金不足以补偿损失的，乙方有权要求甲方补足。</w:t>
      </w:r>
      <w:r/>
    </w:p>
    <w:p>
      <w:pPr>
        <w:contextualSpacing/>
        <w:ind w:firstLine="482"/>
        <w:spacing w:line="300" w:lineRule="auto"/>
        <w:rPr>
          <w:bCs/>
          <w:color w:val="000000"/>
          <w:sz w:val="24"/>
        </w:rPr>
      </w:pPr>
      <w:r>
        <w:rPr>
          <w:rFonts w:hint="eastAsia"/>
          <w:bCs/>
          <w:color w:val="000000"/>
          <w:sz w:val="24"/>
        </w:rPr>
        <w:t xml:space="preserve">（2）在合同生效后，甲方应按本合同的约定及时向乙方支付合同所述款项。如违约，乙方保留追究相关赔偿的权力</w:t>
      </w:r>
      <w:r/>
    </w:p>
    <w:p>
      <w:pPr>
        <w:contextualSpacing/>
        <w:ind w:firstLine="482"/>
        <w:spacing w:line="300" w:lineRule="auto"/>
        <w:rPr>
          <w:bCs/>
          <w:color w:val="000000"/>
          <w:sz w:val="24"/>
        </w:rPr>
      </w:pPr>
      <w:r>
        <w:rPr>
          <w:rFonts w:hint="eastAsia"/>
          <w:bCs/>
          <w:color w:val="000000"/>
          <w:sz w:val="24"/>
        </w:rPr>
        <w:t xml:space="preserve">（3）甲方违反合同规定，拒绝接收乙方交付的项目的，应当承担乙方由此造成的一切损失。</w:t>
      </w:r>
      <w:r/>
    </w:p>
    <w:p>
      <w:pPr>
        <w:contextualSpacing/>
        <w:ind w:firstLine="482"/>
        <w:spacing w:line="300" w:lineRule="auto"/>
        <w:rPr>
          <w:bCs/>
          <w:color w:val="000000"/>
          <w:sz w:val="24"/>
        </w:rPr>
      </w:pPr>
      <w:r>
        <w:rPr>
          <w:rFonts w:hint="eastAsia"/>
          <w:bCs/>
          <w:color w:val="000000"/>
          <w:sz w:val="24"/>
        </w:rPr>
        <w:t xml:space="preserve">4、乙方违约责任</w:t>
      </w:r>
      <w:r/>
    </w:p>
    <w:p>
      <w:pPr>
        <w:contextualSpacing/>
        <w:ind w:firstLine="482"/>
        <w:spacing w:line="300" w:lineRule="auto"/>
        <w:rPr>
          <w:bCs/>
          <w:color w:val="000000"/>
          <w:sz w:val="24"/>
        </w:rPr>
      </w:pPr>
      <w:r>
        <w:rPr>
          <w:rFonts w:hint="eastAsia"/>
          <w:bCs/>
          <w:color w:val="000000"/>
          <w:sz w:val="24"/>
        </w:rPr>
        <w:t xml:space="preserve">（1）在本合同生效后，乙方无理由要求终止本合同或解除合同的，应向甲方偿付合同总价款的10%作为违约金，违约金不足以补偿损失的，甲方有权要求乙方补足。</w:t>
      </w:r>
      <w:r/>
    </w:p>
    <w:p>
      <w:pPr>
        <w:contextualSpacing/>
        <w:ind w:firstLine="482"/>
        <w:spacing w:line="300" w:lineRule="auto"/>
        <w:rPr>
          <w:bCs/>
          <w:color w:val="000000"/>
          <w:sz w:val="24"/>
        </w:rPr>
      </w:pPr>
      <w:r>
        <w:rPr>
          <w:rFonts w:hint="eastAsia"/>
          <w:bCs/>
          <w:color w:val="000000"/>
          <w:sz w:val="24"/>
        </w:rPr>
        <w:t xml:space="preserve">（2）乙方提供的产品不符合本合同要求的，甲方有权拒绝接收，同时要求乙方提供本合同约定的产品，由此产生的损失全部由乙方承担。</w:t>
      </w:r>
      <w:r/>
    </w:p>
    <w:p>
      <w:pPr>
        <w:contextualSpacing/>
        <w:ind w:firstLine="482"/>
        <w:spacing w:line="300" w:lineRule="auto"/>
        <w:rPr>
          <w:bCs/>
          <w:color w:val="000000"/>
          <w:sz w:val="24"/>
        </w:rPr>
      </w:pPr>
      <w:r>
        <w:rPr>
          <w:rFonts w:hint="eastAsia"/>
          <w:bCs/>
          <w:color w:val="000000"/>
          <w:sz w:val="24"/>
        </w:rPr>
        <w:t xml:space="preserve">（3）本项目验收质量检验评定达不到本合同约定的；如可修复，乙方应及时予以修复；如属无法修复的，甲方不但有权停止支付该项目的投资款，并由乙方赔偿一切经济损失。</w:t>
      </w:r>
      <w:r/>
    </w:p>
    <w:p>
      <w:pPr>
        <w:contextualSpacing/>
        <w:ind w:firstLine="482"/>
        <w:spacing w:line="300" w:lineRule="auto"/>
        <w:rPr>
          <w:bCs/>
          <w:color w:val="000000"/>
          <w:sz w:val="24"/>
        </w:rPr>
      </w:pPr>
      <w:r>
        <w:rPr>
          <w:rFonts w:hint="eastAsia"/>
          <w:bCs/>
          <w:color w:val="000000"/>
          <w:sz w:val="24"/>
        </w:rPr>
        <w:t xml:space="preserve">（4）若乙方在项目实施过程中的质量严重不符合甲方要求，并经甲方书面警告无效的，则甲方有权解除本合同，无条件收回本项目全部或部分项目，另行委托项目实施，由此引起的一切费用均由乙方承担。并向甲方偿付合同总价款的2%作为违约金。</w:t>
      </w:r>
      <w:r/>
    </w:p>
    <w:p>
      <w:pPr>
        <w:contextualSpacing/>
        <w:ind w:firstLine="482"/>
        <w:spacing w:line="300" w:lineRule="auto"/>
        <w:rPr>
          <w:bCs/>
          <w:color w:val="000000"/>
          <w:sz w:val="24"/>
        </w:rPr>
      </w:pPr>
      <w:r>
        <w:rPr>
          <w:rFonts w:hint="eastAsia"/>
          <w:bCs/>
          <w:color w:val="000000"/>
          <w:sz w:val="24"/>
        </w:rPr>
        <w:t xml:space="preserve">（5）乙方在运维服务期内不履行本合同约定义务的，则甲方在向乙方发出书面通知的14天内仍未纠正完毕的，甲方可要求乙方承担违约责任。甲方同时有权委托第三方纠正，纠正的一切损失由乙方承担，损失计算按甲方与第三方签订的合同为准。</w:t>
      </w:r>
      <w:r/>
    </w:p>
    <w:p>
      <w:pPr>
        <w:contextualSpacing/>
        <w:ind w:firstLine="482"/>
        <w:spacing w:line="300" w:lineRule="auto"/>
        <w:rPr>
          <w:bCs/>
          <w:color w:val="000000"/>
          <w:sz w:val="24"/>
        </w:rPr>
      </w:pPr>
      <w:r>
        <w:rPr>
          <w:rFonts w:hint="eastAsia"/>
          <w:bCs/>
          <w:color w:val="000000"/>
          <w:sz w:val="24"/>
        </w:rPr>
        <w:t xml:space="preserve">（6）乙方未按约定和承诺提供驻场服务的，应向甲方支付不超过合同总价款5％的违约金。</w:t>
      </w:r>
      <w:r/>
    </w:p>
    <w:p>
      <w:pPr>
        <w:contextualSpacing/>
        <w:ind w:firstLine="482"/>
        <w:spacing w:line="300" w:lineRule="auto"/>
        <w:rPr>
          <w:bCs/>
          <w:color w:val="000000"/>
          <w:sz w:val="24"/>
        </w:rPr>
      </w:pPr>
      <w:r>
        <w:rPr>
          <w:rFonts w:hint="eastAsia"/>
          <w:bCs/>
          <w:color w:val="000000"/>
          <w:sz w:val="24"/>
        </w:rPr>
        <w:t xml:space="preserve">（7）若因乙方原因中途退场的，视为乙方违约。甲方有权要求乙方承担不超过本合同总价的5％违约金或赔偿损失的同时还有权随即接管所有项目，并对乙方已完成的部分不作任何补偿。</w:t>
      </w:r>
      <w:r/>
    </w:p>
    <w:p>
      <w:pPr>
        <w:contextualSpacing/>
        <w:ind w:firstLine="482"/>
        <w:spacing w:line="300" w:lineRule="auto"/>
        <w:rPr>
          <w:bCs/>
          <w:color w:val="000000"/>
          <w:sz w:val="24"/>
        </w:rPr>
      </w:pPr>
      <w:r>
        <w:rPr>
          <w:rFonts w:hint="eastAsia"/>
          <w:bCs/>
          <w:color w:val="000000"/>
          <w:sz w:val="24"/>
        </w:rPr>
        <w:t xml:space="preserve">（8）现场项目组成员及维保使用设备如不符合投标文件人员构架及履职情况，应向甲方支付不超过合同总价款5％的违约金。</w:t>
      </w:r>
      <w:r/>
    </w:p>
    <w:p>
      <w:pPr>
        <w:contextualSpacing/>
        <w:ind w:firstLine="482"/>
        <w:spacing w:line="300" w:lineRule="auto"/>
        <w:rPr>
          <w:bCs/>
          <w:color w:val="000000"/>
          <w:sz w:val="24"/>
        </w:rPr>
      </w:pPr>
      <w:r>
        <w:rPr>
          <w:rFonts w:hint="eastAsia"/>
          <w:bCs/>
          <w:color w:val="000000"/>
          <w:sz w:val="24"/>
        </w:rPr>
        <w:t xml:space="preserve">（9）乙方实质性违反本合同条款任何一条约定的，均视为违约。</w:t>
      </w:r>
      <w:r/>
    </w:p>
    <w:p>
      <w:pPr>
        <w:contextualSpacing/>
        <w:ind w:firstLine="482"/>
        <w:spacing w:line="300" w:lineRule="auto"/>
        <w:rPr>
          <w:bCs/>
          <w:color w:val="000000"/>
          <w:sz w:val="24"/>
        </w:rPr>
      </w:pPr>
      <w:r>
        <w:rPr>
          <w:rFonts w:hint="eastAsia"/>
          <w:bCs/>
          <w:color w:val="000000"/>
          <w:sz w:val="24"/>
        </w:rPr>
        <w:t xml:space="preserve">（12）违约方承担违约责任并不影响其合同项下的义务(合同解除的除外)</w:t>
      </w:r>
      <w:r/>
    </w:p>
    <w:p>
      <w:pPr>
        <w:spacing w:line="300" w:lineRule="auto"/>
        <w:rPr>
          <w:rFonts w:hint="eastAsia" w:ascii="宋体" w:hAnsi="宋体" w:cs="宋体"/>
          <w:b/>
          <w:bCs/>
          <w:color w:val="000000"/>
          <w:sz w:val="24"/>
        </w:rPr>
        <w:outlineLvl w:val="1"/>
      </w:pPr>
      <w:r>
        <w:rPr>
          <w:rFonts w:hint="eastAsia" w:ascii="宋体" w:hAnsi="宋体" w:cs="宋体"/>
          <w:b/>
          <w:bCs/>
          <w:color w:val="000000"/>
          <w:sz w:val="24"/>
        </w:rPr>
        <w:t xml:space="preserve">第十一条、不可抗力条款</w:t>
      </w:r>
      <w:r/>
    </w:p>
    <w:p>
      <w:pPr>
        <w:contextualSpacing/>
        <w:ind w:firstLine="482"/>
        <w:spacing w:line="300" w:lineRule="auto"/>
        <w:rPr>
          <w:bCs/>
          <w:color w:val="000000"/>
          <w:sz w:val="24"/>
        </w:rPr>
      </w:pPr>
      <w:r>
        <w:rPr>
          <w:rFonts w:hint="eastAsia"/>
          <w:bCs/>
          <w:color w:val="000000"/>
          <w:sz w:val="24"/>
        </w:rPr>
        <w:t xml:space="preserve">因不可抗力致使一方不能及时或完全履行合同的，应及时通知代理机构及另一方，双方互不承担责任，并在15天内提供有关不可抗力的相应证明。</w:t>
      </w:r>
      <w:r/>
    </w:p>
    <w:p>
      <w:pPr>
        <w:contextualSpacing/>
        <w:ind w:firstLine="482"/>
        <w:spacing w:line="300" w:lineRule="auto"/>
        <w:rPr>
          <w:bCs/>
          <w:color w:val="000000"/>
          <w:sz w:val="24"/>
        </w:rPr>
      </w:pPr>
      <w:r>
        <w:rPr>
          <w:rFonts w:hint="eastAsia"/>
          <w:bCs/>
          <w:color w:val="000000"/>
          <w:sz w:val="24"/>
        </w:rPr>
        <w:t xml:space="preserve">合同未履行部分是否继续履行、如何履行等问题，可由双方协商解决。</w:t>
      </w:r>
      <w:r/>
    </w:p>
    <w:p>
      <w:pPr>
        <w:spacing w:line="300" w:lineRule="auto"/>
        <w:rPr>
          <w:rFonts w:hint="eastAsia" w:ascii="宋体" w:hAnsi="宋体" w:cs="宋体"/>
          <w:b/>
          <w:bCs/>
          <w:color w:val="000000"/>
          <w:sz w:val="24"/>
        </w:rPr>
        <w:outlineLvl w:val="1"/>
      </w:pPr>
      <w:r>
        <w:rPr>
          <w:rFonts w:hint="eastAsia" w:ascii="宋体" w:hAnsi="宋体" w:cs="宋体"/>
          <w:b/>
          <w:bCs/>
          <w:color w:val="000000"/>
          <w:sz w:val="24"/>
        </w:rPr>
        <w:t xml:space="preserve">第十二条、争议的解决方式</w:t>
      </w:r>
      <w:r/>
    </w:p>
    <w:p>
      <w:pPr>
        <w:contextualSpacing/>
        <w:ind w:firstLine="482"/>
        <w:spacing w:line="300" w:lineRule="auto"/>
        <w:rPr>
          <w:bCs/>
          <w:color w:val="000000"/>
          <w:sz w:val="24"/>
        </w:rPr>
      </w:pPr>
      <w:r>
        <w:rPr>
          <w:rFonts w:hint="eastAsia"/>
          <w:bCs/>
          <w:color w:val="000000"/>
          <w:sz w:val="24"/>
        </w:rPr>
        <w:t xml:space="preserve">合同发生纠纷时，双方应协商解决，协商不成可以采用下列方式解决：（1）提交常州仲裁委员会仲裁；（2）向甲方所在地人民法院起诉。本合同发生纠纷，经双方协商不能解决时，采用第 （2） 种方式予以解决。</w:t>
      </w:r>
      <w:r/>
    </w:p>
    <w:p>
      <w:pPr>
        <w:spacing w:line="300" w:lineRule="auto"/>
        <w:rPr>
          <w:rFonts w:hint="eastAsia" w:ascii="宋体" w:hAnsi="宋体" w:cs="宋体"/>
          <w:b/>
          <w:bCs/>
          <w:color w:val="000000"/>
          <w:sz w:val="24"/>
        </w:rPr>
        <w:outlineLvl w:val="1"/>
      </w:pPr>
      <w:r>
        <w:rPr>
          <w:rFonts w:hint="eastAsia" w:ascii="宋体" w:hAnsi="宋体" w:cs="宋体"/>
          <w:b/>
          <w:bCs/>
          <w:color w:val="000000"/>
          <w:sz w:val="24"/>
        </w:rPr>
        <w:t xml:space="preserve">第十三条、补充协议</w:t>
      </w:r>
      <w:r/>
    </w:p>
    <w:p>
      <w:pPr>
        <w:contextualSpacing/>
        <w:ind w:firstLine="482"/>
        <w:spacing w:line="300" w:lineRule="auto"/>
        <w:rPr>
          <w:bCs/>
          <w:color w:val="000000"/>
          <w:sz w:val="24"/>
        </w:rPr>
      </w:pPr>
      <w:r>
        <w:rPr>
          <w:rFonts w:hint="eastAsia"/>
          <w:bCs/>
          <w:color w:val="000000"/>
          <w:sz w:val="24"/>
        </w:rPr>
        <w:t xml:space="preserve">合同未尽事宜，经双方协商可签订补充协议，所签订的补充协议与本合同具有同等的法律效力，补充协议的生效应符合本合同相关规定。合同补充条款应同时报代理机构备案。</w:t>
      </w:r>
      <w:r/>
    </w:p>
    <w:p>
      <w:pPr>
        <w:contextualSpacing/>
        <w:ind w:firstLine="482"/>
        <w:spacing w:line="300" w:lineRule="auto"/>
        <w:rPr>
          <w:bCs/>
          <w:color w:val="000000"/>
          <w:sz w:val="24"/>
        </w:rPr>
      </w:pPr>
      <w:r>
        <w:rPr>
          <w:rFonts w:hint="eastAsia"/>
          <w:bCs/>
          <w:color w:val="000000"/>
          <w:sz w:val="24"/>
        </w:rPr>
        <w:t xml:space="preserve">1、合同履行过程中甲方有权对招标文件中规定的货物数量、系统和服务予以增加或减少，乙方不改变成交单价。</w:t>
      </w:r>
      <w:r/>
    </w:p>
    <w:p>
      <w:pPr>
        <w:contextualSpacing/>
        <w:ind w:firstLine="482"/>
        <w:spacing w:line="300" w:lineRule="auto"/>
        <w:rPr>
          <w:bCs/>
          <w:color w:val="000000"/>
          <w:sz w:val="24"/>
        </w:rPr>
      </w:pPr>
      <w:r>
        <w:rPr>
          <w:rFonts w:hint="eastAsia"/>
          <w:bCs/>
          <w:color w:val="000000"/>
          <w:sz w:val="24"/>
        </w:rPr>
        <w:t xml:space="preserve">2、乙方未提出参数负偏离的产品，视为能完全满足甲方及本项目技术要求，投标时未提出但合同履行期一旦发现不能满足参数要求的产品，乙方必须无条件更换，甲方不另行支付费用。</w:t>
      </w:r>
      <w:r/>
    </w:p>
    <w:p>
      <w:pPr>
        <w:contextualSpacing/>
        <w:ind w:firstLine="482"/>
        <w:spacing w:line="300" w:lineRule="auto"/>
        <w:rPr>
          <w:bCs/>
          <w:color w:val="000000"/>
          <w:sz w:val="24"/>
        </w:rPr>
      </w:pPr>
      <w:r>
        <w:rPr>
          <w:rFonts w:hint="eastAsia"/>
          <w:bCs/>
          <w:color w:val="000000"/>
          <w:sz w:val="24"/>
        </w:rPr>
        <w:t xml:space="preserve">3、乙方应充分考虑项目建设期产品更新换代及停产的风险，项目建设期内如遇产品此类风险，应无条件升级为不低于原投标产品品牌、性能的替代产品，或更换符合甲方要求的产品，甲方不另行支付费用。</w:t>
      </w:r>
      <w:r/>
    </w:p>
    <w:p>
      <w:pPr>
        <w:spacing w:line="300" w:lineRule="auto"/>
        <w:rPr>
          <w:rFonts w:hint="eastAsia" w:ascii="宋体" w:hAnsi="宋体" w:cs="宋体"/>
          <w:b/>
          <w:bCs/>
          <w:color w:val="000000"/>
          <w:sz w:val="24"/>
        </w:rPr>
        <w:outlineLvl w:val="1"/>
      </w:pPr>
      <w:r>
        <w:rPr>
          <w:rFonts w:hint="eastAsia" w:ascii="宋体" w:hAnsi="宋体" w:cs="宋体"/>
          <w:b/>
          <w:bCs/>
          <w:color w:val="000000"/>
          <w:sz w:val="24"/>
        </w:rPr>
        <w:t xml:space="preserve">第十四条、其他</w:t>
      </w:r>
      <w:r/>
    </w:p>
    <w:p>
      <w:pPr>
        <w:contextualSpacing/>
        <w:ind w:firstLine="482"/>
        <w:spacing w:line="300" w:lineRule="auto"/>
        <w:rPr>
          <w:bCs/>
          <w:color w:val="000000"/>
          <w:sz w:val="24"/>
        </w:rPr>
      </w:pPr>
      <w:r>
        <w:rPr>
          <w:rFonts w:hint="eastAsia"/>
          <w:bCs/>
          <w:color w:val="000000"/>
          <w:sz w:val="24"/>
        </w:rPr>
        <w:t xml:space="preserve">甲方认为可以培训的前一周提出需求，由乙方提供培训计划及资料进行培训，确保甲方培训后能熟练操作、了解构造原理、日常维护、排除一般故障。乙方保证对甲方各单位两名以上人员进行现场培训。培训时间地点由甲乙双方另行协商确定。</w:t>
      </w:r>
      <w:r/>
    </w:p>
    <w:p>
      <w:pPr>
        <w:spacing w:line="300" w:lineRule="auto"/>
        <w:rPr>
          <w:rFonts w:hint="eastAsia" w:ascii="宋体" w:hAnsi="宋体" w:cs="宋体"/>
          <w:b/>
          <w:bCs/>
          <w:color w:val="000000"/>
          <w:sz w:val="24"/>
        </w:rPr>
        <w:outlineLvl w:val="1"/>
      </w:pPr>
      <w:r>
        <w:rPr>
          <w:rFonts w:hint="eastAsia" w:ascii="宋体" w:hAnsi="宋体" w:cs="宋体"/>
          <w:b/>
          <w:bCs/>
          <w:color w:val="000000"/>
          <w:sz w:val="24"/>
        </w:rPr>
        <w:t xml:space="preserve">第十五条、合同保存</w:t>
      </w:r>
      <w:r/>
    </w:p>
    <w:p>
      <w:pPr>
        <w:ind w:firstLine="480"/>
        <w:spacing w:line="300" w:lineRule="auto"/>
        <w:rPr>
          <w:rFonts w:hint="eastAsia" w:ascii="宋体" w:hAnsi="宋体" w:cs="宋体"/>
          <w:color w:val="000000"/>
          <w:sz w:val="24"/>
        </w:rPr>
      </w:pPr>
      <w:r>
        <w:rPr>
          <w:rFonts w:hint="eastAsia" w:ascii="宋体" w:hAnsi="宋体" w:cs="宋体"/>
          <w:color w:val="000000"/>
          <w:sz w:val="24"/>
        </w:rPr>
        <w:t xml:space="preserve">本合同一式伍份，甲、乙双方各执二份，代理机构一份。</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r>
      <w:r/>
    </w:p>
    <w:tbl>
      <w:tblPr>
        <w:tblStyle w:val="737"/>
        <w:tblW w:w="8678" w:type="dxa"/>
        <w:jc w:val="center"/>
        <w:tblLayout w:type="fixed"/>
        <w:tblCellMar>
          <w:left w:w="108" w:type="dxa"/>
          <w:top w:w="0" w:type="dxa"/>
          <w:right w:w="108" w:type="dxa"/>
          <w:bottom w:w="0" w:type="dxa"/>
        </w:tblCellMar>
        <w:tblLook w:val="04A0" w:firstRow="1" w:lastRow="0" w:firstColumn="1" w:lastColumn="0" w:noHBand="0" w:noVBand="1"/>
      </w:tblPr>
      <w:tblGrid>
        <w:gridCol w:w="4208"/>
        <w:gridCol w:w="262"/>
        <w:gridCol w:w="4208"/>
      </w:tblGrid>
      <w:tr>
        <w:trPr>
          <w:jc w:val="center"/>
          <w:trHeight w:val="593"/>
        </w:trPr>
        <w:tc>
          <w:tcPr>
            <w:tcW w:w="4208" w:type="dxa"/>
            <w:textDirection w:val="lrTb"/>
            <w:noWrap w:val="false"/>
          </w:tcPr>
          <w:p>
            <w:pPr>
              <w:jc w:val="left"/>
              <w:spacing w:line="360" w:lineRule="auto"/>
              <w:widowControl/>
              <w:rPr>
                <w:rFonts w:hint="eastAsia" w:ascii="宋体" w:hAnsi="宋体"/>
                <w:color w:val="000000"/>
                <w:sz w:val="24"/>
              </w:rPr>
            </w:pPr>
            <w:r>
              <w:rPr>
                <w:rFonts w:hint="eastAsia" w:ascii="宋体" w:hAnsi="宋体"/>
                <w:color w:val="000000"/>
                <w:sz w:val="24"/>
              </w:rPr>
              <w:t xml:space="preserve">甲方（采购人）：     （盖章）</w:t>
            </w:r>
            <w:r/>
          </w:p>
        </w:tc>
        <w:tc>
          <w:tcPr>
            <w:tcW w:w="262" w:type="dxa"/>
            <w:textDirection w:val="lrTb"/>
            <w:noWrap w:val="false"/>
          </w:tcPr>
          <w:p>
            <w:pPr>
              <w:ind w:firstLine="480"/>
              <w:jc w:val="left"/>
              <w:spacing w:line="360" w:lineRule="auto"/>
              <w:widowControl/>
              <w:rPr>
                <w:rFonts w:hint="eastAsia" w:ascii="宋体" w:hAnsi="宋体"/>
                <w:color w:val="000000"/>
                <w:sz w:val="24"/>
              </w:rPr>
            </w:pPr>
            <w:r>
              <w:rPr>
                <w:rFonts w:hint="eastAsia" w:ascii="宋体" w:hAnsi="宋体"/>
                <w:color w:val="000000"/>
                <w:sz w:val="24"/>
              </w:rPr>
            </w:r>
            <w:r/>
          </w:p>
        </w:tc>
        <w:tc>
          <w:tcPr>
            <w:tcW w:w="4208" w:type="dxa"/>
            <w:textDirection w:val="lrTb"/>
            <w:noWrap w:val="false"/>
          </w:tcPr>
          <w:p>
            <w:pPr>
              <w:jc w:val="left"/>
              <w:spacing w:line="360" w:lineRule="auto"/>
              <w:widowControl/>
              <w:rPr>
                <w:rFonts w:hint="eastAsia" w:ascii="宋体" w:hAnsi="宋体"/>
                <w:color w:val="000000"/>
                <w:sz w:val="24"/>
              </w:rPr>
            </w:pPr>
            <w:r>
              <w:rPr>
                <w:rFonts w:hint="eastAsia" w:ascii="宋体" w:hAnsi="宋体"/>
                <w:color w:val="000000"/>
                <w:sz w:val="24"/>
              </w:rPr>
              <w:t xml:space="preserve">乙方（供应商）：     （盖章）</w:t>
            </w:r>
            <w:r/>
          </w:p>
        </w:tc>
      </w:tr>
      <w:tr>
        <w:trPr>
          <w:jc w:val="center"/>
          <w:trHeight w:val="593"/>
        </w:trPr>
        <w:tc>
          <w:tcPr>
            <w:tcW w:w="4208" w:type="dxa"/>
            <w:textDirection w:val="lrTb"/>
            <w:noWrap w:val="false"/>
          </w:tcPr>
          <w:p>
            <w:pPr>
              <w:jc w:val="left"/>
              <w:spacing w:line="360" w:lineRule="auto"/>
              <w:widowControl/>
              <w:rPr>
                <w:rFonts w:hint="eastAsia" w:ascii="宋体" w:hAnsi="宋体"/>
                <w:color w:val="000000"/>
                <w:sz w:val="24"/>
              </w:rPr>
            </w:pPr>
            <w:r>
              <w:rPr>
                <w:rFonts w:hint="eastAsia" w:ascii="宋体" w:hAnsi="宋体"/>
                <w:color w:val="000000"/>
                <w:sz w:val="24"/>
              </w:rPr>
              <w:t xml:space="preserve">地址：                              </w:t>
            </w:r>
            <w:r/>
          </w:p>
        </w:tc>
        <w:tc>
          <w:tcPr>
            <w:tcW w:w="262" w:type="dxa"/>
            <w:textDirection w:val="lrTb"/>
            <w:noWrap w:val="false"/>
          </w:tcPr>
          <w:p>
            <w:pPr>
              <w:ind w:firstLine="480"/>
              <w:jc w:val="left"/>
              <w:spacing w:line="360" w:lineRule="auto"/>
              <w:widowControl/>
              <w:rPr>
                <w:rFonts w:hint="eastAsia" w:ascii="宋体" w:hAnsi="宋体"/>
                <w:color w:val="000000"/>
                <w:sz w:val="24"/>
              </w:rPr>
            </w:pPr>
            <w:r>
              <w:rPr>
                <w:rFonts w:hint="eastAsia" w:ascii="宋体" w:hAnsi="宋体"/>
                <w:color w:val="000000"/>
                <w:sz w:val="24"/>
              </w:rPr>
            </w:r>
            <w:r/>
          </w:p>
        </w:tc>
        <w:tc>
          <w:tcPr>
            <w:tcW w:w="4208" w:type="dxa"/>
            <w:textDirection w:val="lrTb"/>
            <w:noWrap w:val="false"/>
          </w:tcPr>
          <w:p>
            <w:pPr>
              <w:jc w:val="left"/>
              <w:spacing w:line="360" w:lineRule="auto"/>
              <w:widowControl/>
              <w:rPr>
                <w:rFonts w:hint="eastAsia" w:ascii="宋体" w:hAnsi="宋体"/>
                <w:color w:val="000000"/>
                <w:sz w:val="24"/>
              </w:rPr>
            </w:pPr>
            <w:r>
              <w:rPr>
                <w:rFonts w:hint="eastAsia" w:ascii="宋体" w:hAnsi="宋体"/>
                <w:color w:val="000000"/>
                <w:sz w:val="24"/>
              </w:rPr>
              <w:t xml:space="preserve">地址：                              </w:t>
            </w:r>
            <w:r/>
          </w:p>
        </w:tc>
      </w:tr>
      <w:tr>
        <w:trPr>
          <w:jc w:val="center"/>
          <w:trHeight w:val="593"/>
        </w:trPr>
        <w:tc>
          <w:tcPr>
            <w:tcW w:w="4208" w:type="dxa"/>
            <w:textDirection w:val="lrTb"/>
            <w:noWrap w:val="false"/>
          </w:tcPr>
          <w:p>
            <w:pPr>
              <w:jc w:val="left"/>
              <w:spacing w:line="360" w:lineRule="auto"/>
              <w:widowControl/>
              <w:rPr>
                <w:rFonts w:hint="eastAsia" w:ascii="宋体" w:hAnsi="宋体"/>
                <w:color w:val="000000"/>
                <w:sz w:val="24"/>
              </w:rPr>
            </w:pPr>
            <w:r>
              <w:rPr>
                <w:rFonts w:hint="eastAsia" w:ascii="宋体" w:hAnsi="宋体"/>
                <w:color w:val="000000"/>
                <w:sz w:val="24"/>
              </w:rPr>
              <w:t xml:space="preserve">法定（授权）代表人：                </w:t>
            </w:r>
            <w:r/>
          </w:p>
        </w:tc>
        <w:tc>
          <w:tcPr>
            <w:tcW w:w="262" w:type="dxa"/>
            <w:textDirection w:val="lrTb"/>
            <w:noWrap w:val="false"/>
          </w:tcPr>
          <w:p>
            <w:pPr>
              <w:ind w:firstLine="480"/>
              <w:jc w:val="left"/>
              <w:spacing w:line="360" w:lineRule="auto"/>
              <w:widowControl/>
              <w:rPr>
                <w:rFonts w:hint="eastAsia" w:ascii="宋体" w:hAnsi="宋体"/>
                <w:color w:val="000000"/>
                <w:sz w:val="24"/>
              </w:rPr>
            </w:pPr>
            <w:r>
              <w:rPr>
                <w:rFonts w:hint="eastAsia" w:ascii="宋体" w:hAnsi="宋体"/>
                <w:color w:val="000000"/>
                <w:sz w:val="24"/>
              </w:rPr>
            </w:r>
            <w:r/>
          </w:p>
        </w:tc>
        <w:tc>
          <w:tcPr>
            <w:tcW w:w="4208" w:type="dxa"/>
            <w:textDirection w:val="lrTb"/>
            <w:noWrap w:val="false"/>
          </w:tcPr>
          <w:p>
            <w:pPr>
              <w:jc w:val="left"/>
              <w:spacing w:line="360" w:lineRule="auto"/>
              <w:widowControl/>
              <w:rPr>
                <w:rFonts w:hint="eastAsia" w:ascii="宋体" w:hAnsi="宋体"/>
                <w:color w:val="000000"/>
                <w:sz w:val="24"/>
              </w:rPr>
            </w:pPr>
            <w:r>
              <w:rPr>
                <w:rFonts w:hint="eastAsia" w:ascii="宋体" w:hAnsi="宋体"/>
                <w:color w:val="000000"/>
                <w:sz w:val="24"/>
              </w:rPr>
              <w:t xml:space="preserve">法定（授权）代表人：                </w:t>
            </w:r>
            <w:r/>
          </w:p>
        </w:tc>
      </w:tr>
      <w:tr>
        <w:trPr>
          <w:jc w:val="center"/>
          <w:trHeight w:val="593"/>
        </w:trPr>
        <w:tc>
          <w:tcPr>
            <w:tcW w:w="4208" w:type="dxa"/>
            <w:textDirection w:val="lrTb"/>
            <w:noWrap w:val="false"/>
          </w:tcPr>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　　　　　年　　　月　　　日</w:t>
            </w:r>
            <w:r/>
          </w:p>
        </w:tc>
        <w:tc>
          <w:tcPr>
            <w:tcW w:w="262" w:type="dxa"/>
            <w:textDirection w:val="lrTb"/>
            <w:noWrap w:val="false"/>
          </w:tcPr>
          <w:p>
            <w:pPr>
              <w:ind w:firstLine="480"/>
              <w:jc w:val="left"/>
              <w:spacing w:line="360" w:lineRule="auto"/>
              <w:widowControl/>
              <w:rPr>
                <w:rFonts w:hint="eastAsia" w:ascii="宋体" w:hAnsi="宋体"/>
                <w:color w:val="000000"/>
                <w:sz w:val="24"/>
              </w:rPr>
            </w:pPr>
            <w:r>
              <w:rPr>
                <w:rFonts w:hint="eastAsia" w:ascii="宋体" w:hAnsi="宋体"/>
                <w:color w:val="000000"/>
                <w:sz w:val="24"/>
              </w:rPr>
            </w:r>
            <w:r/>
          </w:p>
        </w:tc>
        <w:tc>
          <w:tcPr>
            <w:tcW w:w="4208" w:type="dxa"/>
            <w:textDirection w:val="lrTb"/>
            <w:noWrap w:val="false"/>
          </w:tcPr>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　　　　　年　　　月　　　日</w:t>
            </w:r>
            <w:r/>
          </w:p>
        </w:tc>
      </w:tr>
    </w:tbl>
    <w:p>
      <w:pPr>
        <w:ind w:firstLine="482"/>
        <w:jc w:val="center"/>
        <w:spacing w:line="360" w:lineRule="auto"/>
        <w:rPr>
          <w:rFonts w:hint="eastAsia" w:ascii="宋体" w:hAnsi="宋体" w:cs="宋体"/>
          <w:b/>
          <w:bCs/>
          <w:color w:val="000000"/>
          <w:sz w:val="24"/>
        </w:rPr>
      </w:pPr>
      <w:r>
        <w:rPr>
          <w:rFonts w:hint="eastAsia" w:ascii="宋体" w:hAnsi="宋体" w:cs="宋体"/>
          <w:b/>
          <w:bCs/>
          <w:color w:val="000000"/>
          <w:sz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rPr>
      </w:r>
      <w:r>
        <w:rPr>
          <w:rFonts w:hint="eastAsia" w:ascii="宋体" w:hAnsi="宋体" w:cs="宋体"/>
          <w:b/>
          <w:bCs/>
          <w:color w:val="000000"/>
          <w:sz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rPr>
          <w:rFonts w:hint="eastAsia" w:ascii="宋体" w:hAnsi="宋体" w:cs="宋体"/>
          <w:b/>
          <w:bCs/>
          <w:color w:val="000000"/>
          <w:sz w:val="24"/>
          <w:szCs w:val="24"/>
        </w:rPr>
      </w:r>
      <w:r/>
    </w:p>
    <w:p>
      <w:pPr>
        <w:ind w:firstLine="482"/>
        <w:jc w:val="center"/>
        <w:spacing w:line="360" w:lineRule="auto"/>
        <w:rPr>
          <w:rFonts w:hint="eastAsia" w:ascii="宋体" w:hAnsi="宋体" w:cs="宋体"/>
          <w:b/>
          <w:bCs/>
          <w:color w:val="000000"/>
          <w:sz w:val="24"/>
          <w:szCs w:val="24"/>
        </w:rPr>
      </w:pPr>
      <w:r>
        <w:rPr>
          <w:rFonts w:hint="eastAsia" w:ascii="宋体" w:hAnsi="宋体" w:cs="宋体"/>
          <w:b/>
          <w:bCs/>
          <w:color w:val="000000"/>
          <w:sz w:val="24"/>
        </w:rPr>
      </w:r>
      <w:r/>
    </w:p>
    <w:p>
      <w:pPr>
        <w:spacing w:line="360" w:lineRule="auto"/>
        <w:rPr>
          <w:rFonts w:hint="eastAsia" w:ascii="宋体" w:hAnsi="宋体" w:cs="宋体"/>
          <w:b/>
          <w:bCs/>
          <w:color w:val="000000"/>
          <w:sz w:val="24"/>
        </w:rPr>
      </w:pPr>
      <w:r>
        <w:rPr>
          <w:rFonts w:hint="eastAsia" w:ascii="宋体" w:hAnsi="宋体" w:cs="宋体"/>
          <w:b/>
          <w:bCs/>
          <w:color w:val="000000"/>
          <w:sz w:val="24"/>
        </w:rPr>
      </w:r>
      <w:r/>
    </w:p>
    <w:p>
      <w:pPr>
        <w:ind w:firstLine="482"/>
        <w:jc w:val="center"/>
        <w:spacing w:line="360" w:lineRule="auto"/>
        <w:rPr>
          <w:rFonts w:hint="eastAsia" w:ascii="宋体" w:hAnsi="宋体" w:cs="宋体"/>
          <w:color w:val="000000"/>
          <w:sz w:val="24"/>
        </w:rPr>
      </w:pPr>
      <w:r>
        <w:rPr>
          <w:rFonts w:hint="eastAsia" w:ascii="宋体" w:hAnsi="宋体" w:cs="宋体"/>
          <w:b/>
          <w:bCs/>
          <w:color w:val="000000"/>
          <w:sz w:val="24"/>
        </w:rPr>
        <w:t xml:space="preserve">协作公司人员使用公安及图像网络安全保密协议</w:t>
      </w:r>
      <w:r/>
    </w:p>
    <w:p>
      <w:pPr>
        <w:ind w:firstLine="560"/>
        <w:rPr>
          <w:rFonts w:hint="eastAsia" w:ascii="宋体" w:hAnsi="宋体" w:cs="宋体"/>
          <w:color w:val="000000"/>
          <w:sz w:val="28"/>
          <w:szCs w:val="28"/>
        </w:rPr>
      </w:pPr>
      <w:r>
        <w:rPr>
          <w:rFonts w:hint="eastAsia" w:ascii="宋体" w:hAnsi="宋体" w:cs="宋体"/>
          <w:color w:val="000000"/>
          <w:sz w:val="28"/>
          <w:szCs w:val="28"/>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采购人（单位）：常州市公安局武进分局</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中标供应商（单位）：</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鉴于中标供应商参与本局公安及图像信息系统的开发和维护，需使用公安及图像内部网络，为确保公安及图像信息网络的安全保密，坚决杜绝失、泄密和网络安全隐患，中标供应商人员需遵守如下规定：</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1.所使用的计算机须坚持“专网专用”、“专机专用”的原则，实行“谁管理、谁负责”、“谁使用、谁负责”的安全责任制，严禁私自将自带笔记本电脑接入公安网和图像网，未经批准不得擅自使用公安信息网及图像网。</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2．经批准授权使用公安信息网的人员须佩戴《公安信息网使用许可证》在公安信息网上开展工作。</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3．接入公安信息网及图像网的计算机必须关闭无线网卡，按申请批准的IP地址使用，严禁私设、私改IP地址，接入公安、信息网、图像网的计算机还必须进行入网注册，必须专机专用，专人负责。</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4．上网计算机必须安装统一的网络版防病毒软件，并及时升级，定期查杀病毒，禁止擅自取消监控程序。</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5．上网计算机须定期升级微软补丁，禁止开设文件共享目录，防止安全隐患。</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6．严禁“一机两用、一机双网”，不准以任何方式将接入公安信息网及图像网的计算机、网络设备连接国际互联网。</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7.严禁在计算机上安装和使用各种聊天或即时通信软件、设置“聊天室”、私设个人网站（页）和刊载商业性广告。</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8.严禁使用解密、扫描软件等“黑客工具”非法入侵公安和图像信息网络以及网络中的信息系统。</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9.严禁编制或故意传播破坏计算机功能、破坏信息数据的病毒，或者恶意攻击、删改各类信息网站和信息系统数据；</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10.严禁未经批准，擅自打印或使用各类存储介质转存公安信息网上各种信息、数据、程序等；</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11.严禁未经审查和批准，从国际互联网和其它公共网络上直接下载、转发、粘贴各类信息、图片到公安信息网及图像网； </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12.严禁泄露公安及图像局域网工作信息，严禁泄露工作中接触的公安数据、账号和密码。</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13.严禁盗卖公安及图像信息网上各种信息、数据，牟取利益的行为。</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14.接入公安信息网和图像网的计算机设备发生故障，原则上应在公安内部维修，严禁超范围使用公安及图像信息网查询信息。如确需送出维修，必须将计算机硬盘拆下，将硬盘交公安方管理者，维修方不得将硬盘带出，以确保信息安全。送出外修的计算机，送修方必须进行登记。</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一旦发生违反上述规定的行为，采购人将视情节轻重，追究中标供应商开发（维护）人员的责任。对于情节严重的，中标供应商应对因其过失造成的泄密后果承担法律责任。</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本协议一式三份，甲乙双方各执一份，每份具有同等的法律效力。第三份上交分局保密委员会备案保存。</w:t>
      </w:r>
      <w:r/>
    </w:p>
    <w:p>
      <w:pPr>
        <w:ind w:firstLine="547"/>
        <w:spacing w:line="360" w:lineRule="auto"/>
        <w:rPr>
          <w:rFonts w:hint="eastAsia" w:ascii="宋体" w:hAnsi="宋体" w:cs="宋体"/>
          <w:color w:val="000000"/>
          <w:sz w:val="24"/>
        </w:rPr>
      </w:pPr>
      <w:r>
        <w:rPr>
          <w:rFonts w:hint="eastAsia" w:ascii="宋体" w:hAnsi="宋体" w:cs="宋体"/>
          <w:color w:val="000000"/>
          <w:sz w:val="24"/>
        </w:rPr>
        <w:t xml:space="preserve">本协议经甲乙双方签字盖章后即生效。</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采购人代表签字（印章）：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日期：     年    月    日</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中标供应商代表签字（印章）：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中标供应商开发（维护）人员签字：</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tabs>
          <w:tab w:val="left" w:pos="900" w:leader="none"/>
          <w:tab w:val="left" w:pos="1080" w:leader="none"/>
        </w:tabs>
        <w:rPr>
          <w:color w:val="000000"/>
          <w:sz w:val="18"/>
          <w:szCs w:val="18"/>
        </w:rPr>
      </w:pPr>
      <w:r>
        <w:rPr>
          <w:rFonts w:hint="eastAsia" w:ascii="宋体" w:hAnsi="宋体" w:cs="宋体"/>
          <w:color w:val="000000"/>
          <w:sz w:val="24"/>
        </w:rPr>
        <w:t xml:space="preserve">日期：     年    月    日</w:t>
      </w:r>
      <w:r/>
    </w:p>
    <w:p>
      <w:pPr>
        <w:ind w:firstLine="480"/>
        <w:jc w:val="center"/>
        <w:spacing w:line="360" w:lineRule="auto"/>
        <w:widowControl/>
        <w:rPr>
          <w:b/>
          <w:color w:val="000000"/>
          <w:sz w:val="36"/>
          <w:szCs w:val="36"/>
        </w:rPr>
      </w:pPr>
      <w:r>
        <w:rPr>
          <w:b/>
          <w:color w:val="000000"/>
          <w:sz w:val="36"/>
          <w:szCs w:val="36"/>
        </w:rPr>
        <w:br w:type="page" w:clear="all"/>
      </w:r>
      <w:bookmarkStart w:id="305" w:name="_Toc99301426"/>
      <w:r>
        <w:rPr>
          <w:b/>
          <w:color w:val="000000"/>
          <w:sz w:val="36"/>
          <w:szCs w:val="36"/>
        </w:rPr>
        <w:t xml:space="preserve">第七章</w:t>
      </w:r>
      <w:r>
        <w:rPr>
          <w:rFonts w:hint="eastAsia"/>
          <w:b/>
          <w:color w:val="000000"/>
          <w:sz w:val="36"/>
          <w:szCs w:val="36"/>
        </w:rPr>
        <w:t xml:space="preserve">   投标文件的组成及提交须知</w:t>
      </w:r>
      <w:r/>
    </w:p>
    <w:tbl>
      <w:tblPr>
        <w:tblStyle w:val="737"/>
        <w:tblW w:w="89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5341"/>
      </w:tblGrid>
      <w:tr>
        <w:trPr>
          <w:jc w:val="center"/>
          <w:trHeight w:val="396"/>
        </w:trPr>
        <w:tc>
          <w:tcPr>
            <w:tcW w:w="1150" w:type="dxa"/>
            <w:vAlign w:val="center"/>
            <w:textDirection w:val="lrTb"/>
            <w:noWrap w:val="false"/>
          </w:tcPr>
          <w:p>
            <w:pPr>
              <w:jc w:val="center"/>
              <w:rPr>
                <w:rFonts w:hint="eastAsia" w:ascii="宋体" w:hAnsi="宋体" w:cs="宋体"/>
                <w:b/>
                <w:color w:val="000000"/>
                <w:szCs w:val="21"/>
              </w:rPr>
            </w:pPr>
            <w:r/>
            <w:bookmarkStart w:id="306" w:name="_Hlk152937762"/>
            <w:r>
              <w:rPr>
                <w:rFonts w:hint="eastAsia" w:ascii="宋体" w:hAnsi="宋体" w:cs="宋体"/>
                <w:b/>
                <w:color w:val="000000"/>
                <w:szCs w:val="21"/>
                <w:lang w:bidi="ar"/>
              </w:rPr>
              <w:t xml:space="preserve">名称</w:t>
            </w:r>
            <w:r/>
          </w:p>
        </w:tc>
        <w:tc>
          <w:tcPr>
            <w:tcW w:w="2502" w:type="dxa"/>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t xml:space="preserve">类别</w:t>
            </w:r>
            <w:r/>
          </w:p>
        </w:tc>
        <w:tc>
          <w:tcPr>
            <w:tcW w:w="5341" w:type="dxa"/>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lang w:bidi="ar"/>
              </w:rPr>
              <w:t xml:space="preserve">相应内容</w:t>
            </w:r>
            <w:r/>
          </w:p>
        </w:tc>
      </w:tr>
      <w:tr>
        <w:trPr>
          <w:jc w:val="center"/>
          <w:trHeight w:val="215"/>
        </w:trPr>
        <w:tc>
          <w:tcPr>
            <w:tcW w:w="1150" w:type="dxa"/>
            <w:vAlign w:val="center"/>
            <w:vMerge w:val="restart"/>
            <w:textDirection w:val="lrTb"/>
            <w:noWrap w:val="false"/>
          </w:tcPr>
          <w:p>
            <w:pPr>
              <w:ind w:left="211" w:hanging="211"/>
              <w:rPr>
                <w:rFonts w:hint="eastAsia" w:ascii="宋体" w:hAnsi="宋体" w:cs="宋体"/>
                <w:color w:val="000000"/>
                <w:szCs w:val="21"/>
              </w:rPr>
            </w:pPr>
            <w:r>
              <w:rPr>
                <w:rFonts w:hint="eastAsia" w:ascii="宋体" w:hAnsi="宋体" w:cs="宋体"/>
                <w:b/>
                <w:color w:val="000000"/>
                <w:szCs w:val="21"/>
                <w:lang w:bidi="ar"/>
              </w:rPr>
              <w:t xml:space="preserve">投标文件组成</w:t>
            </w:r>
            <w:r/>
          </w:p>
        </w:tc>
        <w:tc>
          <w:tcPr>
            <w:tcW w:w="2502"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基本目录</w:t>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投标文件封面</w:t>
            </w:r>
            <w:r/>
          </w:p>
        </w:tc>
      </w:tr>
      <w:tr>
        <w:trPr>
          <w:jc w:val="center"/>
          <w:trHeight w:val="237"/>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*开标一览表</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项目实施方案</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基本服务承诺书</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认为需要提供的其他证明材料</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资格条件</w:t>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△营业执照或事业单位法人证书</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b/>
                <w:bCs/>
                <w:color w:val="000000"/>
                <w:szCs w:val="21"/>
              </w:rPr>
            </w:pPr>
            <w:r>
              <w:rPr>
                <w:rFonts w:hint="eastAsia" w:ascii="宋体" w:hAnsi="宋体" w:cs="宋体"/>
                <w:color w:val="000000"/>
                <w:szCs w:val="21"/>
              </w:rPr>
              <w:t xml:space="preserve">△法人授权书</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p>
        </w:tc>
      </w:tr>
      <w:tr>
        <w:trPr>
          <w:jc w:val="center"/>
          <w:trHeight w:val="285"/>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jc w:val="center"/>
              <w:rPr>
                <w:rFonts w:hint="eastAsia" w:ascii="宋体" w:hAnsi="宋体" w:cs="宋体"/>
                <w:b/>
                <w:bCs/>
                <w:color w:val="000000"/>
                <w:szCs w:val="21"/>
                <w:lang w:bidi="ar"/>
              </w:rPr>
            </w:pPr>
            <w:r>
              <w:rPr>
                <w:rFonts w:hint="eastAsia" w:ascii="宋体" w:hAnsi="宋体" w:cs="宋体"/>
                <w:b/>
                <w:bCs/>
                <w:color w:val="000000"/>
                <w:szCs w:val="21"/>
                <w:lang w:bidi="ar"/>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△信用承诺书</w:t>
            </w:r>
            <w:r/>
          </w:p>
        </w:tc>
      </w:tr>
      <w:tr>
        <w:trPr>
          <w:jc w:val="center"/>
          <w:trHeight w:val="275"/>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△资格承诺声明函</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如采购公告中明确专门面向中小/小微企业采购，须按要求提供中小企业声明函</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△联合体协议（如有）</w:t>
            </w:r>
            <w:r/>
          </w:p>
        </w:tc>
      </w:tr>
      <w:tr>
        <w:trPr>
          <w:jc w:val="center"/>
          <w:trHeight w:val="315"/>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jc w:val="center"/>
              <w:rPr>
                <w:rFonts w:hint="eastAsia" w:ascii="宋体" w:hAnsi="宋体" w:cs="宋体"/>
                <w:b/>
                <w:bCs/>
                <w:color w:val="000000"/>
                <w:szCs w:val="21"/>
                <w:lang w:bidi="ar"/>
              </w:rPr>
            </w:pPr>
            <w:r>
              <w:rPr>
                <w:rFonts w:hint="eastAsia" w:ascii="宋体" w:hAnsi="宋体" w:cs="宋体"/>
                <w:b/>
                <w:bCs/>
                <w:color w:val="000000"/>
                <w:szCs w:val="21"/>
                <w:lang w:bidi="ar"/>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符合条件</w:t>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*报价明细表</w:t>
            </w:r>
            <w:r/>
          </w:p>
        </w:tc>
      </w:tr>
      <w:tr>
        <w:trPr>
          <w:jc w:val="center"/>
          <w:trHeight w:val="280"/>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ind w:firstLine="422"/>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*投标（响应）函</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534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采购需求</w:t>
            </w:r>
            <w:r>
              <w:rPr>
                <w:rFonts w:hint="eastAsia" w:ascii="宋体" w:hAnsi="宋体" w:cs="宋体"/>
                <w:color w:val="000000"/>
                <w:szCs w:val="21"/>
              </w:rPr>
              <w:t xml:space="preserve">偏离表</w:t>
            </w:r>
            <w:r/>
          </w:p>
        </w:tc>
      </w:tr>
      <w:tr>
        <w:trPr>
          <w:jc w:val="center"/>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5341" w:type="dxa"/>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*投标（响应）文件有效性(根据采购文件要求填写,如采购文件无相关要求,此条可不填写)</w:t>
            </w:r>
            <w:r/>
          </w:p>
        </w:tc>
      </w:tr>
      <w:tr>
        <w:trPr>
          <w:jc w:val="center"/>
          <w:trHeight w:val="533"/>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textDirection w:val="lrTb"/>
            <w:noWrap w:val="false"/>
          </w:tcPr>
          <w:p>
            <w:pPr>
              <w:ind w:firstLine="422"/>
              <w:rPr>
                <w:rFonts w:hint="eastAsia" w:ascii="宋体" w:hAnsi="宋体" w:cs="宋体"/>
                <w:b/>
                <w:bCs/>
                <w:color w:val="000000"/>
                <w:szCs w:val="21"/>
              </w:rPr>
            </w:pPr>
            <w:r>
              <w:rPr>
                <w:rFonts w:hint="eastAsia" w:ascii="宋体" w:hAnsi="宋体" w:cs="宋体"/>
                <w:b/>
                <w:bCs/>
                <w:color w:val="000000"/>
                <w:szCs w:val="21"/>
              </w:rPr>
              <w:t xml:space="preserve">综合评审评分项</w:t>
            </w:r>
            <w:r/>
          </w:p>
        </w:tc>
        <w:tc>
          <w:tcPr>
            <w:tcW w:w="5341" w:type="dxa"/>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502" w:type="dxa"/>
            <w:textDirection w:val="lrTb"/>
            <w:noWrap w:val="false"/>
          </w:tcPr>
          <w:p>
            <w:pPr>
              <w:ind w:firstLine="211"/>
              <w:rPr>
                <w:rFonts w:hint="eastAsia" w:ascii="宋体" w:hAnsi="宋体" w:cs="宋体"/>
                <w:b/>
                <w:bCs/>
                <w:color w:val="000000"/>
                <w:szCs w:val="21"/>
              </w:rPr>
            </w:pPr>
            <w:r>
              <w:rPr>
                <w:rFonts w:hint="eastAsia" w:ascii="宋体" w:hAnsi="宋体" w:cs="宋体"/>
                <w:b/>
                <w:bCs/>
                <w:color w:val="000000"/>
                <w:szCs w:val="21"/>
              </w:rPr>
              <w:t xml:space="preserve">价格折扣文件格式</w:t>
            </w:r>
            <w:r/>
          </w:p>
        </w:tc>
        <w:tc>
          <w:tcPr>
            <w:tcW w:w="5341" w:type="dxa"/>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企业报价折扣证明（</w:t>
            </w: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hint="eastAsia" w:ascii="宋体" w:hAnsi="宋体" w:cs="宋体"/>
                <w:color w:val="000000"/>
                <w:szCs w:val="21"/>
              </w:rPr>
              <w:t xml:space="preserve">）</w:t>
            </w:r>
            <w:r/>
          </w:p>
        </w:tc>
      </w:tr>
      <w:tr>
        <w:trPr>
          <w:jc w:val="center"/>
          <w:trHeight w:val="4370"/>
        </w:trPr>
        <w:tc>
          <w:tcPr>
            <w:tcW w:w="1150" w:type="dxa"/>
            <w:vAlign w:val="center"/>
            <w:textDirection w:val="lrTb"/>
            <w:noWrap w:val="false"/>
          </w:tcPr>
          <w:p>
            <w:pPr>
              <w:rPr>
                <w:rFonts w:hint="eastAsia" w:ascii="宋体" w:hAnsi="宋体" w:cs="宋体"/>
                <w:b/>
                <w:color w:val="000000"/>
                <w:szCs w:val="21"/>
              </w:rPr>
            </w:pPr>
            <w:r>
              <w:rPr>
                <w:rFonts w:hint="eastAsia" w:ascii="宋体" w:hAnsi="宋体" w:cs="宋体"/>
                <w:b/>
                <w:color w:val="000000"/>
                <w:szCs w:val="21"/>
                <w:lang w:bidi="ar"/>
              </w:rPr>
              <w:t xml:space="preserve">响应文件提交须知</w:t>
            </w:r>
            <w:r/>
          </w:p>
          <w:p>
            <w:pPr>
              <w:rPr>
                <w:rFonts w:hint="eastAsia" w:ascii="宋体" w:hAnsi="宋体" w:cs="宋体"/>
                <w:color w:val="000000"/>
                <w:szCs w:val="21"/>
              </w:rPr>
            </w:pPr>
            <w:r>
              <w:rPr>
                <w:rFonts w:hint="eastAsia" w:ascii="宋体" w:hAnsi="宋体" w:cs="宋体"/>
                <w:color w:val="000000"/>
                <w:szCs w:val="21"/>
              </w:rPr>
            </w:r>
            <w:r/>
          </w:p>
        </w:tc>
        <w:tc>
          <w:tcPr>
            <w:gridSpan w:val="2"/>
            <w:tcW w:w="7843" w:type="dxa"/>
            <w:vAlign w:val="center"/>
            <w:textDirection w:val="lrTb"/>
            <w:noWrap w:val="false"/>
          </w:tcPr>
          <w:p>
            <w:pPr>
              <w:jc w:val="left"/>
              <w:keepNext/>
              <w:spacing w:line="300" w:lineRule="auto"/>
              <w:rPr>
                <w:rFonts w:hint="eastAsia"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300" w:lineRule="auto"/>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p>
          <w:p>
            <w:pPr>
              <w:jc w:val="left"/>
              <w:keepNext/>
              <w:spacing w:line="300" w:lineRule="auto"/>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300" w:lineRule="auto"/>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4.投标文件应按照采购文件要求的格式填写，无相应内容填写可填写“无”等明确的回答。</w:t>
            </w:r>
            <w:r/>
          </w:p>
          <w:p>
            <w:pPr>
              <w:jc w:val="left"/>
              <w:keepNext/>
              <w:spacing w:line="300" w:lineRule="auto"/>
              <w:rPr>
                <w:rFonts w:hint="eastAsia" w:ascii="宋体" w:hAnsi="宋体" w:cs="宋体"/>
                <w:b/>
                <w:color w:val="000000"/>
                <w:szCs w:val="21"/>
              </w:rPr>
              <w:outlineLvl w:val="0"/>
            </w:pPr>
            <w:r>
              <w:rPr>
                <w:rFonts w:hint="eastAsia" w:ascii="宋体" w:hAnsi="宋体" w:cs="宋体"/>
                <w:b/>
                <w:bCs/>
                <w:color w:val="000000"/>
                <w:szCs w:val="21"/>
                <w:u w:val="single"/>
                <w:lang w:bidi="ar"/>
              </w:rPr>
              <w:t xml:space="preserve">5.投标文件所附格式中要求填写的全部信息都必须正面回答并保证是真实准确的。</w:t>
            </w:r>
            <w:bookmarkEnd w:id="306"/>
            <w:r/>
            <w:r/>
          </w:p>
        </w:tc>
      </w:tr>
    </w:tbl>
    <w:p>
      <w:pPr>
        <w:spacing w:line="360" w:lineRule="auto"/>
        <w:rPr>
          <w:b/>
          <w:color w:val="000000"/>
          <w:sz w:val="36"/>
          <w:szCs w:val="36"/>
        </w:rPr>
        <w:outlineLvl w:val="0"/>
      </w:pPr>
      <w:r>
        <w:rPr>
          <w:b/>
          <w:color w:val="000000"/>
          <w:sz w:val="36"/>
          <w:szCs w:val="36"/>
        </w:rPr>
      </w:r>
      <w:r/>
    </w:p>
    <w:p>
      <w:pPr>
        <w:jc w:val="center"/>
        <w:spacing w:line="360" w:lineRule="auto"/>
        <w:rPr>
          <w:b/>
          <w:color w:val="000000"/>
          <w:sz w:val="24"/>
        </w:rPr>
        <w:outlineLvl w:val="0"/>
      </w:pPr>
      <w:r>
        <w:rPr>
          <w:b/>
          <w:color w:val="000000"/>
          <w:sz w:val="36"/>
          <w:szCs w:val="36"/>
        </w:rPr>
        <w:br w:type="page" w:clear="all"/>
      </w:r>
      <w:r>
        <w:rPr>
          <w:b/>
          <w:color w:val="000000"/>
          <w:sz w:val="36"/>
          <w:szCs w:val="36"/>
        </w:rPr>
        <w:t xml:space="preserve">第</w:t>
      </w:r>
      <w:r>
        <w:rPr>
          <w:rFonts w:hint="eastAsia"/>
          <w:b/>
          <w:color w:val="000000"/>
          <w:sz w:val="36"/>
          <w:szCs w:val="36"/>
        </w:rPr>
        <w:t xml:space="preserve">八</w:t>
      </w:r>
      <w:r>
        <w:rPr>
          <w:b/>
          <w:color w:val="000000"/>
          <w:sz w:val="36"/>
          <w:szCs w:val="36"/>
        </w:rPr>
        <w:t xml:space="preserve">章   投标文件格式</w:t>
      </w:r>
      <w:bookmarkEnd w:id="305"/>
      <w:r/>
      <w:r/>
    </w:p>
    <w:p>
      <w:pPr>
        <w:ind w:left="142"/>
        <w:spacing w:line="360" w:lineRule="auto"/>
        <w:tabs>
          <w:tab w:val="left" w:pos="900" w:leader="none"/>
          <w:tab w:val="left" w:pos="1980" w:leader="none"/>
        </w:tabs>
        <w:rPr>
          <w:color w:val="000000"/>
          <w:sz w:val="24"/>
        </w:rPr>
      </w:pPr>
      <w:r>
        <w:rPr>
          <w:b/>
          <w:color w:val="000000"/>
          <w:sz w:val="24"/>
        </w:rPr>
        <w:t xml:space="preserve">投标人编制文件须知</w:t>
      </w:r>
      <w:r/>
    </w:p>
    <w:p>
      <w:pPr>
        <w:ind w:left="142"/>
        <w:spacing w:line="360" w:lineRule="auto"/>
        <w:tabs>
          <w:tab w:val="left" w:pos="900" w:leader="none"/>
          <w:tab w:val="left" w:pos="1980" w:leader="none"/>
        </w:tabs>
        <w:rPr>
          <w:color w:val="000000"/>
          <w:sz w:val="24"/>
        </w:rPr>
      </w:pPr>
      <w:r>
        <w:rPr>
          <w:color w:val="000000"/>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sz w:val="24"/>
        </w:rPr>
      </w:pPr>
      <w:r>
        <w:rPr>
          <w:color w:val="000000"/>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rPr>
        <w:t xml:space="preserve">投标无效</w:t>
      </w:r>
      <w:r>
        <w:rPr>
          <w:color w:val="000000"/>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投标文件编制工具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jc w:val="left"/>
        <w:widowControl/>
        <w:rPr>
          <w:color w:val="000000"/>
          <w:sz w:val="24"/>
        </w:rPr>
      </w:pPr>
      <w:r>
        <w:rPr>
          <w:color w:val="000000"/>
          <w:sz w:val="24"/>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ind w:firstLine="2529"/>
        <w:rPr>
          <w:b/>
          <w:color w:val="000000"/>
          <w:sz w:val="32"/>
          <w:szCs w:val="32"/>
        </w:rPr>
      </w:pPr>
      <w:r>
        <w:rPr>
          <w:b/>
          <w:color w:val="000000"/>
          <w:spacing w:val="20"/>
          <w:sz w:val="32"/>
          <w:szCs w:val="32"/>
        </w:rPr>
        <w:t xml:space="preserve">一</w:t>
      </w:r>
      <w:r>
        <w:rPr>
          <w:rFonts w:hint="eastAsia"/>
          <w:b/>
          <w:color w:val="000000"/>
          <w:spacing w:val="20"/>
          <w:sz w:val="32"/>
          <w:szCs w:val="32"/>
        </w:rPr>
        <w:t xml:space="preserve">、</w:t>
      </w:r>
      <w:r>
        <w:rPr>
          <w:b/>
          <w:color w:val="000000"/>
          <w:spacing w:val="20"/>
          <w:sz w:val="32"/>
          <w:szCs w:val="32"/>
        </w:rPr>
        <w:t xml:space="preserve">投标文件</w:t>
      </w:r>
      <w:r>
        <w:rPr>
          <w:b/>
          <w:color w:val="000000"/>
          <w:sz w:val="32"/>
          <w:szCs w:val="32"/>
        </w:rPr>
        <w:t xml:space="preserve">封面</w:t>
      </w:r>
      <w:r/>
    </w:p>
    <w:p>
      <w:pPr>
        <w:jc w:val="center"/>
        <w:rPr>
          <w:color w:val="000000"/>
          <w:szCs w:val="21"/>
        </w:rPr>
      </w:pPr>
      <w:r>
        <w:rPr>
          <w:color w:val="000000"/>
          <w:szCs w:val="21"/>
        </w:rPr>
      </w:r>
      <w:r/>
    </w:p>
    <w:p>
      <w:pPr>
        <w:jc w:val="center"/>
        <w:rPr>
          <w:b/>
          <w:color w:val="000000"/>
          <w:spacing w:val="60"/>
          <w:sz w:val="84"/>
          <w:szCs w:val="84"/>
        </w:rPr>
      </w:pPr>
      <w:r>
        <w:rPr>
          <w:b/>
          <w:color w:val="000000"/>
          <w:spacing w:val="60"/>
          <w:sz w:val="84"/>
          <w:szCs w:val="84"/>
        </w:rPr>
      </w:r>
      <w:r/>
    </w:p>
    <w:p>
      <w:pPr>
        <w:jc w:val="center"/>
        <w:rPr>
          <w:b/>
          <w:color w:val="000000"/>
          <w:spacing w:val="60"/>
          <w:sz w:val="84"/>
          <w:szCs w:val="84"/>
        </w:rPr>
      </w:pPr>
      <w:r>
        <w:rPr>
          <w:b/>
          <w:color w:val="000000"/>
          <w:spacing w:val="60"/>
          <w:sz w:val="84"/>
          <w:szCs w:val="84"/>
        </w:rPr>
      </w:r>
      <w:r/>
    </w:p>
    <w:p>
      <w:pPr>
        <w:jc w:val="center"/>
        <w:rPr>
          <w:b/>
          <w:color w:val="000000"/>
          <w:spacing w:val="60"/>
          <w:sz w:val="84"/>
          <w:szCs w:val="84"/>
        </w:rPr>
      </w:pPr>
      <w:r>
        <w:rPr>
          <w:b/>
          <w:color w:val="000000"/>
          <w:spacing w:val="60"/>
          <w:sz w:val="84"/>
          <w:szCs w:val="84"/>
        </w:rPr>
        <w:t xml:space="preserve">投 标 文 件</w:t>
      </w:r>
      <w:r/>
    </w:p>
    <w:p>
      <w:pPr>
        <w:ind w:firstLine="963"/>
        <w:rPr>
          <w:b/>
          <w:color w:val="000000"/>
          <w:spacing w:val="60"/>
          <w:sz w:val="52"/>
          <w:szCs w:val="52"/>
        </w:rPr>
      </w:pPr>
      <w:r>
        <w:rPr>
          <w:b/>
          <w:color w:val="000000"/>
          <w:spacing w:val="60"/>
          <w:sz w:val="52"/>
          <w:szCs w:val="52"/>
        </w:rPr>
      </w:r>
      <w:r/>
    </w:p>
    <w:p>
      <w:pPr>
        <w:ind w:firstLine="963"/>
        <w:rPr>
          <w:b/>
          <w:color w:val="000000"/>
          <w:spacing w:val="60"/>
          <w:sz w:val="52"/>
          <w:szCs w:val="52"/>
        </w:rPr>
      </w:pPr>
      <w:r>
        <w:rPr>
          <w:b/>
          <w:color w:val="000000"/>
          <w:spacing w:val="60"/>
          <w:sz w:val="52"/>
          <w:szCs w:val="52"/>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1446"/>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446"/>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spacing w:line="360" w:lineRule="auto"/>
        <w:rPr>
          <w:rFonts w:hint="eastAsia" w:ascii="宋体" w:hAnsi="宋体"/>
          <w:b/>
          <w:color w:val="000000"/>
          <w:sz w:val="36"/>
          <w:u w:val="single"/>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投标人名称 ：</w:t>
      </w:r>
      <w:r>
        <w:rPr>
          <w:rFonts w:hint="eastAsia" w:ascii="宋体" w:hAnsi="宋体"/>
          <w:b/>
          <w:color w:val="000000"/>
          <w:sz w:val="36"/>
          <w:szCs w:val="21"/>
          <w:u w:val="single"/>
        </w:rPr>
        <w:t xml:space="preserve">（加盖CA电子公章）</w:t>
      </w:r>
      <w:r/>
    </w:p>
    <w:p>
      <w:pPr>
        <w:spacing w:line="360" w:lineRule="auto"/>
        <w:rPr>
          <w:rFonts w:hint="eastAsia" w:ascii="宋体" w:hAnsi="宋体"/>
          <w:b/>
          <w:color w:val="000000"/>
          <w:sz w:val="36"/>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日      期 ：</w:t>
      </w:r>
      <w:r>
        <w:rPr>
          <w:rFonts w:hint="eastAsia" w:ascii="宋体" w:hAnsi="宋体"/>
          <w:b/>
          <w:color w:val="000000"/>
          <w:sz w:val="36"/>
          <w:u w:val="single"/>
        </w:rPr>
        <w:t xml:space="preserve">               </w:t>
      </w:r>
      <w:r/>
    </w:p>
    <w:p>
      <w:pPr>
        <w:jc w:val="center"/>
        <w:spacing w:line="360" w:lineRule="auto"/>
        <w:rPr>
          <w:b/>
          <w:color w:val="000000"/>
          <w:sz w:val="32"/>
          <w:szCs w:val="32"/>
        </w:rPr>
      </w:pPr>
      <w:r>
        <w:rPr>
          <w:b/>
          <w:color w:val="000000"/>
          <w:sz w:val="32"/>
          <w:szCs w:val="32"/>
        </w:rPr>
      </w:r>
      <w:r/>
    </w:p>
    <w:p>
      <w:pPr>
        <w:ind w:firstLine="1806"/>
        <w:spacing w:line="360" w:lineRule="auto"/>
        <w:rPr>
          <w:b/>
          <w:color w:val="000000"/>
          <w:spacing w:val="20"/>
          <w:sz w:val="32"/>
          <w:szCs w:val="32"/>
        </w:rPr>
      </w:pPr>
      <w:r>
        <w:rPr>
          <w:b/>
          <w:color w:val="000000"/>
          <w:spacing w:val="20"/>
          <w:sz w:val="32"/>
          <w:szCs w:val="32"/>
        </w:rPr>
        <w:br w:type="page" w:clear="all"/>
      </w:r>
      <w:r>
        <w:rPr>
          <w:rFonts w:hint="eastAsia"/>
          <w:b/>
          <w:color w:val="000000"/>
          <w:spacing w:val="20"/>
          <w:sz w:val="32"/>
          <w:szCs w:val="32"/>
        </w:rPr>
        <w:t xml:space="preserve">二、开标</w:t>
      </w:r>
      <w:r>
        <w:rPr>
          <w:b/>
          <w:color w:val="000000"/>
          <w:spacing w:val="20"/>
          <w:sz w:val="32"/>
          <w:szCs w:val="32"/>
        </w:rPr>
        <w:t xml:space="preserve">一览表（实质性格式）</w:t>
      </w:r>
      <w:r/>
    </w:p>
    <w:p>
      <w:pPr>
        <w:pStyle w:val="744"/>
        <w:ind w:firstLine="482"/>
        <w:jc w:val="center"/>
        <w:spacing w:line="360" w:lineRule="auto"/>
        <w:rPr>
          <w:rFonts w:hint="eastAsia"/>
          <w:b/>
          <w:color w:val="000000"/>
        </w:rPr>
      </w:pPr>
      <w:r>
        <w:rPr>
          <w:rFonts w:hint="eastAsia"/>
          <w:b/>
          <w:color w:val="000000"/>
        </w:rPr>
        <w:t xml:space="preserve">（一）投标人在提交投标文件时，应按照投标工具（苏采云客户端）的提示流程编制提交开标一览表，开标一览表格式以投标工具中的为准。</w:t>
      </w:r>
      <w:r/>
    </w:p>
    <w:p>
      <w:pPr>
        <w:pStyle w:val="744"/>
        <w:ind w:firstLine="482"/>
        <w:jc w:val="center"/>
        <w:spacing w:line="360" w:lineRule="auto"/>
        <w:rPr>
          <w:rFonts w:hint="eastAsia"/>
          <w:b/>
          <w:color w:val="000000"/>
        </w:rPr>
      </w:pPr>
      <w:r>
        <w:rPr>
          <w:rFonts w:hint="eastAsia"/>
          <w:b/>
          <w:color w:val="000000"/>
        </w:rPr>
        <w:br w:type="page" w:clear="all"/>
      </w:r>
      <w:r>
        <w:rPr>
          <w:rFonts w:hint="eastAsia"/>
          <w:b/>
          <w:color w:val="000000"/>
          <w:spacing w:val="20"/>
          <w:sz w:val="32"/>
          <w:szCs w:val="32"/>
        </w:rPr>
        <w:t xml:space="preserve">三、报价明细表</w:t>
      </w:r>
      <w:r>
        <w:rPr>
          <w:b/>
          <w:color w:val="000000"/>
          <w:spacing w:val="20"/>
          <w:sz w:val="32"/>
          <w:szCs w:val="32"/>
        </w:rPr>
        <w:t xml:space="preserve">（实质性格式）</w:t>
      </w:r>
      <w:r/>
    </w:p>
    <w:p>
      <w:pPr>
        <w:ind w:firstLine="720"/>
        <w:tabs>
          <w:tab w:val="left" w:pos="1800" w:leader="none"/>
          <w:tab w:val="left" w:pos="5580" w:leader="none"/>
        </w:tabs>
        <w:rPr>
          <w:color w:val="000000"/>
          <w:sz w:val="24"/>
        </w:rPr>
      </w:pPr>
      <w:r>
        <w:rPr>
          <w:color w:val="000000"/>
          <w:sz w:val="24"/>
        </w:rPr>
        <w:t xml:space="preserve">项目编号：___________ 项目名称：__________报价单位：人民币元</w:t>
      </w:r>
      <w:r/>
    </w:p>
    <w:p>
      <w:pPr>
        <w:ind w:firstLine="720"/>
        <w:tabs>
          <w:tab w:val="left" w:pos="1800" w:leader="none"/>
          <w:tab w:val="left" w:pos="5580" w:leader="none"/>
        </w:tabs>
        <w:rPr>
          <w:color w:val="000000"/>
          <w:sz w:val="24"/>
        </w:rPr>
      </w:pPr>
      <w:r>
        <w:rPr>
          <w:color w:val="000000"/>
          <w:sz w:val="24"/>
        </w:rPr>
      </w:r>
      <w:r/>
    </w:p>
    <w:tbl>
      <w:tblPr>
        <w:tblStyle w:val="737"/>
        <w:tblW w:w="934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8"/>
        <w:gridCol w:w="1427"/>
        <w:gridCol w:w="3534"/>
        <w:gridCol w:w="985"/>
        <w:gridCol w:w="1134"/>
        <w:gridCol w:w="851"/>
        <w:gridCol w:w="850"/>
      </w:tblGrid>
      <w:tr>
        <w:trPr>
          <w:jc w:val="center"/>
          <w:trHeight w:val="505"/>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分项报价</w:t>
            </w:r>
            <w:r/>
          </w:p>
        </w:tc>
        <w:tc>
          <w:tcPr>
            <w:tcBorders>
              <w:top w:val="single" w:color="auto" w:sz="4" w:space="0"/>
              <w:left w:val="single" w:color="auto" w:sz="4" w:space="0"/>
              <w:bottom w:val="single" w:color="auto" w:sz="4" w:space="0"/>
              <w:right w:val="single" w:color="auto" w:sz="4" w:space="0"/>
            </w:tcBorders>
            <w:tcW w:w="3534"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服务内容及技术参数</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单位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数量</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单价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合价</w:t>
            </w:r>
            <w:r/>
          </w:p>
        </w:tc>
      </w:tr>
      <w:tr>
        <w:trPr>
          <w:jc w:val="center"/>
          <w:trHeight w:val="533"/>
        </w:trPr>
        <w:tc>
          <w:tcPr>
            <w:tcBorders>
              <w:top w:val="single" w:color="auto" w:sz="4" w:space="0"/>
              <w:left w:val="single" w:color="000000" w:sz="8" w:space="0"/>
              <w:bottom w:val="single" w:color="000000" w:sz="8" w:space="0"/>
              <w:right w:val="single" w:color="000000" w:sz="8" w:space="0"/>
            </w:tcBorders>
            <w:tcW w:w="568"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1</w:t>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前场设备  电费</w:t>
            </w:r>
            <w:r/>
          </w:p>
        </w:tc>
        <w:tc>
          <w:tcPr>
            <w:tcBorders>
              <w:top w:val="single" w:color="auto" w:sz="4" w:space="0"/>
              <w:left w:val="single" w:color="000000" w:sz="8" w:space="0"/>
              <w:right w:val="single" w:color="000000" w:sz="8" w:space="0"/>
            </w:tcBorders>
            <w:tcW w:w="3534" w:type="dxa"/>
            <w:vAlign w:val="center"/>
            <w:textDirection w:val="lrTb"/>
            <w:noWrap w:val="false"/>
          </w:tcPr>
          <w:p>
            <w:pPr>
              <w:ind w:right="134"/>
              <w:jc w:val="left"/>
              <w:spacing w:before="45"/>
              <w:rPr>
                <w:rFonts w:hint="eastAsia" w:ascii="宋体" w:hAnsi="宋体"/>
                <w:sz w:val="24"/>
              </w:rPr>
            </w:pPr>
            <w:r>
              <w:rPr>
                <w:rFonts w:hint="eastAsia" w:ascii="宋体" w:hAnsi="宋体"/>
                <w:sz w:val="24"/>
              </w:rPr>
              <w:t xml:space="preserve">维保时间一年，服务要求见采购需求</w:t>
            </w:r>
            <w:r/>
          </w:p>
        </w:tc>
        <w:tc>
          <w:tcPr>
            <w:tcBorders>
              <w:top w:val="none" w:color="000000" w:sz="4" w:space="0"/>
              <w:left w:val="none" w:color="000000" w:sz="4" w:space="0"/>
              <w:bottom w:val="single" w:color="000000" w:sz="8" w:space="0"/>
              <w:right w:val="single" w:color="000000" w:sz="8" w:space="0"/>
            </w:tcBorders>
            <w:tcW w:w="985"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点/年</w:t>
            </w:r>
            <w:r/>
          </w:p>
        </w:tc>
        <w:tc>
          <w:tcPr>
            <w:tcBorders>
              <w:top w:val="single" w:color="auto" w:sz="4" w:space="0"/>
              <w:left w:val="none" w:color="000000" w:sz="4" w:space="0"/>
              <w:bottom w:val="single" w:color="000000" w:sz="8" w:space="0"/>
              <w:right w:val="single" w:color="000000" w:sz="8" w:space="0"/>
            </w:tcBorders>
            <w:tcW w:w="1134"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2505</w:t>
            </w:r>
            <w:r/>
          </w:p>
        </w:tc>
        <w:tc>
          <w:tcPr>
            <w:tcBorders>
              <w:top w:val="single" w:color="auto" w:sz="4" w:space="0"/>
              <w:left w:val="single" w:color="000000" w:sz="8" w:space="0"/>
              <w:bottom w:val="single" w:color="000000" w:sz="6" w:space="0"/>
            </w:tcBorders>
            <w:tcW w:w="851" w:type="dxa"/>
            <w:vAlign w:val="center"/>
            <w:textDirection w:val="lrTb"/>
            <w:noWrap w:val="false"/>
          </w:tcPr>
          <w:p>
            <w:pPr>
              <w:ind w:right="134"/>
              <w:jc w:val="left"/>
              <w:spacing w:before="45"/>
              <w:rPr>
                <w:rFonts w:hint="eastAsia" w:ascii="宋体" w:hAnsi="宋体"/>
                <w:sz w:val="24"/>
              </w:rPr>
            </w:pPr>
            <w:r>
              <w:rPr>
                <w:rFonts w:hint="eastAsia" w:ascii="宋体" w:hAnsi="宋体"/>
                <w:sz w:val="24"/>
              </w:rPr>
            </w:r>
            <w:r/>
          </w:p>
        </w:tc>
        <w:tc>
          <w:tcPr>
            <w:tcBorders>
              <w:top w:val="single" w:color="auto" w:sz="4" w:space="0"/>
              <w:left w:val="single" w:color="000000" w:sz="8" w:space="0"/>
              <w:bottom w:val="single" w:color="000000" w:sz="6" w:space="0"/>
            </w:tcBorders>
            <w:tcW w:w="850" w:type="dxa"/>
            <w:vAlign w:val="center"/>
            <w:textDirection w:val="lrTb"/>
            <w:noWrap w:val="false"/>
          </w:tcPr>
          <w:p>
            <w:pPr>
              <w:ind w:right="134"/>
              <w:jc w:val="left"/>
              <w:spacing w:before="45"/>
              <w:rPr>
                <w:rFonts w:hint="eastAsia" w:ascii="宋体" w:hAnsi="宋体"/>
                <w:sz w:val="24"/>
              </w:rPr>
            </w:pPr>
            <w:r>
              <w:rPr>
                <w:rFonts w:hint="eastAsia" w:ascii="宋体" w:hAnsi="宋体"/>
                <w:sz w:val="24"/>
              </w:rPr>
            </w:r>
            <w:r/>
          </w:p>
        </w:tc>
      </w:tr>
      <w:tr>
        <w:trPr>
          <w:jc w:val="center"/>
          <w:trHeight w:val="486"/>
        </w:trPr>
        <w:tc>
          <w:tcPr>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2</w:t>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中心机房   租赁费用</w:t>
            </w:r>
            <w:r/>
          </w:p>
        </w:tc>
        <w:tc>
          <w:tcPr>
            <w:tcBorders>
              <w:left w:val="single" w:color="000000" w:sz="8" w:space="0"/>
              <w:right w:val="single" w:color="000000" w:sz="8" w:space="0"/>
            </w:tcBorders>
            <w:tcW w:w="3534" w:type="dxa"/>
            <w:vAlign w:val="center"/>
            <w:textDirection w:val="lrTb"/>
            <w:noWrap w:val="false"/>
          </w:tcPr>
          <w:p>
            <w:pPr>
              <w:ind w:right="134"/>
              <w:jc w:val="left"/>
              <w:spacing w:before="45"/>
              <w:rPr>
                <w:rFonts w:hint="eastAsia" w:ascii="宋体" w:hAnsi="宋体"/>
                <w:sz w:val="24"/>
              </w:rPr>
            </w:pPr>
            <w:r>
              <w:rPr>
                <w:rFonts w:hint="eastAsia" w:ascii="宋体" w:hAnsi="宋体"/>
                <w:sz w:val="24"/>
              </w:rPr>
              <w:t xml:space="preserve">共22个机柜；维保时间一年，服务要求见采购需求</w:t>
            </w:r>
            <w:r/>
          </w:p>
        </w:tc>
        <w:tc>
          <w:tcPr>
            <w:tcBorders>
              <w:top w:val="none" w:color="000000" w:sz="4" w:space="0"/>
              <w:left w:val="none" w:color="000000" w:sz="4" w:space="0"/>
              <w:bottom w:val="single" w:color="000000" w:sz="8" w:space="0"/>
              <w:right w:val="single" w:color="000000" w:sz="8" w:space="0"/>
            </w:tcBorders>
            <w:tcW w:w="985"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年</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1</w:t>
            </w:r>
            <w:r/>
          </w:p>
        </w:tc>
        <w:tc>
          <w:tcPr>
            <w:tcBorders>
              <w:top w:val="single" w:color="000000" w:sz="6" w:space="0"/>
              <w:left w:val="single" w:color="000000" w:sz="8" w:space="0"/>
              <w:bottom w:val="single" w:color="000000" w:sz="6" w:space="0"/>
            </w:tcBorders>
            <w:tcW w:w="851" w:type="dxa"/>
            <w:vAlign w:val="center"/>
            <w:textDirection w:val="lrTb"/>
            <w:noWrap w:val="false"/>
          </w:tcPr>
          <w:p>
            <w:pPr>
              <w:ind w:right="134"/>
              <w:jc w:val="left"/>
              <w:spacing w:before="45"/>
              <w:rPr>
                <w:rFonts w:hint="eastAsia" w:ascii="宋体" w:hAnsi="宋体"/>
                <w:sz w:val="24"/>
              </w:rPr>
            </w:pPr>
            <w:r>
              <w:rPr>
                <w:rFonts w:hint="eastAsia" w:ascii="宋体" w:hAnsi="宋体"/>
                <w:sz w:val="24"/>
              </w:rPr>
            </w:r>
            <w:r/>
          </w:p>
        </w:tc>
        <w:tc>
          <w:tcPr>
            <w:tcBorders>
              <w:top w:val="single" w:color="000000" w:sz="6" w:space="0"/>
              <w:left w:val="single" w:color="000000" w:sz="8" w:space="0"/>
              <w:bottom w:val="single" w:color="000000" w:sz="6" w:space="0"/>
            </w:tcBorders>
            <w:tcW w:w="850" w:type="dxa"/>
            <w:vAlign w:val="center"/>
            <w:textDirection w:val="lrTb"/>
            <w:noWrap w:val="false"/>
          </w:tcPr>
          <w:p>
            <w:pPr>
              <w:ind w:right="134"/>
              <w:jc w:val="left"/>
              <w:spacing w:before="45"/>
              <w:rPr>
                <w:rFonts w:hint="eastAsia" w:ascii="宋体" w:hAnsi="宋体"/>
                <w:sz w:val="24"/>
              </w:rPr>
            </w:pPr>
            <w:r>
              <w:rPr>
                <w:rFonts w:hint="eastAsia" w:ascii="宋体" w:hAnsi="宋体"/>
                <w:sz w:val="24"/>
              </w:rPr>
            </w:r>
            <w:r/>
          </w:p>
        </w:tc>
      </w:tr>
      <w:tr>
        <w:trPr>
          <w:jc w:val="center"/>
          <w:trHeight w:val="486"/>
        </w:trPr>
        <w:tc>
          <w:tcPr>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3</w:t>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前端监控链路租赁费</w:t>
            </w:r>
            <w:r/>
          </w:p>
        </w:tc>
        <w:tc>
          <w:tcPr>
            <w:tcBorders>
              <w:left w:val="single" w:color="000000" w:sz="8" w:space="0"/>
              <w:right w:val="single" w:color="000000" w:sz="8" w:space="0"/>
            </w:tcBorders>
            <w:tcW w:w="3534" w:type="dxa"/>
            <w:vAlign w:val="center"/>
            <w:textDirection w:val="lrTb"/>
            <w:noWrap w:val="false"/>
          </w:tcPr>
          <w:p>
            <w:pPr>
              <w:ind w:right="134"/>
              <w:jc w:val="left"/>
              <w:spacing w:before="45"/>
              <w:rPr>
                <w:rFonts w:hint="eastAsia" w:ascii="宋体" w:hAnsi="宋体"/>
                <w:sz w:val="24"/>
              </w:rPr>
            </w:pPr>
            <w:r>
              <w:rPr>
                <w:rFonts w:hint="eastAsia" w:ascii="宋体" w:hAnsi="宋体"/>
                <w:sz w:val="24"/>
              </w:rPr>
              <w:t xml:space="preserve">维保时间一年，服务要求见采购需求</w:t>
            </w:r>
            <w:r/>
          </w:p>
        </w:tc>
        <w:tc>
          <w:tcPr>
            <w:tcBorders>
              <w:top w:val="none" w:color="000000" w:sz="4" w:space="0"/>
              <w:left w:val="none" w:color="000000" w:sz="4" w:space="0"/>
              <w:bottom w:val="single" w:color="000000" w:sz="8" w:space="0"/>
              <w:right w:val="single" w:color="000000" w:sz="8" w:space="0"/>
            </w:tcBorders>
            <w:tcW w:w="985"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点/年</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2779</w:t>
            </w:r>
            <w:r/>
          </w:p>
        </w:tc>
        <w:tc>
          <w:tcPr>
            <w:tcBorders>
              <w:top w:val="single" w:color="000000" w:sz="6" w:space="0"/>
              <w:left w:val="single" w:color="000000" w:sz="8" w:space="0"/>
              <w:bottom w:val="single" w:color="000000" w:sz="6" w:space="0"/>
            </w:tcBorders>
            <w:tcW w:w="851" w:type="dxa"/>
            <w:vAlign w:val="center"/>
            <w:textDirection w:val="lrTb"/>
            <w:noWrap w:val="false"/>
          </w:tcPr>
          <w:p>
            <w:pPr>
              <w:ind w:right="134"/>
              <w:jc w:val="left"/>
              <w:spacing w:before="45"/>
              <w:rPr>
                <w:rFonts w:hint="eastAsia" w:ascii="宋体" w:hAnsi="宋体"/>
                <w:sz w:val="24"/>
              </w:rPr>
            </w:pPr>
            <w:r>
              <w:rPr>
                <w:rFonts w:hint="eastAsia" w:ascii="宋体" w:hAnsi="宋体"/>
                <w:sz w:val="24"/>
              </w:rPr>
            </w:r>
            <w:r/>
          </w:p>
        </w:tc>
        <w:tc>
          <w:tcPr>
            <w:tcBorders>
              <w:top w:val="single" w:color="000000" w:sz="6" w:space="0"/>
              <w:left w:val="single" w:color="000000" w:sz="8" w:space="0"/>
              <w:bottom w:val="single" w:color="000000" w:sz="6" w:space="0"/>
            </w:tcBorders>
            <w:tcW w:w="850" w:type="dxa"/>
            <w:vAlign w:val="center"/>
            <w:textDirection w:val="lrTb"/>
            <w:noWrap w:val="false"/>
          </w:tcPr>
          <w:p>
            <w:pPr>
              <w:ind w:right="134"/>
              <w:jc w:val="left"/>
              <w:spacing w:before="45"/>
              <w:rPr>
                <w:rFonts w:hint="eastAsia" w:ascii="宋体" w:hAnsi="宋体"/>
                <w:sz w:val="24"/>
              </w:rPr>
            </w:pPr>
            <w:r>
              <w:rPr>
                <w:rFonts w:hint="eastAsia" w:ascii="宋体" w:hAnsi="宋体"/>
                <w:sz w:val="24"/>
              </w:rPr>
            </w:r>
            <w:r/>
          </w:p>
        </w:tc>
      </w:tr>
      <w:tr>
        <w:trPr>
          <w:jc w:val="center"/>
          <w:trHeight w:val="486"/>
        </w:trPr>
        <w:tc>
          <w:tcPr>
            <w:tcBorders>
              <w:top w:val="none" w:color="000000" w:sz="4" w:space="0"/>
              <w:left w:val="single" w:color="000000" w:sz="8" w:space="0"/>
              <w:bottom w:val="single" w:color="000000" w:sz="8" w:space="0"/>
              <w:right w:val="single" w:color="000000" w:sz="8" w:space="0"/>
            </w:tcBorders>
            <w:tcW w:w="568"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4</w:t>
            </w:r>
            <w:r/>
          </w:p>
        </w:tc>
        <w:tc>
          <w:tcPr>
            <w:tcBorders>
              <w:top w:val="none" w:color="000000" w:sz="4" w:space="0"/>
              <w:left w:val="none" w:color="000000" w:sz="4" w:space="0"/>
              <w:bottom w:val="single" w:color="000000" w:sz="8" w:space="0"/>
              <w:right w:val="single" w:color="000000" w:sz="8" w:space="0"/>
            </w:tcBorders>
            <w:tcW w:w="1427"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前端设备   维护费</w:t>
            </w:r>
            <w:r/>
          </w:p>
        </w:tc>
        <w:tc>
          <w:tcPr>
            <w:tcBorders>
              <w:left w:val="single" w:color="000000" w:sz="8" w:space="0"/>
              <w:bottom w:val="single" w:color="auto" w:sz="4" w:space="0"/>
              <w:right w:val="single" w:color="000000" w:sz="8" w:space="0"/>
            </w:tcBorders>
            <w:tcW w:w="3534" w:type="dxa"/>
            <w:vAlign w:val="center"/>
            <w:textDirection w:val="lrTb"/>
            <w:noWrap w:val="false"/>
          </w:tcPr>
          <w:p>
            <w:pPr>
              <w:ind w:right="134"/>
              <w:jc w:val="left"/>
              <w:spacing w:before="45"/>
              <w:rPr>
                <w:rFonts w:hint="eastAsia" w:ascii="宋体" w:hAnsi="宋体"/>
                <w:sz w:val="24"/>
              </w:rPr>
            </w:pPr>
            <w:r>
              <w:rPr>
                <w:rFonts w:hint="eastAsia" w:ascii="宋体" w:hAnsi="宋体"/>
                <w:sz w:val="24"/>
              </w:rPr>
              <w:t xml:space="preserve">维保时间一年，服务要求见采购需求，包含5%的免费移机费用</w:t>
            </w:r>
            <w:r/>
          </w:p>
        </w:tc>
        <w:tc>
          <w:tcPr>
            <w:tcBorders>
              <w:top w:val="none" w:color="000000" w:sz="4" w:space="0"/>
              <w:left w:val="none" w:color="000000" w:sz="4" w:space="0"/>
              <w:bottom w:val="single" w:color="000000" w:sz="8" w:space="0"/>
              <w:right w:val="single" w:color="000000" w:sz="8" w:space="0"/>
            </w:tcBorders>
            <w:tcW w:w="985"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点/年</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right="134"/>
              <w:jc w:val="center"/>
              <w:spacing w:before="45"/>
              <w:rPr>
                <w:rFonts w:hint="eastAsia" w:ascii="宋体" w:hAnsi="宋体"/>
                <w:sz w:val="24"/>
              </w:rPr>
            </w:pPr>
            <w:r>
              <w:rPr>
                <w:rFonts w:hint="eastAsia" w:ascii="宋体" w:hAnsi="宋体"/>
                <w:sz w:val="24"/>
              </w:rPr>
              <w:t xml:space="preserve">2779</w:t>
            </w:r>
            <w:r/>
          </w:p>
        </w:tc>
        <w:tc>
          <w:tcPr>
            <w:tcBorders>
              <w:top w:val="single" w:color="000000" w:sz="6" w:space="0"/>
              <w:left w:val="single" w:color="000000" w:sz="8" w:space="0"/>
              <w:bottom w:val="single" w:color="000000" w:sz="6" w:space="0"/>
            </w:tcBorders>
            <w:tcW w:w="851" w:type="dxa"/>
            <w:vAlign w:val="center"/>
            <w:textDirection w:val="lrTb"/>
            <w:noWrap w:val="false"/>
          </w:tcPr>
          <w:p>
            <w:pPr>
              <w:ind w:right="134"/>
              <w:jc w:val="left"/>
              <w:spacing w:before="45"/>
              <w:rPr>
                <w:rFonts w:hint="eastAsia" w:ascii="宋体" w:hAnsi="宋体"/>
                <w:sz w:val="24"/>
              </w:rPr>
            </w:pPr>
            <w:r>
              <w:rPr>
                <w:rFonts w:hint="eastAsia" w:ascii="宋体" w:hAnsi="宋体"/>
                <w:sz w:val="24"/>
              </w:rPr>
            </w:r>
            <w:r/>
          </w:p>
        </w:tc>
        <w:tc>
          <w:tcPr>
            <w:tcBorders>
              <w:top w:val="single" w:color="000000" w:sz="6" w:space="0"/>
              <w:left w:val="single" w:color="000000" w:sz="8" w:space="0"/>
              <w:bottom w:val="single" w:color="000000" w:sz="6" w:space="0"/>
            </w:tcBorders>
            <w:tcW w:w="850" w:type="dxa"/>
            <w:vAlign w:val="center"/>
            <w:textDirection w:val="lrTb"/>
            <w:noWrap w:val="false"/>
          </w:tcPr>
          <w:p>
            <w:pPr>
              <w:ind w:right="134"/>
              <w:jc w:val="left"/>
              <w:spacing w:before="45"/>
              <w:rPr>
                <w:rFonts w:hint="eastAsia" w:ascii="宋体" w:hAnsi="宋体"/>
                <w:sz w:val="24"/>
              </w:rPr>
            </w:pPr>
            <w:r>
              <w:rPr>
                <w:rFonts w:hint="eastAsia" w:ascii="宋体" w:hAnsi="宋体"/>
                <w:sz w:val="24"/>
              </w:rPr>
            </w:r>
            <w:r/>
          </w:p>
        </w:tc>
      </w:tr>
      <w:tr>
        <w:trPr>
          <w:jc w:val="center"/>
          <w:trHeight w:val="593"/>
        </w:trPr>
        <w:tc>
          <w:tcPr>
            <w:gridSpan w:val="2"/>
            <w:tcW w:w="1995" w:type="dxa"/>
            <w:vAlign w:val="center"/>
            <w:vMerge w:val="restart"/>
            <w:textDirection w:val="lrTb"/>
            <w:noWrap w:val="false"/>
          </w:tcPr>
          <w:p>
            <w:pPr>
              <w:ind w:right="134"/>
              <w:jc w:val="center"/>
              <w:spacing w:before="45"/>
              <w:rPr>
                <w:rFonts w:hint="eastAsia" w:ascii="宋体" w:hAnsi="宋体"/>
                <w:sz w:val="24"/>
              </w:rPr>
            </w:pPr>
            <w:r>
              <w:rPr>
                <w:rFonts w:hint="eastAsia" w:ascii="宋体" w:hAnsi="宋体"/>
                <w:sz w:val="24"/>
              </w:rPr>
              <w:t xml:space="preserve">投标总价</w:t>
            </w:r>
            <w:r/>
          </w:p>
        </w:tc>
        <w:tc>
          <w:tcPr>
            <w:gridSpan w:val="5"/>
            <w:tcW w:w="7354" w:type="dxa"/>
            <w:vAlign w:val="center"/>
            <w:textDirection w:val="lrTb"/>
            <w:noWrap w:val="false"/>
          </w:tcPr>
          <w:p>
            <w:pPr>
              <w:ind w:right="134"/>
              <w:jc w:val="left"/>
              <w:spacing w:before="45"/>
              <w:rPr>
                <w:rFonts w:hint="eastAsia" w:ascii="宋体" w:hAnsi="宋体"/>
                <w:sz w:val="24"/>
              </w:rPr>
            </w:pPr>
            <w:r>
              <w:rPr>
                <w:rFonts w:hint="eastAsia" w:ascii="宋体" w:hAnsi="宋体"/>
                <w:sz w:val="24"/>
              </w:rPr>
              <w:t xml:space="preserve">大写：</w:t>
            </w:r>
            <w:r/>
          </w:p>
        </w:tc>
      </w:tr>
      <w:tr>
        <w:trPr>
          <w:jc w:val="center"/>
          <w:trHeight w:val="560"/>
        </w:trPr>
        <w:tc>
          <w:tcPr>
            <w:gridSpan w:val="2"/>
            <w:tcW w:w="1995" w:type="dxa"/>
            <w:vAlign w:val="center"/>
            <w:vMerge w:val="continue"/>
            <w:textDirection w:val="lrTb"/>
            <w:noWrap w:val="false"/>
          </w:tcPr>
          <w:p>
            <w:pPr>
              <w:ind w:right="134"/>
              <w:jc w:val="left"/>
              <w:spacing w:before="45"/>
              <w:rPr>
                <w:rFonts w:hint="eastAsia" w:ascii="宋体" w:hAnsi="宋体"/>
                <w:sz w:val="24"/>
              </w:rPr>
            </w:pPr>
            <w:r>
              <w:rPr>
                <w:rFonts w:hint="eastAsia" w:ascii="宋体" w:hAnsi="宋体"/>
                <w:sz w:val="24"/>
              </w:rPr>
            </w:r>
            <w:r/>
          </w:p>
        </w:tc>
        <w:tc>
          <w:tcPr>
            <w:gridSpan w:val="5"/>
            <w:tcW w:w="7354" w:type="dxa"/>
            <w:vAlign w:val="center"/>
            <w:textDirection w:val="lrTb"/>
            <w:noWrap w:val="false"/>
          </w:tcPr>
          <w:p>
            <w:pPr>
              <w:ind w:right="134"/>
              <w:jc w:val="left"/>
              <w:spacing w:before="45"/>
              <w:rPr>
                <w:rFonts w:hint="eastAsia" w:ascii="宋体" w:hAnsi="宋体"/>
                <w:sz w:val="24"/>
              </w:rPr>
            </w:pPr>
            <w:r>
              <w:rPr>
                <w:rFonts w:hint="eastAsia" w:ascii="宋体" w:hAnsi="宋体"/>
                <w:sz w:val="24"/>
              </w:rPr>
              <w:t xml:space="preserve">小写：</w:t>
            </w:r>
            <w:r/>
          </w:p>
        </w:tc>
      </w:tr>
    </w:tbl>
    <w:p>
      <w:pPr>
        <w:jc w:val="left"/>
        <w:spacing w:line="360" w:lineRule="auto"/>
        <w:tabs>
          <w:tab w:val="left" w:pos="1800" w:leader="none"/>
          <w:tab w:val="left" w:pos="5580" w:leader="none"/>
        </w:tabs>
        <w:rPr>
          <w:rFonts w:hint="eastAsia" w:ascii="宋体" w:hAnsi="宋体" w:cs="楷体"/>
          <w:color w:val="000000"/>
          <w:sz w:val="24"/>
        </w:rPr>
      </w:pPr>
      <w:r>
        <w:rPr>
          <w:rFonts w:ascii="宋体" w:hAnsi="宋体" w:cs="楷体"/>
          <w:color w:val="000000"/>
          <w:sz w:val="24"/>
        </w:rPr>
        <w:t xml:space="preserve">注：1</w:t>
      </w:r>
      <w:r>
        <w:rPr>
          <w:rFonts w:hint="eastAsia" w:ascii="宋体" w:hAnsi="宋体" w:cs="楷体"/>
          <w:color w:val="000000"/>
          <w:sz w:val="24"/>
        </w:rPr>
        <w:t xml:space="preserve">、</w:t>
      </w:r>
      <w:r>
        <w:rPr>
          <w:rFonts w:ascii="宋体" w:hAnsi="宋体" w:cs="楷体"/>
          <w:color w:val="000000"/>
          <w:sz w:val="24"/>
        </w:rPr>
        <w:t xml:space="preserve">如果不提供</w:t>
      </w:r>
      <w:r>
        <w:rPr>
          <w:rFonts w:hint="eastAsia" w:ascii="宋体" w:hAnsi="宋体" w:cs="楷体"/>
          <w:color w:val="000000"/>
          <w:sz w:val="24"/>
        </w:rPr>
        <w:t xml:space="preserve">明细</w:t>
      </w:r>
      <w:r>
        <w:rPr>
          <w:rFonts w:ascii="宋体" w:hAnsi="宋体" w:cs="楷体"/>
          <w:color w:val="000000"/>
          <w:sz w:val="24"/>
        </w:rPr>
        <w:t xml:space="preserve">报价将视为没有实质性响应</w:t>
      </w:r>
      <w:r>
        <w:rPr>
          <w:rFonts w:hint="eastAsia" w:ascii="宋体" w:hAnsi="宋体" w:cs="楷体"/>
          <w:color w:val="000000"/>
          <w:sz w:val="24"/>
        </w:rPr>
        <w:t xml:space="preserve">招标</w:t>
      </w:r>
      <w:r>
        <w:rPr>
          <w:rFonts w:ascii="宋体" w:hAnsi="宋体" w:cs="楷体"/>
          <w:color w:val="000000"/>
          <w:sz w:val="24"/>
        </w:rPr>
        <w:t xml:space="preserve">文件。</w:t>
      </w:r>
      <w:r/>
    </w:p>
    <w:p>
      <w:pPr>
        <w:ind w:firstLine="480"/>
        <w:jc w:val="left"/>
        <w:spacing w:line="360" w:lineRule="auto"/>
        <w:tabs>
          <w:tab w:val="left" w:pos="1800" w:leader="none"/>
          <w:tab w:val="left" w:pos="5580" w:leader="none"/>
        </w:tabs>
        <w:rPr>
          <w:rFonts w:hint="eastAsia" w:ascii="宋体" w:hAnsi="宋体" w:cs="楷体"/>
          <w:color w:val="000000"/>
          <w:sz w:val="24"/>
        </w:rPr>
      </w:pPr>
      <w:r>
        <w:rPr>
          <w:rFonts w:ascii="宋体" w:hAnsi="宋体" w:cs="楷体"/>
          <w:color w:val="000000"/>
          <w:sz w:val="24"/>
        </w:rPr>
        <w:t xml:space="preserve">2</w:t>
      </w:r>
      <w:r>
        <w:rPr>
          <w:rFonts w:hint="eastAsia" w:ascii="宋体" w:hAnsi="宋体" w:cs="楷体"/>
          <w:color w:val="000000"/>
          <w:sz w:val="24"/>
        </w:rPr>
        <w:t xml:space="preserve">、</w:t>
      </w:r>
      <w:r>
        <w:rPr>
          <w:rFonts w:hint="eastAsia" w:ascii="宋体" w:hAnsi="宋体"/>
          <w:color w:val="000000"/>
          <w:sz w:val="24"/>
        </w:rPr>
        <w:t xml:space="preserve">投标</w:t>
      </w:r>
      <w:r>
        <w:rPr>
          <w:rFonts w:hint="eastAsia" w:ascii="宋体" w:hAnsi="宋体"/>
          <w:color w:val="000000"/>
          <w:sz w:val="24"/>
          <w:szCs w:val="21"/>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80"/>
        <w:jc w:val="left"/>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color w:val="000000"/>
          <w:sz w:val="24"/>
        </w:rPr>
        <w:t xml:space="preserve">3、本表行数可以按照项目分项情况增加。</w:t>
      </w:r>
      <w:r>
        <w:rPr>
          <w:rFonts w:ascii="宋体" w:hAnsi="宋体" w:cs="楷体"/>
          <w:color w:val="000000"/>
          <w:sz w:val="24"/>
        </w:rPr>
        <w:t xml:space="preserve">各项的详细</w:t>
      </w:r>
      <w:r>
        <w:rPr>
          <w:rFonts w:hint="eastAsia" w:ascii="宋体" w:hAnsi="宋体"/>
          <w:color w:val="000000"/>
          <w:sz w:val="24"/>
          <w:szCs w:val="21"/>
        </w:rPr>
        <w:t xml:space="preserve">服务要求如表格中填写不下的</w:t>
      </w:r>
      <w:r>
        <w:rPr>
          <w:rFonts w:ascii="宋体" w:hAnsi="宋体"/>
          <w:color w:val="000000"/>
          <w:sz w:val="24"/>
          <w:szCs w:val="21"/>
        </w:rPr>
        <w:t xml:space="preserve">，可</w:t>
      </w:r>
      <w:r>
        <w:rPr>
          <w:rFonts w:hint="eastAsia" w:ascii="宋体" w:hAnsi="宋体"/>
          <w:color w:val="000000"/>
          <w:sz w:val="24"/>
          <w:szCs w:val="21"/>
        </w:rPr>
        <w:t xml:space="preserve">以逐项</w:t>
      </w:r>
      <w:r>
        <w:rPr>
          <w:rFonts w:ascii="宋体" w:hAnsi="宋体"/>
          <w:color w:val="000000"/>
          <w:sz w:val="24"/>
          <w:szCs w:val="21"/>
        </w:rPr>
        <w:t xml:space="preserve">另页描述。</w:t>
      </w:r>
      <w:r/>
    </w:p>
    <w:p>
      <w:pPr>
        <w:ind w:firstLine="480"/>
        <w:jc w:val="left"/>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color w:val="000000"/>
          <w:sz w:val="24"/>
        </w:rPr>
      </w:r>
      <w:r/>
    </w:p>
    <w:p>
      <w:pPr>
        <w:spacing w:before="25" w:after="25" w:line="360" w:lineRule="auto"/>
        <w:rPr>
          <w:rFonts w:hint="eastAsia" w:ascii="宋体" w:hAnsi="宋体" w:cs="楷体"/>
          <w:color w:val="000000"/>
          <w:sz w:val="24"/>
        </w:rPr>
      </w:pPr>
      <w:r>
        <w:rPr>
          <w:rFonts w:ascii="宋体" w:hAnsi="宋体" w:cs="楷体"/>
          <w:color w:val="000000"/>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cs="楷体"/>
          <w:color w:val="000000"/>
          <w:sz w:val="24"/>
        </w:rPr>
        <w:t xml:space="preserve"> </w:t>
      </w:r>
      <w:r/>
    </w:p>
    <w:p>
      <w:pPr>
        <w:jc w:val="center"/>
        <w:spacing w:line="400" w:lineRule="exact"/>
        <w:rPr>
          <w:rFonts w:hint="eastAsia" w:ascii="宋体" w:hAnsi="宋体" w:cs="楷体"/>
          <w:color w:val="000000"/>
          <w:sz w:val="24"/>
        </w:rPr>
      </w:pPr>
      <w:r>
        <w:rPr>
          <w:rFonts w:hint="eastAsia" w:ascii="宋体" w:hAnsi="宋体" w:cs="楷体"/>
          <w:color w:val="000000"/>
          <w:sz w:val="24"/>
        </w:rPr>
        <w:t xml:space="preserve">     </w:t>
      </w:r>
      <w:r>
        <w:rPr>
          <w:rFonts w:ascii="宋体" w:hAnsi="宋体" w:cs="楷体"/>
          <w:color w:val="000000"/>
          <w:sz w:val="24"/>
        </w:rPr>
        <w:t xml:space="preserve">                </w:t>
      </w:r>
      <w:r>
        <w:rPr>
          <w:rFonts w:hint="eastAsia" w:ascii="宋体" w:hAnsi="宋体" w:cs="楷体"/>
          <w:color w:val="000000"/>
          <w:sz w:val="24"/>
        </w:rPr>
        <w:t xml:space="preserve"> </w:t>
      </w:r>
      <w:r>
        <w:rPr>
          <w:rFonts w:ascii="宋体" w:hAnsi="宋体" w:cs="楷体"/>
          <w:color w:val="000000"/>
          <w:sz w:val="24"/>
        </w:rPr>
        <w:t xml:space="preserve">   </w:t>
      </w:r>
      <w:r>
        <w:rPr>
          <w:rFonts w:hint="eastAsia" w:ascii="宋体" w:hAnsi="宋体" w:cs="楷体"/>
          <w:color w:val="000000"/>
          <w:sz w:val="24"/>
        </w:rPr>
        <w:t xml:space="preserve">日期：     年    月    日</w:t>
      </w:r>
      <w:r/>
    </w:p>
    <w:p>
      <w:pPr>
        <w:jc w:val="center"/>
        <w:spacing w:line="400" w:lineRule="exact"/>
        <w:rPr>
          <w:rFonts w:hint="eastAsia" w:ascii="宋体" w:hAnsi="宋体" w:cs="楷体"/>
          <w:color w:val="000000"/>
          <w:sz w:val="24"/>
        </w:rPr>
        <w:sectPr>
          <w:footerReference w:type="default" r:id="rId11"/>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楷体"/>
          <w:color w:val="000000"/>
          <w:sz w:val="24"/>
        </w:rPr>
      </w:r>
      <w:r/>
    </w:p>
    <w:p>
      <w:pPr>
        <w:pStyle w:val="728"/>
        <w:rPr>
          <w:rFonts w:ascii="Times New Roman" w:hAnsi="Times New Roman" w:eastAsia="宋体"/>
          <w:color w:val="000000"/>
          <w:spacing w:val="20"/>
          <w:sz w:val="32"/>
          <w:szCs w:val="32"/>
        </w:rPr>
      </w:pPr>
      <w:r>
        <w:rPr>
          <w:rFonts w:hint="eastAsia" w:ascii="Times New Roman" w:hAnsi="Times New Roman" w:eastAsia="宋体"/>
          <w:color w:val="000000"/>
          <w:spacing w:val="20"/>
          <w:sz w:val="32"/>
          <w:szCs w:val="32"/>
        </w:rPr>
        <w:t xml:space="preserve">四、中小企业声明函</w:t>
      </w:r>
      <w:r>
        <w:rPr>
          <w:rFonts w:ascii="Times New Roman"/>
          <w:b w:val="0"/>
          <w:color w:val="000000"/>
        </w:rPr>
        <w:t xml:space="preserve">（实质性格式）</w:t>
      </w:r>
      <w:r/>
    </w:p>
    <w:p>
      <w:pPr>
        <w:pStyle w:val="738"/>
        <w:rPr>
          <w:color w:val="000000"/>
        </w:rPr>
      </w:pPr>
      <w:r>
        <w:rPr>
          <w:color w:val="000000"/>
        </w:rPr>
      </w:r>
      <w:r/>
    </w:p>
    <w:p>
      <w:pPr>
        <w:pStyle w:val="728"/>
        <w:jc w:val="left"/>
        <w:spacing w:before="0" w:line="360" w:lineRule="auto"/>
        <w:tabs>
          <w:tab w:val="center" w:pos="4592" w:leader="none"/>
          <w:tab w:val="left" w:pos="7860" w:leader="none"/>
        </w:tabs>
        <w:rPr>
          <w:rFonts w:hint="eastAsia" w:ascii="宋体" w:hAnsi="宋体" w:cs="楷体"/>
          <w:b w:val="0"/>
          <w:color w:val="000000"/>
          <w:sz w:val="24"/>
        </w:rPr>
      </w:pPr>
      <w:r>
        <w:rPr>
          <w:rFonts w:hint="eastAsia"/>
          <w:b w:val="0"/>
          <w:color w:val="000000"/>
          <w:sz w:val="24"/>
          <w:u w:val="single"/>
        </w:rPr>
        <w:t xml:space="preserve">注意事项：</w:t>
      </w:r>
      <w:bookmarkStart w:id="307" w:name="_Toc311189788"/>
      <w:r>
        <w:rPr>
          <w:rFonts w:hint="eastAsia"/>
          <w:b w:val="0"/>
          <w:color w:val="000000"/>
          <w:sz w:val="24"/>
          <w:u w:val="single"/>
        </w:rPr>
        <w:t xml:space="preserve">请按照第二章第一节《</w:t>
      </w:r>
      <w:r>
        <w:rPr>
          <w:b w:val="0"/>
          <w:color w:val="000000"/>
          <w:sz w:val="24"/>
          <w:u w:val="single"/>
        </w:rPr>
        <w:t xml:space="preserve">投标人须知资料表</w:t>
      </w:r>
      <w:r>
        <w:rPr>
          <w:rFonts w:hint="eastAsia"/>
          <w:b w:val="0"/>
          <w:color w:val="000000"/>
          <w:sz w:val="24"/>
          <w:u w:val="single"/>
        </w:rPr>
        <w:t xml:space="preserve">》中列明的项目属性填写货物类还是工程、服务类。</w:t>
      </w:r>
      <w:r>
        <w:rPr>
          <w:rFonts w:hint="eastAsia" w:ascii="宋体" w:hAnsi="宋体" w:cs="楷体"/>
          <w:b w:val="0"/>
          <w:color w:val="000000"/>
          <w:sz w:val="24"/>
        </w:rPr>
        <w:t xml:space="preserve">                       </w:t>
      </w:r>
      <w:r/>
    </w:p>
    <w:p>
      <w:pPr>
        <w:ind w:firstLine="2570"/>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（项目名称）采购活动，提供的货物全部由符合政策要求的中小企业制造。相关企业（含联合体中的中小企业、签订分包意向协议的中小企业）的具体情况如下：</w:t>
      </w:r>
      <w:r/>
    </w:p>
    <w:p>
      <w:pPr>
        <w:pStyle w:val="1023"/>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23"/>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23"/>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023"/>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ind w:firstLine="480"/>
        <w:spacing w:line="440" w:lineRule="exact"/>
        <w:rPr>
          <w:rFonts w:hint="eastAsia" w:ascii="宋体" w:hAnsi="宋体" w:cs="楷体"/>
          <w:color w:val="000000"/>
          <w:sz w:val="24"/>
        </w:rPr>
      </w:pPr>
      <w:r>
        <w:rPr>
          <w:rFonts w:hint="eastAsia" w:ascii="宋体" w:hAnsi="宋体" w:cs="楷体"/>
          <w:color w:val="000000"/>
          <w:sz w:val="24"/>
        </w:rPr>
      </w:r>
      <w:r/>
    </w:p>
    <w:p>
      <w:pPr>
        <w:ind w:firstLine="3840"/>
        <w:spacing w:line="440" w:lineRule="exact"/>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ind w:firstLine="2650"/>
        <w:spacing w:line="360" w:lineRule="auto"/>
        <w:widowControl/>
        <w:rPr>
          <w:rFonts w:hint="eastAsia" w:ascii="宋体" w:hAnsi="宋体" w:cs="楷体"/>
          <w:b/>
          <w:color w:val="000000"/>
          <w:sz w:val="24"/>
        </w:rPr>
      </w:pPr>
      <w:r>
        <w:rPr>
          <w:rFonts w:hint="eastAsia" w:ascii="宋体" w:hAnsi="宋体" w:cs="楷体"/>
          <w:b/>
          <w:color w:val="000000"/>
          <w:sz w:val="24"/>
        </w:rPr>
      </w:r>
      <w:r/>
    </w:p>
    <w:p>
      <w:pPr>
        <w:pStyle w:val="744"/>
        <w:spacing w:line="440" w:lineRule="exact"/>
        <w:rPr>
          <w:rFonts w:hint="eastAsia" w:cs="楷体"/>
          <w:color w:val="000000"/>
          <w:szCs w:val="20"/>
        </w:rPr>
      </w:pPr>
      <w:r>
        <w:rPr>
          <w:rFonts w:hint="eastAsia" w:cs="楷体"/>
          <w:color w:val="000000"/>
        </w:rPr>
        <w:t xml:space="preserve">注：1、从业人员、营业收入和资产总额填报上一年度数据，无上一年度数据的新成立企业可不填报。</w:t>
      </w:r>
      <w:r/>
    </w:p>
    <w:p>
      <w:pPr>
        <w:pStyle w:val="1023"/>
        <w:numPr>
          <w:ilvl w:val="0"/>
          <w:numId w:val="9"/>
        </w:numPr>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中小企业划型标准规定参考《工信部联企业[2011]300号》</w:t>
      </w:r>
      <w:r/>
    </w:p>
    <w:p>
      <w:pPr>
        <w:pStyle w:val="1023"/>
        <w:numPr>
          <w:numId w:val="0"/>
        </w:numPr>
        <w:contextualSpacing/>
        <w:jc w:val="left"/>
        <w:spacing w:before="120" w:after="120"/>
        <w:widowControl/>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023"/>
        <w:ind w:firstLine="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023"/>
        <w:ind w:firstLine="0"/>
        <w:rPr>
          <w:rFonts w:eastAsia="宋体"/>
          <w:color w:val="000000"/>
        </w:rPr>
      </w:pPr>
      <w:r>
        <w:rPr>
          <w:rFonts w:eastAsia="宋体"/>
          <w:color w:val="000000"/>
        </w:rPr>
      </w:r>
      <w:r/>
    </w:p>
    <w:p>
      <w:pPr>
        <w:ind w:firstLine="1928"/>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中小企业声明函(工程、服务)</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23"/>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23"/>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23"/>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023"/>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ind w:firstLine="4800"/>
        <w:spacing w:line="440" w:lineRule="exact"/>
        <w:rPr>
          <w:rFonts w:hint="eastAsia" w:ascii="宋体" w:hAnsi="宋体" w:cs="楷体"/>
          <w:color w:val="000000"/>
          <w:sz w:val="24"/>
        </w:rPr>
      </w:pPr>
      <w:r>
        <w:rPr>
          <w:rFonts w:hint="eastAsia" w:ascii="宋体" w:hAnsi="宋体" w:cs="楷体"/>
          <w:color w:val="000000"/>
          <w:sz w:val="24"/>
        </w:rPr>
      </w:r>
      <w:r/>
    </w:p>
    <w:p>
      <w:pPr>
        <w:ind w:firstLine="3360"/>
        <w:spacing w:line="440" w:lineRule="exact"/>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firstLine="4560"/>
        <w:spacing w:line="440" w:lineRule="exact"/>
        <w:rPr>
          <w:rFonts w:hint="eastAsia" w:ascii="宋体" w:hAnsi="宋体" w:cs="楷体"/>
          <w:color w:val="000000"/>
          <w:sz w:val="24"/>
        </w:rPr>
      </w:pPr>
      <w:r>
        <w:rPr>
          <w:rFonts w:hint="eastAsia" w:ascii="宋体" w:hAnsi="宋体" w:cs="楷体"/>
          <w:color w:val="000000"/>
          <w:sz w:val="24"/>
        </w:rPr>
        <w:t xml:space="preserve">日期： 年 月 日</w:t>
      </w:r>
      <w:r/>
    </w:p>
    <w:p>
      <w:pPr>
        <w:pStyle w:val="1023"/>
        <w:ind w:firstLine="400"/>
        <w:rPr>
          <w:color w:val="000000"/>
        </w:rPr>
      </w:pPr>
      <w:r>
        <w:rPr>
          <w:color w:val="000000"/>
        </w:rPr>
      </w:r>
      <w:r/>
    </w:p>
    <w:p>
      <w:pPr>
        <w:pStyle w:val="744"/>
        <w:spacing w:line="440" w:lineRule="exact"/>
        <w:rPr>
          <w:rFonts w:hint="eastAsia" w:cs="楷体"/>
          <w:color w:val="000000"/>
        </w:rPr>
      </w:pPr>
      <w:r>
        <w:rPr>
          <w:rFonts w:hint="eastAsia" w:cs="楷体"/>
          <w:color w:val="000000"/>
        </w:rPr>
        <w:t xml:space="preserve">注：1、从业人员、营业收入和资产总额填报上一年度数据，无上一年度数据的新成立企业可不填报。</w:t>
      </w:r>
      <w:r/>
    </w:p>
    <w:p>
      <w:pPr>
        <w:pStyle w:val="1023"/>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p>
    <w:p>
      <w:pPr>
        <w:pStyle w:val="744"/>
        <w:spacing w:line="440" w:lineRule="exact"/>
        <w:rPr>
          <w:rFonts w:hint="eastAsia" w:cs="楷体"/>
          <w:color w:val="000000"/>
        </w:rPr>
      </w:pPr>
      <w:r>
        <w:rPr>
          <w:rFonts w:hint="eastAsia" w:cs="楷体"/>
          <w:color w:val="000000"/>
        </w:rPr>
      </w:r>
      <w:r/>
    </w:p>
    <w:p>
      <w:pPr>
        <w:pStyle w:val="853"/>
        <w:rPr>
          <w:rFonts w:hint="eastAsia"/>
        </w:rPr>
      </w:pPr>
      <w:r>
        <w:rPr>
          <w:rFonts w:hint="eastAsia"/>
        </w:rPr>
      </w:r>
      <w:r/>
    </w:p>
    <w:p>
      <w:pPr>
        <w:pStyle w:val="853"/>
        <w:rPr>
          <w:rFonts w:hint="eastAsia"/>
        </w:rPr>
      </w:pPr>
      <w:r>
        <w:rPr>
          <w:rFonts w:hint="eastAsia"/>
        </w:rPr>
      </w:r>
      <w:r/>
    </w:p>
    <w:p>
      <w:pPr>
        <w:jc w:val="center"/>
        <w:spacing w:before="240" w:after="240" w:line="360" w:lineRule="auto"/>
        <w:rPr>
          <w:b/>
          <w:color w:val="000000"/>
          <w:sz w:val="32"/>
          <w:szCs w:val="32"/>
        </w:rPr>
      </w:pPr>
      <w:r>
        <w:rPr>
          <w:b/>
          <w:bCs/>
          <w:color w:val="000000"/>
          <w:sz w:val="32"/>
          <w:szCs w:val="32"/>
        </w:rPr>
        <w:br w:type="page" w:clear="all"/>
      </w:r>
      <w:r>
        <w:rPr>
          <w:rFonts w:hint="eastAsia"/>
          <w:b/>
          <w:bCs/>
          <w:color w:val="000000"/>
          <w:sz w:val="32"/>
          <w:szCs w:val="32"/>
        </w:rPr>
        <w:t xml:space="preserve">五、残疾人福利性单位声明函</w:t>
      </w:r>
      <w:r>
        <w:rPr>
          <w:b/>
          <w:bCs/>
          <w:color w:val="000000"/>
          <w:sz w:val="32"/>
          <w:szCs w:val="32"/>
        </w:rPr>
        <w:t xml:space="preserve">（实质性格式） </w:t>
      </w:r>
      <w:r>
        <w:rPr>
          <w:b/>
          <w:color w:val="000000"/>
          <w:sz w:val="32"/>
          <w:szCs w:val="32"/>
        </w:rPr>
        <w:t xml:space="preserve">    </w:t>
      </w:r>
      <w:r/>
    </w:p>
    <w:p>
      <w:pPr>
        <w:ind w:firstLine="504"/>
        <w:spacing w:line="588" w:lineRule="exact"/>
        <w:rPr>
          <w:rFonts w:hint="eastAsia"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p>
    <w:p>
      <w:pPr>
        <w:ind w:firstLine="482"/>
        <w:spacing w:line="588" w:lineRule="exact"/>
        <w:rPr>
          <w:rFonts w:hint="eastAsia"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p>
    <w:p>
      <w:pPr>
        <w:ind w:firstLine="482"/>
        <w:spacing w:line="588" w:lineRule="exact"/>
        <w:rPr>
          <w:rFonts w:hint="eastAsia"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p>
    <w:p>
      <w:pPr>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ind w:right="1560" w:firstLine="504"/>
        <w:jc w:val="center"/>
        <w:spacing w:line="588" w:lineRule="exact"/>
        <w:tabs>
          <w:tab w:val="left" w:pos="4860" w:leader="none"/>
        </w:tabs>
        <w:rPr>
          <w:rFonts w:hint="eastAsia" w:ascii="宋体" w:hAnsi="宋体"/>
          <w:color w:val="000000"/>
          <w:spacing w:val="6"/>
          <w:sz w:val="24"/>
        </w:rPr>
      </w:pPr>
      <w:r>
        <w:rPr>
          <w:rFonts w:ascii="宋体" w:hAnsi="宋体"/>
          <w:color w:val="000000"/>
          <w:spacing w:val="6"/>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right="1560" w:firstLine="504"/>
        <w:jc w:val="center"/>
        <w:spacing w:line="588" w:lineRule="exact"/>
        <w:tabs>
          <w:tab w:val="left" w:pos="4860" w:leader="none"/>
        </w:tabs>
        <w:rPr>
          <w:rFonts w:hint="eastAsia" w:ascii="宋体" w:hAnsi="宋体"/>
          <w:color w:val="000000"/>
          <w:spacing w:val="6"/>
          <w:sz w:val="24"/>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000000"/>
          <w:spacing w:val="6"/>
          <w:sz w:val="24"/>
        </w:rPr>
        <w:t xml:space="preserve"> </w:t>
      </w:r>
      <w:r>
        <w:rPr>
          <w:rFonts w:ascii="宋体" w:hAnsi="宋体"/>
          <w:color w:val="000000"/>
          <w:spacing w:val="6"/>
          <w:sz w:val="24"/>
        </w:rPr>
        <w:t xml:space="preserve">         日  期</w:t>
      </w:r>
      <w:r>
        <w:rPr>
          <w:rFonts w:hint="eastAsia" w:ascii="宋体" w:hAnsi="宋体"/>
          <w:color w:val="000000"/>
          <w:spacing w:val="6"/>
          <w:sz w:val="24"/>
        </w:rPr>
        <w:t xml:space="preserve">:</w:t>
      </w:r>
      <w:bookmarkEnd w:id="307"/>
      <w:r/>
      <w:r/>
    </w:p>
    <w:p>
      <w:pPr>
        <w:jc w:val="center"/>
        <w:spacing w:before="240" w:after="240" w:line="360" w:lineRule="auto"/>
        <w:rPr>
          <w:b/>
          <w:bCs/>
          <w:color w:val="000000"/>
          <w:sz w:val="32"/>
          <w:szCs w:val="32"/>
        </w:rPr>
      </w:pPr>
      <w:r/>
      <w:bookmarkStart w:id="308" w:name="_Toc29116"/>
      <w:r/>
      <w:bookmarkEnd w:id="308"/>
      <w:r/>
      <w:bookmarkStart w:id="309" w:name="_Toc30417"/>
      <w:r/>
      <w:bookmarkEnd w:id="309"/>
      <w:r/>
      <w:bookmarkStart w:id="310" w:name="_Toc373054875"/>
      <w:r/>
      <w:bookmarkEnd w:id="310"/>
      <w:r/>
      <w:bookmarkStart w:id="311" w:name="_Toc425"/>
      <w:r/>
      <w:bookmarkEnd w:id="311"/>
      <w:r>
        <w:rPr>
          <w:rFonts w:hint="eastAsia"/>
          <w:b/>
          <w:bCs/>
          <w:color w:val="000000"/>
          <w:sz w:val="32"/>
          <w:szCs w:val="32"/>
        </w:rPr>
        <w:t xml:space="preserve">六、关于符合本国产品标准的声明函（实质性格式）</w:t>
      </w:r>
      <w:r/>
    </w:p>
    <w:p>
      <w:pPr>
        <w:pStyle w:val="768"/>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768"/>
        <w:ind w:firstLine="420"/>
        <w:spacing w:before="0" w:beforeAutospacing="0" w:after="0" w:afterAutospacing="0" w:line="500" w:lineRule="exact"/>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8"/>
        <w:ind w:firstLine="420"/>
        <w:spacing w:before="0" w:beforeAutospacing="0" w:after="0" w:afterAutospacing="0" w:line="500" w:lineRule="exact"/>
        <w:rPr>
          <w:rFonts w:hint="eastAsia"/>
          <w:color w:val="000000"/>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4445" t="4445" r="15875" b="11430"/>
                <wp:wrapNone/>
                <wp:docPr id="1" name="任意多边形: 形状 1"/>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0" o:spid="_x0000_s0"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976630</wp:posOffset>
                </wp:positionH>
                <wp:positionV relativeFrom="paragraph">
                  <wp:posOffset>775970</wp:posOffset>
                </wp:positionV>
                <wp:extent cx="876300" cy="120015"/>
                <wp:effectExtent l="635" t="4445" r="12065" b="15240"/>
                <wp:wrapNone/>
                <wp:docPr id="2" name="任意多边形: 形状 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4730750</wp:posOffset>
                </wp:positionH>
                <wp:positionV relativeFrom="paragraph">
                  <wp:posOffset>158750</wp:posOffset>
                </wp:positionV>
                <wp:extent cx="577215" cy="92075"/>
                <wp:effectExtent l="635" t="4445" r="6350" b="5080"/>
                <wp:wrapNone/>
                <wp:docPr id="3" name="任意多边形: 形状 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3376295</wp:posOffset>
                </wp:positionH>
                <wp:positionV relativeFrom="paragraph">
                  <wp:posOffset>419100</wp:posOffset>
                </wp:positionV>
                <wp:extent cx="812165" cy="147320"/>
                <wp:effectExtent l="4445" t="4445" r="8890" b="13335"/>
                <wp:wrapNone/>
                <wp:docPr id="4" name="任意多边形: 形状 4"/>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4554220</wp:posOffset>
                </wp:positionH>
                <wp:positionV relativeFrom="paragraph">
                  <wp:posOffset>448945</wp:posOffset>
                </wp:positionV>
                <wp:extent cx="603250" cy="150495"/>
                <wp:effectExtent l="5080" t="4445" r="13970" b="10160"/>
                <wp:wrapNone/>
                <wp:docPr id="5" name="任意多边形: 形状 5"/>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2204720</wp:posOffset>
                </wp:positionH>
                <wp:positionV relativeFrom="paragraph">
                  <wp:posOffset>447675</wp:posOffset>
                </wp:positionV>
                <wp:extent cx="816610" cy="147320"/>
                <wp:effectExtent l="635" t="4445" r="8255" b="13335"/>
                <wp:wrapNone/>
                <wp:docPr id="6" name="任意多边形: 形状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shd w:val="clear" w:color="auto" w:fill="ffffff"/>
        </w:rPr>
        <w:t xml:space="preserve">1.</w:t>
      </w:r>
      <w:r>
        <w:rPr>
          <w:rStyle w:val="776"/>
          <w:rFonts w:hint="eastAsia"/>
          <w:color w:val="000000"/>
          <w:u w:val="single"/>
          <w:shd w:val="clear" w:color="auto" w:fill="ffffff"/>
        </w:rPr>
        <w:t xml:space="preserve">（产品名称1）</w:t>
      </w:r>
      <w:r>
        <w:rPr>
          <w:rStyle w:val="776"/>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776"/>
          <w:rFonts w:hint="eastAsia"/>
          <w:color w:val="000000"/>
          <w:u w:val="single"/>
          <w:shd w:val="clear" w:color="auto" w:fill="ffffff"/>
        </w:rPr>
        <w:t xml:space="preserve">（厂名）</w:t>
      </w:r>
      <w:r>
        <w:rPr>
          <w:rStyle w:val="776"/>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776"/>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776"/>
          <w:rFonts w:hint="eastAsia"/>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776"/>
          <w:rFonts w:hint="eastAsia"/>
          <w:color w:val="000000"/>
          <w:u w:val="single"/>
          <w:shd w:val="clear" w:color="auto" w:fill="ffffff"/>
        </w:rPr>
        <w:t xml:space="preserve">（规定比例）</w:t>
      </w:r>
      <w:r>
        <w:rPr>
          <w:rStyle w:val="776"/>
          <w:rFonts w:hint="eastAsia"/>
          <w:color w:val="000000"/>
          <w:shd w:val="clear" w:color="auto" w:fill="ffffff"/>
          <w:vertAlign w:val="superscript"/>
        </w:rPr>
        <w:t xml:space="preserve">3</w:t>
      </w:r>
      <w:r>
        <w:rPr>
          <w:rFonts w:hint="eastAsia"/>
          <w:color w:val="000000"/>
          <w:shd w:val="clear" w:color="auto" w:fill="ffffff"/>
        </w:rPr>
        <w:t xml:space="preserve">。</w:t>
      </w:r>
      <w:r>
        <w:rPr>
          <w:rStyle w:val="776"/>
          <w:rFonts w:hint="eastAsia"/>
          <w:color w:val="000000"/>
          <w:u w:val="single"/>
          <w:shd w:val="clear" w:color="auto" w:fill="ffffff"/>
        </w:rPr>
        <w:t xml:space="preserve">（产品名称1）</w:t>
      </w:r>
      <w:r>
        <w:rPr>
          <w:rFonts w:hint="eastAsia"/>
          <w:color w:val="000000"/>
          <w:shd w:val="clear" w:color="auto" w:fill="ffffff"/>
        </w:rPr>
        <w:t xml:space="preserve">的</w:t>
      </w:r>
      <w:r>
        <w:rPr>
          <w:rStyle w:val="776"/>
          <w:rFonts w:hint="eastAsia"/>
          <w:color w:val="000000"/>
          <w:u w:val="single"/>
          <w:shd w:val="clear" w:color="auto" w:fill="ffffff"/>
        </w:rPr>
        <w:t xml:space="preserve">（关键组件）</w:t>
      </w:r>
      <w:r>
        <w:rPr>
          <w:rStyle w:val="776"/>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776"/>
          <w:rFonts w:hint="eastAsia"/>
          <w:color w:val="000000"/>
          <w:u w:val="single"/>
          <w:shd w:val="clear" w:color="auto" w:fill="ffffff"/>
        </w:rPr>
        <w:t xml:space="preserve">（产品名称1）</w:t>
      </w:r>
      <w:r>
        <w:rPr>
          <w:rFonts w:hint="eastAsia"/>
          <w:color w:val="000000"/>
          <w:shd w:val="clear" w:color="auto" w:fill="ffffff"/>
        </w:rPr>
        <w:t xml:space="preserve">的</w:t>
      </w:r>
      <w:r>
        <w:rPr>
          <w:rStyle w:val="776"/>
          <w:rFonts w:hint="eastAsia"/>
          <w:color w:val="000000"/>
          <w:u w:val="single"/>
          <w:shd w:val="clear" w:color="auto" w:fill="ffffff"/>
        </w:rPr>
        <w:t xml:space="preserve">（关键工序）</w:t>
      </w:r>
      <w:r>
        <w:rPr>
          <w:rStyle w:val="776"/>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768"/>
        <w:ind w:firstLine="420"/>
        <w:spacing w:before="0" w:beforeAutospacing="0" w:after="0" w:afterAutospacing="0" w:line="500" w:lineRule="exact"/>
        <w:rPr>
          <w:rFonts w:hint="eastAsia"/>
          <w:color w:val="000000"/>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4516120</wp:posOffset>
                </wp:positionH>
                <wp:positionV relativeFrom="paragraph">
                  <wp:posOffset>93980</wp:posOffset>
                </wp:positionV>
                <wp:extent cx="807720" cy="190500"/>
                <wp:effectExtent l="4445" t="4445" r="13335" b="8255"/>
                <wp:wrapNone/>
                <wp:docPr id="7" name="任意多边形: 形状 7"/>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4394835</wp:posOffset>
                </wp:positionH>
                <wp:positionV relativeFrom="paragraph">
                  <wp:posOffset>403225</wp:posOffset>
                </wp:positionV>
                <wp:extent cx="666750" cy="190500"/>
                <wp:effectExtent l="4445" t="4445" r="14604" b="8255"/>
                <wp:wrapNone/>
                <wp:docPr id="8" name="任意多边形: 形状 8"/>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3091815</wp:posOffset>
                </wp:positionH>
                <wp:positionV relativeFrom="paragraph">
                  <wp:posOffset>443230</wp:posOffset>
                </wp:positionV>
                <wp:extent cx="842645" cy="152400"/>
                <wp:effectExtent l="4445" t="4445" r="16510" b="8255"/>
                <wp:wrapNone/>
                <wp:docPr id="9" name="任意多边形: 形状 9"/>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2038985</wp:posOffset>
                </wp:positionH>
                <wp:positionV relativeFrom="paragraph">
                  <wp:posOffset>454660</wp:posOffset>
                </wp:positionV>
                <wp:extent cx="843915" cy="125730"/>
                <wp:effectExtent l="635" t="4445" r="6350" b="9525"/>
                <wp:wrapNone/>
                <wp:docPr id="10" name="任意多边形: 形状 1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1" name="任意多边形: 形状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1849755</wp:posOffset>
                </wp:positionH>
                <wp:positionV relativeFrom="paragraph">
                  <wp:posOffset>752475</wp:posOffset>
                </wp:positionV>
                <wp:extent cx="814705" cy="164465"/>
                <wp:effectExtent l="4445" t="4445" r="6350" b="8890"/>
                <wp:wrapNone/>
                <wp:docPr id="12" name="任意多边形: 形状 12"/>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color w:val="000000"/>
          <w:shd w:val="clear" w:color="auto" w:fill="ffffff"/>
        </w:rPr>
        <w:t xml:space="preserve">2.</w:t>
      </w:r>
      <w:r>
        <w:rPr>
          <w:rStyle w:val="776"/>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776"/>
          <w:rFonts w:hint="eastAsia"/>
          <w:color w:val="000000"/>
          <w:u w:val="single"/>
          <w:shd w:val="clear" w:color="auto" w:fill="ffffff"/>
        </w:rPr>
        <w:t xml:space="preserve">（厂名）</w:t>
      </w:r>
      <w:r>
        <w:rPr>
          <w:rFonts w:hint="eastAsia"/>
          <w:color w:val="000000"/>
          <w:shd w:val="clear" w:color="auto" w:fill="ffffff"/>
        </w:rPr>
        <w:t xml:space="preserve">，厂址为</w:t>
      </w:r>
      <w:r>
        <w:rPr>
          <w:rStyle w:val="776"/>
          <w:rFonts w:hint="eastAsia"/>
          <w:color w:val="000000"/>
          <w:u w:val="single"/>
          <w:shd w:val="clear" w:color="auto" w:fill="ffffff"/>
        </w:rPr>
        <w:t xml:space="preserve">（生产厂址）</w:t>
      </w:r>
      <w:r>
        <w:rPr>
          <w:rFonts w:hint="eastAsia"/>
          <w:color w:val="000000"/>
          <w:shd w:val="clear" w:color="auto" w:fill="ffffff"/>
        </w:rPr>
        <w:t xml:space="preserve">。</w:t>
      </w:r>
      <w:r>
        <w:rPr>
          <w:rStyle w:val="776"/>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Style w:val="776"/>
          <w:rFonts w:hint="eastAsia"/>
          <w:color w:val="000000"/>
          <w:u w:val="single"/>
          <w:shd w:val="clear" w:color="auto" w:fill="ffffff"/>
        </w:rPr>
        <w:t xml:space="preserve">（规定比例）</w:t>
      </w:r>
      <w:r>
        <w:rPr>
          <w:rFonts w:hint="eastAsia"/>
          <w:color w:val="000000"/>
          <w:shd w:val="clear" w:color="auto" w:fill="ffffff"/>
        </w:rPr>
        <w:t xml:space="preserve">。</w:t>
      </w:r>
      <w:r>
        <w:rPr>
          <w:rStyle w:val="776"/>
          <w:rFonts w:hint="eastAsia"/>
          <w:color w:val="000000"/>
          <w:u w:val="single"/>
          <w:shd w:val="clear" w:color="auto" w:fill="ffffff"/>
        </w:rPr>
        <w:t xml:space="preserve">（产品名称2）</w:t>
      </w:r>
      <w:r>
        <w:rPr>
          <w:rFonts w:hint="eastAsia"/>
          <w:color w:val="000000"/>
          <w:shd w:val="clear" w:color="auto" w:fill="ffffff"/>
        </w:rPr>
        <w:t xml:space="preserve">的</w:t>
      </w:r>
      <w:r>
        <w:rPr>
          <w:rStyle w:val="776"/>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Style w:val="776"/>
          <w:rFonts w:hint="eastAsia"/>
          <w:color w:val="000000"/>
          <w:u w:val="single"/>
          <w:shd w:val="clear" w:color="auto" w:fill="ffffff"/>
        </w:rPr>
        <w:t xml:space="preserve">（产品名称2）</w:t>
      </w:r>
      <w:r>
        <w:rPr>
          <w:rFonts w:hint="eastAsia"/>
          <w:color w:val="000000"/>
          <w:shd w:val="clear" w:color="auto" w:fill="ffffff"/>
        </w:rPr>
        <w:t xml:space="preserve">的</w:t>
      </w:r>
      <w:r>
        <w:rPr>
          <w:rStyle w:val="776"/>
          <w:rFonts w:hint="eastAsia"/>
          <w:color w:val="000000"/>
          <w:u w:val="single"/>
          <w:shd w:val="clear" w:color="auto" w:fill="ffffff"/>
        </w:rPr>
        <w:t xml:space="preserve">（关键工序）</w:t>
      </w:r>
      <w:r>
        <w:rPr>
          <w:rFonts w:hint="eastAsia"/>
          <w:color w:val="000000"/>
          <w:shd w:val="clear" w:color="auto" w:fill="ffffff"/>
        </w:rPr>
        <w:t xml:space="preserve">在中国境内完成。</w:t>
      </w:r>
      <w:r/>
    </w:p>
    <w:p>
      <w:pPr>
        <w:pStyle w:val="768"/>
        <w:ind w:firstLine="420"/>
        <w:spacing w:before="0" w:beforeAutospacing="0" w:after="0" w:afterAutospacing="0" w:line="500" w:lineRule="exact"/>
        <w:rPr>
          <w:rFonts w:hint="eastAsia"/>
          <w:color w:val="000000"/>
        </w:rPr>
      </w:pPr>
      <w:r>
        <w:rPr>
          <w:rFonts w:hint="eastAsia"/>
          <w:color w:val="000000"/>
          <w:shd w:val="clear" w:color="auto" w:fill="ffffff"/>
        </w:rPr>
        <w:t xml:space="preserve">……</w:t>
      </w:r>
      <w:r/>
    </w:p>
    <w:p>
      <w:pPr>
        <w:pStyle w:val="768"/>
        <w:ind w:firstLine="420"/>
        <w:spacing w:before="0" w:beforeAutospacing="0" w:after="0" w:afterAutospacing="0" w:line="500" w:lineRule="exact"/>
        <w:rPr>
          <w:rFonts w:hint="eastAsia"/>
          <w:color w:val="000000"/>
        </w:rPr>
      </w:pPr>
      <w:r>
        <w:rPr>
          <w:rFonts w:hint="eastAsia"/>
          <w:color w:val="000000"/>
          <w:shd w:val="clear" w:color="auto" w:fill="ffffff"/>
        </w:rPr>
        <w:t xml:space="preserve">本公司（单位）对上述声明内容的真实性负责。如有虚假，愿承担相应法律责任。</w:t>
      </w:r>
      <w:r/>
    </w:p>
    <w:p>
      <w:pPr>
        <w:pStyle w:val="768"/>
        <w:spacing w:before="0" w:beforeAutospacing="0" w:after="0" w:afterAutospacing="0" w:line="500" w:lineRule="exact"/>
        <w:rPr>
          <w:rFonts w:hint="eastAsia"/>
          <w:color w:val="000000"/>
        </w:rPr>
      </w:pPr>
      <w:r>
        <w:rPr>
          <w:rFonts w:hint="eastAsia"/>
          <w:color w:val="000000"/>
        </w:rPr>
      </w:r>
      <w:r/>
    </w:p>
    <w:p>
      <w:pPr>
        <w:pStyle w:val="768"/>
        <w:ind w:firstLine="3960"/>
        <w:spacing w:before="0" w:beforeAutospacing="0" w:after="0" w:afterAutospacing="0" w:line="500" w:lineRule="exact"/>
        <w:rPr>
          <w:rFonts w:hint="eastAsia"/>
          <w:color w:val="000000"/>
        </w:rPr>
      </w:pPr>
      <w:r>
        <w:rPr>
          <w:rFonts w:hint="eastAsia"/>
          <w:color w:val="000000"/>
          <w:shd w:val="clear" w:color="auto" w:fill="ffffff"/>
        </w:rPr>
        <w:t xml:space="preserve">公司（单位）名称（盖章）：　        </w:t>
      </w:r>
      <w:r/>
    </w:p>
    <w:p>
      <w:pPr>
        <w:pStyle w:val="768"/>
        <w:jc w:val="center"/>
        <w:spacing w:before="0" w:beforeAutospacing="0" w:after="0" w:afterAutospacing="0" w:line="500" w:lineRule="exact"/>
        <w:rPr>
          <w:rFonts w:hint="eastAsia"/>
          <w:color w:val="000000"/>
        </w:rPr>
      </w:pPr>
      <w:r>
        <w:rPr>
          <w:rFonts w:hint="eastAsia"/>
          <w:color w:val="000000"/>
          <w:shd w:val="clear" w:color="auto" w:fill="ffffff"/>
        </w:rPr>
        <w:t xml:space="preserve">                                日期：　   年　  月　  日         </w:t>
      </w:r>
      <w:r/>
    </w:p>
    <w:p>
      <w:pPr>
        <w:pStyle w:val="768"/>
        <w:spacing w:before="0" w:beforeAutospacing="0" w:after="0" w:afterAutospacing="0" w:line="500" w:lineRule="exact"/>
        <w:rPr>
          <w:rFonts w:hint="eastAsia"/>
          <w:color w:val="000000"/>
        </w:rPr>
      </w:pPr>
      <w:r>
        <w:rPr>
          <w:rFonts w:hint="eastAsia"/>
          <w:color w:val="000000"/>
          <w:shd w:val="clear" w:color="auto" w:fill="ffffff"/>
        </w:rPr>
        <w:t xml:space="preserve">__________________</w:t>
      </w:r>
      <w:r/>
    </w:p>
    <w:p>
      <w:pPr>
        <w:pStyle w:val="768"/>
        <w:spacing w:before="0" w:beforeAutospacing="0" w:after="0" w:afterAutospacing="0" w:line="500" w:lineRule="exact"/>
        <w:rPr>
          <w:rFonts w:hint="eastAsia"/>
          <w:color w:val="000000"/>
        </w:rPr>
      </w:pPr>
      <w:r>
        <w:rPr>
          <w:rFonts w:hint="eastAsia"/>
          <w:color w:val="000000"/>
          <w:shd w:val="clear" w:color="auto" w:fill="ffffff"/>
        </w:rPr>
        <w:t xml:space="preserve">1.产品如有型号，请在“产品名称”栏一并填写。</w:t>
      </w:r>
      <w:r/>
    </w:p>
    <w:p>
      <w:pPr>
        <w:pStyle w:val="768"/>
        <w:spacing w:before="0" w:beforeAutospacing="0" w:after="0" w:afterAutospacing="0" w:line="500" w:lineRule="exact"/>
        <w:rPr>
          <w:rFonts w:hint="eastAsia"/>
          <w:color w:val="000000"/>
        </w:rPr>
      </w:pPr>
      <w:r>
        <w:rPr>
          <w:rFonts w:hint="eastAsia"/>
          <w:color w:val="000000"/>
          <w:shd w:val="clear" w:color="auto" w:fill="ffffff"/>
        </w:rPr>
        <w:t xml:space="preserve">2.生产厂名与厂址应与生产厂营业执照载明的相关信息保持一致。</w:t>
      </w:r>
      <w:r/>
    </w:p>
    <w:p>
      <w:pPr>
        <w:pStyle w:val="768"/>
        <w:spacing w:before="0" w:beforeAutospacing="0" w:after="0" w:afterAutospacing="0" w:line="500" w:lineRule="exact"/>
        <w:rPr>
          <w:rFonts w:hint="eastAsia"/>
          <w:color w:val="000000"/>
        </w:rPr>
      </w:pPr>
      <w:r>
        <w:rPr>
          <w:rFonts w:hint="eastAsia"/>
          <w:color w:val="000000"/>
          <w:shd w:val="clear" w:color="auto" w:fill="ffffff"/>
        </w:rPr>
        <w:t xml:space="preserve">3.该产品的中国境内生产的组件成本占比相关要求实施前，“规定比例”栏可不填，下同。</w:t>
      </w:r>
      <w:r/>
    </w:p>
    <w:p>
      <w:pPr>
        <w:pStyle w:val="768"/>
        <w:spacing w:before="0" w:beforeAutospacing="0" w:after="0" w:afterAutospacing="0" w:line="500" w:lineRule="exact"/>
        <w:rPr>
          <w:rFonts w:hint="eastAsia"/>
          <w:color w:val="000000"/>
        </w:rPr>
      </w:pPr>
      <w:r>
        <w:rPr>
          <w:rFonts w:hint="eastAsia"/>
          <w:color w:val="000000"/>
          <w:shd w:val="clear" w:color="auto" w:fill="ffffff"/>
        </w:rPr>
        <w:t xml:space="preserve">4.该产品的关键组件要求实施前，“关键组件”栏可不填，下同。</w:t>
      </w:r>
      <w:r/>
    </w:p>
    <w:p>
      <w:pPr>
        <w:pStyle w:val="768"/>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5.该产品的关键工序要求实施前，“关键工序”栏可不填，下同。</w:t>
      </w:r>
      <w:r/>
    </w:p>
    <w:p>
      <w:pPr>
        <w:pStyle w:val="768"/>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6.用斜线划除的地方无需填写。</w:t>
      </w:r>
      <w:r/>
    </w:p>
    <w:p>
      <w:pPr>
        <w:pStyle w:val="768"/>
        <w:spacing w:before="0" w:beforeAutospacing="0" w:after="0" w:afterAutospacing="0" w:line="500" w:lineRule="exact"/>
        <w:rPr>
          <w:rFonts w:hint="eastAsia"/>
          <w:color w:val="000000"/>
          <w:shd w:val="clear" w:color="auto" w:fill="ffffff"/>
        </w:rPr>
      </w:pPr>
      <w:r>
        <w:rPr>
          <w:rFonts w:hint="eastAsia"/>
          <w:color w:val="000000"/>
          <w:shd w:val="clear" w:color="auto" w:fill="ffffff"/>
        </w:rPr>
      </w:r>
      <w:r/>
    </w:p>
    <w:p>
      <w:pPr>
        <w:pStyle w:val="768"/>
        <w:spacing w:before="0" w:beforeAutospacing="0" w:after="0" w:afterAutospacing="0" w:line="500" w:lineRule="exact"/>
        <w:rPr>
          <w:rFonts w:hint="eastAsia"/>
          <w:color w:val="000000"/>
          <w:shd w:val="clear" w:color="auto" w:fill="ffffff"/>
        </w:rPr>
      </w:pPr>
      <w:r>
        <w:rPr>
          <w:rFonts w:hint="eastAsia"/>
          <w:color w:val="000000"/>
          <w:shd w:val="clear" w:color="auto" w:fill="ffffff"/>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rFonts w:hint="eastAsia"/>
          <w:b/>
          <w:color w:val="000000"/>
          <w:spacing w:val="20"/>
          <w:sz w:val="32"/>
          <w:szCs w:val="32"/>
        </w:rPr>
        <w:t xml:space="preserve">七、项目实施方案 </w:t>
      </w:r>
      <w:r/>
    </w:p>
    <w:p>
      <w:pPr>
        <w:pStyle w:val="744"/>
        <w:rPr>
          <w:rFonts w:ascii="Times New Roman" w:hAnsi="Times New Roman"/>
          <w:color w:val="000000"/>
          <w:sz w:val="20"/>
          <w:szCs w:val="20"/>
        </w:rPr>
      </w:pPr>
      <w:r>
        <w:rPr>
          <w:rFonts w:ascii="Times New Roman" w:hAnsi="Times New Roman"/>
          <w:color w:val="000000"/>
          <w:sz w:val="20"/>
          <w:szCs w:val="20"/>
        </w:rPr>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采购文件中提出的需求是最基本的服务要求，各投标人须响应这些要求，并可以在此基础上，根据自身优势进一步优化。本方案可包括（但不限于）以下内容：</w:t>
      </w:r>
      <w:r/>
    </w:p>
    <w:p>
      <w:pPr>
        <w:numPr>
          <w:ilvl w:val="1"/>
          <w:numId w:val="10"/>
        </w:numPr>
        <w:spacing w:line="400" w:lineRule="exact"/>
        <w:rPr>
          <w:rFonts w:hint="eastAsia" w:ascii="宋体" w:hAnsi="宋体" w:cs="宋体"/>
          <w:color w:val="000000"/>
          <w:sz w:val="24"/>
        </w:rPr>
      </w:pPr>
      <w:r>
        <w:rPr>
          <w:rFonts w:hint="eastAsia" w:ascii="宋体" w:hAnsi="宋体"/>
          <w:color w:val="000000"/>
          <w:sz w:val="24"/>
        </w:rPr>
        <w:t xml:space="preserve">详细实施方案</w:t>
      </w:r>
      <w:r/>
    </w:p>
    <w:p>
      <w:pPr>
        <w:numPr>
          <w:ilvl w:val="1"/>
          <w:numId w:val="10"/>
        </w:numPr>
        <w:spacing w:line="400" w:lineRule="exact"/>
        <w:rPr>
          <w:rFonts w:hint="eastAsia" w:ascii="宋体" w:hAnsi="宋体" w:cs="宋体"/>
          <w:color w:val="000000"/>
          <w:sz w:val="24"/>
        </w:rPr>
      </w:pPr>
      <w:r>
        <w:rPr>
          <w:rFonts w:hint="eastAsia" w:ascii="宋体" w:hAnsi="宋体" w:cs="宋体"/>
          <w:color w:val="000000"/>
          <w:sz w:val="24"/>
        </w:rPr>
        <w:t xml:space="preserve">投标人应就人员配备、技术保证、项目质量、</w:t>
      </w:r>
      <w:r>
        <w:rPr>
          <w:rFonts w:hint="eastAsia" w:ascii="宋体" w:hAnsi="宋体"/>
          <w:color w:val="000000"/>
          <w:sz w:val="24"/>
        </w:rPr>
        <w:t xml:space="preserve">服务期限</w:t>
      </w:r>
      <w:r>
        <w:rPr>
          <w:rFonts w:hint="eastAsia" w:ascii="宋体" w:hAnsi="宋体" w:cs="宋体"/>
          <w:color w:val="000000"/>
          <w:sz w:val="24"/>
        </w:rPr>
        <w:t xml:space="preserve">等做出承诺</w:t>
      </w:r>
      <w:r/>
    </w:p>
    <w:p>
      <w:pPr>
        <w:numPr>
          <w:ilvl w:val="1"/>
          <w:numId w:val="10"/>
        </w:numPr>
        <w:spacing w:line="400" w:lineRule="exact"/>
        <w:rPr>
          <w:rFonts w:hint="eastAsia" w:ascii="宋体" w:hAnsi="宋体" w:cs="宋体"/>
          <w:color w:val="000000"/>
          <w:sz w:val="24"/>
        </w:rPr>
      </w:pPr>
      <w:r>
        <w:rPr>
          <w:rFonts w:hint="eastAsia" w:ascii="宋体" w:hAnsi="宋体" w:cs="宋体"/>
          <w:bCs/>
          <w:color w:val="000000"/>
          <w:sz w:val="24"/>
        </w:rPr>
        <w:t xml:space="preserve">对原始资料的调查与收集</w:t>
      </w:r>
      <w:r/>
    </w:p>
    <w:p>
      <w:pPr>
        <w:numPr>
          <w:ilvl w:val="1"/>
          <w:numId w:val="10"/>
        </w:numPr>
        <w:spacing w:line="400" w:lineRule="exact"/>
        <w:rPr>
          <w:rFonts w:hint="eastAsia" w:ascii="宋体" w:hAnsi="宋体" w:cs="宋体"/>
          <w:color w:val="000000"/>
          <w:sz w:val="24"/>
        </w:rPr>
      </w:pPr>
      <w:r>
        <w:rPr>
          <w:rFonts w:hint="eastAsia" w:ascii="宋体" w:hAnsi="宋体" w:cs="宋体"/>
          <w:color w:val="000000"/>
          <w:sz w:val="24"/>
        </w:rPr>
        <w:t xml:space="preserve">合理化建议（并提出相应可行的解决办法）</w:t>
      </w:r>
      <w:r/>
    </w:p>
    <w:p>
      <w:pPr>
        <w:numPr>
          <w:ilvl w:val="1"/>
          <w:numId w:val="10"/>
        </w:numPr>
        <w:spacing w:line="400" w:lineRule="exact"/>
        <w:rPr>
          <w:rFonts w:hint="eastAsia" w:ascii="宋体" w:hAnsi="宋体" w:cs="宋体"/>
          <w:color w:val="000000"/>
          <w:sz w:val="24"/>
        </w:rPr>
      </w:pPr>
      <w:r>
        <w:rPr>
          <w:rFonts w:hint="eastAsia" w:ascii="宋体" w:hAnsi="宋体" w:cs="宋体"/>
          <w:color w:val="000000"/>
          <w:sz w:val="24"/>
        </w:rPr>
        <w:t xml:space="preserve">需要招标人协助的事项</w:t>
      </w:r>
      <w:r/>
    </w:p>
    <w:p>
      <w:pPr>
        <w:numPr>
          <w:ilvl w:val="1"/>
          <w:numId w:val="10"/>
        </w:numPr>
        <w:spacing w:line="400" w:lineRule="exact"/>
        <w:rPr>
          <w:rFonts w:hint="eastAsia" w:ascii="宋体" w:hAnsi="宋体" w:cs="宋体"/>
          <w:color w:val="000000"/>
          <w:sz w:val="24"/>
        </w:rPr>
      </w:pPr>
      <w:r>
        <w:rPr>
          <w:rFonts w:hint="eastAsia" w:ascii="宋体" w:hAnsi="宋体" w:cs="宋体"/>
          <w:color w:val="000000"/>
          <w:sz w:val="24"/>
        </w:rPr>
        <w:t xml:space="preserve">投标人认为需要添加的内容</w:t>
      </w:r>
      <w:r/>
    </w:p>
    <w:p>
      <w:pPr>
        <w:pStyle w:val="853"/>
        <w:rPr>
          <w:rFonts w:hint="eastAsia"/>
        </w:rPr>
      </w:pPr>
      <w:r>
        <w:rPr>
          <w:rFonts w:hint="eastAsia"/>
        </w:rPr>
      </w:r>
      <w:r/>
    </w:p>
    <w:p>
      <w:pPr>
        <w:ind w:firstLine="4413"/>
        <w:jc w:val="left"/>
        <w:spacing w:line="400" w:lineRule="exact"/>
        <w:widowControl/>
        <w:rPr>
          <w:rFonts w:hint="eastAsia" w:ascii="宋体" w:hAnsi="宋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color w:val="000000"/>
          <w:sz w:val="24"/>
        </w:rPr>
        <w:t xml:space="preserve">  </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日</w:t>
      </w:r>
      <w:r/>
    </w:p>
    <w:p>
      <w:pPr>
        <w:jc w:val="center"/>
        <w:rPr>
          <w:rFonts w:hint="eastAsia" w:ascii="宋体" w:hAnsi="宋体"/>
          <w:color w:val="000000"/>
          <w:sz w:val="24"/>
          <w:szCs w:val="20"/>
        </w:rPr>
      </w:pPr>
      <w:r>
        <w:rPr>
          <w:rFonts w:hint="eastAsia" w:ascii="宋体" w:hAnsi="宋体"/>
          <w:color w:val="000000"/>
          <w:sz w:val="24"/>
          <w:szCs w:val="20"/>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jc w:val="center"/>
        <w:rPr>
          <w:rFonts w:ascii="楷体_GB2312" w:eastAsia="楷体_GB2312"/>
          <w:color w:val="000000"/>
          <w:sz w:val="24"/>
        </w:rPr>
      </w:pPr>
      <w:r>
        <w:rPr>
          <w:rFonts w:ascii="楷体_GB2312" w:eastAsia="楷体_GB2312"/>
          <w:color w:val="000000"/>
          <w:sz w:val="24"/>
        </w:rPr>
      </w:r>
      <w:r/>
    </w:p>
    <w:p>
      <w:pPr>
        <w:spacing w:line="400" w:lineRule="exact"/>
        <w:rPr>
          <w:rFonts w:ascii="楷体_GB2312" w:eastAsia="楷体_GB2312"/>
          <w:color w:val="000000"/>
          <w:sz w:val="24"/>
        </w:rPr>
        <w:outlineLvl w:val="1"/>
      </w:pPr>
      <w:r>
        <w:rPr>
          <w:rFonts w:ascii="楷体_GB2312" w:eastAsia="楷体_GB2312"/>
          <w:color w:val="000000"/>
          <w:sz w:val="24"/>
        </w:rPr>
      </w:r>
      <w:r/>
    </w:p>
    <w:p>
      <w:pPr>
        <w:ind w:firstLine="2529"/>
        <w:spacing w:line="400" w:lineRule="exact"/>
        <w:rPr>
          <w:b/>
          <w:color w:val="000000"/>
          <w:spacing w:val="20"/>
          <w:sz w:val="32"/>
          <w:szCs w:val="32"/>
        </w:rPr>
        <w:outlineLvl w:val="1"/>
      </w:pPr>
      <w:r>
        <w:rPr>
          <w:rFonts w:hint="eastAsia"/>
          <w:b/>
          <w:color w:val="000000"/>
          <w:spacing w:val="20"/>
          <w:sz w:val="32"/>
          <w:szCs w:val="32"/>
        </w:rPr>
        <w:t xml:space="preserve">八、基本服务承诺书 </w:t>
      </w:r>
      <w:r>
        <w:rPr>
          <w:b/>
          <w:color w:val="000000"/>
          <w:spacing w:val="20"/>
          <w:sz w:val="32"/>
          <w:szCs w:val="32"/>
        </w:rPr>
        <w:t xml:space="preserve"> </w:t>
      </w:r>
      <w:r/>
    </w:p>
    <w:p>
      <w:pPr>
        <w:spacing w:line="400" w:lineRule="exact"/>
        <w:rPr>
          <w:rFonts w:hint="eastAsia" w:ascii="宋体" w:hAnsi="宋体"/>
          <w:b/>
          <w:bCs/>
          <w:color w:val="000000"/>
          <w:sz w:val="28"/>
          <w:szCs w:val="28"/>
        </w:rPr>
      </w:pPr>
      <w:r>
        <w:rPr>
          <w:rFonts w:hint="eastAsia" w:ascii="宋体" w:hAnsi="宋体"/>
          <w:b/>
          <w:bCs/>
          <w:color w:val="000000"/>
          <w:sz w:val="28"/>
          <w:szCs w:val="28"/>
        </w:rPr>
      </w:r>
      <w:r/>
    </w:p>
    <w:p>
      <w:pPr>
        <w:numPr>
          <w:ilvl w:val="0"/>
          <w:numId w:val="11"/>
        </w:numPr>
        <w:ind w:firstLine="480"/>
        <w:spacing w:line="400" w:lineRule="exact"/>
        <w:rPr>
          <w:color w:val="000000"/>
          <w:sz w:val="20"/>
          <w:szCs w:val="20"/>
        </w:rPr>
      </w:pPr>
      <w:r>
        <w:rPr>
          <w:rFonts w:hint="eastAsia" w:ascii="宋体" w:hAnsi="宋体"/>
          <w:bCs/>
          <w:color w:val="000000"/>
          <w:sz w:val="24"/>
        </w:rPr>
        <w:t xml:space="preserve">我单位确保按中标结果确定价格并及时提供货物或服务。</w:t>
      </w:r>
      <w:r/>
    </w:p>
    <w:p>
      <w:pPr>
        <w:ind w:firstLine="480"/>
        <w:jc w:val="left"/>
        <w:spacing w:line="400" w:lineRule="exact"/>
        <w:rPr>
          <w:rFonts w:hint="eastAsia"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600"/>
        <w:spacing w:line="400" w:lineRule="exact"/>
        <w:rPr>
          <w:rFonts w:hint="eastAsia" w:ascii="宋体" w:hAnsi="宋体"/>
          <w:bCs/>
          <w:color w:val="000000"/>
          <w:sz w:val="24"/>
        </w:rPr>
      </w:pPr>
      <w:r>
        <w:rPr>
          <w:rFonts w:hint="eastAsia" w:ascii="宋体" w:hAnsi="宋体"/>
          <w:bCs/>
          <w:color w:val="000000"/>
          <w:sz w:val="24"/>
        </w:rPr>
      </w:r>
      <w:r/>
    </w:p>
    <w:p>
      <w:pPr>
        <w:pStyle w:val="853"/>
        <w:rPr>
          <w:rFonts w:hint="eastAsia"/>
        </w:rPr>
      </w:pPr>
      <w:r>
        <w:rPr>
          <w:rFonts w:hint="eastAsia"/>
        </w:rPr>
      </w:r>
      <w:r/>
    </w:p>
    <w:p>
      <w:pPr>
        <w:ind w:firstLine="4320"/>
        <w:spacing w:line="400" w:lineRule="exact"/>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日</w:t>
      </w:r>
      <w:r/>
    </w:p>
    <w:p>
      <w:pPr>
        <w:keepLines/>
        <w:keepNext/>
        <w:spacing w:after="240" w:line="360" w:lineRule="auto"/>
        <w:widowControl/>
        <w:rPr>
          <w:color w:val="000000"/>
        </w:rPr>
        <w:outlineLvl w:val="0"/>
      </w:pPr>
      <w:r>
        <w:rPr>
          <w:color w:val="000000"/>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jc w:val="center"/>
        <w:spacing w:line="360" w:lineRule="auto"/>
        <w:rPr>
          <w:b/>
          <w:color w:val="000000"/>
          <w:spacing w:val="20"/>
          <w:sz w:val="30"/>
          <w:szCs w:val="30"/>
        </w:rPr>
      </w:pPr>
      <w:r>
        <w:rPr>
          <w:rFonts w:hint="eastAsia"/>
          <w:b/>
          <w:color w:val="000000"/>
          <w:spacing w:val="20"/>
          <w:sz w:val="30"/>
          <w:szCs w:val="30"/>
        </w:rPr>
        <w:t xml:space="preserve">九、法人授权书（实质性格式）</w:t>
      </w:r>
      <w:r/>
    </w:p>
    <w:p>
      <w:pPr>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________________</w:t>
      </w:r>
      <w:r>
        <w:rPr>
          <w:rFonts w:hint="eastAsia"/>
          <w:color w:val="000000"/>
          <w:sz w:val="24"/>
        </w:rPr>
        <w:t xml:space="preserve">（被授权人的姓名）为我方就</w:t>
      </w:r>
      <w:r>
        <w:rPr>
          <w:color w:val="000000"/>
          <w:sz w:val="24"/>
        </w:rPr>
        <w:t xml:space="preserve">JSZC-</w:t>
      </w:r>
      <w:r>
        <w:rPr>
          <w:color w:val="000000"/>
          <w:sz w:val="24"/>
          <w:u w:val="single"/>
        </w:rPr>
        <w:t xml:space="preserve">        </w:t>
      </w:r>
      <w:r>
        <w:rPr>
          <w:rFonts w:hint="eastAsia"/>
          <w:color w:val="000000"/>
          <w:sz w:val="24"/>
        </w:rPr>
        <w:t xml:space="preserve">号项目采购活动的合法代理人，以本单位名义全权处理一切与该项目采购有关的事务。</w:t>
      </w:r>
      <w:r/>
    </w:p>
    <w:p>
      <w:pPr>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p>
    <w:p>
      <w:pPr>
        <w:ind w:firstLine="480"/>
        <w:spacing w:line="360" w:lineRule="auto"/>
        <w:tabs>
          <w:tab w:val="left" w:pos="360" w:leader="none"/>
        </w:tabs>
        <w:rPr>
          <w:color w:val="000000"/>
          <w:sz w:val="24"/>
        </w:rPr>
      </w:pPr>
      <w:r>
        <w:rPr>
          <w:color w:val="000000"/>
          <w:sz w:val="24"/>
        </w:rPr>
      </w:r>
      <w:r/>
    </w:p>
    <w:p>
      <w:pPr>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被授权人身份证号码：</w:t>
      </w:r>
      <w:r>
        <w:rPr>
          <w:color w:val="000000"/>
          <w:sz w:val="24"/>
          <w:u w:val="single"/>
        </w:rPr>
        <w:t xml:space="preserve">                              </w:t>
      </w:r>
      <w:r/>
    </w:p>
    <w:p>
      <w:pPr>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p>
    <w:p>
      <w:pPr>
        <w:ind w:firstLine="480"/>
        <w:jc w:val="left"/>
        <w:spacing w:line="360" w:lineRule="auto"/>
        <w:rPr>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p>
    <w:p>
      <w:pPr>
        <w:ind w:firstLine="4080"/>
        <w:spacing w:line="360" w:lineRule="auto"/>
        <w:tabs>
          <w:tab w:val="left" w:pos="360" w:leader="none"/>
        </w:tabs>
        <w:rPr>
          <w:color w:val="000000"/>
          <w:sz w:val="24"/>
        </w:rPr>
      </w:pPr>
      <w:r>
        <w:rPr>
          <w:color w:val="000000"/>
          <w:sz w:val="24"/>
        </w:rPr>
      </w:r>
      <w:r/>
    </w:p>
    <w:p>
      <w:pPr>
        <w:ind w:firstLine="4080"/>
        <w:spacing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p>
    <w:p>
      <w:pPr>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 单位地址：</w:t>
      </w:r>
      <w:r>
        <w:rPr>
          <w:color w:val="000000"/>
          <w:sz w:val="24"/>
          <w:u w:val="single"/>
        </w:rPr>
        <w:t xml:space="preserve">                     </w:t>
      </w:r>
      <w:r/>
    </w:p>
    <w:p>
      <w:pPr>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日期：</w:t>
      </w:r>
      <w:bookmarkStart w:id="312" w:name="_Hlt26955070"/>
      <w:r/>
      <w:bookmarkEnd w:id="312"/>
      <w:r/>
      <w:bookmarkStart w:id="313" w:name="_Hlt26671380"/>
      <w:r/>
      <w:bookmarkEnd w:id="313"/>
      <w:r/>
      <w:bookmarkStart w:id="314" w:name="_格式3__银行出具的资信证明"/>
      <w:r/>
      <w:bookmarkEnd w:id="314"/>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ind w:firstLine="723"/>
        <w:jc w:val="center"/>
        <w:spacing w:after="120" w:line="360" w:lineRule="auto"/>
        <w:rPr>
          <w:b/>
          <w:color w:val="000000"/>
          <w:spacing w:val="20"/>
          <w:sz w:val="32"/>
          <w:szCs w:val="32"/>
        </w:rPr>
      </w:pPr>
      <w:r>
        <w:rPr>
          <w:rFonts w:hint="eastAsia"/>
          <w:b/>
          <w:color w:val="000000"/>
          <w:spacing w:val="20"/>
          <w:sz w:val="32"/>
          <w:szCs w:val="32"/>
        </w:rPr>
        <w:t xml:space="preserve">十、资格承诺声明函</w:t>
      </w:r>
      <w:r>
        <w:rPr>
          <w:b/>
          <w:color w:val="000000"/>
          <w:spacing w:val="20"/>
          <w:sz w:val="32"/>
          <w:szCs w:val="32"/>
        </w:rPr>
        <w:t xml:space="preserve">（实质性格式）</w:t>
      </w:r>
      <w:r/>
    </w:p>
    <w:p>
      <w:pPr>
        <w:spacing w:line="500" w:lineRule="exact"/>
        <w:rPr>
          <w:rFonts w:hint="eastAsia" w:ascii="宋体" w:hAnsi="宋体" w:cs="楷体"/>
          <w:color w:val="000000"/>
          <w:sz w:val="24"/>
        </w:rPr>
      </w:pPr>
      <w:r>
        <w:rPr>
          <w:rFonts w:hint="eastAsia" w:ascii="宋体" w:hAnsi="宋体" w:cs="楷体"/>
          <w:color w:val="000000"/>
          <w:sz w:val="24"/>
        </w:rPr>
        <w:t xml:space="preserve">致本项目采购单位及政府代理机构：</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二、我单位具有独立承担民事责任的能力。</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三、我单位具有良好的商业信誉和健全的财务会计制度。</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四、我单位具有履行合同所必需的设备和专业技术能力。</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五、我单位有依法缴纳税收和社会保障资金的良好记录。</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七、我单位具备法律、行政法规规定的其他条件。</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sz w:val="24"/>
        </w:rPr>
      </w:pPr>
      <w:r>
        <w:rPr>
          <w:rFonts w:hint="eastAsia" w:ascii="宋体" w:hAnsi="宋体" w:cs="楷体"/>
          <w:color w:val="000000"/>
          <w:sz w:val="24"/>
        </w:rPr>
      </w:r>
      <w:r/>
    </w:p>
    <w:p>
      <w:pPr>
        <w:pStyle w:val="1023"/>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ind w:firstLine="480"/>
        <w:jc w:val="center"/>
        <w:spacing w:line="500" w:lineRule="exact"/>
        <w:rPr>
          <w:rFonts w:hint="eastAsia" w:ascii="宋体" w:hAnsi="宋体" w:cs="楷体"/>
          <w:color w:val="000000"/>
          <w:sz w:val="24"/>
        </w:rPr>
      </w:pPr>
      <w:r>
        <w:rPr>
          <w:rFonts w:hint="eastAsia" w:ascii="宋体" w:hAnsi="宋体" w:cs="楷体"/>
          <w:color w:val="000000"/>
          <w:sz w:val="24"/>
        </w:rPr>
        <w:t xml:space="preserve"> </w:t>
      </w:r>
      <w:r>
        <w:rPr>
          <w:rFonts w:ascii="宋体" w:hAnsi="宋体" w:cs="楷体"/>
          <w:color w:val="000000"/>
          <w:sz w:val="24"/>
        </w:rPr>
        <w:t xml:space="preserve">           </w:t>
      </w:r>
      <w:r>
        <w:rPr>
          <w:rFonts w:hint="eastAsia" w:ascii="宋体" w:hAnsi="宋体" w:cs="楷体"/>
          <w:color w:val="000000"/>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p>
    <w:p>
      <w:pPr>
        <w:ind w:firstLine="432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ind w:firstLine="480"/>
        <w:jc w:val="center"/>
        <w:spacing w:line="500" w:lineRule="exact"/>
        <w:rPr>
          <w:rFonts w:hint="eastAsia" w:ascii="宋体" w:hAnsi="宋体" w:cs="楷体"/>
          <w:color w:val="000000"/>
          <w:sz w:val="24"/>
        </w:rPr>
      </w:pPr>
      <w:r>
        <w:rPr>
          <w:rFonts w:ascii="宋体" w:hAnsi="宋体" w:cs="楷体"/>
          <w:color w:val="000000"/>
          <w:sz w:val="24"/>
        </w:rPr>
        <w:t xml:space="preserve">            </w:t>
      </w:r>
      <w:r>
        <w:rPr>
          <w:rFonts w:hint="eastAsia" w:ascii="宋体" w:hAnsi="宋体" w:cs="楷体"/>
          <w:color w:val="000000"/>
          <w:sz w:val="24"/>
        </w:rPr>
        <w:t xml:space="preserve">   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p>
    <w:p>
      <w:pPr>
        <w:spacing w:line="440" w:lineRule="exact"/>
        <w:widowControl/>
        <w:rPr>
          <w:rFonts w:hint="eastAsia" w:ascii="宋体" w:hAnsi="宋体" w:cs="楷体"/>
          <w:color w:val="000000"/>
          <w:sz w:val="24"/>
        </w:rPr>
      </w:pPr>
      <w:r>
        <w:rPr>
          <w:rFonts w:hint="eastAsia" w:ascii="宋体" w:hAnsi="宋体" w:cs="楷体"/>
          <w:color w:val="000000"/>
          <w:sz w:val="24"/>
        </w:rPr>
      </w:r>
      <w:r/>
    </w:p>
    <w:p>
      <w:pPr>
        <w:spacing w:line="440" w:lineRule="exact"/>
        <w:widowControl/>
        <w:rPr>
          <w:rFonts w:hint="eastAsia" w:ascii="宋体" w:hAnsi="宋体"/>
          <w:b/>
          <w:color w:val="000000"/>
          <w:sz w:val="24"/>
        </w:rPr>
      </w:pPr>
      <w:r>
        <w:rPr>
          <w:rFonts w:hint="eastAsia" w:ascii="宋体" w:hAnsi="宋体"/>
          <w:b/>
          <w:color w:val="000000"/>
          <w:sz w:val="24"/>
        </w:rPr>
      </w:r>
      <w:r/>
    </w:p>
    <w:p>
      <w:pPr>
        <w:spacing w:line="440" w:lineRule="exact"/>
        <w:widowControl/>
        <w:rPr>
          <w:rFonts w:hint="eastAsia" w:ascii="宋体" w:hAnsi="宋体"/>
          <w:b/>
          <w:color w:val="000000"/>
          <w:sz w:val="24"/>
        </w:rPr>
      </w:pPr>
      <w:r>
        <w:rPr>
          <w:rFonts w:hint="eastAsia" w:ascii="宋体" w:hAnsi="宋体"/>
          <w:b/>
          <w:color w:val="000000"/>
          <w:sz w:val="24"/>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spacing w:line="440" w:lineRule="exact"/>
        <w:widowControl/>
        <w:rPr>
          <w:rFonts w:hint="eastAsia" w:ascii="宋体" w:hAnsi="宋体"/>
          <w:b/>
          <w:color w:val="000000"/>
          <w:sz w:val="24"/>
        </w:rPr>
      </w:pPr>
      <w:r>
        <w:rPr>
          <w:rFonts w:hint="eastAsia" w:ascii="宋体" w:hAnsi="宋体"/>
          <w:b/>
          <w:color w:val="000000"/>
          <w:sz w:val="24"/>
        </w:rPr>
      </w:r>
      <w:r/>
    </w:p>
    <w:p>
      <w:pPr>
        <w:pStyle w:val="1025"/>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sz w:val="24"/>
        </w:rPr>
      </w:pPr>
      <w:r>
        <w:rPr>
          <w:rFonts w:hint="eastAsia" w:ascii="宋体" w:hAnsi="宋体" w:cs="楷体"/>
          <w:color w:val="000000"/>
          <w:sz w:val="24"/>
        </w:rPr>
      </w:r>
      <w:r/>
    </w:p>
    <w:p>
      <w:pPr>
        <w:ind w:firstLine="480"/>
        <w:spacing w:line="360" w:lineRule="auto"/>
        <w:rPr>
          <w:rFonts w:hint="eastAsia" w:ascii="宋体" w:hAnsi="宋体" w:cs="楷体"/>
          <w:color w:val="000000"/>
          <w:sz w:val="24"/>
        </w:rPr>
      </w:pPr>
      <w:r>
        <w:rPr>
          <w:rFonts w:hint="eastAsia" w:ascii="宋体" w:hAnsi="宋体" w:cs="楷体"/>
          <w:color w:val="000000"/>
          <w:sz w:val="24"/>
        </w:rPr>
      </w:r>
      <w:r/>
    </w:p>
    <w:p>
      <w:pPr>
        <w:ind w:firstLine="5040"/>
        <w:spacing w:line="400" w:lineRule="exact"/>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p>
    <w:p>
      <w:pPr>
        <w:ind w:firstLine="504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pStyle w:val="1021"/>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年   月   日</w:t>
      </w:r>
      <w:r/>
    </w:p>
    <w:p>
      <w:pPr>
        <w:pStyle w:val="1021"/>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021"/>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021"/>
        <w:ind w:right="0" w:firstLine="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ind w:firstLine="2168"/>
        <w:spacing w:after="120" w:line="360" w:lineRule="auto"/>
        <w:rPr>
          <w:b/>
          <w:color w:val="000000"/>
          <w:spacing w:val="20"/>
          <w:sz w:val="32"/>
          <w:szCs w:val="32"/>
        </w:rPr>
      </w:pPr>
      <w:r>
        <w:rPr>
          <w:rFonts w:hint="eastAsia"/>
          <w:b/>
          <w:color w:val="000000"/>
          <w:spacing w:val="20"/>
          <w:sz w:val="32"/>
          <w:szCs w:val="32"/>
        </w:rPr>
        <w:t xml:space="preserve">十二、</w:t>
      </w:r>
      <w:r>
        <w:rPr>
          <w:b/>
          <w:color w:val="000000"/>
          <w:spacing w:val="20"/>
          <w:sz w:val="32"/>
          <w:szCs w:val="32"/>
        </w:rPr>
        <w:t xml:space="preserve">联合体</w:t>
      </w:r>
      <w:r>
        <w:rPr>
          <w:rFonts w:hint="eastAsia"/>
          <w:b/>
          <w:color w:val="000000"/>
          <w:spacing w:val="20"/>
          <w:sz w:val="32"/>
          <w:szCs w:val="32"/>
        </w:rPr>
        <w:t xml:space="preserve">协议</w:t>
      </w:r>
      <w:r>
        <w:rPr>
          <w:b/>
          <w:color w:val="000000"/>
          <w:spacing w:val="20"/>
          <w:sz w:val="32"/>
          <w:szCs w:val="32"/>
        </w:rPr>
        <w:t xml:space="preserve">（</w:t>
      </w:r>
      <w:r>
        <w:rPr>
          <w:b/>
          <w:color w:val="000000"/>
          <w:spacing w:val="20"/>
          <w:sz w:val="32"/>
          <w:szCs w:val="32"/>
        </w:rPr>
        <w:t xml:space="preserve">若有</w:t>
      </w:r>
      <w:r>
        <w:rPr>
          <w:b/>
          <w:color w:val="000000"/>
          <w:spacing w:val="20"/>
          <w:sz w:val="32"/>
          <w:szCs w:val="32"/>
        </w:rPr>
        <w:t xml:space="preserve">为</w:t>
      </w:r>
      <w:r>
        <w:rPr>
          <w:b/>
          <w:color w:val="000000"/>
          <w:spacing w:val="20"/>
          <w:sz w:val="32"/>
          <w:szCs w:val="32"/>
        </w:rPr>
        <w:t xml:space="preserve">实质性格式）</w:t>
      </w:r>
      <w:r>
        <w:t xml:space="preserve"> </w:t>
      </w:r>
      <w:r/>
    </w:p>
    <w:p>
      <w:pPr>
        <w:spacing w:line="560" w:lineRule="exact"/>
        <w:rPr>
          <w:rFonts w:hint="eastAsia" w:ascii="宋体" w:hAnsi="宋体"/>
          <w:color w:val="000000"/>
          <w:sz w:val="24"/>
          <w:szCs w:val="21"/>
        </w:rPr>
      </w:pPr>
      <w:r/>
      <w:bookmarkStart w:id="315" w:name="_Hlk149905720"/>
      <w:r>
        <w:rPr>
          <w:rFonts w:hint="eastAsia" w:ascii="宋体" w:hAnsi="宋体"/>
          <w:color w:val="000000"/>
          <w:sz w:val="24"/>
          <w:szCs w:val="21"/>
        </w:rPr>
        <w:t xml:space="preserve">（联合体中各供应商全称）在此达成以下协议：</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自愿组成联合体，参加江苏嘉加诚工程投资咨询有限公司组织的采购编号为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 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ind w:firstLine="645"/>
        <w:spacing w:line="560" w:lineRule="exact"/>
        <w:rPr>
          <w:rFonts w:hint="eastAsia"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firstLine="645"/>
        <w:jc w:val="right"/>
        <w:spacing w:line="560" w:lineRule="exact"/>
        <w:rPr>
          <w:rFonts w:hint="eastAsia"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bookmarkEnd w:id="315"/>
      <w:r/>
      <w:r/>
    </w:p>
    <w:p>
      <w:pPr>
        <w:ind w:left="480"/>
        <w:jc w:val="right"/>
        <w:spacing w:line="360" w:lineRule="auto"/>
        <w:rPr>
          <w:b/>
          <w:color w:val="000000"/>
          <w:sz w:val="24"/>
        </w:rPr>
      </w:pPr>
      <w:r>
        <w:rPr>
          <w:b/>
          <w:color w:val="000000"/>
          <w:sz w:val="24"/>
        </w:rPr>
      </w:r>
      <w:r/>
    </w:p>
    <w:p>
      <w:pPr>
        <w:ind w:firstLine="480"/>
        <w:spacing w:line="360" w:lineRule="auto"/>
        <w:tabs>
          <w:tab w:val="left" w:pos="8280" w:leader="none"/>
        </w:tabs>
        <w:rPr>
          <w:color w:val="000000"/>
          <w:sz w:val="24"/>
        </w:rPr>
      </w:pPr>
      <w:r>
        <w:rPr>
          <w:color w:val="000000"/>
          <w:sz w:val="24"/>
        </w:rPr>
      </w:r>
      <w:r/>
    </w:p>
    <w:p>
      <w:pPr>
        <w:ind w:firstLine="480"/>
        <w:spacing w:line="360" w:lineRule="auto"/>
        <w:tabs>
          <w:tab w:val="left" w:pos="8280" w:leader="none"/>
        </w:tabs>
        <w:rPr>
          <w:color w:val="000000"/>
          <w:sz w:val="24"/>
        </w:rPr>
      </w:pPr>
      <w:r>
        <w:rPr>
          <w:color w:val="000000"/>
          <w:sz w:val="24"/>
        </w:rPr>
      </w:r>
      <w:r/>
    </w:p>
    <w:p>
      <w:pPr>
        <w:pStyle w:val="853"/>
        <w:rPr>
          <w:rFonts w:hint="eastAsia"/>
        </w:rPr>
      </w:pPr>
      <w:r>
        <w:rPr>
          <w:rFonts w:hint="eastAsia"/>
        </w:rPr>
      </w:r>
      <w:r/>
    </w:p>
    <w:p>
      <w:pPr>
        <w:pStyle w:val="853"/>
        <w:rPr>
          <w:rFonts w:hint="eastAsia"/>
        </w:rPr>
      </w:pPr>
      <w:r>
        <w:rPr>
          <w:rFonts w:hint="eastAsia"/>
        </w:rPr>
      </w:r>
      <w:r/>
    </w:p>
    <w:p>
      <w:pPr>
        <w:spacing w:after="120" w:line="360" w:lineRule="auto"/>
        <w:rPr>
          <w:b/>
          <w:color w:val="000000"/>
          <w:spacing w:val="20"/>
          <w:sz w:val="32"/>
          <w:szCs w:val="32"/>
        </w:rPr>
      </w:pPr>
      <w:r>
        <w:rPr>
          <w:b/>
          <w:color w:val="000000"/>
          <w:spacing w:val="20"/>
          <w:sz w:val="32"/>
          <w:szCs w:val="32"/>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十三、投标函</w:t>
      </w:r>
      <w:r>
        <w:rPr>
          <w:b/>
          <w:color w:val="000000"/>
          <w:spacing w:val="20"/>
          <w:sz w:val="32"/>
          <w:szCs w:val="32"/>
        </w:rPr>
        <w:t xml:space="preserve">（实质性格式）</w:t>
      </w:r>
      <w:r/>
    </w:p>
    <w:p>
      <w:pPr>
        <w:jc w:val="left"/>
        <w:spacing w:line="420" w:lineRule="exact"/>
        <w:rPr>
          <w:rFonts w:hint="eastAsia" w:ascii="宋体" w:hAnsi="宋体"/>
          <w:color w:val="000000"/>
          <w:sz w:val="24"/>
          <w:szCs w:val="21"/>
        </w:rPr>
      </w:pPr>
      <w:r>
        <w:rPr>
          <w:rFonts w:hint="eastAsia" w:ascii="宋体" w:hAnsi="宋体"/>
          <w:color w:val="000000"/>
          <w:sz w:val="24"/>
          <w:szCs w:val="21"/>
        </w:rPr>
        <w:t xml:space="preserve">致：江苏嘉加诚工程投资咨询有限公司</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w:t>
      </w:r>
      <w:r>
        <w:rPr>
          <w:rFonts w:hint="eastAsia" w:ascii="宋体" w:hAnsi="宋体"/>
          <w:b/>
          <w:color w:val="000000"/>
          <w:sz w:val="36"/>
          <w:u w:val="single"/>
        </w:rPr>
        <w:t xml:space="preserve">            </w:t>
      </w:r>
      <w:r>
        <w:rPr>
          <w:rFonts w:hint="eastAsia" w:ascii="宋体" w:hAnsi="宋体"/>
          <w:color w:val="000000"/>
          <w:sz w:val="24"/>
          <w:szCs w:val="21"/>
        </w:rPr>
        <w:t xml:space="preserve">号招标文件，正式授权_________________(姓名)代表我方______________（投标人的名称），全权处理本次项目投标的有关事宜。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t xml:space="preserve"> </w:t>
      </w:r>
      <w:r>
        <w:t xml:space="preserve">                                                                          </w:t>
      </w:r>
      <w:bookmarkStart w:id="316" w:name="_Hlk149905800"/>
      <w:r>
        <w:rPr>
          <w:rFonts w:hint="eastAsia" w:ascii="宋体" w:hAnsi="宋体"/>
          <w:bCs/>
        </w:rPr>
        <w:t xml:space="preserve">投标单位名称：</w:t>
      </w:r>
      <w:r>
        <w:rPr>
          <w:rFonts w:hint="eastAsia" w:ascii="宋体" w:hAnsi="宋体" w:cs="楷体"/>
        </w:rPr>
        <w:t xml:space="preserve">（加盖CA电子公章）</w:t>
      </w:r>
      <w:bookmarkEnd w:id="316"/>
      <w:r/>
      <w:r/>
    </w:p>
    <w:p>
      <w:pPr>
        <w:ind w:left="420" w:firstLine="4560"/>
        <w:jc w:val="left"/>
        <w:spacing w:line="420" w:lineRule="exact"/>
        <w:rPr>
          <w:rFonts w:hint="eastAsia" w:ascii="宋体" w:hAnsi="宋体"/>
          <w:color w:val="000000"/>
          <w:sz w:val="24"/>
          <w:szCs w:val="21"/>
        </w:rPr>
      </w:pPr>
      <w:r>
        <w:rPr>
          <w:rFonts w:hint="eastAsia" w:ascii="宋体" w:hAnsi="宋体"/>
          <w:color w:val="000000"/>
          <w:sz w:val="24"/>
          <w:szCs w:val="21"/>
        </w:rPr>
        <w:t xml:space="preserve">日期：________年____月____日</w:t>
      </w:r>
      <w:r/>
    </w:p>
    <w:p>
      <w:pPr>
        <w:pStyle w:val="744"/>
        <w:rPr>
          <w:rFonts w:ascii="Times New Roman" w:hAnsi="Times New Roman"/>
          <w:color w:val="000000"/>
          <w:sz w:val="20"/>
          <w:szCs w:val="20"/>
        </w:rPr>
      </w:pPr>
      <w:r>
        <w:rPr>
          <w:rFonts w:ascii="Times New Roman" w:hAnsi="Times New Roman"/>
          <w:color w:val="000000"/>
          <w:sz w:val="20"/>
          <w:szCs w:val="20"/>
        </w:rPr>
      </w:r>
      <w:r/>
    </w:p>
    <w:p>
      <w:pPr>
        <w:pStyle w:val="744"/>
        <w:rPr>
          <w:rFonts w:hint="eastAsia"/>
          <w:color w:val="000000"/>
        </w:rPr>
      </w:pPr>
      <w:r>
        <w:rPr>
          <w:rFonts w:hint="eastAsia"/>
          <w:color w:val="000000"/>
        </w:rPr>
      </w:r>
      <w:r/>
    </w:p>
    <w:p>
      <w:pPr>
        <w:pStyle w:val="744"/>
        <w:rPr>
          <w:rFonts w:hint="eastAsia"/>
          <w:color w:val="000000"/>
        </w:rPr>
      </w:pPr>
      <w:r>
        <w:rPr>
          <w:rFonts w:hint="eastAsia"/>
          <w:color w:val="000000"/>
        </w:rPr>
      </w:r>
      <w:r/>
    </w:p>
    <w:p>
      <w:pPr>
        <w:jc w:val="center"/>
        <w:rPr>
          <w:b/>
          <w:color w:val="000000"/>
          <w:spacing w:val="20"/>
          <w:sz w:val="32"/>
          <w:szCs w:val="32"/>
        </w:rPr>
      </w:pPr>
      <w:r>
        <w:rPr>
          <w:b/>
          <w:color w:val="000000"/>
          <w:spacing w:val="20"/>
          <w:sz w:val="32"/>
          <w:szCs w:val="32"/>
        </w:rPr>
      </w:r>
      <w:r/>
    </w:p>
    <w:p>
      <w:pPr>
        <w:pStyle w:val="853"/>
        <w:rPr>
          <w:rFonts w:hint="eastAsia"/>
        </w:rPr>
      </w:pPr>
      <w:r>
        <w:rPr>
          <w:rFonts w:hint="eastAsia"/>
        </w:rPr>
      </w:r>
      <w:r/>
    </w:p>
    <w:p>
      <w:pPr>
        <w:pStyle w:val="853"/>
        <w:rPr>
          <w:rFonts w:hint="eastAsia"/>
        </w:rPr>
      </w:pPr>
      <w:r>
        <w:rPr>
          <w:rFonts w:hint="eastAsia"/>
        </w:rPr>
      </w:r>
      <w:r/>
    </w:p>
    <w:p>
      <w:pPr>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十四、</w:t>
      </w:r>
      <w:r>
        <w:rPr>
          <w:rFonts w:hint="eastAsia"/>
          <w:b/>
          <w:color w:val="000000"/>
          <w:spacing w:val="20"/>
          <w:sz w:val="32"/>
          <w:szCs w:val="32"/>
          <w:lang w:val="en-US" w:eastAsia="zh-CN"/>
        </w:rPr>
        <w:t xml:space="preserve">采购需求偏</w:t>
      </w:r>
      <w:bookmarkStart w:id="317" w:name="_GoBack"/>
      <w:r/>
      <w:bookmarkEnd w:id="317"/>
      <w:r>
        <w:rPr>
          <w:rFonts w:hint="eastAsia"/>
          <w:b/>
          <w:color w:val="000000"/>
          <w:spacing w:val="20"/>
          <w:sz w:val="32"/>
          <w:szCs w:val="32"/>
        </w:rPr>
        <w:t xml:space="preserve">离表</w:t>
      </w:r>
      <w:r>
        <w:rPr>
          <w:b/>
          <w:color w:val="000000"/>
          <w:spacing w:val="20"/>
          <w:sz w:val="32"/>
          <w:szCs w:val="32"/>
        </w:rPr>
        <w:t xml:space="preserve">（实质性格式）</w:t>
      </w:r>
      <w:r/>
    </w:p>
    <w:p>
      <w:pPr>
        <w:spacing w:line="360" w:lineRule="auto"/>
        <w:rPr>
          <w:rFonts w:hint="eastAsia" w:ascii="宋体" w:hAnsi="宋体" w:cs="宋体"/>
          <w:b/>
          <w:color w:val="000000"/>
          <w:sz w:val="20"/>
          <w:szCs w:val="21"/>
          <w:lang w:bidi="ar"/>
        </w:rPr>
      </w:pPr>
      <w:r>
        <w:rPr>
          <w:rFonts w:hint="eastAsia" w:ascii="宋体" w:hAnsi="宋体" w:cs="黑体"/>
          <w:b/>
          <w:color w:val="000000"/>
          <w:sz w:val="24"/>
        </w:rPr>
        <w:t xml:space="preserve">采购项目编号： </w:t>
      </w:r>
      <w:r>
        <w:rPr>
          <w:rFonts w:hint="eastAsia" w:ascii="宋体" w:hAnsi="宋体" w:cs="宋体"/>
          <w:b/>
          <w:color w:val="000000"/>
          <w:sz w:val="20"/>
          <w:szCs w:val="21"/>
          <w:lang w:bidi="ar"/>
        </w:rPr>
        <w:t xml:space="preserve">      </w:t>
      </w:r>
      <w:r/>
    </w:p>
    <w:tbl>
      <w:tblPr>
        <w:tblStyle w:val="737"/>
        <w:tblpPr w:horzAnchor="page" w:tblpX="1482" w:vertAnchor="text" w:tblpY="396" w:leftFromText="180" w:topFromText="0" w:rightFromText="180" w:bottomFromText="0"/>
        <w:tblW w:w="91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666"/>
        <w:gridCol w:w="2213"/>
        <w:gridCol w:w="1426"/>
        <w:gridCol w:w="1297"/>
        <w:gridCol w:w="1938"/>
        <w:gridCol w:w="1564"/>
      </w:tblGrid>
      <w:tr>
        <w:trPr>
          <w:trHeight w:val="546"/>
        </w:trPr>
        <w:tc>
          <w:tcPr>
            <w:tcW w:w="666"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序号</w:t>
            </w:r>
            <w:r/>
          </w:p>
        </w:tc>
        <w:tc>
          <w:tcPr>
            <w:tcW w:w="2213" w:type="dxa"/>
            <w:vAlign w:val="center"/>
            <w:textDirection w:val="lrTb"/>
            <w:noWrap w:val="false"/>
          </w:tcPr>
          <w:p>
            <w:pPr>
              <w:ind w:firstLine="480"/>
              <w:spacing w:line="360" w:lineRule="auto"/>
              <w:rPr>
                <w:rFonts w:hint="eastAsia" w:ascii="宋体" w:hAnsi="宋体" w:cs="黑体"/>
                <w:bCs/>
                <w:color w:val="000000"/>
                <w:sz w:val="24"/>
              </w:rPr>
            </w:pPr>
            <w:r>
              <w:rPr>
                <w:rFonts w:hint="eastAsia" w:ascii="宋体" w:hAnsi="宋体" w:cs="黑体"/>
                <w:bCs/>
                <w:color w:val="000000"/>
                <w:sz w:val="24"/>
              </w:rPr>
              <w:t xml:space="preserve">名称及内容</w:t>
            </w:r>
            <w:r/>
          </w:p>
        </w:tc>
        <w:tc>
          <w:tcPr>
            <w:tcW w:w="1426"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招标文件技术参数</w:t>
            </w:r>
            <w:r/>
          </w:p>
        </w:tc>
        <w:tc>
          <w:tcPr>
            <w:tcW w:w="1297"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投标文件技术参数</w:t>
            </w:r>
            <w:r/>
          </w:p>
        </w:tc>
        <w:tc>
          <w:tcPr>
            <w:tcW w:w="1938" w:type="dxa"/>
            <w:vAlign w:val="center"/>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证明材料</w:t>
            </w:r>
            <w:r/>
          </w:p>
        </w:tc>
        <w:tc>
          <w:tcPr>
            <w:tcW w:w="1564" w:type="dxa"/>
            <w:vAlign w:val="center"/>
            <w:textDirection w:val="lrTb"/>
            <w:noWrap w:val="false"/>
          </w:tcPr>
          <w:p>
            <w:pPr>
              <w:ind w:firstLine="480"/>
              <w:spacing w:line="360" w:lineRule="auto"/>
              <w:rPr>
                <w:rFonts w:hint="eastAsia" w:ascii="宋体" w:hAnsi="宋体" w:cs="黑体"/>
                <w:bCs/>
                <w:color w:val="000000"/>
                <w:sz w:val="24"/>
              </w:rPr>
            </w:pPr>
            <w:r>
              <w:rPr>
                <w:rFonts w:hint="eastAsia" w:ascii="宋体" w:hAnsi="宋体" w:cs="黑体"/>
                <w:bCs/>
                <w:color w:val="000000"/>
                <w:sz w:val="24"/>
              </w:rPr>
            </w:r>
            <w:r/>
          </w:p>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偏离情况</w:t>
            </w:r>
            <w:r/>
          </w:p>
          <w:p>
            <w:pPr>
              <w:spacing w:line="360" w:lineRule="auto"/>
              <w:rPr>
                <w:rFonts w:hint="eastAsia" w:ascii="宋体" w:hAnsi="宋体" w:cs="黑体"/>
                <w:bCs/>
                <w:color w:val="000000"/>
                <w:sz w:val="24"/>
              </w:rPr>
            </w:pPr>
            <w:r>
              <w:rPr>
                <w:rFonts w:hint="eastAsia" w:ascii="宋体" w:hAnsi="宋体" w:cs="黑体"/>
                <w:bCs/>
                <w:color w:val="000000"/>
                <w:sz w:val="24"/>
              </w:rPr>
            </w:r>
            <w:r/>
          </w:p>
        </w:tc>
      </w:tr>
      <w:tr>
        <w:trPr>
          <w:trHeight w:val="86"/>
        </w:trPr>
        <w:tc>
          <w:tcPr>
            <w:tcW w:w="666"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1</w:t>
            </w:r>
            <w:r/>
          </w:p>
        </w:tc>
        <w:tc>
          <w:tcPr>
            <w:tcW w:w="2213" w:type="dxa"/>
            <w:textDirection w:val="lrTb"/>
            <w:noWrap w:val="false"/>
          </w:tcPr>
          <w:p>
            <w:pPr>
              <w:spacing w:line="360" w:lineRule="auto"/>
              <w:rPr>
                <w:rFonts w:hint="eastAsia" w:ascii="宋体" w:hAnsi="宋体" w:cs="黑体"/>
                <w:bCs/>
                <w:color w:val="000000"/>
                <w:sz w:val="24"/>
              </w:rPr>
            </w:pPr>
            <w:r>
              <w:rPr>
                <w:rFonts w:hint="eastAsia" w:ascii="宋体" w:hAnsi="宋体" w:cs="黑体"/>
                <w:bCs/>
                <w:color w:val="000000"/>
                <w:sz w:val="24"/>
              </w:rPr>
            </w:r>
            <w:r/>
          </w:p>
        </w:tc>
        <w:tc>
          <w:tcPr>
            <w:tcW w:w="1426" w:type="dxa"/>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297" w:type="dxa"/>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938"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564"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r>
      <w:tr>
        <w:trPr>
          <w:trHeight w:val="451"/>
        </w:trPr>
        <w:tc>
          <w:tcPr>
            <w:tcW w:w="666"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2</w:t>
            </w:r>
            <w:r/>
          </w:p>
        </w:tc>
        <w:tc>
          <w:tcPr>
            <w:tcW w:w="2213"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426" w:type="dxa"/>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297" w:type="dxa"/>
            <w:textDirection w:val="lrTb"/>
            <w:noWrap w:val="false"/>
          </w:tcPr>
          <w:p>
            <w:pPr>
              <w:ind w:firstLine="72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938"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564"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r>
      <w:tr>
        <w:trPr>
          <w:trHeight w:val="451"/>
        </w:trPr>
        <w:tc>
          <w:tcPr>
            <w:tcW w:w="666"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3</w:t>
            </w:r>
            <w:r/>
          </w:p>
        </w:tc>
        <w:tc>
          <w:tcPr>
            <w:tcW w:w="2213"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426" w:type="dxa"/>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297" w:type="dxa"/>
            <w:textDirection w:val="lrTb"/>
            <w:noWrap w:val="false"/>
          </w:tcPr>
          <w:p>
            <w:pPr>
              <w:ind w:firstLine="72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938"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564"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r>
      <w:tr>
        <w:trPr>
          <w:trHeight w:val="62"/>
        </w:trPr>
        <w:tc>
          <w:tcPr>
            <w:tcW w:w="666"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w:t>
            </w:r>
            <w:r/>
          </w:p>
        </w:tc>
        <w:tc>
          <w:tcPr>
            <w:tcW w:w="2213"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426" w:type="dxa"/>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297" w:type="dxa"/>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938"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564"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r>
    </w:tbl>
    <w:p>
      <w:pPr>
        <w:spacing w:line="360" w:lineRule="auto"/>
        <w:rPr>
          <w:rFonts w:hint="eastAsia" w:ascii="宋体" w:hAnsi="宋体" w:cs="宋体"/>
          <w:color w:val="000000"/>
          <w:sz w:val="20"/>
          <w:szCs w:val="21"/>
        </w:rPr>
      </w:pPr>
      <w:r>
        <w:rPr>
          <w:rFonts w:hint="eastAsia" w:ascii="宋体" w:hAnsi="宋体" w:cs="宋体"/>
          <w:color w:val="000000"/>
          <w:sz w:val="20"/>
          <w:szCs w:val="21"/>
        </w:rPr>
        <w:t xml:space="preserve">                                                                                                                                                                                    </w:t>
      </w:r>
      <w:r/>
    </w:p>
    <w:p>
      <w:pPr>
        <w:ind w:firstLine="4440"/>
        <w:spacing w:line="360" w:lineRule="auto"/>
        <w:rPr>
          <w:rFonts w:ascii="黑体" w:eastAsia="黑体" w:cs="黑体"/>
          <w:bCs/>
          <w:color w:val="000000"/>
          <w:sz w:val="24"/>
          <w:lang w:bidi="ar"/>
        </w:rPr>
      </w:pPr>
      <w:r>
        <w:rPr>
          <w:rFonts w:ascii="黑体" w:eastAsia="黑体" w:cs="黑体"/>
          <w:bCs/>
          <w:color w:val="000000"/>
          <w:sz w:val="24"/>
          <w:lang w:bidi="ar"/>
        </w:rPr>
      </w:r>
      <w:r/>
    </w:p>
    <w:p>
      <w:pPr>
        <w:ind w:firstLine="4680"/>
        <w:spacing w:line="360" w:lineRule="auto"/>
        <w:rPr>
          <w:rFonts w:ascii="黑体" w:eastAsia="黑体" w:cs="黑体"/>
          <w:bCs/>
          <w:color w:val="000000"/>
          <w:sz w:val="24"/>
          <w:lang w:bidi="ar"/>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黑体" w:eastAsia="黑体" w:cs="黑体"/>
          <w:bCs/>
          <w:color w:val="000000"/>
          <w:sz w:val="24"/>
          <w:lang w:bidi="ar"/>
        </w:rPr>
        <w:t xml:space="preserve">  </w:t>
      </w:r>
      <w:r/>
    </w:p>
    <w:p>
      <w:pPr>
        <w:pStyle w:val="853"/>
        <w:ind w:firstLine="4800"/>
        <w:rPr>
          <w:rFonts w:hint="eastAsia"/>
          <w:lang w:bidi="ar"/>
        </w:rPr>
      </w:pPr>
      <w:r>
        <w:rPr>
          <w:rFonts w:ascii="黑体" w:eastAsia="黑体" w:cs="黑体"/>
          <w:bCs/>
          <w:lang w:bidi="ar"/>
        </w:rPr>
        <w:t xml:space="preserve">日期：_____年______月______日</w:t>
      </w:r>
      <w:r/>
    </w:p>
    <w:p>
      <w:pPr>
        <w:spacing w:line="360" w:lineRule="auto"/>
        <w:rPr>
          <w:b/>
          <w:color w:val="000000"/>
          <w:sz w:val="24"/>
          <w:szCs w:val="20"/>
        </w:rPr>
      </w:pPr>
      <w:r>
        <w:rPr>
          <w:rFonts w:hint="eastAsia"/>
          <w:b/>
          <w:color w:val="000000"/>
          <w:sz w:val="24"/>
          <w:szCs w:val="20"/>
        </w:rPr>
        <w:t xml:space="preserve">注意事项：</w:t>
      </w:r>
      <w:r/>
    </w:p>
    <w:p>
      <w:pPr>
        <w:numPr>
          <w:ilvl w:val="0"/>
          <w:numId w:val="12"/>
        </w:numPr>
        <w:ind w:firstLine="482"/>
        <w:spacing w:line="440" w:lineRule="exact"/>
        <w:rPr>
          <w:rFonts w:hint="eastAsia" w:ascii="宋体" w:hAnsi="宋体"/>
          <w:b/>
          <w:bCs/>
          <w:color w:val="000000"/>
          <w:sz w:val="24"/>
        </w:rPr>
      </w:pPr>
      <w:r>
        <w:rPr>
          <w:rFonts w:hint="eastAsia" w:ascii="宋体" w:hAnsi="宋体"/>
          <w:b/>
          <w:bCs/>
          <w:color w:val="000000"/>
          <w:sz w:val="24"/>
        </w:rPr>
        <w:t xml:space="preserve">请按上表格式，依照采购文件项目要求相应内容逐项响应。</w:t>
      </w:r>
      <w:r/>
    </w:p>
    <w:p>
      <w:pPr>
        <w:ind w:firstLine="482"/>
        <w:spacing w:line="440" w:lineRule="exact"/>
        <w:rPr>
          <w:rFonts w:hint="eastAsia" w:ascii="宋体" w:hAnsi="宋体"/>
          <w:b/>
          <w:bCs/>
          <w:color w:val="000000"/>
          <w:sz w:val="24"/>
        </w:rPr>
      </w:pPr>
      <w:r>
        <w:rPr>
          <w:rFonts w:hint="eastAsia" w:ascii="宋体" w:hAnsi="宋体"/>
          <w:b/>
          <w:bCs/>
          <w:color w:val="000000"/>
          <w:sz w:val="24"/>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color w:val="000000"/>
          <w:sz w:val="24"/>
        </w:rPr>
      </w:pPr>
      <w:r>
        <w:rPr>
          <w:rFonts w:hint="eastAsia" w:ascii="宋体" w:hAnsi="宋体"/>
          <w:b/>
          <w:bCs/>
          <w:color w:val="000000"/>
          <w:sz w:val="24"/>
        </w:rPr>
        <w:t xml:space="preserve">3、如投标人提供的货物或服务与招标文件的要求存在偏离，偏离情况可填写“正偏离”或“负偏离”；如完全满足招标文件要求，偏离情况填写“完全满足”即可。</w:t>
      </w:r>
      <w:r/>
    </w:p>
    <w:p>
      <w:pPr>
        <w:spacing w:line="360" w:lineRule="auto"/>
        <w:rPr>
          <w:color w:val="000000"/>
          <w:sz w:val="20"/>
          <w:szCs w:val="20"/>
        </w:rPr>
      </w:pPr>
      <w:r>
        <w:rPr>
          <w:color w:val="000000"/>
          <w:sz w:val="20"/>
          <w:szCs w:val="20"/>
        </w:rPr>
      </w:r>
      <w:r/>
    </w:p>
    <w:p>
      <w:pPr>
        <w:spacing w:line="360" w:lineRule="auto"/>
        <w:rPr>
          <w:color w:val="000000"/>
          <w:sz w:val="20"/>
          <w:szCs w:val="20"/>
        </w:rPr>
      </w:pPr>
      <w:r>
        <w:rPr>
          <w:color w:val="000000"/>
          <w:sz w:val="20"/>
          <w:szCs w:val="20"/>
        </w:rPr>
        <w:t xml:space="preserve">                      </w:t>
      </w:r>
      <w:r/>
    </w:p>
    <w:p>
      <w:pPr>
        <w:spacing w:line="360" w:lineRule="auto"/>
        <w:rPr>
          <w:color w:val="000000"/>
          <w:sz w:val="20"/>
          <w:szCs w:val="20"/>
        </w:rPr>
      </w:pPr>
      <w:r>
        <w:rPr>
          <w:color w:val="000000"/>
          <w:sz w:val="20"/>
          <w:szCs w:val="20"/>
        </w:rPr>
      </w:r>
      <w:r/>
    </w:p>
    <w:p>
      <w:pPr>
        <w:spacing w:line="360" w:lineRule="auto"/>
        <w:rPr>
          <w:color w:val="000000"/>
          <w:sz w:val="20"/>
          <w:szCs w:val="20"/>
        </w:rPr>
      </w:pPr>
      <w:r>
        <w:rPr>
          <w:color w:val="000000"/>
          <w:sz w:val="20"/>
          <w:szCs w:val="20"/>
        </w:rPr>
      </w:r>
      <w:r/>
    </w:p>
    <w:p>
      <w:pPr>
        <w:spacing w:line="360" w:lineRule="auto"/>
        <w:rPr>
          <w:color w:val="000000"/>
          <w:sz w:val="20"/>
          <w:szCs w:val="20"/>
        </w:rPr>
      </w:pPr>
      <w:r>
        <w:rPr>
          <w:color w:val="000000"/>
          <w:sz w:val="20"/>
          <w:szCs w:val="20"/>
        </w:rPr>
      </w:r>
      <w:r/>
    </w:p>
    <w:p>
      <w:pPr>
        <w:spacing w:line="360" w:lineRule="auto"/>
        <w:rPr>
          <w:color w:val="000000"/>
          <w:sz w:val="20"/>
          <w:szCs w:val="20"/>
        </w:rPr>
      </w:pPr>
      <w:r>
        <w:rPr>
          <w:color w:val="000000"/>
          <w:sz w:val="20"/>
          <w:szCs w:val="20"/>
        </w:rPr>
      </w:r>
      <w:r/>
    </w:p>
    <w:p>
      <w:pPr>
        <w:ind w:firstLine="2951"/>
        <w:keepLines/>
        <w:keepNext/>
        <w:spacing w:before="260" w:after="260" w:line="415" w:lineRule="auto"/>
        <w:rPr>
          <w:rFonts w:hint="eastAsia" w:ascii="宋体" w:hAnsi="宋体"/>
          <w:b/>
          <w:color w:val="000000"/>
          <w:sz w:val="28"/>
          <w:szCs w:val="28"/>
        </w:rPr>
        <w:outlineLvl w:val="2"/>
      </w:pPr>
      <w:r>
        <w:rPr>
          <w:rFonts w:hint="eastAsia" w:ascii="宋体" w:hAnsi="宋体"/>
          <w:b/>
          <w:color w:val="000000"/>
          <w:sz w:val="28"/>
          <w:szCs w:val="28"/>
        </w:rPr>
      </w:r>
      <w:r/>
    </w:p>
    <w:p>
      <w:pPr>
        <w:rPr>
          <w:color w:val="000000"/>
          <w:sz w:val="20"/>
          <w:szCs w:val="20"/>
        </w:rPr>
      </w:pPr>
      <w:r>
        <w:rPr>
          <w:color w:val="000000"/>
          <w:sz w:val="20"/>
          <w:szCs w:val="20"/>
        </w:rPr>
      </w:r>
      <w:r/>
    </w:p>
    <w:p>
      <w:pPr>
        <w:ind w:firstLine="2890"/>
        <w:keepLines/>
        <w:keepNext/>
        <w:spacing w:before="260" w:after="260" w:line="415" w:lineRule="auto"/>
        <w:rPr>
          <w:b/>
          <w:color w:val="000000"/>
          <w:spacing w:val="20"/>
          <w:sz w:val="32"/>
          <w:szCs w:val="32"/>
        </w:rPr>
        <w:outlineLvl w:val="2"/>
      </w:pPr>
      <w:r>
        <w:rPr>
          <w:rFonts w:hint="eastAsia"/>
          <w:b/>
          <w:color w:val="000000"/>
          <w:spacing w:val="20"/>
          <w:sz w:val="32"/>
          <w:szCs w:val="32"/>
        </w:rPr>
        <w:t xml:space="preserve">十五、其他格式材料</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1</w:t>
      </w:r>
      <w:r>
        <w:rPr>
          <w:rFonts w:ascii="宋体" w:hAnsi="宋体"/>
          <w:b/>
          <w:color w:val="000000"/>
          <w:sz w:val="32"/>
          <w:szCs w:val="32"/>
        </w:rPr>
        <w:t xml:space="preserve">、</w:t>
      </w:r>
      <w:r>
        <w:rPr>
          <w:rFonts w:hint="eastAsia" w:ascii="宋体" w:hAnsi="宋体"/>
          <w:b/>
          <w:color w:val="000000"/>
          <w:sz w:val="32"/>
          <w:szCs w:val="32"/>
        </w:rPr>
        <w:t xml:space="preserve">参加本项目人员一览表</w:t>
      </w:r>
      <w:r/>
    </w:p>
    <w:p>
      <w:pPr>
        <w:spacing w:line="360" w:lineRule="auto"/>
        <w:rPr>
          <w:rFonts w:hint="eastAsia" w:ascii="宋体" w:hAnsi="宋体"/>
          <w:color w:val="000000"/>
          <w:sz w:val="22"/>
        </w:rPr>
      </w:pPr>
      <w:r>
        <w:rPr>
          <w:rFonts w:hint="eastAsia" w:ascii="宋体" w:hAnsi="宋体"/>
          <w:color w:val="000000"/>
          <w:sz w:val="22"/>
        </w:rPr>
      </w:r>
      <w:r/>
    </w:p>
    <w:p>
      <w:pPr>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Style w:val="737"/>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序号</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姓名</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性别</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年龄</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职称</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责任</w:t>
            </w:r>
            <w:r/>
          </w:p>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或分工</w:t>
            </w:r>
            <w:r/>
          </w:p>
        </w:tc>
        <w:tc>
          <w:tcPr>
            <w:tcW w:w="94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项目经历或主要工作</w:t>
            </w:r>
            <w:r/>
          </w:p>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业绩</w:t>
            </w:r>
            <w:r/>
          </w:p>
        </w:tc>
      </w:tr>
      <w:tr>
        <w:trPr/>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bl>
    <w:p>
      <w:pPr>
        <w:tabs>
          <w:tab w:val="left" w:pos="9765" w:leader="none"/>
        </w:tabs>
        <w:rPr>
          <w:rFonts w:hint="eastAsia" w:ascii="宋体" w:hAnsi="宋体" w:cs="宋体"/>
          <w:b/>
          <w:color w:val="000000"/>
          <w:sz w:val="24"/>
          <w:lang w:val="zh-CN"/>
        </w:rPr>
      </w:pPr>
      <w:r>
        <w:rPr>
          <w:rFonts w:hint="eastAsia" w:ascii="宋体" w:hAnsi="宋体" w:cs="宋体"/>
          <w:b/>
          <w:color w:val="000000"/>
          <w:sz w:val="24"/>
          <w:lang w:val="zh-CN"/>
        </w:rPr>
      </w:r>
      <w:r/>
    </w:p>
    <w:p>
      <w:pPr>
        <w:spacing w:line="360" w:lineRule="auto"/>
        <w:tabs>
          <w:tab w:val="left" w:pos="9765" w:leader="none"/>
        </w:tabs>
        <w:rPr>
          <w:rFonts w:hint="eastAsia" w:ascii="宋体" w:hAnsi="宋体" w:cs="宋体"/>
          <w:b/>
          <w:color w:val="000000"/>
          <w:sz w:val="24"/>
        </w:rPr>
      </w:pPr>
      <w:r>
        <w:rPr>
          <w:rFonts w:hint="eastAsia" w:ascii="宋体" w:hAnsi="宋体" w:cs="宋体"/>
          <w:b/>
          <w:color w:val="000000"/>
          <w:sz w:val="24"/>
          <w:lang w:val="zh-CN"/>
        </w:rPr>
        <w:t xml:space="preserve">注：参加本项目人员须是供应商正式职工。</w:t>
      </w:r>
      <w:r/>
    </w:p>
    <w:p>
      <w:pPr>
        <w:spacing w:line="360" w:lineRule="auto"/>
        <w:rPr>
          <w:rFonts w:hint="eastAsia" w:ascii="宋体" w:hAnsi="宋体"/>
          <w:color w:val="000000"/>
          <w:sz w:val="24"/>
        </w:rPr>
      </w:pPr>
      <w:r>
        <w:rPr>
          <w:rFonts w:hint="eastAsia" w:ascii="宋体" w:hAnsi="宋体"/>
          <w:color w:val="000000"/>
          <w:sz w:val="24"/>
        </w:rPr>
      </w:r>
      <w:r/>
    </w:p>
    <w:p>
      <w:pPr>
        <w:jc w:val="center"/>
        <w:spacing w:line="360" w:lineRule="auto"/>
        <w:rPr>
          <w:rFonts w:hint="eastAsia" w:ascii="宋体" w:hAnsi="宋体" w:cs="Symbol"/>
          <w:bCs/>
          <w:color w:val="000000"/>
          <w:sz w:val="24"/>
        </w:rPr>
      </w:pPr>
      <w:r>
        <w:rPr>
          <w:rFonts w:hint="eastAsia" w:ascii="宋体" w:hAnsi="宋体" w:cs="Symbol"/>
          <w:bCs/>
          <w:color w:val="000000"/>
          <w:sz w:val="24"/>
        </w:rPr>
        <w:t xml:space="preserve">    投标单位名称：（加盖CA电子公章）  </w:t>
      </w:r>
      <w:r/>
    </w:p>
    <w:p>
      <w:pPr>
        <w:jc w:val="center"/>
        <w:spacing w:line="360" w:lineRule="auto"/>
        <w:rPr>
          <w:rFonts w:hint="eastAsia" w:ascii="宋体" w:hAnsi="宋体"/>
          <w:b/>
          <w:color w:val="000000"/>
          <w:sz w:val="32"/>
          <w:szCs w:val="32"/>
        </w:rPr>
      </w:pPr>
      <w:r>
        <w:rPr>
          <w:rFonts w:hint="eastAsia" w:ascii="宋体" w:hAnsi="宋体" w:cs="Symbol"/>
          <w:bCs/>
          <w:color w:val="000000"/>
          <w:sz w:val="24"/>
        </w:rPr>
        <w:t xml:space="preserve">日期：_____年______月______日</w:t>
      </w:r>
      <w:r>
        <w:rPr>
          <w:color w:val="000000"/>
          <w:sz w:val="22"/>
        </w:rPr>
        <w:br w:type="page" w:clear="all"/>
      </w:r>
      <w:r>
        <w:rPr>
          <w:rFonts w:ascii="宋体" w:hAnsi="宋体"/>
          <w:b/>
          <w:color w:val="000000"/>
          <w:sz w:val="32"/>
          <w:szCs w:val="32"/>
        </w:rPr>
        <w:t xml:space="preserve">2、</w:t>
      </w:r>
      <w:r>
        <w:rPr>
          <w:rFonts w:hint="eastAsia" w:ascii="宋体" w:hAnsi="宋体"/>
          <w:b/>
          <w:color w:val="000000"/>
          <w:sz w:val="32"/>
          <w:szCs w:val="32"/>
        </w:rPr>
        <w:t xml:space="preserve">相关业绩案例一览表</w:t>
      </w:r>
      <w:r/>
    </w:p>
    <w:p>
      <w:pPr>
        <w:jc w:val="center"/>
        <w:spacing w:line="360" w:lineRule="auto"/>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Style w:val="73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bl>
    <w:p>
      <w:pPr>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r>
      <w:r/>
    </w:p>
    <w:p>
      <w:pPr>
        <w:spacing w:line="360" w:lineRule="auto"/>
        <w:rPr>
          <w:rFonts w:hint="eastAsia" w:ascii="宋体" w:hAnsi="宋体" w:cs="宋体"/>
          <w:color w:val="000000"/>
          <w:sz w:val="24"/>
        </w:rPr>
      </w:pPr>
      <w:r>
        <w:rPr>
          <w:rFonts w:hint="eastAsia" w:ascii="宋体" w:hAnsi="宋体" w:cs="宋体"/>
          <w:color w:val="000000"/>
          <w:sz w:val="24"/>
        </w:rPr>
      </w:r>
      <w:r/>
    </w:p>
    <w:p>
      <w:pPr>
        <w:ind w:firstLine="4080"/>
        <w:spacing w:line="360" w:lineRule="auto"/>
        <w:rPr>
          <w:rFonts w:ascii="黑体" w:eastAsia="黑体" w:cs="黑体"/>
          <w:bCs/>
          <w:color w:val="000000"/>
          <w:sz w:val="24"/>
          <w:lang w:bidi="ar"/>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黑体" w:eastAsia="黑体" w:cs="黑体"/>
          <w:bCs/>
          <w:color w:val="000000"/>
          <w:sz w:val="24"/>
          <w:lang w:bidi="ar"/>
        </w:rPr>
        <w:t xml:space="preserve">  </w:t>
      </w:r>
      <w:r/>
    </w:p>
    <w:p>
      <w:pPr>
        <w:pStyle w:val="853"/>
        <w:ind w:firstLine="4080"/>
        <w:rPr>
          <w:rFonts w:hint="eastAsia" w:ascii="宋体" w:hAnsi="宋体"/>
          <w:lang w:bidi="ar"/>
        </w:rPr>
      </w:pPr>
      <w:r>
        <w:rPr>
          <w:rFonts w:ascii="宋体" w:hAnsi="宋体" w:cs="黑体"/>
          <w:bCs/>
          <w:lang w:bidi="ar"/>
        </w:rPr>
        <w:t xml:space="preserve">日期：_____年______月______日</w:t>
      </w:r>
      <w:r/>
    </w:p>
    <w:p>
      <w:pPr>
        <w:keepLines/>
        <w:keepNext/>
        <w:spacing w:before="260" w:after="260" w:line="415" w:lineRule="auto"/>
        <w:rPr>
          <w:rFonts w:hint="eastAsia" w:ascii="宋体" w:hAnsi="宋体"/>
          <w:b/>
          <w:color w:val="000000"/>
          <w:sz w:val="24"/>
        </w:rPr>
        <w:outlineLvl w:val="2"/>
      </w:pPr>
      <w:r>
        <w:rPr>
          <w:rFonts w:hint="eastAsia" w:ascii="宋体" w:hAnsi="宋体"/>
          <w:b/>
          <w:color w:val="000000"/>
          <w:sz w:val="24"/>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ind w:firstLine="2890"/>
        <w:spacing w:line="360" w:lineRule="auto"/>
        <w:widowControl/>
        <w:rPr>
          <w:b/>
          <w:color w:val="000000"/>
          <w:spacing w:val="20"/>
          <w:sz w:val="32"/>
          <w:szCs w:val="32"/>
        </w:rPr>
      </w:pPr>
      <w:r>
        <w:rPr>
          <w:rFonts w:hint="eastAsia"/>
          <w:b/>
          <w:color w:val="000000"/>
          <w:spacing w:val="20"/>
          <w:sz w:val="32"/>
          <w:szCs w:val="32"/>
        </w:rPr>
        <w:t xml:space="preserve">3、关于招标文件的询问内容</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u w:val="single"/>
        </w:rPr>
      </w:pPr>
      <w:r>
        <w:rPr>
          <w:rFonts w:hint="eastAsia" w:ascii="宋体" w:hAnsi="宋体"/>
          <w:color w:val="000000"/>
          <w:sz w:val="24"/>
        </w:rPr>
        <w:t xml:space="preserve">项目名称：</w:t>
      </w:r>
      <w:r/>
    </w:p>
    <w:p>
      <w:pPr>
        <w:jc w:val="left"/>
        <w:spacing w:line="360" w:lineRule="auto"/>
        <w:widowControl/>
        <w:rPr>
          <w:rFonts w:hint="eastAsia" w:ascii="宋体" w:hAnsi="宋体"/>
          <w:color w:val="000000"/>
          <w:sz w:val="24"/>
        </w:rPr>
      </w:pPr>
      <w:r>
        <w:rPr>
          <w:rFonts w:hint="eastAsia" w:ascii="宋体" w:hAnsi="宋体"/>
          <w:color w:val="000000"/>
          <w:sz w:val="24"/>
        </w:rPr>
        <w:t xml:space="preserve">采购编号：</w:t>
      </w:r>
      <w:r/>
    </w:p>
    <w:p>
      <w:pPr>
        <w:jc w:val="left"/>
        <w:spacing w:line="360" w:lineRule="auto"/>
        <w:widowControl/>
        <w:rPr>
          <w:rFonts w:hint="eastAsia" w:ascii="宋体" w:hAnsi="宋体"/>
          <w:color w:val="000000"/>
          <w:sz w:val="24"/>
        </w:rPr>
      </w:pPr>
      <w:r>
        <w:rPr>
          <w:rFonts w:hint="eastAsia" w:ascii="宋体" w:hAnsi="宋体"/>
          <w:color w:val="000000"/>
          <w:sz w:val="24"/>
        </w:rPr>
        <w:t xml:space="preserve">内容：</w:t>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spacing w:line="360" w:lineRule="auto"/>
        <w:rPr>
          <w:color w:val="000000"/>
          <w:sz w:val="24"/>
        </w:rPr>
      </w:pPr>
      <w:r>
        <w:rPr>
          <w:rFonts w:hint="eastAsia"/>
          <w:color w:val="000000"/>
          <w:sz w:val="24"/>
        </w:rPr>
        <w:t xml:space="preserve">被授权人姓名：</w:t>
      </w:r>
      <w:r>
        <w:rPr>
          <w:color w:val="000000"/>
          <w:sz w:val="24"/>
          <w:u w:val="single"/>
        </w:rPr>
        <w:t xml:space="preserve">                   </w:t>
      </w:r>
      <w:r/>
    </w:p>
    <w:p>
      <w:pPr>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p>
    <w:p>
      <w:pPr>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ind w:left="3360" w:firstLine="960"/>
        <w:jc w:val="left"/>
        <w:spacing w:line="360" w:lineRule="auto"/>
        <w:widowControl/>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（加盖公章）</w:t>
      </w:r>
      <w:r/>
    </w:p>
    <w:p>
      <w:pPr>
        <w:ind w:left="3360" w:firstLine="420"/>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p>
    <w:p>
      <w:pPr>
        <w:ind w:firstLine="4800"/>
        <w:jc w:val="left"/>
        <w:spacing w:line="360" w:lineRule="auto"/>
        <w:widowControl/>
        <w:rPr>
          <w:color w:val="000000"/>
          <w:sz w:val="20"/>
          <w:szCs w:val="20"/>
        </w:rPr>
      </w:pPr>
      <w:r>
        <w:rPr>
          <w:rFonts w:hint="eastAsia" w:ascii="宋体" w:hAnsi="宋体"/>
          <w:color w:val="000000"/>
          <w:sz w:val="24"/>
        </w:rPr>
        <w:t xml:space="preserve">时间：    年   月  日</w:t>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sectPr>
      <w:headerReference w:type="even" r:id="rId9"/>
      <w:headerReference w:type="first" r:id="rId10"/>
      <w:footerReference w:type="even" r:id="rId12"/>
      <w:footerReference w:type="first" r:id="rId13"/>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Wingdings">
    <w:panose1 w:val="05000000000000000000"/>
  </w:font>
  <w:font w:name="宋体-简">
    <w:panose1 w:val="02010600030101010101"/>
  </w:font>
  <w:font w:name="楷体">
    <w:panose1 w:val="02010609060101010101"/>
  </w:font>
  <w:font w:name="仿宋">
    <w:panose1 w:val="02010609060101010101"/>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Symbol">
    <w:panose1 w:val="05050102010706020507"/>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5"/>
      </w:rPr>
      <w:framePr w:wrap="around" w:vAnchor="text" w:hAnchor="margin" w:xAlign="right" w:y="1"/>
    </w:pPr>
    <w:r>
      <w:rPr>
        <w:rStyle w:val="775"/>
      </w:rPr>
      <w:fldChar w:fldCharType="begin"/>
    </w:r>
    <w:r>
      <w:rPr>
        <w:rStyle w:val="775"/>
      </w:rPr>
      <w:instrText xml:space="preserve">PAGE  </w:instrText>
    </w:r>
    <w:r>
      <w:rPr>
        <w:rStyle w:val="775"/>
      </w:rPr>
      <w:fldChar w:fldCharType="end"/>
    </w:r>
    <w:r/>
  </w:p>
  <w:p>
    <w:pPr>
      <w:pStyle w:val="756"/>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pStyle w:val="95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8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91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7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87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91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91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922"/>
      <w:isLgl w:val="false"/>
      <w:suff w:val="nothing"/>
      <w:lvlText w:val="%1.%2.%3.%4.%5.%6　"/>
      <w:lvlJc w:val="left"/>
      <w:pPr>
        <w:ind w:left="-25" w:firstLine="0"/>
      </w:pPr>
      <w:rPr>
        <w:rFonts w:ascii="Times New Roman" w:hAnsi="Times New Roman" w:eastAsia="宋体"/>
        <w:b/>
        <w:i w:val="0"/>
        <w:sz w:val="28"/>
      </w:rPr>
    </w:lvl>
    <w:lvl w:ilvl="6">
      <w:start w:val="1"/>
      <w:numFmt w:val="lowerLetter"/>
      <w:pStyle w:val="93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89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pStyle w:val="88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92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82"/>
      <w:isLgl w:val="false"/>
      <w:suff w:val="tab"/>
      <w:lvlText w:val="%1"/>
      <w:lvlJc w:val="left"/>
      <w:pPr>
        <w:ind w:left="680" w:hanging="680"/>
      </w:pPr>
      <w:rPr>
        <w:rFonts w:hint="eastAsia" w:ascii="宋体" w:hAnsi="宋体" w:eastAsia="宋体"/>
      </w:rPr>
    </w:lvl>
    <w:lvl w:ilvl="1">
      <w:start w:val="1"/>
      <w:numFmt w:val="decimal"/>
      <w:pStyle w:val="983"/>
      <w:isLgl w:val="false"/>
      <w:suff w:val="tab"/>
      <w:lvlText w:val="%1.%2"/>
      <w:lvlJc w:val="left"/>
      <w:pPr>
        <w:ind w:left="851" w:hanging="851"/>
      </w:pPr>
      <w:rPr>
        <w:rFonts w:hint="eastAsia" w:ascii="宋体" w:hAnsi="宋体" w:eastAsia="宋体"/>
        <w:color w:val="000000"/>
      </w:rPr>
    </w:lvl>
    <w:lvl w:ilvl="2">
      <w:start w:val="1"/>
      <w:numFmt w:val="decimal"/>
      <w:pStyle w:val="98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5"/>
  </w:num>
  <w:num w:numId="2">
    <w:abstractNumId w:val="2"/>
  </w:num>
  <w:num w:numId="3">
    <w:abstractNumId w:val="6"/>
  </w:num>
  <w:num w:numId="4">
    <w:abstractNumId w:val="3"/>
  </w:num>
  <w:num w:numId="5">
    <w:abstractNumId w:val="7"/>
  </w:num>
  <w:num w:numId="6">
    <w:abstractNumId w:val="0"/>
  </w:num>
  <w:num w:numId="7">
    <w:abstractNumId w:val="11"/>
  </w:num>
  <w:num w:numId="8">
    <w:abstractNumId w:val="4"/>
  </w:num>
  <w:num w:numId="9">
    <w:abstractNumId w:val="10"/>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num>
  <w:num w:numId="1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7">
    <w:name w:val="Heading 1"/>
    <w:basedOn w:val="726"/>
    <w:next w:val="726"/>
    <w:link w:val="810"/>
    <w:uiPriority w:val="0"/>
    <w:qFormat/>
    <w:pPr>
      <w:jc w:val="center"/>
      <w:keepLines/>
      <w:keepNext/>
      <w:spacing w:before="240" w:after="120" w:line="300" w:lineRule="auto"/>
      <w:outlineLvl w:val="0"/>
    </w:pPr>
    <w:rPr>
      <w:rFonts w:ascii="宋体"/>
      <w:b/>
      <w:sz w:val="32"/>
      <w:szCs w:val="20"/>
    </w:rPr>
  </w:style>
  <w:style w:type="paragraph" w:styleId="728">
    <w:name w:val="Heading 2"/>
    <w:basedOn w:val="726"/>
    <w:next w:val="738"/>
    <w:link w:val="811"/>
    <w:uiPriority w:val="0"/>
    <w:qFormat/>
    <w:pPr>
      <w:jc w:val="center"/>
      <w:keepLines/>
      <w:keepNext/>
      <w:spacing w:before="120" w:line="300" w:lineRule="auto"/>
      <w:outlineLvl w:val="1"/>
    </w:pPr>
    <w:rPr>
      <w:rFonts w:ascii="Arial" w:hAnsi="Arial" w:eastAsia="黑体"/>
      <w:b/>
      <w:sz w:val="30"/>
      <w:szCs w:val="20"/>
    </w:rPr>
  </w:style>
  <w:style w:type="paragraph" w:styleId="729">
    <w:name w:val="Heading 3"/>
    <w:basedOn w:val="726"/>
    <w:next w:val="726"/>
    <w:link w:val="813"/>
    <w:uiPriority w:val="0"/>
    <w:qFormat/>
    <w:pPr>
      <w:jc w:val="left"/>
      <w:keepLines/>
      <w:keepNext/>
      <w:spacing w:before="360" w:after="120"/>
      <w:outlineLvl w:val="2"/>
    </w:pPr>
    <w:rPr>
      <w:rFonts w:ascii="宋体"/>
      <w:b/>
      <w:sz w:val="24"/>
      <w:szCs w:val="20"/>
      <w:u w:val="single"/>
    </w:rPr>
  </w:style>
  <w:style w:type="paragraph" w:styleId="730">
    <w:name w:val="Heading 4"/>
    <w:basedOn w:val="726"/>
    <w:next w:val="726"/>
    <w:link w:val="814"/>
    <w:uiPriority w:val="0"/>
    <w:qFormat/>
    <w:pPr>
      <w:keepLines/>
      <w:keepNext/>
      <w:spacing w:before="280" w:after="290" w:line="376" w:lineRule="atLeast"/>
      <w:outlineLvl w:val="3"/>
    </w:pPr>
    <w:rPr>
      <w:rFonts w:ascii="Arial" w:hAnsi="Arial" w:eastAsia="黑体"/>
      <w:b/>
      <w:sz w:val="28"/>
      <w:szCs w:val="20"/>
    </w:rPr>
  </w:style>
  <w:style w:type="paragraph" w:styleId="731">
    <w:name w:val="Heading 5"/>
    <w:basedOn w:val="726"/>
    <w:next w:val="726"/>
    <w:link w:val="815"/>
    <w:uiPriority w:val="0"/>
    <w:qFormat/>
    <w:pPr>
      <w:keepLines/>
      <w:keepNext/>
      <w:spacing w:before="280" w:after="290" w:line="376" w:lineRule="atLeast"/>
      <w:outlineLvl w:val="4"/>
    </w:pPr>
    <w:rPr>
      <w:b/>
      <w:sz w:val="28"/>
      <w:szCs w:val="20"/>
    </w:rPr>
  </w:style>
  <w:style w:type="paragraph" w:styleId="732">
    <w:name w:val="Heading 6"/>
    <w:basedOn w:val="726"/>
    <w:next w:val="726"/>
    <w:link w:val="816"/>
    <w:uiPriority w:val="0"/>
    <w:qFormat/>
    <w:pPr>
      <w:keepLines/>
      <w:keepNext/>
      <w:spacing w:before="240" w:after="64" w:line="320" w:lineRule="atLeast"/>
      <w:outlineLvl w:val="5"/>
    </w:pPr>
    <w:rPr>
      <w:rFonts w:ascii="Arial" w:hAnsi="Arial" w:eastAsia="黑体"/>
      <w:b/>
      <w:sz w:val="24"/>
      <w:szCs w:val="20"/>
    </w:rPr>
  </w:style>
  <w:style w:type="paragraph" w:styleId="733">
    <w:name w:val="Heading 7"/>
    <w:basedOn w:val="726"/>
    <w:next w:val="726"/>
    <w:link w:val="817"/>
    <w:uiPriority w:val="0"/>
    <w:qFormat/>
    <w:pPr>
      <w:keepLines/>
      <w:keepNext/>
      <w:spacing w:before="240" w:after="64" w:line="320" w:lineRule="atLeast"/>
      <w:outlineLvl w:val="6"/>
    </w:pPr>
    <w:rPr>
      <w:b/>
      <w:sz w:val="24"/>
      <w:szCs w:val="20"/>
    </w:rPr>
  </w:style>
  <w:style w:type="paragraph" w:styleId="734">
    <w:name w:val="Heading 8"/>
    <w:basedOn w:val="726"/>
    <w:next w:val="726"/>
    <w:link w:val="818"/>
    <w:uiPriority w:val="0"/>
    <w:qFormat/>
    <w:pPr>
      <w:keepLines/>
      <w:keepNext/>
      <w:spacing w:before="240" w:after="64" w:line="320" w:lineRule="atLeast"/>
      <w:outlineLvl w:val="7"/>
    </w:pPr>
    <w:rPr>
      <w:rFonts w:ascii="Arial" w:hAnsi="Arial" w:eastAsia="黑体"/>
      <w:sz w:val="24"/>
      <w:szCs w:val="20"/>
    </w:rPr>
  </w:style>
  <w:style w:type="paragraph" w:styleId="735">
    <w:name w:val="Heading 9"/>
    <w:basedOn w:val="726"/>
    <w:next w:val="726"/>
    <w:link w:val="819"/>
    <w:uiPriority w:val="0"/>
    <w:qFormat/>
    <w:pPr>
      <w:keepLines/>
      <w:keepNext/>
      <w:spacing w:before="240" w:after="64" w:line="320" w:lineRule="atLeast"/>
      <w:outlineLvl w:val="8"/>
    </w:pPr>
    <w:rPr>
      <w:rFonts w:ascii="Arial" w:hAnsi="Arial" w:eastAsia="黑体"/>
      <w:szCs w:val="20"/>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Normal Indent"/>
    <w:basedOn w:val="726"/>
    <w:link w:val="812"/>
    <w:uiPriority w:val="0"/>
    <w:qFormat/>
    <w:pPr>
      <w:ind w:firstLine="420"/>
      <w:jc w:val="left"/>
    </w:pPr>
    <w:rPr>
      <w:rFonts w:ascii="宋体"/>
      <w:sz w:val="24"/>
    </w:rPr>
  </w:style>
  <w:style w:type="paragraph" w:styleId="739">
    <w:name w:val="toc 7"/>
    <w:basedOn w:val="726"/>
    <w:next w:val="726"/>
    <w:uiPriority w:val="39"/>
    <w:unhideWhenUsed/>
    <w:pPr>
      <w:ind w:left="1701"/>
      <w:spacing w:after="57"/>
    </w:pPr>
  </w:style>
  <w:style w:type="paragraph" w:styleId="740">
    <w:name w:val="Caption"/>
    <w:basedOn w:val="726"/>
    <w:next w:val="726"/>
    <w:uiPriority w:val="0"/>
    <w:qFormat/>
    <w:pPr>
      <w:spacing w:line="480" w:lineRule="auto"/>
    </w:pPr>
    <w:rPr>
      <w:rFonts w:ascii="华文中宋" w:hAnsi="华文中宋" w:eastAsia="华文中宋"/>
      <w:sz w:val="36"/>
      <w:szCs w:val="20"/>
    </w:rPr>
  </w:style>
  <w:style w:type="paragraph" w:styleId="741">
    <w:name w:val="Document Map"/>
    <w:basedOn w:val="726"/>
    <w:link w:val="821"/>
    <w:uiPriority w:val="0"/>
    <w:qFormat/>
    <w:pPr>
      <w:shd w:val="clear" w:color="auto" w:fill="000080"/>
    </w:pPr>
  </w:style>
  <w:style w:type="paragraph" w:styleId="742">
    <w:name w:val="annotation text"/>
    <w:basedOn w:val="726"/>
    <w:link w:val="822"/>
    <w:uiPriority w:val="99"/>
    <w:qFormat/>
    <w:pPr>
      <w:jc w:val="left"/>
    </w:pPr>
  </w:style>
  <w:style w:type="paragraph" w:styleId="743">
    <w:name w:val="Body Text 3"/>
    <w:basedOn w:val="726"/>
    <w:link w:val="823"/>
    <w:uiPriority w:val="0"/>
    <w:qFormat/>
    <w:pPr>
      <w:spacing w:after="120"/>
    </w:pPr>
    <w:rPr>
      <w:sz w:val="16"/>
      <w:szCs w:val="16"/>
    </w:rPr>
  </w:style>
  <w:style w:type="paragraph" w:styleId="744">
    <w:name w:val="Body Text"/>
    <w:basedOn w:val="726"/>
    <w:link w:val="824"/>
    <w:uiPriority w:val="99"/>
    <w:qFormat/>
    <w:pPr>
      <w:spacing w:before="120" w:line="22" w:lineRule="atLeast"/>
      <w:tabs>
        <w:tab w:val="left" w:pos="567" w:leader="none"/>
      </w:tabs>
    </w:pPr>
    <w:rPr>
      <w:rFonts w:ascii="宋体" w:hAnsi="宋体"/>
      <w:sz w:val="24"/>
    </w:rPr>
  </w:style>
  <w:style w:type="paragraph" w:styleId="745">
    <w:name w:val="Body Text Indent"/>
    <w:basedOn w:val="726"/>
    <w:link w:val="825"/>
    <w:uiPriority w:val="0"/>
    <w:qFormat/>
    <w:pPr>
      <w:ind w:firstLine="570"/>
      <w:spacing w:line="360" w:lineRule="auto"/>
    </w:pPr>
    <w:rPr>
      <w:sz w:val="24"/>
    </w:rPr>
  </w:style>
  <w:style w:type="paragraph" w:styleId="746">
    <w:name w:val="List 2"/>
    <w:basedOn w:val="726"/>
    <w:uiPriority w:val="0"/>
    <w:qFormat/>
    <w:pPr>
      <w:ind w:left="100" w:hanging="200"/>
    </w:pPr>
  </w:style>
  <w:style w:type="paragraph" w:styleId="747">
    <w:name w:val="Block Text"/>
    <w:basedOn w:val="726"/>
    <w:uiPriority w:val="0"/>
    <w:qFormat/>
    <w:pPr>
      <w:ind w:left="480" w:right="-341" w:firstLine="513"/>
      <w:widowControl/>
    </w:pPr>
    <w:rPr>
      <w:sz w:val="24"/>
      <w:szCs w:val="20"/>
    </w:rPr>
  </w:style>
  <w:style w:type="paragraph" w:styleId="748">
    <w:name w:val="toc 5"/>
    <w:basedOn w:val="726"/>
    <w:next w:val="726"/>
    <w:uiPriority w:val="39"/>
    <w:unhideWhenUsed/>
    <w:pPr>
      <w:ind w:left="1134"/>
      <w:spacing w:after="57"/>
    </w:pPr>
  </w:style>
  <w:style w:type="paragraph" w:styleId="749">
    <w:name w:val="toc 3"/>
    <w:basedOn w:val="726"/>
    <w:next w:val="726"/>
    <w:uiPriority w:val="39"/>
    <w:unhideWhenUsed/>
    <w:pPr>
      <w:ind w:left="567"/>
      <w:spacing w:after="57"/>
    </w:pPr>
  </w:style>
  <w:style w:type="paragraph" w:styleId="750">
    <w:name w:val="Plain Text"/>
    <w:basedOn w:val="726"/>
    <w:link w:val="828"/>
    <w:uiPriority w:val="0"/>
    <w:qFormat/>
    <w:rPr>
      <w:rFonts w:hint="eastAsia" w:ascii="宋体" w:hAnsi="Courier New"/>
      <w:szCs w:val="20"/>
    </w:rPr>
  </w:style>
  <w:style w:type="paragraph" w:styleId="751">
    <w:name w:val="toc 8"/>
    <w:basedOn w:val="726"/>
    <w:next w:val="726"/>
    <w:uiPriority w:val="39"/>
    <w:unhideWhenUsed/>
    <w:pPr>
      <w:ind w:left="1984"/>
      <w:spacing w:after="57"/>
    </w:pPr>
  </w:style>
  <w:style w:type="paragraph" w:styleId="752">
    <w:name w:val="Date"/>
    <w:basedOn w:val="726"/>
    <w:next w:val="726"/>
    <w:link w:val="830"/>
    <w:uiPriority w:val="0"/>
    <w:qFormat/>
    <w:pPr>
      <w:ind w:left="100"/>
    </w:pPr>
    <w:rPr>
      <w:rFonts w:ascii="仿宋_GB2312" w:hAnsi="宋体" w:eastAsia="仿宋_GB2312"/>
      <w:color w:val="000000"/>
      <w:sz w:val="24"/>
    </w:rPr>
  </w:style>
  <w:style w:type="paragraph" w:styleId="753">
    <w:name w:val="Body Text Indent 2"/>
    <w:basedOn w:val="726"/>
    <w:link w:val="831"/>
    <w:uiPriority w:val="0"/>
    <w:qFormat/>
    <w:pPr>
      <w:ind w:firstLine="480"/>
    </w:pPr>
    <w:rPr>
      <w:rFonts w:ascii="仿宋_GB2312" w:eastAsia="仿宋_GB2312"/>
      <w:sz w:val="24"/>
    </w:rPr>
  </w:style>
  <w:style w:type="paragraph" w:styleId="754">
    <w:name w:val="endnote text"/>
    <w:basedOn w:val="726"/>
    <w:link w:val="832"/>
    <w:uiPriority w:val="99"/>
    <w:unhideWhenUsed/>
    <w:qFormat/>
    <w:pPr>
      <w:spacing w:after="160" w:line="278" w:lineRule="auto"/>
    </w:pPr>
    <w:rPr>
      <w:sz w:val="20"/>
    </w:rPr>
  </w:style>
  <w:style w:type="paragraph" w:styleId="755">
    <w:name w:val="Balloon Text"/>
    <w:basedOn w:val="726"/>
    <w:link w:val="833"/>
    <w:uiPriority w:val="0"/>
    <w:qFormat/>
    <w:rPr>
      <w:sz w:val="18"/>
      <w:szCs w:val="18"/>
    </w:rPr>
  </w:style>
  <w:style w:type="paragraph" w:styleId="756">
    <w:name w:val="Footer"/>
    <w:basedOn w:val="726"/>
    <w:link w:val="834"/>
    <w:uiPriority w:val="0"/>
    <w:qFormat/>
    <w:pPr>
      <w:jc w:val="left"/>
      <w:tabs>
        <w:tab w:val="center" w:pos="4153" w:leader="none"/>
        <w:tab w:val="right" w:pos="8306" w:leader="none"/>
      </w:tabs>
    </w:pPr>
    <w:rPr>
      <w:rFonts w:ascii="宋体"/>
      <w:sz w:val="18"/>
      <w:szCs w:val="20"/>
    </w:rPr>
  </w:style>
  <w:style w:type="paragraph" w:styleId="757">
    <w:name w:val="Header"/>
    <w:basedOn w:val="726"/>
    <w:link w:val="835"/>
    <w:uiPriority w:val="0"/>
    <w:qFormat/>
    <w:pPr>
      <w:jc w:val="center"/>
      <w:tabs>
        <w:tab w:val="center" w:pos="4153" w:leader="none"/>
        <w:tab w:val="right" w:pos="8306" w:leader="none"/>
      </w:tabs>
      <w:pBdr>
        <w:bottom w:val="single" w:color="000000" w:sz="6" w:space="1"/>
      </w:pBdr>
    </w:pPr>
    <w:rPr>
      <w:sz w:val="18"/>
      <w:szCs w:val="18"/>
    </w:rPr>
  </w:style>
  <w:style w:type="paragraph" w:styleId="758">
    <w:name w:val="toc 1"/>
    <w:basedOn w:val="726"/>
    <w:next w:val="726"/>
    <w:uiPriority w:val="39"/>
    <w:unhideWhenUsed/>
    <w:pPr>
      <w:spacing w:after="57"/>
    </w:pPr>
  </w:style>
  <w:style w:type="paragraph" w:styleId="759">
    <w:name w:val="toc 4"/>
    <w:basedOn w:val="726"/>
    <w:next w:val="726"/>
    <w:uiPriority w:val="39"/>
    <w:unhideWhenUsed/>
    <w:pPr>
      <w:ind w:left="850"/>
      <w:spacing w:after="57"/>
    </w:pPr>
  </w:style>
  <w:style w:type="paragraph" w:styleId="760">
    <w:name w:val="Subtitle"/>
    <w:basedOn w:val="726"/>
    <w:next w:val="726"/>
    <w:link w:val="838"/>
    <w:uiPriority w:val="11"/>
    <w:qFormat/>
    <w:pPr>
      <w:spacing w:before="200" w:after="200" w:line="278" w:lineRule="auto"/>
    </w:pPr>
    <w:rPr>
      <w:sz w:val="24"/>
    </w:rPr>
  </w:style>
  <w:style w:type="paragraph" w:styleId="761">
    <w:name w:val="footnote text"/>
    <w:basedOn w:val="726"/>
    <w:link w:val="839"/>
    <w:uiPriority w:val="99"/>
    <w:unhideWhenUsed/>
    <w:qFormat/>
    <w:pPr>
      <w:spacing w:after="40" w:line="278" w:lineRule="auto"/>
    </w:pPr>
    <w:rPr>
      <w:sz w:val="18"/>
    </w:rPr>
  </w:style>
  <w:style w:type="paragraph" w:styleId="762">
    <w:name w:val="toc 6"/>
    <w:basedOn w:val="726"/>
    <w:next w:val="726"/>
    <w:uiPriority w:val="39"/>
    <w:unhideWhenUsed/>
    <w:pPr>
      <w:ind w:left="1417"/>
      <w:spacing w:after="57"/>
    </w:pPr>
  </w:style>
  <w:style w:type="paragraph" w:styleId="763">
    <w:name w:val="Body Text Indent 3"/>
    <w:basedOn w:val="726"/>
    <w:link w:val="841"/>
    <w:uiPriority w:val="0"/>
    <w:qFormat/>
    <w:pPr>
      <w:ind w:left="720" w:firstLine="480"/>
      <w:jc w:val="left"/>
      <w:spacing w:before="120" w:line="22" w:lineRule="atLeast"/>
    </w:pPr>
    <w:rPr>
      <w:rFonts w:ascii="宋体"/>
      <w:sz w:val="24"/>
      <w:szCs w:val="20"/>
    </w:rPr>
  </w:style>
  <w:style w:type="paragraph" w:styleId="764">
    <w:name w:val="table of figures"/>
    <w:basedOn w:val="726"/>
    <w:next w:val="726"/>
    <w:uiPriority w:val="99"/>
    <w:unhideWhenUsed/>
    <w:qFormat/>
    <w:pPr>
      <w:spacing w:after="160" w:line="278" w:lineRule="auto"/>
    </w:pPr>
  </w:style>
  <w:style w:type="paragraph" w:styleId="765">
    <w:name w:val="toc 2"/>
    <w:basedOn w:val="726"/>
    <w:next w:val="726"/>
    <w:uiPriority w:val="39"/>
    <w:unhideWhenUsed/>
    <w:pPr>
      <w:ind w:left="283"/>
      <w:spacing w:after="57"/>
    </w:pPr>
  </w:style>
  <w:style w:type="paragraph" w:styleId="766">
    <w:name w:val="toc 9"/>
    <w:basedOn w:val="726"/>
    <w:next w:val="726"/>
    <w:uiPriority w:val="39"/>
    <w:unhideWhenUsed/>
    <w:pPr>
      <w:ind w:left="2268"/>
      <w:spacing w:after="57"/>
    </w:pPr>
  </w:style>
  <w:style w:type="paragraph" w:styleId="767">
    <w:name w:val="HTML Preformatted"/>
    <w:basedOn w:val="726"/>
    <w:link w:val="8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68">
    <w:name w:val="Normal (Web)"/>
    <w:basedOn w:val="726"/>
    <w:uiPriority w:val="99"/>
    <w:unhideWhenUsed/>
    <w:qFormat/>
    <w:pPr>
      <w:jc w:val="left"/>
      <w:spacing w:before="100" w:beforeAutospacing="1" w:after="100" w:afterAutospacing="1"/>
      <w:widowControl/>
    </w:pPr>
    <w:rPr>
      <w:rFonts w:ascii="宋体" w:hAnsi="宋体" w:cs="宋体"/>
      <w:sz w:val="24"/>
    </w:rPr>
  </w:style>
  <w:style w:type="paragraph" w:styleId="769">
    <w:name w:val="index 1"/>
    <w:basedOn w:val="726"/>
    <w:next w:val="726"/>
    <w:uiPriority w:val="0"/>
    <w:qFormat/>
    <w:rPr>
      <w:szCs w:val="20"/>
    </w:rPr>
  </w:style>
  <w:style w:type="paragraph" w:styleId="770">
    <w:name w:val="Title"/>
    <w:basedOn w:val="726"/>
    <w:link w:val="845"/>
    <w:uiPriority w:val="0"/>
    <w:qFormat/>
    <w:pPr>
      <w:jc w:val="center"/>
      <w:outlineLvl w:val="0"/>
    </w:pPr>
    <w:rPr>
      <w:b/>
      <w:sz w:val="32"/>
      <w:szCs w:val="20"/>
    </w:rPr>
  </w:style>
  <w:style w:type="paragraph" w:styleId="771">
    <w:name w:val="annotation subject"/>
    <w:basedOn w:val="742"/>
    <w:next w:val="742"/>
    <w:link w:val="846"/>
    <w:uiPriority w:val="0"/>
    <w:qFormat/>
    <w:rPr>
      <w:b/>
      <w:bCs/>
    </w:rPr>
  </w:style>
  <w:style w:type="table" w:styleId="772">
    <w:name w:val="Table Grid"/>
    <w:basedOn w:val="73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uiPriority w:val="0"/>
    <w:qFormat/>
    <w:rPr>
      <w:b/>
      <w:bCs/>
    </w:rPr>
  </w:style>
  <w:style w:type="character" w:styleId="774">
    <w:name w:val="endnote reference"/>
    <w:uiPriority w:val="99"/>
    <w:unhideWhenUsed/>
    <w:qFormat/>
    <w:rPr>
      <w:vertAlign w:val="superscript"/>
    </w:rPr>
  </w:style>
  <w:style w:type="character" w:styleId="775">
    <w:name w:val="page number"/>
    <w:uiPriority w:val="0"/>
    <w:qFormat/>
  </w:style>
  <w:style w:type="character" w:styleId="776">
    <w:name w:val="Emphasis"/>
    <w:uiPriority w:val="0"/>
    <w:qFormat/>
    <w:rPr>
      <w:color w:val="cc0033"/>
    </w:rPr>
  </w:style>
  <w:style w:type="character" w:styleId="777">
    <w:name w:val="Hyperlink"/>
    <w:uiPriority w:val="99"/>
    <w:qFormat/>
    <w:rPr>
      <w:color w:val="333333"/>
      <w:u w:val="none"/>
    </w:rPr>
  </w:style>
  <w:style w:type="character" w:styleId="778">
    <w:name w:val="annotation reference"/>
    <w:uiPriority w:val="99"/>
    <w:qFormat/>
    <w:rPr>
      <w:sz w:val="21"/>
      <w:szCs w:val="21"/>
    </w:rPr>
  </w:style>
  <w:style w:type="character" w:styleId="779">
    <w:name w:val="HTML Cite"/>
    <w:uiPriority w:val="0"/>
    <w:qFormat/>
    <w:rPr>
      <w:i/>
      <w:iCs/>
    </w:rPr>
  </w:style>
  <w:style w:type="character" w:styleId="780">
    <w:name w:val="footnote reference"/>
    <w:uiPriority w:val="99"/>
    <w:unhideWhenUsed/>
    <w:qFormat/>
    <w:rPr>
      <w:vertAlign w:val="superscript"/>
    </w:rPr>
  </w:style>
  <w:style w:type="paragraph" w:styleId="781">
    <w:name w:val="List Paragraph"/>
    <w:basedOn w:val="726"/>
    <w:link w:val="870"/>
    <w:uiPriority w:val="34"/>
    <w:qFormat/>
    <w:pPr>
      <w:ind w:firstLine="420"/>
    </w:pPr>
    <w:rPr>
      <w:rFonts w:ascii="Calibri" w:hAnsi="Calibri"/>
      <w:szCs w:val="22"/>
    </w:rPr>
  </w:style>
  <w:style w:type="paragraph" w:styleId="782">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783" w:customStyle="1">
    <w:name w:val="Subtitle Char"/>
    <w:uiPriority w:val="11"/>
    <w:rPr>
      <w:sz w:val="24"/>
      <w:szCs w:val="24"/>
    </w:rPr>
  </w:style>
  <w:style w:type="paragraph" w:styleId="784">
    <w:name w:val="Quote"/>
    <w:basedOn w:val="726"/>
    <w:next w:val="726"/>
    <w:link w:val="1038"/>
    <w:uiPriority w:val="29"/>
    <w:qFormat/>
    <w:pPr>
      <w:ind w:left="720" w:right="720"/>
      <w:spacing w:after="160" w:line="278" w:lineRule="auto"/>
    </w:pPr>
    <w:rPr>
      <w:i/>
    </w:rPr>
  </w:style>
  <w:style w:type="character" w:styleId="785" w:customStyle="1">
    <w:name w:val="Quote Char"/>
    <w:uiPriority w:val="29"/>
    <w:rPr>
      <w:i/>
    </w:rPr>
  </w:style>
  <w:style w:type="paragraph" w:styleId="786">
    <w:name w:val="Intense Quote"/>
    <w:basedOn w:val="726"/>
    <w:next w:val="726"/>
    <w:link w:val="1039"/>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uiPriority w:val="30"/>
    <w:rPr>
      <w:i/>
    </w:rPr>
  </w:style>
  <w:style w:type="table" w:styleId="788" w:customStyle="1">
    <w:name w:val="Plain Table 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9" w:customStyle="1">
    <w:name w:val="Plain Table 2"/>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0" w:customStyle="1">
    <w:name w:val="Plain Table 3"/>
    <w:uiPriority w:val="99"/>
    <w:tblPr>
      <w:tblCellMar>
        <w:left w:w="0" w:type="dxa"/>
        <w:top w:w="0" w:type="dxa"/>
        <w:right w:w="0" w:type="dxa"/>
        <w:bottom w:w="0" w:type="dxa"/>
      </w:tblCellMar>
    </w:tblPr>
  </w:style>
  <w:style w:type="table" w:styleId="791" w:customStyle="1">
    <w:name w:val="Plain Table 4"/>
    <w:uiPriority w:val="99"/>
    <w:tblPr>
      <w:tblCellMar>
        <w:left w:w="0" w:type="dxa"/>
        <w:top w:w="0" w:type="dxa"/>
        <w:right w:w="0" w:type="dxa"/>
        <w:bottom w:w="0" w:type="dxa"/>
      </w:tblCellMar>
    </w:tblPr>
  </w:style>
  <w:style w:type="table" w:styleId="792" w:customStyle="1">
    <w:name w:val="Plain Table 5"/>
    <w:uiPriority w:val="99"/>
    <w:tblPr>
      <w:tblCellMar>
        <w:left w:w="0" w:type="dxa"/>
        <w:top w:w="0" w:type="dxa"/>
        <w:right w:w="0" w:type="dxa"/>
        <w:bottom w:w="0" w:type="dxa"/>
      </w:tblCellMar>
    </w:tblPr>
  </w:style>
  <w:style w:type="table" w:styleId="793" w:customStyle="1">
    <w:name w:val="Grid Table 1 Ligh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4" w:customStyle="1">
    <w:name w:val="Grid Table 2"/>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5" w:customStyle="1">
    <w:name w:val="Grid Table 3"/>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6" w:customStyle="1">
    <w:name w:val="Grid Table 4"/>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7" w:customStyle="1">
    <w:name w:val="Grid Table 5 Dark"/>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8" w:customStyle="1">
    <w:name w:val="Grid Table 6 Colorful"/>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9" w:customStyle="1">
    <w:name w:val="Grid Table 7 Colorful"/>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0" w:customStyle="1">
    <w:name w:val="List Table 1 Light"/>
    <w:uiPriority w:val="99"/>
    <w:tblPr>
      <w:tblCellMar>
        <w:left w:w="0" w:type="dxa"/>
        <w:top w:w="0" w:type="dxa"/>
        <w:right w:w="0" w:type="dxa"/>
        <w:bottom w:w="0" w:type="dxa"/>
      </w:tblCellMar>
    </w:tblPr>
  </w:style>
  <w:style w:type="table" w:styleId="801" w:customStyle="1">
    <w:name w:val="List Table 2"/>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02" w:customStyle="1">
    <w:name w:val="List Table 3"/>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3" w:customStyle="1">
    <w:name w:val="List Table 4"/>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4" w:customStyle="1">
    <w:name w:val="List Table 5 Dark"/>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05" w:customStyle="1">
    <w:name w:val="List Table 6 Colorful"/>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806" w:customStyle="1">
    <w:name w:val="List Table 7 Colorful"/>
    <w:uiPriority w:val="99"/>
    <w:tblPr>
      <w:tblBorders>
        <w:right w:val="single" w:color="7F7F7F" w:sz="4" w:space="0"/>
      </w:tblBorders>
      <w:tblCellMar>
        <w:left w:w="0" w:type="dxa"/>
        <w:top w:w="0" w:type="dxa"/>
        <w:right w:w="0" w:type="dxa"/>
        <w:bottom w:w="0" w:type="dxa"/>
      </w:tblCellMar>
    </w:tblPr>
  </w:style>
  <w:style w:type="character" w:styleId="807" w:customStyle="1">
    <w:name w:val="Footnote Text Char"/>
    <w:uiPriority w:val="99"/>
    <w:rPr>
      <w:sz w:val="18"/>
    </w:rPr>
  </w:style>
  <w:style w:type="character" w:styleId="808" w:customStyle="1">
    <w:name w:val="Endnote Text Char"/>
    <w:uiPriority w:val="99"/>
    <w:rPr>
      <w:sz w:val="20"/>
    </w:rPr>
  </w:style>
  <w:style w:type="paragraph" w:styleId="809" w:customStyle="1">
    <w:name w:val="TOC Heading"/>
    <w:uiPriority w:val="39"/>
    <w:unhideWhenUsed/>
    <w:rPr>
      <w:rFonts w:ascii="Times New Roman" w:hAnsi="Times New Roman" w:eastAsia="宋体" w:cs="Times New Roman"/>
      <w:lang w:val="en-US" w:eastAsia="zh-CN" w:bidi="ar-SA"/>
    </w:rPr>
  </w:style>
  <w:style w:type="character" w:styleId="810" w:customStyle="1">
    <w:name w:val="标题 1 字符"/>
    <w:link w:val="727"/>
    <w:uiPriority w:val="0"/>
    <w:qFormat/>
    <w:rPr>
      <w:rFonts w:ascii="宋体"/>
      <w:b/>
      <w:sz w:val="32"/>
    </w:rPr>
  </w:style>
  <w:style w:type="character" w:styleId="811" w:customStyle="1">
    <w:name w:val="标题 2 字符"/>
    <w:link w:val="728"/>
    <w:uiPriority w:val="0"/>
    <w:qFormat/>
    <w:rPr>
      <w:rFonts w:ascii="Arial" w:hAnsi="Arial" w:eastAsia="黑体"/>
      <w:b/>
      <w:sz w:val="30"/>
      <w:lang w:val="en-US" w:eastAsia="zh-CN" w:bidi="ar-SA"/>
    </w:rPr>
  </w:style>
  <w:style w:type="character" w:styleId="812" w:customStyle="1">
    <w:name w:val="正文缩进 字符"/>
    <w:link w:val="738"/>
    <w:uiPriority w:val="0"/>
    <w:qFormat/>
    <w:rPr>
      <w:rFonts w:ascii="宋体" w:eastAsia="宋体"/>
      <w:sz w:val="24"/>
      <w:szCs w:val="24"/>
      <w:lang w:val="en-US" w:eastAsia="zh-CN" w:bidi="ar-SA"/>
    </w:rPr>
  </w:style>
  <w:style w:type="character" w:styleId="813" w:customStyle="1">
    <w:name w:val="标题 3 字符"/>
    <w:link w:val="729"/>
    <w:uiPriority w:val="0"/>
    <w:qFormat/>
    <w:rPr>
      <w:rFonts w:ascii="宋体" w:eastAsia="宋体"/>
      <w:b/>
      <w:sz w:val="24"/>
      <w:u w:val="single"/>
      <w:lang w:val="en-US" w:eastAsia="zh-CN" w:bidi="ar-SA"/>
    </w:rPr>
  </w:style>
  <w:style w:type="character" w:styleId="814" w:customStyle="1">
    <w:name w:val="标题 4 字符"/>
    <w:link w:val="730"/>
    <w:uiPriority w:val="0"/>
    <w:qFormat/>
    <w:rPr>
      <w:rFonts w:ascii="Arial" w:hAnsi="Arial" w:eastAsia="黑体"/>
      <w:b/>
      <w:sz w:val="28"/>
    </w:rPr>
  </w:style>
  <w:style w:type="character" w:styleId="815" w:customStyle="1">
    <w:name w:val="标题 5 字符"/>
    <w:link w:val="731"/>
    <w:uiPriority w:val="0"/>
    <w:qFormat/>
    <w:rPr>
      <w:b/>
      <w:sz w:val="28"/>
    </w:rPr>
  </w:style>
  <w:style w:type="character" w:styleId="816" w:customStyle="1">
    <w:name w:val="标题 6 字符"/>
    <w:link w:val="732"/>
    <w:uiPriority w:val="0"/>
    <w:qFormat/>
    <w:rPr>
      <w:rFonts w:ascii="Arial" w:hAnsi="Arial" w:eastAsia="黑体"/>
      <w:b/>
      <w:sz w:val="24"/>
    </w:rPr>
  </w:style>
  <w:style w:type="character" w:styleId="817" w:customStyle="1">
    <w:name w:val="标题 7 字符"/>
    <w:link w:val="733"/>
    <w:uiPriority w:val="0"/>
    <w:qFormat/>
    <w:rPr>
      <w:b/>
      <w:sz w:val="24"/>
    </w:rPr>
  </w:style>
  <w:style w:type="character" w:styleId="818" w:customStyle="1">
    <w:name w:val="标题 8 字符"/>
    <w:link w:val="734"/>
    <w:uiPriority w:val="0"/>
    <w:qFormat/>
    <w:rPr>
      <w:rFonts w:ascii="Arial" w:hAnsi="Arial" w:eastAsia="黑体"/>
      <w:sz w:val="24"/>
    </w:rPr>
  </w:style>
  <w:style w:type="character" w:styleId="819" w:customStyle="1">
    <w:name w:val="标题 9 字符"/>
    <w:link w:val="735"/>
    <w:uiPriority w:val="0"/>
    <w:qFormat/>
    <w:rPr>
      <w:rFonts w:ascii="Arial" w:hAnsi="Arial" w:eastAsia="黑体"/>
      <w:sz w:val="21"/>
    </w:rPr>
  </w:style>
  <w:style w:type="paragraph" w:styleId="820" w:customStyle="1">
    <w:name w:val="目录 71"/>
    <w:basedOn w:val="726"/>
    <w:next w:val="726"/>
    <w:uiPriority w:val="0"/>
    <w:qFormat/>
    <w:pPr>
      <w:ind w:left="2520"/>
    </w:pPr>
  </w:style>
  <w:style w:type="character" w:styleId="821" w:customStyle="1">
    <w:name w:val="文档结构图 字符"/>
    <w:link w:val="741"/>
    <w:uiPriority w:val="0"/>
    <w:qFormat/>
    <w:rPr>
      <w:sz w:val="21"/>
      <w:szCs w:val="24"/>
      <w:shd w:val="clear" w:color="auto" w:fill="000080"/>
    </w:rPr>
  </w:style>
  <w:style w:type="character" w:styleId="822" w:customStyle="1">
    <w:name w:val="批注文字 字符1"/>
    <w:link w:val="742"/>
    <w:uiPriority w:val="99"/>
    <w:qFormat/>
    <w:rPr>
      <w:sz w:val="21"/>
      <w:szCs w:val="24"/>
    </w:rPr>
  </w:style>
  <w:style w:type="character" w:styleId="823" w:customStyle="1">
    <w:name w:val="正文文本 3 字符"/>
    <w:link w:val="743"/>
    <w:uiPriority w:val="0"/>
    <w:qFormat/>
    <w:rPr>
      <w:sz w:val="16"/>
      <w:szCs w:val="16"/>
    </w:rPr>
  </w:style>
  <w:style w:type="character" w:styleId="824" w:customStyle="1">
    <w:name w:val="正文文本 字符"/>
    <w:link w:val="744"/>
    <w:uiPriority w:val="99"/>
    <w:qFormat/>
    <w:rPr>
      <w:rFonts w:ascii="宋体" w:hAnsi="宋体"/>
      <w:sz w:val="24"/>
      <w:szCs w:val="24"/>
    </w:rPr>
  </w:style>
  <w:style w:type="character" w:styleId="825" w:customStyle="1">
    <w:name w:val="正文文本缩进 字符"/>
    <w:link w:val="745"/>
    <w:uiPriority w:val="0"/>
    <w:qFormat/>
    <w:rPr>
      <w:rFonts w:eastAsia="宋体"/>
      <w:sz w:val="24"/>
      <w:szCs w:val="24"/>
      <w:lang w:val="en-US" w:eastAsia="zh-CN" w:bidi="ar-SA"/>
    </w:rPr>
  </w:style>
  <w:style w:type="paragraph" w:styleId="826" w:customStyle="1">
    <w:name w:val="目录 51"/>
    <w:basedOn w:val="726"/>
    <w:next w:val="726"/>
    <w:uiPriority w:val="0"/>
    <w:qFormat/>
    <w:pPr>
      <w:ind w:left="1680"/>
    </w:pPr>
  </w:style>
  <w:style w:type="paragraph" w:styleId="827" w:customStyle="1">
    <w:name w:val="目录 31"/>
    <w:basedOn w:val="726"/>
    <w:next w:val="726"/>
    <w:uiPriority w:val="39"/>
    <w:qFormat/>
    <w:pPr>
      <w:ind w:left="840"/>
    </w:pPr>
  </w:style>
  <w:style w:type="character" w:styleId="828" w:customStyle="1">
    <w:name w:val="纯文本 字符2"/>
    <w:link w:val="750"/>
    <w:uiPriority w:val="0"/>
    <w:qFormat/>
    <w:rPr>
      <w:rFonts w:hint="eastAsia" w:ascii="宋体" w:hAnsi="Courier New" w:eastAsia="宋体" w:cs="宋体"/>
      <w:sz w:val="21"/>
    </w:rPr>
  </w:style>
  <w:style w:type="paragraph" w:styleId="829" w:customStyle="1">
    <w:name w:val="目录 81"/>
    <w:basedOn w:val="726"/>
    <w:next w:val="726"/>
    <w:uiPriority w:val="0"/>
    <w:qFormat/>
    <w:pPr>
      <w:ind w:left="2940"/>
    </w:pPr>
  </w:style>
  <w:style w:type="character" w:styleId="830" w:customStyle="1">
    <w:name w:val="日期 字符"/>
    <w:link w:val="752"/>
    <w:uiPriority w:val="0"/>
    <w:qFormat/>
    <w:rPr>
      <w:rFonts w:ascii="仿宋_GB2312" w:hAnsi="宋体" w:eastAsia="仿宋_GB2312"/>
      <w:color w:val="000000"/>
      <w:sz w:val="24"/>
      <w:szCs w:val="24"/>
    </w:rPr>
  </w:style>
  <w:style w:type="character" w:styleId="831" w:customStyle="1">
    <w:name w:val="正文文本缩进 2 字符"/>
    <w:link w:val="753"/>
    <w:uiPriority w:val="0"/>
    <w:qFormat/>
    <w:rPr>
      <w:rFonts w:ascii="仿宋_GB2312" w:eastAsia="仿宋_GB2312"/>
      <w:sz w:val="24"/>
      <w:szCs w:val="24"/>
    </w:rPr>
  </w:style>
  <w:style w:type="character" w:styleId="832" w:customStyle="1">
    <w:name w:val="尾注文本 字符"/>
    <w:link w:val="754"/>
    <w:uiPriority w:val="99"/>
    <w:qFormat/>
    <w:rPr>
      <w:szCs w:val="24"/>
    </w:rPr>
  </w:style>
  <w:style w:type="character" w:styleId="833" w:customStyle="1">
    <w:name w:val="批注框文本 字符"/>
    <w:link w:val="755"/>
    <w:uiPriority w:val="0"/>
    <w:qFormat/>
    <w:rPr>
      <w:sz w:val="18"/>
      <w:szCs w:val="18"/>
    </w:rPr>
  </w:style>
  <w:style w:type="character" w:styleId="834" w:customStyle="1">
    <w:name w:val="页脚 字符"/>
    <w:link w:val="756"/>
    <w:uiPriority w:val="99"/>
    <w:qFormat/>
    <w:rPr>
      <w:rFonts w:ascii="宋体" w:eastAsia="宋体"/>
      <w:sz w:val="18"/>
      <w:lang w:val="en-US" w:eastAsia="zh-CN" w:bidi="ar-SA"/>
    </w:rPr>
  </w:style>
  <w:style w:type="character" w:styleId="835" w:customStyle="1">
    <w:name w:val="页眉 字符"/>
    <w:link w:val="757"/>
    <w:uiPriority w:val="0"/>
    <w:qFormat/>
    <w:rPr>
      <w:rFonts w:eastAsia="宋体"/>
      <w:sz w:val="18"/>
      <w:szCs w:val="18"/>
      <w:lang w:val="en-US" w:eastAsia="zh-CN" w:bidi="ar-SA"/>
    </w:rPr>
  </w:style>
  <w:style w:type="paragraph" w:styleId="836" w:customStyle="1">
    <w:name w:val="目录 11"/>
    <w:basedOn w:val="726"/>
    <w:next w:val="726"/>
    <w:uiPriority w:val="0"/>
    <w:qFormat/>
    <w:pPr>
      <w:spacing w:line="300" w:lineRule="auto"/>
      <w:tabs>
        <w:tab w:val="left" w:pos="1050" w:leader="none"/>
        <w:tab w:val="right" w:pos="8937" w:leader="dot"/>
      </w:tabs>
    </w:pPr>
    <w:rPr>
      <w:rFonts w:ascii="宋体" w:hAnsi="宋体"/>
      <w:b/>
      <w:sz w:val="24"/>
    </w:rPr>
  </w:style>
  <w:style w:type="paragraph" w:styleId="837" w:customStyle="1">
    <w:name w:val="目录 41"/>
    <w:basedOn w:val="726"/>
    <w:next w:val="726"/>
    <w:uiPriority w:val="0"/>
    <w:qFormat/>
    <w:pPr>
      <w:ind w:left="1260"/>
    </w:pPr>
  </w:style>
  <w:style w:type="character" w:styleId="838" w:customStyle="1">
    <w:name w:val="副标题 字符"/>
    <w:link w:val="760"/>
    <w:uiPriority w:val="11"/>
    <w:qFormat/>
    <w:rPr>
      <w:sz w:val="24"/>
      <w:szCs w:val="24"/>
    </w:rPr>
  </w:style>
  <w:style w:type="character" w:styleId="839" w:customStyle="1">
    <w:name w:val="脚注文本 字符"/>
    <w:link w:val="761"/>
    <w:uiPriority w:val="99"/>
    <w:qFormat/>
    <w:rPr>
      <w:sz w:val="18"/>
      <w:szCs w:val="24"/>
    </w:rPr>
  </w:style>
  <w:style w:type="paragraph" w:styleId="840" w:customStyle="1">
    <w:name w:val="目录 61"/>
    <w:basedOn w:val="726"/>
    <w:next w:val="726"/>
    <w:uiPriority w:val="0"/>
    <w:qFormat/>
    <w:pPr>
      <w:ind w:left="2100"/>
    </w:pPr>
  </w:style>
  <w:style w:type="character" w:styleId="841" w:customStyle="1">
    <w:name w:val="正文文本缩进 3 字符"/>
    <w:link w:val="763"/>
    <w:uiPriority w:val="0"/>
    <w:qFormat/>
    <w:rPr>
      <w:rFonts w:ascii="宋体"/>
      <w:sz w:val="24"/>
    </w:rPr>
  </w:style>
  <w:style w:type="paragraph" w:styleId="842" w:customStyle="1">
    <w:name w:val="目录 21"/>
    <w:basedOn w:val="726"/>
    <w:next w:val="726"/>
    <w:uiPriority w:val="0"/>
    <w:qFormat/>
    <w:pPr>
      <w:ind w:left="420"/>
      <w:spacing w:line="312" w:lineRule="auto"/>
      <w:tabs>
        <w:tab w:val="right" w:pos="8937" w:leader="dot"/>
      </w:tabs>
    </w:pPr>
  </w:style>
  <w:style w:type="paragraph" w:styleId="843" w:customStyle="1">
    <w:name w:val="目录 91"/>
    <w:basedOn w:val="726"/>
    <w:next w:val="726"/>
    <w:uiPriority w:val="0"/>
    <w:qFormat/>
    <w:pPr>
      <w:ind w:left="3360"/>
    </w:pPr>
  </w:style>
  <w:style w:type="character" w:styleId="844" w:customStyle="1">
    <w:name w:val="HTML 预设格式 字符"/>
    <w:link w:val="767"/>
    <w:uiPriority w:val="0"/>
    <w:qFormat/>
    <w:rPr>
      <w:rFonts w:ascii="宋体" w:hAnsi="宋体" w:cs="宋体"/>
      <w:sz w:val="24"/>
      <w:szCs w:val="24"/>
    </w:rPr>
  </w:style>
  <w:style w:type="character" w:styleId="845" w:customStyle="1">
    <w:name w:val="标题 字符"/>
    <w:link w:val="770"/>
    <w:uiPriority w:val="0"/>
    <w:qFormat/>
    <w:rPr>
      <w:b/>
      <w:sz w:val="32"/>
    </w:rPr>
  </w:style>
  <w:style w:type="character" w:styleId="846" w:customStyle="1">
    <w:name w:val="批注主题 字符"/>
    <w:link w:val="771"/>
    <w:uiPriority w:val="0"/>
    <w:qFormat/>
    <w:rPr>
      <w:rFonts w:ascii="Times New Roman" w:hAnsi="Times New Roman" w:eastAsia="宋体" w:cs="Times New Roman"/>
      <w:b/>
      <w:bCs/>
      <w:sz w:val="21"/>
      <w:szCs w:val="24"/>
      <w:lang w:val="en-US" w:eastAsia="zh-CN" w:bidi="ar-SA"/>
    </w:rPr>
  </w:style>
  <w:style w:type="paragraph" w:styleId="847" w:customStyle="1">
    <w:name w:val="正文首行缩进1"/>
    <w:basedOn w:val="744"/>
    <w:link w:val="848"/>
    <w:uiPriority w:val="99"/>
    <w:qFormat/>
    <w:pPr>
      <w:ind w:firstLine="420"/>
    </w:pPr>
  </w:style>
  <w:style w:type="character" w:styleId="848" w:customStyle="1">
    <w:name w:val="正文文本首行缩进 字符"/>
    <w:link w:val="847"/>
    <w:uiPriority w:val="99"/>
    <w:qFormat/>
    <w:rPr>
      <w:rFonts w:ascii="宋体" w:hAnsi="宋体"/>
      <w:sz w:val="24"/>
      <w:szCs w:val="24"/>
    </w:rPr>
  </w:style>
  <w:style w:type="paragraph" w:styleId="849" w:customStyle="1">
    <w:name w:val="正文首行缩进 21"/>
    <w:basedOn w:val="745"/>
    <w:link w:val="850"/>
    <w:uiPriority w:val="0"/>
    <w:qFormat/>
    <w:pPr>
      <w:ind w:left="420" w:firstLine="420"/>
      <w:spacing w:after="120" w:line="480" w:lineRule="exact"/>
    </w:pPr>
    <w:rPr>
      <w:szCs w:val="20"/>
    </w:rPr>
  </w:style>
  <w:style w:type="character" w:styleId="850" w:customStyle="1">
    <w:name w:val="正文文本首行缩进 2 字符"/>
    <w:link w:val="849"/>
    <w:uiPriority w:val="0"/>
    <w:qFormat/>
    <w:rPr>
      <w:rFonts w:eastAsia="宋体"/>
      <w:sz w:val="24"/>
      <w:szCs w:val="24"/>
      <w:lang w:val="en-US" w:eastAsia="zh-CN" w:bidi="ar-SA"/>
    </w:rPr>
  </w:style>
  <w:style w:type="table" w:styleId="851" w:customStyle="1">
    <w:name w:val="中等深浅网格 1 - 强调文字颜色 21"/>
    <w:basedOn w:val="737"/>
    <w:uiPriority w:val="0"/>
    <w:qFormat/>
    <w:rPr>
      <w:sz w:val="21"/>
      <w:szCs w:val="24"/>
    </w:rPr>
    <w:tblPr/>
  </w:style>
  <w:style w:type="character" w:styleId="852" w:customStyle="1">
    <w:name w:val="已访问的超链接1"/>
    <w:uiPriority w:val="99"/>
    <w:qFormat/>
    <w:rPr>
      <w:color w:val="333333"/>
      <w:u w:val="none"/>
    </w:rPr>
  </w:style>
  <w:style w:type="paragraph" w:styleId="853" w:customStyle="1">
    <w:name w:val="Default"/>
    <w:link w:val="854"/>
    <w:uiPriority w:val="0"/>
    <w:qFormat/>
    <w:pPr>
      <w:widowControl w:val="off"/>
    </w:pPr>
    <w:rPr>
      <w:rFonts w:ascii="Symbol" w:hAnsi="Symbol" w:eastAsia="宋体" w:cs="Symbol"/>
      <w:color w:val="000000"/>
      <w:sz w:val="24"/>
      <w:szCs w:val="24"/>
      <w:lang w:val="en-US" w:eastAsia="zh-CN" w:bidi="ar-SA"/>
    </w:rPr>
  </w:style>
  <w:style w:type="character" w:styleId="854" w:customStyle="1">
    <w:name w:val="Default Char"/>
    <w:link w:val="853"/>
    <w:uiPriority w:val="0"/>
    <w:qFormat/>
    <w:rPr>
      <w:rFonts w:ascii="Symbol" w:hAnsi="Symbol" w:cs="Symbol"/>
      <w:color w:val="000000"/>
      <w:sz w:val="24"/>
      <w:szCs w:val="24"/>
    </w:rPr>
  </w:style>
  <w:style w:type="character" w:styleId="855" w:customStyle="1">
    <w:name w:val="批注文字 字符"/>
    <w:uiPriority w:val="99"/>
    <w:qFormat/>
    <w:rPr>
      <w:rFonts w:ascii="Times New Roman" w:hAnsi="Times New Roman" w:eastAsia="宋体" w:cs="Times New Roman"/>
      <w:sz w:val="24"/>
      <w:lang w:val="en-US" w:eastAsia="zh-CN" w:bidi="ar-SA"/>
    </w:rPr>
  </w:style>
  <w:style w:type="character" w:styleId="856" w:customStyle="1">
    <w:name w:val="c21"/>
    <w:uiPriority w:val="0"/>
    <w:qFormat/>
    <w:rPr>
      <w:rFonts w:ascii="ˎ̥" w:hAnsi="ˎ̥"/>
      <w:color w:val="000000"/>
      <w:sz w:val="20"/>
      <w:szCs w:val="20"/>
      <w:u w:val="none"/>
    </w:rPr>
  </w:style>
  <w:style w:type="character" w:styleId="857" w:customStyle="1">
    <w:name w:val="title4"/>
    <w:uiPriority w:val="0"/>
    <w:qFormat/>
    <w:rPr>
      <w:b/>
      <w:bCs/>
      <w:color w:val="1d87b3"/>
      <w:sz w:val="15"/>
      <w:szCs w:val="15"/>
    </w:rPr>
  </w:style>
  <w:style w:type="character" w:styleId="858" w:customStyle="1">
    <w:name w:val="标题 2 Char Char"/>
    <w:uiPriority w:val="0"/>
    <w:qFormat/>
    <w:rPr>
      <w:rFonts w:ascii="Arial" w:hAnsi="Arial" w:eastAsia="黑体"/>
      <w:b/>
      <w:bCs/>
      <w:sz w:val="32"/>
      <w:szCs w:val="32"/>
      <w:lang w:val="en-US" w:eastAsia="zh-CN" w:bidi="ar-SA"/>
    </w:rPr>
  </w:style>
  <w:style w:type="character" w:styleId="859" w:customStyle="1">
    <w:name w:val="black1"/>
    <w:uiPriority w:val="0"/>
    <w:qFormat/>
    <w:rPr>
      <w:color w:val="000000"/>
    </w:rPr>
  </w:style>
  <w:style w:type="character" w:styleId="860" w:customStyle="1">
    <w:name w:val="street-address"/>
    <w:uiPriority w:val="0"/>
    <w:qFormat/>
  </w:style>
  <w:style w:type="character" w:styleId="861" w:customStyle="1">
    <w:name w:val="locality"/>
    <w:uiPriority w:val="0"/>
    <w:qFormat/>
  </w:style>
  <w:style w:type="character" w:styleId="862" w:customStyle="1">
    <w:name w:val="正文文本缩进 Char1"/>
    <w:link w:val="863"/>
    <w:uiPriority w:val="0"/>
    <w:qFormat/>
    <w:rPr>
      <w:rFonts w:ascii="宋体" w:hAnsi="宋体" w:eastAsia="宋体"/>
      <w:sz w:val="24"/>
      <w:szCs w:val="24"/>
      <w:lang w:bidi="ar-SA"/>
    </w:rPr>
  </w:style>
  <w:style w:type="paragraph" w:styleId="863" w:customStyle="1">
    <w:name w:val="正文文本缩进1"/>
    <w:basedOn w:val="726"/>
    <w:link w:val="862"/>
    <w:uiPriority w:val="0"/>
    <w:qFormat/>
    <w:pPr>
      <w:ind w:firstLine="480"/>
      <w:spacing w:line="480" w:lineRule="exact"/>
    </w:pPr>
    <w:rPr>
      <w:rFonts w:ascii="宋体" w:hAnsi="宋体"/>
      <w:sz w:val="24"/>
    </w:rPr>
  </w:style>
  <w:style w:type="character" w:styleId="864" w:customStyle="1">
    <w:name w:val="Char Char11"/>
    <w:uiPriority w:val="0"/>
    <w:qFormat/>
    <w:rPr>
      <w:rFonts w:ascii="宋体" w:eastAsia="宋体"/>
      <w:b/>
      <w:sz w:val="24"/>
      <w:u w:val="single"/>
      <w:lang w:val="en-US" w:eastAsia="zh-CN" w:bidi="ar-SA"/>
    </w:rPr>
  </w:style>
  <w:style w:type="character" w:styleId="865" w:customStyle="1">
    <w:name w:val="txt"/>
    <w:uiPriority w:val="0"/>
    <w:qFormat/>
  </w:style>
  <w:style w:type="character" w:styleId="866" w:customStyle="1">
    <w:name w:val="正文缩进 Char Char"/>
    <w:link w:val="867"/>
    <w:uiPriority w:val="0"/>
    <w:qFormat/>
    <w:rPr>
      <w:rFonts w:ascii="宋体" w:eastAsia="宋体"/>
      <w:color w:val="000000"/>
      <w:sz w:val="28"/>
      <w:lang w:bidi="ar-SA"/>
    </w:rPr>
  </w:style>
  <w:style w:type="paragraph" w:styleId="867" w:customStyle="1">
    <w:name w:val="正文缩进1"/>
    <w:basedOn w:val="726"/>
    <w:link w:val="866"/>
    <w:uiPriority w:val="0"/>
    <w:qFormat/>
    <w:pPr>
      <w:ind w:firstLine="567"/>
      <w:spacing w:line="480" w:lineRule="exact"/>
      <w:widowControl/>
    </w:pPr>
    <w:rPr>
      <w:rFonts w:ascii="宋体"/>
      <w:color w:val="000000"/>
      <w:sz w:val="28"/>
      <w:szCs w:val="20"/>
    </w:rPr>
  </w:style>
  <w:style w:type="character" w:styleId="868" w:customStyle="1">
    <w:name w:val="普通文字1 Char1"/>
    <w:uiPriority w:val="0"/>
    <w:qFormat/>
    <w:rPr>
      <w:rFonts w:ascii="宋体" w:hAnsi="Courier New" w:eastAsia="宋体"/>
      <w:sz w:val="21"/>
      <w:lang w:val="en-US" w:eastAsia="zh-CN" w:bidi="ar-SA"/>
    </w:rPr>
  </w:style>
  <w:style w:type="character" w:styleId="869" w:customStyle="1">
    <w:name w:val="chanpin1"/>
    <w:uiPriority w:val="0"/>
    <w:qFormat/>
    <w:rPr>
      <w:rFonts w:ascii="ˎ̥" w:hAnsi="ˎ̥"/>
      <w:color w:val="000000"/>
      <w:sz w:val="20"/>
      <w:szCs w:val="20"/>
      <w:u w:val="none"/>
    </w:rPr>
  </w:style>
  <w:style w:type="character" w:styleId="870" w:customStyle="1">
    <w:name w:val="列表段落 字符"/>
    <w:link w:val="781"/>
    <w:uiPriority w:val="34"/>
    <w:qFormat/>
    <w:rPr>
      <w:rFonts w:ascii="Calibri" w:hAnsi="Calibri" w:eastAsia="宋体"/>
      <w:sz w:val="21"/>
      <w:szCs w:val="22"/>
      <w:lang w:val="en-US" w:eastAsia="zh-CN" w:bidi="ar-SA"/>
    </w:rPr>
  </w:style>
  <w:style w:type="character" w:styleId="871" w:customStyle="1">
    <w:name w:val="标题 3 Char Char"/>
    <w:uiPriority w:val="0"/>
    <w:qFormat/>
    <w:rPr>
      <w:rFonts w:eastAsia="宋体"/>
      <w:b/>
      <w:bCs/>
      <w:sz w:val="32"/>
      <w:szCs w:val="32"/>
      <w:lang w:val="en-US" w:eastAsia="zh-CN" w:bidi="ar-SA"/>
    </w:rPr>
  </w:style>
  <w:style w:type="character" w:styleId="872" w:customStyle="1">
    <w:name w:val="段1 Char"/>
    <w:uiPriority w:val="0"/>
    <w:qFormat/>
    <w:rPr>
      <w:rFonts w:ascii="宋体" w:eastAsia="宋体"/>
      <w:sz w:val="24"/>
      <w:lang w:val="en-US" w:eastAsia="zh-CN" w:bidi="ar-SA"/>
    </w:rPr>
  </w:style>
  <w:style w:type="character" w:styleId="873" w:customStyle="1">
    <w:name w:val="chanpin拷贝"/>
    <w:uiPriority w:val="0"/>
    <w:qFormat/>
  </w:style>
  <w:style w:type="character" w:styleId="874" w:customStyle="1">
    <w:name w:val="纯文本 Char1"/>
    <w:uiPriority w:val="0"/>
    <w:qFormat/>
    <w:rPr>
      <w:rFonts w:ascii="宋体" w:hAnsi="Courier New" w:eastAsia="宋体"/>
      <w:sz w:val="21"/>
      <w:lang w:val="en-US" w:eastAsia="zh-CN" w:bidi="ar-SA"/>
    </w:rPr>
  </w:style>
  <w:style w:type="character" w:styleId="875" w:customStyle="1">
    <w:name w:val="apple-style-span"/>
    <w:uiPriority w:val="0"/>
    <w:qFormat/>
    <w:rPr>
      <w:rFonts w:cs="Times New Roman"/>
    </w:rPr>
  </w:style>
  <w:style w:type="paragraph" w:styleId="876" w:customStyle="1">
    <w:name w:val="二级条标题"/>
    <w:basedOn w:val="877"/>
    <w:next w:val="72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877" w:customStyle="1">
    <w:name w:val="一级条标题"/>
    <w:basedOn w:val="878"/>
    <w:next w:val="726"/>
    <w:uiPriority w:val="0"/>
    <w:qFormat/>
    <w:pPr>
      <w:numPr>
        <w:ilvl w:val="1"/>
      </w:numPr>
      <w:ind w:left="0" w:hanging="840"/>
      <w:tabs>
        <w:tab w:val="left" w:pos="360" w:leader="none"/>
        <w:tab w:val="left" w:pos="840" w:leader="none"/>
      </w:tabs>
      <w:outlineLvl w:val="1"/>
    </w:pPr>
  </w:style>
  <w:style w:type="paragraph" w:styleId="878" w:customStyle="1">
    <w:name w:val="章标题"/>
    <w:next w:val="726"/>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879" w:customStyle="1">
    <w:name w:val="font7"/>
    <w:basedOn w:val="726"/>
    <w:uiPriority w:val="0"/>
    <w:qFormat/>
    <w:pPr>
      <w:jc w:val="left"/>
      <w:spacing w:before="100" w:beforeAutospacing="1" w:after="100" w:afterAutospacing="1"/>
      <w:widowControl/>
    </w:pPr>
    <w:rPr>
      <w:rFonts w:eastAsia="Arial Unicode MS"/>
      <w:b/>
      <w:bCs/>
      <w:color w:val="000000"/>
      <w:sz w:val="20"/>
      <w:szCs w:val="20"/>
    </w:rPr>
  </w:style>
  <w:style w:type="paragraph" w:styleId="880" w:customStyle="1">
    <w:name w:val="字元 字元"/>
    <w:basedOn w:val="726"/>
    <w:uiPriority w:val="0"/>
    <w:qFormat/>
    <w:rPr>
      <w:rFonts w:ascii="Tahoma" w:hAnsi="Tahoma"/>
      <w:sz w:val="24"/>
      <w:szCs w:val="20"/>
    </w:rPr>
  </w:style>
  <w:style w:type="paragraph" w:styleId="881" w:customStyle="1">
    <w:name w:val="Char3 Char Char Char"/>
    <w:basedOn w:val="726"/>
    <w:uiPriority w:val="0"/>
    <w:qFormat/>
    <w:rPr>
      <w:rFonts w:ascii="Tahoma" w:hAnsi="Tahoma"/>
      <w:sz w:val="24"/>
      <w:szCs w:val="20"/>
    </w:rPr>
  </w:style>
  <w:style w:type="paragraph" w:styleId="882" w:customStyle="1">
    <w:name w:val="font6"/>
    <w:basedOn w:val="726"/>
    <w:uiPriority w:val="0"/>
    <w:qFormat/>
    <w:pPr>
      <w:jc w:val="left"/>
      <w:spacing w:before="100" w:beforeAutospacing="1" w:after="100" w:afterAutospacing="1"/>
      <w:widowControl/>
    </w:pPr>
    <w:rPr>
      <w:rFonts w:ascii="宋体" w:hAnsi="宋体" w:cs="宋体"/>
      <w:sz w:val="20"/>
      <w:szCs w:val="20"/>
    </w:rPr>
  </w:style>
  <w:style w:type="paragraph" w:styleId="883" w:customStyle="1">
    <w:name w:val="项目编号2"/>
    <w:basedOn w:val="884"/>
    <w:uiPriority w:val="0"/>
    <w:qFormat/>
    <w:pPr>
      <w:numPr>
        <w:numId w:val="2"/>
      </w:numPr>
    </w:pPr>
  </w:style>
  <w:style w:type="paragraph" w:styleId="884" w:customStyle="1">
    <w:name w:val="项目编号1"/>
    <w:basedOn w:val="726"/>
    <w:uiPriority w:val="0"/>
    <w:qFormat/>
    <w:pPr>
      <w:numPr>
        <w:ilvl w:val="0"/>
        <w:numId w:val="3"/>
      </w:numPr>
      <w:spacing w:before="100" w:beforeAutospacing="1" w:after="100" w:afterAutospacing="1" w:line="360" w:lineRule="auto"/>
    </w:pPr>
    <w:rPr>
      <w:sz w:val="24"/>
    </w:rPr>
  </w:style>
  <w:style w:type="paragraph" w:styleId="885" w:customStyle="1">
    <w:name w:val="图中文字"/>
    <w:basedOn w:val="726"/>
    <w:uiPriority w:val="0"/>
    <w:qFormat/>
    <w:pPr>
      <w:jc w:val="center"/>
      <w:spacing w:line="0" w:lineRule="atLeast"/>
    </w:pPr>
    <w:rPr>
      <w:sz w:val="24"/>
      <w:szCs w:val="20"/>
    </w:rPr>
  </w:style>
  <w:style w:type="paragraph" w:styleId="886" w:customStyle="1">
    <w:name w:val="xl46"/>
    <w:basedOn w:val="72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7" w:customStyle="1">
    <w:name w:val="xl25"/>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8" w:customStyle="1">
    <w:name w:val="Char2"/>
    <w:basedOn w:val="726"/>
    <w:uiPriority w:val="0"/>
    <w:qFormat/>
    <w:rPr>
      <w:rFonts w:ascii="Tahoma" w:hAnsi="Tahoma"/>
      <w:sz w:val="24"/>
      <w:szCs w:val="20"/>
    </w:rPr>
  </w:style>
  <w:style w:type="paragraph" w:styleId="889" w:customStyle="1">
    <w:name w:val="xl35"/>
    <w:basedOn w:val="72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0" w:customStyle="1">
    <w:name w:val="xl40"/>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1" w:customStyle="1">
    <w:name w:val="xl52"/>
    <w:basedOn w:val="7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92" w:customStyle="1">
    <w:name w:val="xl43"/>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3" w:customStyle="1">
    <w:name w:val="background1"/>
    <w:basedOn w:val="726"/>
    <w:uiPriority w:val="0"/>
    <w:qFormat/>
    <w:pPr>
      <w:jc w:val="left"/>
      <w:spacing w:before="100" w:beforeAutospacing="1" w:after="100" w:afterAutospacing="1"/>
      <w:widowControl/>
    </w:pPr>
    <w:rPr>
      <w:rFonts w:ascii="宋体" w:hAnsi="宋体" w:cs="宋体"/>
      <w:sz w:val="24"/>
    </w:rPr>
  </w:style>
  <w:style w:type="paragraph" w:styleId="894" w:customStyle="1">
    <w:name w:val="Char Char Char Char Char Char Char"/>
    <w:basedOn w:val="726"/>
    <w:uiPriority w:val="0"/>
    <w:qFormat/>
    <w:pPr>
      <w:ind w:firstLine="200"/>
      <w:spacing w:line="360" w:lineRule="auto"/>
    </w:pPr>
    <w:rPr>
      <w:rFonts w:eastAsia="仿宋_GB2312"/>
      <w:sz w:val="24"/>
    </w:rPr>
  </w:style>
  <w:style w:type="paragraph" w:styleId="895" w:customStyle="1">
    <w:name w:val="xl3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96" w:customStyle="1">
    <w:name w:val="xl36"/>
    <w:basedOn w:val="72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7" w:customStyle="1">
    <w:name w:val="正文 + 宋体"/>
    <w:basedOn w:val="726"/>
    <w:uiPriority w:val="0"/>
    <w:qFormat/>
    <w:pPr>
      <w:ind w:left="360" w:hanging="360"/>
      <w:jc w:val="left"/>
      <w:widowControl/>
    </w:pPr>
    <w:rPr>
      <w:rFonts w:ascii="宋体" w:hAnsi="宋体" w:cs="宋体"/>
      <w:b/>
      <w:bCs/>
      <w:color w:val="000000"/>
      <w:sz w:val="18"/>
      <w:szCs w:val="18"/>
    </w:rPr>
  </w:style>
  <w:style w:type="paragraph" w:styleId="898" w:customStyle="1">
    <w:name w:val="正文列项_数字"/>
    <w:basedOn w:val="72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899" w:customStyle="1">
    <w:name w:val="xl3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0" w:customStyle="1">
    <w:name w:val="xl37"/>
    <w:basedOn w:val="72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1" w:customStyle="1">
    <w:name w:val="xl32"/>
    <w:basedOn w:val="7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2" w:customStyle="1">
    <w:name w:val="font8"/>
    <w:basedOn w:val="726"/>
    <w:uiPriority w:val="0"/>
    <w:qFormat/>
    <w:pPr>
      <w:jc w:val="left"/>
      <w:spacing w:before="100" w:beforeAutospacing="1" w:after="100" w:afterAutospacing="1"/>
      <w:widowControl/>
    </w:pPr>
    <w:rPr>
      <w:sz w:val="36"/>
      <w:szCs w:val="36"/>
    </w:rPr>
  </w:style>
  <w:style w:type="paragraph" w:styleId="903" w:customStyle="1">
    <w:name w:val="Char"/>
    <w:basedOn w:val="726"/>
    <w:uiPriority w:val="0"/>
    <w:qFormat/>
    <w:pPr>
      <w:tabs>
        <w:tab w:val="left" w:pos="360" w:leader="none"/>
      </w:tabs>
    </w:pPr>
    <w:rPr>
      <w:sz w:val="24"/>
    </w:rPr>
  </w:style>
  <w:style w:type="paragraph" w:styleId="904" w:customStyle="1">
    <w:name w:val="Char Char Char Char Char Char Char Char Char Char Char Char Char Char Char Char"/>
    <w:basedOn w:val="726"/>
    <w:uiPriority w:val="0"/>
    <w:qFormat/>
    <w:pPr>
      <w:jc w:val="center"/>
      <w:spacing w:after="160" w:line="240" w:lineRule="exact"/>
      <w:widowControl/>
    </w:pPr>
    <w:rPr>
      <w:rFonts w:ascii="宋体" w:hAnsi="宋体"/>
      <w:b/>
      <w:sz w:val="30"/>
      <w:szCs w:val="30"/>
      <w:lang w:eastAsia="en-US"/>
    </w:rPr>
  </w:style>
  <w:style w:type="paragraph" w:styleId="905" w:customStyle="1">
    <w:name w:val="xl45"/>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06" w:customStyle="1">
    <w:name w:val="Char Char1 Char Char Char Char Char Char"/>
    <w:basedOn w:val="726"/>
    <w:uiPriority w:val="0"/>
    <w:qFormat/>
    <w:pPr>
      <w:jc w:val="left"/>
      <w:spacing w:after="160" w:line="240" w:lineRule="exact"/>
      <w:widowControl/>
    </w:pPr>
    <w:rPr>
      <w:rFonts w:ascii="Verdana" w:hAnsi="Verdana" w:eastAsia="仿宋_GB2312"/>
      <w:sz w:val="24"/>
      <w:szCs w:val="20"/>
      <w:lang w:eastAsia="en-US"/>
    </w:rPr>
  </w:style>
  <w:style w:type="paragraph" w:styleId="907" w:customStyle="1">
    <w:name w:val="Char Char1"/>
    <w:basedOn w:val="741"/>
    <w:uiPriority w:val="0"/>
    <w:qFormat/>
    <w:rPr>
      <w:rFonts w:ascii="Tahoma" w:hAnsi="Tahoma"/>
      <w:sz w:val="24"/>
    </w:rPr>
  </w:style>
  <w:style w:type="paragraph" w:styleId="908" w:customStyle="1">
    <w:name w:val="xl26"/>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09" w:customStyle="1">
    <w:name w:val="xl30"/>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0" w:customStyle="1">
    <w:name w:val="xl41"/>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1" w:customStyle="1">
    <w:name w:val="样式 宋体 五号 行距: 单倍行距"/>
    <w:basedOn w:val="726"/>
    <w:uiPriority w:val="0"/>
    <w:qFormat/>
    <w:pPr>
      <w:jc w:val="left"/>
    </w:pPr>
    <w:rPr>
      <w:rFonts w:ascii="宋体" w:hAnsi="宋体"/>
      <w:szCs w:val="20"/>
    </w:rPr>
  </w:style>
  <w:style w:type="paragraph" w:styleId="912" w:customStyle="1">
    <w:name w:val="Char1 Char Char Char1"/>
    <w:basedOn w:val="726"/>
    <w:uiPriority w:val="0"/>
    <w:qFormat/>
    <w:rPr>
      <w:rFonts w:ascii="Tahoma" w:hAnsi="Tahoma" w:cs="仿宋_GB2312"/>
      <w:sz w:val="24"/>
      <w:szCs w:val="28"/>
    </w:rPr>
  </w:style>
  <w:style w:type="paragraph" w:styleId="913" w:customStyle="1">
    <w:name w:val="四级条标题"/>
    <w:basedOn w:val="914"/>
    <w:next w:val="726"/>
    <w:uiPriority w:val="0"/>
    <w:qFormat/>
    <w:pPr>
      <w:numPr>
        <w:ilvl w:val="4"/>
      </w:numPr>
      <w:ind w:left="0" w:hanging="840"/>
      <w:tabs>
        <w:tab w:val="left" w:pos="360" w:leader="none"/>
        <w:tab w:val="left" w:pos="840" w:leader="none"/>
      </w:tabs>
      <w:outlineLvl w:val="4"/>
    </w:pPr>
  </w:style>
  <w:style w:type="paragraph" w:styleId="914" w:customStyle="1">
    <w:name w:val="三级条标题"/>
    <w:basedOn w:val="876"/>
    <w:next w:val="726"/>
    <w:uiPriority w:val="0"/>
    <w:qFormat/>
    <w:pPr>
      <w:numPr>
        <w:ilvl w:val="3"/>
        <w:numId w:val="1"/>
      </w:numPr>
      <w:ind w:left="0" w:hanging="840"/>
      <w:outlineLvl w:val="3"/>
    </w:pPr>
  </w:style>
  <w:style w:type="paragraph" w:styleId="915"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916" w:customStyle="1">
    <w:name w:val="样式 标题 2 + 宋体 五号 行距: 单倍行距"/>
    <w:basedOn w:val="728"/>
    <w:uiPriority w:val="0"/>
    <w:qFormat/>
    <w:pPr>
      <w:numPr>
        <w:ilvl w:val="1"/>
        <w:numId w:val="4"/>
      </w:numPr>
      <w:jc w:val="left"/>
      <w:spacing w:before="260" w:after="260" w:line="240" w:lineRule="auto"/>
    </w:pPr>
    <w:rPr>
      <w:rFonts w:ascii="宋体" w:hAnsi="宋体" w:eastAsia="宋体"/>
      <w:bCs/>
      <w:sz w:val="21"/>
    </w:rPr>
  </w:style>
  <w:style w:type="paragraph" w:styleId="917" w:customStyle="1">
    <w:name w:val="List Paragraph1"/>
    <w:basedOn w:val="726"/>
    <w:uiPriority w:val="0"/>
    <w:qFormat/>
    <w:pPr>
      <w:ind w:firstLine="420"/>
    </w:pPr>
    <w:rPr>
      <w:rFonts w:ascii="Calibri" w:hAnsi="Calibri"/>
      <w:szCs w:val="22"/>
    </w:rPr>
  </w:style>
  <w:style w:type="paragraph" w:styleId="918" w:customStyle="1">
    <w:name w:val="项目符号1"/>
    <w:basedOn w:val="919"/>
    <w:uiPriority w:val="0"/>
    <w:qFormat/>
    <w:pPr>
      <w:ind w:left="-25" w:firstLine="0"/>
    </w:pPr>
  </w:style>
  <w:style w:type="paragraph" w:styleId="919" w:customStyle="1">
    <w:name w:val="正文文本样式"/>
    <w:basedOn w:val="726"/>
    <w:uiPriority w:val="0"/>
    <w:qFormat/>
    <w:pPr>
      <w:ind w:firstLine="482"/>
      <w:spacing w:line="360" w:lineRule="auto"/>
    </w:pPr>
    <w:rPr>
      <w:rFonts w:cs="宋体"/>
      <w:sz w:val="24"/>
      <w:szCs w:val="20"/>
    </w:rPr>
  </w:style>
  <w:style w:type="paragraph" w:styleId="920" w:customStyle="1">
    <w:name w:val="xl27"/>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1" w:customStyle="1">
    <w:name w:val="font5"/>
    <w:basedOn w:val="726"/>
    <w:uiPriority w:val="0"/>
    <w:qFormat/>
    <w:pPr>
      <w:jc w:val="left"/>
      <w:spacing w:before="100" w:beforeAutospacing="1" w:after="100" w:afterAutospacing="1"/>
      <w:widowControl/>
    </w:pPr>
    <w:rPr>
      <w:rFonts w:ascii="宋体" w:hAnsi="宋体" w:cs="宋体"/>
      <w:sz w:val="18"/>
      <w:szCs w:val="18"/>
    </w:rPr>
  </w:style>
  <w:style w:type="paragraph" w:styleId="922" w:customStyle="1">
    <w:name w:val="五级条标题"/>
    <w:basedOn w:val="913"/>
    <w:next w:val="726"/>
    <w:uiPriority w:val="0"/>
    <w:qFormat/>
    <w:pPr>
      <w:numPr>
        <w:ilvl w:val="5"/>
      </w:numPr>
      <w:ind w:left="0" w:hanging="840"/>
      <w:outlineLvl w:val="5"/>
    </w:pPr>
  </w:style>
  <w:style w:type="paragraph" w:styleId="923" w:customStyle="1">
    <w:name w:val="xl49"/>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24" w:customStyle="1">
    <w:name w:val="文档正文"/>
    <w:basedOn w:val="726"/>
    <w:uiPriority w:val="0"/>
    <w:qFormat/>
    <w:pPr>
      <w:spacing w:before="120" w:after="120" w:line="180" w:lineRule="auto"/>
    </w:pPr>
    <w:rPr>
      <w:rFonts w:ascii="Arial" w:hAnsi="Arial"/>
      <w:szCs w:val="20"/>
    </w:rPr>
  </w:style>
  <w:style w:type="paragraph" w:styleId="925" w:customStyle="1">
    <w:name w:val="xl33"/>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6" w:customStyle="1">
    <w:name w:val="xl42"/>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27" w:customStyle="1">
    <w:name w:val="Char Char Char1 Char"/>
    <w:basedOn w:val="726"/>
    <w:uiPriority w:val="0"/>
    <w:qFormat/>
    <w:rPr>
      <w:rFonts w:ascii="Tahoma" w:hAnsi="Tahoma"/>
      <w:sz w:val="24"/>
      <w:szCs w:val="20"/>
    </w:rPr>
  </w:style>
  <w:style w:type="paragraph" w:styleId="928" w:customStyle="1">
    <w:name w:val="xl44"/>
    <w:basedOn w:val="7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29" w:customStyle="1">
    <w:name w:val="1名"/>
    <w:basedOn w:val="726"/>
    <w:uiPriority w:val="0"/>
    <w:qFormat/>
    <w:pPr>
      <w:numPr>
        <w:ilvl w:val="0"/>
        <w:numId w:val="5"/>
      </w:numPr>
      <w:spacing w:before="120"/>
    </w:pPr>
    <w:rPr>
      <w:rFonts w:ascii="宋体"/>
      <w:sz w:val="28"/>
      <w:szCs w:val="20"/>
    </w:rPr>
  </w:style>
  <w:style w:type="paragraph" w:styleId="930" w:customStyle="1">
    <w:name w:val="font9"/>
    <w:basedOn w:val="72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931" w:customStyle="1">
    <w:name w:val="Char Char Char1 Char1"/>
    <w:basedOn w:val="726"/>
    <w:uiPriority w:val="0"/>
    <w:qFormat/>
    <w:rPr>
      <w:rFonts w:ascii="Tahoma" w:hAnsi="Tahoma"/>
      <w:sz w:val="24"/>
      <w:szCs w:val="20"/>
    </w:rPr>
  </w:style>
  <w:style w:type="paragraph" w:styleId="932" w:customStyle="1">
    <w:name w:val="Char Char Char Char Char Char Char Char Char Char"/>
    <w:basedOn w:val="726"/>
    <w:uiPriority w:val="0"/>
    <w:qFormat/>
  </w:style>
  <w:style w:type="paragraph" w:styleId="933" w:customStyle="1">
    <w:name w:val="Char Char1 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934" w:customStyle="1">
    <w:name w:val="Char1"/>
    <w:basedOn w:val="726"/>
    <w:uiPriority w:val="0"/>
    <w:qFormat/>
    <w:pPr>
      <w:tabs>
        <w:tab w:val="left" w:pos="360" w:leader="none"/>
      </w:tabs>
    </w:pPr>
    <w:rPr>
      <w:sz w:val="24"/>
    </w:rPr>
  </w:style>
  <w:style w:type="paragraph" w:styleId="935" w:customStyle="1">
    <w:name w:val="正文列项_字母"/>
    <w:basedOn w:val="72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936" w:customStyle="1">
    <w:name w:val="xl28"/>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7" w:customStyle="1">
    <w:name w:val="xl47"/>
    <w:basedOn w:val="7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8" w:customStyle="1">
    <w:name w:val="默认段落字体 Para Char Char Char Char"/>
    <w:basedOn w:val="726"/>
    <w:uiPriority w:val="0"/>
    <w:qFormat/>
    <w:rPr>
      <w:rFonts w:ascii="Arial" w:hAnsi="Arial" w:cs="Arial"/>
      <w:szCs w:val="21"/>
    </w:rPr>
  </w:style>
  <w:style w:type="paragraph" w:styleId="939" w:customStyle="1">
    <w:name w:val="xl48"/>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40" w:customStyle="1">
    <w:name w:val="xl31"/>
    <w:basedOn w:val="7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1" w:customStyle="1">
    <w:name w:val="xl53"/>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2" w:customStyle="1">
    <w:name w:val="Char Char Char"/>
    <w:basedOn w:val="726"/>
    <w:uiPriority w:val="0"/>
    <w:qFormat/>
    <w:rPr>
      <w:rFonts w:ascii="Tahoma" w:hAnsi="Tahoma"/>
      <w:sz w:val="24"/>
      <w:szCs w:val="20"/>
    </w:rPr>
  </w:style>
  <w:style w:type="paragraph" w:styleId="943" w:customStyle="1">
    <w:name w:val="xl50"/>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44" w:customStyle="1">
    <w:name w:val="缺省文本"/>
    <w:basedOn w:val="726"/>
    <w:uiPriority w:val="0"/>
    <w:qFormat/>
    <w:pPr>
      <w:jc w:val="left"/>
    </w:pPr>
    <w:rPr>
      <w:sz w:val="24"/>
    </w:rPr>
  </w:style>
  <w:style w:type="paragraph" w:styleId="945" w:customStyle="1">
    <w:name w:val="Char Char Char1"/>
    <w:basedOn w:val="726"/>
    <w:uiPriority w:val="0"/>
    <w:qFormat/>
    <w:rPr>
      <w:rFonts w:ascii="Tahoma" w:hAnsi="Tahoma"/>
      <w:sz w:val="24"/>
      <w:szCs w:val="20"/>
    </w:rPr>
  </w:style>
  <w:style w:type="paragraph" w:styleId="946" w:customStyle="1">
    <w:name w:val="Char Char Char Char Char Char Char1"/>
    <w:basedOn w:val="726"/>
    <w:uiPriority w:val="0"/>
    <w:qFormat/>
    <w:pPr>
      <w:ind w:firstLine="200"/>
      <w:spacing w:line="360" w:lineRule="auto"/>
    </w:pPr>
    <w:rPr>
      <w:rFonts w:eastAsia="仿宋_GB2312"/>
      <w:sz w:val="24"/>
    </w:rPr>
  </w:style>
  <w:style w:type="paragraph" w:styleId="947" w:customStyle="1">
    <w:name w:val="xl51"/>
    <w:basedOn w:val="7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8" w:customStyle="1">
    <w:name w:val="样式2"/>
    <w:basedOn w:val="769"/>
    <w:uiPriority w:val="0"/>
    <w:qFormat/>
    <w:pPr>
      <w:jc w:val="center"/>
      <w:spacing w:line="360" w:lineRule="auto"/>
    </w:pPr>
    <w:rPr>
      <w:sz w:val="24"/>
    </w:rPr>
  </w:style>
  <w:style w:type="paragraph" w:styleId="949" w:customStyle="1">
    <w:name w:val="xl24"/>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0" w:customStyle="1">
    <w:name w:val="xl2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1" w:customStyle="1">
    <w:name w:val="正文 + 楷体_GB2312"/>
    <w:basedOn w:val="726"/>
    <w:uiPriority w:val="0"/>
    <w:qFormat/>
    <w:pPr>
      <w:jc w:val="left"/>
      <w:widowControl/>
    </w:pPr>
    <w:rPr>
      <w:rFonts w:ascii="楷体_GB2312" w:eastAsia="楷体_GB2312" w:cs="Arial"/>
      <w:sz w:val="24"/>
    </w:rPr>
  </w:style>
  <w:style w:type="paragraph" w:styleId="952" w:customStyle="1">
    <w:name w:val="xl34"/>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53" w:customStyle="1">
    <w:name w:val="1 Char Char Char Char"/>
    <w:basedOn w:val="726"/>
    <w:uiPriority w:val="0"/>
    <w:qFormat/>
    <w:rPr>
      <w:rFonts w:ascii="Tahoma" w:hAnsi="Tahoma"/>
      <w:sz w:val="24"/>
      <w:szCs w:val="20"/>
    </w:rPr>
  </w:style>
  <w:style w:type="paragraph" w:styleId="954" w:customStyle="1">
    <w:name w:val="列出段落1"/>
    <w:basedOn w:val="726"/>
    <w:uiPriority w:val="0"/>
    <w:qFormat/>
    <w:pPr>
      <w:ind w:firstLine="420"/>
    </w:pPr>
    <w:rPr>
      <w:rFonts w:ascii="Calibri" w:hAnsi="Calibri"/>
      <w:szCs w:val="22"/>
    </w:rPr>
  </w:style>
  <w:style w:type="paragraph" w:styleId="955" w:customStyle="1">
    <w:name w:val="default"/>
    <w:basedOn w:val="726"/>
    <w:uiPriority w:val="0"/>
    <w:qFormat/>
    <w:pPr>
      <w:jc w:val="left"/>
      <w:spacing w:before="100" w:beforeAutospacing="1" w:after="100" w:afterAutospacing="1"/>
      <w:widowControl/>
    </w:pPr>
    <w:rPr>
      <w:rFonts w:ascii="宋体" w:hAnsi="宋体" w:cs="宋体"/>
      <w:sz w:val="24"/>
    </w:rPr>
  </w:style>
  <w:style w:type="paragraph" w:styleId="956" w:customStyle="1">
    <w:name w:val="字元 字元1"/>
    <w:basedOn w:val="726"/>
    <w:uiPriority w:val="0"/>
    <w:qFormat/>
    <w:rPr>
      <w:rFonts w:ascii="Tahoma" w:hAnsi="Tahoma"/>
      <w:sz w:val="24"/>
      <w:szCs w:val="20"/>
    </w:rPr>
  </w:style>
  <w:style w:type="paragraph" w:styleId="957" w:customStyle="1">
    <w:name w:val="_Style 160"/>
    <w:uiPriority w:val="0"/>
    <w:qFormat/>
    <w:rPr>
      <w:rFonts w:ascii="Times New Roman" w:hAnsi="Times New Roman" w:eastAsia="宋体" w:cs="Times New Roman"/>
      <w:sz w:val="21"/>
      <w:szCs w:val="24"/>
      <w:lang w:val="en-US" w:eastAsia="zh-CN" w:bidi="ar-SA"/>
    </w:rPr>
  </w:style>
  <w:style w:type="paragraph" w:styleId="958" w:customStyle="1">
    <w:name w:val="项目编号3"/>
    <w:basedOn w:val="919"/>
    <w:uiPriority w:val="0"/>
    <w:qFormat/>
    <w:pPr>
      <w:numPr>
        <w:ilvl w:val="0"/>
        <w:numId w:val="6"/>
      </w:numPr>
    </w:pPr>
  </w:style>
  <w:style w:type="paragraph" w:styleId="959" w:customStyle="1">
    <w:name w:val="Char21"/>
    <w:basedOn w:val="726"/>
    <w:uiPriority w:val="0"/>
    <w:qFormat/>
    <w:rPr>
      <w:rFonts w:ascii="Tahoma" w:hAnsi="Tahoma"/>
      <w:sz w:val="24"/>
      <w:szCs w:val="20"/>
    </w:rPr>
  </w:style>
  <w:style w:type="paragraph" w:styleId="960" w:customStyle="1">
    <w:name w:val="表格文字"/>
    <w:basedOn w:val="745"/>
    <w:uiPriority w:val="0"/>
    <w:qFormat/>
    <w:pPr>
      <w:ind w:firstLine="0"/>
      <w:spacing w:before="20" w:after="20" w:line="240" w:lineRule="auto"/>
    </w:pPr>
    <w:rPr>
      <w:rFonts w:ascii="Century Gothic" w:hAnsi="Century Gothic"/>
      <w:sz w:val="20"/>
      <w:szCs w:val="20"/>
    </w:rPr>
  </w:style>
  <w:style w:type="paragraph" w:styleId="961" w:customStyle="1">
    <w:name w:val="Char Char Char Char Char Char Char Char Char Char1"/>
    <w:basedOn w:val="726"/>
    <w:uiPriority w:val="0"/>
    <w:qFormat/>
    <w:rPr>
      <w:rFonts w:ascii="宋体" w:hAnsi="宋体" w:cs="Courier New"/>
      <w:sz w:val="32"/>
      <w:szCs w:val="32"/>
    </w:rPr>
  </w:style>
  <w:style w:type="paragraph" w:styleId="962" w:customStyle="1">
    <w:name w:val="正文文本样式 加粗"/>
    <w:basedOn w:val="919"/>
    <w:uiPriority w:val="0"/>
    <w:qFormat/>
    <w:rPr>
      <w:b/>
    </w:rPr>
  </w:style>
  <w:style w:type="paragraph" w:styleId="963" w:customStyle="1">
    <w:name w:val="Char2 Char Char Char Char Char Char"/>
    <w:basedOn w:val="726"/>
    <w:uiPriority w:val="0"/>
    <w:qFormat/>
    <w:pPr>
      <w:jc w:val="center"/>
      <w:spacing w:line="400" w:lineRule="exact"/>
      <w:widowControl/>
    </w:pPr>
  </w:style>
  <w:style w:type="paragraph" w:styleId="964" w:customStyle="1">
    <w:name w:val="Char Char4"/>
    <w:basedOn w:val="726"/>
    <w:uiPriority w:val="0"/>
    <w:qFormat/>
    <w:pPr>
      <w:jc w:val="center"/>
      <w:spacing w:line="400" w:lineRule="exact"/>
      <w:widowControl/>
    </w:pPr>
  </w:style>
  <w:style w:type="paragraph" w:styleId="965" w:customStyle="1">
    <w:name w:val="Char3 Char Char Char1"/>
    <w:basedOn w:val="726"/>
    <w:uiPriority w:val="0"/>
    <w:qFormat/>
    <w:rPr>
      <w:rFonts w:ascii="Tahoma" w:hAnsi="Tahoma"/>
      <w:sz w:val="24"/>
      <w:szCs w:val="20"/>
    </w:rPr>
  </w:style>
  <w:style w:type="paragraph" w:styleId="966" w:customStyle="1">
    <w:name w:val="22222222222222"/>
    <w:basedOn w:val="726"/>
    <w:uiPriority w:val="0"/>
    <w:qFormat/>
    <w:pPr>
      <w:ind w:firstLine="480"/>
      <w:jc w:val="left"/>
      <w:spacing w:line="360" w:lineRule="auto"/>
      <w:widowControl/>
    </w:pPr>
    <w:rPr>
      <w:color w:val="ff0000"/>
      <w:sz w:val="24"/>
      <w:szCs w:val="20"/>
    </w:rPr>
  </w:style>
  <w:style w:type="character" w:styleId="967" w:customStyle="1">
    <w:name w:val="中等深浅网格 1 - 强调文字颜色 2 Char"/>
    <w:link w:val="968"/>
    <w:uiPriority w:val="0"/>
    <w:qFormat/>
    <w:rPr>
      <w:sz w:val="21"/>
      <w:szCs w:val="24"/>
      <w:lang w:val="zh-CN" w:eastAsia="zh-CN" w:bidi="ar-SA"/>
    </w:rPr>
  </w:style>
  <w:style w:type="paragraph" w:styleId="968" w:customStyle="1">
    <w:name w:val="1"/>
    <w:link w:val="967"/>
    <w:uiPriority w:val="0"/>
    <w:qFormat/>
    <w:rPr>
      <w:rFonts w:ascii="Times New Roman" w:hAnsi="Times New Roman" w:eastAsia="宋体" w:cs="Times New Roman"/>
      <w:sz w:val="21"/>
      <w:szCs w:val="24"/>
      <w:lang w:val="zh-CN" w:eastAsia="zh-CN" w:bidi="ar-SA"/>
    </w:rPr>
  </w:style>
  <w:style w:type="paragraph" w:styleId="969" w:customStyle="1">
    <w:name w:val="图文"/>
    <w:basedOn w:val="726"/>
    <w:uiPriority w:val="0"/>
    <w:qFormat/>
    <w:pPr>
      <w:spacing w:after="50" w:line="360" w:lineRule="auto"/>
    </w:pPr>
    <w:rPr>
      <w:sz w:val="24"/>
    </w:rPr>
  </w:style>
  <w:style w:type="paragraph" w:styleId="970" w:customStyle="1">
    <w:name w:val="xl23"/>
    <w:basedOn w:val="726"/>
    <w:uiPriority w:val="0"/>
    <w:qFormat/>
    <w:pPr>
      <w:spacing w:before="100" w:beforeAutospacing="1" w:after="100" w:afterAutospacing="1" w:line="360" w:lineRule="auto"/>
      <w:widowControl/>
    </w:pPr>
    <w:rPr>
      <w:sz w:val="24"/>
      <w:szCs w:val="20"/>
    </w:rPr>
  </w:style>
  <w:style w:type="paragraph" w:styleId="971" w:customStyle="1">
    <w:name w:val="正文表格"/>
    <w:basedOn w:val="726"/>
    <w:link w:val="972"/>
    <w:uiPriority w:val="0"/>
    <w:qFormat/>
    <w:pPr>
      <w:jc w:val="left"/>
    </w:pPr>
    <w:rPr>
      <w:rFonts w:ascii="宋体" w:hAnsi="宋体"/>
      <w:color w:val="000000"/>
      <w:szCs w:val="21"/>
    </w:rPr>
  </w:style>
  <w:style w:type="character" w:styleId="972" w:customStyle="1">
    <w:name w:val="正文表格 Char"/>
    <w:link w:val="971"/>
    <w:uiPriority w:val="0"/>
    <w:qFormat/>
    <w:rPr>
      <w:rFonts w:ascii="宋体" w:hAnsi="宋体"/>
      <w:color w:val="000000"/>
      <w:sz w:val="21"/>
      <w:szCs w:val="21"/>
    </w:rPr>
  </w:style>
  <w:style w:type="paragraph" w:styleId="973" w:customStyle="1">
    <w:name w:val="正文重点"/>
    <w:basedOn w:val="726"/>
    <w:link w:val="974"/>
    <w:uiPriority w:val="0"/>
    <w:qFormat/>
    <w:pPr>
      <w:ind w:firstLine="482"/>
      <w:jc w:val="left"/>
      <w:spacing w:line="360" w:lineRule="auto"/>
    </w:pPr>
    <w:rPr>
      <w:b/>
      <w:sz w:val="24"/>
      <w:szCs w:val="20"/>
    </w:rPr>
  </w:style>
  <w:style w:type="character" w:styleId="974" w:customStyle="1">
    <w:name w:val="正文重点 Char"/>
    <w:link w:val="973"/>
    <w:uiPriority w:val="0"/>
    <w:qFormat/>
    <w:rPr>
      <w:b/>
      <w:sz w:val="24"/>
    </w:rPr>
  </w:style>
  <w:style w:type="paragraph" w:styleId="975" w:customStyle="1">
    <w:name w:val="标题1-附件"/>
    <w:basedOn w:val="727"/>
    <w:uiPriority w:val="0"/>
    <w:qFormat/>
    <w:pPr>
      <w:jc w:val="left"/>
    </w:pPr>
    <w:rPr>
      <w:sz w:val="24"/>
      <w:szCs w:val="24"/>
    </w:rPr>
  </w:style>
  <w:style w:type="paragraph" w:styleId="976" w:customStyle="1">
    <w:name w:val="正文小标题"/>
    <w:basedOn w:val="726"/>
    <w:next w:val="738"/>
    <w:link w:val="977"/>
    <w:uiPriority w:val="0"/>
    <w:qFormat/>
    <w:pPr>
      <w:ind w:firstLine="482"/>
      <w:jc w:val="left"/>
      <w:spacing w:before="312" w:after="312"/>
    </w:pPr>
    <w:rPr>
      <w:rFonts w:ascii="宋体" w:hAnsi="宋体"/>
      <w:b/>
      <w:i/>
      <w:color w:val="ff0000"/>
      <w:sz w:val="24"/>
      <w:szCs w:val="20"/>
    </w:rPr>
  </w:style>
  <w:style w:type="character" w:styleId="977" w:customStyle="1">
    <w:name w:val="正文小标题 Char"/>
    <w:link w:val="976"/>
    <w:uiPriority w:val="0"/>
    <w:qFormat/>
    <w:rPr>
      <w:rFonts w:ascii="宋体" w:hAnsi="宋体"/>
      <w:b/>
      <w:i/>
      <w:color w:val="ff0000"/>
      <w:sz w:val="24"/>
    </w:rPr>
  </w:style>
  <w:style w:type="paragraph" w:styleId="978" w:customStyle="1">
    <w:name w:val="正文大标题"/>
    <w:basedOn w:val="976"/>
    <w:next w:val="738"/>
    <w:link w:val="979"/>
    <w:uiPriority w:val="0"/>
    <w:qFormat/>
    <w:pPr>
      <w:jc w:val="center"/>
    </w:pPr>
    <w:rPr>
      <w:i w:val="0"/>
      <w:color w:val="000000"/>
      <w:sz w:val="28"/>
      <w:szCs w:val="21"/>
    </w:rPr>
  </w:style>
  <w:style w:type="character" w:styleId="979" w:customStyle="1">
    <w:name w:val="正文大标题 Char"/>
    <w:link w:val="978"/>
    <w:uiPriority w:val="0"/>
    <w:qFormat/>
    <w:rPr>
      <w:rFonts w:ascii="宋体" w:hAnsi="宋体"/>
      <w:b/>
      <w:color w:val="000000"/>
      <w:sz w:val="28"/>
      <w:szCs w:val="21"/>
    </w:rPr>
  </w:style>
  <w:style w:type="paragraph" w:styleId="980" w:customStyle="1">
    <w:name w:val="注释"/>
    <w:basedOn w:val="726"/>
    <w:link w:val="981"/>
    <w:uiPriority w:val="0"/>
    <w:qFormat/>
    <w:pPr>
      <w:ind w:left="420" w:hanging="420"/>
      <w:jc w:val="left"/>
    </w:pPr>
    <w:rPr>
      <w:rFonts w:ascii="宋体" w:hAnsi="宋体"/>
      <w:szCs w:val="21"/>
    </w:rPr>
  </w:style>
  <w:style w:type="character" w:styleId="981" w:customStyle="1">
    <w:name w:val="注释 Char"/>
    <w:link w:val="980"/>
    <w:uiPriority w:val="0"/>
    <w:qFormat/>
    <w:rPr>
      <w:rFonts w:ascii="宋体" w:hAnsi="宋体"/>
      <w:sz w:val="21"/>
      <w:szCs w:val="21"/>
    </w:rPr>
  </w:style>
  <w:style w:type="paragraph" w:styleId="982" w:customStyle="1">
    <w:name w:val="正文须知-1级"/>
    <w:basedOn w:val="726"/>
    <w:next w:val="726"/>
    <w:uiPriority w:val="0"/>
    <w:qFormat/>
    <w:pPr>
      <w:numPr>
        <w:ilvl w:val="0"/>
        <w:numId w:val="7"/>
      </w:numPr>
      <w:spacing w:line="300" w:lineRule="auto"/>
    </w:pPr>
    <w:rPr>
      <w:rFonts w:ascii="宋体" w:hAnsi="Calibri"/>
      <w:sz w:val="24"/>
      <w:szCs w:val="21"/>
    </w:rPr>
  </w:style>
  <w:style w:type="paragraph" w:styleId="983" w:customStyle="1">
    <w:name w:val="正文须知-2级"/>
    <w:basedOn w:val="726"/>
    <w:uiPriority w:val="0"/>
    <w:qFormat/>
    <w:pPr>
      <w:numPr>
        <w:ilvl w:val="1"/>
        <w:numId w:val="7"/>
      </w:numPr>
      <w:spacing w:line="300" w:lineRule="auto"/>
    </w:pPr>
    <w:rPr>
      <w:rFonts w:ascii="宋体" w:hAnsi="Calibri"/>
      <w:sz w:val="24"/>
      <w:szCs w:val="21"/>
    </w:rPr>
  </w:style>
  <w:style w:type="paragraph" w:styleId="984" w:customStyle="1">
    <w:name w:val="正文须知-3级"/>
    <w:basedOn w:val="726"/>
    <w:uiPriority w:val="0"/>
    <w:qFormat/>
    <w:pPr>
      <w:numPr>
        <w:ilvl w:val="2"/>
        <w:numId w:val="7"/>
      </w:numPr>
      <w:ind w:hanging="355"/>
      <w:spacing w:line="300" w:lineRule="auto"/>
    </w:pPr>
    <w:rPr>
      <w:rFonts w:ascii="宋体" w:hAnsi="Calibri"/>
      <w:sz w:val="24"/>
      <w:szCs w:val="21"/>
    </w:rPr>
  </w:style>
  <w:style w:type="character" w:styleId="985" w:customStyle="1">
    <w:name w:val="纯文本 字符"/>
    <w:uiPriority w:val="99"/>
    <w:qFormat/>
    <w:rPr>
      <w:rFonts w:ascii="宋体" w:hAnsi="Courier New" w:eastAsia="宋体" w:cs="Times New Roman"/>
      <w:sz w:val="21"/>
      <w:szCs w:val="21"/>
      <w:lang w:val="en-US" w:eastAsia="zh-CN" w:bidi="ar-SA"/>
    </w:rPr>
  </w:style>
  <w:style w:type="paragraph" w:styleId="986" w:customStyle="1">
    <w:name w:val="表格1"/>
    <w:basedOn w:val="726"/>
    <w:uiPriority w:val="0"/>
    <w:qFormat/>
    <w:pPr>
      <w:ind w:firstLine="480"/>
      <w:jc w:val="center"/>
    </w:pPr>
    <w:rPr>
      <w:sz w:val="24"/>
      <w:szCs w:val="20"/>
    </w:rPr>
  </w:style>
  <w:style w:type="character" w:styleId="987" w:customStyle="1">
    <w:name w:val="纯文本 字符1"/>
    <w:uiPriority w:val="0"/>
    <w:qFormat/>
    <w:rPr>
      <w:rFonts w:ascii="宋体" w:hAnsi="Courier New"/>
    </w:rPr>
  </w:style>
  <w:style w:type="character" w:styleId="988" w:customStyle="1">
    <w:name w:val="bjh-p"/>
    <w:uiPriority w:val="0"/>
    <w:qFormat/>
  </w:style>
  <w:style w:type="paragraph" w:styleId="989" w:customStyle="1">
    <w:name w:val="无标题条"/>
    <w:next w:val="726"/>
    <w:uiPriority w:val="0"/>
    <w:qFormat/>
    <w:pPr>
      <w:jc w:val="both"/>
    </w:pPr>
    <w:rPr>
      <w:rFonts w:ascii="Times New Roman" w:hAnsi="Times New Roman" w:eastAsia="宋体" w:cs="Times New Roman"/>
      <w:sz w:val="21"/>
      <w:lang w:val="en-US" w:eastAsia="zh-CN" w:bidi="ar-SA"/>
    </w:rPr>
  </w:style>
  <w:style w:type="character" w:styleId="990" w:customStyle="1">
    <w:name w:val="正文格式 Char"/>
    <w:link w:val="991"/>
    <w:uiPriority w:val="0"/>
    <w:qFormat/>
    <w:rPr>
      <w:rFonts w:ascii="宋体" w:hAnsi="宋体"/>
      <w:sz w:val="24"/>
      <w:szCs w:val="24"/>
      <w:lang w:val="en-GB"/>
    </w:rPr>
  </w:style>
  <w:style w:type="paragraph" w:styleId="991" w:customStyle="1">
    <w:name w:val="正文格式"/>
    <w:basedOn w:val="726"/>
    <w:link w:val="990"/>
    <w:uiPriority w:val="0"/>
    <w:qFormat/>
    <w:pPr>
      <w:ind w:firstLine="480"/>
      <w:spacing w:line="360" w:lineRule="auto"/>
    </w:pPr>
    <w:rPr>
      <w:rFonts w:ascii="宋体" w:hAnsi="宋体"/>
      <w:sz w:val="24"/>
      <w:lang w:val="en-GB"/>
    </w:rPr>
  </w:style>
  <w:style w:type="character" w:styleId="992" w:customStyle="1">
    <w:name w:val="标题 3 Char"/>
    <w:uiPriority w:val="0"/>
    <w:qFormat/>
    <w:rPr>
      <w:rFonts w:ascii="宋体" w:eastAsia="宋体"/>
      <w:b/>
      <w:sz w:val="24"/>
      <w:u w:val="single"/>
      <w:lang w:val="en-US" w:eastAsia="zh-CN" w:bidi="ar-SA"/>
    </w:rPr>
  </w:style>
  <w:style w:type="character" w:styleId="993" w:customStyle="1">
    <w:name w:val="正文缩进 Char"/>
    <w:uiPriority w:val="0"/>
    <w:qFormat/>
    <w:rPr>
      <w:rFonts w:ascii="宋体" w:eastAsia="宋体"/>
      <w:sz w:val="24"/>
      <w:szCs w:val="24"/>
      <w:lang w:val="en-US" w:eastAsia="zh-CN" w:bidi="ar-SA"/>
    </w:rPr>
  </w:style>
  <w:style w:type="character" w:styleId="994" w:customStyle="1">
    <w:name w:val="Char Char111"/>
    <w:uiPriority w:val="0"/>
    <w:qFormat/>
    <w:rPr>
      <w:rFonts w:ascii="宋体" w:eastAsia="宋体"/>
      <w:b/>
      <w:sz w:val="24"/>
      <w:u w:val="single"/>
      <w:lang w:val="en-US" w:eastAsia="zh-CN" w:bidi="ar-SA"/>
    </w:rPr>
  </w:style>
  <w:style w:type="character" w:styleId="995" w:customStyle="1">
    <w:name w:val="正文文本缩进 Char"/>
    <w:uiPriority w:val="0"/>
    <w:qFormat/>
    <w:rPr>
      <w:rFonts w:eastAsia="宋体"/>
      <w:sz w:val="24"/>
      <w:szCs w:val="24"/>
      <w:lang w:val="en-US" w:eastAsia="zh-CN" w:bidi="ar-SA"/>
    </w:rPr>
  </w:style>
  <w:style w:type="character" w:styleId="996" w:customStyle="1">
    <w:name w:val="列出段落 Char"/>
    <w:uiPriority w:val="0"/>
    <w:qFormat/>
    <w:rPr>
      <w:rFonts w:ascii="Calibri" w:hAnsi="Calibri" w:eastAsia="宋体"/>
      <w:sz w:val="21"/>
      <w:szCs w:val="22"/>
      <w:lang w:val="en-US" w:eastAsia="zh-CN" w:bidi="ar-SA"/>
    </w:rPr>
  </w:style>
  <w:style w:type="character" w:styleId="997" w:customStyle="1">
    <w:name w:val="页眉 Char"/>
    <w:uiPriority w:val="0"/>
    <w:qFormat/>
    <w:rPr>
      <w:rFonts w:eastAsia="宋体"/>
      <w:sz w:val="18"/>
      <w:szCs w:val="18"/>
      <w:lang w:val="en-US" w:eastAsia="zh-CN" w:bidi="ar-SA"/>
    </w:rPr>
  </w:style>
  <w:style w:type="character" w:styleId="998" w:customStyle="1">
    <w:name w:val="标题 2 Char"/>
    <w:uiPriority w:val="0"/>
    <w:qFormat/>
    <w:rPr>
      <w:rFonts w:ascii="Arial" w:hAnsi="Arial" w:eastAsia="黑体"/>
      <w:b/>
      <w:sz w:val="30"/>
      <w:lang w:val="en-US" w:eastAsia="zh-CN" w:bidi="ar-SA"/>
    </w:rPr>
  </w:style>
  <w:style w:type="paragraph" w:styleId="999" w:customStyle="1">
    <w:name w:val="字元 字元2"/>
    <w:basedOn w:val="726"/>
    <w:uiPriority w:val="0"/>
    <w:qFormat/>
    <w:rPr>
      <w:rFonts w:ascii="Tahoma" w:hAnsi="Tahoma"/>
      <w:sz w:val="24"/>
      <w:szCs w:val="20"/>
    </w:rPr>
  </w:style>
  <w:style w:type="paragraph" w:styleId="1000" w:customStyle="1">
    <w:name w:val="Char3 Char Char Char2"/>
    <w:basedOn w:val="726"/>
    <w:uiPriority w:val="0"/>
    <w:qFormat/>
    <w:rPr>
      <w:rFonts w:ascii="Tahoma" w:hAnsi="Tahoma"/>
      <w:sz w:val="24"/>
      <w:szCs w:val="20"/>
    </w:rPr>
  </w:style>
  <w:style w:type="paragraph" w:styleId="1001" w:customStyle="1">
    <w:name w:val="正文文本缩进2"/>
    <w:basedOn w:val="726"/>
    <w:uiPriority w:val="0"/>
    <w:qFormat/>
    <w:pPr>
      <w:ind w:firstLine="480"/>
      <w:spacing w:line="480" w:lineRule="exact"/>
    </w:pPr>
    <w:rPr>
      <w:rFonts w:ascii="宋体" w:hAnsi="宋体"/>
      <w:sz w:val="24"/>
      <w:lang w:val="zh-CN"/>
    </w:rPr>
  </w:style>
  <w:style w:type="paragraph" w:styleId="1002" w:customStyle="1">
    <w:name w:val="Char3"/>
    <w:basedOn w:val="726"/>
    <w:uiPriority w:val="0"/>
    <w:qFormat/>
    <w:pPr>
      <w:tabs>
        <w:tab w:val="left" w:pos="360" w:leader="none"/>
      </w:tabs>
    </w:pPr>
    <w:rPr>
      <w:sz w:val="24"/>
    </w:rPr>
  </w:style>
  <w:style w:type="paragraph" w:styleId="1003" w:customStyle="1">
    <w:name w:val="Char Char Char Char Char Char Char Char Char Char Char Char Char Char Char Char1"/>
    <w:basedOn w:val="726"/>
    <w:uiPriority w:val="0"/>
    <w:qFormat/>
    <w:pPr>
      <w:jc w:val="center"/>
      <w:spacing w:after="160" w:line="240" w:lineRule="exact"/>
      <w:widowControl/>
    </w:pPr>
    <w:rPr>
      <w:rFonts w:ascii="宋体" w:hAnsi="宋体"/>
      <w:b/>
      <w:sz w:val="30"/>
      <w:szCs w:val="30"/>
      <w:lang w:eastAsia="en-US"/>
    </w:rPr>
  </w:style>
  <w:style w:type="paragraph" w:styleId="1004" w:customStyle="1">
    <w:name w:val="Char Char1 Char Char Char Char Char Char1"/>
    <w:basedOn w:val="726"/>
    <w:uiPriority w:val="0"/>
    <w:qFormat/>
    <w:pPr>
      <w:jc w:val="left"/>
      <w:spacing w:after="160" w:line="240" w:lineRule="exact"/>
      <w:widowControl/>
    </w:pPr>
    <w:rPr>
      <w:rFonts w:ascii="Verdana" w:hAnsi="Verdana" w:eastAsia="仿宋_GB2312"/>
      <w:sz w:val="24"/>
      <w:szCs w:val="20"/>
      <w:lang w:eastAsia="en-US"/>
    </w:rPr>
  </w:style>
  <w:style w:type="paragraph" w:styleId="1005" w:customStyle="1">
    <w:name w:val="列出段落2"/>
    <w:basedOn w:val="726"/>
    <w:uiPriority w:val="0"/>
    <w:qFormat/>
    <w:pPr>
      <w:ind w:firstLine="420"/>
    </w:pPr>
    <w:rPr>
      <w:rFonts w:ascii="Calibri" w:hAnsi="Calibri"/>
      <w:szCs w:val="22"/>
    </w:rPr>
  </w:style>
  <w:style w:type="paragraph" w:styleId="1006" w:customStyle="1">
    <w:name w:val="Char Char Char1 Char2"/>
    <w:basedOn w:val="726"/>
    <w:uiPriority w:val="0"/>
    <w:qFormat/>
    <w:rPr>
      <w:rFonts w:ascii="Tahoma" w:hAnsi="Tahoma"/>
      <w:sz w:val="24"/>
      <w:szCs w:val="20"/>
    </w:rPr>
  </w:style>
  <w:style w:type="paragraph" w:styleId="1007" w:customStyle="1">
    <w:name w:val="Char Char Char2"/>
    <w:basedOn w:val="726"/>
    <w:uiPriority w:val="0"/>
    <w:qFormat/>
    <w:rPr>
      <w:rFonts w:ascii="Tahoma" w:hAnsi="Tahoma"/>
      <w:sz w:val="24"/>
      <w:szCs w:val="20"/>
    </w:rPr>
  </w:style>
  <w:style w:type="paragraph" w:styleId="1008" w:customStyle="1">
    <w:name w:val="Char Char Char Char Char Char Char2"/>
    <w:basedOn w:val="726"/>
    <w:uiPriority w:val="0"/>
    <w:qFormat/>
    <w:pPr>
      <w:ind w:firstLine="200"/>
      <w:spacing w:line="360" w:lineRule="auto"/>
    </w:pPr>
    <w:rPr>
      <w:rFonts w:eastAsia="仿宋_GB2312"/>
      <w:sz w:val="24"/>
    </w:rPr>
  </w:style>
  <w:style w:type="paragraph" w:styleId="1009" w:customStyle="1">
    <w:name w:val="正文缩进2"/>
    <w:basedOn w:val="726"/>
    <w:uiPriority w:val="0"/>
    <w:qFormat/>
    <w:pPr>
      <w:ind w:firstLine="567"/>
      <w:spacing w:line="480" w:lineRule="exact"/>
      <w:widowControl/>
    </w:pPr>
    <w:rPr>
      <w:rFonts w:ascii="宋体"/>
      <w:color w:val="000000"/>
      <w:sz w:val="28"/>
      <w:szCs w:val="20"/>
      <w:lang w:val="zh-CN"/>
    </w:rPr>
  </w:style>
  <w:style w:type="paragraph" w:styleId="1010" w:customStyle="1">
    <w:name w:val="Revision"/>
    <w:uiPriority w:val="99"/>
    <w:unhideWhenUsed/>
    <w:rPr>
      <w:rFonts w:ascii="Times New Roman" w:hAnsi="Times New Roman" w:eastAsia="宋体" w:cs="Times New Roman"/>
      <w:sz w:val="21"/>
      <w:szCs w:val="24"/>
      <w:lang w:val="en-US" w:eastAsia="zh-CN" w:bidi="ar-SA"/>
    </w:rPr>
  </w:style>
  <w:style w:type="paragraph" w:styleId="1011" w:customStyle="1">
    <w:name w:val="Char22"/>
    <w:basedOn w:val="726"/>
    <w:uiPriority w:val="0"/>
    <w:qFormat/>
    <w:rPr>
      <w:rFonts w:ascii="Tahoma" w:hAnsi="Tahoma"/>
      <w:sz w:val="24"/>
      <w:szCs w:val="20"/>
    </w:rPr>
  </w:style>
  <w:style w:type="paragraph" w:styleId="1012" w:customStyle="1">
    <w:name w:val="Char Char Char Char Char Char Char Char Char Char2"/>
    <w:basedOn w:val="726"/>
    <w:uiPriority w:val="0"/>
    <w:qFormat/>
    <w:rPr>
      <w:rFonts w:ascii="宋体" w:hAnsi="宋体" w:cs="Courier New"/>
      <w:sz w:val="32"/>
      <w:szCs w:val="32"/>
    </w:rPr>
  </w:style>
  <w:style w:type="paragraph" w:styleId="1013" w:customStyle="1">
    <w:name w:val="Char2 Char Char Char Char Char Char1"/>
    <w:basedOn w:val="726"/>
    <w:uiPriority w:val="0"/>
    <w:qFormat/>
    <w:pPr>
      <w:jc w:val="center"/>
      <w:spacing w:line="400" w:lineRule="exact"/>
      <w:widowControl/>
    </w:pPr>
  </w:style>
  <w:style w:type="character" w:styleId="1014" w:customStyle="1">
    <w:name w:val="页脚 Char"/>
    <w:uiPriority w:val="0"/>
    <w:qFormat/>
    <w:rPr>
      <w:rFonts w:ascii="宋体" w:eastAsia="宋体"/>
      <w:sz w:val="18"/>
      <w:lang w:val="en-US" w:eastAsia="zh-CN" w:bidi="ar-SA"/>
    </w:rPr>
  </w:style>
  <w:style w:type="paragraph" w:styleId="1015" w:customStyle="1">
    <w:name w:val="Char Char41"/>
    <w:basedOn w:val="726"/>
    <w:uiPriority w:val="0"/>
    <w:qFormat/>
    <w:pPr>
      <w:jc w:val="center"/>
      <w:spacing w:line="400" w:lineRule="exact"/>
      <w:widowControl/>
    </w:pPr>
  </w:style>
  <w:style w:type="character" w:styleId="1016" w:customStyle="1">
    <w:name w:val="批注文字 Char"/>
    <w:uiPriority w:val="99"/>
    <w:qFormat/>
    <w:rPr>
      <w:sz w:val="21"/>
      <w:szCs w:val="24"/>
    </w:rPr>
  </w:style>
  <w:style w:type="character" w:styleId="1017" w:customStyle="1">
    <w:name w:val="标题 Char"/>
    <w:uiPriority w:val="0"/>
    <w:qFormat/>
    <w:rPr>
      <w:b/>
      <w:sz w:val="32"/>
    </w:rPr>
  </w:style>
  <w:style w:type="paragraph" w:styleId="1018" w:customStyle="1">
    <w:name w:val="图例"/>
    <w:basedOn w:val="726"/>
    <w:uiPriority w:val="0"/>
    <w:qFormat/>
    <w:pPr>
      <w:jc w:val="center"/>
      <w:spacing w:before="120" w:after="120" w:line="360" w:lineRule="auto"/>
    </w:pPr>
    <w:rPr>
      <w:rFonts w:eastAsia="仿宋_GB2312"/>
      <w:b/>
      <w:sz w:val="24"/>
      <w:szCs w:val="20"/>
    </w:rPr>
  </w:style>
  <w:style w:type="table" w:styleId="101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20" w:customStyle="1">
    <w:name w:val="Table Paragraph"/>
    <w:basedOn w:val="726"/>
    <w:uiPriority w:val="1"/>
    <w:qFormat/>
    <w:pPr>
      <w:jc w:val="left"/>
    </w:pPr>
    <w:rPr>
      <w:rFonts w:ascii="宋体" w:hAnsi="宋体" w:cs="宋体"/>
      <w:sz w:val="22"/>
      <w:szCs w:val="22"/>
      <w:lang w:eastAsia="en-US"/>
    </w:rPr>
  </w:style>
  <w:style w:type="paragraph" w:styleId="1021" w:customStyle="1">
    <w:name w:val="成文日期"/>
    <w:basedOn w:val="726"/>
    <w:link w:val="1022"/>
    <w:uiPriority w:val="0"/>
    <w:qFormat/>
    <w:pPr>
      <w:ind w:right="400" w:firstLine="200"/>
      <w:jc w:val="right"/>
      <w:spacing w:line="570" w:lineRule="exact"/>
    </w:pPr>
    <w:rPr>
      <w:rFonts w:ascii="仿宋_GB2312" w:eastAsia="仿宋_GB2312"/>
      <w:sz w:val="32"/>
      <w:szCs w:val="20"/>
    </w:rPr>
  </w:style>
  <w:style w:type="character" w:styleId="1022" w:customStyle="1">
    <w:name w:val="成文日期 Char"/>
    <w:link w:val="1021"/>
    <w:uiPriority w:val="0"/>
    <w:qFormat/>
    <w:rPr>
      <w:rFonts w:ascii="仿宋_GB2312" w:eastAsia="仿宋_GB2312"/>
      <w:sz w:val="32"/>
    </w:rPr>
  </w:style>
  <w:style w:type="paragraph" w:styleId="1023" w:customStyle="1">
    <w:name w:val="正文1"/>
    <w:basedOn w:val="726"/>
    <w:uiPriority w:val="0"/>
    <w:qFormat/>
    <w:pPr>
      <w:contextualSpacing/>
      <w:ind w:firstLine="200"/>
      <w:jc w:val="left"/>
      <w:spacing w:before="120" w:after="120"/>
      <w:widowControl/>
    </w:pPr>
    <w:rPr>
      <w:rFonts w:ascii="Calibri" w:hAnsi="Calibri" w:eastAsia="Adobe 仿宋 Std R"/>
      <w:sz w:val="20"/>
      <w:szCs w:val="21"/>
    </w:rPr>
  </w:style>
  <w:style w:type="character" w:styleId="1024" w:customStyle="1">
    <w:name w:val="材料标题 Char"/>
    <w:link w:val="1025"/>
    <w:uiPriority w:val="0"/>
    <w:qFormat/>
    <w:rPr>
      <w:rFonts w:ascii="方正小标宋简体" w:eastAsia="方正小标宋简体"/>
      <w:color w:val="000000"/>
      <w:sz w:val="44"/>
      <w:szCs w:val="44"/>
    </w:rPr>
  </w:style>
  <w:style w:type="paragraph" w:styleId="1025" w:customStyle="1">
    <w:name w:val="材料标题"/>
    <w:basedOn w:val="726"/>
    <w:link w:val="1024"/>
    <w:uiPriority w:val="0"/>
    <w:qFormat/>
    <w:pPr>
      <w:jc w:val="center"/>
      <w:spacing w:line="700" w:lineRule="exact"/>
    </w:pPr>
    <w:rPr>
      <w:rFonts w:ascii="方正小标宋简体" w:eastAsia="方正小标宋简体"/>
      <w:color w:val="000000"/>
      <w:sz w:val="44"/>
      <w:szCs w:val="44"/>
    </w:rPr>
  </w:style>
  <w:style w:type="character" w:styleId="1026" w:customStyle="1">
    <w:name w:val="Unresolved Mention"/>
    <w:uiPriority w:val="99"/>
    <w:unhideWhenUsed/>
    <w:rPr>
      <w:color w:val="605e5c"/>
      <w:shd w:val="clear" w:color="auto" w:fill="e1dfdd"/>
    </w:rPr>
  </w:style>
  <w:style w:type="character" w:styleId="1027" w:customStyle="1">
    <w:name w:val="grame"/>
    <w:uiPriority w:val="0"/>
    <w:qFormat/>
  </w:style>
  <w:style w:type="character" w:styleId="1028" w:customStyle="1">
    <w:name w:val="Heading 1 Char"/>
    <w:uiPriority w:val="9"/>
    <w:qFormat/>
    <w:rPr>
      <w:rFonts w:ascii="Arial" w:hAnsi="Arial" w:eastAsia="Arial" w:cs="Arial"/>
      <w:sz w:val="40"/>
      <w:szCs w:val="40"/>
    </w:rPr>
  </w:style>
  <w:style w:type="character" w:styleId="1029" w:customStyle="1">
    <w:name w:val="Heading 2 Char"/>
    <w:uiPriority w:val="9"/>
    <w:qFormat/>
    <w:rPr>
      <w:rFonts w:ascii="Arial" w:hAnsi="Arial" w:eastAsia="Arial" w:cs="Arial"/>
      <w:sz w:val="34"/>
    </w:rPr>
  </w:style>
  <w:style w:type="character" w:styleId="1030" w:customStyle="1">
    <w:name w:val="Heading 3 Char"/>
    <w:uiPriority w:val="9"/>
    <w:qFormat/>
    <w:rPr>
      <w:rFonts w:ascii="Arial" w:hAnsi="Arial" w:eastAsia="Arial" w:cs="Arial"/>
      <w:sz w:val="30"/>
      <w:szCs w:val="30"/>
    </w:rPr>
  </w:style>
  <w:style w:type="character" w:styleId="1031" w:customStyle="1">
    <w:name w:val="Heading 4 Char"/>
    <w:uiPriority w:val="9"/>
    <w:qFormat/>
    <w:rPr>
      <w:rFonts w:ascii="Arial" w:hAnsi="Arial" w:eastAsia="Arial" w:cs="Arial"/>
      <w:b/>
      <w:bCs/>
      <w:sz w:val="26"/>
      <w:szCs w:val="26"/>
    </w:rPr>
  </w:style>
  <w:style w:type="character" w:styleId="1032" w:customStyle="1">
    <w:name w:val="Heading 5 Char"/>
    <w:uiPriority w:val="9"/>
    <w:qFormat/>
    <w:rPr>
      <w:rFonts w:ascii="Arial" w:hAnsi="Arial" w:eastAsia="Arial" w:cs="Arial"/>
      <w:b/>
      <w:bCs/>
      <w:sz w:val="24"/>
      <w:szCs w:val="24"/>
    </w:rPr>
  </w:style>
  <w:style w:type="character" w:styleId="1033" w:customStyle="1">
    <w:name w:val="Heading 6 Char"/>
    <w:uiPriority w:val="9"/>
    <w:qFormat/>
    <w:rPr>
      <w:rFonts w:ascii="Arial" w:hAnsi="Arial" w:eastAsia="Arial" w:cs="Arial"/>
      <w:b/>
      <w:bCs/>
      <w:sz w:val="22"/>
      <w:szCs w:val="22"/>
    </w:rPr>
  </w:style>
  <w:style w:type="character" w:styleId="1034" w:customStyle="1">
    <w:name w:val="Heading 7 Char"/>
    <w:uiPriority w:val="9"/>
    <w:qFormat/>
    <w:rPr>
      <w:rFonts w:ascii="Arial" w:hAnsi="Arial" w:eastAsia="Arial" w:cs="Arial"/>
      <w:b/>
      <w:bCs/>
      <w:i/>
      <w:iCs/>
      <w:sz w:val="22"/>
      <w:szCs w:val="22"/>
    </w:rPr>
  </w:style>
  <w:style w:type="character" w:styleId="1035" w:customStyle="1">
    <w:name w:val="Heading 8 Char"/>
    <w:uiPriority w:val="9"/>
    <w:qFormat/>
    <w:rPr>
      <w:rFonts w:ascii="Arial" w:hAnsi="Arial" w:eastAsia="Arial" w:cs="Arial"/>
      <w:i/>
      <w:iCs/>
      <w:sz w:val="22"/>
      <w:szCs w:val="22"/>
    </w:rPr>
  </w:style>
  <w:style w:type="character" w:styleId="1036" w:customStyle="1">
    <w:name w:val="Heading 9 Char"/>
    <w:uiPriority w:val="9"/>
    <w:qFormat/>
    <w:rPr>
      <w:rFonts w:ascii="Arial" w:hAnsi="Arial" w:eastAsia="Arial" w:cs="Arial"/>
      <w:i/>
      <w:iCs/>
      <w:sz w:val="21"/>
      <w:szCs w:val="21"/>
    </w:rPr>
  </w:style>
  <w:style w:type="character" w:styleId="1037" w:customStyle="1">
    <w:name w:val="Title Char"/>
    <w:uiPriority w:val="10"/>
    <w:qFormat/>
    <w:rPr>
      <w:sz w:val="48"/>
      <w:szCs w:val="48"/>
    </w:rPr>
  </w:style>
  <w:style w:type="character" w:styleId="1038" w:customStyle="1">
    <w:name w:val="引用 字符"/>
    <w:link w:val="784"/>
    <w:uiPriority w:val="29"/>
    <w:qFormat/>
    <w:rPr>
      <w:i/>
      <w:sz w:val="21"/>
      <w:szCs w:val="24"/>
    </w:rPr>
  </w:style>
  <w:style w:type="character" w:styleId="1039" w:customStyle="1">
    <w:name w:val="明显引用 字符"/>
    <w:link w:val="786"/>
    <w:uiPriority w:val="30"/>
    <w:qFormat/>
    <w:rPr>
      <w:i/>
      <w:sz w:val="21"/>
      <w:szCs w:val="24"/>
      <w:shd w:val="clear" w:color="auto" w:fill="f2f2f2"/>
    </w:rPr>
  </w:style>
  <w:style w:type="character" w:styleId="1040" w:customStyle="1">
    <w:name w:val="Header Char"/>
    <w:uiPriority w:val="99"/>
    <w:qFormat/>
  </w:style>
  <w:style w:type="character" w:styleId="1041" w:customStyle="1">
    <w:name w:val="Footer Char"/>
    <w:uiPriority w:val="99"/>
    <w:qFormat/>
  </w:style>
  <w:style w:type="character" w:styleId="1042" w:customStyle="1">
    <w:name w:val="Caption Char"/>
    <w:uiPriority w:val="99"/>
    <w:qFormat/>
  </w:style>
  <w:style w:type="table" w:styleId="1043" w:customStyle="1">
    <w:name w:val="Table Grid Light"/>
    <w:uiPriority w:val="59"/>
    <w:qFormat/>
    <w:tblPr>
      <w:tblCellMar>
        <w:left w:w="0" w:type="dxa"/>
        <w:top w:w="0" w:type="dxa"/>
        <w:right w:w="0" w:type="dxa"/>
        <w:bottom w:w="0" w:type="dxa"/>
      </w:tblCellMar>
    </w:tblPr>
  </w:style>
  <w:style w:type="table" w:styleId="1044" w:customStyle="1">
    <w:name w:val="无格式表格 11"/>
    <w:uiPriority w:val="59"/>
    <w:qFormat/>
    <w:tblPr>
      <w:tblCellMar>
        <w:left w:w="0" w:type="dxa"/>
        <w:top w:w="0" w:type="dxa"/>
        <w:right w:w="0" w:type="dxa"/>
        <w:bottom w:w="0" w:type="dxa"/>
      </w:tblCellMar>
    </w:tblPr>
  </w:style>
  <w:style w:type="table" w:styleId="1045" w:customStyle="1">
    <w:name w:val="无格式表格 21"/>
    <w:uiPriority w:val="59"/>
    <w:qFormat/>
    <w:tblPr>
      <w:tblCellMar>
        <w:left w:w="0" w:type="dxa"/>
        <w:top w:w="0" w:type="dxa"/>
        <w:right w:w="0" w:type="dxa"/>
        <w:bottom w:w="0" w:type="dxa"/>
      </w:tblCellMar>
    </w:tblPr>
  </w:style>
  <w:style w:type="table" w:styleId="1046" w:customStyle="1">
    <w:name w:val="无格式表格 31"/>
    <w:uiPriority w:val="99"/>
    <w:qFormat/>
    <w:tblPr>
      <w:tblCellMar>
        <w:left w:w="0" w:type="dxa"/>
        <w:top w:w="0" w:type="dxa"/>
        <w:right w:w="0" w:type="dxa"/>
        <w:bottom w:w="0" w:type="dxa"/>
      </w:tblCellMar>
    </w:tblPr>
  </w:style>
  <w:style w:type="table" w:styleId="1047" w:customStyle="1">
    <w:name w:val="无格式表格 41"/>
    <w:uiPriority w:val="99"/>
    <w:qFormat/>
    <w:tblPr>
      <w:tblCellMar>
        <w:left w:w="0" w:type="dxa"/>
        <w:top w:w="0" w:type="dxa"/>
        <w:right w:w="0" w:type="dxa"/>
        <w:bottom w:w="0" w:type="dxa"/>
      </w:tblCellMar>
    </w:tblPr>
  </w:style>
  <w:style w:type="table" w:styleId="1048" w:customStyle="1">
    <w:name w:val="无格式表格 51"/>
    <w:uiPriority w:val="99"/>
    <w:qFormat/>
    <w:tblPr>
      <w:tblCellMar>
        <w:left w:w="0" w:type="dxa"/>
        <w:top w:w="0" w:type="dxa"/>
        <w:right w:w="0" w:type="dxa"/>
        <w:bottom w:w="0" w:type="dxa"/>
      </w:tblCellMar>
    </w:tblPr>
  </w:style>
  <w:style w:type="table" w:styleId="1049" w:customStyle="1">
    <w:name w:val="网格表 1 浅色1"/>
    <w:uiPriority w:val="99"/>
    <w:qFormat/>
    <w:tblPr>
      <w:tblCellMar>
        <w:left w:w="0" w:type="dxa"/>
        <w:top w:w="0" w:type="dxa"/>
        <w:right w:w="0" w:type="dxa"/>
        <w:bottom w:w="0" w:type="dxa"/>
      </w:tblCellMar>
    </w:tblPr>
  </w:style>
  <w:style w:type="table" w:styleId="1050" w:customStyle="1">
    <w:name w:val="Grid Table 1 Light - Accent 1"/>
    <w:uiPriority w:val="99"/>
    <w:qFormat/>
    <w:tblPr>
      <w:tblCellMar>
        <w:left w:w="0" w:type="dxa"/>
        <w:top w:w="0" w:type="dxa"/>
        <w:right w:w="0" w:type="dxa"/>
        <w:bottom w:w="0" w:type="dxa"/>
      </w:tblCellMar>
    </w:tblPr>
  </w:style>
  <w:style w:type="table" w:styleId="1051" w:customStyle="1">
    <w:name w:val="Grid Table 1 Light - Accent 2"/>
    <w:uiPriority w:val="99"/>
    <w:qFormat/>
    <w:tblPr>
      <w:tblCellMar>
        <w:left w:w="0" w:type="dxa"/>
        <w:top w:w="0" w:type="dxa"/>
        <w:right w:w="0" w:type="dxa"/>
        <w:bottom w:w="0" w:type="dxa"/>
      </w:tblCellMar>
    </w:tblPr>
  </w:style>
  <w:style w:type="table" w:styleId="1052" w:customStyle="1">
    <w:name w:val="Grid Table 1 Light - Accent 3"/>
    <w:uiPriority w:val="99"/>
    <w:qFormat/>
    <w:tblPr>
      <w:tblCellMar>
        <w:left w:w="0" w:type="dxa"/>
        <w:top w:w="0" w:type="dxa"/>
        <w:right w:w="0" w:type="dxa"/>
        <w:bottom w:w="0" w:type="dxa"/>
      </w:tblCellMar>
    </w:tblPr>
  </w:style>
  <w:style w:type="table" w:styleId="1053" w:customStyle="1">
    <w:name w:val="Grid Table 1 Light - Accent 4"/>
    <w:uiPriority w:val="99"/>
    <w:qFormat/>
    <w:tblPr>
      <w:tblCellMar>
        <w:left w:w="0" w:type="dxa"/>
        <w:top w:w="0" w:type="dxa"/>
        <w:right w:w="0" w:type="dxa"/>
        <w:bottom w:w="0" w:type="dxa"/>
      </w:tblCellMar>
    </w:tblPr>
  </w:style>
  <w:style w:type="table" w:styleId="1054" w:customStyle="1">
    <w:name w:val="Grid Table 1 Light - Accent 5"/>
    <w:uiPriority w:val="99"/>
    <w:qFormat/>
    <w:tblPr>
      <w:tblCellMar>
        <w:left w:w="0" w:type="dxa"/>
        <w:top w:w="0" w:type="dxa"/>
        <w:right w:w="0" w:type="dxa"/>
        <w:bottom w:w="0" w:type="dxa"/>
      </w:tblCellMar>
    </w:tblPr>
  </w:style>
  <w:style w:type="table" w:styleId="1055" w:customStyle="1">
    <w:name w:val="Grid Table 1 Light - Accent 6"/>
    <w:uiPriority w:val="99"/>
    <w:qFormat/>
    <w:tblPr>
      <w:tblCellMar>
        <w:left w:w="0" w:type="dxa"/>
        <w:top w:w="0" w:type="dxa"/>
        <w:right w:w="0" w:type="dxa"/>
        <w:bottom w:w="0" w:type="dxa"/>
      </w:tblCellMar>
    </w:tblPr>
  </w:style>
  <w:style w:type="table" w:styleId="1056" w:customStyle="1">
    <w:name w:val="网格表 21"/>
    <w:uiPriority w:val="99"/>
    <w:qFormat/>
    <w:tblPr>
      <w:tblCellMar>
        <w:left w:w="0" w:type="dxa"/>
        <w:top w:w="0" w:type="dxa"/>
        <w:right w:w="0" w:type="dxa"/>
        <w:bottom w:w="0" w:type="dxa"/>
      </w:tblCellMar>
    </w:tblPr>
  </w:style>
  <w:style w:type="table" w:styleId="1057" w:customStyle="1">
    <w:name w:val="Grid Table 2 - Accent 1"/>
    <w:uiPriority w:val="99"/>
    <w:qFormat/>
    <w:tblPr>
      <w:tblCellMar>
        <w:left w:w="0" w:type="dxa"/>
        <w:top w:w="0" w:type="dxa"/>
        <w:right w:w="0" w:type="dxa"/>
        <w:bottom w:w="0" w:type="dxa"/>
      </w:tblCellMar>
    </w:tblPr>
  </w:style>
  <w:style w:type="table" w:styleId="1058" w:customStyle="1">
    <w:name w:val="Grid Table 2 - Accent 2"/>
    <w:uiPriority w:val="99"/>
    <w:qFormat/>
    <w:tblPr>
      <w:tblCellMar>
        <w:left w:w="0" w:type="dxa"/>
        <w:top w:w="0" w:type="dxa"/>
        <w:right w:w="0" w:type="dxa"/>
        <w:bottom w:w="0" w:type="dxa"/>
      </w:tblCellMar>
    </w:tblPr>
  </w:style>
  <w:style w:type="table" w:styleId="1059" w:customStyle="1">
    <w:name w:val="Grid Table 2 - Accent 3"/>
    <w:uiPriority w:val="99"/>
    <w:qFormat/>
    <w:tblPr>
      <w:tblCellMar>
        <w:left w:w="0" w:type="dxa"/>
        <w:top w:w="0" w:type="dxa"/>
        <w:right w:w="0" w:type="dxa"/>
        <w:bottom w:w="0" w:type="dxa"/>
      </w:tblCellMar>
    </w:tblPr>
  </w:style>
  <w:style w:type="table" w:styleId="1060" w:customStyle="1">
    <w:name w:val="Grid Table 2 - Accent 4"/>
    <w:uiPriority w:val="99"/>
    <w:qFormat/>
    <w:tblPr>
      <w:tblCellMar>
        <w:left w:w="0" w:type="dxa"/>
        <w:top w:w="0" w:type="dxa"/>
        <w:right w:w="0" w:type="dxa"/>
        <w:bottom w:w="0" w:type="dxa"/>
      </w:tblCellMar>
    </w:tblPr>
  </w:style>
  <w:style w:type="table" w:styleId="1061" w:customStyle="1">
    <w:name w:val="Grid Table 2 - Accent 5"/>
    <w:uiPriority w:val="99"/>
    <w:qFormat/>
    <w:tblPr>
      <w:tblCellMar>
        <w:left w:w="0" w:type="dxa"/>
        <w:top w:w="0" w:type="dxa"/>
        <w:right w:w="0" w:type="dxa"/>
        <w:bottom w:w="0" w:type="dxa"/>
      </w:tblCellMar>
    </w:tblPr>
  </w:style>
  <w:style w:type="table" w:styleId="1062" w:customStyle="1">
    <w:name w:val="Grid Table 2 - Accent 6"/>
    <w:uiPriority w:val="99"/>
    <w:qFormat/>
    <w:tblPr>
      <w:tblCellMar>
        <w:left w:w="0" w:type="dxa"/>
        <w:top w:w="0" w:type="dxa"/>
        <w:right w:w="0" w:type="dxa"/>
        <w:bottom w:w="0" w:type="dxa"/>
      </w:tblCellMar>
    </w:tblPr>
  </w:style>
  <w:style w:type="table" w:styleId="1063" w:customStyle="1">
    <w:name w:val="网格表 31"/>
    <w:uiPriority w:val="99"/>
    <w:qFormat/>
    <w:tblPr>
      <w:tblCellMar>
        <w:left w:w="0" w:type="dxa"/>
        <w:top w:w="0" w:type="dxa"/>
        <w:right w:w="0" w:type="dxa"/>
        <w:bottom w:w="0" w:type="dxa"/>
      </w:tblCellMar>
    </w:tblPr>
  </w:style>
  <w:style w:type="table" w:styleId="1064" w:customStyle="1">
    <w:name w:val="Grid Table 3 - Accent 1"/>
    <w:uiPriority w:val="99"/>
    <w:qFormat/>
    <w:tblPr>
      <w:tblCellMar>
        <w:left w:w="0" w:type="dxa"/>
        <w:top w:w="0" w:type="dxa"/>
        <w:right w:w="0" w:type="dxa"/>
        <w:bottom w:w="0" w:type="dxa"/>
      </w:tblCellMar>
    </w:tblPr>
  </w:style>
  <w:style w:type="table" w:styleId="1065" w:customStyle="1">
    <w:name w:val="Grid Table 3 - Accent 2"/>
    <w:uiPriority w:val="99"/>
    <w:qFormat/>
    <w:tblPr>
      <w:tblCellMar>
        <w:left w:w="0" w:type="dxa"/>
        <w:top w:w="0" w:type="dxa"/>
        <w:right w:w="0" w:type="dxa"/>
        <w:bottom w:w="0" w:type="dxa"/>
      </w:tblCellMar>
    </w:tblPr>
  </w:style>
  <w:style w:type="table" w:styleId="1066" w:customStyle="1">
    <w:name w:val="Grid Table 3 - Accent 3"/>
    <w:uiPriority w:val="99"/>
    <w:qFormat/>
    <w:tblPr>
      <w:tblCellMar>
        <w:left w:w="0" w:type="dxa"/>
        <w:top w:w="0" w:type="dxa"/>
        <w:right w:w="0" w:type="dxa"/>
        <w:bottom w:w="0" w:type="dxa"/>
      </w:tblCellMar>
    </w:tblPr>
  </w:style>
  <w:style w:type="table" w:styleId="1067" w:customStyle="1">
    <w:name w:val="Grid Table 3 - Accent 4"/>
    <w:uiPriority w:val="99"/>
    <w:qFormat/>
    <w:tblPr>
      <w:tblCellMar>
        <w:left w:w="0" w:type="dxa"/>
        <w:top w:w="0" w:type="dxa"/>
        <w:right w:w="0" w:type="dxa"/>
        <w:bottom w:w="0" w:type="dxa"/>
      </w:tblCellMar>
    </w:tblPr>
  </w:style>
  <w:style w:type="table" w:styleId="1068" w:customStyle="1">
    <w:name w:val="Grid Table 3 - Accent 5"/>
    <w:uiPriority w:val="99"/>
    <w:qFormat/>
    <w:tblPr>
      <w:tblCellMar>
        <w:left w:w="0" w:type="dxa"/>
        <w:top w:w="0" w:type="dxa"/>
        <w:right w:w="0" w:type="dxa"/>
        <w:bottom w:w="0" w:type="dxa"/>
      </w:tblCellMar>
    </w:tblPr>
  </w:style>
  <w:style w:type="table" w:styleId="1069" w:customStyle="1">
    <w:name w:val="Grid Table 3 - Accent 6"/>
    <w:uiPriority w:val="99"/>
    <w:qFormat/>
    <w:tblPr>
      <w:tblCellMar>
        <w:left w:w="0" w:type="dxa"/>
        <w:top w:w="0" w:type="dxa"/>
        <w:right w:w="0" w:type="dxa"/>
        <w:bottom w:w="0" w:type="dxa"/>
      </w:tblCellMar>
    </w:tblPr>
  </w:style>
  <w:style w:type="table" w:styleId="1070" w:customStyle="1">
    <w:name w:val="网格表 41"/>
    <w:uiPriority w:val="59"/>
    <w:qFormat/>
    <w:tblPr>
      <w:tblCellMar>
        <w:left w:w="0" w:type="dxa"/>
        <w:top w:w="0" w:type="dxa"/>
        <w:right w:w="0" w:type="dxa"/>
        <w:bottom w:w="0" w:type="dxa"/>
      </w:tblCellMar>
    </w:tblPr>
  </w:style>
  <w:style w:type="table" w:styleId="1071" w:customStyle="1">
    <w:name w:val="Grid Table 4 - Accent 1"/>
    <w:uiPriority w:val="59"/>
    <w:qFormat/>
    <w:tblPr>
      <w:tblCellMar>
        <w:left w:w="0" w:type="dxa"/>
        <w:top w:w="0" w:type="dxa"/>
        <w:right w:w="0" w:type="dxa"/>
        <w:bottom w:w="0" w:type="dxa"/>
      </w:tblCellMar>
    </w:tblPr>
  </w:style>
  <w:style w:type="table" w:styleId="1072" w:customStyle="1">
    <w:name w:val="Grid Table 4 - Accent 2"/>
    <w:uiPriority w:val="59"/>
    <w:qFormat/>
    <w:tblPr>
      <w:tblCellMar>
        <w:left w:w="0" w:type="dxa"/>
        <w:top w:w="0" w:type="dxa"/>
        <w:right w:w="0" w:type="dxa"/>
        <w:bottom w:w="0" w:type="dxa"/>
      </w:tblCellMar>
    </w:tblPr>
  </w:style>
  <w:style w:type="table" w:styleId="1073" w:customStyle="1">
    <w:name w:val="Grid Table 4 - Accent 3"/>
    <w:uiPriority w:val="59"/>
    <w:qFormat/>
    <w:tblPr>
      <w:tblCellMar>
        <w:left w:w="0" w:type="dxa"/>
        <w:top w:w="0" w:type="dxa"/>
        <w:right w:w="0" w:type="dxa"/>
        <w:bottom w:w="0" w:type="dxa"/>
      </w:tblCellMar>
    </w:tblPr>
  </w:style>
  <w:style w:type="table" w:styleId="1074" w:customStyle="1">
    <w:name w:val="Grid Table 4 - Accent 4"/>
    <w:uiPriority w:val="59"/>
    <w:qFormat/>
    <w:tblPr>
      <w:tblCellMar>
        <w:left w:w="0" w:type="dxa"/>
        <w:top w:w="0" w:type="dxa"/>
        <w:right w:w="0" w:type="dxa"/>
        <w:bottom w:w="0" w:type="dxa"/>
      </w:tblCellMar>
    </w:tblPr>
  </w:style>
  <w:style w:type="table" w:styleId="1075" w:customStyle="1">
    <w:name w:val="Grid Table 4 - Accent 5"/>
    <w:uiPriority w:val="59"/>
    <w:qFormat/>
    <w:tblPr>
      <w:tblCellMar>
        <w:left w:w="0" w:type="dxa"/>
        <w:top w:w="0" w:type="dxa"/>
        <w:right w:w="0" w:type="dxa"/>
        <w:bottom w:w="0" w:type="dxa"/>
      </w:tblCellMar>
    </w:tblPr>
  </w:style>
  <w:style w:type="table" w:styleId="1076" w:customStyle="1">
    <w:name w:val="Grid Table 4 - Accent 6"/>
    <w:uiPriority w:val="59"/>
    <w:qFormat/>
    <w:tblPr>
      <w:tblCellMar>
        <w:left w:w="0" w:type="dxa"/>
        <w:top w:w="0" w:type="dxa"/>
        <w:right w:w="0" w:type="dxa"/>
        <w:bottom w:w="0" w:type="dxa"/>
      </w:tblCellMar>
    </w:tblPr>
  </w:style>
  <w:style w:type="table" w:styleId="1077" w:customStyle="1">
    <w:name w:val="网格表 5 深色1"/>
    <w:uiPriority w:val="99"/>
    <w:qFormat/>
    <w:tblPr>
      <w:tblCellMar>
        <w:left w:w="0" w:type="dxa"/>
        <w:top w:w="0" w:type="dxa"/>
        <w:right w:w="0" w:type="dxa"/>
        <w:bottom w:w="0" w:type="dxa"/>
      </w:tblCellMar>
    </w:tblPr>
  </w:style>
  <w:style w:type="table" w:styleId="1078" w:customStyle="1">
    <w:name w:val="Grid Table 5 Dark- Accent 1"/>
    <w:uiPriority w:val="99"/>
    <w:qFormat/>
    <w:tblPr>
      <w:tblCellMar>
        <w:left w:w="0" w:type="dxa"/>
        <w:top w:w="0" w:type="dxa"/>
        <w:right w:w="0" w:type="dxa"/>
        <w:bottom w:w="0" w:type="dxa"/>
      </w:tblCellMar>
    </w:tblPr>
  </w:style>
  <w:style w:type="table" w:styleId="1079" w:customStyle="1">
    <w:name w:val="Grid Table 5 Dark - Accent 2"/>
    <w:uiPriority w:val="99"/>
    <w:qFormat/>
    <w:tblPr>
      <w:tblCellMar>
        <w:left w:w="0" w:type="dxa"/>
        <w:top w:w="0" w:type="dxa"/>
        <w:right w:w="0" w:type="dxa"/>
        <w:bottom w:w="0" w:type="dxa"/>
      </w:tblCellMar>
    </w:tblPr>
  </w:style>
  <w:style w:type="table" w:styleId="1080" w:customStyle="1">
    <w:name w:val="Grid Table 5 Dark - Accent 3"/>
    <w:uiPriority w:val="99"/>
    <w:qFormat/>
    <w:tblPr>
      <w:tblCellMar>
        <w:left w:w="0" w:type="dxa"/>
        <w:top w:w="0" w:type="dxa"/>
        <w:right w:w="0" w:type="dxa"/>
        <w:bottom w:w="0" w:type="dxa"/>
      </w:tblCellMar>
    </w:tblPr>
  </w:style>
  <w:style w:type="table" w:styleId="1081" w:customStyle="1">
    <w:name w:val="Grid Table 5 Dark- Accent 4"/>
    <w:uiPriority w:val="99"/>
    <w:qFormat/>
    <w:tblPr>
      <w:tblCellMar>
        <w:left w:w="0" w:type="dxa"/>
        <w:top w:w="0" w:type="dxa"/>
        <w:right w:w="0" w:type="dxa"/>
        <w:bottom w:w="0" w:type="dxa"/>
      </w:tblCellMar>
    </w:tblPr>
  </w:style>
  <w:style w:type="table" w:styleId="1082" w:customStyle="1">
    <w:name w:val="Grid Table 5 Dark - Accent 5"/>
    <w:uiPriority w:val="99"/>
    <w:qFormat/>
    <w:tblPr>
      <w:tblCellMar>
        <w:left w:w="0" w:type="dxa"/>
        <w:top w:w="0" w:type="dxa"/>
        <w:right w:w="0" w:type="dxa"/>
        <w:bottom w:w="0" w:type="dxa"/>
      </w:tblCellMar>
    </w:tblPr>
  </w:style>
  <w:style w:type="table" w:styleId="1083" w:customStyle="1">
    <w:name w:val="Grid Table 5 Dark - Accent 6"/>
    <w:uiPriority w:val="99"/>
    <w:qFormat/>
    <w:tblPr>
      <w:tblCellMar>
        <w:left w:w="0" w:type="dxa"/>
        <w:top w:w="0" w:type="dxa"/>
        <w:right w:w="0" w:type="dxa"/>
        <w:bottom w:w="0" w:type="dxa"/>
      </w:tblCellMar>
    </w:tblPr>
  </w:style>
  <w:style w:type="table" w:styleId="1084" w:customStyle="1">
    <w:name w:val="网格表 6 彩色1"/>
    <w:uiPriority w:val="99"/>
    <w:qFormat/>
    <w:tblPr>
      <w:tblCellMar>
        <w:left w:w="0" w:type="dxa"/>
        <w:top w:w="0" w:type="dxa"/>
        <w:right w:w="0" w:type="dxa"/>
        <w:bottom w:w="0" w:type="dxa"/>
      </w:tblCellMar>
    </w:tblPr>
  </w:style>
  <w:style w:type="table" w:styleId="1085" w:customStyle="1">
    <w:name w:val="Grid Table 6 Colorful - Accent 1"/>
    <w:uiPriority w:val="99"/>
    <w:qFormat/>
    <w:tblPr>
      <w:tblCellMar>
        <w:left w:w="0" w:type="dxa"/>
        <w:top w:w="0" w:type="dxa"/>
        <w:right w:w="0" w:type="dxa"/>
        <w:bottom w:w="0" w:type="dxa"/>
      </w:tblCellMar>
    </w:tblPr>
  </w:style>
  <w:style w:type="table" w:styleId="1086" w:customStyle="1">
    <w:name w:val="Grid Table 6 Colorful - Accent 2"/>
    <w:uiPriority w:val="99"/>
    <w:qFormat/>
    <w:tblPr>
      <w:tblCellMar>
        <w:left w:w="0" w:type="dxa"/>
        <w:top w:w="0" w:type="dxa"/>
        <w:right w:w="0" w:type="dxa"/>
        <w:bottom w:w="0" w:type="dxa"/>
      </w:tblCellMar>
    </w:tblPr>
  </w:style>
  <w:style w:type="table" w:styleId="1087" w:customStyle="1">
    <w:name w:val="Grid Table 6 Colorful - Accent 3"/>
    <w:uiPriority w:val="99"/>
    <w:qFormat/>
    <w:tblPr>
      <w:tblCellMar>
        <w:left w:w="0" w:type="dxa"/>
        <w:top w:w="0" w:type="dxa"/>
        <w:right w:w="0" w:type="dxa"/>
        <w:bottom w:w="0" w:type="dxa"/>
      </w:tblCellMar>
    </w:tblPr>
  </w:style>
  <w:style w:type="table" w:styleId="1088" w:customStyle="1">
    <w:name w:val="Grid Table 6 Colorful - Accent 4"/>
    <w:uiPriority w:val="99"/>
    <w:qFormat/>
    <w:tblPr>
      <w:tblCellMar>
        <w:left w:w="0" w:type="dxa"/>
        <w:top w:w="0" w:type="dxa"/>
        <w:right w:w="0" w:type="dxa"/>
        <w:bottom w:w="0" w:type="dxa"/>
      </w:tblCellMar>
    </w:tblPr>
  </w:style>
  <w:style w:type="table" w:styleId="1089" w:customStyle="1">
    <w:name w:val="Grid Table 6 Colorful - Accent 5"/>
    <w:uiPriority w:val="99"/>
    <w:qFormat/>
    <w:tblPr>
      <w:tblCellMar>
        <w:left w:w="0" w:type="dxa"/>
        <w:top w:w="0" w:type="dxa"/>
        <w:right w:w="0" w:type="dxa"/>
        <w:bottom w:w="0" w:type="dxa"/>
      </w:tblCellMar>
    </w:tblPr>
  </w:style>
  <w:style w:type="table" w:styleId="1090" w:customStyle="1">
    <w:name w:val="Grid Table 6 Colorful - Accent 6"/>
    <w:uiPriority w:val="99"/>
    <w:qFormat/>
    <w:tblPr>
      <w:tblCellMar>
        <w:left w:w="0" w:type="dxa"/>
        <w:top w:w="0" w:type="dxa"/>
        <w:right w:w="0" w:type="dxa"/>
        <w:bottom w:w="0" w:type="dxa"/>
      </w:tblCellMar>
    </w:tblPr>
  </w:style>
  <w:style w:type="table" w:styleId="1091" w:customStyle="1">
    <w:name w:val="网格表 7 彩色1"/>
    <w:uiPriority w:val="99"/>
    <w:qFormat/>
    <w:tblPr>
      <w:tblCellMar>
        <w:left w:w="0" w:type="dxa"/>
        <w:top w:w="0" w:type="dxa"/>
        <w:right w:w="0" w:type="dxa"/>
        <w:bottom w:w="0" w:type="dxa"/>
      </w:tblCellMar>
    </w:tblPr>
  </w:style>
  <w:style w:type="table" w:styleId="1092" w:customStyle="1">
    <w:name w:val="Grid Table 7 Colorful - Accent 1"/>
    <w:uiPriority w:val="99"/>
    <w:qFormat/>
    <w:tblPr>
      <w:tblCellMar>
        <w:left w:w="0" w:type="dxa"/>
        <w:top w:w="0" w:type="dxa"/>
        <w:right w:w="0" w:type="dxa"/>
        <w:bottom w:w="0" w:type="dxa"/>
      </w:tblCellMar>
    </w:tblPr>
  </w:style>
  <w:style w:type="table" w:styleId="1093" w:customStyle="1">
    <w:name w:val="Grid Table 7 Colorful - Accent 2"/>
    <w:uiPriority w:val="99"/>
    <w:qFormat/>
    <w:tblPr>
      <w:tblCellMar>
        <w:left w:w="0" w:type="dxa"/>
        <w:top w:w="0" w:type="dxa"/>
        <w:right w:w="0" w:type="dxa"/>
        <w:bottom w:w="0" w:type="dxa"/>
      </w:tblCellMar>
    </w:tblPr>
  </w:style>
  <w:style w:type="table" w:styleId="1094" w:customStyle="1">
    <w:name w:val="Grid Table 7 Colorful - Accent 3"/>
    <w:uiPriority w:val="99"/>
    <w:qFormat/>
    <w:tblPr>
      <w:tblCellMar>
        <w:left w:w="0" w:type="dxa"/>
        <w:top w:w="0" w:type="dxa"/>
        <w:right w:w="0" w:type="dxa"/>
        <w:bottom w:w="0" w:type="dxa"/>
      </w:tblCellMar>
    </w:tblPr>
  </w:style>
  <w:style w:type="table" w:styleId="1095" w:customStyle="1">
    <w:name w:val="Grid Table 7 Colorful - Accent 4"/>
    <w:uiPriority w:val="99"/>
    <w:qFormat/>
    <w:tblPr>
      <w:tblCellMar>
        <w:left w:w="0" w:type="dxa"/>
        <w:top w:w="0" w:type="dxa"/>
        <w:right w:w="0" w:type="dxa"/>
        <w:bottom w:w="0" w:type="dxa"/>
      </w:tblCellMar>
    </w:tblPr>
  </w:style>
  <w:style w:type="table" w:styleId="1096" w:customStyle="1">
    <w:name w:val="Grid Table 7 Colorful - Accent 5"/>
    <w:uiPriority w:val="99"/>
    <w:qFormat/>
    <w:tblPr>
      <w:tblCellMar>
        <w:left w:w="0" w:type="dxa"/>
        <w:top w:w="0" w:type="dxa"/>
        <w:right w:w="0" w:type="dxa"/>
        <w:bottom w:w="0" w:type="dxa"/>
      </w:tblCellMar>
    </w:tblPr>
  </w:style>
  <w:style w:type="table" w:styleId="1097" w:customStyle="1">
    <w:name w:val="Grid Table 7 Colorful - Accent 6"/>
    <w:uiPriority w:val="99"/>
    <w:qFormat/>
    <w:tblPr>
      <w:tblCellMar>
        <w:left w:w="0" w:type="dxa"/>
        <w:top w:w="0" w:type="dxa"/>
        <w:right w:w="0" w:type="dxa"/>
        <w:bottom w:w="0" w:type="dxa"/>
      </w:tblCellMar>
    </w:tblPr>
  </w:style>
  <w:style w:type="table" w:styleId="1098" w:customStyle="1">
    <w:name w:val="清单表 1 浅色1"/>
    <w:uiPriority w:val="99"/>
    <w:qFormat/>
    <w:tblPr>
      <w:tblCellMar>
        <w:left w:w="0" w:type="dxa"/>
        <w:top w:w="0" w:type="dxa"/>
        <w:right w:w="0" w:type="dxa"/>
        <w:bottom w:w="0" w:type="dxa"/>
      </w:tblCellMar>
    </w:tblPr>
  </w:style>
  <w:style w:type="table" w:styleId="1099" w:customStyle="1">
    <w:name w:val="List Table 1 Light - Accent 1"/>
    <w:uiPriority w:val="99"/>
    <w:qFormat/>
    <w:tblPr>
      <w:tblCellMar>
        <w:left w:w="0" w:type="dxa"/>
        <w:top w:w="0" w:type="dxa"/>
        <w:right w:w="0" w:type="dxa"/>
        <w:bottom w:w="0" w:type="dxa"/>
      </w:tblCellMar>
    </w:tblPr>
  </w:style>
  <w:style w:type="table" w:styleId="1100" w:customStyle="1">
    <w:name w:val="List Table 1 Light - Accent 2"/>
    <w:uiPriority w:val="99"/>
    <w:qFormat/>
    <w:tblPr>
      <w:tblCellMar>
        <w:left w:w="0" w:type="dxa"/>
        <w:top w:w="0" w:type="dxa"/>
        <w:right w:w="0" w:type="dxa"/>
        <w:bottom w:w="0" w:type="dxa"/>
      </w:tblCellMar>
    </w:tblPr>
  </w:style>
  <w:style w:type="table" w:styleId="1101" w:customStyle="1">
    <w:name w:val="List Table 1 Light - Accent 3"/>
    <w:uiPriority w:val="99"/>
    <w:qFormat/>
    <w:tblPr>
      <w:tblCellMar>
        <w:left w:w="0" w:type="dxa"/>
        <w:top w:w="0" w:type="dxa"/>
        <w:right w:w="0" w:type="dxa"/>
        <w:bottom w:w="0" w:type="dxa"/>
      </w:tblCellMar>
    </w:tblPr>
  </w:style>
  <w:style w:type="table" w:styleId="1102" w:customStyle="1">
    <w:name w:val="List Table 1 Light - Accent 4"/>
    <w:uiPriority w:val="99"/>
    <w:qFormat/>
    <w:tblPr>
      <w:tblCellMar>
        <w:left w:w="0" w:type="dxa"/>
        <w:top w:w="0" w:type="dxa"/>
        <w:right w:w="0" w:type="dxa"/>
        <w:bottom w:w="0" w:type="dxa"/>
      </w:tblCellMar>
    </w:tblPr>
  </w:style>
  <w:style w:type="table" w:styleId="1103" w:customStyle="1">
    <w:name w:val="List Table 1 Light - Accent 5"/>
    <w:uiPriority w:val="99"/>
    <w:qFormat/>
    <w:tblPr>
      <w:tblCellMar>
        <w:left w:w="0" w:type="dxa"/>
        <w:top w:w="0" w:type="dxa"/>
        <w:right w:w="0" w:type="dxa"/>
        <w:bottom w:w="0" w:type="dxa"/>
      </w:tblCellMar>
    </w:tblPr>
  </w:style>
  <w:style w:type="table" w:styleId="1104" w:customStyle="1">
    <w:name w:val="List Table 1 Light - Accent 6"/>
    <w:uiPriority w:val="99"/>
    <w:qFormat/>
    <w:tblPr>
      <w:tblCellMar>
        <w:left w:w="0" w:type="dxa"/>
        <w:top w:w="0" w:type="dxa"/>
        <w:right w:w="0" w:type="dxa"/>
        <w:bottom w:w="0" w:type="dxa"/>
      </w:tblCellMar>
    </w:tblPr>
  </w:style>
  <w:style w:type="table" w:styleId="1105" w:customStyle="1">
    <w:name w:val="清单表 21"/>
    <w:uiPriority w:val="99"/>
    <w:qFormat/>
    <w:tblPr>
      <w:tblCellMar>
        <w:left w:w="0" w:type="dxa"/>
        <w:top w:w="0" w:type="dxa"/>
        <w:right w:w="0" w:type="dxa"/>
        <w:bottom w:w="0" w:type="dxa"/>
      </w:tblCellMar>
    </w:tblPr>
  </w:style>
  <w:style w:type="table" w:styleId="1106" w:customStyle="1">
    <w:name w:val="List Table 2 - Accent 1"/>
    <w:uiPriority w:val="99"/>
    <w:qFormat/>
    <w:tblPr>
      <w:tblCellMar>
        <w:left w:w="0" w:type="dxa"/>
        <w:top w:w="0" w:type="dxa"/>
        <w:right w:w="0" w:type="dxa"/>
        <w:bottom w:w="0" w:type="dxa"/>
      </w:tblCellMar>
    </w:tblPr>
  </w:style>
  <w:style w:type="table" w:styleId="1107" w:customStyle="1">
    <w:name w:val="List Table 2 - Accent 2"/>
    <w:uiPriority w:val="99"/>
    <w:qFormat/>
    <w:tblPr>
      <w:tblCellMar>
        <w:left w:w="0" w:type="dxa"/>
        <w:top w:w="0" w:type="dxa"/>
        <w:right w:w="0" w:type="dxa"/>
        <w:bottom w:w="0" w:type="dxa"/>
      </w:tblCellMar>
    </w:tblPr>
  </w:style>
  <w:style w:type="table" w:styleId="1108" w:customStyle="1">
    <w:name w:val="List Table 2 - Accent 3"/>
    <w:uiPriority w:val="99"/>
    <w:qFormat/>
    <w:tblPr>
      <w:tblCellMar>
        <w:left w:w="0" w:type="dxa"/>
        <w:top w:w="0" w:type="dxa"/>
        <w:right w:w="0" w:type="dxa"/>
        <w:bottom w:w="0" w:type="dxa"/>
      </w:tblCellMar>
    </w:tblPr>
  </w:style>
  <w:style w:type="table" w:styleId="1109" w:customStyle="1">
    <w:name w:val="List Table 2 - Accent 4"/>
    <w:uiPriority w:val="99"/>
    <w:qFormat/>
    <w:tblPr>
      <w:tblCellMar>
        <w:left w:w="0" w:type="dxa"/>
        <w:top w:w="0" w:type="dxa"/>
        <w:right w:w="0" w:type="dxa"/>
        <w:bottom w:w="0" w:type="dxa"/>
      </w:tblCellMar>
    </w:tblPr>
  </w:style>
  <w:style w:type="table" w:styleId="1110" w:customStyle="1">
    <w:name w:val="List Table 2 - Accent 5"/>
    <w:uiPriority w:val="99"/>
    <w:qFormat/>
    <w:tblPr>
      <w:tblCellMar>
        <w:left w:w="0" w:type="dxa"/>
        <w:top w:w="0" w:type="dxa"/>
        <w:right w:w="0" w:type="dxa"/>
        <w:bottom w:w="0" w:type="dxa"/>
      </w:tblCellMar>
    </w:tblPr>
  </w:style>
  <w:style w:type="table" w:styleId="1111" w:customStyle="1">
    <w:name w:val="List Table 2 - Accent 6"/>
    <w:uiPriority w:val="99"/>
    <w:qFormat/>
    <w:tblPr>
      <w:tblCellMar>
        <w:left w:w="0" w:type="dxa"/>
        <w:top w:w="0" w:type="dxa"/>
        <w:right w:w="0" w:type="dxa"/>
        <w:bottom w:w="0" w:type="dxa"/>
      </w:tblCellMar>
    </w:tblPr>
  </w:style>
  <w:style w:type="table" w:styleId="1112" w:customStyle="1">
    <w:name w:val="清单表 31"/>
    <w:uiPriority w:val="99"/>
    <w:qFormat/>
    <w:tblPr>
      <w:tblCellMar>
        <w:left w:w="0" w:type="dxa"/>
        <w:top w:w="0" w:type="dxa"/>
        <w:right w:w="0" w:type="dxa"/>
        <w:bottom w:w="0" w:type="dxa"/>
      </w:tblCellMar>
    </w:tblPr>
  </w:style>
  <w:style w:type="table" w:styleId="1113" w:customStyle="1">
    <w:name w:val="List Table 3 - Accent 1"/>
    <w:uiPriority w:val="99"/>
    <w:qFormat/>
    <w:tblPr>
      <w:tblCellMar>
        <w:left w:w="0" w:type="dxa"/>
        <w:top w:w="0" w:type="dxa"/>
        <w:right w:w="0" w:type="dxa"/>
        <w:bottom w:w="0" w:type="dxa"/>
      </w:tblCellMar>
    </w:tblPr>
  </w:style>
  <w:style w:type="table" w:styleId="1114" w:customStyle="1">
    <w:name w:val="List Table 3 - Accent 2"/>
    <w:uiPriority w:val="99"/>
    <w:qFormat/>
    <w:tblPr>
      <w:tblCellMar>
        <w:left w:w="0" w:type="dxa"/>
        <w:top w:w="0" w:type="dxa"/>
        <w:right w:w="0" w:type="dxa"/>
        <w:bottom w:w="0" w:type="dxa"/>
      </w:tblCellMar>
    </w:tblPr>
  </w:style>
  <w:style w:type="table" w:styleId="1115" w:customStyle="1">
    <w:name w:val="List Table 3 - Accent 3"/>
    <w:uiPriority w:val="99"/>
    <w:qFormat/>
    <w:tblPr>
      <w:tblCellMar>
        <w:left w:w="0" w:type="dxa"/>
        <w:top w:w="0" w:type="dxa"/>
        <w:right w:w="0" w:type="dxa"/>
        <w:bottom w:w="0" w:type="dxa"/>
      </w:tblCellMar>
    </w:tblPr>
  </w:style>
  <w:style w:type="table" w:styleId="1116" w:customStyle="1">
    <w:name w:val="List Table 3 - Accent 4"/>
    <w:uiPriority w:val="99"/>
    <w:qFormat/>
    <w:tblPr>
      <w:tblCellMar>
        <w:left w:w="0" w:type="dxa"/>
        <w:top w:w="0" w:type="dxa"/>
        <w:right w:w="0" w:type="dxa"/>
        <w:bottom w:w="0" w:type="dxa"/>
      </w:tblCellMar>
    </w:tblPr>
  </w:style>
  <w:style w:type="table" w:styleId="1117" w:customStyle="1">
    <w:name w:val="List Table 3 - Accent 5"/>
    <w:uiPriority w:val="99"/>
    <w:qFormat/>
    <w:tblPr>
      <w:tblCellMar>
        <w:left w:w="0" w:type="dxa"/>
        <w:top w:w="0" w:type="dxa"/>
        <w:right w:w="0" w:type="dxa"/>
        <w:bottom w:w="0" w:type="dxa"/>
      </w:tblCellMar>
    </w:tblPr>
  </w:style>
  <w:style w:type="table" w:styleId="1118" w:customStyle="1">
    <w:name w:val="List Table 3 - Accent 6"/>
    <w:uiPriority w:val="99"/>
    <w:qFormat/>
    <w:tblPr>
      <w:tblCellMar>
        <w:left w:w="0" w:type="dxa"/>
        <w:top w:w="0" w:type="dxa"/>
        <w:right w:w="0" w:type="dxa"/>
        <w:bottom w:w="0" w:type="dxa"/>
      </w:tblCellMar>
    </w:tblPr>
  </w:style>
  <w:style w:type="table" w:styleId="1119" w:customStyle="1">
    <w:name w:val="清单表 41"/>
    <w:uiPriority w:val="99"/>
    <w:qFormat/>
    <w:tblPr>
      <w:tblCellMar>
        <w:left w:w="0" w:type="dxa"/>
        <w:top w:w="0" w:type="dxa"/>
        <w:right w:w="0" w:type="dxa"/>
        <w:bottom w:w="0" w:type="dxa"/>
      </w:tblCellMar>
    </w:tblPr>
  </w:style>
  <w:style w:type="table" w:styleId="1120" w:customStyle="1">
    <w:name w:val="List Table 4 - Accent 1"/>
    <w:uiPriority w:val="99"/>
    <w:qFormat/>
    <w:tblPr>
      <w:tblCellMar>
        <w:left w:w="0" w:type="dxa"/>
        <w:top w:w="0" w:type="dxa"/>
        <w:right w:w="0" w:type="dxa"/>
        <w:bottom w:w="0" w:type="dxa"/>
      </w:tblCellMar>
    </w:tblPr>
  </w:style>
  <w:style w:type="table" w:styleId="1121" w:customStyle="1">
    <w:name w:val="List Table 4 - Accent 2"/>
    <w:uiPriority w:val="99"/>
    <w:qFormat/>
    <w:tblPr>
      <w:tblCellMar>
        <w:left w:w="0" w:type="dxa"/>
        <w:top w:w="0" w:type="dxa"/>
        <w:right w:w="0" w:type="dxa"/>
        <w:bottom w:w="0" w:type="dxa"/>
      </w:tblCellMar>
    </w:tblPr>
  </w:style>
  <w:style w:type="table" w:styleId="1122" w:customStyle="1">
    <w:name w:val="List Table 4 - Accent 3"/>
    <w:uiPriority w:val="99"/>
    <w:qFormat/>
    <w:tblPr>
      <w:tblCellMar>
        <w:left w:w="0" w:type="dxa"/>
        <w:top w:w="0" w:type="dxa"/>
        <w:right w:w="0" w:type="dxa"/>
        <w:bottom w:w="0" w:type="dxa"/>
      </w:tblCellMar>
    </w:tblPr>
  </w:style>
  <w:style w:type="table" w:styleId="1123" w:customStyle="1">
    <w:name w:val="List Table 4 - Accent 4"/>
    <w:uiPriority w:val="99"/>
    <w:qFormat/>
    <w:tblPr>
      <w:tblCellMar>
        <w:left w:w="0" w:type="dxa"/>
        <w:top w:w="0" w:type="dxa"/>
        <w:right w:w="0" w:type="dxa"/>
        <w:bottom w:w="0" w:type="dxa"/>
      </w:tblCellMar>
    </w:tblPr>
  </w:style>
  <w:style w:type="table" w:styleId="1124" w:customStyle="1">
    <w:name w:val="List Table 4 - Accent 5"/>
    <w:uiPriority w:val="99"/>
    <w:qFormat/>
    <w:tblPr>
      <w:tblCellMar>
        <w:left w:w="0" w:type="dxa"/>
        <w:top w:w="0" w:type="dxa"/>
        <w:right w:w="0" w:type="dxa"/>
        <w:bottom w:w="0" w:type="dxa"/>
      </w:tblCellMar>
    </w:tblPr>
  </w:style>
  <w:style w:type="table" w:styleId="1125" w:customStyle="1">
    <w:name w:val="List Table 4 - Accent 6"/>
    <w:uiPriority w:val="99"/>
    <w:qFormat/>
    <w:tblPr>
      <w:tblCellMar>
        <w:left w:w="0" w:type="dxa"/>
        <w:top w:w="0" w:type="dxa"/>
        <w:right w:w="0" w:type="dxa"/>
        <w:bottom w:w="0" w:type="dxa"/>
      </w:tblCellMar>
    </w:tblPr>
  </w:style>
  <w:style w:type="table" w:styleId="1126" w:customStyle="1">
    <w:name w:val="清单表 5 深色1"/>
    <w:uiPriority w:val="99"/>
    <w:qFormat/>
    <w:tblPr>
      <w:tblCellMar>
        <w:left w:w="0" w:type="dxa"/>
        <w:top w:w="0" w:type="dxa"/>
        <w:right w:w="0" w:type="dxa"/>
        <w:bottom w:w="0" w:type="dxa"/>
      </w:tblCellMar>
    </w:tblPr>
  </w:style>
  <w:style w:type="table" w:styleId="1127" w:customStyle="1">
    <w:name w:val="List Table 5 Dark - Accent 1"/>
    <w:uiPriority w:val="99"/>
    <w:qFormat/>
    <w:tblPr>
      <w:tblCellMar>
        <w:left w:w="0" w:type="dxa"/>
        <w:top w:w="0" w:type="dxa"/>
        <w:right w:w="0" w:type="dxa"/>
        <w:bottom w:w="0" w:type="dxa"/>
      </w:tblCellMar>
    </w:tblPr>
  </w:style>
  <w:style w:type="table" w:styleId="1128" w:customStyle="1">
    <w:name w:val="List Table 5 Dark - Accent 2"/>
    <w:uiPriority w:val="99"/>
    <w:qFormat/>
    <w:tblPr>
      <w:tblCellMar>
        <w:left w:w="0" w:type="dxa"/>
        <w:top w:w="0" w:type="dxa"/>
        <w:right w:w="0" w:type="dxa"/>
        <w:bottom w:w="0" w:type="dxa"/>
      </w:tblCellMar>
    </w:tblPr>
  </w:style>
  <w:style w:type="table" w:styleId="1129" w:customStyle="1">
    <w:name w:val="List Table 5 Dark - Accent 3"/>
    <w:uiPriority w:val="99"/>
    <w:qFormat/>
    <w:tblPr>
      <w:tblCellMar>
        <w:left w:w="0" w:type="dxa"/>
        <w:top w:w="0" w:type="dxa"/>
        <w:right w:w="0" w:type="dxa"/>
        <w:bottom w:w="0" w:type="dxa"/>
      </w:tblCellMar>
    </w:tblPr>
  </w:style>
  <w:style w:type="table" w:styleId="1130" w:customStyle="1">
    <w:name w:val="List Table 5 Dark - Accent 4"/>
    <w:uiPriority w:val="99"/>
    <w:qFormat/>
    <w:tblPr>
      <w:tblCellMar>
        <w:left w:w="0" w:type="dxa"/>
        <w:top w:w="0" w:type="dxa"/>
        <w:right w:w="0" w:type="dxa"/>
        <w:bottom w:w="0" w:type="dxa"/>
      </w:tblCellMar>
    </w:tblPr>
  </w:style>
  <w:style w:type="table" w:styleId="1131" w:customStyle="1">
    <w:name w:val="List Table 5 Dark - Accent 5"/>
    <w:uiPriority w:val="99"/>
    <w:qFormat/>
    <w:tblPr>
      <w:tblCellMar>
        <w:left w:w="0" w:type="dxa"/>
        <w:top w:w="0" w:type="dxa"/>
        <w:right w:w="0" w:type="dxa"/>
        <w:bottom w:w="0" w:type="dxa"/>
      </w:tblCellMar>
    </w:tblPr>
  </w:style>
  <w:style w:type="table" w:styleId="1132" w:customStyle="1">
    <w:name w:val="List Table 5 Dark - Accent 6"/>
    <w:uiPriority w:val="99"/>
    <w:qFormat/>
    <w:tblPr>
      <w:tblCellMar>
        <w:left w:w="0" w:type="dxa"/>
        <w:top w:w="0" w:type="dxa"/>
        <w:right w:w="0" w:type="dxa"/>
        <w:bottom w:w="0" w:type="dxa"/>
      </w:tblCellMar>
    </w:tblPr>
  </w:style>
  <w:style w:type="table" w:styleId="1133" w:customStyle="1">
    <w:name w:val="清单表 6 彩色1"/>
    <w:uiPriority w:val="99"/>
    <w:qFormat/>
    <w:tblPr>
      <w:tblCellMar>
        <w:left w:w="0" w:type="dxa"/>
        <w:top w:w="0" w:type="dxa"/>
        <w:right w:w="0" w:type="dxa"/>
        <w:bottom w:w="0" w:type="dxa"/>
      </w:tblCellMar>
    </w:tblPr>
  </w:style>
  <w:style w:type="table" w:styleId="1134" w:customStyle="1">
    <w:name w:val="List Table 6 Colorful - Accent 1"/>
    <w:uiPriority w:val="99"/>
    <w:qFormat/>
    <w:tblPr>
      <w:tblCellMar>
        <w:left w:w="0" w:type="dxa"/>
        <w:top w:w="0" w:type="dxa"/>
        <w:right w:w="0" w:type="dxa"/>
        <w:bottom w:w="0" w:type="dxa"/>
      </w:tblCellMar>
    </w:tblPr>
  </w:style>
  <w:style w:type="table" w:styleId="1135" w:customStyle="1">
    <w:name w:val="List Table 6 Colorful - Accent 2"/>
    <w:uiPriority w:val="99"/>
    <w:qFormat/>
    <w:tblPr>
      <w:tblCellMar>
        <w:left w:w="0" w:type="dxa"/>
        <w:top w:w="0" w:type="dxa"/>
        <w:right w:w="0" w:type="dxa"/>
        <w:bottom w:w="0" w:type="dxa"/>
      </w:tblCellMar>
    </w:tblPr>
  </w:style>
  <w:style w:type="table" w:styleId="1136" w:customStyle="1">
    <w:name w:val="List Table 6 Colorful - Accent 3"/>
    <w:uiPriority w:val="99"/>
    <w:qFormat/>
    <w:tblPr>
      <w:tblCellMar>
        <w:left w:w="0" w:type="dxa"/>
        <w:top w:w="0" w:type="dxa"/>
        <w:right w:w="0" w:type="dxa"/>
        <w:bottom w:w="0" w:type="dxa"/>
      </w:tblCellMar>
    </w:tblPr>
  </w:style>
  <w:style w:type="table" w:styleId="1137" w:customStyle="1">
    <w:name w:val="List Table 6 Colorful - Accent 4"/>
    <w:uiPriority w:val="99"/>
    <w:qFormat/>
    <w:tblPr>
      <w:tblCellMar>
        <w:left w:w="0" w:type="dxa"/>
        <w:top w:w="0" w:type="dxa"/>
        <w:right w:w="0" w:type="dxa"/>
        <w:bottom w:w="0" w:type="dxa"/>
      </w:tblCellMar>
    </w:tblPr>
  </w:style>
  <w:style w:type="table" w:styleId="1138" w:customStyle="1">
    <w:name w:val="List Table 6 Colorful - Accent 5"/>
    <w:uiPriority w:val="99"/>
    <w:qFormat/>
    <w:tblPr>
      <w:tblCellMar>
        <w:left w:w="0" w:type="dxa"/>
        <w:top w:w="0" w:type="dxa"/>
        <w:right w:w="0" w:type="dxa"/>
        <w:bottom w:w="0" w:type="dxa"/>
      </w:tblCellMar>
    </w:tblPr>
  </w:style>
  <w:style w:type="table" w:styleId="1139" w:customStyle="1">
    <w:name w:val="List Table 6 Colorful - Accent 6"/>
    <w:uiPriority w:val="99"/>
    <w:qFormat/>
    <w:tblPr>
      <w:tblCellMar>
        <w:left w:w="0" w:type="dxa"/>
        <w:top w:w="0" w:type="dxa"/>
        <w:right w:w="0" w:type="dxa"/>
        <w:bottom w:w="0" w:type="dxa"/>
      </w:tblCellMar>
    </w:tblPr>
  </w:style>
  <w:style w:type="table" w:styleId="1140" w:customStyle="1">
    <w:name w:val="清单表 7 彩色1"/>
    <w:uiPriority w:val="99"/>
    <w:qFormat/>
    <w:tblPr>
      <w:tblCellMar>
        <w:left w:w="0" w:type="dxa"/>
        <w:top w:w="0" w:type="dxa"/>
        <w:right w:w="0" w:type="dxa"/>
        <w:bottom w:w="0" w:type="dxa"/>
      </w:tblCellMar>
    </w:tblPr>
  </w:style>
  <w:style w:type="table" w:styleId="1141" w:customStyle="1">
    <w:name w:val="List Table 7 Colorful - Accent 1"/>
    <w:uiPriority w:val="99"/>
    <w:qFormat/>
    <w:tblPr>
      <w:tblCellMar>
        <w:left w:w="0" w:type="dxa"/>
        <w:top w:w="0" w:type="dxa"/>
        <w:right w:w="0" w:type="dxa"/>
        <w:bottom w:w="0" w:type="dxa"/>
      </w:tblCellMar>
    </w:tblPr>
  </w:style>
  <w:style w:type="table" w:styleId="1142" w:customStyle="1">
    <w:name w:val="List Table 7 Colorful - Accent 2"/>
    <w:uiPriority w:val="99"/>
    <w:qFormat/>
    <w:tblPr>
      <w:tblCellMar>
        <w:left w:w="0" w:type="dxa"/>
        <w:top w:w="0" w:type="dxa"/>
        <w:right w:w="0" w:type="dxa"/>
        <w:bottom w:w="0" w:type="dxa"/>
      </w:tblCellMar>
    </w:tblPr>
  </w:style>
  <w:style w:type="table" w:styleId="1143" w:customStyle="1">
    <w:name w:val="List Table 7 Colorful - Accent 3"/>
    <w:uiPriority w:val="99"/>
    <w:qFormat/>
    <w:tblPr>
      <w:tblCellMar>
        <w:left w:w="0" w:type="dxa"/>
        <w:top w:w="0" w:type="dxa"/>
        <w:right w:w="0" w:type="dxa"/>
        <w:bottom w:w="0" w:type="dxa"/>
      </w:tblCellMar>
    </w:tblPr>
  </w:style>
  <w:style w:type="table" w:styleId="1144" w:customStyle="1">
    <w:name w:val="List Table 7 Colorful - Accent 4"/>
    <w:uiPriority w:val="99"/>
    <w:qFormat/>
    <w:tblPr>
      <w:tblCellMar>
        <w:left w:w="0" w:type="dxa"/>
        <w:top w:w="0" w:type="dxa"/>
        <w:right w:w="0" w:type="dxa"/>
        <w:bottom w:w="0" w:type="dxa"/>
      </w:tblCellMar>
    </w:tblPr>
  </w:style>
  <w:style w:type="table" w:styleId="1145" w:customStyle="1">
    <w:name w:val="List Table 7 Colorful - Accent 5"/>
    <w:uiPriority w:val="99"/>
    <w:qFormat/>
    <w:tblPr>
      <w:tblCellMar>
        <w:left w:w="0" w:type="dxa"/>
        <w:top w:w="0" w:type="dxa"/>
        <w:right w:w="0" w:type="dxa"/>
        <w:bottom w:w="0" w:type="dxa"/>
      </w:tblCellMar>
    </w:tblPr>
  </w:style>
  <w:style w:type="table" w:styleId="1146" w:customStyle="1">
    <w:name w:val="List Table 7 Colorful - Accent 6"/>
    <w:uiPriority w:val="99"/>
    <w:qFormat/>
    <w:tblPr>
      <w:tblCellMar>
        <w:left w:w="0" w:type="dxa"/>
        <w:top w:w="0" w:type="dxa"/>
        <w:right w:w="0" w:type="dxa"/>
        <w:bottom w:w="0" w:type="dxa"/>
      </w:tblCellMar>
    </w:tblPr>
  </w:style>
  <w:style w:type="table" w:styleId="1147" w:customStyle="1">
    <w:name w:val="Lined - Accent"/>
    <w:uiPriority w:val="99"/>
    <w:qFormat/>
    <w:rPr>
      <w:color w:val="404040"/>
    </w:rPr>
    <w:tblPr>
      <w:tblCellMar>
        <w:left w:w="0" w:type="dxa"/>
        <w:top w:w="0" w:type="dxa"/>
        <w:right w:w="0" w:type="dxa"/>
        <w:bottom w:w="0" w:type="dxa"/>
      </w:tblCellMar>
    </w:tblPr>
  </w:style>
  <w:style w:type="table" w:styleId="1148" w:customStyle="1">
    <w:name w:val="Lined - Accent 1"/>
    <w:uiPriority w:val="99"/>
    <w:qFormat/>
    <w:rPr>
      <w:color w:val="404040"/>
    </w:rPr>
    <w:tblPr>
      <w:tblCellMar>
        <w:left w:w="0" w:type="dxa"/>
        <w:top w:w="0" w:type="dxa"/>
        <w:right w:w="0" w:type="dxa"/>
        <w:bottom w:w="0" w:type="dxa"/>
      </w:tblCellMar>
    </w:tblPr>
  </w:style>
  <w:style w:type="table" w:styleId="1149" w:customStyle="1">
    <w:name w:val="Lined - Accent 2"/>
    <w:uiPriority w:val="99"/>
    <w:qFormat/>
    <w:rPr>
      <w:color w:val="404040"/>
    </w:rPr>
    <w:tblPr>
      <w:tblCellMar>
        <w:left w:w="0" w:type="dxa"/>
        <w:top w:w="0" w:type="dxa"/>
        <w:right w:w="0" w:type="dxa"/>
        <w:bottom w:w="0" w:type="dxa"/>
      </w:tblCellMar>
    </w:tblPr>
  </w:style>
  <w:style w:type="table" w:styleId="1150" w:customStyle="1">
    <w:name w:val="Lined - Accent 3"/>
    <w:uiPriority w:val="99"/>
    <w:qFormat/>
    <w:rPr>
      <w:color w:val="404040"/>
    </w:rPr>
    <w:tblPr>
      <w:tblCellMar>
        <w:left w:w="0" w:type="dxa"/>
        <w:top w:w="0" w:type="dxa"/>
        <w:right w:w="0" w:type="dxa"/>
        <w:bottom w:w="0" w:type="dxa"/>
      </w:tblCellMar>
    </w:tblPr>
  </w:style>
  <w:style w:type="table" w:styleId="1151" w:customStyle="1">
    <w:name w:val="Lined - Accent 4"/>
    <w:uiPriority w:val="99"/>
    <w:qFormat/>
    <w:rPr>
      <w:color w:val="404040"/>
    </w:rPr>
    <w:tblPr>
      <w:tblCellMar>
        <w:left w:w="0" w:type="dxa"/>
        <w:top w:w="0" w:type="dxa"/>
        <w:right w:w="0" w:type="dxa"/>
        <w:bottom w:w="0" w:type="dxa"/>
      </w:tblCellMar>
    </w:tblPr>
  </w:style>
  <w:style w:type="table" w:styleId="1152" w:customStyle="1">
    <w:name w:val="Lined - Accent 5"/>
    <w:uiPriority w:val="99"/>
    <w:qFormat/>
    <w:rPr>
      <w:color w:val="404040"/>
    </w:rPr>
    <w:tblPr>
      <w:tblCellMar>
        <w:left w:w="0" w:type="dxa"/>
        <w:top w:w="0" w:type="dxa"/>
        <w:right w:w="0" w:type="dxa"/>
        <w:bottom w:w="0" w:type="dxa"/>
      </w:tblCellMar>
    </w:tblPr>
  </w:style>
  <w:style w:type="table" w:styleId="1153" w:customStyle="1">
    <w:name w:val="Lined - Accent 6"/>
    <w:uiPriority w:val="99"/>
    <w:qFormat/>
    <w:rPr>
      <w:color w:val="404040"/>
    </w:rPr>
    <w:tblPr>
      <w:tblCellMar>
        <w:left w:w="0" w:type="dxa"/>
        <w:top w:w="0" w:type="dxa"/>
        <w:right w:w="0" w:type="dxa"/>
        <w:bottom w:w="0" w:type="dxa"/>
      </w:tblCellMar>
    </w:tblPr>
  </w:style>
  <w:style w:type="table" w:styleId="1154" w:customStyle="1">
    <w:name w:val="Bordered &amp; Lined - Accent"/>
    <w:uiPriority w:val="99"/>
    <w:qFormat/>
    <w:rPr>
      <w:color w:val="404040"/>
    </w:rPr>
    <w:tblPr>
      <w:tblCellMar>
        <w:left w:w="0" w:type="dxa"/>
        <w:top w:w="0" w:type="dxa"/>
        <w:right w:w="0" w:type="dxa"/>
        <w:bottom w:w="0" w:type="dxa"/>
      </w:tblCellMar>
    </w:tblPr>
  </w:style>
  <w:style w:type="table" w:styleId="1155" w:customStyle="1">
    <w:name w:val="Bordered &amp; Lined - Accent 1"/>
    <w:uiPriority w:val="99"/>
    <w:qFormat/>
    <w:rPr>
      <w:color w:val="404040"/>
    </w:rPr>
    <w:tblPr>
      <w:tblCellMar>
        <w:left w:w="0" w:type="dxa"/>
        <w:top w:w="0" w:type="dxa"/>
        <w:right w:w="0" w:type="dxa"/>
        <w:bottom w:w="0" w:type="dxa"/>
      </w:tblCellMar>
    </w:tblPr>
  </w:style>
  <w:style w:type="table" w:styleId="1156" w:customStyle="1">
    <w:name w:val="Bordered &amp; Lined - Accent 2"/>
    <w:uiPriority w:val="99"/>
    <w:qFormat/>
    <w:rPr>
      <w:color w:val="404040"/>
    </w:rPr>
    <w:tblPr>
      <w:tblCellMar>
        <w:left w:w="0" w:type="dxa"/>
        <w:top w:w="0" w:type="dxa"/>
        <w:right w:w="0" w:type="dxa"/>
        <w:bottom w:w="0" w:type="dxa"/>
      </w:tblCellMar>
    </w:tblPr>
  </w:style>
  <w:style w:type="table" w:styleId="1157" w:customStyle="1">
    <w:name w:val="Bordered &amp; Lined - Accent 3"/>
    <w:uiPriority w:val="99"/>
    <w:qFormat/>
    <w:rPr>
      <w:color w:val="404040"/>
    </w:rPr>
    <w:tblPr>
      <w:tblCellMar>
        <w:left w:w="0" w:type="dxa"/>
        <w:top w:w="0" w:type="dxa"/>
        <w:right w:w="0" w:type="dxa"/>
        <w:bottom w:w="0" w:type="dxa"/>
      </w:tblCellMar>
    </w:tblPr>
  </w:style>
  <w:style w:type="table" w:styleId="1158" w:customStyle="1">
    <w:name w:val="Bordered &amp; Lined - Accent 4"/>
    <w:uiPriority w:val="99"/>
    <w:qFormat/>
    <w:rPr>
      <w:color w:val="404040"/>
    </w:rPr>
    <w:tblPr>
      <w:tblCellMar>
        <w:left w:w="0" w:type="dxa"/>
        <w:top w:w="0" w:type="dxa"/>
        <w:right w:w="0" w:type="dxa"/>
        <w:bottom w:w="0" w:type="dxa"/>
      </w:tblCellMar>
    </w:tblPr>
  </w:style>
  <w:style w:type="table" w:styleId="1159" w:customStyle="1">
    <w:name w:val="Bordered &amp; Lined - Accent 5"/>
    <w:uiPriority w:val="99"/>
    <w:qFormat/>
    <w:rPr>
      <w:color w:val="404040"/>
    </w:rPr>
    <w:tblPr>
      <w:tblCellMar>
        <w:left w:w="0" w:type="dxa"/>
        <w:top w:w="0" w:type="dxa"/>
        <w:right w:w="0" w:type="dxa"/>
        <w:bottom w:w="0" w:type="dxa"/>
      </w:tblCellMar>
    </w:tblPr>
  </w:style>
  <w:style w:type="table" w:styleId="1160" w:customStyle="1">
    <w:name w:val="Bordered &amp; Lined - Accent 6"/>
    <w:uiPriority w:val="99"/>
    <w:qFormat/>
    <w:rPr>
      <w:color w:val="404040"/>
    </w:rPr>
    <w:tblPr>
      <w:tblCellMar>
        <w:left w:w="0" w:type="dxa"/>
        <w:top w:w="0" w:type="dxa"/>
        <w:right w:w="0" w:type="dxa"/>
        <w:bottom w:w="0" w:type="dxa"/>
      </w:tblCellMar>
    </w:tblPr>
  </w:style>
  <w:style w:type="table" w:styleId="1161" w:customStyle="1">
    <w:name w:val="Bordered"/>
    <w:uiPriority w:val="99"/>
    <w:qFormat/>
    <w:tblPr>
      <w:tblCellMar>
        <w:left w:w="0" w:type="dxa"/>
        <w:top w:w="0" w:type="dxa"/>
        <w:right w:w="0" w:type="dxa"/>
        <w:bottom w:w="0" w:type="dxa"/>
      </w:tblCellMar>
    </w:tblPr>
  </w:style>
  <w:style w:type="table" w:styleId="1162" w:customStyle="1">
    <w:name w:val="Bordered - Accent 1"/>
    <w:uiPriority w:val="99"/>
    <w:qFormat/>
    <w:tblPr>
      <w:tblCellMar>
        <w:left w:w="0" w:type="dxa"/>
        <w:top w:w="0" w:type="dxa"/>
        <w:right w:w="0" w:type="dxa"/>
        <w:bottom w:w="0" w:type="dxa"/>
      </w:tblCellMar>
    </w:tblPr>
  </w:style>
  <w:style w:type="table" w:styleId="1163" w:customStyle="1">
    <w:name w:val="Bordered - Accent 2"/>
    <w:uiPriority w:val="99"/>
    <w:qFormat/>
    <w:tblPr>
      <w:tblCellMar>
        <w:left w:w="0" w:type="dxa"/>
        <w:top w:w="0" w:type="dxa"/>
        <w:right w:w="0" w:type="dxa"/>
        <w:bottom w:w="0" w:type="dxa"/>
      </w:tblCellMar>
    </w:tblPr>
  </w:style>
  <w:style w:type="table" w:styleId="1164" w:customStyle="1">
    <w:name w:val="Bordered - Accent 3"/>
    <w:uiPriority w:val="99"/>
    <w:qFormat/>
    <w:tblPr>
      <w:tblCellMar>
        <w:left w:w="0" w:type="dxa"/>
        <w:top w:w="0" w:type="dxa"/>
        <w:right w:w="0" w:type="dxa"/>
        <w:bottom w:w="0" w:type="dxa"/>
      </w:tblCellMar>
    </w:tblPr>
  </w:style>
  <w:style w:type="table" w:styleId="1165" w:customStyle="1">
    <w:name w:val="Bordered - Accent 4"/>
    <w:uiPriority w:val="99"/>
    <w:qFormat/>
    <w:tblPr>
      <w:tblCellMar>
        <w:left w:w="0" w:type="dxa"/>
        <w:top w:w="0" w:type="dxa"/>
        <w:right w:w="0" w:type="dxa"/>
        <w:bottom w:w="0" w:type="dxa"/>
      </w:tblCellMar>
    </w:tblPr>
  </w:style>
  <w:style w:type="table" w:styleId="1166" w:customStyle="1">
    <w:name w:val="Bordered - Accent 5"/>
    <w:uiPriority w:val="99"/>
    <w:qFormat/>
    <w:tblPr>
      <w:tblCellMar>
        <w:left w:w="0" w:type="dxa"/>
        <w:top w:w="0" w:type="dxa"/>
        <w:right w:w="0" w:type="dxa"/>
        <w:bottom w:w="0" w:type="dxa"/>
      </w:tblCellMar>
    </w:tblPr>
  </w:style>
  <w:style w:type="table" w:styleId="1167" w:customStyle="1">
    <w:name w:val="Bordered - Accent 6"/>
    <w:uiPriority w:val="99"/>
    <w:qFormat/>
    <w:tblPr>
      <w:tblCellMar>
        <w:left w:w="0" w:type="dxa"/>
        <w:top w:w="0" w:type="dxa"/>
        <w:right w:w="0" w:type="dxa"/>
        <w:bottom w:w="0" w:type="dxa"/>
      </w:tblCellMar>
    </w:tblPr>
  </w:style>
  <w:style w:type="paragraph" w:styleId="1168"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character" w:styleId="1169" w:customStyle="1">
    <w:name w:val="正文文本缩进 3 Char"/>
    <w:uiPriority w:val="0"/>
    <w:qFormat/>
    <w:rPr>
      <w:rFonts w:ascii="宋体"/>
      <w:sz w:val="24"/>
    </w:rPr>
  </w:style>
  <w:style w:type="character" w:styleId="1170" w:customStyle="1">
    <w:name w:val="页眉 Char1"/>
    <w:uiPriority w:val="0"/>
    <w:qFormat/>
    <w:rPr>
      <w:rFonts w:eastAsia="宋体"/>
      <w:sz w:val="18"/>
      <w:szCs w:val="18"/>
      <w:lang w:val="en-US" w:eastAsia="zh-CN" w:bidi="ar-SA"/>
    </w:rPr>
  </w:style>
  <w:style w:type="character" w:styleId="1171" w:customStyle="1">
    <w:name w:val="正文文本缩进 2 Char"/>
    <w:uiPriority w:val="0"/>
    <w:qFormat/>
    <w:rPr>
      <w:rFonts w:ascii="仿宋_GB2312" w:eastAsia="仿宋_GB2312"/>
      <w:sz w:val="24"/>
      <w:szCs w:val="24"/>
    </w:rPr>
  </w:style>
  <w:style w:type="character" w:styleId="1172" w:customStyle="1">
    <w:name w:val="正文文本 Char"/>
    <w:uiPriority w:val="0"/>
    <w:qFormat/>
    <w:rPr>
      <w:rFonts w:ascii="宋体" w:hAnsi="宋体"/>
      <w:sz w:val="24"/>
      <w:szCs w:val="24"/>
    </w:rPr>
  </w:style>
  <w:style w:type="character" w:styleId="1173" w:customStyle="1">
    <w:name w:val="正文文本 3 Char"/>
    <w:uiPriority w:val="0"/>
    <w:qFormat/>
    <w:rPr>
      <w:sz w:val="16"/>
      <w:szCs w:val="16"/>
    </w:rPr>
  </w:style>
  <w:style w:type="character" w:styleId="1174" w:customStyle="1">
    <w:name w:val="批注文字 Char1"/>
    <w:uiPriority w:val="99"/>
    <w:qFormat/>
    <w:rPr>
      <w:sz w:val="21"/>
      <w:szCs w:val="24"/>
    </w:rPr>
  </w:style>
  <w:style w:type="character" w:styleId="1175" w:customStyle="1">
    <w:name w:val="标题 7 Char"/>
    <w:uiPriority w:val="0"/>
    <w:qFormat/>
    <w:rPr>
      <w:b/>
      <w:sz w:val="24"/>
    </w:rPr>
  </w:style>
  <w:style w:type="character" w:styleId="1176" w:customStyle="1">
    <w:name w:val="标题 3 Char1"/>
    <w:uiPriority w:val="0"/>
    <w:qFormat/>
    <w:rPr>
      <w:rFonts w:ascii="宋体" w:eastAsia="宋体"/>
      <w:b/>
      <w:sz w:val="24"/>
      <w:u w:val="single"/>
      <w:lang w:val="en-US" w:eastAsia="zh-CN" w:bidi="ar-SA"/>
    </w:rPr>
  </w:style>
  <w:style w:type="character" w:styleId="1177" w:customStyle="1">
    <w:name w:val="标题 2 Char1"/>
    <w:uiPriority w:val="0"/>
    <w:qFormat/>
    <w:rPr>
      <w:rFonts w:ascii="Arial" w:hAnsi="Arial" w:eastAsia="黑体"/>
      <w:b/>
      <w:sz w:val="30"/>
      <w:lang w:val="en-US" w:eastAsia="zh-CN" w:bidi="ar-SA"/>
    </w:rPr>
  </w:style>
  <w:style w:type="character" w:styleId="1178" w:customStyle="1">
    <w:name w:val="未处理的提及1"/>
    <w:uiPriority w:val="99"/>
    <w:unhideWhenUsed/>
    <w:qFormat/>
    <w:rPr>
      <w:color w:val="605e5c"/>
      <w:shd w:val="clear" w:color="auto" w:fill="e1dfdd"/>
    </w:rPr>
  </w:style>
  <w:style w:type="character" w:styleId="1179" w:customStyle="1">
    <w:name w:val="正文缩进 Char1"/>
    <w:uiPriority w:val="0"/>
    <w:qFormat/>
    <w:rPr>
      <w:rFonts w:ascii="宋体" w:eastAsia="宋体"/>
      <w:sz w:val="24"/>
      <w:szCs w:val="24"/>
      <w:lang w:val="en-US" w:eastAsia="zh-CN" w:bidi="ar-SA"/>
    </w:rPr>
  </w:style>
  <w:style w:type="character" w:styleId="1180" w:customStyle="1">
    <w:name w:val="标题 5 Char"/>
    <w:uiPriority w:val="0"/>
    <w:qFormat/>
    <w:rPr>
      <w:b/>
      <w:sz w:val="28"/>
    </w:rPr>
  </w:style>
  <w:style w:type="character" w:styleId="1181" w:customStyle="1">
    <w:name w:val="纯文本 Char"/>
    <w:uiPriority w:val="0"/>
    <w:qFormat/>
    <w:rPr>
      <w:rFonts w:hint="eastAsia" w:ascii="宋体" w:hAnsi="Courier New" w:eastAsia="宋体" w:cs="宋体"/>
      <w:sz w:val="21"/>
    </w:rPr>
  </w:style>
  <w:style w:type="character" w:styleId="1182" w:customStyle="1">
    <w:name w:val="文档结构图 Char"/>
    <w:uiPriority w:val="0"/>
    <w:qFormat/>
    <w:rPr>
      <w:sz w:val="21"/>
      <w:szCs w:val="24"/>
      <w:shd w:val="clear" w:color="auto" w:fill="000080"/>
    </w:rPr>
  </w:style>
  <w:style w:type="character" w:styleId="1183" w:customStyle="1">
    <w:name w:val="正文首行缩进 2 Char"/>
    <w:uiPriority w:val="0"/>
    <w:qFormat/>
    <w:rPr>
      <w:rFonts w:eastAsia="宋体"/>
      <w:sz w:val="24"/>
      <w:szCs w:val="24"/>
      <w:lang w:val="en-US" w:eastAsia="zh-CN" w:bidi="ar-SA"/>
    </w:rPr>
  </w:style>
  <w:style w:type="character" w:styleId="1184" w:customStyle="1">
    <w:name w:val="标题 8 Char"/>
    <w:uiPriority w:val="0"/>
    <w:qFormat/>
    <w:rPr>
      <w:rFonts w:ascii="Arial" w:hAnsi="Arial" w:eastAsia="黑体"/>
      <w:sz w:val="24"/>
    </w:rPr>
  </w:style>
  <w:style w:type="character" w:styleId="1185" w:customStyle="1">
    <w:name w:val="标题 Char1"/>
    <w:uiPriority w:val="0"/>
    <w:qFormat/>
    <w:rPr>
      <w:b/>
      <w:sz w:val="32"/>
    </w:rPr>
  </w:style>
  <w:style w:type="character" w:styleId="1186" w:customStyle="1">
    <w:name w:val="批注框文本 Char"/>
    <w:uiPriority w:val="0"/>
    <w:qFormat/>
    <w:rPr>
      <w:sz w:val="18"/>
      <w:szCs w:val="18"/>
    </w:rPr>
  </w:style>
  <w:style w:type="character" w:styleId="1187" w:customStyle="1">
    <w:name w:val="HTML 预设格式 Char"/>
    <w:uiPriority w:val="0"/>
    <w:qFormat/>
    <w:rPr>
      <w:rFonts w:ascii="宋体" w:hAnsi="宋体" w:cs="宋体"/>
      <w:sz w:val="24"/>
      <w:szCs w:val="24"/>
    </w:rPr>
  </w:style>
  <w:style w:type="character" w:styleId="1188" w:customStyle="1">
    <w:name w:val="页脚 Char1"/>
    <w:uiPriority w:val="99"/>
    <w:qFormat/>
    <w:rPr>
      <w:rFonts w:ascii="宋体" w:eastAsia="宋体"/>
      <w:sz w:val="18"/>
      <w:lang w:val="en-US" w:eastAsia="zh-CN" w:bidi="ar-SA"/>
    </w:rPr>
  </w:style>
  <w:style w:type="character" w:styleId="1189" w:customStyle="1">
    <w:name w:val="批注主题 Char"/>
    <w:uiPriority w:val="0"/>
    <w:qFormat/>
    <w:rPr>
      <w:rFonts w:ascii="Times New Roman" w:hAnsi="Times New Roman" w:eastAsia="宋体" w:cs="Times New Roman"/>
      <w:b/>
      <w:bCs/>
      <w:sz w:val="21"/>
      <w:szCs w:val="24"/>
      <w:lang w:val="en-US" w:eastAsia="zh-CN" w:bidi="ar-SA"/>
    </w:rPr>
  </w:style>
  <w:style w:type="character" w:styleId="1190" w:customStyle="1">
    <w:name w:val="日期 Char"/>
    <w:uiPriority w:val="0"/>
    <w:qFormat/>
    <w:rPr>
      <w:rFonts w:ascii="仿宋_GB2312" w:hAnsi="宋体" w:eastAsia="仿宋_GB2312"/>
      <w:color w:val="000000"/>
      <w:sz w:val="24"/>
      <w:szCs w:val="24"/>
    </w:rPr>
  </w:style>
  <w:style w:type="character" w:styleId="1191" w:customStyle="1">
    <w:name w:val="标题 1 Char"/>
    <w:uiPriority w:val="0"/>
    <w:qFormat/>
    <w:rPr>
      <w:rFonts w:ascii="宋体"/>
      <w:b/>
      <w:sz w:val="32"/>
    </w:rPr>
  </w:style>
  <w:style w:type="character" w:styleId="1192" w:customStyle="1">
    <w:name w:val="标题 9 Char"/>
    <w:uiPriority w:val="0"/>
    <w:qFormat/>
    <w:rPr>
      <w:rFonts w:ascii="Arial" w:hAnsi="Arial" w:eastAsia="黑体"/>
      <w:sz w:val="21"/>
    </w:rPr>
  </w:style>
  <w:style w:type="character" w:styleId="1193" w:customStyle="1">
    <w:name w:val="正文文本缩进 Char2"/>
    <w:uiPriority w:val="0"/>
    <w:qFormat/>
    <w:rPr>
      <w:rFonts w:eastAsia="宋体"/>
      <w:sz w:val="24"/>
      <w:szCs w:val="24"/>
      <w:lang w:val="en-US" w:eastAsia="zh-CN" w:bidi="ar-SA"/>
    </w:rPr>
  </w:style>
  <w:style w:type="character" w:styleId="1194" w:customStyle="1">
    <w:name w:val="标题 6 Char"/>
    <w:uiPriority w:val="0"/>
    <w:qFormat/>
    <w:rPr>
      <w:rFonts w:ascii="Arial" w:hAnsi="Arial" w:eastAsia="黑体"/>
      <w:b/>
      <w:sz w:val="24"/>
    </w:rPr>
  </w:style>
  <w:style w:type="character" w:styleId="1195" w:customStyle="1">
    <w:name w:val="列出段落 Char1"/>
    <w:link w:val="1196"/>
    <w:uiPriority w:val="34"/>
    <w:qFormat/>
    <w:rPr>
      <w:rFonts w:ascii="Calibri" w:hAnsi="Calibri"/>
    </w:rPr>
  </w:style>
  <w:style w:type="paragraph" w:styleId="1196" w:customStyle="1">
    <w:name w:val="_Style 269"/>
    <w:basedOn w:val="726"/>
    <w:next w:val="781"/>
    <w:link w:val="1195"/>
    <w:uiPriority w:val="34"/>
    <w:qFormat/>
    <w:pPr>
      <w:ind w:firstLine="420"/>
      <w:spacing w:after="160" w:line="278" w:lineRule="auto"/>
    </w:pPr>
    <w:rPr>
      <w:rFonts w:ascii="Calibri" w:hAnsi="Calibri"/>
      <w:sz w:val="20"/>
      <w:szCs w:val="20"/>
    </w:rPr>
  </w:style>
  <w:style w:type="character" w:styleId="1197" w:customStyle="1">
    <w:name w:val="标题 4 Char"/>
    <w:uiPriority w:val="0"/>
    <w:qFormat/>
    <w:rPr>
      <w:rFonts w:ascii="Arial" w:hAnsi="Arial" w:eastAsia="黑体"/>
      <w:b/>
      <w:sz w:val="28"/>
    </w:rPr>
  </w:style>
  <w:style w:type="paragraph" w:styleId="1198" w:customStyle="1">
    <w:name w:val="修订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199" w:customStyle="1">
    <w:name w:val="FC正文"/>
    <w:basedOn w:val="726"/>
    <w:uiPriority w:val="0"/>
    <w:qFormat/>
    <w:pPr>
      <w:ind w:firstLine="480"/>
      <w:spacing w:after="160" w:line="360" w:lineRule="auto"/>
    </w:pPr>
    <w:rPr>
      <w:rFonts w:ascii="宋体" w:hAnsi="宋体"/>
      <w:sz w:val="24"/>
    </w:rPr>
  </w:style>
  <w:style w:type="paragraph" w:styleId="1200" w:customStyle="1">
    <w:name w:val="wdcj_5_p"/>
    <w:basedOn w:val="726"/>
    <w:uiPriority w:val="0"/>
    <w:qFormat/>
    <w:pPr>
      <w:jc w:val="left"/>
      <w:spacing w:after="160" w:line="360" w:lineRule="auto"/>
    </w:pPr>
    <w:rPr>
      <w:rFonts w:ascii="宋体" w:hAnsi="宋体"/>
      <w:b/>
      <w:bCs/>
      <w:sz w:val="24"/>
    </w:rPr>
  </w:style>
  <w:style w:type="paragraph" w:styleId="1201" w:customStyle="1">
    <w:name w:val="wdcj_7_p"/>
    <w:basedOn w:val="726"/>
    <w:uiPriority w:val="0"/>
    <w:qFormat/>
    <w:pPr>
      <w:ind w:firstLine="480"/>
      <w:jc w:val="left"/>
      <w:spacing w:after="160" w:line="360" w:lineRule="auto"/>
    </w:pPr>
    <w:rPr>
      <w:rFonts w:ascii="宋体" w:hAnsi="宋体"/>
      <w:sz w:val="24"/>
    </w:rPr>
  </w:style>
  <w:style w:type="paragraph" w:styleId="1202" w:customStyle="1">
    <w:name w:val="列表段落2"/>
    <w:basedOn w:val="726"/>
    <w:uiPriority w:val="99"/>
    <w:qFormat/>
    <w:pPr>
      <w:ind w:firstLine="420"/>
      <w:spacing w:after="160" w:line="278" w:lineRule="auto"/>
    </w:pPr>
  </w:style>
  <w:style w:type="paragraph" w:styleId="1203" w:customStyle="1">
    <w:name w:val="_正文段落"/>
    <w:basedOn w:val="750"/>
    <w:uiPriority w:val="0"/>
    <w:qFormat/>
    <w:pPr>
      <w:ind w:firstLine="200"/>
      <w:spacing w:after="160" w:line="360" w:lineRule="auto"/>
    </w:pPr>
    <w:rPr>
      <w:sz w:val="24"/>
    </w:rPr>
  </w:style>
  <w:style w:type="character" w:styleId="1204" w:customStyle="1">
    <w:name w:val="font01"/>
    <w:uiPriority w:val="0"/>
    <w:qFormat/>
    <w:rPr>
      <w:rFonts w:hint="eastAsia" w:ascii="宋体" w:hAnsi="宋体" w:eastAsia="宋体" w:cs="宋体"/>
      <w:color w:val="000000"/>
      <w:sz w:val="22"/>
      <w:szCs w:val="22"/>
      <w:u w:val="none"/>
    </w:rPr>
  </w:style>
  <w:style w:type="paragraph" w:styleId="1205" w:customStyle="1">
    <w:name w:val="wdcj_6_p"/>
    <w:basedOn w:val="726"/>
    <w:uiPriority w:val="0"/>
    <w:qFormat/>
    <w:pPr>
      <w:jc w:val="left"/>
      <w:spacing w:after="160" w:line="360" w:lineRule="auto"/>
    </w:pPr>
    <w:rPr>
      <w:rFonts w:ascii="宋体" w:hAnsi="宋体"/>
      <w:sz w:val="24"/>
    </w:rPr>
  </w:style>
  <w:style w:type="character" w:styleId="1206" w:customStyle="1">
    <w:name w:val="default-defaultmode1"/>
    <w:uiPriority w:val="0"/>
    <w:qFormat/>
  </w:style>
  <w:style w:type="character" w:styleId="1207" w:customStyle="1">
    <w:name w:val="default-defaultmode"/>
    <w:uiPriority w:val="0"/>
    <w:qFormat/>
  </w:style>
  <w:style w:type="paragraph" w:styleId="1208" w:customStyle="1">
    <w:name w:val="Table Text"/>
    <w:basedOn w:val="726"/>
    <w:uiPriority w:val="0"/>
    <w:semiHidden/>
    <w:qFormat/>
    <w:pPr>
      <w:spacing w:after="160" w:line="278" w:lineRule="auto"/>
    </w:pPr>
    <w:rPr>
      <w:rFonts w:ascii="宋体" w:hAnsi="宋体" w:cs="宋体"/>
      <w:szCs w:val="21"/>
      <w:lang w:eastAsia="en-US"/>
    </w:rPr>
  </w:style>
  <w:style w:type="paragraph" w:styleId="1209" w:customStyle="1">
    <w:name w:val="_Style 445"/>
    <w:basedOn w:val="726"/>
    <w:next w:val="781"/>
    <w:uiPriority w:val="34"/>
    <w:qFormat/>
    <w:pPr>
      <w:ind w:firstLine="420"/>
      <w:spacing w:after="160" w:line="278" w:lineRule="auto"/>
    </w:pPr>
    <w:rPr>
      <w:rFonts w:ascii="Calibri" w:hAnsi="Calibri"/>
      <w:szCs w:val="22"/>
    </w:rPr>
  </w:style>
  <w:style w:type="paragraph" w:styleId="1210" w:customStyle="1">
    <w:name w:val="图片"/>
    <w:next w:val="726"/>
    <w:uiPriority w:val="0"/>
    <w:qFormat/>
    <w:pPr>
      <w:jc w:val="center"/>
      <w:spacing w:after="160" w:line="360" w:lineRule="auto"/>
      <w:widowControl w:val="off"/>
    </w:pPr>
    <w:rPr>
      <w:rFonts w:ascii="仿宋" w:hAnsi="楷体" w:eastAsia="仿宋" w:cs="Times New Roman"/>
      <w:sz w:val="24"/>
      <w:szCs w:val="21"/>
      <w:lang w:val="en-US" w:eastAsia="zh-CN" w:bidi="ar-SA"/>
    </w:rPr>
  </w:style>
  <w:style w:type="paragraph" w:styleId="1211" w:customStyle="1">
    <w:name w:val="标书正文"/>
    <w:basedOn w:val="726"/>
    <w:uiPriority w:val="0"/>
    <w:qFormat/>
    <w:pPr>
      <w:ind w:firstLine="200"/>
      <w:spacing w:after="160" w:line="360" w:lineRule="auto"/>
    </w:pPr>
    <w:rPr>
      <w:color w:val="000000"/>
      <w:sz w:val="24"/>
      <w:szCs w:val="21"/>
    </w:rPr>
  </w:style>
  <w:style w:type="paragraph" w:styleId="1212" w:customStyle="1">
    <w:name w:val="修订2"/>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213" w:customStyle="1">
    <w:name w:val="修订3"/>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214" w:customStyle="1">
    <w:name w:val="修订4"/>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215" w:customStyle="1">
    <w:name w:val="修订5"/>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216" w:customStyle="1">
    <w:name w:val="修订6"/>
    <w:uiPriority w:val="99"/>
    <w:unhideWhenUsed/>
    <w:qFormat/>
    <w:rPr>
      <w:rFonts w:ascii="Times New Roman" w:hAnsi="Times New Roman" w:eastAsia="宋体" w:cs="Times New Roman"/>
      <w:sz w:val="21"/>
      <w:szCs w:val="24"/>
      <w:lang w:val="en-US" w:eastAsia="zh-CN" w:bidi="ar-SA"/>
    </w:rPr>
  </w:style>
  <w:style w:type="paragraph" w:styleId="1217" w:customStyle="1">
    <w:name w:val="段"/>
    <w:next w:val="726"/>
    <w:uiPriority w:val="0"/>
    <w:qFormat/>
    <w:pPr>
      <w:ind w:firstLine="200"/>
      <w:jc w:val="both"/>
      <w:spacing w:line="360" w:lineRule="auto"/>
    </w:pPr>
    <w:rPr>
      <w:rFonts w:ascii="宋体" w:hAnsi="Times New Roman" w:eastAsia="宋体" w:cs="Times New Roman"/>
      <w:sz w:val="24"/>
      <w:szCs w:val="22"/>
      <w:lang w:val="en-US" w:eastAsia="zh-CN" w:bidi="ar-SA"/>
    </w:rPr>
  </w:style>
  <w:style w:type="table" w:styleId="1218" w:customStyle="1">
    <w:name w:val="Table Normal1"/>
    <w:uiPriority w:val="2"/>
    <w:unhideWhenUsed/>
    <w:qFormat/>
    <w:pPr>
      <w:widowControl w:val="off"/>
    </w:pPr>
    <w:rPr>
      <w:rFonts w:ascii="Calibri" w:hAnsi="Calibri"/>
      <w:sz w:val="22"/>
      <w:lang w:eastAsia="en-US"/>
    </w:rPr>
    <w:tblPr>
      <w:tblCellMar>
        <w:left w:w="0" w:type="dxa"/>
        <w:top w:w="0" w:type="dxa"/>
        <w:right w:w="0" w:type="dxa"/>
        <w:bottom w:w="0" w:type="dxa"/>
      </w:tblCellMar>
    </w:tblPr>
  </w:style>
  <w:style w:type="table" w:styleId="1219" w:customStyle="1">
    <w:name w:val="Table Normal2"/>
    <w:uiPriority w:val="2"/>
    <w:unhideWhenUsed/>
    <w:qFormat/>
    <w:pPr>
      <w:widowControl w:val="off"/>
    </w:pPr>
    <w:rPr>
      <w:rFonts w:ascii="Calibri" w:hAnsi="Calibri"/>
      <w:sz w:val="22"/>
      <w:lang w:eastAsia="en-US"/>
    </w:rPr>
    <w:tblPr>
      <w:tblCellMar>
        <w:left w:w="0" w:type="dxa"/>
        <w:top w:w="0" w:type="dxa"/>
        <w:right w:w="0" w:type="dxa"/>
        <w:bottom w:w="0" w:type="dxa"/>
      </w:tblCellMar>
    </w:tblPr>
  </w:style>
  <w:style w:type="table" w:styleId="1220" w:customStyle="1">
    <w:name w:val="Table Normal3"/>
    <w:uiPriority w:val="2"/>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1221" w:customStyle="1">
    <w:name w:val="WPSOffice手动目录 1"/>
    <w:uiPriority w:val="0"/>
    <w:qFormat/>
    <w:rPr>
      <w:rFonts w:ascii="Times New Roman" w:hAnsi="Times New Roman" w:eastAsia="宋体" w:cs="Times New Roman"/>
      <w:lang w:val="en-US" w:eastAsia="zh-CN" w:bidi="ar-SA"/>
    </w:rPr>
  </w:style>
  <w:style w:type="paragraph" w:styleId="1222" w:customStyle="1">
    <w:name w:val="WPSOffice手动目录 2"/>
    <w:uiPriority w:val="0"/>
    <w:qFormat/>
    <w:pPr>
      <w:ind w:left="200"/>
    </w:pPr>
    <w:rPr>
      <w:rFonts w:ascii="Times New Roman" w:hAnsi="Times New Roman" w:eastAsia="宋体" w:cs="Times New Roman"/>
      <w:lang w:val="en-US" w:eastAsia="zh-CN" w:bidi="ar-SA"/>
    </w:rPr>
  </w:style>
  <w:style w:type="paragraph" w:styleId="1223" w:customStyle="1">
    <w:name w:val="WPSOffice手动目录 3"/>
    <w:uiPriority w:val="0"/>
    <w:qFormat/>
    <w:pPr>
      <w:ind w:left="400"/>
    </w:pPr>
    <w:rPr>
      <w:rFonts w:ascii="Times New Roman" w:hAnsi="Times New Roman" w:eastAsia="宋体" w:cs="Times New Roman"/>
      <w:lang w:val="en-US" w:eastAsia="zh-CN" w:bidi="ar-SA"/>
    </w:rPr>
  </w:style>
  <w:style w:type="paragraph" w:styleId="1224" w:customStyle="1">
    <w:name w:val="正文＋小四＋缩进2字符"/>
    <w:basedOn w:val="726"/>
    <w:uiPriority w:val="0"/>
    <w:qFormat/>
    <w:pPr>
      <w:ind w:left="480" w:firstLine="200"/>
      <w:jc w:val="left"/>
      <w:spacing w:line="360" w:lineRule="auto"/>
      <w:widowControl/>
    </w:pPr>
    <w:rPr>
      <w:rFonts w:ascii="宋体" w:hAnsi="宋体" w:cs="宋体"/>
      <w:bCs/>
      <w:color w:val="000000"/>
      <w:sz w:val="24"/>
      <w:szCs w:val="20"/>
    </w:rPr>
  </w:style>
  <w:style w:type="paragraph" w:styleId="1225" w:customStyle="1">
    <w:name w:val="样式 首行缩进:  2 字符"/>
    <w:basedOn w:val="726"/>
    <w:uiPriority w:val="0"/>
    <w:qFormat/>
    <w:pPr>
      <w:ind w:firstLine="200"/>
      <w:jc w:val="left"/>
      <w:spacing w:line="360" w:lineRule="auto"/>
      <w:widowControl/>
    </w:pPr>
    <w:rPr>
      <w:rFonts w:ascii="宋体" w:hAnsi="宋体" w:cs="宋体"/>
      <w:color w:val="000000"/>
      <w:sz w:val="24"/>
      <w:szCs w:val="20"/>
    </w:rPr>
  </w:style>
  <w:style w:type="character" w:styleId="1226" w:customStyle="1">
    <w:name w:val="font41"/>
    <w:uiPriority w:val="0"/>
    <w:qFormat/>
    <w:rPr>
      <w:rFonts w:hint="eastAsia" w:ascii="宋体" w:hAnsi="宋体" w:eastAsia="宋体" w:cs="宋体"/>
      <w:color w:val="000000"/>
      <w:sz w:val="20"/>
      <w:szCs w:val="20"/>
      <w:u w:val="none"/>
    </w:rPr>
  </w:style>
  <w:style w:type="character" w:styleId="1227" w:customStyle="1">
    <w:name w:val="font71"/>
    <w:uiPriority w:val="0"/>
    <w:qFormat/>
    <w:rPr>
      <w:rFonts w:ascii="Arial" w:hAnsi="Arial" w:cs="Arial"/>
      <w:color w:val="000000"/>
      <w:sz w:val="20"/>
      <w:szCs w:val="20"/>
      <w:u w:val="none"/>
    </w:rPr>
  </w:style>
  <w:style w:type="character" w:styleId="1228" w:customStyle="1">
    <w:name w:val="font61"/>
    <w:uiPriority w:val="0"/>
    <w:qFormat/>
    <w:rPr>
      <w:rFonts w:ascii="宋体-简" w:hAnsi="宋体-简" w:eastAsia="宋体-简" w:cs="宋体-简"/>
      <w:color w:val="000000"/>
      <w:sz w:val="20"/>
      <w:szCs w:val="20"/>
      <w:u w:val="none"/>
    </w:rPr>
  </w:style>
  <w:style w:type="paragraph" w:styleId="1229" w:customStyle="1">
    <w:name w:val="msonormal"/>
    <w:basedOn w:val="726"/>
    <w:uiPriority w:val="0"/>
    <w:pPr>
      <w:jc w:val="left"/>
      <w:spacing w:before="100" w:beforeAutospacing="1" w:after="100" w:afterAutospacing="1"/>
      <w:widowControl/>
    </w:pPr>
    <w:rPr>
      <w:rFonts w:ascii="宋体" w:hAnsi="宋体" w:cs="宋体"/>
      <w:sz w:val="24"/>
    </w:rPr>
  </w:style>
  <w:style w:type="paragraph" w:styleId="1230" w:customStyle="1">
    <w:name w:val="xl66"/>
    <w:basedOn w:val="72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31" w:customStyle="1">
    <w:name w:val="xl67"/>
    <w:basedOn w:val="72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2" w:customStyle="1">
    <w:name w:val="xl68"/>
    <w:basedOn w:val="72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3" w:customStyle="1">
    <w:name w:val="xl69"/>
    <w:basedOn w:val="72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4" w:customStyle="1">
    <w:name w:val="xl70"/>
    <w:basedOn w:val="72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5" w:customStyle="1">
    <w:name w:val="xl71"/>
    <w:basedOn w:val="72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6" w:customStyle="1">
    <w:name w:val="xl72"/>
    <w:basedOn w:val="72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237" w:customStyle="1">
    <w:name w:val="xl73"/>
    <w:basedOn w:val="726"/>
    <w:uiPriority w:val="0"/>
    <w:pPr>
      <w:jc w:val="left"/>
      <w:spacing w:before="100" w:beforeAutospacing="1" w:after="100" w:afterAutospacing="1"/>
      <w:widowControl/>
    </w:pPr>
    <w:rPr>
      <w:rFonts w:ascii="宋体" w:hAnsi="宋体" w:cs="宋体"/>
      <w:sz w:val="24"/>
    </w:rPr>
  </w:style>
  <w:style w:type="paragraph" w:styleId="1238" w:customStyle="1">
    <w:name w:val="xl74"/>
    <w:basedOn w:val="726"/>
    <w:uiPriority w:val="0"/>
    <w:pPr>
      <w:jc w:val="center"/>
      <w:spacing w:before="100" w:beforeAutospacing="1" w:after="100" w:afterAutospacing="1"/>
      <w:widowControl/>
    </w:pPr>
    <w:rPr>
      <w:rFonts w:ascii="宋体" w:hAnsi="宋体" w:cs="宋体"/>
      <w:sz w:val="24"/>
    </w:rPr>
  </w:style>
  <w:style w:type="paragraph" w:styleId="1239" w:customStyle="1">
    <w:name w:val="xl75"/>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0" w:customStyle="1">
    <w:name w:val="xl76"/>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1" w:customStyle="1">
    <w:name w:val="xl77"/>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简" w:hAnsi="宋体-简" w:cs="宋体"/>
      <w:sz w:val="24"/>
    </w:rPr>
  </w:style>
  <w:style w:type="paragraph" w:styleId="1242" w:customStyle="1">
    <w:name w:val="xl7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3" w:customStyle="1">
    <w:name w:val="xl7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244" w:customStyle="1">
    <w:name w:val="xl80"/>
    <w:basedOn w:val="72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245" w:customStyle="1">
    <w:name w:val="xl81"/>
    <w:basedOn w:val="72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246" w:customStyle="1">
    <w:name w:val="xl82"/>
    <w:basedOn w:val="72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7" w:customStyle="1">
    <w:name w:val="xl83"/>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8" w:customStyle="1">
    <w:name w:val="xl84"/>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2"/>
      <w:szCs w:val="22"/>
    </w:rPr>
  </w:style>
  <w:style w:type="paragraph" w:styleId="1249" w:customStyle="1">
    <w:name w:val="xl85"/>
    <w:basedOn w:val="72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2"/>
      <w:szCs w:val="22"/>
    </w:rPr>
  </w:style>
  <w:style w:type="paragraph" w:styleId="1250" w:customStyle="1">
    <w:name w:val="xl86"/>
    <w:basedOn w:val="72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2"/>
      <w:szCs w:val="22"/>
    </w:rPr>
  </w:style>
  <w:style w:type="numbering" w:styleId="12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王镜</cp:lastModifiedBy>
  <cp:revision>169</cp:revision>
  <dcterms:created xsi:type="dcterms:W3CDTF">2026-03-03T02:02:00Z</dcterms:created>
  <dcterms:modified xsi:type="dcterms:W3CDTF">2026-08-11T03:00:23Z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eyJoZGlkIjoiYjk5ODM0YmMxOWJiYWQyNDU4MGIzYWRmYTA0ZmI5NDciLCJ1c2VySWQiOiIxNTMxODYyODAwIn0=</vt:lpwstr>
  </property>
  <property fmtid="{D5CDD505-2E9C-101B-9397-08002B2CF9AE}" pid="3" name="KSOProductBuildVer">
    <vt:lpwstr>2052-12.1.0.28043</vt:lpwstr>
  </property>
  <property fmtid="{D5CDD505-2E9C-101B-9397-08002B2CF9AE}" pid="4" name="ICV">
    <vt:lpwstr>A908517B0B284E279484F895E8A09664_13</vt:lpwstr>
  </property>
</Properties>
</file>