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49"/>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val="0"/>
          <w:bCs w:val="0"/>
          <w:color w:val="000000"/>
          <w:sz w:val="28"/>
          <w:szCs w:val="28"/>
        </w:rPr>
      </w:pPr>
      <w:r>
        <w:rPr>
          <w:rFonts w:hint="eastAsia" w:ascii="方正小标宋_GBK" w:hAnsi="方正小标宋_GBK" w:eastAsia="方正小标宋_GBK" w:cs="方正小标宋_GBK"/>
          <w:b w:val="0"/>
          <w:bCs w:val="0"/>
          <w:color w:val="000000"/>
          <w:sz w:val="28"/>
          <w:szCs w:val="28"/>
        </w:rPr>
        <w:t xml:space="preserve">招　标　文　件</w:t>
      </w:r>
      <w:r>
        <w:rPr>
          <w:rFonts w:hint="eastAsia" w:ascii="方正小标宋_GBK" w:hAnsi="方正小标宋_GBK" w:eastAsia="方正小标宋_GBK" w:cs="方正小标宋_GBK"/>
          <w:b w:val="0"/>
          <w:bCs w:val="0"/>
          <w:color w:val="000000"/>
          <w:sz w:val="28"/>
          <w:szCs w:val="28"/>
        </w:rPr>
      </w:r>
      <w:r/>
    </w:p>
    <w:p>
      <w:pPr>
        <w:pStyle w:val="949"/>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49"/>
        <w:ind w:firstLine="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项目名称：江苏省人民医院雨花院区全路径安全检测</w:t>
      </w:r>
      <w:r>
        <w:rPr>
          <w:rFonts w:hint="eastAsia" w:ascii="方正黑体_GBK" w:hAnsi="方正黑体_GBK" w:eastAsia="方正黑体_GBK" w:cs="方正黑体_GBK"/>
          <w:b w:val="0"/>
          <w:bCs w:val="0"/>
          <w:color w:val="000000"/>
          <w:sz w:val="28"/>
          <w:szCs w:val="28"/>
        </w:rPr>
      </w:r>
      <w:r/>
    </w:p>
    <w:p>
      <w:pPr>
        <w:pStyle w:val="949"/>
        <w:ind w:firstLine="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与响应平台扩容项目</w:t>
      </w:r>
      <w:r>
        <w:rPr>
          <w:rFonts w:hint="eastAsia" w:ascii="方正黑体_GBK" w:hAnsi="方正黑体_GBK" w:eastAsia="方正黑体_GBK" w:cs="方正黑体_GBK"/>
          <w:b w:val="0"/>
          <w:bCs w:val="0"/>
          <w:color w:val="000000"/>
          <w:sz w:val="28"/>
          <w:szCs w:val="28"/>
        </w:rPr>
      </w:r>
      <w:r/>
    </w:p>
    <w:p>
      <w:pPr>
        <w:pStyle w:val="949"/>
        <w:ind w:firstLine="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JSZC-320000-SCZX-G2026-0308</w:t>
      </w:r>
      <w:r/>
    </w:p>
    <w:p>
      <w:pPr>
        <w:pStyle w:val="949"/>
        <w:ind w:firstLine="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（全流程电子化-货物类项目，适用</w:t>
      </w:r>
      <w:r>
        <w:rPr>
          <w:rFonts w:hint="eastAsia" w:ascii="方正黑体_GBK" w:hAnsi="方正黑体_GBK" w:eastAsia="方正黑体_GBK" w:cs="方正黑体_GBK"/>
          <w:b w:val="0"/>
          <w:bCs w:val="0"/>
          <w:color w:val="000000"/>
          <w:sz w:val="28"/>
          <w:szCs w:val="28"/>
          <w:lang w:eastAsia="zh-CN"/>
        </w:rPr>
        <w:t xml:space="preserve">于“</w:t>
      </w:r>
      <w:r>
        <w:rPr>
          <w:rFonts w:hint="eastAsia" w:ascii="方正黑体_GBK" w:hAnsi="方正黑体_GBK" w:eastAsia="方正黑体_GBK" w:cs="方正黑体_GBK"/>
          <w:b w:val="0"/>
          <w:bCs w:val="0"/>
          <w:color w:val="000000"/>
          <w:sz w:val="28"/>
          <w:szCs w:val="28"/>
        </w:rPr>
        <w:t xml:space="preserve">苏采云</w:t>
      </w:r>
      <w:r>
        <w:rPr>
          <w:rFonts w:hint="eastAsia" w:ascii="方正黑体_GBK" w:hAnsi="方正黑体_GBK" w:eastAsia="方正黑体_GBK" w:cs="方正黑体_GBK"/>
          <w:b w:val="0"/>
          <w:bCs w:val="0"/>
          <w:color w:val="000000"/>
          <w:sz w:val="28"/>
          <w:szCs w:val="28"/>
          <w:lang w:eastAsia="zh-CN"/>
        </w:rPr>
        <w:t xml:space="preserve">”</w:t>
      </w:r>
      <w:r>
        <w:rPr>
          <w:rFonts w:hint="eastAsia" w:ascii="方正黑体_GBK" w:hAnsi="方正黑体_GBK" w:eastAsia="方正黑体_GBK" w:cs="方正黑体_GBK"/>
          <w:b w:val="0"/>
          <w:bCs w:val="0"/>
          <w:color w:val="000000"/>
          <w:sz w:val="28"/>
          <w:szCs w:val="28"/>
        </w:rPr>
        <w:t xml:space="preserve">系统）</w:t>
      </w:r>
      <w:r>
        <w:rPr>
          <w:rFonts w:hint="eastAsia" w:ascii="方正黑体_GBK" w:hAnsi="方正黑体_GBK" w:eastAsia="方正黑体_GBK" w:cs="方正黑体_GBK"/>
          <w:b w:val="0"/>
          <w:bCs w:val="0"/>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49"/>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4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44</w:t>
      </w:r>
      <w:r>
        <w:rPr>
          <w:rFonts w:ascii="方正黑体_GBK" w:hAnsi="方正黑体_GBK" w:eastAsia="方正黑体_GBK" w:cs="方正黑体_GBK"/>
          <w:color w:val="000000"/>
          <w:sz w:val="28"/>
          <w:szCs w:val="28"/>
          <w:lang w:val="en-US" w:eastAsia="zh-CN"/>
        </w:rPr>
      </w:r>
      <w:r/>
    </w:p>
    <w:p>
      <w:pPr>
        <w:pStyle w:val="949"/>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49</w:t>
      </w:r>
      <w:r>
        <w:rPr>
          <w:rFonts w:ascii="方正黑体_GBK" w:hAnsi="方正黑体_GBK" w:eastAsia="方正黑体_GBK" w:cs="方正黑体_GBK"/>
          <w:color w:val="000000"/>
          <w:sz w:val="28"/>
          <w:szCs w:val="28"/>
          <w:lang w:val="en-US" w:eastAsia="zh-CN"/>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受江苏省人民医院的委托，江苏省政府采购中心就江苏省人民医院雨花院区全路径安全检测与响应平台扩容项目(JSZC-320000-SCZX-G2026-0308)进行公开招标采购，欢迎符合条件的供应商投标。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江苏省人民医院雨花院区全路径安全检测与响应平台扩容项目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18</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JSZC-320000-SCZX-G2026-0308</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江苏省人民医院雨花院区全路径安全检测与响应平台扩容项目</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48.6</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49"/>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48.6</w:t>
            </w:r>
            <w:r>
              <w:rPr>
                <w:rFonts w:ascii="Times New Roman" w:hAnsi="Times New Roman" w:eastAsia="方正仿宋_GBK" w:cs="Times New Roman"/>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5.采购需求</w:t>
      </w:r>
      <w:r>
        <w:rPr>
          <w:rFonts w:hint="eastAsia" w:ascii="方正仿宋_GBK" w:hAnsi="方正仿宋_GBK" w:eastAsia="方正仿宋_GBK" w:cs="方正仿宋_GBK"/>
          <w:color w:val="000000"/>
          <w:sz w:val="28"/>
          <w:szCs w:val="28"/>
          <w:highlight w:val="none"/>
        </w:rPr>
        <w:t xml:space="preserve">(简介)：</w:t>
      </w:r>
      <w:r>
        <w:rPr>
          <w:rFonts w:hint="eastAsia" w:ascii="Times New Roman" w:hAnsi="Times New Roman" w:eastAsia="方正仿宋_GBK" w:cs="Times New Roman"/>
          <w:color w:val="000000"/>
          <w:sz w:val="28"/>
          <w:szCs w:val="28"/>
          <w:highlight w:val="none"/>
          <w:lang w:eastAsia="zh-CN"/>
        </w:rPr>
        <w:t xml:space="preserve">新增安全威胁采集相关组件，实现网络侧与终端侧安全数据的全面采集、聚合分析，增强医疗信息系统的防护能力，保障医疗数据全生命周期安全。</w:t>
      </w: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val="en-US" w:eastAsia="zh-CN"/>
        </w:rPr>
        <w:t xml:space="preserve">详见第四章</w:t>
      </w:r>
      <w:r>
        <w:rPr>
          <w:rFonts w:hint="eastAsia" w:ascii="方正仿宋_GBK" w:hAnsi="方正仿宋_GBK" w:eastAsia="方正仿宋_GBK" w:cs="方正仿宋_GBK"/>
          <w:color w:val="000000"/>
          <w:sz w:val="28"/>
          <w:szCs w:val="28"/>
          <w:u w:val="single"/>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5393622"/>
      <w:r/>
      <w:bookmarkStart w:id="13" w:name="_Toc28359003"/>
      <w:r/>
      <w:bookmarkStart w:id="14" w:name="_Toc35393791"/>
      <w:r/>
      <w:bookmarkStart w:id="15" w:name="_Toc38985264"/>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35393623"/>
      <w:r/>
      <w:bookmarkStart w:id="19" w:name="_Toc28359004"/>
      <w:r/>
      <w:bookmarkStart w:id="20" w:name="_Toc38985265"/>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eastAsia="zh-CN"/>
              </w:rPr>
              <w:t xml:space="preserve">无</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18</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8985267"/>
      <w:r/>
      <w:bookmarkStart w:id="28" w:name="_Toc28359084"/>
      <w:r/>
      <w:bookmarkStart w:id="29" w:name="_Toc35393794"/>
      <w:r/>
      <w:bookmarkStart w:id="30" w:name="_Toc35393625"/>
      <w:r/>
      <w:bookmarkStart w:id="31" w:name="_Toc2835900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627"/>
      <w:r/>
      <w:bookmarkStart w:id="36" w:name="_Toc28359008"/>
      <w:r/>
      <w:bookmarkStart w:id="37" w:name="_Toc38985269"/>
      <w:r/>
      <w:bookmarkStart w:id="38" w:name="_Toc35393796"/>
      <w:r/>
      <w:bookmarkStart w:id="39" w:name="_Toc28359085"/>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江苏省人民医院</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南京市鼓楼区广州路300号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伊老师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025-68303769</w:t>
      </w:r>
      <w:r>
        <w:rPr>
          <w:rFonts w:hint="eastAsia" w:ascii="方正仿宋_GBK" w:hAnsi="方正仿宋_GBK" w:eastAsia="方正仿宋_GBK" w:cs="方正仿宋_GBK"/>
          <w:color w:val="000000"/>
          <w:sz w:val="28"/>
          <w:szCs w:val="28"/>
          <w:u w:val="single"/>
        </w:rPr>
        <w:t xml:space="preserve">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方正黑体_GBK" w:hAnsi="方正黑体_GBK" w:eastAsia="方正黑体_GBK" w:cs="方正黑体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513029203"/>
      <w:r/>
      <w:bookmarkStart w:id="48" w:name="_Toc120614214"/>
      <w:r/>
      <w:bookmarkStart w:id="49" w:name="_Toc20823275"/>
      <w:r/>
      <w:bookmarkStart w:id="50" w:name="_Toc16938519"/>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3"/>
      <w:r/>
      <w:bookmarkEnd w:id="54"/>
      <w:r/>
      <w:bookmarkEnd w:id="55"/>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Toc20823277"/>
      <w:r/>
      <w:bookmarkStart w:id="57" w:name="_Toc513029205"/>
      <w:r/>
      <w:bookmarkStart w:id="58"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6"/>
      <w:r/>
      <w:bookmarkEnd w:id="57"/>
      <w:r/>
      <w:bookmarkEnd w:id="58"/>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9" w:name="_Toc20823278"/>
      <w:r/>
      <w:bookmarkStart w:id="60" w:name="_Toc513029206"/>
      <w:r/>
      <w:bookmarkStart w:id="61" w:name="_Toc16938522"/>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9"/>
      <w:r/>
      <w:bookmarkEnd w:id="60"/>
      <w:r/>
      <w:bookmarkEnd w:id="61"/>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2" w:name="_Toc16938523"/>
      <w:r/>
      <w:bookmarkStart w:id="63" w:name="_Toc20823279"/>
      <w:r/>
      <w:bookmarkStart w:id="64" w:name="_Toc513029207"/>
      <w:r/>
      <w:bookmarkStart w:id="65" w:name="_Toc46256406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2"/>
      <w:r/>
      <w:bookmarkEnd w:id="63"/>
      <w:r/>
      <w:bookmarkEnd w:id="64"/>
      <w:r/>
      <w:bookmarkEnd w:id="65"/>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6" w:name="_Toc120614215"/>
      <w:r/>
      <w:bookmarkStart w:id="67" w:name="_Toc513029209"/>
      <w:r/>
      <w:bookmarkStart w:id="68" w:name="_Toc20823281"/>
      <w:r/>
      <w:bookmarkStart w:id="69" w:name="_Toc16938525"/>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20823282"/>
      <w:r/>
      <w:bookmarkStart w:id="71" w:name="_Toc513029210"/>
      <w:r/>
      <w:bookmarkStart w:id="72"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0"/>
      <w:r/>
      <w:bookmarkEnd w:id="71"/>
      <w:r/>
      <w:bookmarkEnd w:id="72"/>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4"/>
      <w:r/>
      <w:bookmarkStart w:id="74" w:name="_Toc16938528"/>
      <w:r/>
      <w:bookmarkStart w:id="75" w:name="_Toc513029212"/>
      <w:r/>
      <w:bookmarkStart w:id="76"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3"/>
      <w:r/>
      <w:bookmarkEnd w:id="74"/>
      <w:r/>
      <w:bookmarkEnd w:id="75"/>
      <w:r/>
      <w:bookmarkEnd w:id="76"/>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7" w:name="_Toc20823285"/>
      <w:r/>
      <w:bookmarkStart w:id="78" w:name="_Toc16938529"/>
      <w:r/>
      <w:bookmarkStart w:id="79" w:name="_Toc120614216"/>
      <w:r/>
      <w:bookmarkStart w:id="80" w:name="_Toc513029213"/>
      <w:r/>
      <w:bookmarkStart w:id="81" w:name="_Toc462564072"/>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2" w:name="_Toc462564073"/>
      <w:r/>
      <w:bookmarkStart w:id="83" w:name="_Toc20823286"/>
      <w:r/>
      <w:bookmarkStart w:id="84" w:name="_Toc513029214"/>
      <w:r/>
      <w:bookmarkStart w:id="85" w:name="_Toc16938530"/>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6" w:name="_Toc513029215"/>
      <w:r/>
      <w:bookmarkStart w:id="87" w:name="_Toc16938531"/>
      <w:r/>
      <w:bookmarkStart w:id="88" w:name="_Toc462564074"/>
      <w:r/>
      <w:bookmarkStart w:id="89"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6"/>
      <w:r/>
      <w:bookmarkEnd w:id="87"/>
      <w:r/>
      <w:bookmarkEnd w:id="88"/>
      <w:r/>
      <w:bookmarkEnd w:id="89"/>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Hlt26668975"/>
      <w:r/>
      <w:bookmarkEnd w:id="90"/>
      <w:r/>
      <w:bookmarkStart w:id="91" w:name="_Hlt26670360"/>
      <w:r/>
      <w:bookmarkEnd w:id="91"/>
      <w:r/>
      <w:bookmarkStart w:id="92" w:name="_Hlt26954838"/>
      <w:r/>
      <w:bookmarkEnd w:id="92"/>
      <w:r/>
      <w:bookmarkStart w:id="93" w:name="_Toc49090509"/>
      <w:r/>
      <w:bookmarkStart w:id="94" w:name="_Toc513029219"/>
      <w:r/>
      <w:bookmarkStart w:id="95" w:name="_Toc14577357"/>
      <w:r/>
      <w:bookmarkStart w:id="96" w:name="_Toc513029216"/>
      <w:r/>
      <w:bookmarkStart w:id="97" w:name="_Toc49090507"/>
      <w:r/>
      <w:bookmarkStart w:id="98" w:name="_Toc14577354"/>
      <w:r/>
      <w:bookmarkStart w:id="99" w:name="_Toc49090508"/>
      <w:r/>
      <w:bookmarkStart w:id="100"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3"/>
      <w:r/>
      <w:bookmarkEnd w:id="94"/>
      <w:r/>
      <w:bookmarkEnd w:id="95"/>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3" w:name="_Hlt26670482"/>
      <w:r/>
      <w:bookmarkEnd w:id="103"/>
      <w:r/>
      <w:bookmarkStart w:id="104" w:name="_Hlt26670486"/>
      <w:r/>
      <w:bookmarkEnd w:id="104"/>
      <w:r/>
      <w:bookmarkStart w:id="105" w:name="_Hlt26954846"/>
      <w:r/>
      <w:bookmarkEnd w:id="105"/>
      <w:r/>
      <w:bookmarkStart w:id="106" w:name="_Hlt26954848"/>
      <w:r/>
      <w:bookmarkEnd w:id="106"/>
      <w:r/>
      <w:bookmarkStart w:id="107" w:name="_Hlt26954731"/>
      <w:r/>
      <w:bookmarkEnd w:id="107"/>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8"/>
      <w:r/>
      <w:bookmarkEnd w:id="109"/>
      <w:r/>
      <w:bookmarkStart w:id="110" w:name="_Toc49090511"/>
      <w:r/>
      <w:bookmarkStart w:id="111"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0"/>
      <w:r/>
      <w:bookmarkEnd w:id="111"/>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Hlt26954852"/>
      <w:r/>
      <w:bookmarkEnd w:id="112"/>
      <w:r/>
      <w:bookmarkStart w:id="113" w:name="_Hlt26954739"/>
      <w:r/>
      <w:bookmarkEnd w:id="113"/>
      <w:r/>
      <w:bookmarkStart w:id="114" w:name="_Toc16938540"/>
      <w:r/>
      <w:bookmarkStart w:id="115" w:name="_Toc513029224"/>
      <w:r/>
      <w:bookmarkStart w:id="116" w:name="_Toc20823296"/>
      <w:r/>
      <w:bookmarkStart w:id="117" w:name="_Toc120614217"/>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462564084"/>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2"/>
      <w:r/>
      <w:bookmarkEnd w:id="123"/>
      <w:r/>
      <w:bookmarkEnd w:id="124"/>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16938544"/>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1" w:name="_Toc16938545"/>
      <w:r/>
      <w:bookmarkStart w:id="132" w:name="_Toc20823301"/>
      <w:r/>
      <w:bookmarkStart w:id="133" w:name="_Toc120614218"/>
      <w:r/>
      <w:bookmarkStart w:id="134" w:name="_Toc513029229"/>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513029230"/>
      <w:r/>
      <w:bookmarkStart w:id="136" w:name="_Toc16938546"/>
      <w:r/>
      <w:bookmarkStart w:id="137" w:name="_Toc20823302"/>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5"/>
      <w:r/>
      <w:bookmarkEnd w:id="136"/>
      <w:r/>
      <w:bookmarkEnd w:id="137"/>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513029231"/>
      <w:r/>
      <w:bookmarkStart w:id="140"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16938548"/>
      <w:r/>
      <w:bookmarkStart w:id="142" w:name="_Toc513029232"/>
      <w:r/>
      <w:bookmarkStart w:id="143" w:name="_Toc20823304"/>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1"/>
      <w:r/>
      <w:bookmarkEnd w:id="142"/>
      <w:r/>
      <w:bookmarkEnd w:id="143"/>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513029233"/>
      <w:r/>
      <w:bookmarkStart w:id="145" w:name="_Toc20823305"/>
      <w:r/>
      <w:bookmarkStart w:id="146" w:name="_Toc16938549"/>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4"/>
      <w:r/>
      <w:bookmarkEnd w:id="145"/>
      <w:r/>
      <w:bookmarkEnd w:id="146"/>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7" w:name="_Toc16938550"/>
      <w:r/>
      <w:bookmarkStart w:id="148" w:name="_Toc20823306"/>
      <w:r/>
      <w:bookmarkStart w:id="149"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4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0" w:name="_Toc20823307"/>
      <w:r/>
      <w:bookmarkStart w:id="151" w:name="_Toc16938551"/>
      <w:r/>
      <w:bookmarkStart w:id="152" w:name="_Toc513029235"/>
      <w:r>
        <w:rPr>
          <w:rFonts w:hint="eastAsia" w:ascii="方正仿宋_GBK" w:hAnsi="方正仿宋_GBK" w:eastAsia="方正仿宋_GBK" w:cs="方正仿宋_GBK"/>
          <w:sz w:val="28"/>
          <w:szCs w:val="28"/>
        </w:rPr>
      </w:r>
      <w:r/>
    </w:p>
    <w:p>
      <w:pPr>
        <w:pStyle w:val="949"/>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Pr>
          <w:rFonts w:hint="eastAsia" w:ascii="方正黑体_GBK" w:hAnsi="方正黑体_GBK" w:eastAsia="方正黑体_GBK" w:cs="方正黑体_GBK"/>
          <w:color w:val="000000"/>
          <w:sz w:val="28"/>
          <w:szCs w:val="28"/>
        </w:rPr>
      </w:r>
      <w:r/>
    </w:p>
    <w:p>
      <w:pPr>
        <w:pStyle w:val="949"/>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4" w:name="_Toc513029238"/>
      <w:r/>
      <w:bookmarkStart w:id="155" w:name="_Toc20823310"/>
      <w:r/>
      <w:bookmarkStart w:id="156" w:name="_Toc16938554"/>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7"/>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8" w:name="_Toc120614220"/>
      <w:r/>
      <w:bookmarkStart w:id="159" w:name="_Toc16938552"/>
      <w:r/>
      <w:bookmarkStart w:id="160" w:name="_Toc20823308"/>
      <w:r/>
      <w:bookmarkStart w:id="161" w:name="_Toc513029236"/>
      <w:r>
        <w:rPr>
          <w:rFonts w:hint="eastAsia" w:ascii="方正黑体_GBK" w:hAnsi="方正黑体_GBK" w:eastAsia="方正黑体_GBK" w:cs="方正黑体_GBK"/>
          <w:color w:val="000000"/>
          <w:sz w:val="28"/>
          <w:szCs w:val="28"/>
        </w:rPr>
        <w:t xml:space="preserve">七、授予合同</w:t>
      </w:r>
      <w:bookmarkEnd w:id="158"/>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9"/>
      <w:r/>
      <w:bookmarkEnd w:id="160"/>
      <w:r/>
      <w:bookmarkEnd w:id="161"/>
      <w:r/>
      <w:bookmarkStart w:id="162" w:name="_Toc513029237"/>
      <w:r/>
      <w:bookmarkStart w:id="163" w:name="_Toc16938553"/>
      <w:r/>
      <w:bookmarkStart w:id="164" w:name="_Toc20823309"/>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2"/>
      <w:r/>
      <w:bookmarkEnd w:id="163"/>
      <w:r/>
      <w:bookmarkEnd w:id="164"/>
      <w:r/>
      <w:bookmarkStart w:id="165" w:name="_Toc513029242"/>
      <w:r/>
      <w:bookmarkStart w:id="166" w:name="_Toc16938558"/>
      <w:r/>
      <w:bookmarkStart w:id="167" w:name="_Toc120614221"/>
      <w:r/>
      <w:bookmarkStart w:id="168" w:name="_Toc20823314"/>
      <w:r/>
      <w:bookmarkStart w:id="169" w:name="_Toc479757207"/>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49"/>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4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9"/>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49"/>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49"/>
        <w:spacing w:line="400" w:lineRule="exact"/>
        <w:rPr>
          <w:rFonts w:ascii="宋体" w:hAnsi="宋体"/>
          <w:bCs/>
          <w:color w:val="ff0000"/>
          <w:sz w:val="28"/>
          <w:szCs w:val="28"/>
          <w:highlight w:val="yellow"/>
        </w:rPr>
      </w:pPr>
      <w:r/>
      <w:bookmarkStart w:id="170" w:name="_Toc16938559"/>
      <w:r/>
      <w:bookmarkStart w:id="171" w:name="_Toc3995"/>
      <w:r/>
      <w:bookmarkStart w:id="172" w:name="_Toc513029243"/>
      <w:r/>
      <w:bookmarkStart w:id="173" w:name="_Toc20823315"/>
      <w:r/>
      <w:bookmarkStart w:id="174" w:name="_Hlt16619350"/>
      <w:r/>
      <w:bookmarkStart w:id="175" w:name="_Toc16938590"/>
      <w:r/>
      <w:bookmarkStart w:id="176" w:name="_Toc20823346"/>
      <w:r/>
      <w:bookmarkStart w:id="177" w:name="_Toc120614244"/>
      <w:r/>
      <w:bookmarkStart w:id="178" w:name="_Toc462564139"/>
      <w:r/>
      <w:bookmarkStart w:id="179" w:name="_Toc479757211"/>
      <w:r>
        <w:rPr>
          <w:rFonts w:ascii="宋体" w:hAnsi="宋体"/>
          <w:bCs/>
          <w:color w:val="ff0000"/>
          <w:sz w:val="28"/>
          <w:szCs w:val="28"/>
          <w:highlight w:val="yellow"/>
        </w:rPr>
      </w:r>
      <w:r/>
    </w:p>
    <w:p>
      <w:pPr>
        <w:pStyle w:val="949"/>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49"/>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80"/>
        <w:jc w:val="center"/>
        <w:rPr>
          <w:rFonts w:ascii="宋体" w:hAnsi="宋体" w:eastAsia="宋体" w:cs="宋体"/>
          <w:b/>
          <w:bCs/>
          <w:spacing w:val="-20"/>
          <w:sz w:val="28"/>
          <w:szCs w:val="28"/>
        </w:rPr>
      </w:pPr>
      <w:r/>
      <w:bookmarkEnd w:id="170"/>
      <w:r/>
      <w:bookmarkEnd w:id="171"/>
      <w:r/>
      <w:bookmarkEnd w:id="172"/>
      <w:r/>
      <w:bookmarkEnd w:id="173"/>
      <w:r>
        <w:rPr>
          <w:rFonts w:ascii="宋体" w:hAnsi="宋体" w:eastAsia="宋体" w:cs="宋体"/>
          <w:b/>
          <w:bCs/>
          <w:spacing w:val="-20"/>
          <w:sz w:val="28"/>
          <w:szCs w:val="28"/>
        </w:rPr>
      </w:r>
      <w:r/>
    </w:p>
    <w:p>
      <w:pPr>
        <w:pStyle w:val="980"/>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980"/>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4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9"/>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49"/>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9"/>
        <w:rPr>
          <w:sz w:val="28"/>
          <w:szCs w:val="28"/>
        </w:rPr>
      </w:pPr>
      <w:r>
        <w:rPr>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rPr>
          <w:rFonts w:eastAsia="黑体"/>
          <w:sz w:val="28"/>
          <w:szCs w:val="28"/>
        </w:rPr>
      </w:pPr>
      <w:r>
        <w:rPr>
          <w:rFonts w:eastAsia="黑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49"/>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49"/>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51"/>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82"/>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4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982"/>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82"/>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82"/>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62"/>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49"/>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62"/>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49"/>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4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49"/>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49"/>
        <w:ind w:firstLine="585"/>
        <w:spacing w:line="440" w:lineRule="exact"/>
        <w:rPr>
          <w:rFonts w:hint="eastAsia" w:ascii="方正仿宋_GBK" w:hAnsi="方正仿宋_GBK" w:eastAsia="方正仿宋_GBK" w:cs="方正仿宋_GBK"/>
          <w:i/>
          <w:iCs/>
          <w:sz w:val="28"/>
          <w:szCs w:val="28"/>
          <w:highlight w:val="none"/>
          <w:u w:val="singl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合同生效收到合同总价10%的履约保证金</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i/>
          <w:iCs/>
          <w:sz w:val="28"/>
          <w:szCs w:val="28"/>
          <w:highlight w:val="none"/>
          <w:u w:val="single"/>
        </w:rPr>
        <w:t xml:space="preserve">项目实施完成且通过最终验收，稳定运行30个工作日后收到发票10个工作日内支付合同总金额的100%。</w:t>
      </w:r>
      <w:r>
        <w:rPr>
          <w:rFonts w:hint="eastAsia" w:ascii="方正仿宋_GBK" w:hAnsi="方正仿宋_GBK" w:eastAsia="方正仿宋_GBK" w:cs="方正仿宋_GBK"/>
          <w:i/>
          <w:iCs/>
          <w:sz w:val="28"/>
          <w:szCs w:val="28"/>
          <w:highlight w:val="none"/>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保函</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合同总价10%</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至</w:t>
      </w:r>
      <w:r>
        <w:rPr>
          <w:rFonts w:hint="eastAsia" w:ascii="方正仿宋_GBK" w:hAnsi="方正仿宋_GBK" w:eastAsia="方正仿宋_GBK" w:cs="方正仿宋_GBK"/>
          <w:bCs/>
          <w:sz w:val="28"/>
          <w:szCs w:val="28"/>
          <w:highlight w:val="none"/>
          <w:u w:val="single"/>
        </w:rPr>
        <w:t xml:space="preserve">项目验收合格后</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highlight w:val="none"/>
          <w:u w:val="none"/>
        </w:rPr>
      </w:pPr>
      <w:r>
        <w:rPr>
          <w:rFonts w:hint="eastAsia" w:ascii="方正仿宋_GBK" w:hAnsi="方正仿宋_GBK" w:eastAsia="方正仿宋_GBK" w:cs="方正仿宋_GBK"/>
          <w:bCs/>
          <w:sz w:val="28"/>
          <w:szCs w:val="28"/>
          <w:highlight w:val="none"/>
          <w:u w:val="none"/>
        </w:rPr>
        <w:t xml:space="preserve"> </w:t>
      </w:r>
      <w:r>
        <w:rPr>
          <w:rFonts w:hint="eastAsia" w:ascii="方正仿宋_GBK" w:hAnsi="方正仿宋_GBK" w:eastAsia="方正仿宋_GBK" w:cs="方正仿宋_GBK"/>
          <w:bCs/>
          <w:sz w:val="28"/>
          <w:szCs w:val="28"/>
          <w:highlight w:val="none"/>
          <w:u w:val="none"/>
        </w:rPr>
        <w:t xml:space="preserve">履约保证金退还方式：</w:t>
      </w:r>
      <w:r>
        <w:rPr>
          <w:rFonts w:hint="eastAsia" w:ascii="方正仿宋_GBK" w:hAnsi="方正仿宋_GBK" w:eastAsia="方正仿宋_GBK" w:cs="方正仿宋_GBK"/>
          <w:bCs/>
          <w:sz w:val="28"/>
          <w:szCs w:val="28"/>
          <w:highlight w:val="none"/>
          <w:u w:val="single"/>
        </w:rPr>
        <w:t xml:space="preserve">按照相关规定和流程无息退还</w:t>
      </w:r>
      <w:r>
        <w:rPr>
          <w:rFonts w:hint="eastAsia" w:ascii="方正仿宋_GBK" w:hAnsi="方正仿宋_GBK" w:eastAsia="方正仿宋_GBK" w:cs="方正仿宋_GBK"/>
          <w:bCs/>
          <w:sz w:val="28"/>
          <w:szCs w:val="28"/>
          <w:highlight w:val="none"/>
          <w:u w:val="none"/>
        </w:rPr>
      </w:r>
      <w:r/>
    </w:p>
    <w:p>
      <w:pPr>
        <w:pStyle w:val="949"/>
        <w:ind w:firstLine="840"/>
        <w:keepLines w:val="0"/>
        <w:keepNext w:val="0"/>
        <w:pageBreakBefore w:val="0"/>
        <w:spacing w:line="400" w:lineRule="exact"/>
        <w:rPr>
          <w:rFonts w:hint="eastAsia" w:ascii="方正仿宋_GBK" w:hAnsi="方正仿宋_GBK" w:eastAsia="方正仿宋_GBK" w:cs="方正仿宋_GBK"/>
          <w:bCs/>
          <w:sz w:val="28"/>
          <w:szCs w:val="28"/>
          <w:highlight w:val="none"/>
          <w:u w:val="none"/>
        </w:rPr>
      </w:pPr>
      <w:r>
        <w:rPr>
          <w:rFonts w:hint="eastAsia" w:ascii="方正仿宋_GBK" w:hAnsi="方正仿宋_GBK" w:eastAsia="方正仿宋_GBK" w:cs="方正仿宋_GBK"/>
          <w:bCs/>
          <w:sz w:val="28"/>
          <w:szCs w:val="28"/>
          <w:highlight w:val="none"/>
          <w:u w:val="none"/>
        </w:rPr>
        <w:t xml:space="preserve">履约保证金退还条件：</w:t>
      </w:r>
      <w:r>
        <w:rPr>
          <w:rFonts w:hint="eastAsia" w:ascii="方正仿宋_GBK" w:hAnsi="方正仿宋_GBK" w:eastAsia="方正仿宋_GBK" w:cs="方正仿宋_GBK"/>
          <w:bCs/>
          <w:sz w:val="28"/>
          <w:szCs w:val="28"/>
          <w:highlight w:val="none"/>
          <w:u w:val="single"/>
        </w:rPr>
        <w:t xml:space="preserve">按合同要求履约</w:t>
      </w:r>
      <w:r>
        <w:rPr>
          <w:rFonts w:hint="eastAsia" w:ascii="方正仿宋_GBK" w:hAnsi="方正仿宋_GBK" w:eastAsia="方正仿宋_GBK" w:cs="方正仿宋_GBK"/>
          <w:bCs/>
          <w:sz w:val="28"/>
          <w:szCs w:val="28"/>
          <w:highlight w:val="none"/>
          <w:u w:val="none"/>
        </w:rPr>
      </w:r>
      <w:r/>
    </w:p>
    <w:p>
      <w:pPr>
        <w:pStyle w:val="949"/>
        <w:ind w:firstLine="840"/>
        <w:keepLines w:val="0"/>
        <w:keepNext w:val="0"/>
        <w:pageBreakBefore w:val="0"/>
        <w:spacing w:line="400" w:lineRule="exact"/>
        <w:rPr>
          <w:rFonts w:hint="eastAsia" w:ascii="方正仿宋_GBK" w:hAnsi="方正仿宋_GBK" w:eastAsia="方正仿宋_GBK" w:cs="方正仿宋_GBK"/>
          <w:sz w:val="28"/>
          <w:szCs w:val="28"/>
          <w:highlight w:val="none"/>
          <w:u w:val="none"/>
        </w:rPr>
      </w:pPr>
      <w:r>
        <w:rPr>
          <w:rFonts w:hint="eastAsia" w:ascii="方正仿宋_GBK" w:hAnsi="方正仿宋_GBK" w:eastAsia="方正仿宋_GBK" w:cs="方正仿宋_GBK"/>
          <w:bCs/>
          <w:sz w:val="28"/>
          <w:szCs w:val="28"/>
          <w:highlight w:val="none"/>
          <w:u w:val="none"/>
        </w:rPr>
        <w:t xml:space="preserve">履约保证金不予退还的情形：</w:t>
      </w:r>
      <w:r>
        <w:rPr>
          <w:rFonts w:hint="eastAsia" w:ascii="方正仿宋_GBK" w:hAnsi="方正仿宋_GBK" w:eastAsia="方正仿宋_GBK" w:cs="方正仿宋_GBK"/>
          <w:bCs/>
          <w:sz w:val="28"/>
          <w:szCs w:val="28"/>
          <w:highlight w:val="none"/>
          <w:u w:val="single"/>
        </w:rPr>
        <w:t xml:space="preserve">未按合同要求履约 </w:t>
      </w:r>
      <w:r>
        <w:rPr>
          <w:rFonts w:hint="eastAsia" w:ascii="方正仿宋_GBK" w:hAnsi="方正仿宋_GBK" w:eastAsia="方正仿宋_GBK" w:cs="方正仿宋_GBK"/>
          <w:bCs/>
          <w:sz w:val="28"/>
          <w:szCs w:val="28"/>
          <w:highlight w:val="none"/>
          <w:u w:val="none"/>
        </w:rPr>
        <w:t xml:space="preserve">      </w:t>
      </w:r>
      <w:r>
        <w:rPr>
          <w:rFonts w:hint="eastAsia" w:ascii="方正仿宋_GBK" w:hAnsi="方正仿宋_GBK" w:eastAsia="方正仿宋_GBK" w:cs="方正仿宋_GBK"/>
          <w:sz w:val="28"/>
          <w:szCs w:val="28"/>
          <w:highlight w:val="none"/>
          <w:u w:val="non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hint="eastAsia" w:ascii="方正仿宋_GBK" w:hAnsi="方正仿宋_GBK" w:eastAsia="方正仿宋_GBK" w:cs="方正仿宋_GBK"/>
          <w:bCs/>
          <w:sz w:val="28"/>
          <w:szCs w:val="28"/>
          <w:highlight w:val="yellow"/>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49"/>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30"/>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49"/>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2"/>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51"/>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62"/>
        <w:numPr>
          <w:ilvl w:val="0"/>
          <w:numId w:val="5"/>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62"/>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62"/>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62"/>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6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51"/>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2"/>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lang w:eastAsia="zh-CN"/>
              </w:rPr>
              <w:t xml:space="preserve">（</w:t>
            </w:r>
            <w:r>
              <w:rPr>
                <w:rFonts w:hint="eastAsia" w:ascii="方正仿宋_GBK" w:hAnsi="方正仿宋_GBK" w:eastAsia="方正仿宋_GBK" w:cs="方正仿宋_GBK"/>
                <w:iCs/>
                <w:sz w:val="28"/>
                <w:szCs w:val="28"/>
                <w:u w:val="single"/>
                <w:lang w:val="en-US" w:eastAsia="zh-CN"/>
              </w:rPr>
              <w:t xml:space="preserve">2</w:t>
            </w:r>
            <w:r>
              <w:rPr>
                <w:rFonts w:hint="eastAsia" w:ascii="方正仿宋_GBK" w:hAnsi="方正仿宋_GBK" w:eastAsia="方正仿宋_GBK" w:cs="方正仿宋_GBK"/>
                <w:iCs/>
                <w:sz w:val="28"/>
                <w:szCs w:val="28"/>
                <w:u w:val="single"/>
                <w:lang w:eastAsia="zh-CN"/>
              </w:rPr>
              <w:t xml:space="preserve">）</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49"/>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lang w:val="en-US" w:eastAsia="zh-CN"/>
              </w:rPr>
              <w:t xml:space="preserve">采购人驻地</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w:t>
      </w:r>
      <w:bookmarkEnd w:id="174"/>
      <w:r>
        <w:rPr>
          <w:rFonts w:hint="eastAsia" w:ascii="黑体" w:hAnsi="黑体" w:eastAsia="黑体" w:cs="Arial"/>
          <w:b w:val="0"/>
          <w:bCs w:val="0"/>
          <w:sz w:val="28"/>
          <w:szCs w:val="28"/>
        </w:rPr>
        <w:t xml:space="preserve">四章 采购需求</w:t>
      </w:r>
      <w:bookmarkEnd w:id="175"/>
      <w:r/>
      <w:bookmarkEnd w:id="176"/>
      <w:r/>
      <w:bookmarkEnd w:id="177"/>
      <w:r>
        <w:rPr>
          <w:rFonts w:hint="eastAsia" w:ascii="黑体" w:hAnsi="黑体" w:eastAsia="黑体" w:cs="Arial"/>
          <w:b w:val="0"/>
          <w:bCs w:val="0"/>
          <w:sz w:val="28"/>
          <w:szCs w:val="28"/>
        </w:rPr>
      </w:r>
      <w:r/>
    </w:p>
    <w:p>
      <w:pPr>
        <w:pStyle w:val="951"/>
        <w:jc w:val="left"/>
        <w:keepLines/>
        <w:keepNext/>
        <w:pageBreakBefore w:val="0"/>
        <w:spacing w:line="400" w:lineRule="exact"/>
        <w:widowControl w:val="off"/>
        <w:rPr>
          <w:rFonts w:hint="eastAsia" w:ascii="黑体" w:hAnsi="黑体" w:eastAsia="黑体" w:cs="Arial"/>
          <w:b w:val="0"/>
          <w:bCs w:val="0"/>
          <w:sz w:val="28"/>
          <w:szCs w:val="28"/>
        </w:rPr>
      </w:pPr>
      <w:r/>
      <w:bookmarkStart w:id="180" w:name="_Toc26554093"/>
      <w:r/>
      <w:bookmarkStart w:id="181" w:name="_Toc49090575"/>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vMerge w:val="restart"/>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1321"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宋体" w:hAnsi="宋体" w:eastAsia="宋体" w:cs="宋体"/>
                <w:b w:val="0"/>
                <w:bCs w:val="0"/>
                <w:color w:val="000000"/>
                <w:szCs w:val="21"/>
              </w:rPr>
              <w:t xml:space="preserve">外网安全威胁事件采集探针</w:t>
            </w:r>
            <w:r>
              <w:rPr>
                <w:rFonts w:hint="eastAsia" w:ascii="方正仿宋_GBK" w:hAnsi="方正仿宋_GBK" w:eastAsia="方正仿宋_GBK" w:cs="方正仿宋_GBK"/>
                <w:sz w:val="28"/>
                <w:szCs w:val="28"/>
                <w:lang w:val="en-US" w:eastAsia="zh-CN"/>
              </w:rPr>
            </w:r>
            <w:r/>
          </w:p>
        </w:tc>
        <w:tc>
          <w:tcPr>
            <w:tcW w:w="2677" w:type="dxa"/>
            <w:vAlign w:val="top"/>
            <w:textDirection w:val="lrTb"/>
            <w:noWrap w:val="false"/>
          </w:tcPr>
          <w:p>
            <w:pPr>
              <w:pStyle w:val="949"/>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软件和信息技术服务业</w:t>
            </w:r>
            <w:r>
              <w:rPr>
                <w:rFonts w:hint="eastAsia" w:ascii="Times New Roman" w:hAnsi="Times New Roman" w:eastAsia="方正仿宋_GBK" w:cs="Times New Roman"/>
                <w:color w:val="000000"/>
                <w:sz w:val="28"/>
                <w:szCs w:val="28"/>
                <w:lang w:val="en-US" w:eastAsia="zh-CN"/>
              </w:rPr>
            </w:r>
            <w:r/>
          </w:p>
        </w:tc>
      </w:tr>
      <w:tr>
        <w:trPr>
          <w:cantSplit/>
          <w:trHeight w:val="235"/>
        </w:trPr>
        <w:tc>
          <w:tcPr>
            <w:tcW w:w="790" w:type="dxa"/>
            <w:vAlign w:val="top"/>
            <w:vMerge w:val="continue"/>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49"/>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宋体" w:hAnsi="宋体" w:eastAsia="宋体" w:cs="宋体"/>
                <w:color w:val="000000"/>
                <w:szCs w:val="21"/>
              </w:rPr>
              <w:t xml:space="preserve">全路径端点采集器</w:t>
            </w:r>
            <w:r>
              <w:rPr>
                <w:rFonts w:hint="eastAsia" w:ascii="Times New Roman" w:hAnsi="Times New Roman" w:eastAsia="方正仿宋_GBK" w:cs="Times New Roman"/>
                <w:color w:val="000000"/>
                <w:sz w:val="28"/>
                <w:szCs w:val="28"/>
                <w:lang w:val="en-US" w:eastAsia="zh-CN"/>
              </w:rPr>
            </w:r>
            <w:r/>
          </w:p>
        </w:tc>
        <w:tc>
          <w:tcPr>
            <w:tcW w:w="2677" w:type="dxa"/>
            <w:vAlign w:val="top"/>
            <w:textDirection w:val="lrTb"/>
            <w:noWrap w:val="false"/>
          </w:tcPr>
          <w:p>
            <w:pPr>
              <w:pStyle w:val="949"/>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软件和信息技术服务业</w:t>
            </w:r>
            <w:r>
              <w:rPr>
                <w:rFonts w:hint="eastAsia" w:ascii="Times New Roman" w:hAnsi="Times New Roman" w:eastAsia="方正仿宋_GBK" w:cs="Times New Roman"/>
                <w:color w:val="000000"/>
                <w:sz w:val="28"/>
                <w:szCs w:val="28"/>
                <w:lang w:val="en-US" w:eastAsia="zh-CN"/>
              </w:rPr>
            </w:r>
            <w:r/>
          </w:p>
        </w:tc>
      </w:tr>
    </w:tbl>
    <w:p>
      <w:pPr>
        <w:pStyle w:val="951"/>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51"/>
        <w:jc w:val="left"/>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lang w:eastAsia="zh-CN"/>
        </w:rPr>
        <w:t xml:space="preserve">三</w:t>
      </w:r>
      <w:r>
        <w:rPr>
          <w:rFonts w:hint="eastAsia" w:ascii="黑体" w:hAnsi="黑体" w:eastAsia="黑体" w:cs="Arial"/>
          <w:b w:val="0"/>
          <w:bCs w:val="0"/>
          <w:sz w:val="28"/>
          <w:szCs w:val="28"/>
        </w:rPr>
        <w:t xml:space="preserve">、技术要求</w:t>
      </w:r>
      <w:r>
        <w:rPr>
          <w:rFonts w:hint="eastAsia" w:ascii="黑体" w:hAnsi="黑体" w:eastAsia="黑体" w:cs="Arial"/>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numPr>
          <w:ilvl w:val="0"/>
          <w:numId w:val="0"/>
        </w:numPr>
        <w:jc w:val="both"/>
        <w:keepLines/>
        <w:keepNext/>
        <w:spacing w:before="156" w:after="156" w:line="240" w:lineRule="auto"/>
        <w:widowControl w:val="off"/>
        <w:rPr>
          <w:rFonts w:ascii="黑体" w:hAnsi="Calibri" w:eastAsia="黑体" w:cs="Times New Roman"/>
          <w:b/>
          <w:color w:val="000000"/>
          <w:sz w:val="32"/>
          <w:szCs w:val="32"/>
          <w:lang w:val="en-US" w:eastAsia="zh-CN" w:bidi="ar-SA"/>
        </w:rPr>
        <w:outlineLvl w:val="0"/>
      </w:pPr>
      <w:r>
        <w:rPr>
          <w:rFonts w:hint="eastAsia" w:ascii="黑体" w:hAnsi="Calibri" w:eastAsia="黑体" w:cs="Times New Roman"/>
          <w:b/>
          <w:color w:val="000000"/>
          <w:sz w:val="32"/>
          <w:szCs w:val="32"/>
          <w:lang w:val="en-US" w:eastAsia="zh-CN" w:bidi="ar-SA"/>
        </w:rPr>
        <w:t xml:space="preserve">（一）项目需求及</w:t>
      </w:r>
      <w:r>
        <w:rPr>
          <w:rFonts w:ascii="黑体" w:hAnsi="Calibri" w:eastAsia="黑体" w:cs="Times New Roman"/>
          <w:b/>
          <w:color w:val="000000"/>
          <w:sz w:val="32"/>
          <w:szCs w:val="32"/>
          <w:lang w:val="en-US" w:eastAsia="zh-CN" w:bidi="ar-SA"/>
        </w:rPr>
        <w:t xml:space="preserve">说明</w:t>
      </w:r>
      <w:r>
        <w:rPr>
          <w:rFonts w:ascii="黑体" w:hAnsi="Calibri" w:eastAsia="黑体" w:cs="Times New Roman"/>
          <w:b/>
          <w:color w:val="000000"/>
          <w:sz w:val="32"/>
          <w:szCs w:val="32"/>
          <w:lang w:val="en-US" w:eastAsia="zh-CN" w:bidi="ar-SA"/>
        </w:rPr>
      </w:r>
      <w:r/>
    </w:p>
    <w:p>
      <w:pPr>
        <w:pStyle w:val="949"/>
        <w:numPr>
          <w:ilvl w:val="1"/>
          <w:numId w:val="8"/>
        </w:numPr>
        <w:jc w:val="both"/>
        <w:keepLines/>
        <w:keepNext/>
        <w:spacing w:before="156" w:line="440" w:lineRule="exact"/>
        <w:widowControl w:val="off"/>
        <w:tabs>
          <w:tab w:val="left" w:pos="420" w:leader="none"/>
        </w:tabs>
        <w:rPr>
          <w:rFonts w:hint="eastAsia" w:ascii="宋体" w:hAnsi="宋体" w:eastAsia="宋体" w:cs="宋体"/>
          <w:b/>
          <w:color w:val="000000"/>
          <w:sz w:val="24"/>
          <w:szCs w:val="28"/>
          <w:lang w:val="en-US" w:eastAsia="zh-CN" w:bidi="ar-SA"/>
        </w:rPr>
        <w:outlineLvl w:val="1"/>
      </w:pPr>
      <w:r>
        <w:rPr>
          <w:rFonts w:hint="eastAsia" w:ascii="宋体" w:hAnsi="宋体" w:eastAsia="宋体" w:cs="宋体"/>
          <w:b/>
          <w:color w:val="000000"/>
          <w:sz w:val="24"/>
          <w:szCs w:val="28"/>
          <w:lang w:val="en-US" w:eastAsia="zh-CN" w:bidi="ar-SA"/>
        </w:rPr>
        <w:t xml:space="preserve">项目概况</w:t>
      </w:r>
      <w:r>
        <w:rPr>
          <w:rFonts w:hint="eastAsia" w:ascii="宋体" w:hAnsi="宋体" w:eastAsia="宋体" w:cs="宋体"/>
          <w:b/>
          <w:color w:val="000000"/>
          <w:sz w:val="24"/>
          <w:szCs w:val="28"/>
          <w:lang w:val="en-US" w:eastAsia="zh-CN" w:bidi="ar-SA"/>
        </w:rPr>
      </w:r>
      <w:r/>
    </w:p>
    <w:p>
      <w:pPr>
        <w:pStyle w:val="949"/>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项目名称：雨花院区全路径安全检测与响应平台扩容项目</w:t>
      </w:r>
      <w:r>
        <w:rPr>
          <w:rFonts w:hint="eastAsia" w:ascii="宋体" w:hAnsi="宋体" w:eastAsia="宋体" w:cs="Times New Roman"/>
          <w:color w:val="000000"/>
          <w:sz w:val="24"/>
          <w:szCs w:val="24"/>
        </w:rPr>
      </w:r>
      <w:r/>
    </w:p>
    <w:p>
      <w:pPr>
        <w:pStyle w:val="949"/>
        <w:ind w:firstLine="480"/>
        <w:spacing w:line="360"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项目简介：新增安全威胁采集相关组件，实现网络侧与终端侧安全数据的全面采集、聚合分析，增强医疗信息系统的防护能力，保障医疗数据全生命周期安全。</w:t>
      </w:r>
      <w:r>
        <w:rPr>
          <w:rFonts w:hint="eastAsia" w:ascii="宋体" w:hAnsi="宋体" w:eastAsia="宋体" w:cs="Times New Roman"/>
          <w:color w:val="000000"/>
          <w:sz w:val="24"/>
          <w:szCs w:val="24"/>
        </w:rPr>
      </w:r>
      <w:r/>
    </w:p>
    <w:p>
      <w:pPr>
        <w:pStyle w:val="949"/>
        <w:numPr>
          <w:ilvl w:val="1"/>
          <w:numId w:val="8"/>
        </w:numPr>
        <w:jc w:val="both"/>
        <w:keepLines/>
        <w:keepNext/>
        <w:spacing w:before="156" w:line="440" w:lineRule="exact"/>
        <w:widowControl w:val="off"/>
        <w:tabs>
          <w:tab w:val="left" w:pos="420" w:leader="none"/>
        </w:tabs>
        <w:rPr>
          <w:rFonts w:hint="eastAsia" w:ascii="宋体" w:hAnsi="宋体" w:eastAsia="宋体" w:cs="Times New Roman"/>
          <w:b/>
          <w:color w:val="000000"/>
          <w:sz w:val="24"/>
          <w:szCs w:val="28"/>
          <w:lang w:val="en-US" w:eastAsia="zh-CN" w:bidi="ar-SA"/>
        </w:rPr>
        <w:outlineLvl w:val="1"/>
      </w:pPr>
      <w:r>
        <w:rPr>
          <w:rFonts w:hint="eastAsia" w:ascii="宋体" w:hAnsi="宋体" w:eastAsia="宋体" w:cs="Times New Roman"/>
          <w:b/>
          <w:color w:val="000000"/>
          <w:sz w:val="24"/>
          <w:szCs w:val="28"/>
          <w:lang w:val="en-US" w:eastAsia="zh-CN" w:bidi="ar-SA"/>
        </w:rPr>
        <w:t xml:space="preserve">项目技术要求</w:t>
      </w:r>
      <w:r>
        <w:rPr>
          <w:rFonts w:hint="eastAsia" w:ascii="宋体" w:hAnsi="宋体" w:eastAsia="宋体" w:cs="Times New Roman"/>
          <w:b/>
          <w:color w:val="000000"/>
          <w:sz w:val="24"/>
          <w:szCs w:val="28"/>
          <w:lang w:val="en-US" w:eastAsia="zh-CN" w:bidi="ar-SA"/>
        </w:rPr>
      </w:r>
      <w:r/>
    </w:p>
    <w:p>
      <w:pPr>
        <w:pStyle w:val="949"/>
        <w:numPr>
          <w:ilvl w:val="2"/>
          <w:numId w:val="8"/>
        </w:numPr>
        <w:jc w:val="both"/>
        <w:keepLines/>
        <w:keepNext/>
        <w:spacing w:before="0" w:after="0" w:line="440" w:lineRule="exact"/>
        <w:widowControl w:val="off"/>
        <w:tabs>
          <w:tab w:val="left" w:pos="420" w:leader="none"/>
        </w:tabs>
        <w:rPr>
          <w:rFonts w:hint="eastAsia" w:ascii="宋体" w:hAnsi="宋体" w:eastAsia="宋体" w:cs="Times New Roman"/>
          <w:b/>
          <w:color w:val="000000"/>
          <w:sz w:val="24"/>
          <w:szCs w:val="24"/>
          <w:lang w:val="en-US" w:eastAsia="zh-CN" w:bidi="ar-SA"/>
        </w:rPr>
        <w:outlineLvl w:val="2"/>
      </w:pPr>
      <w:r>
        <w:rPr>
          <w:rFonts w:hint="eastAsia" w:ascii="宋体" w:hAnsi="宋体" w:eastAsia="宋体" w:cs="Times New Roman"/>
          <w:b/>
          <w:color w:val="000000"/>
          <w:sz w:val="24"/>
          <w:szCs w:val="24"/>
          <w:lang w:val="en-US" w:eastAsia="zh-CN" w:bidi="ar-SA"/>
        </w:rPr>
        <w:t xml:space="preserve">项目清单</w:t>
      </w:r>
      <w:r>
        <w:rPr>
          <w:rFonts w:hint="eastAsia" w:ascii="宋体" w:hAnsi="宋体" w:eastAsia="宋体" w:cs="Times New Roman"/>
          <w:b/>
          <w:color w:val="000000"/>
          <w:sz w:val="24"/>
          <w:szCs w:val="24"/>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4135"/>
        <w:gridCol w:w="902"/>
        <w:gridCol w:w="882"/>
        <w:gridCol w:w="2168"/>
      </w:tblGrid>
      <w:tr>
        <w:trPr>
          <w:trHeight w:val="90"/>
        </w:trPr>
        <w:tc>
          <w:tcPr>
            <w:tcW w:w="535"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282"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名称</w:t>
            </w:r>
            <w:r>
              <w:rPr>
                <w:rFonts w:hint="eastAsia" w:ascii="宋体" w:hAnsi="宋体" w:eastAsia="宋体" w:cs="宋体"/>
                <w:color w:val="000000"/>
                <w:szCs w:val="21"/>
              </w:rPr>
            </w:r>
            <w:r/>
          </w:p>
        </w:tc>
        <w:tc>
          <w:tcPr>
            <w:tcW w:w="498"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数量</w:t>
            </w:r>
            <w:r>
              <w:rPr>
                <w:rFonts w:hint="eastAsia" w:ascii="宋体" w:hAnsi="宋体" w:eastAsia="宋体" w:cs="宋体"/>
                <w:color w:val="000000"/>
                <w:szCs w:val="21"/>
              </w:rPr>
            </w:r>
            <w:r/>
          </w:p>
        </w:tc>
        <w:tc>
          <w:tcPr>
            <w:tcW w:w="487"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w:t>
            </w:r>
            <w:r>
              <w:rPr>
                <w:rFonts w:hint="eastAsia" w:ascii="宋体" w:hAnsi="宋体" w:eastAsia="宋体" w:cs="宋体"/>
                <w:color w:val="000000"/>
                <w:szCs w:val="21"/>
              </w:rPr>
            </w:r>
            <w:r/>
          </w:p>
        </w:tc>
        <w:tc>
          <w:tcPr>
            <w:tcW w:w="1196"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备注</w:t>
            </w:r>
            <w:r>
              <w:rPr>
                <w:rFonts w:hint="eastAsia" w:ascii="宋体" w:hAnsi="宋体" w:eastAsia="宋体" w:cs="宋体"/>
                <w:color w:val="000000"/>
                <w:szCs w:val="21"/>
              </w:rPr>
            </w:r>
            <w:r/>
          </w:p>
        </w:tc>
      </w:tr>
      <w:tr>
        <w:trPr/>
        <w:tc>
          <w:tcPr>
            <w:tcW w:w="535"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282" w:type="dxa"/>
            <w:vAlign w:val="center"/>
            <w:textDirection w:val="lrTb"/>
            <w:noWrap w:val="false"/>
          </w:tcPr>
          <w:p>
            <w:pPr>
              <w:pStyle w:val="949"/>
              <w:jc w:val="center"/>
              <w:widowControl/>
              <w:rPr>
                <w:rFonts w:hint="eastAsia" w:ascii="宋体" w:hAnsi="宋体" w:eastAsia="宋体" w:cs="宋体"/>
                <w:b/>
                <w:bCs/>
                <w:color w:val="000000"/>
                <w:szCs w:val="21"/>
              </w:rPr>
            </w:pPr>
            <w:r>
              <w:rPr>
                <w:rFonts w:hint="eastAsia" w:ascii="宋体" w:hAnsi="宋体" w:eastAsia="宋体" w:cs="宋体"/>
                <w:b w:val="0"/>
                <w:bCs w:val="0"/>
                <w:color w:val="000000"/>
                <w:szCs w:val="21"/>
              </w:rPr>
              <w:t xml:space="preserve">外网安全威胁事件采集探针</w:t>
            </w:r>
            <w:r>
              <w:rPr>
                <w:rFonts w:hint="eastAsia" w:ascii="宋体" w:hAnsi="宋体" w:eastAsia="宋体" w:cs="宋体"/>
                <w:b/>
                <w:bCs/>
                <w:color w:val="000000"/>
                <w:szCs w:val="21"/>
              </w:rPr>
            </w:r>
            <w:r/>
          </w:p>
        </w:tc>
        <w:tc>
          <w:tcPr>
            <w:tcW w:w="498" w:type="dxa"/>
            <w:vAlign w:val="center"/>
            <w:textDirection w:val="lrTb"/>
            <w:noWrap w:val="false"/>
          </w:tcPr>
          <w:p>
            <w:pPr>
              <w:pStyle w:val="949"/>
              <w:jc w:val="center"/>
              <w:spacing w:line="44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W w:w="487" w:type="dxa"/>
            <w:vAlign w:val="center"/>
            <w:textDirection w:val="lrTb"/>
            <w:noWrap w:val="false"/>
          </w:tcPr>
          <w:p>
            <w:pPr>
              <w:pStyle w:val="949"/>
              <w:jc w:val="center"/>
              <w:spacing w:line="44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台</w:t>
            </w:r>
            <w:r>
              <w:rPr>
                <w:rFonts w:hint="eastAsia" w:ascii="宋体" w:hAnsi="宋体" w:eastAsia="宋体" w:cs="宋体"/>
                <w:b w:val="0"/>
                <w:bCs w:val="0"/>
                <w:color w:val="000000"/>
                <w:szCs w:val="21"/>
              </w:rPr>
            </w:r>
            <w:r/>
          </w:p>
        </w:tc>
        <w:tc>
          <w:tcPr>
            <w:tcW w:w="1196" w:type="dxa"/>
            <w:vAlign w:val="center"/>
            <w:textDirection w:val="lrTb"/>
            <w:noWrap w:val="false"/>
          </w:tcPr>
          <w:p>
            <w:pPr>
              <w:pStyle w:val="949"/>
              <w:jc w:val="center"/>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c>
          <w:tcPr>
            <w:tcW w:w="535"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282" w:type="dxa"/>
            <w:vAlign w:val="center"/>
            <w:textDirection w:val="lrTb"/>
            <w:noWrap w:val="false"/>
          </w:tcPr>
          <w:p>
            <w:pPr>
              <w:pStyle w:val="94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全路径端点采集器</w:t>
            </w:r>
            <w:r>
              <w:rPr>
                <w:rFonts w:hint="eastAsia" w:ascii="宋体" w:hAnsi="宋体" w:eastAsia="宋体" w:cs="宋体"/>
                <w:color w:val="000000"/>
                <w:szCs w:val="21"/>
              </w:rPr>
            </w:r>
            <w:r/>
          </w:p>
        </w:tc>
        <w:tc>
          <w:tcPr>
            <w:tcW w:w="498" w:type="dxa"/>
            <w:vAlign w:val="center"/>
            <w:textDirection w:val="lrTb"/>
            <w:noWrap w:val="false"/>
          </w:tcPr>
          <w:p>
            <w:pPr>
              <w:pStyle w:val="949"/>
              <w:jc w:val="center"/>
              <w:spacing w:line="44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700</w:t>
            </w:r>
            <w:r>
              <w:rPr>
                <w:rFonts w:ascii="宋体" w:hAnsi="宋体" w:eastAsia="宋体" w:cs="宋体"/>
                <w:color w:val="000000"/>
                <w:szCs w:val="21"/>
                <w:lang w:val="en-US" w:eastAsia="zh-CN"/>
              </w:rPr>
            </w:r>
            <w:r/>
          </w:p>
        </w:tc>
        <w:tc>
          <w:tcPr>
            <w:tcW w:w="487"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W w:w="1196" w:type="dxa"/>
            <w:vAlign w:val="center"/>
            <w:textDirection w:val="lrTb"/>
            <w:noWrap w:val="false"/>
          </w:tcPr>
          <w:p>
            <w:pPr>
              <w:pStyle w:val="949"/>
              <w:jc w:val="center"/>
              <w:spacing w:line="440" w:lineRule="exact"/>
              <w:rPr>
                <w:rFonts w:hint="eastAsia" w:ascii="宋体" w:hAnsi="宋体" w:eastAsia="宋体" w:cs="宋体"/>
                <w:color w:val="000000"/>
                <w:szCs w:val="21"/>
              </w:rPr>
            </w:pPr>
            <w:r>
              <w:rPr>
                <w:rFonts w:hint="eastAsia" w:ascii="宋体" w:hAnsi="宋体" w:eastAsia="宋体" w:cs="宋体"/>
                <w:b/>
                <w:bCs/>
                <w:color w:val="000000"/>
                <w:szCs w:val="21"/>
                <w:highlight w:val="none"/>
              </w:rPr>
              <w:t xml:space="preserve">核心产品</w:t>
            </w:r>
            <w:r>
              <w:rPr>
                <w:rFonts w:hint="eastAsia" w:ascii="宋体" w:hAnsi="宋体" w:eastAsia="宋体" w:cs="宋体"/>
                <w:color w:val="000000"/>
                <w:szCs w:val="21"/>
              </w:rPr>
            </w:r>
            <w:r/>
          </w:p>
        </w:tc>
      </w:tr>
    </w:tbl>
    <w:p>
      <w:pPr>
        <w:pStyle w:val="949"/>
        <w:rPr>
          <w:rFonts w:ascii="Calibri" w:hAnsi="Calibri" w:eastAsia="宋体" w:cs="Times New Roman"/>
          <w:color w:val="000000"/>
        </w:rPr>
      </w:pPr>
      <w:r>
        <w:rPr>
          <w:rFonts w:ascii="Calibri" w:hAnsi="Calibri" w:eastAsia="宋体" w:cs="Times New Roman"/>
          <w:color w:val="000000"/>
        </w:rPr>
      </w:r>
      <w:r/>
    </w:p>
    <w:p>
      <w:pPr>
        <w:pStyle w:val="949"/>
        <w:numPr>
          <w:ilvl w:val="2"/>
          <w:numId w:val="8"/>
        </w:numPr>
        <w:jc w:val="both"/>
        <w:keepLines/>
        <w:keepNext/>
        <w:spacing w:before="20" w:after="20" w:line="360" w:lineRule="auto"/>
        <w:widowControl w:val="off"/>
        <w:tabs>
          <w:tab w:val="left" w:pos="420" w:leader="none"/>
        </w:tabs>
        <w:rPr>
          <w:rFonts w:ascii="Calibri" w:hAnsi="Calibri" w:eastAsia="宋体" w:cs="Times New Roman"/>
          <w:b/>
          <w:color w:val="000000"/>
          <w:sz w:val="24"/>
          <w:szCs w:val="24"/>
          <w:lang w:val="en-US" w:eastAsia="zh-CN" w:bidi="ar-SA"/>
        </w:rPr>
        <w:outlineLvl w:val="2"/>
      </w:pPr>
      <w:r/>
      <w:bookmarkStart w:id="182" w:name="OLE_LINK2"/>
      <w:r>
        <w:rPr>
          <w:rFonts w:hint="eastAsia" w:ascii="Calibri" w:hAnsi="Calibri" w:eastAsia="宋体" w:cs="Times New Roman"/>
          <w:b/>
          <w:color w:val="000000"/>
          <w:sz w:val="24"/>
          <w:szCs w:val="24"/>
          <w:lang w:val="en-US" w:eastAsia="zh-CN" w:bidi="ar-SA"/>
        </w:rPr>
        <w:t xml:space="preserve">参数配置</w:t>
      </w:r>
      <w:bookmarkEnd w:id="182"/>
      <w:r>
        <w:rPr>
          <w:rFonts w:hint="eastAsia" w:ascii="Calibri" w:hAnsi="Calibri" w:eastAsia="宋体" w:cs="Times New Roman"/>
          <w:b/>
          <w:color w:val="000000"/>
          <w:sz w:val="24"/>
          <w:szCs w:val="24"/>
          <w:lang w:val="en-US" w:eastAsia="zh-CN" w:bidi="ar-SA"/>
        </w:rPr>
        <w:t xml:space="preserve">要求</w:t>
      </w:r>
      <w:r>
        <w:rPr>
          <w:rFonts w:ascii="Calibri" w:hAnsi="Calibri" w:eastAsia="宋体" w:cs="Times New Roman"/>
          <w:b/>
          <w:color w:val="000000"/>
          <w:sz w:val="24"/>
          <w:szCs w:val="24"/>
          <w:lang w:val="en-US" w:eastAsia="zh-CN" w:bidi="ar-SA"/>
        </w:rPr>
      </w:r>
      <w:r/>
    </w:p>
    <w:p>
      <w:pPr>
        <w:pStyle w:val="949"/>
        <w:numPr>
          <w:ilvl w:val="3"/>
          <w:numId w:val="8"/>
        </w:numPr>
        <w:jc w:val="both"/>
        <w:keepLines/>
        <w:keepNext/>
        <w:spacing w:line="360" w:lineRule="auto"/>
        <w:widowControl w:val="off"/>
        <w:tabs>
          <w:tab w:val="left" w:pos="420" w:leader="none"/>
        </w:tabs>
        <w:rPr>
          <w:rFonts w:ascii="Arial Bold" w:hAnsi="Arial Bold" w:eastAsia="宋体" w:cs="Times New Roman"/>
          <w:b/>
          <w:color w:val="000000"/>
          <w:sz w:val="24"/>
          <w:szCs w:val="24"/>
          <w:lang w:val="en-US" w:eastAsia="zh-CN" w:bidi="ar-SA"/>
        </w:rPr>
        <w:outlineLvl w:val="3"/>
      </w:pPr>
      <w:r>
        <w:rPr>
          <w:rFonts w:hint="eastAsia" w:ascii="Arial Bold" w:hAnsi="Arial Bold" w:eastAsia="宋体" w:cs="Times New Roman"/>
          <w:b/>
          <w:color w:val="000000"/>
          <w:sz w:val="24"/>
          <w:szCs w:val="24"/>
          <w:lang w:val="en-US" w:eastAsia="zh-CN" w:bidi="ar-SA"/>
        </w:rPr>
        <w:t xml:space="preserve">外网安全威胁事件采集探针</w:t>
      </w:r>
      <w:r>
        <w:rPr>
          <w:rFonts w:ascii="Arial Bold" w:hAnsi="Arial Bold" w:eastAsia="宋体" w:cs="Times New Roman"/>
          <w:b/>
          <w:color w:val="000000"/>
          <w:sz w:val="24"/>
          <w:szCs w:val="24"/>
          <w:lang w:val="en-US" w:eastAsia="zh-CN" w:bidi="ar-SA"/>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78"/>
        <w:gridCol w:w="8078"/>
      </w:tblGrid>
      <w:tr>
        <w:trPr>
          <w:trHeight w:val="3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4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指标项</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tcPr>
          <w:p>
            <w:pPr>
              <w:pStyle w:val="94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详细要求</w:t>
            </w:r>
            <w:r>
              <w:rPr>
                <w:rFonts w:hint="eastAsia" w:ascii="宋体" w:hAnsi="宋体" w:eastAsia="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4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性能指标</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rPr>
                <w:rFonts w:hint="eastAsia" w:ascii="宋体" w:hAnsi="宋体" w:eastAsia="宋体" w:cs="宋体"/>
                <w:color w:val="000000"/>
                <w:szCs w:val="21"/>
                <w:lang w:bidi="ar"/>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color w:val="000000"/>
                <w:szCs w:val="21"/>
              </w:rPr>
              <w:t xml:space="preserve">网络层吞吐量≥6Gbps，应用层吞吐量≥2Gbps；接口配置：≥16千兆电口、≥6万兆光口SFP+；内存大小≥16G，硬盘容量≥960G SSD；冗余电源；含三年特征库升级服务、三年原厂质保服务。</w:t>
            </w:r>
            <w:r>
              <w:rPr>
                <w:rFonts w:hint="eastAsia" w:ascii="宋体" w:hAnsi="宋体" w:eastAsia="宋体" w:cs="宋体"/>
                <w:color w:val="000000"/>
                <w:szCs w:val="21"/>
                <w:lang w:bidi="ar"/>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pStyle w:val="94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功能要求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支持多种类型弱口令策略可选；支持自定义FTP弱口令检测，规则设置如空口令、用户名和密码相同、长度、弱口令列表等；支持口令暴力破解检测不同类型（FTP/WEB登录）的爆破次数。</w:t>
            </w:r>
            <w:r>
              <w:rPr>
                <w:rFonts w:hint="eastAsia" w:ascii="宋体" w:hAnsi="宋体" w:eastAsia="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color w:val="000000"/>
                <w:szCs w:val="21"/>
                <w:lang w:bidi="ar"/>
              </w:rPr>
              <w:t xml:space="preserve">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rPr>
                <w:rFonts w:hint="eastAsia" w:ascii="宋体" w:hAnsi="宋体" w:eastAsia="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支持Database漏洞攻击、DNS漏洞攻击、FTP漏洞攻击、Mail漏洞攻击、Media漏洞攻击、Network Device、Shellcode漏洞攻击、System漏洞攻击、Telnet漏洞攻击、Tftp漏洞攻击、Web漏洞攻击、IPS云防护等服务漏洞攻击检测。</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支持SQL注入、XSS攻击、网页木马、网站扫描、WEBSHELL、跨站请求伪造、系统命令注入、文件包含攻击、目录遍历攻击、信息泄露攻击、Web整站系统漏洞、自定义WAF规则、WAF云防护等网站攻击检测。</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支持检测出网络中的网络拓扑设备进行绘制，更直观可视化查看网络整体情况。</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支持基于IP和域名的旁路阻断，能够在实时镜像的流量中发现恶意IP并实现实时阻断，支持24小时/7天/最近30天/永久或者自定义时间阻断威胁。</w:t>
            </w:r>
            <w:r>
              <w:rPr>
                <w:rFonts w:hint="eastAsia" w:ascii="宋体" w:hAnsi="宋体" w:eastAsia="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支持通过白流量过滤的方式，过滤安全网站访问，提升性能。</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支持5种场景的日志传输模式,包含标准模式、精简模式、高级模式、局域网模式、自定义模式，适应不同应用场景需求。</w:t>
            </w:r>
            <w:r>
              <w:rPr>
                <w:rFonts w:hint="eastAsia" w:ascii="宋体" w:hAnsi="宋体" w:eastAsia="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支持传输协议审计日志，包括https、http、DNS、邮件协议审计日志、SMB、AD域、WEB登录、FTP、TELNET、ICMP 、SNMP 、SSL 、SSH、SIP 、ONVIF 、NFS 、SOCKS 、dhcp、netbios_nbns、流量元数据审计、数据库审计协议等。</w:t>
            </w:r>
            <w:r>
              <w:rPr>
                <w:rFonts w:hint="eastAsia" w:ascii="宋体" w:hAnsi="宋体" w:eastAsia="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审计白名单支持源目IP、源目端口和日志类型、日志来源。</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支持HTTP未知站点下载可执行文件、浏览最近30天注册域名、浏览恶意动态域名、访问随机算法生成域名、暴力破解攻击、反弹连接、IRC通信等僵尸网络行为检测。</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支持将流量还原的文件发送至沙盒分析；可支持安天追影高级鉴定系统第三方沙盒对接。</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内置URL库、IPS漏洞特征识别库、应用识别库、WEB应用防护识别库、僵尸网络识别库、实时漏洞分析识别库、白名单库。</w:t>
            </w:r>
            <w:r>
              <w:rPr>
                <w:rFonts w:hint="eastAsia" w:ascii="宋体" w:hAnsi="宋体" w:eastAsia="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支持流量抓包分析，基于五元组灵活抓取数据包，可定义配置源IP、源端口、目的IP和目的端口、传输层协议选择添加抓包任务，并支持带标签抓取vlan、mpls等协议数据包，帮助安全工程师高效分析威胁。</w:t>
            </w:r>
            <w:r>
              <w:rPr>
                <w:rFonts w:hint="eastAsia" w:ascii="宋体" w:hAnsi="宋体" w:eastAsia="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jc w:val="left"/>
              <w:widowControl/>
              <w:rPr>
                <w:rFonts w:ascii="宋体" w:hAnsi="宋体" w:eastAsia="宋体" w:cs="宋体"/>
                <w:color w:val="000000"/>
                <w:szCs w:val="21"/>
                <w:highlight w:val="none"/>
                <w:lang w:val="en-US" w:eastAsia="zh-CN"/>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color w:val="000000"/>
                <w:szCs w:val="21"/>
                <w:highlight w:val="none"/>
                <w:lang w:bidi="ar"/>
              </w:rPr>
              <w:t xml:space="preserve">支持将安全日志，审计日志上报给现有的SAAS XDR ，提供统一展示和检索入口，同时作为数据源提供事件举证信息。（需分别提供投标产品和SAAS XDR平台功能截图证明并加盖公章）</w:t>
            </w:r>
            <w:r>
              <w:rPr>
                <w:rFonts w:ascii="宋体" w:hAnsi="宋体" w:eastAsia="宋体" w:cs="宋体"/>
                <w:color w:val="000000"/>
                <w:szCs w:val="21"/>
                <w:highlight w:val="none"/>
                <w:lang w:val="en-US" w:eastAsia="zh-CN"/>
              </w:rPr>
            </w:r>
            <w:r/>
          </w:p>
        </w:tc>
      </w:tr>
      <w:tr>
        <w:trPr>
          <w:trHeight w:val="136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949"/>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9" w:type="dxa"/>
            <w:vAlign w:val="center"/>
            <w:textDirection w:val="lrTb"/>
            <w:noWrap w:val="false"/>
          </w:tcPr>
          <w:p>
            <w:pPr>
              <w:pStyle w:val="949"/>
              <w:jc w:val="left"/>
              <w:widowControl/>
              <w:rPr>
                <w:rFonts w:hint="eastAsia" w:ascii="宋体" w:hAnsi="宋体" w:eastAsia="宋体" w:cs="宋体"/>
                <w:color w:val="000000"/>
                <w:szCs w:val="21"/>
                <w:highlight w:val="none"/>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color w:val="000000"/>
                <w:szCs w:val="21"/>
                <w:highlight w:val="none"/>
                <w:lang w:bidi="ar"/>
              </w:rPr>
              <w:t xml:space="preserve">支持通过与现有外网服务器防病毒aES进行日志关联聚合，在现有SAAS XDR上可以实现进程级取证，失陷主机定位更精准，并以可视化图谱直观清晰地展示出完整的攻击链，帮助快速找到症结，大幅提升事件检测、溯源取证、闭环处置效果。（需分别提供投标产品和SAAS XDR平台功能截图证明并加盖公章）</w:t>
            </w:r>
            <w:r>
              <w:rPr>
                <w:rFonts w:hint="eastAsia" w:ascii="宋体" w:hAnsi="宋体" w:eastAsia="宋体" w:cs="宋体"/>
                <w:color w:val="000000"/>
                <w:szCs w:val="21"/>
                <w:highlight w:val="none"/>
              </w:rPr>
            </w:r>
            <w:r/>
          </w:p>
        </w:tc>
      </w:tr>
    </w:tbl>
    <w:p>
      <w:pPr>
        <w:pStyle w:val="949"/>
        <w:rPr>
          <w:rFonts w:ascii="Calibri" w:hAnsi="Calibri" w:eastAsia="宋体" w:cs="Times New Roman"/>
          <w:color w:val="000000"/>
        </w:rPr>
      </w:pPr>
      <w:r>
        <w:rPr>
          <w:rFonts w:ascii="Calibri" w:hAnsi="Calibri" w:eastAsia="宋体" w:cs="Times New Roman"/>
          <w:color w:val="000000"/>
        </w:rPr>
      </w:r>
      <w:r/>
    </w:p>
    <w:p>
      <w:pPr>
        <w:pStyle w:val="949"/>
        <w:numPr>
          <w:ilvl w:val="3"/>
          <w:numId w:val="8"/>
        </w:numPr>
        <w:jc w:val="both"/>
        <w:keepLines/>
        <w:keepNext/>
        <w:spacing w:line="360" w:lineRule="auto"/>
        <w:widowControl w:val="off"/>
        <w:tabs>
          <w:tab w:val="left" w:pos="420" w:leader="none"/>
        </w:tabs>
        <w:rPr>
          <w:rFonts w:ascii="Arial Bold" w:hAnsi="Arial Bold" w:eastAsia="宋体" w:cs="Times New Roman"/>
          <w:b/>
          <w:color w:val="000000"/>
          <w:sz w:val="24"/>
          <w:szCs w:val="24"/>
          <w:lang w:val="en-US" w:eastAsia="zh-CN" w:bidi="ar-SA"/>
        </w:rPr>
        <w:outlineLvl w:val="3"/>
      </w:pPr>
      <w:r>
        <w:rPr>
          <w:rFonts w:hint="eastAsia" w:ascii="Arial Bold" w:hAnsi="Arial Bold" w:eastAsia="宋体" w:cs="Times New Roman"/>
          <w:b/>
          <w:color w:val="000000"/>
          <w:sz w:val="24"/>
          <w:szCs w:val="24"/>
          <w:lang w:val="en-US" w:eastAsia="zh-CN" w:bidi="ar-SA"/>
        </w:rPr>
        <w:t xml:space="preserve">全路径端点采集器</w:t>
      </w:r>
      <w:r>
        <w:rPr>
          <w:rFonts w:ascii="Arial Bold" w:hAnsi="Arial Bold" w:eastAsia="宋体" w:cs="Times New Roman"/>
          <w:b/>
          <w:color w:val="000000"/>
          <w:sz w:val="24"/>
          <w:szCs w:val="24"/>
          <w:lang w:val="en-US" w:eastAsia="zh-CN" w:bidi="ar-SA"/>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66"/>
        <w:gridCol w:w="7790"/>
      </w:tblGrid>
      <w:tr>
        <w:trPr>
          <w:trHeight w:val="3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4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指标项</w:t>
            </w:r>
            <w:r>
              <w:rPr>
                <w:rFonts w:hint="eastAsia" w:ascii="宋体" w:hAnsi="宋体" w:eastAsia="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tcPr>
          <w:p>
            <w:pPr>
              <w:pStyle w:val="94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详细要求</w:t>
            </w:r>
            <w:r>
              <w:rPr>
                <w:rFonts w:hint="eastAsia" w:ascii="宋体" w:hAnsi="宋体" w:eastAsia="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49"/>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性能指标</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pStyle w:val="949"/>
              <w:jc w:val="left"/>
              <w:widowControl/>
              <w:rPr>
                <w:rFonts w:hint="eastAsia" w:ascii="宋体" w:hAnsi="宋体" w:cs="宋体"/>
                <w:i/>
                <w:iCs/>
                <w:color w:val="000000"/>
                <w:szCs w:val="21"/>
                <w:u w:val="single"/>
                <w:lang w:bidi="ar"/>
              </w:rPr>
            </w:pPr>
            <w:r>
              <w:rPr>
                <w:rFonts w:hint="eastAsia" w:ascii="方正仿宋_GBK" w:hAnsi="方正仿宋_GBK" w:eastAsia="方正仿宋_GBK" w:cs="方正仿宋_GBK"/>
                <w:b/>
                <w:bCs/>
                <w:i/>
                <w:iCs/>
                <w:sz w:val="28"/>
                <w:szCs w:val="28"/>
                <w:u w:val="single"/>
                <w:lang w:val="en-US" w:eastAsia="zh-CN"/>
              </w:rPr>
              <w:t xml:space="preserve">*</w:t>
            </w:r>
            <w:r>
              <w:rPr>
                <w:rFonts w:hint="eastAsia" w:ascii="宋体" w:hAnsi="宋体" w:cs="宋体"/>
                <w:i/>
                <w:iCs/>
                <w:color w:val="000000"/>
                <w:szCs w:val="21"/>
                <w:u w:val="single"/>
                <w:lang w:bidi="ar"/>
              </w:rPr>
              <w:t xml:space="preserve">1、可联动我院SAAS XDR平台对攻击行为可视化溯源，形成安全事件的溯源图。并定位到的风险文件、进程等下发处置动作（提供详细可视化溯源截图以及处置界面截图证明并加盖公章）</w:t>
            </w:r>
            <w:r>
              <w:rPr>
                <w:rFonts w:hint="eastAsia" w:ascii="宋体" w:hAnsi="宋体" w:cs="宋体"/>
                <w:i/>
                <w:iCs/>
                <w:color w:val="000000"/>
                <w:szCs w:val="21"/>
                <w:u w:val="single"/>
                <w:lang w:bidi="ar"/>
              </w:rPr>
            </w:r>
            <w:r/>
          </w:p>
          <w:p>
            <w:pPr>
              <w:pStyle w:val="949"/>
              <w:jc w:val="left"/>
              <w:widowControl/>
              <w:rPr>
                <w:rFonts w:hint="eastAsia" w:ascii="宋体" w:hAnsi="宋体" w:eastAsia="宋体" w:cs="宋体"/>
                <w:i/>
                <w:iCs/>
                <w:color w:val="000000"/>
                <w:szCs w:val="21"/>
                <w:u w:val="single"/>
                <w:lang w:bidi="ar"/>
              </w:rPr>
            </w:pPr>
            <w:r>
              <w:rPr>
                <w:rFonts w:hint="eastAsia" w:ascii="方正仿宋_GBK" w:hAnsi="方正仿宋_GBK" w:eastAsia="方正仿宋_GBK" w:cs="方正仿宋_GBK"/>
                <w:b/>
                <w:bCs/>
                <w:i/>
                <w:iCs/>
                <w:sz w:val="28"/>
                <w:szCs w:val="28"/>
                <w:u w:val="single"/>
                <w:lang w:val="en-US" w:eastAsia="zh-CN"/>
              </w:rPr>
              <w:t xml:space="preserve">*</w:t>
            </w:r>
            <w:r>
              <w:rPr>
                <w:rFonts w:hint="eastAsia" w:ascii="宋体" w:hAnsi="宋体" w:eastAsia="宋体" w:cs="宋体"/>
                <w:i/>
                <w:iCs/>
                <w:color w:val="000000"/>
                <w:szCs w:val="21"/>
                <w:u w:val="single"/>
                <w:lang w:bidi="ar"/>
              </w:rPr>
              <w:t xml:space="preserve">2、通过SAAS XDR平台联动该系统进行隔离主机，展示隔离主机的详细信息，包括主机IP、关联告警、关联事件、处置人、处置时间、处置状态和联动设备等，可对已隔离的主机进行解除隔离。（提供截图证明并加盖公章）</w:t>
            </w:r>
            <w:r>
              <w:rPr>
                <w:rFonts w:hint="eastAsia" w:ascii="宋体" w:hAnsi="宋体" w:eastAsia="宋体" w:cs="宋体"/>
                <w:i/>
                <w:iCs/>
                <w:color w:val="000000"/>
                <w:szCs w:val="21"/>
                <w:u w:val="single"/>
                <w:lang w:bidi="ar"/>
              </w:rPr>
            </w:r>
            <w:r/>
          </w:p>
          <w:p>
            <w:pPr>
              <w:pStyle w:val="949"/>
              <w:jc w:val="left"/>
              <w:widowControl/>
              <w:rPr>
                <w:rFonts w:hint="eastAsia" w:ascii="宋体" w:hAnsi="宋体" w:eastAsia="宋体" w:cs="宋体"/>
                <w:i/>
                <w:iCs/>
                <w:color w:val="000000"/>
                <w:szCs w:val="21"/>
                <w:u w:val="single"/>
                <w:lang w:bidi="ar"/>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i w:val="0"/>
                <w:iCs w:val="0"/>
                <w:color w:val="000000"/>
                <w:szCs w:val="21"/>
                <w:u w:val="none"/>
                <w:lang w:bidi="ar"/>
              </w:rPr>
              <w:t xml:space="preserve">3、配置700个全路径端点采集器许可，包含杀毒、主机安全、流量采集功能</w:t>
            </w:r>
            <w:r>
              <w:rPr>
                <w:rFonts w:hint="eastAsia" w:ascii="宋体" w:hAnsi="宋体" w:eastAsia="宋体" w:cs="宋体"/>
                <w:i/>
                <w:iCs/>
                <w:color w:val="000000"/>
                <w:szCs w:val="21"/>
                <w:u w:val="single"/>
                <w:lang w:bidi="ar"/>
              </w:rPr>
            </w:r>
            <w:r/>
          </w:p>
        </w:tc>
      </w:tr>
      <w:tr>
        <w:trPr>
          <w:trHeight w:val="68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949"/>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服务要求</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pStyle w:val="949"/>
              <w:jc w:val="left"/>
              <w:widowControl/>
              <w:rPr>
                <w:rFonts w:hint="eastAsia" w:ascii="宋体" w:hAnsi="宋体" w:eastAsia="宋体" w:cs="宋体"/>
                <w:i w:val="0"/>
                <w:iCs w:val="0"/>
                <w:color w:val="000000"/>
                <w:szCs w:val="21"/>
                <w:u w:val="none"/>
                <w:lang w:bidi="ar"/>
              </w:rPr>
            </w:pPr>
            <w:r>
              <w:rPr>
                <w:rFonts w:hint="eastAsia" w:ascii="PingFang SC" w:hAnsi="PingFang SC" w:eastAsia="PingFang SC" w:cs="PingFang SC"/>
                <w:color w:val="000000"/>
                <w:szCs w:val="21"/>
                <w:highlight w:val="none"/>
                <w:lang w:bidi="ar"/>
              </w:rPr>
              <w:t xml:space="preserve">▲</w:t>
            </w:r>
            <w:r>
              <w:rPr>
                <w:rFonts w:hint="eastAsia" w:ascii="宋体" w:hAnsi="宋体" w:eastAsia="宋体" w:cs="宋体"/>
                <w:i w:val="0"/>
                <w:iCs w:val="0"/>
                <w:color w:val="000000"/>
                <w:szCs w:val="21"/>
                <w:u w:val="none"/>
                <w:lang w:bidi="ar"/>
              </w:rPr>
              <w:t xml:space="preserve">提供700个客户端安装服务。</w:t>
            </w:r>
            <w:r>
              <w:rPr>
                <w:rFonts w:hint="eastAsia" w:ascii="宋体" w:hAnsi="宋体" w:eastAsia="宋体" w:cs="宋体"/>
                <w:i w:val="0"/>
                <w:iCs w:val="0"/>
                <w:color w:val="000000"/>
                <w:szCs w:val="21"/>
                <w:u w:val="none"/>
                <w:lang w:bidi="ar"/>
              </w:rPr>
            </w:r>
            <w:r/>
          </w:p>
        </w:tc>
      </w:tr>
    </w:tbl>
    <w:p>
      <w:pPr>
        <w:pStyle w:val="949"/>
        <w:rPr>
          <w:rFonts w:ascii="Calibri" w:hAnsi="Calibri" w:eastAsia="宋体" w:cs="Times New Roman"/>
          <w:color w:val="000000"/>
        </w:rPr>
      </w:pPr>
      <w:r>
        <w:rPr>
          <w:rFonts w:ascii="Calibri" w:hAnsi="Calibri" w:eastAsia="宋体" w:cs="Times New Roman"/>
          <w:color w:val="000000"/>
        </w:rPr>
      </w:r>
      <w:r/>
    </w:p>
    <w:p>
      <w:pPr>
        <w:pStyle w:val="951"/>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四、商务要求</w:t>
      </w:r>
      <w:r>
        <w:rPr>
          <w:rFonts w:hint="eastAsia" w:ascii="黑体" w:hAnsi="黑体" w:eastAsia="黑体" w:cs="Arial"/>
          <w:b w:val="0"/>
          <w:bCs w:val="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49"/>
        <w:ind w:left="412" w:hanging="410"/>
        <w:spacing w:line="440" w:lineRule="exact"/>
        <w:rPr>
          <w:rFonts w:hint="eastAsia" w:ascii="宋体" w:hAnsi="宋体" w:eastAsia="宋体" w:cs="宋体"/>
          <w:color w:val="000000"/>
        </w:rPr>
      </w:pPr>
      <w:r>
        <w:rPr>
          <w:rFonts w:hint="eastAsia" w:ascii="宋体" w:hAnsi="宋体" w:eastAsia="宋体" w:cs="宋体"/>
          <w:b/>
          <w:color w:val="000000"/>
          <w:sz w:val="24"/>
          <w:szCs w:val="24"/>
        </w:rPr>
        <w:t xml:space="preserve">1. 税：</w:t>
      </w:r>
      <w:r>
        <w:rPr>
          <w:rFonts w:hint="eastAsia" w:ascii="宋体" w:hAnsi="宋体" w:eastAsia="宋体" w:cs="宋体"/>
          <w:color w:val="000000"/>
          <w:sz w:val="24"/>
          <w:szCs w:val="24"/>
        </w:rPr>
        <w:t xml:space="preserve">本项目执行中相关的一切税费均由中标单位负担。</w:t>
      </w:r>
      <w:r>
        <w:rPr>
          <w:rFonts w:hint="eastAsia" w:ascii="宋体" w:hAnsi="宋体" w:eastAsia="宋体" w:cs="宋体"/>
          <w:color w:val="000000"/>
        </w:rPr>
      </w:r>
      <w:r/>
    </w:p>
    <w:p>
      <w:pPr>
        <w:pStyle w:val="949"/>
        <w:spacing w:line="440" w:lineRule="exact"/>
        <w:rPr>
          <w:rFonts w:hint="eastAsia" w:ascii="宋体" w:hAnsi="宋体" w:eastAsia="宋体" w:cs="宋体"/>
          <w:color w:val="000000"/>
          <w:sz w:val="24"/>
        </w:rPr>
      </w:pPr>
      <w:r>
        <w:rPr>
          <w:rFonts w:hint="eastAsia" w:ascii="宋体" w:hAnsi="宋体" w:eastAsia="宋体" w:cs="宋体"/>
          <w:b/>
          <w:color w:val="000000"/>
          <w:sz w:val="24"/>
        </w:rPr>
        <w:t xml:space="preserve">2. 项目工期：</w:t>
      </w:r>
      <w:r>
        <w:rPr>
          <w:rFonts w:hint="eastAsia" w:ascii="宋体" w:hAnsi="宋体" w:eastAsia="宋体" w:cs="宋体"/>
          <w:bCs/>
          <w:color w:val="000000"/>
          <w:sz w:val="24"/>
          <w:lang w:eastAsia="zh-CN"/>
        </w:rPr>
        <w:t xml:space="preserve">合同签订</w:t>
      </w:r>
      <w:r>
        <w:rPr>
          <w:rFonts w:hint="eastAsia" w:ascii="宋体" w:hAnsi="宋体" w:eastAsia="宋体" w:cs="宋体"/>
          <w:bCs/>
          <w:color w:val="000000"/>
          <w:sz w:val="24"/>
        </w:rPr>
        <w:t xml:space="preserve">后</w:t>
      </w:r>
      <w:r>
        <w:rPr>
          <w:rFonts w:hint="eastAsia" w:ascii="宋体" w:hAnsi="宋体" w:eastAsia="宋体" w:cs="宋体"/>
          <w:b/>
          <w:color w:val="000000"/>
          <w:sz w:val="24"/>
        </w:rPr>
        <w:t xml:space="preserve">30</w:t>
      </w:r>
      <w:r>
        <w:rPr>
          <w:rFonts w:hint="eastAsia" w:ascii="宋体" w:hAnsi="宋体" w:eastAsia="宋体" w:cs="宋体"/>
          <w:bCs/>
          <w:color w:val="000000"/>
          <w:sz w:val="24"/>
        </w:rPr>
        <w:t xml:space="preserve">天内。</w:t>
      </w:r>
      <w:r>
        <w:rPr>
          <w:rFonts w:hint="eastAsia" w:ascii="宋体" w:hAnsi="宋体" w:eastAsia="宋体" w:cs="宋体"/>
          <w:color w:val="000000"/>
          <w:sz w:val="24"/>
        </w:rPr>
      </w:r>
      <w:r/>
    </w:p>
    <w:p>
      <w:pPr>
        <w:pStyle w:val="949"/>
        <w:ind w:left="412" w:hanging="410"/>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3. 质保期：</w:t>
      </w:r>
      <w:r>
        <w:rPr>
          <w:rFonts w:hint="eastAsia" w:ascii="宋体" w:hAnsi="Courier New" w:eastAsia="宋体" w:cs="Times New Roman"/>
          <w:color w:val="000000"/>
          <w:sz w:val="24"/>
          <w:szCs w:val="24"/>
          <w:lang w:val="en-US" w:eastAsia="zh-CN" w:bidi="ar-SA"/>
        </w:rPr>
        <w:t xml:space="preserve">至少</w:t>
      </w:r>
      <w:r>
        <w:rPr>
          <w:rFonts w:hint="eastAsia" w:ascii="宋体" w:hAnsi="Courier New" w:eastAsia="宋体" w:cs="Times New Roman"/>
          <w:b/>
          <w:bCs/>
          <w:color w:val="000000"/>
          <w:sz w:val="24"/>
          <w:szCs w:val="24"/>
          <w:lang w:val="en-US" w:eastAsia="zh-CN" w:bidi="ar-SA"/>
        </w:rPr>
        <w:t xml:space="preserve">叁</w:t>
      </w:r>
      <w:r>
        <w:rPr>
          <w:rFonts w:hint="eastAsia" w:ascii="宋体" w:hAnsi="Courier New" w:eastAsia="宋体" w:cs="Times New Roman"/>
          <w:color w:val="000000"/>
          <w:sz w:val="24"/>
          <w:szCs w:val="24"/>
          <w:lang w:val="en-US" w:eastAsia="zh-CN" w:bidi="ar-SA"/>
        </w:rPr>
        <w:t xml:space="preserve">年原厂质保，自验收合格之日起</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000000"/>
          <w:sz w:val="24"/>
          <w:szCs w:val="24"/>
          <w:lang w:val="en-US" w:eastAsia="zh-CN" w:bidi="ar-SA"/>
        </w:rPr>
      </w:r>
      <w:r/>
    </w:p>
    <w:p>
      <w:pPr>
        <w:pStyle w:val="949"/>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4. 安装调试和验收要求：</w:t>
      </w:r>
      <w:r>
        <w:rPr>
          <w:rFonts w:hint="eastAsia" w:ascii="宋体" w:hAnsi="宋体" w:eastAsia="宋体" w:cs="宋体"/>
          <w:b/>
          <w:color w:val="000000"/>
          <w:sz w:val="24"/>
          <w:szCs w:val="24"/>
          <w:lang w:val="en-US" w:eastAsia="zh-CN" w:bidi="ar-SA"/>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（1）按照我院要求完成设备安装及调试，与我院现有软件进行适配，所产生的费用由中标方承担，并出具设备操作说明材料，以及人员操作培训。</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（2）中标方应按照院方要求安装设备，同时承担安装产生的所有费用。</w:t>
      </w:r>
      <w:r>
        <w:rPr>
          <w:rFonts w:hint="eastAsia" w:ascii="宋体" w:hAnsi="宋体" w:eastAsia="宋体" w:cs="宋体"/>
          <w:color w:val="000000"/>
          <w:sz w:val="24"/>
          <w:szCs w:val="24"/>
        </w:rPr>
      </w:r>
      <w:r/>
    </w:p>
    <w:p>
      <w:pPr>
        <w:pStyle w:val="949"/>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 质量保证及服务</w:t>
      </w:r>
      <w:r>
        <w:rPr>
          <w:rFonts w:hint="eastAsia" w:ascii="宋体" w:hAnsi="宋体" w:eastAsia="宋体" w:cs="宋体"/>
          <w:b/>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1、中标方应按招标文件规定的产品性能、技术要求、质量标准向我院提供未经使用的全新产品。</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2、中标方提供的产品在质量期内因产品本身的质量问题发生故障，中标方应负责免费更换。对达不到技术要求者，根据实际情况，经双方协商，可按以下办法处理：</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（1）更换：由中标方承担所发生的全部费用。</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（2）退货处理：中标方应退还我院支付的合同款，同时应承担该货物的直接费用（运输、保险、检验、货款利息及银行手续费等）。</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在使用过程中发生质量问题，中标方在接到我院通知后在_1_小时内到达我院现场,若中标方在到场后1小时内无法排除设备故障，中标方应在24小时内免费提供不低于故障设备规格型号档次的备用设备供我院使用。</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4、在免费质保期内，中标方应对本项目出现的质量及安全问题负责处理解决并承担一切费用。</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5、质保期内免费保修，由原厂工程师7×24小时免费上门服务，</w:t>
      </w:r>
      <w:r>
        <w:rPr>
          <w:rFonts w:hint="eastAsia" w:ascii="宋体" w:hAnsi="宋体" w:eastAsia="宋体" w:cs="Times New Roman"/>
          <w:color w:val="000000"/>
          <w:sz w:val="24"/>
          <w:szCs w:val="24"/>
        </w:rPr>
        <w:t xml:space="preserve">当日4小时原厂备件上门更换服务</w:t>
      </w:r>
      <w:r>
        <w:rPr>
          <w:rFonts w:hint="eastAsia" w:ascii="宋体" w:hAnsi="宋体" w:eastAsia="宋体" w:cs="宋体"/>
          <w:color w:val="000000"/>
          <w:sz w:val="24"/>
          <w:szCs w:val="24"/>
        </w:rPr>
        <w:t xml:space="preserve">，由此产生的一切费用由中标方承担。</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6、免费维保期从项目完成验收合格、交付使用后开始计算。在免费维保期内，中标单位能够在7×24小时保证由熟悉该系统且有能力进行维护的工程师负责提供系统维护。中标单位需提供包括电话、传真、email、远程协助等在内的长期服务，保障系统启用后的正常运行。中标单位应及时对出现的系统故障等产品质量及安全问题负责处理解决，并承担一切损失和费用。</w:t>
      </w:r>
      <w:r>
        <w:rPr>
          <w:rFonts w:hint="eastAsia" w:ascii="宋体" w:hAnsi="宋体" w:eastAsia="宋体" w:cs="Times New Roman"/>
          <w:color w:val="000000"/>
          <w:sz w:val="24"/>
          <w:szCs w:val="24"/>
        </w:rPr>
        <w:t xml:space="preserve">配置专属服务经理及专属800/400技术支持电话。</w:t>
      </w:r>
      <w:r>
        <w:rPr>
          <w:rFonts w:hint="eastAsia" w:ascii="宋体" w:hAnsi="宋体" w:eastAsia="宋体" w:cs="Times New Roman"/>
          <w:color w:val="000000"/>
          <w:sz w:val="24"/>
          <w:szCs w:val="24"/>
        </w:rPr>
      </w:r>
      <w:r/>
    </w:p>
    <w:p>
      <w:pPr>
        <w:pStyle w:val="949"/>
        <w:ind w:firstLine="560"/>
        <w:jc w:val="both"/>
        <w:spacing w:line="360" w:lineRule="auto"/>
        <w:widowControl/>
        <w:rPr>
          <w:rFonts w:hint="eastAsia" w:ascii="宋体" w:hAnsi="宋体" w:eastAsia="宋体" w:cs="宋体"/>
          <w:i/>
          <w:iCs/>
          <w:color w:val="000000"/>
          <w:sz w:val="24"/>
          <w:szCs w:val="24"/>
          <w:u w:val="single"/>
          <w:lang w:val="en-US" w:eastAsia="zh-CN" w:bidi="ar-SA"/>
        </w:rPr>
      </w:pPr>
      <w:r>
        <w:rPr>
          <w:rFonts w:hint="eastAsia" w:ascii="方正仿宋_GBK" w:hAnsi="方正仿宋_GBK" w:eastAsia="方正仿宋_GBK" w:cs="方正仿宋_GBK"/>
          <w:b/>
          <w:bCs/>
          <w:i/>
          <w:iCs/>
          <w:sz w:val="28"/>
          <w:szCs w:val="28"/>
          <w:u w:val="single"/>
          <w:lang w:val="en-US" w:eastAsia="zh-CN"/>
        </w:rPr>
        <w:t xml:space="preserve">*</w:t>
      </w:r>
      <w:r>
        <w:rPr>
          <w:rFonts w:hint="eastAsia" w:ascii="宋体" w:hAnsi="宋体" w:eastAsia="宋体" w:cs="宋体"/>
          <w:i/>
          <w:iCs/>
          <w:color w:val="000000"/>
          <w:sz w:val="24"/>
          <w:szCs w:val="24"/>
          <w:u w:val="single"/>
          <w:lang w:val="en-US" w:eastAsia="zh-CN" w:bidi="ar-SA"/>
        </w:rPr>
        <w:t xml:space="preserve">7、合同签订后5个工作日，需提供本次投标所有产品加盖原厂公章的售后服务承诺函。</w:t>
      </w:r>
      <w:r>
        <w:rPr>
          <w:rFonts w:hint="eastAsia" w:ascii="宋体" w:hAnsi="宋体" w:eastAsia="宋体" w:cs="宋体"/>
          <w:i/>
          <w:iCs/>
          <w:color w:val="000000"/>
          <w:sz w:val="24"/>
          <w:szCs w:val="24"/>
          <w:u w:val="single"/>
          <w:lang w:val="en-US" w:eastAsia="zh-CN" w:bidi="ar-SA"/>
        </w:rPr>
      </w:r>
      <w:r/>
    </w:p>
    <w:p>
      <w:pPr>
        <w:pStyle w:val="949"/>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 验收要求：</w:t>
      </w:r>
      <w:r>
        <w:rPr>
          <w:rFonts w:hint="eastAsia" w:ascii="宋体" w:hAnsi="宋体" w:eastAsia="宋体" w:cs="宋体"/>
          <w:b/>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1、我院将依据招标文件上的技术规格要求和国家有关质量标准对项目进行现场初步验收，外观、说明书符合招标文件技术要求的，给予签收，初步验收不合格的不予签收。</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2、中标方应对项目作出全面检查和对验收文件进行整理，并列出清单，作为我院验收和使用的技术条件依据，检验的结果验收时交予我院。</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3、我院对中标方提供的产品在使用前进行调试时，中标方需负责安装并培训我院的使用操作人员，并配合我院指定的系统集成方调试，直到符合技术要求，我院才做最终验收。</w:t>
      </w:r>
      <w:r>
        <w:rPr>
          <w:rFonts w:hint="eastAsia" w:ascii="宋体" w:hAnsi="宋体" w:eastAsia="宋体" w:cs="宋体"/>
          <w:color w:val="000000"/>
          <w:sz w:val="24"/>
          <w:szCs w:val="24"/>
        </w:rPr>
      </w:r>
      <w:r/>
    </w:p>
    <w:p>
      <w:pPr>
        <w:pStyle w:val="94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4、对技术复杂的产品，我院可请国家认可的专业检测机构参与初步验收及最终验收，并由其出具质量检测报告。</w:t>
      </w:r>
      <w:r>
        <w:rPr>
          <w:rFonts w:hint="eastAsia" w:ascii="宋体" w:hAnsi="宋体" w:eastAsia="宋体" w:cs="宋体"/>
          <w:color w:val="000000"/>
          <w:sz w:val="24"/>
          <w:szCs w:val="24"/>
        </w:rPr>
      </w:r>
      <w:r/>
    </w:p>
    <w:p>
      <w:pPr>
        <w:pStyle w:val="949"/>
        <w:ind w:firstLine="480"/>
        <w:spacing w:line="440" w:lineRule="exact"/>
        <w:rPr>
          <w:rFonts w:hint="eastAsia" w:ascii="Calibri" w:hAnsi="宋体" w:eastAsia="宋体" w:cs="宋体"/>
          <w:color w:val="000000"/>
          <w:sz w:val="24"/>
          <w:szCs w:val="24"/>
        </w:rPr>
      </w:pPr>
      <w:r>
        <w:rPr>
          <w:rFonts w:hint="eastAsia" w:ascii="宋体" w:hAnsi="宋体" w:eastAsia="宋体" w:cs="宋体"/>
          <w:color w:val="000000"/>
          <w:sz w:val="24"/>
          <w:szCs w:val="24"/>
        </w:rPr>
        <w:t xml:space="preserve">5、验收时中标方必须在现场，验收完毕后作出验收结果报告</w:t>
      </w:r>
      <w:r>
        <w:rPr>
          <w:rFonts w:hint="eastAsia" w:ascii="Calibri" w:hAnsi="宋体" w:eastAsia="宋体" w:cs="宋体"/>
          <w:color w:val="000000"/>
          <w:sz w:val="24"/>
          <w:szCs w:val="24"/>
        </w:rPr>
        <w:t xml:space="preserve">。</w:t>
      </w:r>
      <w:r>
        <w:rPr>
          <w:rFonts w:hint="eastAsia" w:ascii="Calibri" w:hAnsi="宋体" w:eastAsia="宋体" w:cs="宋体"/>
          <w:color w:val="000000"/>
          <w:sz w:val="24"/>
          <w:szCs w:val="24"/>
        </w:rPr>
      </w:r>
      <w:r/>
    </w:p>
    <w:p>
      <w:pPr>
        <w:pStyle w:val="949"/>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7. 付款方式：</w:t>
      </w:r>
      <w:r>
        <w:rPr>
          <w:rFonts w:hint="eastAsia" w:ascii="宋体" w:hAnsi="宋体" w:eastAsia="宋体" w:cs="宋体"/>
          <w:b/>
          <w:color w:val="000000"/>
          <w:sz w:val="24"/>
          <w:szCs w:val="24"/>
          <w:lang w:val="en-US" w:eastAsia="zh-CN" w:bidi="ar-SA"/>
        </w:rPr>
      </w:r>
      <w:r/>
    </w:p>
    <w:p>
      <w:pPr>
        <w:pStyle w:val="949"/>
        <w:ind w:firstLine="585"/>
        <w:spacing w:line="440" w:lineRule="exact"/>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b/>
          <w:bCs/>
          <w:i/>
          <w:iCs/>
          <w:sz w:val="28"/>
          <w:szCs w:val="28"/>
          <w:highlight w:val="none"/>
          <w:lang w:val="en-US" w:eastAsia="zh-CN"/>
        </w:rPr>
        <w:t xml:space="preserve">*</w:t>
      </w:r>
      <w:r>
        <w:rPr>
          <w:rFonts w:hint="eastAsia" w:ascii="方正仿宋_GBK" w:hAnsi="方正仿宋_GBK" w:eastAsia="方正仿宋_GBK" w:cs="方正仿宋_GBK"/>
          <w:i/>
          <w:iCs/>
          <w:sz w:val="28"/>
          <w:szCs w:val="28"/>
          <w:highlight w:val="none"/>
          <w:u w:val="single"/>
        </w:rPr>
        <w:t xml:space="preserve">合同生效收到合同总价10%的履约保证金、</w:t>
      </w:r>
      <w:r>
        <w:rPr>
          <w:rFonts w:hint="eastAsia" w:ascii="方正仿宋_GBK" w:hAnsi="方正仿宋_GBK" w:eastAsia="方正仿宋_GBK" w:cs="方正仿宋_GBK"/>
          <w:i/>
          <w:iCs/>
          <w:color w:val="000000"/>
          <w:sz w:val="28"/>
          <w:szCs w:val="28"/>
          <w:highlight w:val="none"/>
          <w:u w:val="single"/>
        </w:rPr>
        <w:t xml:space="preserve">项目实施完成且通过最终验收，稳定运行30个工作日后收到发票10个工作日内支付合同总金额的100%。</w:t>
      </w:r>
      <w:r>
        <w:rPr>
          <w:rFonts w:hint="eastAsia" w:ascii="方正仿宋_GBK" w:hAnsi="方正仿宋_GBK" w:eastAsia="方正仿宋_GBK" w:cs="方正仿宋_GBK"/>
          <w:i/>
          <w:iCs/>
          <w:color w:val="000000"/>
          <w:sz w:val="28"/>
          <w:szCs w:val="28"/>
          <w:highlight w:val="none"/>
          <w:u w:val="single"/>
        </w:rPr>
      </w:r>
      <w:r/>
    </w:p>
    <w:p>
      <w:pPr>
        <w:pStyle w:val="949"/>
        <w:jc w:val="both"/>
        <w:spacing w:line="44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8.服务响应方案要求</w:t>
      </w:r>
      <w:r>
        <w:rPr>
          <w:rFonts w:hint="eastAsia" w:ascii="宋体" w:hAnsi="宋体" w:eastAsia="宋体" w:cs="宋体"/>
          <w:b/>
          <w:color w:val="000000"/>
          <w:sz w:val="24"/>
          <w:szCs w:val="24"/>
          <w:lang w:val="en-US" w:eastAsia="zh-CN" w:bidi="ar-SA"/>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1、总体实施方案要求</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（1）联动机制与重难点分析编制要求。投标人须结合本次采购的网络安全探针、终端PC防病毒软件，以及医院现有SaaS XDR联动平台，结合医院办公及业务终端网络应用场景，明确项目建设背景与建设目标。重点针对医院终端数量多、内网流量复杂、终端恶意威胁扩散、账号口令风险、异常访问难发现、安全防护零散无联动等核心痛点进行详细分析，结合本次采购的安全产品能力及XDR联动机制，提出适配医院业务场景、切实可行的针对性解决思路。</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（2）整体架构设计编制要求。投标人需遵循科学合理、安全可靠、功能完备、运维简便的原则，开展项目整体架构设计，依托本次采购的网络安全探针与终端PC防病毒软件，联动现有SaaS XDR平台，搭建云网端一体化纵深防御架构，覆盖网络、终端全方位安全防护。方案需明确整体技术框架与建设路线，涵盖全网流量监测、终端病毒防护、异常登录检测、弱口令检测、系统进程监控等核心功能，同时结合医院7×24小时不间断业务特性，完成系统高可用、可靠性设计，保障防护体系稳定运行、无业务干扰。</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（3）深化和优化设计编制要求.投标人需对项目防护架构进行深化优化设计，出具分层清晰的网络终端安全防护拓扑及部署架构，清晰展示网络安全探针、终端PC防病毒软件与现有SaaS XDR平台的部署位置、功能分工及联动协同逻辑。结合医院实际业务运行场景说明项目实施效果，确保防护部署贴合医院日常办公、业务运行需求，整体方案满足等保合规要求，有效保障医疗业务连续性，实现全网安全风险可视、可防、可处置、可审计。</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2、售后服务方案要求</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投标人针对本项目提供售后服务方案，要求包括：</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（1）售后服务。投标人应根据项目需求提供具体详实的售后服务方案，至少包括：售后服务体系、售后服务方式、售后服务内容、售后响应能力等。</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（2）售后技术支持。中标人对提供的货物在质保期内，因产品质量而导致的缺陷，必须免费提供包修、包换、包退服务。中标人须在“三包”范围内无偿提供该货物的技术支持。</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（3）设备巡检。每半年对现场设备进行巡检、调试、维护，对所有设备故障问题统一协调处理。</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3、培训方案要求</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投标人针对本项目提供培训方案，要求包括：</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1）培训方案设计。投标人应针对本项目制定详细的培训方案，包括：培训计划、培训人数、培训内容和培训方式等内容。培训地点由投标人指定，培训人数不少于3人。培训内容包含但不限于所有日常配置使用、排除软件故障、设备升级步骤等内容，应充分利用现场设备环境针对后期不同使用场景进行预演操作培训。</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（2）培训人员。培训讲师应具备相关产品的专业知识和丰富的培训经验。</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（3）培训资料提供。投标人需提供完整的培训资料，包括操作手册、维护指南、常见故障排除手册等。</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所有相关费用包含在投标总价中。</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4、重大活动保障方案要求</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（1）保障响应小组。投标人应制定完善的重大活动保障方案，‌投标人需明确重大活动时期（节假日与重大活动期间）的保障团队架构‌，设立重大活动保障小组，明确小组分工。</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（2）保障响应能力。保障小组要参与采购人重大活动组织实施流程，能够提供专业保障服务，配合采购人完成重大活动演练，包括设备检测、调试、保障等。</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（3）保障资源投入。投标人需承诺在重大活动期间，提供充足的备品备件、应急设备和专业技术人员。</w:t>
      </w:r>
      <w:r>
        <w:rPr>
          <w:rFonts w:hint="eastAsia" w:ascii="宋体" w:hAnsi="宋体"/>
          <w:color w:val="000000"/>
          <w:sz w:val="24"/>
          <w:szCs w:val="24"/>
        </w:rPr>
      </w:r>
      <w:r/>
    </w:p>
    <w:p>
      <w:pPr>
        <w:pStyle w:val="949"/>
        <w:spacing w:line="360" w:lineRule="auto"/>
        <w:rPr>
          <w:rFonts w:hint="eastAsia" w:ascii="宋体" w:hAnsi="宋体"/>
          <w:color w:val="000000"/>
          <w:sz w:val="24"/>
          <w:szCs w:val="24"/>
        </w:rPr>
      </w:pPr>
      <w:r>
        <w:rPr>
          <w:rFonts w:hint="eastAsia" w:ascii="宋体" w:hAnsi="宋体"/>
          <w:color w:val="000000"/>
          <w:sz w:val="24"/>
          <w:szCs w:val="24"/>
        </w:rPr>
        <w:t xml:space="preserve">所有相关费用包含在投标总价中。</w:t>
      </w:r>
      <w:r>
        <w:rPr>
          <w:rFonts w:hint="eastAsia" w:ascii="宋体" w:hAnsi="宋体"/>
          <w:color w:val="000000"/>
          <w:sz w:val="24"/>
          <w:szCs w:val="24"/>
        </w:rPr>
      </w:r>
      <w:r/>
    </w:p>
    <w:p>
      <w:pPr>
        <w:pStyle w:val="949"/>
        <w:numPr>
          <w:ilvl w:val="0"/>
          <w:numId w:val="0"/>
        </w:numPr>
        <w:jc w:val="both"/>
        <w:keepLines/>
        <w:keepNext/>
        <w:spacing w:before="156" w:line="440" w:lineRule="exact"/>
        <w:widowControl w:val="off"/>
        <w:tabs>
          <w:tab w:val="left" w:pos="420" w:leader="none"/>
        </w:tabs>
        <w:rPr>
          <w:rFonts w:hint="eastAsia" w:ascii="宋体" w:hAnsi="宋体" w:eastAsia="宋体" w:cs="宋体"/>
          <w:b/>
          <w:color w:val="000000"/>
          <w:sz w:val="24"/>
          <w:szCs w:val="28"/>
          <w:lang w:val="en-US" w:eastAsia="zh-CN" w:bidi="ar-SA"/>
        </w:rPr>
        <w:outlineLvl w:val="1"/>
      </w:pPr>
      <w:r>
        <w:rPr>
          <w:rFonts w:hint="eastAsia" w:ascii="宋体" w:hAnsi="宋体" w:eastAsia="宋体" w:cs="宋体"/>
          <w:b/>
          <w:color w:val="000000"/>
          <w:sz w:val="24"/>
          <w:szCs w:val="28"/>
          <w:lang w:val="en-US" w:eastAsia="zh-CN" w:bidi="ar-SA"/>
        </w:rPr>
        <w:t xml:space="preserve">9.项目报价要求</w:t>
      </w:r>
      <w:r>
        <w:rPr>
          <w:rFonts w:hint="eastAsia" w:ascii="宋体" w:hAnsi="宋体" w:eastAsia="宋体" w:cs="宋体"/>
          <w:b/>
          <w:color w:val="000000"/>
          <w:sz w:val="24"/>
          <w:szCs w:val="28"/>
          <w:lang w:val="en-US" w:eastAsia="zh-CN" w:bidi="ar-SA"/>
        </w:rPr>
      </w:r>
      <w:r/>
    </w:p>
    <w:p>
      <w:pPr>
        <w:pStyle w:val="949"/>
        <w:ind w:firstLine="480"/>
        <w:spacing w:line="440" w:lineRule="exact"/>
        <w:rPr>
          <w:rFonts w:hint="eastAsia" w:ascii="方正仿宋_GBK" w:hAnsi="方正仿宋_GBK" w:eastAsia="方正仿宋_GBK" w:cs="方正仿宋_GBK"/>
          <w:b/>
          <w:bCs/>
          <w:sz w:val="28"/>
          <w:szCs w:val="28"/>
        </w:rPr>
      </w:pPr>
      <w:r>
        <w:rPr>
          <w:rFonts w:hint="eastAsia" w:ascii="宋体" w:hAnsi="宋体" w:eastAsia="宋体" w:cs="宋体"/>
          <w:color w:val="000000"/>
          <w:sz w:val="24"/>
          <w:szCs w:val="24"/>
        </w:rPr>
        <w:t xml:space="preserve">所有投标价格均为人民币报价。包括税费、产品费用、实施费用、安装调试费用等所有费用。</w:t>
      </w:r>
      <w:r>
        <w:rPr>
          <w:rFonts w:hint="eastAsia" w:ascii="方正仿宋_GBK" w:hAnsi="方正仿宋_GBK" w:eastAsia="方正仿宋_GBK" w:cs="方正仿宋_GBK"/>
          <w:b/>
          <w:bCs/>
          <w:sz w:val="28"/>
          <w:szCs w:val="28"/>
        </w:rPr>
      </w:r>
      <w:r/>
    </w:p>
    <w:p>
      <w:pPr>
        <w:pStyle w:val="951"/>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五、其他要求</w:t>
      </w:r>
      <w:r>
        <w:rPr>
          <w:rFonts w:hint="eastAsia" w:ascii="黑体" w:hAnsi="黑体" w:eastAsia="黑体" w:cs="Arial"/>
          <w:b w:val="0"/>
          <w:bCs w:val="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4206"/>
      </w:tblGrid>
      <w:tr>
        <w:trPr/>
        <w:tc>
          <w:tcPr>
            <w:tcW w:w="1681"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4206"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4206" w:type="dxa"/>
            <w:vAlign w:val="top"/>
            <w:textDirection w:val="lrTb"/>
            <w:noWrap w:val="false"/>
          </w:tcPr>
          <w:p>
            <w:pPr>
              <w:pStyle w:val="949"/>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宋体" w:hAnsi="宋体" w:eastAsia="宋体" w:cs="宋体"/>
                <w:color w:val="000000"/>
                <w:szCs w:val="21"/>
              </w:rPr>
              <w:t xml:space="preserve">全路径端点采集器</w:t>
            </w:r>
            <w:r>
              <w:rPr>
                <w:rFonts w:hint="eastAsia" w:ascii="方正仿宋_GBK" w:hAnsi="方正仿宋_GBK" w:eastAsia="方正仿宋_GBK" w:cs="方正仿宋_GBK"/>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51"/>
        <w:keepLines/>
        <w:keepNext/>
        <w:pageBreakBefore w:val="0"/>
        <w:spacing w:line="400" w:lineRule="exact"/>
        <w:widowControl w:val="off"/>
        <w:rPr>
          <w:rFonts w:hint="eastAsia" w:ascii="黑体" w:hAnsi="黑体" w:eastAsia="黑体" w:cs="Arial"/>
          <w:b w:val="0"/>
          <w:bCs w:val="0"/>
          <w:sz w:val="28"/>
          <w:szCs w:val="28"/>
        </w:rPr>
      </w:pPr>
      <w:r/>
      <w:bookmarkStart w:id="183" w:name="_Toc120614281"/>
      <w:r>
        <w:rPr>
          <w:rFonts w:hint="eastAsia" w:ascii="黑体" w:hAnsi="黑体" w:eastAsia="黑体" w:cs="Arial"/>
          <w:b w:val="0"/>
          <w:bCs w:val="0"/>
          <w:sz w:val="28"/>
          <w:szCs w:val="28"/>
        </w:rPr>
        <w:t xml:space="preserve">第五章  评标方法与评标标准</w:t>
      </w:r>
      <w:r>
        <w:rPr>
          <w:rFonts w:hint="eastAsia" w:ascii="黑体" w:hAnsi="黑体" w:eastAsia="黑体" w:cs="Arial"/>
          <w:b w:val="0"/>
          <w:bCs w:val="0"/>
          <w:sz w:val="28"/>
          <w:szCs w:val="28"/>
        </w:rPr>
      </w:r>
      <w:r/>
    </w:p>
    <w:p>
      <w:pPr>
        <w:pStyle w:val="949"/>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49"/>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49"/>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49"/>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（一）投标报价（30分）</w:t>
      </w:r>
      <w:r>
        <w:rPr>
          <w:rFonts w:hint="eastAsia"/>
          <w:color w:val="000000"/>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w:t>
      </w:r>
      <w:r>
        <w:rPr>
          <w:rFonts w:hint="eastAsia"/>
          <w:color w:val="000000"/>
        </w:rPr>
        <w:t xml:space="preserve">小数点</w:t>
      </w:r>
      <w:r>
        <w:rPr>
          <w:rFonts w:hint="eastAsia"/>
          <w:color w:val="000000"/>
        </w:rPr>
        <w:t xml:space="preserve">后</w:t>
      </w:r>
      <w:r>
        <w:rPr>
          <w:rFonts w:hint="eastAsia"/>
          <w:color w:val="000000"/>
        </w:rPr>
        <w:t xml:space="preserve">保留</w:t>
      </w:r>
      <w:r>
        <w:rPr>
          <w:rFonts w:hint="eastAsia"/>
          <w:color w:val="000000"/>
        </w:rPr>
        <w:t xml:space="preserve">两位。</w:t>
      </w:r>
      <w:r>
        <w:rPr>
          <w:rFonts w:hint="eastAsia"/>
          <w:color w:val="000000"/>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（二）技术要求响应情况（</w:t>
      </w:r>
      <w:r>
        <w:rPr>
          <w:rFonts w:hint="eastAsia"/>
          <w:color w:val="000000"/>
          <w:lang w:val="en-US" w:eastAsia="zh-CN"/>
        </w:rPr>
        <w:t xml:space="preserve">44</w:t>
      </w:r>
      <w:r>
        <w:rPr>
          <w:rFonts w:hint="eastAsia"/>
          <w:color w:val="000000"/>
        </w:rPr>
        <w:t xml:space="preserve">分)</w:t>
      </w:r>
      <w:r>
        <w:rPr>
          <w:rFonts w:hint="eastAsia"/>
          <w:color w:val="000000"/>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2.1根据投标人投标文件的技术响应情况进行评分：全部满足招标文件第四章采购需求“1.2、项目技术要求”中产品参数共计</w:t>
      </w:r>
      <w:r>
        <w:rPr>
          <w:rFonts w:hint="eastAsia"/>
          <w:color w:val="000000"/>
          <w:lang w:val="en-US" w:eastAsia="zh-CN"/>
        </w:rPr>
        <w:t xml:space="preserve">21</w:t>
      </w:r>
      <w:r>
        <w:rPr>
          <w:rFonts w:hint="eastAsia"/>
          <w:color w:val="000000"/>
        </w:rPr>
        <w:t xml:space="preserve">项，其中标记“</w:t>
      </w:r>
      <w:r>
        <w:rPr>
          <w:rFonts w:hint="eastAsia" w:ascii="方正仿宋_GBK" w:hAnsi="方正仿宋_GBK" w:eastAsia="方正仿宋_GBK" w:cs="方正仿宋_GBK"/>
          <w:b/>
          <w:bCs/>
          <w:sz w:val="28"/>
          <w:szCs w:val="28"/>
          <w:lang w:val="en-US" w:eastAsia="zh-CN"/>
        </w:rPr>
        <w:t xml:space="preserve">*</w:t>
      </w:r>
      <w:r>
        <w:rPr>
          <w:rFonts w:hint="eastAsia"/>
          <w:color w:val="000000"/>
        </w:rPr>
        <w:t xml:space="preserve">”项参数共</w:t>
      </w:r>
      <w:r>
        <w:rPr>
          <w:rFonts w:hint="eastAsia"/>
          <w:color w:val="000000"/>
          <w:lang w:val="en-US" w:eastAsia="zh-CN"/>
        </w:rPr>
        <w:t xml:space="preserve">2</w:t>
      </w:r>
      <w:r>
        <w:rPr>
          <w:rFonts w:hint="eastAsia"/>
          <w:color w:val="000000"/>
        </w:rPr>
        <w:t xml:space="preserve">项，为实质性</w:t>
      </w:r>
      <w:r>
        <w:rPr>
          <w:rFonts w:hint="eastAsia"/>
          <w:color w:val="000000"/>
          <w:lang w:val="en-US" w:eastAsia="zh-CN"/>
        </w:rPr>
        <w:t xml:space="preserve">条款</w:t>
      </w:r>
      <w:r>
        <w:rPr>
          <w:rFonts w:hint="eastAsia"/>
          <w:color w:val="000000"/>
        </w:rPr>
        <w:t xml:space="preserve">；标记“▲”项参数共</w:t>
      </w:r>
      <w:r>
        <w:rPr>
          <w:rFonts w:hint="eastAsia"/>
          <w:color w:val="000000"/>
          <w:lang w:val="en-US" w:eastAsia="zh-CN"/>
        </w:rPr>
        <w:t xml:space="preserve">6</w:t>
      </w:r>
      <w:r>
        <w:rPr>
          <w:rFonts w:hint="eastAsia"/>
          <w:color w:val="000000"/>
        </w:rPr>
        <w:t xml:space="preserve">项，每项为3分共计</w:t>
      </w:r>
      <w:r>
        <w:rPr>
          <w:rFonts w:hint="eastAsia"/>
          <w:color w:val="000000"/>
          <w:lang w:val="en-US" w:eastAsia="zh-CN"/>
        </w:rPr>
        <w:t xml:space="preserve">18</w:t>
      </w:r>
      <w:r>
        <w:rPr>
          <w:rFonts w:hint="eastAsia"/>
          <w:color w:val="000000"/>
        </w:rPr>
        <w:t xml:space="preserve">分，每有一个点不满足扣3分；其他未标记项参数，共1</w:t>
      </w:r>
      <w:r>
        <w:rPr>
          <w:rFonts w:hint="eastAsia"/>
          <w:color w:val="000000"/>
          <w:lang w:val="en-US" w:eastAsia="zh-CN"/>
        </w:rPr>
        <w:t xml:space="preserve">3</w:t>
      </w:r>
      <w:r>
        <w:rPr>
          <w:rFonts w:hint="eastAsia"/>
          <w:color w:val="000000"/>
        </w:rPr>
        <w:t xml:space="preserve">项，每项为2分共计</w:t>
      </w:r>
      <w:r>
        <w:rPr>
          <w:rFonts w:hint="eastAsia"/>
          <w:color w:val="000000"/>
          <w:lang w:val="en-US" w:eastAsia="zh-CN"/>
        </w:rPr>
        <w:t xml:space="preserve">26</w:t>
      </w:r>
      <w:r>
        <w:rPr>
          <w:rFonts w:hint="eastAsia"/>
          <w:color w:val="000000"/>
        </w:rPr>
        <w:t xml:space="preserve">分，每有一个点不满足扣2分。投标人需按照本采购文件的技术参数指标要求，在“技术要求响应及偏离表”中如实详细填列所投产品的参数及服务承诺，表明不能响应的具体参数项。</w:t>
      </w:r>
      <w:r>
        <w:rPr>
          <w:rFonts w:hint="eastAsia"/>
          <w:color w:val="000000"/>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（三）服务方案（2</w:t>
      </w:r>
      <w:r>
        <w:rPr>
          <w:rFonts w:hint="eastAsia"/>
          <w:color w:val="000000"/>
          <w:lang w:val="en-US" w:eastAsia="zh-CN"/>
        </w:rPr>
        <w:t xml:space="preserve">0</w:t>
      </w:r>
      <w:r>
        <w:rPr>
          <w:rFonts w:hint="eastAsia"/>
          <w:color w:val="000000"/>
        </w:rPr>
        <w:t xml:space="preserve">分）</w:t>
      </w:r>
      <w:r>
        <w:rPr>
          <w:rFonts w:hint="eastAsia"/>
          <w:color w:val="000000"/>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lang w:eastAsia="zh-CN"/>
        </w:rPr>
      </w:pPr>
      <w:r>
        <w:rPr>
          <w:rFonts w:hint="eastAsia"/>
          <w:color w:val="000000"/>
        </w:rPr>
        <w:t xml:space="preserve">3.1</w:t>
      </w:r>
      <w:r>
        <w:rPr>
          <w:rFonts w:hint="eastAsia"/>
          <w:color w:val="000000"/>
          <w:highlight w:val="none"/>
        </w:rPr>
        <w:t xml:space="preserve">总体实施方案（</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lang w:eastAsia="zh-CN"/>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评委根据投标文件对招标文件第四章“采购需求”中“总体实施方案”要求的响应情况进行评审</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（1）投标文件未符合“总体实施方案”中全部条款要求的，视为不符合招标文件，本项得0分。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（2）投标文件符合“总体实施方案”中全部条款要求的，视为符合招标文件，本项得3分。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经评委认定，投标文件对“总体实施方案”中“联动机制与重难点分析编制要求”、“整体架构设计编制要求”、“深化和优化设计编制要求”三项要求的响应内容全部优于招标文件要求的（前提是投标文件对“总体实施方案”中除“联动机制与重难点分析编制要求”、“整体架构设计编制要求”、“深化和优化设计编制要求”外其他要求响应内容符合招标文件要求），本项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3.2售后服务方案（</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评委根据投标文件对招标文件第四章“采购需求”中“售后服务方案”要求的响应情况进行评审</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（1）投标文件未符合“售后服务方案”中全部条款要求的，视为不符合招标文件，本项得0分。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（2）投标文件符合“售后服务方案”中全部条款要求的，视为符合招标文件，本项得3分。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经评委认定，投标文件对“售后服务方案”中“售后服务”、“售后技术支持”、“设备巡检”三项要求的响应内容全部优于招标文件要求的（前提是投标文件对“售后服务方案”中除“售后服务”、“售后技术支持”、“设备巡检”外其他要求响应内容符合招标文件要求），本项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3.3培训方案（</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评委根据投标文件对招标文件第四章“采购需求”中“培训方案”要求的响应情况进行评审</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（1）投标文件未符合“培训方案”中全部条款要求的，视为不符合招标文件，本项得0分。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（2）投标文件符合“培训方案”中全部条款要求的，视为符合招标文件，本项得3分。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经评委认定，投标文件对“培训方案”中“培训方案设计”、“培训人员”、“培训资料提供”三项要求的响应内容全部优于招标文件要求的（前提是投标文件对“培训方案”中除“培训方案设计”、“培训人员”、“培训资料提供”外其他要求响应内容符合招标文件要求），本项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3.4重大活动保障方案（</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评委根据投标文件对招标文件第四章“采购需求”中“重大活动保障方案”要求的响应情况进行评审</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（1）投标文件未符合“重大活动保障方案”中全部条款要求的，视为不符合招标文件，本项得0分。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（2）投标文件符合“重大活动保障方案”中全部条款要求的，视为符合招标文件，本项得3分。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widowControl w:val="off"/>
        <w:rPr>
          <w:rFonts w:hint="eastAsia"/>
          <w:color w:val="000000"/>
          <w:highlight w:val="none"/>
        </w:rPr>
      </w:pPr>
      <w:r>
        <w:rPr>
          <w:rFonts w:hint="eastAsia"/>
          <w:color w:val="000000"/>
          <w:highlight w:val="none"/>
        </w:rPr>
        <w:t xml:space="preserve">（3）经评委认定，投标文件对“重大活动保障方案”中“保障响应小组”、“保障响应能力”、“保障资源投入”三项要求的响应内容全部优于招标文件要求的（前提是投标文件对“重大活动保障方案”中除“保障响应小组”、“保障响应能力”、“保障资源投入”外其他要求响应内容符合招标文件要求），本项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（四）成功案例（6分）</w:t>
      </w:r>
      <w:r>
        <w:rPr>
          <w:rFonts w:hint="eastAsia"/>
          <w:color w:val="000000"/>
        </w:rPr>
      </w:r>
      <w:r/>
    </w:p>
    <w:p>
      <w:pPr>
        <w:pStyle w:val="1011"/>
        <w:ind w:firstLine="480"/>
        <w:jc w:val="both"/>
        <w:keepLines w:val="0"/>
        <w:keepNext w:val="0"/>
        <w:pageBreakBefore w:val="0"/>
        <w:spacing w:before="0" w:beforeAutospacing="0" w:after="0" w:afterAutospacing="0" w:line="570" w:lineRule="exact"/>
        <w:rPr>
          <w:rFonts w:hint="eastAsia"/>
          <w:color w:val="000000"/>
        </w:rPr>
      </w:pPr>
      <w:r>
        <w:rPr>
          <w:rFonts w:hint="eastAsia"/>
          <w:color w:val="000000"/>
        </w:rPr>
        <w:t xml:space="preserve">4.1投标人提供以下项目案例：投标人提供2023年1月1日（以合同签订日期为准）以来与本项目类似案例（包含外网安全威胁事件采集探针或全路径端点采集器），有1个得2分，最多得6分，须提供合同复印件或扫描件并加盖投标人公章。</w:t>
      </w:r>
      <w:r>
        <w:rPr>
          <w:rFonts w:hint="eastAsia"/>
          <w:color w:val="000000"/>
        </w:rPr>
      </w:r>
      <w:r/>
    </w:p>
    <w:p>
      <w:pPr>
        <w:pStyle w:val="1011"/>
        <w:ind w:left="0" w:right="0" w:firstLine="560"/>
        <w:keepLines w:val="0"/>
        <w:keepNext w:val="0"/>
        <w:pageBreakBefore w:val="0"/>
        <w:spacing w:before="0" w:beforeAutospacing="0" w:after="0" w:afterAutospacing="0" w:line="570" w:lineRule="exact"/>
        <w:widowControl/>
        <w:rPr>
          <w:rFonts w:hint="eastAsia" w:ascii="方正仿宋_GBK" w:hAnsi="方正仿宋_GBK" w:eastAsia="方正仿宋_GBK" w:cs="方正仿宋_GBK"/>
          <w:sz w:val="28"/>
          <w:szCs w:val="28"/>
          <w:highlight w:val="yellow"/>
          <w:lang w:val="en-US" w:eastAsia="zh-CN" w:bidi="ar-SA"/>
        </w:rPr>
        <w:suppressLineNumbers w:val="0"/>
      </w:pPr>
      <w:r>
        <w:rPr>
          <w:rFonts w:hint="eastAsia" w:ascii="方正仿宋_GBK" w:hAnsi="方正仿宋_GBK" w:eastAsia="方正仿宋_GBK" w:cs="方正仿宋_GBK"/>
          <w:sz w:val="28"/>
          <w:szCs w:val="28"/>
          <w:highlight w:val="yellow"/>
          <w:lang w:val="en-US" w:eastAsia="zh-CN" w:bidi="ar-SA"/>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yellow"/>
          <w:lang w:val="en-US" w:eastAsia="zh-CN" w:bidi="ar-SA"/>
        </w:rPr>
        <w:suppressLineNumbers w:val="0"/>
      </w:pPr>
      <w:r>
        <w:rPr>
          <w:rFonts w:hint="eastAsia" w:ascii="方正仿宋_GBK" w:hAnsi="方正仿宋_GBK" w:eastAsia="方正仿宋_GBK" w:cs="方正仿宋_GBK"/>
          <w:sz w:val="28"/>
          <w:szCs w:val="28"/>
          <w:highlight w:val="yellow"/>
          <w:lang w:val="en-US" w:eastAsia="zh-CN" w:bidi="ar-SA"/>
        </w:rPr>
      </w:r>
      <w:r/>
    </w:p>
    <w:p>
      <w:pPr>
        <w:pStyle w:val="949"/>
        <w:rPr>
          <w:rFonts w:hint="eastAsia"/>
        </w:rPr>
      </w:pPr>
      <w:r>
        <w:rPr>
          <w:rFonts w:hint="eastAsia"/>
        </w:rPr>
      </w:r>
      <w:r/>
    </w:p>
    <w:p>
      <w:pPr>
        <w:pStyle w:val="949"/>
        <w:rPr>
          <w:rFonts w:hint="eastAsia"/>
        </w:rPr>
      </w:pPr>
      <w:r>
        <w:rPr>
          <w:rFonts w:hint="eastAsia"/>
        </w:rPr>
      </w:r>
      <w:r/>
    </w:p>
    <w:p>
      <w:pPr>
        <w:pStyle w:val="951"/>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第六章  投标</w:t>
      </w:r>
      <w:bookmarkEnd w:id="180"/>
      <w:r/>
      <w:bookmarkEnd w:id="181"/>
      <w:r/>
      <w:bookmarkEnd w:id="183"/>
      <w:r>
        <w:rPr>
          <w:rFonts w:hint="eastAsia" w:ascii="黑体" w:hAnsi="黑体" w:eastAsia="黑体" w:cs="Arial"/>
          <w:b w:val="0"/>
          <w:bCs w:val="0"/>
          <w:sz w:val="28"/>
          <w:szCs w:val="28"/>
        </w:rPr>
        <w:t xml:space="preserve">文件格式</w:t>
      </w:r>
      <w:r>
        <w:rPr>
          <w:rFonts w:hint="eastAsia" w:ascii="黑体" w:hAnsi="黑体" w:eastAsia="黑体" w:cs="Arial"/>
          <w:b w:val="0"/>
          <w:bCs w:val="0"/>
          <w:sz w:val="28"/>
          <w:szCs w:val="28"/>
        </w:rPr>
      </w:r>
      <w:r/>
    </w:p>
    <w:p>
      <w:pPr>
        <w:pStyle w:val="949"/>
        <w:jc w:val="center"/>
        <w:pageBreakBefore w:val="0"/>
        <w:spacing w:line="400" w:lineRule="exact"/>
        <w:widowControl w:val="off"/>
        <w:rPr>
          <w:rFonts w:hint="eastAsia" w:ascii="宋体" w:hAnsi="宋体"/>
          <w:b/>
          <w:color w:val="000000"/>
          <w:sz w:val="28"/>
          <w:szCs w:val="28"/>
        </w:rPr>
      </w:pPr>
      <w:r/>
      <w:bookmarkStart w:id="184" w:name="_Hlt26671244"/>
      <w:r/>
      <w:bookmarkEnd w:id="184"/>
      <w:r/>
      <w:bookmarkStart w:id="185" w:name="_Hlt26955039"/>
      <w:r/>
      <w:bookmarkEnd w:id="185"/>
      <w:r/>
      <w:bookmarkStart w:id="186" w:name="_Toc120614282"/>
      <w:r/>
      <w:bookmarkStart w:id="187" w:name="_Toc49090576"/>
      <w:r/>
      <w:bookmarkStart w:id="188" w:name="_Toc26554094"/>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49"/>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49"/>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49"/>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49"/>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0" w:name="_Hlt26955070"/>
      <w:r/>
      <w:bookmarkEnd w:id="190"/>
      <w:r/>
      <w:bookmarkStart w:id="191" w:name="_格式3__银行出具的资信证明"/>
      <w:r/>
      <w:bookmarkEnd w:id="191"/>
      <w:r/>
      <w:bookmarkStart w:id="192" w:name="_Hlt26671380"/>
      <w:r/>
      <w:bookmarkEnd w:id="19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49"/>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49"/>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49"/>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49"/>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49"/>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49"/>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49"/>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49"/>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11"/>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49"/>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8"/>
      <w:r/>
      <w:bookmarkEnd w:id="179"/>
      <w:r/>
      <w:bookmarkEnd w:id="18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49"/>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汉仪书宋二KW">
    <w:panose1 w:val="020B0503020202020204"/>
  </w:font>
  <w:font w:name="Wingdings">
    <w:panose1 w:val="05000000000000000000"/>
  </w:font>
  <w:font w:name="华文楷体">
    <w:panose1 w:val="02010600040101010101"/>
  </w:font>
  <w:font w:name="Arial Bold">
    <w:panose1 w:val="020B0604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pStyle w:val="949"/>
        <w:ind w:left="0" w:firstLine="0"/>
        <w:tabs>
          <w:tab w:val="num" w:pos="420" w:leader="none"/>
        </w:tabs>
      </w:pPr>
      <w:rPr>
        <w:rFonts w:hint="eastAsia" w:ascii="宋体" w:hAnsi="宋体" w:eastAsia="宋体" w:cs="Arial Bold"/>
        <w:sz w:val="32"/>
        <w:szCs w:val="32"/>
      </w:rPr>
    </w:lvl>
    <w:lvl w:ilvl="1">
      <w:start w:val="1"/>
      <w:numFmt w:val="decimal"/>
      <w:isLgl w:val="false"/>
      <w:suff w:val="space"/>
      <w:lvlText w:val="%1.%2."/>
      <w:lvlJc w:val="left"/>
      <w:pPr>
        <w:pStyle w:val="949"/>
        <w:ind w:left="0" w:firstLine="0"/>
        <w:tabs>
          <w:tab w:val="num" w:pos="0" w:leader="none"/>
        </w:tabs>
      </w:pPr>
      <w:rPr>
        <w:rFonts w:hint="eastAsia" w:ascii="宋体" w:hAnsi="宋体" w:eastAsia="宋体" w:cs="Arial Bold"/>
        <w:sz w:val="28"/>
        <w:szCs w:val="28"/>
      </w:rPr>
    </w:lvl>
    <w:lvl w:ilvl="2">
      <w:start w:val="1"/>
      <w:numFmt w:val="decimal"/>
      <w:isLgl w:val="false"/>
      <w:suff w:val="space"/>
      <w:lvlText w:val="%1.%2.%3."/>
      <w:lvlJc w:val="left"/>
      <w:pPr>
        <w:pStyle w:val="949"/>
        <w:ind w:left="0" w:firstLine="0"/>
        <w:tabs>
          <w:tab w:val="num" w:pos="420" w:leader="none"/>
        </w:tabs>
      </w:pPr>
      <w:rPr>
        <w:rFonts w:hint="eastAsia" w:ascii="宋体" w:hAnsi="宋体" w:eastAsia="宋体" w:cs="Arial Bold"/>
        <w:sz w:val="24"/>
        <w:szCs w:val="24"/>
      </w:rPr>
    </w:lvl>
    <w:lvl w:ilvl="3">
      <w:start w:val="1"/>
      <w:numFmt w:val="decimal"/>
      <w:isLgl w:val="false"/>
      <w:suff w:val="space"/>
      <w:lvlText w:val="%1.%2.%3.%4."/>
      <w:lvlJc w:val="left"/>
      <w:pPr>
        <w:pStyle w:val="949"/>
        <w:ind w:left="0" w:firstLine="0"/>
        <w:tabs>
          <w:tab w:val="num" w:pos="420" w:leader="none"/>
        </w:tabs>
      </w:pPr>
      <w:rPr>
        <w:rFonts w:hint="eastAsia" w:ascii="宋体" w:hAnsi="宋体" w:eastAsia="宋体" w:cs="Arial Bold"/>
        <w:sz w:val="24"/>
        <w:szCs w:val="24"/>
      </w:rPr>
    </w:lvl>
    <w:lvl w:ilvl="4">
      <w:start w:val="1"/>
      <w:numFmt w:val="decimal"/>
      <w:isLgl w:val="false"/>
      <w:suff w:val="tab"/>
      <w:lvlText w:val="%1.%2.%3.%4.%5."/>
      <w:lvlJc w:val="left"/>
      <w:pPr>
        <w:pStyle w:val="949"/>
        <w:ind w:left="0" w:firstLine="0"/>
        <w:tabs>
          <w:tab w:val="num" w:pos="420" w:leader="none"/>
        </w:tabs>
      </w:pPr>
      <w:rPr>
        <w:rFonts w:hint="eastAsia" w:ascii="宋体" w:hAnsi="宋体" w:eastAsia="宋体" w:cs="Arial Bold"/>
        <w:sz w:val="24"/>
        <w:szCs w:val="24"/>
      </w:rPr>
    </w:lvl>
    <w:lvl w:ilvl="5">
      <w:start w:val="1"/>
      <w:numFmt w:val="decimal"/>
      <w:isLgl w:val="false"/>
      <w:suff w:val="tab"/>
      <w:lvlText w:val="%1.%2.%3.%4.%5.%6."/>
      <w:lvlJc w:val="left"/>
      <w:pPr>
        <w:pStyle w:val="949"/>
        <w:ind w:left="0" w:firstLine="0"/>
        <w:tabs>
          <w:tab w:val="num" w:pos="0" w:leader="none"/>
        </w:tabs>
      </w:pPr>
      <w:rPr>
        <w:rFonts w:hint="eastAsia" w:ascii="宋体" w:hAnsi="宋体" w:eastAsia="宋体" w:cs="Arial Bold"/>
      </w:rPr>
    </w:lvl>
    <w:lvl w:ilvl="6">
      <w:start w:val="1"/>
      <w:numFmt w:val="decimal"/>
      <w:isLgl w:val="false"/>
      <w:suff w:val="tab"/>
      <w:lvlText w:val="%1.%2.%3.%4.%5.%6.%7."/>
      <w:lvlJc w:val="left"/>
      <w:pPr>
        <w:pStyle w:val="949"/>
        <w:ind w:left="3673" w:hanging="1273"/>
      </w:pPr>
      <w:rPr>
        <w:rFonts w:hint="eastAsia" w:ascii="宋体" w:hAnsi="宋体" w:eastAsia="宋体" w:cs="汉仪书宋二KW"/>
      </w:rPr>
    </w:lvl>
    <w:lvl w:ilvl="7">
      <w:start w:val="1"/>
      <w:numFmt w:val="decimal"/>
      <w:isLgl w:val="false"/>
      <w:suff w:val="tab"/>
      <w:lvlText w:val="%1.%2.%3.%4.%5.%6.%7.%8."/>
      <w:lvlJc w:val="left"/>
      <w:pPr>
        <w:pStyle w:val="949"/>
        <w:ind w:left="4218" w:hanging="1418"/>
      </w:pPr>
      <w:rPr>
        <w:rFonts w:hint="eastAsia"/>
      </w:rPr>
    </w:lvl>
    <w:lvl w:ilvl="8">
      <w:start w:val="1"/>
      <w:numFmt w:val="decimal"/>
      <w:isLgl w:val="false"/>
      <w:suff w:val="tab"/>
      <w:lvlText w:val="%1.%2.%3.%4.%5.%6.%7.%8.%9."/>
      <w:lvlJc w:val="left"/>
      <w:pPr>
        <w:pStyle w:val="949"/>
        <w:ind w:left="4648" w:hanging="1448"/>
      </w:pPr>
      <w:rPr>
        <w:rFonts w:hint="eastAsia"/>
      </w:rPr>
    </w:lvl>
  </w:abstractNum>
  <w:abstractNum w:abstractNumId="1">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楷体_GB2312" w:hAnsi="Times New Roman" w:eastAsia="楷体_GB2312" w:cs="Times New Roman"/>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49"/>
    <w:link w:val="96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49"/>
    <w:link w:val="964"/>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6"/>
    <w:link w:val="965"/>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character" w:styleId="963">
    <w:name w:val="标题 3 Char"/>
    <w:next w:val="963"/>
    <w:link w:val="952"/>
    <w:rPr>
      <w:rFonts w:ascii="Times New Roman" w:hAnsi="Times New Roman" w:eastAsia="宋体" w:cs="Times New Roman"/>
      <w:b/>
      <w:bCs/>
      <w:sz w:val="32"/>
      <w:szCs w:val="32"/>
    </w:rPr>
  </w:style>
  <w:style w:type="character" w:styleId="964">
    <w:name w:val="标题 4 Char"/>
    <w:next w:val="964"/>
    <w:link w:val="953"/>
    <w:rPr>
      <w:rFonts w:ascii="Arial" w:hAnsi="Arial" w:eastAsia="黑体" w:cs="Arial"/>
      <w:b/>
      <w:bCs/>
      <w:sz w:val="28"/>
      <w:szCs w:val="28"/>
    </w:rPr>
  </w:style>
  <w:style w:type="character" w:styleId="965">
    <w:name w:val="标题 5 Char"/>
    <w:next w:val="965"/>
    <w:link w:val="954"/>
    <w:rPr>
      <w:rFonts w:ascii="宋体" w:hAnsi="Times New Roman" w:eastAsia="宋体" w:cs="Times New Roman"/>
      <w:color w:val="000000"/>
      <w:sz w:val="28"/>
      <w:szCs w:val="28"/>
    </w:rPr>
  </w:style>
  <w:style w:type="paragraph" w:styleId="966">
    <w:name w:val="正文缩进"/>
    <w:basedOn w:val="949"/>
    <w:next w:val="966"/>
    <w:link w:val="967"/>
    <w:pPr>
      <w:ind w:firstLine="420"/>
    </w:pPr>
    <w:rPr>
      <w:szCs w:val="21"/>
    </w:rPr>
  </w:style>
  <w:style w:type="character" w:styleId="967">
    <w:name w:val="正文缩进 Char"/>
    <w:next w:val="967"/>
    <w:link w:val="966"/>
    <w:rPr>
      <w:szCs w:val="21"/>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Char"/>
    <w:next w:val="977"/>
    <w:link w:val="976"/>
    <w:uiPriority w:val="99"/>
    <w:semiHidden/>
  </w:style>
  <w:style w:type="paragraph" w:styleId="978">
    <w:name w:val="正文文本 3"/>
    <w:basedOn w:val="949"/>
    <w:next w:val="978"/>
    <w:link w:val="979"/>
    <w:rPr>
      <w:rFonts w:ascii="仿宋_GB2312" w:hAnsi="Arial" w:eastAsia="仿宋_GB2312" w:cs="Times New Roman"/>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cs="Times New Roman"/>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unhideWhenUsed/>
    <w:pPr>
      <w:ind w:left="420"/>
      <w:spacing w:after="120"/>
    </w:pPr>
  </w:style>
  <w:style w:type="character" w:styleId="983">
    <w:name w:val="正文文本缩进 Char"/>
    <w:next w:val="983"/>
    <w:link w:val="982"/>
    <w:uiPriority w:val="99"/>
    <w:semiHidden/>
  </w:style>
  <w:style w:type="paragraph" w:styleId="984">
    <w:name w:val="列表 2"/>
    <w:basedOn w:val="949"/>
    <w:next w:val="984"/>
    <w:link w:val="949"/>
    <w:pPr>
      <w:ind w:left="100" w:hanging="200"/>
    </w:pPr>
    <w:rPr>
      <w:rFonts w:ascii="Times New Roman" w:hAnsi="Times New Roman" w:eastAsia="宋体" w:cs="Times New Roman"/>
      <w:szCs w:val="21"/>
    </w:rPr>
  </w:style>
  <w:style w:type="paragraph" w:styleId="985">
    <w:name w:val="目录 5"/>
    <w:basedOn w:val="949"/>
    <w:next w:val="949"/>
    <w:link w:val="949"/>
    <w:semiHidden/>
    <w:pPr>
      <w:ind w:left="840"/>
      <w:jc w:val="left"/>
    </w:pPr>
    <w:rPr>
      <w:rFonts w:ascii="Times New Roman" w:hAnsi="Times New Roman" w:eastAsia="宋体" w:cs="Times New Roman"/>
      <w:szCs w:val="21"/>
    </w:rPr>
  </w:style>
  <w:style w:type="paragraph" w:styleId="986">
    <w:name w:val="目录 3"/>
    <w:basedOn w:val="949"/>
    <w:next w:val="949"/>
    <w:link w:val="949"/>
    <w:semiHidden/>
    <w:pPr>
      <w:ind w:left="420"/>
      <w:jc w:val="left"/>
    </w:pPr>
    <w:rPr>
      <w:rFonts w:ascii="Times New Roman" w:hAnsi="Times New Roman" w:eastAsia="宋体" w:cs="Times New Roman"/>
      <w:i/>
      <w:iCs/>
      <w:szCs w:val="24"/>
    </w:rPr>
  </w:style>
  <w:style w:type="paragraph" w:styleId="987">
    <w:name w:val="纯文本"/>
    <w:basedOn w:val="949"/>
    <w:next w:val="987"/>
    <w:link w:val="988"/>
    <w:qFormat/>
    <w:rPr>
      <w:rFonts w:ascii="宋体" w:hAnsi="Courier New" w:eastAsia="宋体" w:cs="Courier New"/>
      <w:szCs w:val="21"/>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rPr>
      <w:rFonts w:ascii="Times New Roman" w:hAnsi="Times New Roman" w:eastAsia="宋体" w:cs="Times New Roman"/>
      <w:szCs w:val="21"/>
    </w:rPr>
  </w:style>
  <w:style w:type="paragraph" w:styleId="990">
    <w:name w:val="日期"/>
    <w:basedOn w:val="949"/>
    <w:next w:val="949"/>
    <w:link w:val="991"/>
    <w:rPr>
      <w:rFonts w:ascii="Times New Roman" w:hAnsi="Times New Roman" w:eastAsia="宋体" w:cs="Times New Roman"/>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rFonts w:ascii="Times New Roman" w:hAnsi="Times New Roman" w:eastAsia="宋体" w:cs="Times New Roman"/>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1">
    <w:name w:val="目录 4"/>
    <w:basedOn w:val="949"/>
    <w:next w:val="949"/>
    <w:link w:val="949"/>
    <w:semiHidden/>
    <w:pPr>
      <w:ind w:left="630"/>
      <w:jc w:val="left"/>
    </w:pPr>
    <w:rPr>
      <w:rFonts w:ascii="Times New Roman" w:hAnsi="Times New Roman" w:eastAsia="宋体" w:cs="Times New Roman"/>
      <w:szCs w:val="21"/>
    </w:rPr>
  </w:style>
  <w:style w:type="paragraph" w:styleId="1002">
    <w:name w:val="列表"/>
    <w:basedOn w:val="949"/>
    <w:next w:val="1002"/>
    <w:link w:val="949"/>
    <w:pPr>
      <w:ind w:left="200" w:hanging="200"/>
    </w:pPr>
    <w:rPr>
      <w:rFonts w:ascii="Times New Roman" w:hAnsi="Times New Roman" w:eastAsia="宋体" w:cs="Times New Roman"/>
      <w:szCs w:val="21"/>
    </w:rPr>
  </w:style>
  <w:style w:type="paragraph" w:styleId="1003">
    <w:name w:val="目录 6"/>
    <w:basedOn w:val="949"/>
    <w:next w:val="949"/>
    <w:link w:val="949"/>
    <w:semiHidden/>
    <w:pPr>
      <w:ind w:left="1050"/>
      <w:jc w:val="left"/>
    </w:pPr>
    <w:rPr>
      <w:rFonts w:ascii="Times New Roman" w:hAnsi="Times New Roman" w:eastAsia="宋体" w:cs="Times New Roman"/>
      <w:szCs w:val="21"/>
    </w:r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rPr>
      <w:rFonts w:ascii="Times New Roman" w:hAnsi="Times New Roman" w:eastAsia="宋体" w:cs="Times New Roman"/>
      <w:szCs w:val="21"/>
    </w:rPr>
  </w:style>
  <w:style w:type="paragraph" w:styleId="1007">
    <w:name w:val="目录 2"/>
    <w:basedOn w:val="949"/>
    <w:next w:val="949"/>
    <w:link w:val="949"/>
    <w:semiHidden/>
    <w:pPr>
      <w:ind w:left="210"/>
      <w:jc w:val="left"/>
    </w:pPr>
    <w:rPr>
      <w:rFonts w:ascii="Times New Roman" w:hAnsi="Times New Roman" w:eastAsia="宋体" w:cs="Times New Roman"/>
      <w:smallCaps/>
      <w:szCs w:val="24"/>
    </w:rPr>
  </w:style>
  <w:style w:type="paragraph" w:styleId="1008">
    <w:name w:val="目录 9"/>
    <w:basedOn w:val="949"/>
    <w:next w:val="949"/>
    <w:link w:val="949"/>
    <w:semiHidden/>
    <w:pPr>
      <w:ind w:left="1680"/>
      <w:jc w:val="left"/>
    </w:pPr>
    <w:rPr>
      <w:rFonts w:ascii="Times New Roman" w:hAnsi="Times New Roman" w:eastAsia="宋体" w:cs="Times New Roman"/>
      <w:szCs w:val="21"/>
    </w:rPr>
  </w:style>
  <w:style w:type="paragraph" w:styleId="1009">
    <w:name w:val="正文文本 2"/>
    <w:basedOn w:val="949"/>
    <w:next w:val="1009"/>
    <w:link w:val="1010"/>
    <w:pPr>
      <w:jc w:val="center"/>
      <w:widowControl/>
    </w:pPr>
    <w:rPr>
      <w:rFonts w:ascii="楷体_GB2312" w:hAnsi="Times New Roman" w:eastAsia="楷体_GB2312" w:cs="Times New Roman"/>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eastAsia="宋体" w:cs="宋体"/>
      <w:sz w:val="24"/>
      <w:szCs w:val="24"/>
    </w:rPr>
  </w:style>
  <w:style w:type="paragraph" w:styleId="1012">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3">
    <w:name w:val="批注主题"/>
    <w:basedOn w:val="976"/>
    <w:next w:val="976"/>
    <w:link w:val="1014"/>
    <w:semiHidden/>
    <w:rPr>
      <w:rFonts w:ascii="Times New Roman" w:hAnsi="Times New Roman" w:eastAsia="宋体" w:cs="Times New Roman"/>
      <w:b/>
      <w:bCs/>
      <w:szCs w:val="21"/>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hAnsi="Times New Roman" w:eastAsia="仿宋_GB2312" w:cs="Times New Roman"/>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left="0" w:firstLine="420"/>
      <w:spacing w:after="0" w:line="360" w:lineRule="auto"/>
    </w:pPr>
    <w:rPr>
      <w:rFonts w:ascii="宋体" w:hAnsi="宋体" w:eastAsia="宋体" w:cs="Times New Roman"/>
      <w:szCs w:val="20"/>
    </w:rPr>
  </w:style>
  <w:style w:type="character" w:styleId="1018">
    <w:name w:val="正文首行缩进 2 Char"/>
    <w:next w:val="1018"/>
    <w:link w:val="1017"/>
    <w:rPr>
      <w:rFonts w:ascii="宋体" w:hAnsi="宋体" w:eastAsia="宋体" w:cs="Times New Roman"/>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basedOn w:val="959"/>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sz w:val="24"/>
      <w:szCs w:val="24"/>
      <w:lang w:eastAsia="en-US" w:bidi="en-US"/>
    </w:rPr>
  </w:style>
  <w:style w:type="paragraph" w:styleId="1031">
    <w:name w:val="Body Text(ch)"/>
    <w:basedOn w:val="949"/>
    <w:next w:val="980"/>
    <w:link w:val="949"/>
    <w:pPr>
      <w:spacing w:after="120"/>
    </w:pPr>
    <w:rPr>
      <w:rFonts w:ascii="宋体" w:hAnsi="Arial" w:eastAsia="宋体" w:cs="Times New Roman"/>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Char"/>
    <w:basedOn w:val="949"/>
    <w:next w:val="1034"/>
    <w:link w:val="949"/>
    <w:pPr>
      <w:ind w:firstLine="200"/>
      <w:tabs>
        <w:tab w:val="left" w:pos="360" w:leader="none"/>
      </w:tabs>
    </w:pPr>
    <w:rPr>
      <w:rFonts w:ascii="Times New Roman" w:hAnsi="Times New Roman" w:eastAsia="宋体" w:cs="Times New Roman"/>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eastAsia="宋体" w:cs="Times New Roman"/>
      <w:sz w:val="24"/>
      <w:szCs w:val="24"/>
    </w:rPr>
  </w:style>
  <w:style w:type="paragraph" w:styleId="1037">
    <w:name w:val="table_lines"/>
    <w:basedOn w:val="949"/>
    <w:next w:val="1037"/>
    <w:link w:val="949"/>
    <w:pPr>
      <w:jc w:val="left"/>
      <w:widowControl/>
    </w:pPr>
    <w:rPr>
      <w:rFonts w:ascii="Times New Roman" w:hAnsi="Times New Roman" w:eastAsia="宋体" w:cs="Times New Roman"/>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eastAsia="宋体" w:cs="Times New Roman"/>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eastAsia="宋体" w:cs="Times New Roman"/>
      <w:sz w:val="24"/>
      <w:szCs w:val="24"/>
      <w:lang w:eastAsia="en-US" w:bidi="en-US"/>
    </w:rPr>
  </w:style>
  <w:style w:type="paragraph" w:styleId="1042">
    <w:name w:val="4"/>
    <w:basedOn w:val="949"/>
    <w:next w:val="1004"/>
    <w:link w:val="949"/>
    <w:pPr>
      <w:ind w:firstLine="420"/>
      <w:spacing w:line="360" w:lineRule="auto"/>
    </w:pPr>
    <w:rPr>
      <w:rFonts w:ascii="Times New Roman" w:hAnsi="Times New Roman" w:eastAsia="宋体" w:cs="Times New Roman"/>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eastAsia="宋体" w:cs="Times New Roman"/>
      <w:sz w:val="24"/>
      <w:szCs w:val="24"/>
    </w:rPr>
  </w:style>
  <w:style w:type="paragraph" w:styleId="1044">
    <w:name w:val=" Char Char Char Char Char Char Char Char Char Char"/>
    <w:basedOn w:val="949"/>
    <w:next w:val="1044"/>
    <w:link w:val="949"/>
    <w:pPr>
      <w:spacing w:line="360" w:lineRule="auto"/>
    </w:pPr>
    <w:rPr>
      <w:rFonts w:ascii="Times New Roman" w:hAnsi="Times New Roman" w:eastAsia="宋体" w:cs="Times New Roman"/>
      <w:sz w:val="24"/>
      <w:szCs w:val="20"/>
    </w:rPr>
  </w:style>
  <w:style w:type="paragraph" w:styleId="1045">
    <w:name w:val="样式1"/>
    <w:basedOn w:val="949"/>
    <w:next w:val="1045"/>
    <w:link w:val="949"/>
    <w:pPr>
      <w:numPr>
        <w:ilvl w:val="0"/>
        <w:numId w:val="3"/>
      </w:numPr>
      <w:tabs>
        <w:tab w:val="left" w:pos="709" w:leader="none"/>
      </w:tabs>
    </w:pPr>
    <w:rPr>
      <w:rFonts w:ascii="宋体" w:hAnsi="宋体" w:eastAsia="宋体" w:cs="Times New Roman"/>
      <w:szCs w:val="21"/>
    </w:rPr>
  </w:style>
  <w:style w:type="paragraph" w:styleId="1046">
    <w:name w:val="font6"/>
    <w:basedOn w:val="949"/>
    <w:next w:val="1046"/>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eastAsia="宋体" w:cs="Times New Roman"/>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eastAsia="宋体" w:cs="Times New Roman"/>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eastAsia="宋体" w:cs="Times New Roman"/>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rFonts w:ascii="Times New Roman" w:hAnsi="Times New Roman" w:eastAsia="宋体" w:cs="Times New Roman"/>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eastAsia="宋体" w:cs="Times New Roman"/>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AONormal"/>
    <w:next w:val="1062"/>
    <w:link w:val="949"/>
    <w:qFormat/>
    <w:pPr>
      <w:ind w:firstLine="440"/>
      <w:spacing w:line="400" w:lineRule="exact"/>
    </w:pPr>
    <w:rPr>
      <w:rFonts w:ascii="华文楷体" w:hAnsi="华文楷体" w:eastAsia="华文楷体" w:cs="华文楷体"/>
      <w:sz w:val="22"/>
      <w:szCs w:val="21"/>
      <w:lang w:val="en-US" w:eastAsia="zh-CN" w:bidi="ar-SA"/>
    </w:rPr>
  </w:style>
  <w:style w:type="paragraph" w:styleId="1063">
    <w:name w:val="首行缩进"/>
    <w:basedOn w:val="949"/>
    <w:next w:val="1063"/>
    <w:link w:val="949"/>
    <w:qFormat/>
    <w:pPr>
      <w:ind w:firstLine="480"/>
    </w:pPr>
    <w:rPr>
      <w:lang w:val="zh-CN"/>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7</cp:revision>
  <dcterms:created xsi:type="dcterms:W3CDTF">2023-03-16T02:13:00Z</dcterms:created>
  <dcterms:modified xsi:type="dcterms:W3CDTF">2026-08-26T06:35:22Z</dcterms:modified>
</cp:coreProperties>
</file>